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1F96" w:rsidRDefault="00B11F96" w:rsidP="00576A63">
      <w:pPr>
        <w:pBdr>
          <w:top w:val="nil"/>
          <w:left w:val="nil"/>
          <w:bottom w:val="nil"/>
          <w:right w:val="nil"/>
          <w:between w:val="nil"/>
        </w:pBdr>
        <w:rPr>
          <w:b/>
          <w:color w:val="FF0000"/>
        </w:rPr>
      </w:pPr>
    </w:p>
    <w:p w:rsidR="00B11F96" w:rsidRDefault="00B11F96" w:rsidP="00576A63">
      <w:pPr>
        <w:pBdr>
          <w:top w:val="nil"/>
          <w:left w:val="nil"/>
          <w:bottom w:val="nil"/>
          <w:right w:val="nil"/>
          <w:between w:val="nil"/>
        </w:pBdr>
        <w:rPr>
          <w:b/>
          <w:color w:val="000000"/>
        </w:rPr>
      </w:pPr>
    </w:p>
    <w:p w:rsidR="00B11F96" w:rsidRDefault="00B11F96" w:rsidP="00576A63">
      <w:pPr>
        <w:pBdr>
          <w:top w:val="nil"/>
          <w:left w:val="nil"/>
          <w:bottom w:val="nil"/>
          <w:right w:val="nil"/>
          <w:between w:val="nil"/>
        </w:pBdr>
        <w:jc w:val="center"/>
        <w:rPr>
          <w:b/>
          <w:color w:val="000000"/>
          <w:sz w:val="48"/>
          <w:szCs w:val="48"/>
        </w:rPr>
      </w:pPr>
    </w:p>
    <w:p w:rsidR="00B11F96" w:rsidRDefault="00B11F96" w:rsidP="00576A63">
      <w:pPr>
        <w:pBdr>
          <w:top w:val="nil"/>
          <w:left w:val="nil"/>
          <w:bottom w:val="nil"/>
          <w:right w:val="nil"/>
          <w:between w:val="nil"/>
        </w:pBdr>
        <w:jc w:val="center"/>
        <w:rPr>
          <w:b/>
          <w:color w:val="000000"/>
          <w:sz w:val="48"/>
          <w:szCs w:val="48"/>
        </w:rPr>
      </w:pPr>
    </w:p>
    <w:p w:rsidR="00E46DB0" w:rsidRDefault="00E46DB0" w:rsidP="00E46DB0">
      <w:pPr>
        <w:jc w:val="center"/>
        <w:rPr>
          <w:sz w:val="32"/>
          <w:szCs w:val="32"/>
        </w:rPr>
      </w:pPr>
      <w:r>
        <w:rPr>
          <w:sz w:val="32"/>
          <w:szCs w:val="32"/>
        </w:rPr>
        <w:t>Student Name: Geanina Alina Cotoban</w:t>
      </w:r>
    </w:p>
    <w:p w:rsidR="00E46DB0" w:rsidRDefault="00E46DB0" w:rsidP="00E46DB0">
      <w:pPr>
        <w:jc w:val="center"/>
        <w:rPr>
          <w:sz w:val="32"/>
          <w:szCs w:val="32"/>
        </w:rPr>
      </w:pPr>
      <w:r>
        <w:rPr>
          <w:sz w:val="32"/>
          <w:szCs w:val="32"/>
        </w:rPr>
        <w:t>Student ID Number: 1917121</w:t>
      </w:r>
    </w:p>
    <w:p w:rsidR="00E46DB0" w:rsidRDefault="00E46DB0" w:rsidP="00E46DB0">
      <w:pPr>
        <w:jc w:val="center"/>
        <w:rPr>
          <w:sz w:val="32"/>
          <w:szCs w:val="32"/>
        </w:rPr>
      </w:pPr>
      <w:r>
        <w:rPr>
          <w:sz w:val="32"/>
          <w:szCs w:val="32"/>
        </w:rPr>
        <w:t>Level 5/ Term 2/ Group 2</w:t>
      </w:r>
    </w:p>
    <w:p w:rsidR="00E46DB0" w:rsidRDefault="00E46DB0" w:rsidP="00E46DB0">
      <w:pPr>
        <w:jc w:val="center"/>
        <w:rPr>
          <w:sz w:val="32"/>
          <w:szCs w:val="32"/>
        </w:rPr>
      </w:pPr>
      <w:r>
        <w:rPr>
          <w:sz w:val="32"/>
          <w:szCs w:val="32"/>
        </w:rPr>
        <w:t>Lecturer´s Name: Charles Oham</w:t>
      </w:r>
    </w:p>
    <w:p w:rsidR="00E46DB0" w:rsidRDefault="00E46DB0" w:rsidP="00E46DB0">
      <w:pPr>
        <w:rPr>
          <w:sz w:val="32"/>
          <w:szCs w:val="32"/>
        </w:rPr>
      </w:pPr>
    </w:p>
    <w:p w:rsidR="00E46DB0" w:rsidRDefault="00E46DB0" w:rsidP="00E46DB0">
      <w:pPr>
        <w:jc w:val="center"/>
        <w:rPr>
          <w:b/>
          <w:sz w:val="32"/>
        </w:rPr>
      </w:pPr>
      <w:r>
        <w:rPr>
          <w:b/>
          <w:sz w:val="32"/>
        </w:rPr>
        <w:t>Managing People</w:t>
      </w:r>
    </w:p>
    <w:p w:rsidR="00E46DB0" w:rsidRDefault="00E46DB0" w:rsidP="00E46DB0">
      <w:pPr>
        <w:jc w:val="center"/>
        <w:rPr>
          <w:b/>
          <w:sz w:val="32"/>
        </w:rPr>
      </w:pPr>
      <w:r>
        <w:rPr>
          <w:b/>
          <w:sz w:val="32"/>
        </w:rPr>
        <w:t xml:space="preserve">Assessment </w:t>
      </w:r>
      <w:r>
        <w:rPr>
          <w:b/>
          <w:sz w:val="32"/>
        </w:rPr>
        <w:t>2</w:t>
      </w:r>
      <w:bookmarkStart w:id="0" w:name="_GoBack"/>
      <w:bookmarkEnd w:id="0"/>
    </w:p>
    <w:p w:rsidR="00E46DB0" w:rsidRDefault="00E46DB0" w:rsidP="00E46DB0">
      <w:pPr>
        <w:jc w:val="center"/>
        <w:rPr>
          <w:b/>
        </w:rPr>
      </w:pPr>
    </w:p>
    <w:p w:rsidR="00B11F96" w:rsidRDefault="00B11F96" w:rsidP="00576A63">
      <w:pPr>
        <w:pBdr>
          <w:top w:val="nil"/>
          <w:left w:val="nil"/>
          <w:bottom w:val="nil"/>
          <w:right w:val="nil"/>
          <w:between w:val="nil"/>
        </w:pBdr>
        <w:jc w:val="center"/>
        <w:rPr>
          <w:b/>
          <w:color w:val="000000"/>
          <w:sz w:val="48"/>
          <w:szCs w:val="48"/>
        </w:rPr>
      </w:pPr>
    </w:p>
    <w:p w:rsidR="00B11F96" w:rsidRDefault="00B11F96" w:rsidP="00576A63">
      <w:pPr>
        <w:pBdr>
          <w:top w:val="nil"/>
          <w:left w:val="nil"/>
          <w:bottom w:val="nil"/>
          <w:right w:val="nil"/>
          <w:between w:val="nil"/>
        </w:pBdr>
        <w:jc w:val="center"/>
        <w:rPr>
          <w:b/>
          <w:color w:val="000000"/>
          <w:sz w:val="48"/>
          <w:szCs w:val="48"/>
        </w:rPr>
      </w:pPr>
    </w:p>
    <w:p w:rsidR="00B11F96" w:rsidRDefault="00B11F96" w:rsidP="00576A63">
      <w:pPr>
        <w:pBdr>
          <w:top w:val="nil"/>
          <w:left w:val="nil"/>
          <w:bottom w:val="nil"/>
          <w:right w:val="nil"/>
          <w:between w:val="nil"/>
        </w:pBdr>
        <w:jc w:val="center"/>
        <w:rPr>
          <w:b/>
          <w:color w:val="000000"/>
          <w:sz w:val="48"/>
          <w:szCs w:val="48"/>
        </w:rPr>
      </w:pPr>
    </w:p>
    <w:p w:rsidR="00B11F96" w:rsidRDefault="00B11F96" w:rsidP="00E46DB0">
      <w:pPr>
        <w:pBdr>
          <w:top w:val="nil"/>
          <w:left w:val="nil"/>
          <w:bottom w:val="nil"/>
          <w:right w:val="nil"/>
          <w:between w:val="nil"/>
        </w:pBdr>
        <w:rPr>
          <w:b/>
          <w:color w:val="000000"/>
          <w:sz w:val="32"/>
          <w:szCs w:val="32"/>
        </w:rPr>
      </w:pPr>
    </w:p>
    <w:p w:rsidR="00B11F96" w:rsidRDefault="001B29BD" w:rsidP="00576A63">
      <w:pPr>
        <w:jc w:val="left"/>
        <w:rPr>
          <w:b/>
        </w:rPr>
      </w:pPr>
      <w:r>
        <w:br w:type="page"/>
      </w:r>
    </w:p>
    <w:p w:rsidR="00576A63" w:rsidRPr="00576A63" w:rsidRDefault="001B29BD" w:rsidP="00576A63">
      <w:pPr>
        <w:keepNext/>
        <w:keepLines/>
        <w:pBdr>
          <w:top w:val="nil"/>
          <w:left w:val="nil"/>
          <w:bottom w:val="nil"/>
          <w:right w:val="nil"/>
          <w:between w:val="nil"/>
        </w:pBdr>
        <w:spacing w:before="480"/>
        <w:jc w:val="center"/>
        <w:rPr>
          <w:b/>
          <w:color w:val="000000"/>
        </w:rPr>
      </w:pPr>
      <w:r>
        <w:rPr>
          <w:b/>
          <w:color w:val="000000"/>
        </w:rPr>
        <w:lastRenderedPageBreak/>
        <w:t>Table of Contents</w:t>
      </w:r>
    </w:p>
    <w:sdt>
      <w:sdtPr>
        <w:id w:val="18095368"/>
        <w:docPartObj>
          <w:docPartGallery w:val="Table of Contents"/>
          <w:docPartUnique/>
        </w:docPartObj>
      </w:sdtPr>
      <w:sdtEndPr/>
      <w:sdtContent>
        <w:p w:rsidR="00576A63" w:rsidRDefault="004A01C6" w:rsidP="00576A63">
          <w:pPr>
            <w:pStyle w:val="TDC1"/>
            <w:tabs>
              <w:tab w:val="right" w:pos="9019"/>
            </w:tabs>
            <w:rPr>
              <w:rFonts w:asciiTheme="minorHAnsi" w:eastAsiaTheme="minorEastAsia" w:hAnsiTheme="minorHAnsi" w:cstheme="minorBidi"/>
              <w:noProof/>
              <w:sz w:val="22"/>
              <w:szCs w:val="22"/>
              <w:lang w:val="en-US"/>
            </w:rPr>
          </w:pPr>
          <w:r>
            <w:fldChar w:fldCharType="begin"/>
          </w:r>
          <w:r w:rsidR="001B29BD">
            <w:instrText xml:space="preserve"> TOC \h \u \z </w:instrText>
          </w:r>
          <w:r>
            <w:fldChar w:fldCharType="separate"/>
          </w:r>
          <w:hyperlink w:anchor="_Toc80280025" w:history="1">
            <w:r w:rsidR="00576A63" w:rsidRPr="00B54996">
              <w:rPr>
                <w:rStyle w:val="Hipervnculo"/>
                <w:noProof/>
              </w:rPr>
              <w:t>Introduction</w:t>
            </w:r>
            <w:r w:rsidR="00576A63">
              <w:rPr>
                <w:noProof/>
                <w:webHidden/>
              </w:rPr>
              <w:tab/>
            </w:r>
            <w:r>
              <w:rPr>
                <w:noProof/>
                <w:webHidden/>
              </w:rPr>
              <w:fldChar w:fldCharType="begin"/>
            </w:r>
            <w:r w:rsidR="00576A63">
              <w:rPr>
                <w:noProof/>
                <w:webHidden/>
              </w:rPr>
              <w:instrText xml:space="preserve"> PAGEREF _Toc80280025 \h </w:instrText>
            </w:r>
            <w:r>
              <w:rPr>
                <w:noProof/>
                <w:webHidden/>
              </w:rPr>
            </w:r>
            <w:r>
              <w:rPr>
                <w:noProof/>
                <w:webHidden/>
              </w:rPr>
              <w:fldChar w:fldCharType="separate"/>
            </w:r>
            <w:r w:rsidR="00576A63">
              <w:rPr>
                <w:noProof/>
                <w:webHidden/>
              </w:rPr>
              <w:t>3</w:t>
            </w:r>
            <w:r>
              <w:rPr>
                <w:noProof/>
                <w:webHidden/>
              </w:rPr>
              <w:fldChar w:fldCharType="end"/>
            </w:r>
          </w:hyperlink>
        </w:p>
        <w:p w:rsidR="00576A63" w:rsidRDefault="00E61DC8" w:rsidP="00576A63">
          <w:pPr>
            <w:pStyle w:val="TDC1"/>
            <w:tabs>
              <w:tab w:val="right" w:pos="9019"/>
            </w:tabs>
            <w:rPr>
              <w:rFonts w:asciiTheme="minorHAnsi" w:eastAsiaTheme="minorEastAsia" w:hAnsiTheme="minorHAnsi" w:cstheme="minorBidi"/>
              <w:noProof/>
              <w:sz w:val="22"/>
              <w:szCs w:val="22"/>
              <w:lang w:val="en-US"/>
            </w:rPr>
          </w:pPr>
          <w:hyperlink w:anchor="_Toc80280026" w:history="1">
            <w:r w:rsidR="00576A63" w:rsidRPr="00B54996">
              <w:rPr>
                <w:rStyle w:val="Hipervnculo"/>
                <w:noProof/>
              </w:rPr>
              <w:t>Reviews the concepts and drivers of employee engagement</w:t>
            </w:r>
            <w:r w:rsidR="00576A63">
              <w:rPr>
                <w:noProof/>
                <w:webHidden/>
              </w:rPr>
              <w:tab/>
            </w:r>
            <w:r w:rsidR="004A01C6">
              <w:rPr>
                <w:noProof/>
                <w:webHidden/>
              </w:rPr>
              <w:fldChar w:fldCharType="begin"/>
            </w:r>
            <w:r w:rsidR="00576A63">
              <w:rPr>
                <w:noProof/>
                <w:webHidden/>
              </w:rPr>
              <w:instrText xml:space="preserve"> PAGEREF _Toc80280026 \h </w:instrText>
            </w:r>
            <w:r w:rsidR="004A01C6">
              <w:rPr>
                <w:noProof/>
                <w:webHidden/>
              </w:rPr>
            </w:r>
            <w:r w:rsidR="004A01C6">
              <w:rPr>
                <w:noProof/>
                <w:webHidden/>
              </w:rPr>
              <w:fldChar w:fldCharType="separate"/>
            </w:r>
            <w:r w:rsidR="00576A63">
              <w:rPr>
                <w:noProof/>
                <w:webHidden/>
              </w:rPr>
              <w:t>3</w:t>
            </w:r>
            <w:r w:rsidR="004A01C6">
              <w:rPr>
                <w:noProof/>
                <w:webHidden/>
              </w:rPr>
              <w:fldChar w:fldCharType="end"/>
            </w:r>
          </w:hyperlink>
        </w:p>
        <w:p w:rsidR="00576A63" w:rsidRDefault="00E61DC8" w:rsidP="00576A63">
          <w:pPr>
            <w:pStyle w:val="TDC1"/>
            <w:tabs>
              <w:tab w:val="right" w:pos="9019"/>
            </w:tabs>
            <w:rPr>
              <w:rFonts w:asciiTheme="minorHAnsi" w:eastAsiaTheme="minorEastAsia" w:hAnsiTheme="minorHAnsi" w:cstheme="minorBidi"/>
              <w:noProof/>
              <w:sz w:val="22"/>
              <w:szCs w:val="22"/>
              <w:lang w:val="en-US"/>
            </w:rPr>
          </w:pPr>
          <w:hyperlink w:anchor="_Toc80280027" w:history="1">
            <w:r w:rsidR="00576A63" w:rsidRPr="00B54996">
              <w:rPr>
                <w:rStyle w:val="Hipervnculo"/>
                <w:noProof/>
              </w:rPr>
              <w:t>Evaluates diagnostic tools to measure engagement of employees</w:t>
            </w:r>
            <w:r w:rsidR="00576A63">
              <w:rPr>
                <w:noProof/>
                <w:webHidden/>
              </w:rPr>
              <w:tab/>
            </w:r>
            <w:r w:rsidR="004A01C6">
              <w:rPr>
                <w:noProof/>
                <w:webHidden/>
              </w:rPr>
              <w:fldChar w:fldCharType="begin"/>
            </w:r>
            <w:r w:rsidR="00576A63">
              <w:rPr>
                <w:noProof/>
                <w:webHidden/>
              </w:rPr>
              <w:instrText xml:space="preserve"> PAGEREF _Toc80280027 \h </w:instrText>
            </w:r>
            <w:r w:rsidR="004A01C6">
              <w:rPr>
                <w:noProof/>
                <w:webHidden/>
              </w:rPr>
            </w:r>
            <w:r w:rsidR="004A01C6">
              <w:rPr>
                <w:noProof/>
                <w:webHidden/>
              </w:rPr>
              <w:fldChar w:fldCharType="separate"/>
            </w:r>
            <w:r w:rsidR="00576A63">
              <w:rPr>
                <w:noProof/>
                <w:webHidden/>
              </w:rPr>
              <w:t>5</w:t>
            </w:r>
            <w:r w:rsidR="004A01C6">
              <w:rPr>
                <w:noProof/>
                <w:webHidden/>
              </w:rPr>
              <w:fldChar w:fldCharType="end"/>
            </w:r>
          </w:hyperlink>
        </w:p>
        <w:p w:rsidR="00576A63" w:rsidRDefault="00963A9C" w:rsidP="00576A63">
          <w:pPr>
            <w:pStyle w:val="TDC1"/>
            <w:tabs>
              <w:tab w:val="right" w:pos="9019"/>
            </w:tabs>
            <w:rPr>
              <w:rFonts w:asciiTheme="minorHAnsi" w:eastAsiaTheme="minorEastAsia" w:hAnsiTheme="minorHAnsi" w:cstheme="minorBidi"/>
              <w:noProof/>
              <w:sz w:val="22"/>
              <w:szCs w:val="22"/>
              <w:lang w:val="en-US"/>
            </w:rPr>
          </w:pPr>
          <w:r>
            <w:t>Constructs an employee value proposition from the ideas and analysis                                    6</w:t>
          </w:r>
        </w:p>
        <w:p w:rsidR="00576A63" w:rsidRDefault="00963A9C" w:rsidP="00576A63">
          <w:pPr>
            <w:pStyle w:val="TDC1"/>
            <w:tabs>
              <w:tab w:val="right" w:pos="9019"/>
            </w:tabs>
            <w:rPr>
              <w:rFonts w:asciiTheme="minorHAnsi" w:eastAsiaTheme="minorEastAsia" w:hAnsiTheme="minorHAnsi" w:cstheme="minorBidi"/>
              <w:noProof/>
              <w:sz w:val="22"/>
              <w:szCs w:val="22"/>
              <w:lang w:val="en-US"/>
            </w:rPr>
          </w:pPr>
          <w:r>
            <w:t xml:space="preserve">Strategies to </w:t>
          </w:r>
          <w:r w:rsidR="008435A2">
            <w:t>improve employee</w:t>
          </w:r>
          <w:r>
            <w:t xml:space="preserve"> engagement        </w:t>
          </w:r>
          <w:r w:rsidR="008435A2">
            <w:t xml:space="preserve">            </w:t>
          </w:r>
          <w:r>
            <w:t xml:space="preserve">                                                         8</w:t>
          </w:r>
        </w:p>
        <w:p w:rsidR="00576A63" w:rsidRDefault="00963A9C" w:rsidP="00576A63">
          <w:pPr>
            <w:pStyle w:val="TDC1"/>
            <w:tabs>
              <w:tab w:val="right" w:pos="9019"/>
            </w:tabs>
            <w:rPr>
              <w:rFonts w:asciiTheme="minorHAnsi" w:eastAsiaTheme="minorEastAsia" w:hAnsiTheme="minorHAnsi" w:cstheme="minorBidi"/>
              <w:noProof/>
              <w:sz w:val="22"/>
              <w:szCs w:val="22"/>
              <w:lang w:val="en-US"/>
            </w:rPr>
          </w:pPr>
          <w:r>
            <w:t xml:space="preserve">Conclusion          </w:t>
          </w:r>
          <w:r w:rsidR="008435A2">
            <w:t xml:space="preserve">                                                                                                       </w:t>
          </w:r>
          <w:r>
            <w:t xml:space="preserve">                 </w:t>
          </w:r>
          <w:r w:rsidR="008435A2">
            <w:t>9</w:t>
          </w:r>
          <w:r>
            <w:t xml:space="preserve">      </w:t>
          </w:r>
        </w:p>
        <w:p w:rsidR="00576A63" w:rsidRDefault="008435A2" w:rsidP="00576A63">
          <w:pPr>
            <w:pStyle w:val="TDC1"/>
            <w:tabs>
              <w:tab w:val="right" w:pos="9019"/>
            </w:tabs>
            <w:rPr>
              <w:rFonts w:asciiTheme="minorHAnsi" w:eastAsiaTheme="minorEastAsia" w:hAnsiTheme="minorHAnsi" w:cstheme="minorBidi"/>
              <w:noProof/>
              <w:sz w:val="22"/>
              <w:szCs w:val="22"/>
              <w:lang w:val="en-US"/>
            </w:rPr>
          </w:pPr>
          <w:r>
            <w:t>Reference List                                                                                                                           10</w:t>
          </w:r>
        </w:p>
        <w:p w:rsidR="00B11F96" w:rsidRDefault="004A01C6" w:rsidP="00576A63">
          <w:r>
            <w:fldChar w:fldCharType="end"/>
          </w:r>
        </w:p>
      </w:sdtContent>
    </w:sdt>
    <w:p w:rsidR="00B11F96" w:rsidRDefault="00B11F96" w:rsidP="00576A63">
      <w:pPr>
        <w:pStyle w:val="Ttulo1"/>
      </w:pPr>
    </w:p>
    <w:p w:rsidR="00B11F96" w:rsidRDefault="001B29BD" w:rsidP="00576A63">
      <w:pPr>
        <w:jc w:val="left"/>
        <w:rPr>
          <w:b/>
        </w:rPr>
      </w:pPr>
      <w:bookmarkStart w:id="1" w:name="_heading=h.gjdgxs" w:colFirst="0" w:colLast="0"/>
      <w:bookmarkEnd w:id="1"/>
      <w:r>
        <w:br w:type="page"/>
      </w:r>
    </w:p>
    <w:p w:rsidR="00B11F96" w:rsidRDefault="001B29BD" w:rsidP="00576A63">
      <w:pPr>
        <w:pStyle w:val="Ttulo1"/>
      </w:pPr>
      <w:bookmarkStart w:id="2" w:name="_Toc80280025"/>
      <w:r>
        <w:lastRenderedPageBreak/>
        <w:t>Introduction</w:t>
      </w:r>
      <w:bookmarkEnd w:id="2"/>
    </w:p>
    <w:p w:rsidR="00B11F96" w:rsidRDefault="001B29BD" w:rsidP="00576A63">
      <w:pPr>
        <w:pBdr>
          <w:top w:val="nil"/>
          <w:left w:val="nil"/>
          <w:bottom w:val="nil"/>
          <w:right w:val="nil"/>
          <w:between w:val="nil"/>
        </w:pBdr>
        <w:rPr>
          <w:color w:val="000000"/>
        </w:rPr>
      </w:pPr>
      <w:r>
        <w:rPr>
          <w:color w:val="000000"/>
        </w:rPr>
        <w:t>Workplace management is helpful to improve employee well</w:t>
      </w:r>
      <w:r w:rsidR="00064025">
        <w:rPr>
          <w:color w:val="000000"/>
        </w:rPr>
        <w:t>-</w:t>
      </w:r>
      <w:r>
        <w:rPr>
          <w:color w:val="000000"/>
        </w:rPr>
        <w:t>being as well as performance (</w:t>
      </w:r>
      <w:r>
        <w:rPr>
          <w:color w:val="000000"/>
          <w:highlight w:val="white"/>
        </w:rPr>
        <w:t xml:space="preserve">Falola </w:t>
      </w:r>
      <w:r>
        <w:rPr>
          <w:i/>
          <w:color w:val="000000"/>
          <w:highlight w:val="white"/>
        </w:rPr>
        <w:t>et al.</w:t>
      </w:r>
      <w:r>
        <w:rPr>
          <w:color w:val="000000"/>
          <w:highlight w:val="white"/>
        </w:rPr>
        <w:t>, 2021</w:t>
      </w:r>
      <w:r>
        <w:rPr>
          <w:color w:val="000000"/>
        </w:rPr>
        <w:t xml:space="preserve">). </w:t>
      </w:r>
      <w:r>
        <w:t xml:space="preserve">The organisational </w:t>
      </w:r>
      <w:r>
        <w:rPr>
          <w:color w:val="000000"/>
        </w:rPr>
        <w:t xml:space="preserve">management is interested in measuring employee engagement in the present pandemic situations as the organizations have adopted different types of working policies such as flexible work structure, working home and others. This report will evaluate the tool for measuring engagement and will provide the “employee value </w:t>
      </w:r>
      <w:r w:rsidR="00576A63">
        <w:rPr>
          <w:color w:val="000000"/>
        </w:rPr>
        <w:t>proposition”. The</w:t>
      </w:r>
      <w:r>
        <w:rPr>
          <w:color w:val="000000"/>
        </w:rPr>
        <w:t xml:space="preserve"> </w:t>
      </w:r>
      <w:r>
        <w:t>ways</w:t>
      </w:r>
      <w:r>
        <w:rPr>
          <w:color w:val="000000"/>
        </w:rPr>
        <w:t xml:space="preserve"> </w:t>
      </w:r>
      <w:r>
        <w:t>i</w:t>
      </w:r>
      <w:r>
        <w:rPr>
          <w:color w:val="000000"/>
        </w:rPr>
        <w:t xml:space="preserve">n </w:t>
      </w:r>
      <w:r>
        <w:t>which the firms can</w:t>
      </w:r>
      <w:r>
        <w:rPr>
          <w:color w:val="000000"/>
        </w:rPr>
        <w:t xml:space="preserve"> improve their level of employee</w:t>
      </w:r>
      <w:r>
        <w:t>’s</w:t>
      </w:r>
      <w:r>
        <w:rPr>
          <w:color w:val="000000"/>
        </w:rPr>
        <w:t xml:space="preserve"> engagement will be recommended at the end of the report.</w:t>
      </w:r>
      <w:r w:rsidR="00576A63">
        <w:rPr>
          <w:color w:val="000000"/>
        </w:rPr>
        <w:t xml:space="preserve"> </w:t>
      </w:r>
    </w:p>
    <w:p w:rsidR="00B11F96" w:rsidRDefault="001B29BD" w:rsidP="00576A63">
      <w:pPr>
        <w:pStyle w:val="Ttulo1"/>
      </w:pPr>
      <w:bookmarkStart w:id="3" w:name="_Toc80280026"/>
      <w:r>
        <w:t>Reviews the concepts and drivers of employee engagement</w:t>
      </w:r>
      <w:bookmarkEnd w:id="3"/>
    </w:p>
    <w:p w:rsidR="00B11F96" w:rsidRDefault="001B29BD" w:rsidP="00576A63">
      <w:pPr>
        <w:pBdr>
          <w:top w:val="nil"/>
          <w:left w:val="nil"/>
          <w:bottom w:val="nil"/>
          <w:right w:val="nil"/>
          <w:between w:val="nil"/>
        </w:pBdr>
        <w:rPr>
          <w:color w:val="000000"/>
        </w:rPr>
      </w:pPr>
      <w:r>
        <w:rPr>
          <w:b/>
          <w:color w:val="000000"/>
        </w:rPr>
        <w:t xml:space="preserve">Employee engagement </w:t>
      </w:r>
      <w:r>
        <w:rPr>
          <w:color w:val="000000"/>
        </w:rPr>
        <w:t>term relates to the level of a connection and employee commitment of an organization. In today's competitive fast food business domain, this concept has appeared as a pivotal driver of business (</w:t>
      </w:r>
      <w:r>
        <w:rPr>
          <w:color w:val="000000"/>
          <w:highlight w:val="white"/>
        </w:rPr>
        <w:t>Osborne and Hammoud, 2017</w:t>
      </w:r>
      <w:r>
        <w:rPr>
          <w:color w:val="000000"/>
        </w:rPr>
        <w:t>). As stated By</w:t>
      </w:r>
      <w:r>
        <w:rPr>
          <w:color w:val="000000"/>
          <w:highlight w:val="white"/>
        </w:rPr>
        <w:t xml:space="preserve">alola </w:t>
      </w:r>
      <w:r>
        <w:rPr>
          <w:i/>
          <w:color w:val="000000"/>
          <w:highlight w:val="white"/>
        </w:rPr>
        <w:t>et al.</w:t>
      </w:r>
      <w:r>
        <w:rPr>
          <w:color w:val="000000"/>
          <w:highlight w:val="white"/>
        </w:rPr>
        <w:t>, (2021)</w:t>
      </w:r>
      <w:r>
        <w:rPr>
          <w:color w:val="000000"/>
        </w:rPr>
        <w:t xml:space="preserve">, high level of “employee engagement” helps to promote retention of employees, loyalty of </w:t>
      </w:r>
      <w:r>
        <w:t>consumers</w:t>
      </w:r>
      <w:r>
        <w:rPr>
          <w:color w:val="000000"/>
        </w:rPr>
        <w:t xml:space="preserve"> and enhance the stakeholder value and organizational performance. </w:t>
      </w:r>
    </w:p>
    <w:p w:rsidR="00B11F96" w:rsidRDefault="001B29BD" w:rsidP="00576A63">
      <w:pPr>
        <w:pBdr>
          <w:top w:val="nil"/>
          <w:left w:val="nil"/>
          <w:bottom w:val="nil"/>
          <w:right w:val="nil"/>
          <w:between w:val="nil"/>
        </w:pBdr>
        <w:rPr>
          <w:color w:val="000000"/>
        </w:rPr>
      </w:pPr>
      <w:r>
        <w:rPr>
          <w:color w:val="000000"/>
        </w:rPr>
        <w:t xml:space="preserve">The pivotal drivers of employee engagement have elaborated and mentored in the following section as over the years, they have shifted positions and changed workplace trend and economic conditions. </w:t>
      </w:r>
    </w:p>
    <w:p w:rsidR="00B11F96" w:rsidRPr="00937B12" w:rsidRDefault="001B29BD" w:rsidP="00576A63">
      <w:pPr>
        <w:numPr>
          <w:ilvl w:val="0"/>
          <w:numId w:val="4"/>
        </w:numPr>
        <w:pBdr>
          <w:top w:val="nil"/>
          <w:left w:val="nil"/>
          <w:bottom w:val="nil"/>
          <w:right w:val="nil"/>
          <w:between w:val="nil"/>
        </w:pBdr>
        <w:rPr>
          <w:b/>
        </w:rPr>
      </w:pPr>
      <w:r w:rsidRPr="00937B12">
        <w:rPr>
          <w:b/>
        </w:rPr>
        <w:t>Availability of leader</w:t>
      </w:r>
    </w:p>
    <w:p w:rsidR="00B11F96" w:rsidRPr="00937B12" w:rsidRDefault="001B29BD" w:rsidP="00576A63">
      <w:pPr>
        <w:pBdr>
          <w:top w:val="nil"/>
          <w:left w:val="nil"/>
          <w:bottom w:val="nil"/>
          <w:right w:val="nil"/>
          <w:between w:val="nil"/>
        </w:pBdr>
      </w:pPr>
      <w:r w:rsidRPr="00937B12">
        <w:t>This driver measures in which way available, accessible and leaders are approachable. If leaders fail to connect with the people, employees of an organisation may begin to question and doubt intentions regarding high level of business decisions (</w:t>
      </w:r>
      <w:r w:rsidRPr="00937B12">
        <w:rPr>
          <w:highlight w:val="white"/>
        </w:rPr>
        <w:t>Antony, 2018</w:t>
      </w:r>
      <w:r w:rsidRPr="00937B12">
        <w:t>). The presence of good leadership in an organisation is very important especially in situations like the Covid-19 pandemic</w:t>
      </w:r>
      <w:r w:rsidR="00637810" w:rsidRPr="00937B12">
        <w:t>.</w:t>
      </w:r>
      <w:r w:rsidRPr="00937B12">
        <w:t xml:space="preserve"> During the</w:t>
      </w:r>
      <w:r w:rsidRPr="00937B12">
        <w:rPr>
          <w:i/>
        </w:rPr>
        <w:t xml:space="preserve"> remote working</w:t>
      </w:r>
      <w:r w:rsidRPr="00937B12">
        <w:t xml:space="preserve"> scenarios several companies have reported employee connectivity as a major issue faced by them. The </w:t>
      </w:r>
      <w:r w:rsidR="00D7347E" w:rsidRPr="00937B12">
        <w:t>Corona virus</w:t>
      </w:r>
      <w:r w:rsidRPr="00937B12">
        <w:t xml:space="preserve"> outbreak has resulted in </w:t>
      </w:r>
      <w:r w:rsidRPr="00937B12">
        <w:rPr>
          <w:i/>
        </w:rPr>
        <w:t>flexible working time periods</w:t>
      </w:r>
      <w:r w:rsidRPr="00937B12">
        <w:t xml:space="preserve"> for some employees. The leaders can cater to the issues through various strategies like </w:t>
      </w:r>
      <w:r w:rsidRPr="00937B12">
        <w:rPr>
          <w:i/>
        </w:rPr>
        <w:t>reconstruction of job roles</w:t>
      </w:r>
      <w:r w:rsidRPr="00937B12">
        <w:t xml:space="preserve"> and </w:t>
      </w:r>
      <w:r w:rsidRPr="00937B12">
        <w:rPr>
          <w:i/>
        </w:rPr>
        <w:t>looking after the motivational needs of the employees</w:t>
      </w:r>
      <w:r w:rsidRPr="00937B12">
        <w:t>.</w:t>
      </w:r>
      <w:r w:rsidR="00637810" w:rsidRPr="00937B12">
        <w:t xml:space="preserve"> </w:t>
      </w:r>
      <w:r w:rsidRPr="00937B12">
        <w:t xml:space="preserve">The leaders share the role of ensuring a safe working environment. The driver is considered very important by the organisation especially in the pandemic. </w:t>
      </w:r>
    </w:p>
    <w:p w:rsidR="00B11F96" w:rsidRPr="00937B12" w:rsidRDefault="001B29BD" w:rsidP="00576A63">
      <w:pPr>
        <w:numPr>
          <w:ilvl w:val="0"/>
          <w:numId w:val="3"/>
        </w:numPr>
        <w:pBdr>
          <w:top w:val="nil"/>
          <w:left w:val="nil"/>
          <w:bottom w:val="nil"/>
          <w:right w:val="nil"/>
          <w:between w:val="nil"/>
        </w:pBdr>
        <w:rPr>
          <w:b/>
        </w:rPr>
      </w:pPr>
      <w:r w:rsidRPr="00937B12">
        <w:rPr>
          <w:b/>
        </w:rPr>
        <w:t>Relationship with the co-workers</w:t>
      </w:r>
    </w:p>
    <w:p w:rsidR="00B11F96" w:rsidRPr="00937B12" w:rsidRDefault="001B29BD" w:rsidP="00576A63">
      <w:pPr>
        <w:pBdr>
          <w:top w:val="nil"/>
          <w:left w:val="nil"/>
          <w:bottom w:val="nil"/>
          <w:right w:val="nil"/>
          <w:between w:val="nil"/>
        </w:pBdr>
      </w:pPr>
      <w:r w:rsidRPr="00937B12">
        <w:t>This driver refers to a relationship with an employee when team members have a positive connection to each other, the result is a strong relationship produced with trust. The good and</w:t>
      </w:r>
      <w:r>
        <w:rPr>
          <w:color w:val="000000"/>
        </w:rPr>
        <w:t xml:space="preserve"> </w:t>
      </w:r>
      <w:r w:rsidRPr="00937B12">
        <w:lastRenderedPageBreak/>
        <w:t>healthy relationships with the co-employees are crucial in the work domain to increase employee engagement. As per the study report, a healthy relationship with colleagues helps to support the company culture (</w:t>
      </w:r>
      <w:r w:rsidRPr="00937B12">
        <w:rPr>
          <w:highlight w:val="white"/>
        </w:rPr>
        <w:t>Khodakarami and Dirani, 2020</w:t>
      </w:r>
      <w:r w:rsidRPr="00937B12">
        <w:t xml:space="preserve">). Several firms have encountered issues where the connectivity between the members of a team has been hampered due to the remote working scenario. The strategies that have been implemented by the firm, over time to deal with the pandemic, therefore cater to increase the relationship with the co-workers. </w:t>
      </w:r>
    </w:p>
    <w:p w:rsidR="00B11F96" w:rsidRPr="00937B12" w:rsidRDefault="001B29BD" w:rsidP="00576A63">
      <w:pPr>
        <w:numPr>
          <w:ilvl w:val="0"/>
          <w:numId w:val="2"/>
        </w:numPr>
        <w:pBdr>
          <w:top w:val="nil"/>
          <w:left w:val="nil"/>
          <w:bottom w:val="nil"/>
          <w:right w:val="nil"/>
          <w:between w:val="nil"/>
        </w:pBdr>
        <w:rPr>
          <w:b/>
        </w:rPr>
      </w:pPr>
      <w:r w:rsidRPr="00937B12">
        <w:rPr>
          <w:b/>
        </w:rPr>
        <w:t>Professional development</w:t>
      </w:r>
    </w:p>
    <w:p w:rsidR="00B11F96" w:rsidRPr="00937B12" w:rsidRDefault="001B29BD" w:rsidP="00576A63">
      <w:pPr>
        <w:pBdr>
          <w:top w:val="nil"/>
          <w:left w:val="nil"/>
          <w:bottom w:val="nil"/>
          <w:right w:val="nil"/>
          <w:between w:val="nil"/>
        </w:pBdr>
      </w:pPr>
      <w:r w:rsidRPr="00937B12">
        <w:t>This employee engagement driver refers to the existence of opportunities for growth which are provided by the leaders as well as managers who assist the professional development of employees. It will not only pivotally encourage the team but will also offer the right level of resources to take advantage of those levels of opportunities (</w:t>
      </w:r>
      <w:r w:rsidRPr="00937B12">
        <w:rPr>
          <w:highlight w:val="white"/>
        </w:rPr>
        <w:t xml:space="preserve">Obeidat </w:t>
      </w:r>
      <w:r w:rsidRPr="00937B12">
        <w:rPr>
          <w:i/>
          <w:highlight w:val="white"/>
        </w:rPr>
        <w:t>et al.</w:t>
      </w:r>
      <w:r w:rsidRPr="00937B12">
        <w:rPr>
          <w:highlight w:val="white"/>
        </w:rPr>
        <w:t>, 2019</w:t>
      </w:r>
      <w:r w:rsidRPr="00937B12">
        <w:t>). The strategies help to increase the level of employee engagement in the organisation.</w:t>
      </w:r>
      <w:r w:rsidR="00637810" w:rsidRPr="00937B12">
        <w:t xml:space="preserve"> </w:t>
      </w:r>
      <w:r w:rsidRPr="00937B12">
        <w:t xml:space="preserve">Therefore, in situations such as the pandemic, the driver can effectively help the firm to increase their level of employee engagement, ultimately reducing the communication gap caused due to remote working. </w:t>
      </w:r>
    </w:p>
    <w:p w:rsidR="00B11F96" w:rsidRPr="00937B12" w:rsidRDefault="001B29BD" w:rsidP="00576A63">
      <w:pPr>
        <w:numPr>
          <w:ilvl w:val="0"/>
          <w:numId w:val="1"/>
        </w:numPr>
        <w:pBdr>
          <w:top w:val="nil"/>
          <w:left w:val="nil"/>
          <w:bottom w:val="nil"/>
          <w:right w:val="nil"/>
          <w:between w:val="nil"/>
        </w:pBdr>
        <w:rPr>
          <w:b/>
        </w:rPr>
      </w:pPr>
      <w:r w:rsidRPr="00937B12">
        <w:rPr>
          <w:b/>
        </w:rPr>
        <w:t xml:space="preserve">Utilization </w:t>
      </w:r>
    </w:p>
    <w:p w:rsidR="00B11F96" w:rsidRPr="00937B12" w:rsidRDefault="001B29BD" w:rsidP="00576A63">
      <w:pPr>
        <w:pBdr>
          <w:top w:val="nil"/>
          <w:left w:val="nil"/>
          <w:bottom w:val="nil"/>
          <w:right w:val="nil"/>
          <w:between w:val="nil"/>
        </w:pBdr>
      </w:pPr>
      <w:r w:rsidRPr="00937B12">
        <w:t>This driver refers to the way employees feel an organization is effective to utilize their capabilities in an effective as well as efficient manner. If the employees of the organisation feel their daily task uses their skills and knowledge in an effective manner, it will help to create employee engagement in the business place. For managers, it is crucial to evaluate the responsibilities as well as role of employees to make sure employees of the organization are being effectively utilized in terms of developing and growing a new set of skills (</w:t>
      </w:r>
      <w:r w:rsidRPr="00937B12">
        <w:rPr>
          <w:highlight w:val="white"/>
        </w:rPr>
        <w:t>Khodakarami and Dirani, 2020</w:t>
      </w:r>
      <w:r w:rsidRPr="00937B12">
        <w:t>). Utilization is considered as one of the most important drivers that can increase the level of employee engagement present in the organizational structure.</w:t>
      </w:r>
    </w:p>
    <w:p w:rsidR="00B11F96" w:rsidRPr="00937B12" w:rsidRDefault="001B29BD" w:rsidP="00576A63">
      <w:pPr>
        <w:numPr>
          <w:ilvl w:val="0"/>
          <w:numId w:val="10"/>
        </w:numPr>
        <w:pBdr>
          <w:top w:val="nil"/>
          <w:left w:val="nil"/>
          <w:bottom w:val="nil"/>
          <w:right w:val="nil"/>
          <w:between w:val="nil"/>
        </w:pBdr>
        <w:rPr>
          <w:b/>
        </w:rPr>
      </w:pPr>
      <w:r w:rsidRPr="00937B12">
        <w:rPr>
          <w:b/>
        </w:rPr>
        <w:t>Autonomy</w:t>
      </w:r>
    </w:p>
    <w:p w:rsidR="00B11F96" w:rsidRPr="00937B12" w:rsidRDefault="001B29BD" w:rsidP="00576A63">
      <w:pPr>
        <w:pBdr>
          <w:top w:val="nil"/>
          <w:left w:val="nil"/>
          <w:bottom w:val="nil"/>
          <w:right w:val="nil"/>
          <w:between w:val="nil"/>
        </w:pBdr>
      </w:pPr>
      <w:r w:rsidRPr="00937B12">
        <w:t>In motivating and encouraging people to do their new level of work, the  driver play a vital role. A good level of autonomy in the work domain helps employees to do their job and make decisions in the best manner.</w:t>
      </w:r>
      <w:r w:rsidR="00A27025" w:rsidRPr="00937B12">
        <w:t xml:space="preserve"> </w:t>
      </w:r>
      <w:r w:rsidRPr="00937B12">
        <w:t xml:space="preserve">Various global firms incorporate an autonomic work environment structure. An autonomic work environment increases the motivation satisfaction of the employees, resulting in an increased employee engagement. The operational practices are designed in such a manner that they incorporate the respective driver of employee engagement. </w:t>
      </w:r>
    </w:p>
    <w:p w:rsidR="00B11F96" w:rsidRPr="00937B12" w:rsidRDefault="001B29BD" w:rsidP="00576A63">
      <w:pPr>
        <w:pStyle w:val="Ttulo1"/>
      </w:pPr>
      <w:bookmarkStart w:id="4" w:name="_Toc80280027"/>
      <w:r w:rsidRPr="00937B12">
        <w:lastRenderedPageBreak/>
        <w:t>Evaluates diagnostic tools to measure engagement of employees</w:t>
      </w:r>
      <w:bookmarkEnd w:id="4"/>
    </w:p>
    <w:p w:rsidR="00B11F96" w:rsidRPr="00937B12" w:rsidRDefault="001B29BD" w:rsidP="00576A63">
      <w:pPr>
        <w:pBdr>
          <w:top w:val="nil"/>
          <w:left w:val="nil"/>
          <w:bottom w:val="nil"/>
          <w:right w:val="nil"/>
          <w:between w:val="nil"/>
        </w:pBdr>
      </w:pPr>
      <w:r w:rsidRPr="00937B12">
        <w:t>In order to measure the employee engagement, the below mention tools can use by the management of the modern businesses</w:t>
      </w:r>
    </w:p>
    <w:p w:rsidR="00B11F96" w:rsidRPr="00937B12" w:rsidRDefault="001B29BD" w:rsidP="00576A63">
      <w:pPr>
        <w:pBdr>
          <w:top w:val="nil"/>
          <w:left w:val="nil"/>
          <w:bottom w:val="nil"/>
          <w:right w:val="nil"/>
          <w:between w:val="nil"/>
        </w:pBdr>
      </w:pPr>
      <w:r w:rsidRPr="00937B12">
        <w:t>i)</w:t>
      </w:r>
      <w:r w:rsidR="00637810" w:rsidRPr="00937B12">
        <w:t xml:space="preserve"> </w:t>
      </w:r>
      <w:r w:rsidRPr="00937B12">
        <w:t>“</w:t>
      </w:r>
      <w:r w:rsidRPr="00937B12">
        <w:rPr>
          <w:b/>
        </w:rPr>
        <w:t>Survey of Employees</w:t>
      </w:r>
      <w:r w:rsidRPr="00937B12">
        <w:t>”</w:t>
      </w:r>
    </w:p>
    <w:p w:rsidR="00B11F96" w:rsidRPr="00937B12" w:rsidRDefault="001B29BD" w:rsidP="00576A63">
      <w:pPr>
        <w:pBdr>
          <w:top w:val="nil"/>
          <w:left w:val="nil"/>
          <w:bottom w:val="nil"/>
          <w:right w:val="nil"/>
          <w:between w:val="nil"/>
        </w:pBdr>
      </w:pPr>
      <w:r w:rsidRPr="00937B12">
        <w:t>For obtaining feedback on employee’s attitude as well as feeling, survey is one of the most commonly used tools. For instance, the management can use “survey monkey” third party administrator to enhance employee comfort but often employees are unsure to participate which affects the employee engagement process (</w:t>
      </w:r>
      <w:r w:rsidRPr="00937B12">
        <w:rPr>
          <w:highlight w:val="white"/>
        </w:rPr>
        <w:t>Burnett and Lisk, 2019</w:t>
      </w:r>
      <w:r w:rsidRPr="00937B12">
        <w:t>).</w:t>
      </w:r>
      <w:r w:rsidR="008D40AB" w:rsidRPr="00937B12">
        <w:t xml:space="preserve"> </w:t>
      </w:r>
      <w:r w:rsidRPr="00937B12">
        <w:t xml:space="preserve"> Firstly, conducting the surveys involve much time and resources of the firm, which causes operational resistances and delays. Secondly the surveys are not 100% reliable due to inaccurate responses derived during the surveys. </w:t>
      </w:r>
    </w:p>
    <w:p w:rsidR="00B11F96" w:rsidRPr="00937B12" w:rsidRDefault="001B29BD" w:rsidP="00576A63">
      <w:pPr>
        <w:pBdr>
          <w:top w:val="nil"/>
          <w:left w:val="nil"/>
          <w:bottom w:val="nil"/>
          <w:right w:val="nil"/>
          <w:between w:val="nil"/>
        </w:pBdr>
        <w:rPr>
          <w:b/>
        </w:rPr>
      </w:pPr>
      <w:r w:rsidRPr="00937B12">
        <w:rPr>
          <w:b/>
        </w:rPr>
        <w:t>ii) HR software</w:t>
      </w:r>
    </w:p>
    <w:p w:rsidR="00B11F96" w:rsidRPr="00937B12" w:rsidRDefault="001B29BD" w:rsidP="00576A63">
      <w:pPr>
        <w:pBdr>
          <w:top w:val="nil"/>
          <w:left w:val="nil"/>
          <w:bottom w:val="nil"/>
          <w:right w:val="nil"/>
          <w:between w:val="nil"/>
        </w:pBdr>
      </w:pPr>
      <w:r w:rsidRPr="00937B12">
        <w:t>In order to measure employee satisfaction and collect feedback, modern “HR software” allows organizations to manage employee data in one place. The advantages of using this tool are frequent feedback as well as discussion between employees as well as managers. A good example under this section is the “360 feedback cycle” as it allows employees to ask anyone</w:t>
      </w:r>
      <w:r w:rsidR="00576A63" w:rsidRPr="00937B12">
        <w:t xml:space="preserve"> </w:t>
      </w:r>
      <w:r w:rsidRPr="00937B12">
        <w:t>from managers to higher level authorities to lower level staff for understanding their weakness as well as strength. The 360</w:t>
      </w:r>
      <w:r w:rsidR="002A7F6D" w:rsidRPr="00937B12">
        <w:t>-</w:t>
      </w:r>
      <w:r w:rsidRPr="00937B12">
        <w:t xml:space="preserve"> degree feedback cycle is quite essential when it comes to organisational operations. The feedback helps the firm to derive a clear picture of the </w:t>
      </w:r>
      <w:r w:rsidR="00576A63" w:rsidRPr="00937B12">
        <w:t>employees’</w:t>
      </w:r>
      <w:r w:rsidRPr="00937B12">
        <w:t xml:space="preserve"> engagement level and their views on the organizational structure. The 360</w:t>
      </w:r>
      <w:r w:rsidR="002A7F6D" w:rsidRPr="00937B12">
        <w:t>-</w:t>
      </w:r>
      <w:r w:rsidRPr="00937B12">
        <w:t xml:space="preserve">degree feedback cycle may result in inaccurate evaluation due to the false or vague responses. </w:t>
      </w:r>
    </w:p>
    <w:p w:rsidR="00B11F96" w:rsidRPr="00937B12" w:rsidRDefault="001B29BD" w:rsidP="00576A63">
      <w:pPr>
        <w:pBdr>
          <w:top w:val="nil"/>
          <w:left w:val="nil"/>
          <w:bottom w:val="nil"/>
          <w:right w:val="nil"/>
          <w:between w:val="nil"/>
        </w:pBdr>
      </w:pPr>
      <w:r w:rsidRPr="00937B12">
        <w:rPr>
          <w:b/>
        </w:rPr>
        <w:t>iii) Internal promotion rate</w:t>
      </w:r>
    </w:p>
    <w:p w:rsidR="00B11F96" w:rsidRPr="00937B12" w:rsidRDefault="001B29BD" w:rsidP="00576A63">
      <w:pPr>
        <w:pBdr>
          <w:top w:val="nil"/>
          <w:left w:val="nil"/>
          <w:bottom w:val="nil"/>
          <w:right w:val="nil"/>
          <w:between w:val="nil"/>
        </w:pBdr>
        <w:rPr>
          <w:b/>
        </w:rPr>
      </w:pPr>
      <w:r w:rsidRPr="00937B12">
        <w:t xml:space="preserve">Internal promotion rate can be considered as one of the major diagnostic tools that can diagnose the level of employee engagement. The KPI (Key performance indicator) is considered by the businesses to measure their level of employee engagement. However, the KPI or the tool has certain advantages and certain disadvantages. Mobility and employee retention are two major benefits that the KPI enables the firm to measure. The results derived from the KPI are much more accurate compared to the other tools. </w:t>
      </w:r>
    </w:p>
    <w:p w:rsidR="00B11F96" w:rsidRPr="00937B12" w:rsidRDefault="001B29BD" w:rsidP="00576A63">
      <w:pPr>
        <w:pBdr>
          <w:top w:val="nil"/>
          <w:left w:val="nil"/>
          <w:bottom w:val="nil"/>
          <w:right w:val="nil"/>
          <w:between w:val="nil"/>
        </w:pBdr>
        <w:rPr>
          <w:b/>
        </w:rPr>
      </w:pPr>
      <w:r w:rsidRPr="00937B12">
        <w:rPr>
          <w:b/>
        </w:rPr>
        <w:t>iv) Use of People analytical tools</w:t>
      </w:r>
    </w:p>
    <w:p w:rsidR="00B11F96" w:rsidRPr="00937B12" w:rsidRDefault="001B29BD" w:rsidP="00576A63">
      <w:pPr>
        <w:pBdr>
          <w:top w:val="nil"/>
          <w:left w:val="nil"/>
          <w:bottom w:val="nil"/>
          <w:right w:val="nil"/>
          <w:between w:val="nil"/>
        </w:pBdr>
      </w:pPr>
      <w:r w:rsidRPr="00937B12">
        <w:t>In order to create employee engagement, it is crucial to understand the employee, “people analytics tools” (Python, excel, SPPS, CPLEX) is one of pivotal tools to understand employee insights. However, the installation costs of such tools are highly costly but help to obtain valuable feedback to retain and attract the best talent (</w:t>
      </w:r>
      <w:r w:rsidRPr="00937B12">
        <w:rPr>
          <w:highlight w:val="white"/>
        </w:rPr>
        <w:t xml:space="preserve">Morgan, 2017). The analysis </w:t>
      </w:r>
      <w:r w:rsidRPr="00937B12">
        <w:rPr>
          <w:highlight w:val="white"/>
        </w:rPr>
        <w:lastRenderedPageBreak/>
        <w:t xml:space="preserve">tools enable the firms to evaluate their employee engagement, but the methods of data collection usually take time. However, these tools are used by the organisations. </w:t>
      </w:r>
    </w:p>
    <w:p w:rsidR="00B11F96" w:rsidRPr="00937B12" w:rsidRDefault="001B29BD" w:rsidP="00576A63">
      <w:pPr>
        <w:pStyle w:val="Ttulo1"/>
      </w:pPr>
      <w:bookmarkStart w:id="5" w:name="_Toc80280028"/>
      <w:r w:rsidRPr="00937B12">
        <w:t>Constructs an employee value proposition from the ideas and analysis previously</w:t>
      </w:r>
      <w:bookmarkEnd w:id="5"/>
    </w:p>
    <w:p w:rsidR="00B11F96" w:rsidRDefault="001B29BD" w:rsidP="00576A63">
      <w:r>
        <w:t xml:space="preserve">Employee proposition value refers to the set of monetary or non-monetary benefits received by an employee on behalf of the firm. The modern definition of EVP (Employee Value Proposition) states that it can be referred to as an ecosystem that is based on support, values and recognition that is provided to the employees by the organisation </w:t>
      </w:r>
      <w:r>
        <w:rPr>
          <w:highlight w:val="white"/>
        </w:rPr>
        <w:t>(Goswami, 2015)</w:t>
      </w:r>
      <w:r>
        <w:t xml:space="preserve">. </w:t>
      </w:r>
    </w:p>
    <w:p w:rsidR="00B11F96" w:rsidRDefault="00B11F96" w:rsidP="00576A63"/>
    <w:p w:rsidR="00B11F96" w:rsidRDefault="001B29BD" w:rsidP="00576A63">
      <w:pPr>
        <w:rPr>
          <w:b/>
        </w:rPr>
      </w:pPr>
      <w:r>
        <w:rPr>
          <w:b/>
        </w:rPr>
        <w:t>Elements of Employee Value Proposition</w:t>
      </w:r>
    </w:p>
    <w:p w:rsidR="00B11F96" w:rsidRDefault="001B29BD" w:rsidP="00576A63">
      <w:pPr>
        <w:rPr>
          <w:b/>
        </w:rPr>
      </w:pPr>
      <w:r>
        <w:rPr>
          <w:b/>
          <w:noProof/>
          <w:lang w:val="en-US"/>
        </w:rPr>
        <w:drawing>
          <wp:inline distT="0" distB="0" distL="0" distR="0">
            <wp:extent cx="5734050" cy="24288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4050" cy="2428875"/>
                    </a:xfrm>
                    <a:prstGeom prst="rect">
                      <a:avLst/>
                    </a:prstGeom>
                    <a:ln/>
                  </pic:spPr>
                </pic:pic>
              </a:graphicData>
            </a:graphic>
          </wp:inline>
        </w:drawing>
      </w:r>
    </w:p>
    <w:p w:rsidR="00B11F96" w:rsidRDefault="001B29BD" w:rsidP="00576A63">
      <w:pPr>
        <w:jc w:val="center"/>
        <w:rPr>
          <w:b/>
        </w:rPr>
      </w:pPr>
      <w:r>
        <w:rPr>
          <w:b/>
        </w:rPr>
        <w:t>Figure 1: Elements of Employee Value Proposition</w:t>
      </w:r>
    </w:p>
    <w:p w:rsidR="00B11F96" w:rsidRDefault="001B29BD" w:rsidP="00576A63">
      <w:pPr>
        <w:jc w:val="center"/>
      </w:pPr>
      <w:r>
        <w:t xml:space="preserve">(Source: </w:t>
      </w:r>
      <w:r>
        <w:rPr>
          <w:highlight w:val="white"/>
        </w:rPr>
        <w:t>Bagienska, 2018)</w:t>
      </w:r>
    </w:p>
    <w:p w:rsidR="00B11F96" w:rsidRDefault="001B29BD" w:rsidP="00576A63">
      <w:r>
        <w:t xml:space="preserve">The following are the components that hold up the total employee value proposition factor of an organisation. These components act as the building block of employee value proposition of an organisation. </w:t>
      </w:r>
    </w:p>
    <w:p w:rsidR="00B11F96" w:rsidRDefault="001B29BD" w:rsidP="00576A63">
      <w:pPr>
        <w:numPr>
          <w:ilvl w:val="0"/>
          <w:numId w:val="6"/>
        </w:numPr>
        <w:rPr>
          <w:b/>
        </w:rPr>
      </w:pPr>
      <w:r>
        <w:rPr>
          <w:b/>
        </w:rPr>
        <w:t>Compensation</w:t>
      </w:r>
    </w:p>
    <w:p w:rsidR="00B11F96" w:rsidRPr="00E4507C" w:rsidRDefault="001B29BD" w:rsidP="00D14128">
      <w:pPr>
        <w:ind w:left="720"/>
      </w:pPr>
      <w:r w:rsidRPr="00E4507C">
        <w:t xml:space="preserve">Compensation can be referred to as the additional benefit that an employee receives due to being subjected to additional responsibility or operational activities. In the pandemic </w:t>
      </w:r>
      <w:r w:rsidR="00576A63" w:rsidRPr="00E4507C">
        <w:t>‘</w:t>
      </w:r>
      <w:r w:rsidRPr="00E4507C">
        <w:t>compensation</w:t>
      </w:r>
      <w:r w:rsidR="00576A63" w:rsidRPr="00E4507C">
        <w:t>’</w:t>
      </w:r>
      <w:r w:rsidRPr="00E4507C">
        <w:t xml:space="preserve"> can be considered as one of the major value </w:t>
      </w:r>
      <w:r w:rsidR="00576A63" w:rsidRPr="00E4507C">
        <w:t>propositions that ensure</w:t>
      </w:r>
      <w:r w:rsidRPr="00E4507C">
        <w:t xml:space="preserve"> the engagement of the employees. Examples of compensations include salary, bonuses, appraisal and such other similar compensation tends to increase the employee’s motivation and thus ensures smooth organisational operation even during periods with increased workload. Business operations have experienced several reduced operational expenses due to remote working. These remains from the reduced</w:t>
      </w:r>
      <w:r>
        <w:rPr>
          <w:color w:val="FF0000"/>
        </w:rPr>
        <w:t xml:space="preserve"> </w:t>
      </w:r>
      <w:r w:rsidRPr="00E4507C">
        <w:lastRenderedPageBreak/>
        <w:t xml:space="preserve">expenses are used by firms to compensate the employees for the operational inconvenience caused due to pandemic. </w:t>
      </w:r>
    </w:p>
    <w:p w:rsidR="00B11F96" w:rsidRPr="00E4507C" w:rsidRDefault="001B29BD" w:rsidP="00D14128">
      <w:pPr>
        <w:numPr>
          <w:ilvl w:val="0"/>
          <w:numId w:val="6"/>
        </w:numPr>
        <w:rPr>
          <w:b/>
        </w:rPr>
      </w:pPr>
      <w:r w:rsidRPr="00E4507C">
        <w:rPr>
          <w:b/>
        </w:rPr>
        <w:t>Benefits</w:t>
      </w:r>
    </w:p>
    <w:p w:rsidR="00B11F96" w:rsidRPr="00E4507C" w:rsidRDefault="00D14128" w:rsidP="00D14128">
      <w:r w:rsidRPr="00E4507C">
        <w:t xml:space="preserve">            </w:t>
      </w:r>
      <w:r w:rsidR="001B29BD" w:rsidRPr="00E4507C">
        <w:t xml:space="preserve">Benefits or employee benefits refer to the Non-wage compensation that is received by </w:t>
      </w:r>
      <w:r w:rsidRPr="00E4507C">
        <w:t xml:space="preserve">                           </w:t>
      </w:r>
      <w:r w:rsidR="001B29BD" w:rsidRPr="00E4507C">
        <w:t>the employees of an organisation.  The employee benefits include holidays, time offs, insurance, retirement policies, and a proper work to life balance. The non-wage remunerations or compensations can also motivate the employees and increase their level of engagement towards the organisational activities. Several firms implement the non-wage remunerations in order to motivate the employees. For instance, the pandemic has resulted in increased healthcare awareness among the general population</w:t>
      </w:r>
      <w:r w:rsidR="00576A63" w:rsidRPr="00E4507C">
        <w:t xml:space="preserve"> (</w:t>
      </w:r>
      <w:r w:rsidR="00576A63" w:rsidRPr="00E4507C">
        <w:rPr>
          <w:highlight w:val="white"/>
        </w:rPr>
        <w:t xml:space="preserve">Obeidat </w:t>
      </w:r>
      <w:r w:rsidR="00576A63" w:rsidRPr="00E4507C">
        <w:rPr>
          <w:i/>
          <w:highlight w:val="white"/>
        </w:rPr>
        <w:t>et al.</w:t>
      </w:r>
      <w:r w:rsidR="00576A63" w:rsidRPr="00E4507C">
        <w:rPr>
          <w:highlight w:val="white"/>
        </w:rPr>
        <w:t>, 2019</w:t>
      </w:r>
      <w:r w:rsidR="00576A63" w:rsidRPr="00E4507C">
        <w:t>)</w:t>
      </w:r>
      <w:r w:rsidR="001B29BD" w:rsidRPr="00E4507C">
        <w:t xml:space="preserve">. </w:t>
      </w:r>
    </w:p>
    <w:p w:rsidR="00B11F96" w:rsidRPr="00E4507C" w:rsidRDefault="001B29BD" w:rsidP="00D14128">
      <w:pPr>
        <w:numPr>
          <w:ilvl w:val="0"/>
          <w:numId w:val="6"/>
        </w:numPr>
        <w:rPr>
          <w:b/>
        </w:rPr>
      </w:pPr>
      <w:r w:rsidRPr="00E4507C">
        <w:rPr>
          <w:b/>
        </w:rPr>
        <w:t>Personal Development</w:t>
      </w:r>
    </w:p>
    <w:p w:rsidR="00B11F96" w:rsidRPr="00E4507C" w:rsidRDefault="001B29BD" w:rsidP="00D14128">
      <w:pPr>
        <w:ind w:left="720"/>
      </w:pPr>
      <w:r w:rsidRPr="00E4507C">
        <w:t xml:space="preserve"> Personal development of the employees results in their professional growth and thus increases their position in the organisation. Personal development ultimately increases the level of employee engagement encountered by the firm. </w:t>
      </w:r>
    </w:p>
    <w:p w:rsidR="00B11F96" w:rsidRPr="00E4507C" w:rsidRDefault="001B29BD" w:rsidP="00576A63">
      <w:pPr>
        <w:numPr>
          <w:ilvl w:val="0"/>
          <w:numId w:val="6"/>
        </w:numPr>
        <w:rPr>
          <w:b/>
        </w:rPr>
      </w:pPr>
      <w:r w:rsidRPr="00E4507C">
        <w:rPr>
          <w:b/>
        </w:rPr>
        <w:t>Work environment</w:t>
      </w:r>
    </w:p>
    <w:p w:rsidR="00B11F96" w:rsidRPr="00E4507C" w:rsidRDefault="001B29BD" w:rsidP="00576A63">
      <w:pPr>
        <w:ind w:left="720"/>
      </w:pPr>
      <w:r w:rsidRPr="00E4507C">
        <w:t xml:space="preserve">Work environment acts as an important component of the employee value proposition since it helps an organization to influence and implement a well-developed workplace relationship, efficiency, collaboration and employee health </w:t>
      </w:r>
      <w:r w:rsidRPr="00E4507C">
        <w:rPr>
          <w:highlight w:val="white"/>
        </w:rPr>
        <w:t>(Michael and Popov, 2016)</w:t>
      </w:r>
      <w:r w:rsidRPr="00E4507C">
        <w:t>.</w:t>
      </w:r>
      <w:r w:rsidR="00423BCF" w:rsidRPr="00E4507C">
        <w:t xml:space="preserve"> </w:t>
      </w:r>
      <w:r w:rsidRPr="00E4507C">
        <w:t xml:space="preserve">A good working environment means the provision of all the amenities and facilities in the workplace so that the employees can work in comfort and in an effective manner. Most modern businesses understand the impact that a healthy and communicative work environment offers to the organisation. </w:t>
      </w:r>
    </w:p>
    <w:p w:rsidR="00B11F96" w:rsidRPr="00E4507C" w:rsidRDefault="001B29BD" w:rsidP="00576A63">
      <w:pPr>
        <w:numPr>
          <w:ilvl w:val="0"/>
          <w:numId w:val="8"/>
        </w:numPr>
        <w:rPr>
          <w:b/>
        </w:rPr>
      </w:pPr>
      <w:r w:rsidRPr="00E4507C">
        <w:rPr>
          <w:b/>
        </w:rPr>
        <w:t>Culture</w:t>
      </w:r>
    </w:p>
    <w:p w:rsidR="00B11F96" w:rsidRPr="00E4507C" w:rsidRDefault="001B29BD" w:rsidP="00BF6E8B">
      <w:pPr>
        <w:ind w:left="720"/>
        <w:rPr>
          <w:b/>
        </w:rPr>
      </w:pPr>
      <w:r w:rsidRPr="00E4507C">
        <w:t xml:space="preserve">In order to develop and maintain a healthy working atmosphere, the management identifies the corporate culture prevailing in the firm and understands the ways in which the culture influences the organisational workings </w:t>
      </w:r>
      <w:r w:rsidRPr="00E4507C">
        <w:rPr>
          <w:highlight w:val="white"/>
        </w:rPr>
        <w:t xml:space="preserve">(Ogbeibu </w:t>
      </w:r>
      <w:r w:rsidRPr="00E4507C">
        <w:rPr>
          <w:i/>
          <w:highlight w:val="white"/>
        </w:rPr>
        <w:t>et al.,</w:t>
      </w:r>
      <w:r w:rsidRPr="00E4507C">
        <w:rPr>
          <w:highlight w:val="white"/>
        </w:rPr>
        <w:t xml:space="preserve"> 2020)</w:t>
      </w:r>
      <w:r w:rsidRPr="00E4507C">
        <w:t xml:space="preserve">. A good organisational culture can increase the motivation and job performance of the employees, whereas a bad organisational culture adversely affects employee job satisfaction. Therefore, while developing the employee value proposition (EVP), most global businesses consider the influence that the organisational culture has on its operations. </w:t>
      </w:r>
    </w:p>
    <w:p w:rsidR="00B11F96" w:rsidRPr="00E4507C" w:rsidRDefault="001B29BD" w:rsidP="00576A63">
      <w:pPr>
        <w:jc w:val="left"/>
        <w:rPr>
          <w:b/>
        </w:rPr>
      </w:pPr>
      <w:bookmarkStart w:id="6" w:name="_heading=h.tyjcwt" w:colFirst="0" w:colLast="0"/>
      <w:bookmarkEnd w:id="6"/>
      <w:r w:rsidRPr="00E4507C">
        <w:br w:type="page"/>
      </w:r>
    </w:p>
    <w:p w:rsidR="00B11F96" w:rsidRDefault="001B29BD" w:rsidP="00576A63">
      <w:pPr>
        <w:pStyle w:val="Ttulo1"/>
      </w:pPr>
      <w:bookmarkStart w:id="7" w:name="_Toc80280029"/>
      <w:r>
        <w:lastRenderedPageBreak/>
        <w:t>Strategies to raise levels of engagement</w:t>
      </w:r>
      <w:bookmarkEnd w:id="7"/>
    </w:p>
    <w:p w:rsidR="00B11F96" w:rsidRDefault="001B29BD" w:rsidP="00576A63">
      <w:pPr>
        <w:rPr>
          <w:color w:val="FF0000"/>
        </w:rPr>
      </w:pPr>
      <w:r>
        <w:t xml:space="preserve">Low levels of employee engagement are considered as a major problem by the respective organisational managements </w:t>
      </w:r>
      <w:r>
        <w:rPr>
          <w:highlight w:val="white"/>
        </w:rPr>
        <w:t>(Sun and Bunchapattanasakda, 2019)</w:t>
      </w:r>
      <w:r>
        <w:t>. Therefore in order to raise the employee engagement levels, firms consider pre-strateg</w:t>
      </w:r>
      <w:r w:rsidR="00A91C06">
        <w:t>y</w:t>
      </w:r>
      <w:r>
        <w:t xml:space="preserve"> action plan in order to counter the issue. </w:t>
      </w:r>
    </w:p>
    <w:p w:rsidR="00B11F96" w:rsidRDefault="001B29BD" w:rsidP="00576A63">
      <w:pPr>
        <w:numPr>
          <w:ilvl w:val="0"/>
          <w:numId w:val="5"/>
        </w:numPr>
        <w:rPr>
          <w:b/>
        </w:rPr>
      </w:pPr>
      <w:r>
        <w:rPr>
          <w:b/>
        </w:rPr>
        <w:t>Regular communication between the employees</w:t>
      </w:r>
    </w:p>
    <w:p w:rsidR="00B11F96" w:rsidRDefault="001B29BD" w:rsidP="00576A63">
      <w:pPr>
        <w:ind w:left="720"/>
      </w:pPr>
      <w:r>
        <w:t xml:space="preserve">The organisational operations of an organisation include the transfer of ideas on a daily basis. The employees, who do not take active part in the communication, often make errors in their part of the organisation's operations in order to increase the level of employee engagement, firms must establish an effective organisational communication system. </w:t>
      </w:r>
    </w:p>
    <w:p w:rsidR="00B11F96" w:rsidRDefault="001B29BD" w:rsidP="00576A63">
      <w:pPr>
        <w:numPr>
          <w:ilvl w:val="0"/>
          <w:numId w:val="7"/>
        </w:numPr>
        <w:rPr>
          <w:b/>
        </w:rPr>
      </w:pPr>
      <w:r>
        <w:rPr>
          <w:b/>
        </w:rPr>
        <w:t>Invite Feedbacks, to act upon</w:t>
      </w:r>
    </w:p>
    <w:p w:rsidR="00B11F96" w:rsidRDefault="001B29BD" w:rsidP="00576A63">
      <w:pPr>
        <w:ind w:left="720"/>
      </w:pPr>
      <w:r>
        <w:t xml:space="preserve">Often formal feedback channels are set up by firms, in order to make note of the employee’s feedback. The genuine issues and the problems in the organizational culture and work environment are then identified by the leadership of the firms and thus acted upon. This helps firms to increase their employee engagement level and also establish a good work atmosphere. </w:t>
      </w:r>
    </w:p>
    <w:p w:rsidR="00B11F96" w:rsidRDefault="001B29BD" w:rsidP="00576A63">
      <w:pPr>
        <w:numPr>
          <w:ilvl w:val="0"/>
          <w:numId w:val="9"/>
        </w:numPr>
        <w:rPr>
          <w:b/>
        </w:rPr>
      </w:pPr>
      <w:r>
        <w:rPr>
          <w:b/>
        </w:rPr>
        <w:t>Sharing the organisational goals with the employees</w:t>
      </w:r>
    </w:p>
    <w:p w:rsidR="00B11F96" w:rsidRDefault="001B29BD" w:rsidP="00576A63">
      <w:pPr>
        <w:ind w:left="720"/>
      </w:pPr>
      <w:r>
        <w:t>The organisational goals are very crucial for a firm to determine.</w:t>
      </w:r>
      <w:r w:rsidR="00BF6E8B">
        <w:t xml:space="preserve"> </w:t>
      </w:r>
      <w:r w:rsidR="00576A63">
        <w:t>Most modern businesses</w:t>
      </w:r>
      <w:r>
        <w:t xml:space="preserve"> consider the importance of sharing their organizational goals as an attempt to increase the level of employee engagement. An increased level of employee engagement also creates an inlet for fresh ideas within the firm </w:t>
      </w:r>
      <w:r>
        <w:rPr>
          <w:highlight w:val="white"/>
        </w:rPr>
        <w:t>(Kaliannan and Adjovu, 2015)</w:t>
      </w:r>
      <w:r>
        <w:t xml:space="preserve">. </w:t>
      </w:r>
    </w:p>
    <w:p w:rsidR="00E4507C" w:rsidRDefault="00E4507C" w:rsidP="00576A63">
      <w:pPr>
        <w:pStyle w:val="Ttulo1"/>
      </w:pPr>
      <w:bookmarkStart w:id="8" w:name="_Toc80280030"/>
    </w:p>
    <w:p w:rsidR="00E4507C" w:rsidRDefault="00E4507C" w:rsidP="00576A63">
      <w:pPr>
        <w:pStyle w:val="Ttulo1"/>
      </w:pPr>
    </w:p>
    <w:p w:rsidR="00E4507C" w:rsidRDefault="00E4507C" w:rsidP="00576A63">
      <w:pPr>
        <w:pStyle w:val="Ttulo1"/>
      </w:pPr>
    </w:p>
    <w:p w:rsidR="00E4507C" w:rsidRDefault="00E4507C" w:rsidP="00576A63">
      <w:pPr>
        <w:pStyle w:val="Ttulo1"/>
      </w:pPr>
    </w:p>
    <w:p w:rsidR="00B11F96" w:rsidRDefault="001B29BD" w:rsidP="00576A63">
      <w:pPr>
        <w:pStyle w:val="Ttulo1"/>
      </w:pPr>
      <w:r>
        <w:t>Conclusion</w:t>
      </w:r>
      <w:bookmarkEnd w:id="8"/>
    </w:p>
    <w:p w:rsidR="00B11F96" w:rsidRDefault="001B29BD" w:rsidP="00576A63">
      <w:r>
        <w:t xml:space="preserve">The people management is therefore an important aspect that helps an organization to increase their work optimality. People management of the human resource management helps an organisation to cater to the needs and satisfaction of the employees. Therefore, this academic research about the factors influences the employee engagement of </w:t>
      </w:r>
      <w:r w:rsidR="00576A63">
        <w:t>the modern businesses</w:t>
      </w:r>
      <w:r>
        <w:t xml:space="preserve">. The study includes a brief discussion about the drivers that influence employee engagement. The diagnostic tools to measure the employee engagement tools are also included in the academic research. EVP or employee value proposition and the different components that result in its formation are also discussed. However after conducting the analysis about employee engagement, the report concludes with the different strategies that help increase the employee engagement level of an organisation. </w:t>
      </w:r>
    </w:p>
    <w:p w:rsidR="00B11F96" w:rsidRDefault="00B11F96" w:rsidP="00576A63">
      <w:pPr>
        <w:pBdr>
          <w:top w:val="nil"/>
          <w:left w:val="nil"/>
          <w:bottom w:val="nil"/>
          <w:right w:val="nil"/>
          <w:between w:val="nil"/>
        </w:pBdr>
        <w:rPr>
          <w:color w:val="73737D"/>
        </w:rPr>
      </w:pPr>
    </w:p>
    <w:p w:rsidR="00B11F96" w:rsidRDefault="001B29BD" w:rsidP="00576A63">
      <w:pPr>
        <w:jc w:val="left"/>
        <w:rPr>
          <w:b/>
        </w:rPr>
      </w:pPr>
      <w:r>
        <w:br w:type="page"/>
      </w:r>
    </w:p>
    <w:p w:rsidR="00B11F96" w:rsidRDefault="001B29BD" w:rsidP="00576A63">
      <w:pPr>
        <w:pStyle w:val="Ttulo1"/>
      </w:pPr>
      <w:bookmarkStart w:id="9" w:name="_Toc80280031"/>
      <w:r>
        <w:lastRenderedPageBreak/>
        <w:t>Reference List</w:t>
      </w:r>
      <w:bookmarkEnd w:id="9"/>
    </w:p>
    <w:p w:rsidR="00576A63" w:rsidRDefault="00576A63" w:rsidP="00576A63">
      <w:pPr>
        <w:rPr>
          <w:highlight w:val="white"/>
        </w:rPr>
      </w:pPr>
      <w:r>
        <w:rPr>
          <w:highlight w:val="white"/>
        </w:rPr>
        <w:t>Antony, M.R., 2018. Paradigm shift in employee engagement–A critical analysis on the drivers of employee engagement. </w:t>
      </w:r>
      <w:r>
        <w:rPr>
          <w:i/>
          <w:highlight w:val="white"/>
        </w:rPr>
        <w:t>International Journal of Information, Business and Management</w:t>
      </w:r>
      <w:r>
        <w:rPr>
          <w:highlight w:val="white"/>
        </w:rPr>
        <w:t>, </w:t>
      </w:r>
      <w:r>
        <w:rPr>
          <w:i/>
          <w:highlight w:val="white"/>
        </w:rPr>
        <w:t>10</w:t>
      </w:r>
      <w:r>
        <w:rPr>
          <w:highlight w:val="white"/>
        </w:rPr>
        <w:t>(2), pp.32-46</w:t>
      </w:r>
    </w:p>
    <w:p w:rsidR="00576A63" w:rsidRDefault="00576A63" w:rsidP="00576A63">
      <w:pPr>
        <w:rPr>
          <w:highlight w:val="white"/>
        </w:rPr>
      </w:pPr>
      <w:r>
        <w:rPr>
          <w:highlight w:val="white"/>
        </w:rPr>
        <w:t xml:space="preserve">Bagienska, A., 2018. Employee Value Proposition as a tool of Employer Branding. </w:t>
      </w:r>
      <w:r>
        <w:rPr>
          <w:i/>
          <w:highlight w:val="white"/>
        </w:rPr>
        <w:t>Economic and Social Development: Book of Proceedings</w:t>
      </w:r>
      <w:r>
        <w:rPr>
          <w:highlight w:val="white"/>
        </w:rPr>
        <w:t>, pp.370-379.</w:t>
      </w:r>
    </w:p>
    <w:p w:rsidR="00576A63" w:rsidRDefault="00576A63" w:rsidP="00576A63">
      <w:pPr>
        <w:rPr>
          <w:highlight w:val="white"/>
        </w:rPr>
      </w:pPr>
      <w:r>
        <w:rPr>
          <w:highlight w:val="white"/>
        </w:rPr>
        <w:t>Burnett, J.R. and Lisk, T.C., 2019. The future of employee engagement: Real-time monitoring and digital tools for engaging a workforce. </w:t>
      </w:r>
      <w:r>
        <w:rPr>
          <w:i/>
          <w:highlight w:val="white"/>
        </w:rPr>
        <w:t>International Studies of Management &amp; Organization</w:t>
      </w:r>
      <w:r>
        <w:rPr>
          <w:highlight w:val="white"/>
        </w:rPr>
        <w:t>, </w:t>
      </w:r>
      <w:r>
        <w:rPr>
          <w:i/>
          <w:highlight w:val="white"/>
        </w:rPr>
        <w:t>49</w:t>
      </w:r>
      <w:r>
        <w:rPr>
          <w:highlight w:val="white"/>
        </w:rPr>
        <w:t>(1), pp.108-119.</w:t>
      </w:r>
    </w:p>
    <w:p w:rsidR="00576A63" w:rsidRDefault="00576A63" w:rsidP="00576A63">
      <w:pPr>
        <w:rPr>
          <w:highlight w:val="white"/>
        </w:rPr>
      </w:pPr>
      <w:r>
        <w:rPr>
          <w:highlight w:val="white"/>
        </w:rPr>
        <w:t>Falola, H.O., Ogueyungbo, O.O. and Ojebola, O.O., 2020. Influence of Workplace management initiatives on talent engagement in the Nigerian pharmaceutical industry. </w:t>
      </w:r>
      <w:r>
        <w:rPr>
          <w:i/>
          <w:highlight w:val="white"/>
        </w:rPr>
        <w:t>F1000Research</w:t>
      </w:r>
      <w:r>
        <w:rPr>
          <w:highlight w:val="white"/>
        </w:rPr>
        <w:t>, </w:t>
      </w:r>
      <w:r>
        <w:rPr>
          <w:i/>
          <w:highlight w:val="white"/>
        </w:rPr>
        <w:t>9</w:t>
      </w:r>
      <w:r>
        <w:rPr>
          <w:highlight w:val="white"/>
        </w:rPr>
        <w:t>.</w:t>
      </w:r>
    </w:p>
    <w:p w:rsidR="00576A63" w:rsidRDefault="00576A63" w:rsidP="00576A63">
      <w:pPr>
        <w:rPr>
          <w:highlight w:val="white"/>
        </w:rPr>
      </w:pPr>
      <w:r>
        <w:rPr>
          <w:highlight w:val="white"/>
        </w:rPr>
        <w:t xml:space="preserve">Goswami, P., 2015. Employee value proposition: a tool for employment branding. </w:t>
      </w:r>
      <w:r>
        <w:rPr>
          <w:i/>
          <w:highlight w:val="white"/>
        </w:rPr>
        <w:t>International Journal of Scientific and Research Publications</w:t>
      </w:r>
      <w:r>
        <w:rPr>
          <w:highlight w:val="white"/>
        </w:rPr>
        <w:t xml:space="preserve">, </w:t>
      </w:r>
      <w:r>
        <w:rPr>
          <w:i/>
          <w:highlight w:val="white"/>
        </w:rPr>
        <w:t>5</w:t>
      </w:r>
      <w:r>
        <w:rPr>
          <w:highlight w:val="white"/>
        </w:rPr>
        <w:t>(12), pp.263-264.</w:t>
      </w:r>
    </w:p>
    <w:p w:rsidR="00576A63" w:rsidRDefault="00576A63" w:rsidP="00576A63">
      <w:pPr>
        <w:rPr>
          <w:highlight w:val="white"/>
        </w:rPr>
      </w:pPr>
      <w:r>
        <w:rPr>
          <w:highlight w:val="white"/>
        </w:rPr>
        <w:t xml:space="preserve">Kaliannan, M. and Adjovu, S.N., 2015. Effective employee engagement and organizational success: a case study. </w:t>
      </w:r>
      <w:r>
        <w:rPr>
          <w:i/>
          <w:highlight w:val="white"/>
        </w:rPr>
        <w:t>Procedia-Social and Behavioral Sciences</w:t>
      </w:r>
      <w:r>
        <w:rPr>
          <w:highlight w:val="white"/>
        </w:rPr>
        <w:t xml:space="preserve">, </w:t>
      </w:r>
      <w:r>
        <w:rPr>
          <w:i/>
          <w:highlight w:val="white"/>
        </w:rPr>
        <w:t>172</w:t>
      </w:r>
      <w:r>
        <w:rPr>
          <w:highlight w:val="white"/>
        </w:rPr>
        <w:t>, pp.161-168.</w:t>
      </w:r>
    </w:p>
    <w:p w:rsidR="00576A63" w:rsidRDefault="00576A63" w:rsidP="00576A63">
      <w:pPr>
        <w:rPr>
          <w:highlight w:val="white"/>
        </w:rPr>
      </w:pPr>
      <w:r>
        <w:rPr>
          <w:highlight w:val="white"/>
        </w:rPr>
        <w:t>Khodakarami, N. and Dirani, K., 2020. Drivers of employee engagement: Differences by work area and gender. </w:t>
      </w:r>
      <w:r>
        <w:rPr>
          <w:i/>
          <w:highlight w:val="white"/>
        </w:rPr>
        <w:t>Industrial and Commercial Training</w:t>
      </w:r>
      <w:r>
        <w:rPr>
          <w:highlight w:val="white"/>
        </w:rPr>
        <w:t>.</w:t>
      </w:r>
    </w:p>
    <w:p w:rsidR="00576A63" w:rsidRDefault="00576A63" w:rsidP="00576A63">
      <w:pPr>
        <w:rPr>
          <w:highlight w:val="white"/>
        </w:rPr>
      </w:pPr>
      <w:r>
        <w:rPr>
          <w:highlight w:val="white"/>
        </w:rPr>
        <w:t xml:space="preserve">Michael, B. and Popov, M., 2016. The failure of theory to predict the way public sector organisation responds to its organisational environment and the need for a mosaic-view of organisational theory. </w:t>
      </w:r>
      <w:r>
        <w:rPr>
          <w:i/>
          <w:highlight w:val="white"/>
        </w:rPr>
        <w:t>Public Organization Review</w:t>
      </w:r>
      <w:r>
        <w:rPr>
          <w:highlight w:val="white"/>
        </w:rPr>
        <w:t xml:space="preserve">, </w:t>
      </w:r>
      <w:r>
        <w:rPr>
          <w:i/>
          <w:highlight w:val="white"/>
        </w:rPr>
        <w:t>16</w:t>
      </w:r>
      <w:r>
        <w:rPr>
          <w:highlight w:val="white"/>
        </w:rPr>
        <w:t>(1), pp.55-75.</w:t>
      </w:r>
    </w:p>
    <w:p w:rsidR="00576A63" w:rsidRDefault="00576A63" w:rsidP="00576A63">
      <w:pPr>
        <w:rPr>
          <w:highlight w:val="white"/>
        </w:rPr>
      </w:pPr>
      <w:r>
        <w:rPr>
          <w:highlight w:val="white"/>
        </w:rPr>
        <w:t>Morgan, J., 2017. </w:t>
      </w:r>
      <w:r>
        <w:rPr>
          <w:i/>
          <w:highlight w:val="white"/>
        </w:rPr>
        <w:t>The employee experience advantage: How to win the war for talent by giving employees the workspaces they want, the tools they need, and a culture they can celebrate</w:t>
      </w:r>
      <w:r>
        <w:rPr>
          <w:highlight w:val="white"/>
        </w:rPr>
        <w:t>. John Wiley &amp; Sons.</w:t>
      </w:r>
    </w:p>
    <w:p w:rsidR="00576A63" w:rsidRDefault="00576A63" w:rsidP="00576A63">
      <w:pPr>
        <w:rPr>
          <w:highlight w:val="white"/>
        </w:rPr>
      </w:pPr>
      <w:r>
        <w:rPr>
          <w:highlight w:val="white"/>
        </w:rPr>
        <w:t>Obeidat, B., Al-Khateeb, A. and Abdallah, A.A., 2019. Reviewing the mediating role of work/life balance and motivational drivers of employee engagement on the relationship between talent management and organization performance. Journal of Social Sciences (COES&amp;RJ-JSS), 8(2), pp.306-326..</w:t>
      </w:r>
    </w:p>
    <w:p w:rsidR="00576A63" w:rsidRDefault="00576A63" w:rsidP="00576A63">
      <w:pPr>
        <w:rPr>
          <w:highlight w:val="white"/>
        </w:rPr>
      </w:pPr>
      <w:r>
        <w:rPr>
          <w:highlight w:val="white"/>
        </w:rPr>
        <w:t xml:space="preserve">Ogbeibu, S., Senadjki, A. and Gaskin, J., 2020. Organisational cultures and the evoked effects of leader ability on employee creativity. </w:t>
      </w:r>
      <w:r>
        <w:rPr>
          <w:i/>
          <w:highlight w:val="white"/>
        </w:rPr>
        <w:t>American Journal of Business</w:t>
      </w:r>
      <w:r>
        <w:rPr>
          <w:highlight w:val="white"/>
        </w:rPr>
        <w:t>.</w:t>
      </w:r>
    </w:p>
    <w:p w:rsidR="00576A63" w:rsidRDefault="00576A63" w:rsidP="00576A63">
      <w:pPr>
        <w:rPr>
          <w:highlight w:val="white"/>
        </w:rPr>
      </w:pPr>
      <w:r>
        <w:rPr>
          <w:highlight w:val="white"/>
        </w:rPr>
        <w:t>Osborne, S. and Hammoud, M.S., 2017. Effective employee engagement in the workplace. </w:t>
      </w:r>
      <w:r>
        <w:rPr>
          <w:i/>
          <w:highlight w:val="white"/>
        </w:rPr>
        <w:t>International Journal of Applied Management and Technology</w:t>
      </w:r>
      <w:r>
        <w:rPr>
          <w:highlight w:val="white"/>
        </w:rPr>
        <w:t>, </w:t>
      </w:r>
      <w:r>
        <w:rPr>
          <w:i/>
          <w:highlight w:val="white"/>
        </w:rPr>
        <w:t>16</w:t>
      </w:r>
      <w:r>
        <w:rPr>
          <w:highlight w:val="white"/>
        </w:rPr>
        <w:t>(1), p.4.</w:t>
      </w:r>
    </w:p>
    <w:p w:rsidR="00576A63" w:rsidRDefault="00576A63" w:rsidP="00576A63">
      <w:r>
        <w:rPr>
          <w:highlight w:val="white"/>
        </w:rPr>
        <w:lastRenderedPageBreak/>
        <w:t>Shrotryia, V.K. and Dhanda, U., 2019. Measuring Employee Engagement: Perspectives from Literature. </w:t>
      </w:r>
      <w:r>
        <w:rPr>
          <w:i/>
          <w:highlight w:val="white"/>
        </w:rPr>
        <w:t>IUP Journal of Organizational Behavior</w:t>
      </w:r>
      <w:r>
        <w:rPr>
          <w:highlight w:val="white"/>
        </w:rPr>
        <w:t>, </w:t>
      </w:r>
      <w:r>
        <w:rPr>
          <w:i/>
          <w:highlight w:val="white"/>
        </w:rPr>
        <w:t>18</w:t>
      </w:r>
      <w:r>
        <w:rPr>
          <w:highlight w:val="white"/>
        </w:rPr>
        <w:t>(3).</w:t>
      </w:r>
    </w:p>
    <w:p w:rsidR="00576A63" w:rsidRDefault="00576A63" w:rsidP="00576A63">
      <w:pPr>
        <w:rPr>
          <w:highlight w:val="white"/>
        </w:rPr>
      </w:pPr>
      <w:r>
        <w:rPr>
          <w:highlight w:val="white"/>
        </w:rPr>
        <w:t xml:space="preserve">Sun, L. and Bunchapattanasakda, C., 2019. Employee engagement: A literature review. </w:t>
      </w:r>
      <w:r>
        <w:rPr>
          <w:i/>
          <w:highlight w:val="white"/>
        </w:rPr>
        <w:t>International Journal of Human Resource Studies</w:t>
      </w:r>
      <w:r>
        <w:rPr>
          <w:highlight w:val="white"/>
        </w:rPr>
        <w:t xml:space="preserve">, </w:t>
      </w:r>
      <w:r>
        <w:rPr>
          <w:i/>
          <w:highlight w:val="white"/>
        </w:rPr>
        <w:t>9</w:t>
      </w:r>
      <w:r>
        <w:rPr>
          <w:highlight w:val="white"/>
        </w:rPr>
        <w:t>(1), pp.63-80.</w:t>
      </w:r>
    </w:p>
    <w:p w:rsidR="00B11F96" w:rsidRDefault="00B11F96" w:rsidP="00576A63">
      <w:pPr>
        <w:pBdr>
          <w:top w:val="nil"/>
          <w:left w:val="nil"/>
          <w:bottom w:val="nil"/>
          <w:right w:val="nil"/>
          <w:between w:val="nil"/>
        </w:pBdr>
        <w:rPr>
          <w:color w:val="000000"/>
        </w:rPr>
      </w:pPr>
    </w:p>
    <w:p w:rsidR="00B11F96" w:rsidRDefault="00B11F96" w:rsidP="00576A63">
      <w:pPr>
        <w:rPr>
          <w:color w:val="000000"/>
        </w:rPr>
      </w:pPr>
    </w:p>
    <w:sectPr w:rsidR="00B11F96" w:rsidSect="00B11F96">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1DC8" w:rsidRDefault="00E61DC8" w:rsidP="00B11F96">
      <w:pPr>
        <w:spacing w:line="240" w:lineRule="auto"/>
      </w:pPr>
      <w:r>
        <w:separator/>
      </w:r>
    </w:p>
  </w:endnote>
  <w:endnote w:type="continuationSeparator" w:id="0">
    <w:p w:rsidR="00E61DC8" w:rsidRDefault="00E61DC8" w:rsidP="00B11F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F96" w:rsidRDefault="004A01C6">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1B29BD">
      <w:rPr>
        <w:color w:val="000000"/>
      </w:rPr>
      <w:instrText>PAGE</w:instrText>
    </w:r>
    <w:r>
      <w:rPr>
        <w:color w:val="000000"/>
      </w:rPr>
      <w:fldChar w:fldCharType="separate"/>
    </w:r>
    <w:r w:rsidR="00D7347E">
      <w:rPr>
        <w:noProof/>
        <w:color w:val="000000"/>
      </w:rPr>
      <w:t>13</w:t>
    </w:r>
    <w:r>
      <w:rPr>
        <w:color w:val="000000"/>
      </w:rPr>
      <w:fldChar w:fldCharType="end"/>
    </w:r>
  </w:p>
  <w:p w:rsidR="00B11F96" w:rsidRDefault="00B11F9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1DC8" w:rsidRDefault="00E61DC8" w:rsidP="00B11F96">
      <w:pPr>
        <w:spacing w:line="240" w:lineRule="auto"/>
      </w:pPr>
      <w:r>
        <w:separator/>
      </w:r>
    </w:p>
  </w:footnote>
  <w:footnote w:type="continuationSeparator" w:id="0">
    <w:p w:rsidR="00E61DC8" w:rsidRDefault="00E61DC8" w:rsidP="00B11F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D0681"/>
    <w:multiLevelType w:val="multilevel"/>
    <w:tmpl w:val="5E4C1BB6"/>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 w15:restartNumberingAfterBreak="0">
    <w:nsid w:val="1CEF3157"/>
    <w:multiLevelType w:val="multilevel"/>
    <w:tmpl w:val="24AE8D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DB0B02"/>
    <w:multiLevelType w:val="multilevel"/>
    <w:tmpl w:val="3A66A2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D183826"/>
    <w:multiLevelType w:val="multilevel"/>
    <w:tmpl w:val="9858E454"/>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4" w15:restartNumberingAfterBreak="0">
    <w:nsid w:val="36E65952"/>
    <w:multiLevelType w:val="multilevel"/>
    <w:tmpl w:val="D6B0BA8E"/>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5" w15:restartNumberingAfterBreak="0">
    <w:nsid w:val="3BBD71AA"/>
    <w:multiLevelType w:val="multilevel"/>
    <w:tmpl w:val="CC4ACCAA"/>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6" w15:restartNumberingAfterBreak="0">
    <w:nsid w:val="3D46790C"/>
    <w:multiLevelType w:val="multilevel"/>
    <w:tmpl w:val="14CC169A"/>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7" w15:restartNumberingAfterBreak="0">
    <w:nsid w:val="519A564A"/>
    <w:multiLevelType w:val="multilevel"/>
    <w:tmpl w:val="24B0D0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F02653E"/>
    <w:multiLevelType w:val="multilevel"/>
    <w:tmpl w:val="8D8E05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C7723EF"/>
    <w:multiLevelType w:val="multilevel"/>
    <w:tmpl w:val="60DC5E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9"/>
  </w:num>
  <w:num w:numId="3">
    <w:abstractNumId w:val="8"/>
  </w:num>
  <w:num w:numId="4">
    <w:abstractNumId w:val="7"/>
  </w:num>
  <w:num w:numId="5">
    <w:abstractNumId w:val="4"/>
  </w:num>
  <w:num w:numId="6">
    <w:abstractNumId w:val="6"/>
  </w:num>
  <w:num w:numId="7">
    <w:abstractNumId w:val="3"/>
  </w:num>
  <w:num w:numId="8">
    <w:abstractNumId w:val="0"/>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11F96"/>
    <w:rsid w:val="00064025"/>
    <w:rsid w:val="001B29BD"/>
    <w:rsid w:val="0024175B"/>
    <w:rsid w:val="002A7F6D"/>
    <w:rsid w:val="003D539F"/>
    <w:rsid w:val="003E6EC6"/>
    <w:rsid w:val="004067CF"/>
    <w:rsid w:val="00423BCF"/>
    <w:rsid w:val="004A01C6"/>
    <w:rsid w:val="00576A63"/>
    <w:rsid w:val="00637810"/>
    <w:rsid w:val="006B3CF2"/>
    <w:rsid w:val="008435A2"/>
    <w:rsid w:val="008D40AB"/>
    <w:rsid w:val="00924D1B"/>
    <w:rsid w:val="00930E60"/>
    <w:rsid w:val="00937B12"/>
    <w:rsid w:val="00963A9C"/>
    <w:rsid w:val="009B7B19"/>
    <w:rsid w:val="00A27025"/>
    <w:rsid w:val="00A421F1"/>
    <w:rsid w:val="00A91C06"/>
    <w:rsid w:val="00B11F96"/>
    <w:rsid w:val="00BF6E8B"/>
    <w:rsid w:val="00C57AA4"/>
    <w:rsid w:val="00CD3477"/>
    <w:rsid w:val="00D06902"/>
    <w:rsid w:val="00D14128"/>
    <w:rsid w:val="00D7347E"/>
    <w:rsid w:val="00DF757D"/>
    <w:rsid w:val="00E4507C"/>
    <w:rsid w:val="00E46DB0"/>
    <w:rsid w:val="00E61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15D46"/>
  <w15:docId w15:val="{D9F7634B-C295-47CE-9F4B-93E33DCCB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76E"/>
    <w:rPr>
      <w:lang w:val="en-GB"/>
    </w:rPr>
  </w:style>
  <w:style w:type="paragraph" w:styleId="Ttulo1">
    <w:name w:val="heading 1"/>
    <w:basedOn w:val="Normal1"/>
    <w:next w:val="Normal1"/>
    <w:rsid w:val="0020476E"/>
    <w:pPr>
      <w:keepNext/>
      <w:keepLines/>
      <w:spacing w:before="400" w:after="120"/>
      <w:outlineLvl w:val="0"/>
    </w:pPr>
    <w:rPr>
      <w:b/>
      <w:szCs w:val="40"/>
    </w:rPr>
  </w:style>
  <w:style w:type="paragraph" w:styleId="Ttulo2">
    <w:name w:val="heading 2"/>
    <w:basedOn w:val="Normal1"/>
    <w:next w:val="Normal1"/>
    <w:rsid w:val="00FC1BDC"/>
    <w:pPr>
      <w:keepNext/>
      <w:keepLines/>
      <w:spacing w:before="360" w:after="120"/>
      <w:outlineLvl w:val="1"/>
    </w:pPr>
    <w:rPr>
      <w:sz w:val="32"/>
      <w:szCs w:val="32"/>
    </w:rPr>
  </w:style>
  <w:style w:type="paragraph" w:styleId="Ttulo3">
    <w:name w:val="heading 3"/>
    <w:basedOn w:val="Normal1"/>
    <w:next w:val="Normal1"/>
    <w:rsid w:val="00FC1BDC"/>
    <w:pPr>
      <w:keepNext/>
      <w:keepLines/>
      <w:spacing w:before="320" w:after="80"/>
      <w:outlineLvl w:val="2"/>
    </w:pPr>
    <w:rPr>
      <w:color w:val="434343"/>
      <w:sz w:val="28"/>
      <w:szCs w:val="28"/>
    </w:rPr>
  </w:style>
  <w:style w:type="paragraph" w:styleId="Ttulo4">
    <w:name w:val="heading 4"/>
    <w:basedOn w:val="Normal1"/>
    <w:next w:val="Normal1"/>
    <w:rsid w:val="00FC1BDC"/>
    <w:pPr>
      <w:keepNext/>
      <w:keepLines/>
      <w:spacing w:before="280" w:after="80"/>
      <w:outlineLvl w:val="3"/>
    </w:pPr>
    <w:rPr>
      <w:color w:val="666666"/>
    </w:rPr>
  </w:style>
  <w:style w:type="paragraph" w:styleId="Ttulo5">
    <w:name w:val="heading 5"/>
    <w:basedOn w:val="Normal1"/>
    <w:next w:val="Normal1"/>
    <w:rsid w:val="00FC1BDC"/>
    <w:pPr>
      <w:keepNext/>
      <w:keepLines/>
      <w:spacing w:before="240" w:after="80"/>
      <w:outlineLvl w:val="4"/>
    </w:pPr>
    <w:rPr>
      <w:color w:val="666666"/>
    </w:rPr>
  </w:style>
  <w:style w:type="paragraph" w:styleId="Ttulo6">
    <w:name w:val="heading 6"/>
    <w:basedOn w:val="Normal1"/>
    <w:next w:val="Normal1"/>
    <w:rsid w:val="00FC1BDC"/>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0">
    <w:name w:val="Normal1"/>
    <w:rsid w:val="00B11F96"/>
  </w:style>
  <w:style w:type="paragraph" w:styleId="Ttulo">
    <w:name w:val="Title"/>
    <w:basedOn w:val="Normal1"/>
    <w:next w:val="Normal1"/>
    <w:rsid w:val="00FC1BDC"/>
    <w:pPr>
      <w:keepNext/>
      <w:keepLines/>
      <w:spacing w:after="60"/>
    </w:pPr>
    <w:rPr>
      <w:sz w:val="52"/>
      <w:szCs w:val="52"/>
    </w:rPr>
  </w:style>
  <w:style w:type="paragraph" w:customStyle="1" w:styleId="Normal1">
    <w:name w:val="Normal1"/>
    <w:rsid w:val="00FC1BDC"/>
  </w:style>
  <w:style w:type="paragraph" w:styleId="Subttulo">
    <w:name w:val="Subtitle"/>
    <w:basedOn w:val="Normal"/>
    <w:next w:val="Normal"/>
    <w:rsid w:val="00B11F96"/>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paragraph" w:styleId="Textocomentario">
    <w:name w:val="annotation text"/>
    <w:basedOn w:val="Normal"/>
    <w:link w:val="TextocomentarioCar"/>
    <w:uiPriority w:val="99"/>
    <w:semiHidden/>
    <w:unhideWhenUsed/>
    <w:rsid w:val="00FC1BD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C1BDC"/>
    <w:rPr>
      <w:sz w:val="20"/>
      <w:szCs w:val="20"/>
    </w:rPr>
  </w:style>
  <w:style w:type="character" w:styleId="Refdecomentario">
    <w:name w:val="annotation reference"/>
    <w:basedOn w:val="Fuentedeprrafopredeter"/>
    <w:uiPriority w:val="99"/>
    <w:semiHidden/>
    <w:unhideWhenUsed/>
    <w:rsid w:val="00FC1BDC"/>
    <w:rPr>
      <w:sz w:val="16"/>
      <w:szCs w:val="16"/>
    </w:rPr>
  </w:style>
  <w:style w:type="paragraph" w:styleId="Textodeglobo">
    <w:name w:val="Balloon Text"/>
    <w:basedOn w:val="Normal"/>
    <w:link w:val="TextodegloboCar"/>
    <w:uiPriority w:val="99"/>
    <w:semiHidden/>
    <w:unhideWhenUsed/>
    <w:rsid w:val="004C72C7"/>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72C7"/>
    <w:rPr>
      <w:rFonts w:ascii="Tahoma" w:hAnsi="Tahoma" w:cs="Tahoma"/>
      <w:sz w:val="16"/>
      <w:szCs w:val="16"/>
    </w:rPr>
  </w:style>
  <w:style w:type="paragraph" w:styleId="TtuloTDC">
    <w:name w:val="TOC Heading"/>
    <w:basedOn w:val="Ttulo1"/>
    <w:next w:val="Normal"/>
    <w:uiPriority w:val="39"/>
    <w:semiHidden/>
    <w:unhideWhenUsed/>
    <w:qFormat/>
    <w:rsid w:val="00737D31"/>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DC1">
    <w:name w:val="toc 1"/>
    <w:basedOn w:val="Normal"/>
    <w:next w:val="Normal"/>
    <w:autoRedefine/>
    <w:uiPriority w:val="39"/>
    <w:unhideWhenUsed/>
    <w:rsid w:val="00737D31"/>
    <w:pPr>
      <w:spacing w:after="100"/>
    </w:pPr>
  </w:style>
  <w:style w:type="character" w:styleId="Hipervnculo">
    <w:name w:val="Hyperlink"/>
    <w:basedOn w:val="Fuentedeprrafopredeter"/>
    <w:uiPriority w:val="99"/>
    <w:unhideWhenUsed/>
    <w:rsid w:val="00737D31"/>
    <w:rPr>
      <w:color w:val="0000FF" w:themeColor="hyperlink"/>
      <w:u w:val="single"/>
    </w:rPr>
  </w:style>
  <w:style w:type="paragraph" w:styleId="Encabezado">
    <w:name w:val="header"/>
    <w:basedOn w:val="Normal"/>
    <w:link w:val="EncabezadoCar"/>
    <w:uiPriority w:val="99"/>
    <w:unhideWhenUsed/>
    <w:rsid w:val="007C08F4"/>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7C08F4"/>
    <w:rPr>
      <w:rFonts w:ascii="Times New Roman" w:hAnsi="Times New Roman"/>
      <w:sz w:val="24"/>
    </w:rPr>
  </w:style>
  <w:style w:type="paragraph" w:styleId="Piedepgina">
    <w:name w:val="footer"/>
    <w:basedOn w:val="Normal"/>
    <w:link w:val="PiedepginaCar"/>
    <w:uiPriority w:val="99"/>
    <w:unhideWhenUsed/>
    <w:rsid w:val="007C08F4"/>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7C08F4"/>
    <w:rPr>
      <w:rFonts w:ascii="Times New Roman" w:hAnsi="Times New Roman"/>
      <w:sz w:val="24"/>
    </w:rPr>
  </w:style>
  <w:style w:type="paragraph" w:styleId="Prrafodelista">
    <w:name w:val="List Paragraph"/>
    <w:basedOn w:val="Normal"/>
    <w:uiPriority w:val="34"/>
    <w:qFormat/>
    <w:rsid w:val="006378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197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R4xQrQVWQmnU3DrxFAttvk4fsA==">AMUW2mW0oBw3I7C56LQJnZmp6FIasUcYT6db2KyjrXQQbWMYaAy8ALYB29clVB6wQCYZ1pNtnvl9T3eq4g+wbJ7MfbGyB+xL/AksPQmWSWWfQAQRg0zr9dJAa+zOlnbEkXOhyr7fByH+H3TqeiCH1N0/6Qi0Eqaaa8YerF2YqIMQjbuyeLF051TuVFjxg0Fs+Fa16vZO5AdbQOGu12TJnQXTpvmDTtn+z+5Oj4xxzVjmFSDf/hwp37k=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566E2CB-4697-47C9-A9DD-FF65B0248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11</Pages>
  <Words>2579</Words>
  <Characters>14705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Geanina Alina Cotoban (1917121)</cp:lastModifiedBy>
  <cp:revision>19</cp:revision>
  <dcterms:created xsi:type="dcterms:W3CDTF">2021-07-21T06:50:00Z</dcterms:created>
  <dcterms:modified xsi:type="dcterms:W3CDTF">2021-09-03T11:18:00Z</dcterms:modified>
</cp:coreProperties>
</file>