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52DF93" w14:textId="77777777" w:rsidR="000F227A" w:rsidRDefault="000F227A" w:rsidP="000F227A">
      <w:pPr>
        <w:pStyle w:val="Normal1"/>
        <w:jc w:val="center"/>
        <w:rPr>
          <w:rFonts w:ascii="Times New Roman" w:eastAsia="Times New Roman" w:hAnsi="Times New Roman" w:cs="Times New Roman"/>
          <w:b/>
          <w:bCs/>
          <w:sz w:val="48"/>
          <w:szCs w:val="48"/>
        </w:rPr>
      </w:pPr>
    </w:p>
    <w:p w14:paraId="79B3867E" w14:textId="77777777" w:rsidR="000F227A" w:rsidRDefault="000F227A" w:rsidP="000F227A">
      <w:pPr>
        <w:pStyle w:val="Normal1"/>
        <w:jc w:val="center"/>
        <w:rPr>
          <w:rFonts w:ascii="Times New Roman" w:eastAsia="Times New Roman" w:hAnsi="Times New Roman" w:cs="Times New Roman"/>
          <w:b/>
          <w:bCs/>
          <w:sz w:val="48"/>
          <w:szCs w:val="48"/>
        </w:rPr>
      </w:pPr>
    </w:p>
    <w:p w14:paraId="42AAA005" w14:textId="77777777" w:rsidR="000F227A" w:rsidRDefault="000F227A" w:rsidP="000F227A">
      <w:pPr>
        <w:pStyle w:val="Normal1"/>
        <w:jc w:val="center"/>
        <w:rPr>
          <w:rFonts w:ascii="Times New Roman" w:eastAsia="Times New Roman" w:hAnsi="Times New Roman" w:cs="Times New Roman"/>
          <w:b/>
          <w:bCs/>
          <w:sz w:val="48"/>
          <w:szCs w:val="48"/>
        </w:rPr>
      </w:pPr>
    </w:p>
    <w:p w14:paraId="10AFA1F6" w14:textId="77777777" w:rsidR="00D74DB6" w:rsidRDefault="00D74DB6" w:rsidP="00D74DB6">
      <w:pPr>
        <w:jc w:val="center"/>
        <w:rPr>
          <w:b/>
          <w:bCs/>
          <w:sz w:val="30"/>
          <w:szCs w:val="28"/>
        </w:rPr>
      </w:pPr>
      <w:r w:rsidRPr="00FF738B">
        <w:rPr>
          <w:rFonts w:cs="Times New Roman"/>
          <w:noProof/>
          <w:sz w:val="32"/>
          <w:szCs w:val="36"/>
          <w:lang w:val="en-US"/>
        </w:rPr>
        <w:drawing>
          <wp:inline distT="0" distB="0" distL="0" distR="0" wp14:anchorId="2EE4968B" wp14:editId="12700C92">
            <wp:extent cx="5300980" cy="13773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00980" cy="1377315"/>
                    </a:xfrm>
                    <a:prstGeom prst="rect">
                      <a:avLst/>
                    </a:prstGeom>
                    <a:noFill/>
                    <a:ln>
                      <a:noFill/>
                    </a:ln>
                  </pic:spPr>
                </pic:pic>
              </a:graphicData>
            </a:graphic>
          </wp:inline>
        </w:drawing>
      </w:r>
    </w:p>
    <w:p w14:paraId="3CE502FB" w14:textId="77777777" w:rsidR="00D74DB6" w:rsidRDefault="00D74DB6" w:rsidP="00D74DB6">
      <w:pPr>
        <w:jc w:val="center"/>
        <w:rPr>
          <w:b/>
          <w:bCs/>
          <w:sz w:val="30"/>
          <w:szCs w:val="28"/>
        </w:rPr>
      </w:pPr>
    </w:p>
    <w:p w14:paraId="38B01BE5" w14:textId="77777777" w:rsidR="00D74DB6" w:rsidRDefault="00D74DB6" w:rsidP="00D74DB6">
      <w:pPr>
        <w:rPr>
          <w:b/>
          <w:bCs/>
          <w:sz w:val="30"/>
          <w:szCs w:val="28"/>
        </w:rPr>
      </w:pPr>
    </w:p>
    <w:p w14:paraId="30F24587" w14:textId="77777777" w:rsidR="00D74DB6" w:rsidRDefault="00D74DB6" w:rsidP="00D74DB6">
      <w:pPr>
        <w:spacing w:line="360" w:lineRule="auto"/>
        <w:ind w:left="720"/>
        <w:rPr>
          <w:b/>
          <w:bCs/>
          <w:sz w:val="28"/>
          <w:szCs w:val="28"/>
        </w:rPr>
      </w:pPr>
    </w:p>
    <w:p w14:paraId="3058D152" w14:textId="77777777" w:rsidR="00E5452A" w:rsidRDefault="00E5452A" w:rsidP="00173FC2">
      <w:pPr>
        <w:spacing w:line="360" w:lineRule="auto"/>
        <w:ind w:left="720"/>
        <w:rPr>
          <w:b/>
          <w:bCs/>
          <w:sz w:val="24"/>
          <w:szCs w:val="24"/>
        </w:rPr>
      </w:pPr>
    </w:p>
    <w:p w14:paraId="572AE952" w14:textId="127CBA16" w:rsidR="00D74DB6" w:rsidRDefault="00D74DB6" w:rsidP="00DF068C">
      <w:pPr>
        <w:spacing w:line="360" w:lineRule="auto"/>
        <w:jc w:val="center"/>
        <w:rPr>
          <w:b/>
          <w:bCs/>
          <w:sz w:val="24"/>
          <w:szCs w:val="24"/>
        </w:rPr>
      </w:pPr>
      <w:r w:rsidRPr="00173FC2">
        <w:rPr>
          <w:b/>
          <w:bCs/>
          <w:sz w:val="24"/>
          <w:szCs w:val="24"/>
        </w:rPr>
        <w:t>Module Name: INTERNATIONAL BUSINESS CONCEPTS</w:t>
      </w:r>
    </w:p>
    <w:p w14:paraId="55FB9D3B" w14:textId="77777777" w:rsidR="00DF068C" w:rsidRPr="00173FC2" w:rsidRDefault="00DF068C" w:rsidP="00DF068C">
      <w:pPr>
        <w:spacing w:line="360" w:lineRule="auto"/>
        <w:jc w:val="center"/>
        <w:rPr>
          <w:b/>
          <w:bCs/>
          <w:sz w:val="24"/>
          <w:szCs w:val="24"/>
        </w:rPr>
      </w:pPr>
    </w:p>
    <w:p w14:paraId="2445D36B" w14:textId="081C4801" w:rsidR="00D74DB6" w:rsidRPr="00E5452A" w:rsidRDefault="00D74DB6" w:rsidP="00DF068C">
      <w:pPr>
        <w:spacing w:line="360" w:lineRule="auto"/>
        <w:jc w:val="center"/>
        <w:rPr>
          <w:b/>
          <w:sz w:val="24"/>
          <w:szCs w:val="24"/>
        </w:rPr>
      </w:pPr>
      <w:r w:rsidRPr="00173FC2">
        <w:rPr>
          <w:b/>
          <w:bCs/>
          <w:sz w:val="24"/>
          <w:szCs w:val="24"/>
        </w:rPr>
        <w:t xml:space="preserve">Module Code: </w:t>
      </w:r>
      <w:r w:rsidRPr="0028465D">
        <w:rPr>
          <w:sz w:val="24"/>
          <w:szCs w:val="24"/>
        </w:rPr>
        <w:t>LCMB7034</w:t>
      </w:r>
    </w:p>
    <w:p w14:paraId="3278808A" w14:textId="6965600E" w:rsidR="00D74DB6" w:rsidRPr="00173FC2" w:rsidRDefault="00D74DB6" w:rsidP="00DF068C">
      <w:pPr>
        <w:spacing w:line="360" w:lineRule="auto"/>
        <w:jc w:val="center"/>
        <w:rPr>
          <w:sz w:val="24"/>
          <w:szCs w:val="24"/>
        </w:rPr>
      </w:pPr>
      <w:r w:rsidRPr="00173FC2">
        <w:rPr>
          <w:b/>
          <w:sz w:val="24"/>
          <w:szCs w:val="24"/>
        </w:rPr>
        <w:t xml:space="preserve">Lecturer Name: </w:t>
      </w:r>
      <w:r w:rsidRPr="0028465D">
        <w:rPr>
          <w:sz w:val="24"/>
          <w:szCs w:val="24"/>
        </w:rPr>
        <w:t>Hoang Dang Nguyen</w:t>
      </w:r>
    </w:p>
    <w:p w14:paraId="53E80BF1" w14:textId="36417DC2" w:rsidR="00D74DB6" w:rsidRPr="00173FC2" w:rsidRDefault="00D74DB6" w:rsidP="00DF068C">
      <w:pPr>
        <w:spacing w:line="360" w:lineRule="auto"/>
        <w:jc w:val="center"/>
        <w:rPr>
          <w:bCs/>
          <w:sz w:val="24"/>
          <w:szCs w:val="24"/>
        </w:rPr>
      </w:pPr>
      <w:r w:rsidRPr="00173FC2">
        <w:rPr>
          <w:b/>
          <w:sz w:val="24"/>
          <w:szCs w:val="24"/>
        </w:rPr>
        <w:t>Chosen company</w:t>
      </w:r>
      <w:r w:rsidRPr="00173FC2">
        <w:rPr>
          <w:sz w:val="24"/>
          <w:szCs w:val="24"/>
        </w:rPr>
        <w:t xml:space="preserve">: Toyota </w:t>
      </w:r>
      <w:r w:rsidR="00E46B2B">
        <w:rPr>
          <w:sz w:val="24"/>
          <w:szCs w:val="24"/>
        </w:rPr>
        <w:t>Motor Corporation</w:t>
      </w:r>
    </w:p>
    <w:p w14:paraId="081F0647" w14:textId="77777777" w:rsidR="00D74DB6" w:rsidRPr="00173FC2" w:rsidRDefault="00D74DB6" w:rsidP="00DF068C">
      <w:pPr>
        <w:spacing w:line="360" w:lineRule="auto"/>
        <w:jc w:val="center"/>
        <w:rPr>
          <w:b/>
          <w:bCs/>
          <w:sz w:val="24"/>
          <w:szCs w:val="24"/>
        </w:rPr>
      </w:pPr>
      <w:r w:rsidRPr="00173FC2">
        <w:rPr>
          <w:b/>
          <w:bCs/>
          <w:sz w:val="24"/>
          <w:szCs w:val="24"/>
        </w:rPr>
        <w:t xml:space="preserve">Student Name: </w:t>
      </w:r>
      <w:r w:rsidRPr="00173FC2">
        <w:rPr>
          <w:bCs/>
          <w:sz w:val="24"/>
          <w:szCs w:val="24"/>
        </w:rPr>
        <w:t>Kazi Enamul</w:t>
      </w:r>
    </w:p>
    <w:p w14:paraId="29409096" w14:textId="6A510C5A" w:rsidR="00D74DB6" w:rsidRDefault="00D74DB6" w:rsidP="00DF068C">
      <w:pPr>
        <w:spacing w:line="360" w:lineRule="auto"/>
        <w:jc w:val="center"/>
        <w:rPr>
          <w:bCs/>
          <w:sz w:val="24"/>
          <w:szCs w:val="24"/>
        </w:rPr>
      </w:pPr>
      <w:r w:rsidRPr="00173FC2">
        <w:rPr>
          <w:b/>
          <w:bCs/>
          <w:sz w:val="24"/>
          <w:szCs w:val="24"/>
        </w:rPr>
        <w:t xml:space="preserve">Student ID: </w:t>
      </w:r>
      <w:r w:rsidRPr="00173FC2">
        <w:rPr>
          <w:bCs/>
          <w:sz w:val="24"/>
          <w:szCs w:val="24"/>
        </w:rPr>
        <w:t>2432479</w:t>
      </w:r>
    </w:p>
    <w:p w14:paraId="4253BD79" w14:textId="1D6EFE52" w:rsidR="00675383" w:rsidRDefault="00675383" w:rsidP="00675383">
      <w:pPr>
        <w:spacing w:line="360" w:lineRule="auto"/>
        <w:jc w:val="center"/>
        <w:rPr>
          <w:bCs/>
          <w:sz w:val="24"/>
          <w:szCs w:val="24"/>
        </w:rPr>
      </w:pPr>
      <w:r>
        <w:rPr>
          <w:b/>
          <w:bCs/>
          <w:sz w:val="24"/>
          <w:szCs w:val="24"/>
        </w:rPr>
        <w:t>Word count:</w:t>
      </w:r>
      <w:r>
        <w:rPr>
          <w:bCs/>
          <w:sz w:val="24"/>
          <w:szCs w:val="24"/>
        </w:rPr>
        <w:t xml:space="preserve"> 5248 words</w:t>
      </w:r>
    </w:p>
    <w:p w14:paraId="5D85E85E" w14:textId="440653B1" w:rsidR="00DE5498" w:rsidRPr="00173FC2" w:rsidRDefault="00D74DB6" w:rsidP="00DF068C">
      <w:pPr>
        <w:pStyle w:val="Normal1"/>
        <w:spacing w:line="360" w:lineRule="auto"/>
        <w:jc w:val="center"/>
        <w:rPr>
          <w:rFonts w:eastAsia="Times New Roman"/>
          <w:b/>
          <w:bCs/>
          <w:sz w:val="24"/>
          <w:szCs w:val="24"/>
        </w:rPr>
      </w:pPr>
      <w:r w:rsidRPr="00173FC2">
        <w:rPr>
          <w:b/>
          <w:bCs/>
          <w:sz w:val="24"/>
          <w:szCs w:val="24"/>
        </w:rPr>
        <w:t xml:space="preserve">Submission Date : </w:t>
      </w:r>
      <w:r w:rsidR="00F5511D">
        <w:rPr>
          <w:bCs/>
          <w:sz w:val="24"/>
          <w:szCs w:val="24"/>
        </w:rPr>
        <w:t>14</w:t>
      </w:r>
      <w:bookmarkStart w:id="0" w:name="_GoBack"/>
      <w:bookmarkEnd w:id="0"/>
      <w:r w:rsidRPr="00173FC2">
        <w:rPr>
          <w:bCs/>
          <w:sz w:val="24"/>
          <w:szCs w:val="24"/>
        </w:rPr>
        <w:t>/12/2025</w:t>
      </w:r>
    </w:p>
    <w:p w14:paraId="753035A9" w14:textId="77777777" w:rsidR="004D7D10" w:rsidRPr="00173FC2" w:rsidRDefault="004D7D10" w:rsidP="00E5452A">
      <w:pPr>
        <w:pStyle w:val="Normal1"/>
        <w:spacing w:line="360" w:lineRule="auto"/>
        <w:jc w:val="both"/>
        <w:rPr>
          <w:rFonts w:eastAsia="Times New Roman"/>
          <w:b/>
          <w:bCs/>
          <w:sz w:val="24"/>
          <w:szCs w:val="24"/>
        </w:rPr>
      </w:pPr>
    </w:p>
    <w:p w14:paraId="55879A97" w14:textId="77777777" w:rsidR="004D7D10" w:rsidRPr="00173FC2" w:rsidRDefault="004D7D10" w:rsidP="00E5452A">
      <w:pPr>
        <w:pStyle w:val="Normal1"/>
        <w:spacing w:line="360" w:lineRule="auto"/>
        <w:jc w:val="both"/>
        <w:rPr>
          <w:rFonts w:eastAsia="Times New Roman"/>
          <w:b/>
          <w:bCs/>
          <w:sz w:val="24"/>
          <w:szCs w:val="24"/>
        </w:rPr>
      </w:pPr>
    </w:p>
    <w:p w14:paraId="4E4278FB" w14:textId="77777777" w:rsidR="004D7D10" w:rsidRPr="00173FC2" w:rsidRDefault="004D7D10" w:rsidP="00E5452A">
      <w:pPr>
        <w:pStyle w:val="Normal1"/>
        <w:spacing w:line="360" w:lineRule="auto"/>
        <w:jc w:val="both"/>
        <w:rPr>
          <w:rFonts w:eastAsia="Times New Roman"/>
          <w:b/>
          <w:bCs/>
          <w:sz w:val="24"/>
          <w:szCs w:val="24"/>
        </w:rPr>
      </w:pPr>
    </w:p>
    <w:p w14:paraId="67282520" w14:textId="77777777" w:rsidR="004D7D10" w:rsidRPr="00173FC2" w:rsidRDefault="004D7D10" w:rsidP="00E5452A">
      <w:pPr>
        <w:pStyle w:val="Normal1"/>
        <w:spacing w:line="360" w:lineRule="auto"/>
        <w:jc w:val="both"/>
        <w:rPr>
          <w:rFonts w:eastAsia="Times New Roman"/>
          <w:b/>
          <w:bCs/>
          <w:sz w:val="24"/>
          <w:szCs w:val="24"/>
        </w:rPr>
      </w:pPr>
    </w:p>
    <w:p w14:paraId="0A2524B4" w14:textId="77777777" w:rsidR="004D7D10" w:rsidRPr="00173FC2" w:rsidRDefault="004D7D10" w:rsidP="00E5452A">
      <w:pPr>
        <w:pStyle w:val="Normal1"/>
        <w:spacing w:line="360" w:lineRule="auto"/>
        <w:jc w:val="both"/>
        <w:rPr>
          <w:rFonts w:eastAsia="Times New Roman"/>
          <w:b/>
          <w:bCs/>
          <w:sz w:val="24"/>
          <w:szCs w:val="24"/>
        </w:rPr>
      </w:pPr>
    </w:p>
    <w:p w14:paraId="24EC8737" w14:textId="7E856E04" w:rsidR="004D7D10" w:rsidRPr="00173FC2" w:rsidRDefault="004D7D10" w:rsidP="00E5452A">
      <w:pPr>
        <w:pStyle w:val="Normal1"/>
        <w:spacing w:line="360" w:lineRule="auto"/>
        <w:jc w:val="both"/>
        <w:rPr>
          <w:rFonts w:eastAsia="Times New Roman"/>
          <w:b/>
          <w:bCs/>
          <w:sz w:val="24"/>
          <w:szCs w:val="24"/>
        </w:rPr>
      </w:pPr>
    </w:p>
    <w:p w14:paraId="5FDA9D4A" w14:textId="67B6BBE0" w:rsidR="00173FC2" w:rsidRPr="00173FC2" w:rsidRDefault="00173FC2" w:rsidP="00E5452A">
      <w:pPr>
        <w:pStyle w:val="Normal1"/>
        <w:spacing w:line="360" w:lineRule="auto"/>
        <w:jc w:val="both"/>
        <w:rPr>
          <w:rFonts w:eastAsia="Times New Roman"/>
          <w:b/>
          <w:bCs/>
          <w:sz w:val="24"/>
          <w:szCs w:val="24"/>
        </w:rPr>
      </w:pPr>
    </w:p>
    <w:p w14:paraId="38DE71C9" w14:textId="7E336B03" w:rsidR="00173FC2" w:rsidRPr="00173FC2" w:rsidRDefault="00173FC2" w:rsidP="00E5452A">
      <w:pPr>
        <w:pStyle w:val="Normal1"/>
        <w:spacing w:line="360" w:lineRule="auto"/>
        <w:jc w:val="both"/>
        <w:rPr>
          <w:rFonts w:eastAsia="Times New Roman"/>
          <w:b/>
          <w:bCs/>
          <w:sz w:val="24"/>
          <w:szCs w:val="24"/>
        </w:rPr>
      </w:pPr>
    </w:p>
    <w:p w14:paraId="140FB71D" w14:textId="58856CA1" w:rsidR="000F227A" w:rsidRPr="00173FC2" w:rsidRDefault="00D74DB6" w:rsidP="00E5452A">
      <w:pPr>
        <w:spacing w:line="360" w:lineRule="auto"/>
        <w:jc w:val="both"/>
        <w:rPr>
          <w:rFonts w:eastAsia="Times New Roman"/>
          <w:b/>
          <w:bCs/>
          <w:sz w:val="24"/>
          <w:szCs w:val="24"/>
        </w:rPr>
      </w:pPr>
      <w:r w:rsidRPr="00173FC2">
        <w:rPr>
          <w:rFonts w:eastAsia="Times New Roman"/>
          <w:b/>
          <w:bCs/>
          <w:sz w:val="24"/>
          <w:szCs w:val="24"/>
        </w:rPr>
        <w:lastRenderedPageBreak/>
        <w:t xml:space="preserve"> </w:t>
      </w:r>
    </w:p>
    <w:p w14:paraId="11A53941" w14:textId="77777777" w:rsidR="00D74DB6" w:rsidRPr="00173FC2" w:rsidRDefault="00D74DB6" w:rsidP="00E5452A">
      <w:pPr>
        <w:spacing w:line="360" w:lineRule="auto"/>
        <w:jc w:val="both"/>
        <w:rPr>
          <w:rFonts w:eastAsia="Times New Roman"/>
          <w:b/>
          <w:bCs/>
          <w:sz w:val="24"/>
          <w:szCs w:val="24"/>
        </w:rPr>
      </w:pPr>
    </w:p>
    <w:bookmarkStart w:id="1" w:name="_fvcscft4za9p" w:colFirst="0" w:colLast="0" w:displacedByCustomXml="next"/>
    <w:bookmarkEnd w:id="1" w:displacedByCustomXml="next"/>
    <w:bookmarkStart w:id="2" w:name="_m0iely654t84" w:colFirst="0" w:colLast="0" w:displacedByCustomXml="next"/>
    <w:bookmarkEnd w:id="2" w:displacedByCustomXml="next"/>
    <w:bookmarkStart w:id="3" w:name="_n0hl4pfwf1gg" w:colFirst="0" w:colLast="0" w:displacedByCustomXml="next"/>
    <w:bookmarkEnd w:id="3" w:displacedByCustomXml="next"/>
    <w:sdt>
      <w:sdtPr>
        <w:rPr>
          <w:rFonts w:ascii="Arial" w:eastAsia="Arial" w:hAnsi="Arial" w:cs="Arial"/>
          <w:b w:val="0"/>
          <w:bCs w:val="0"/>
          <w:color w:val="auto"/>
          <w:sz w:val="24"/>
          <w:szCs w:val="24"/>
          <w:lang w:val="en-IN"/>
        </w:rPr>
        <w:id w:val="108369860"/>
        <w:docPartObj>
          <w:docPartGallery w:val="Table of Contents"/>
          <w:docPartUnique/>
        </w:docPartObj>
      </w:sdtPr>
      <w:sdtEndPr/>
      <w:sdtContent>
        <w:p w14:paraId="180E336B" w14:textId="77777777" w:rsidR="004D7D10" w:rsidRPr="00173FC2" w:rsidRDefault="004D7D10" w:rsidP="00E5452A">
          <w:pPr>
            <w:pStyle w:val="TOCHeading"/>
            <w:spacing w:before="0" w:line="360" w:lineRule="auto"/>
            <w:jc w:val="both"/>
            <w:rPr>
              <w:rFonts w:ascii="Arial" w:hAnsi="Arial" w:cs="Arial"/>
              <w:sz w:val="24"/>
              <w:szCs w:val="24"/>
            </w:rPr>
          </w:pPr>
          <w:r w:rsidRPr="00173FC2">
            <w:rPr>
              <w:rFonts w:ascii="Arial" w:hAnsi="Arial" w:cs="Arial"/>
              <w:color w:val="000000" w:themeColor="text1"/>
              <w:sz w:val="24"/>
              <w:szCs w:val="24"/>
            </w:rPr>
            <w:t>Table of Contents</w:t>
          </w:r>
        </w:p>
        <w:p w14:paraId="43AA534B" w14:textId="2B40D636" w:rsidR="000F227A" w:rsidRPr="00173FC2" w:rsidRDefault="004D7D10" w:rsidP="00E5452A">
          <w:pPr>
            <w:pStyle w:val="TOC1"/>
            <w:tabs>
              <w:tab w:val="right" w:leader="dot" w:pos="9350"/>
            </w:tabs>
            <w:spacing w:after="0" w:line="360" w:lineRule="auto"/>
            <w:jc w:val="both"/>
            <w:rPr>
              <w:rFonts w:eastAsiaTheme="minorEastAsia"/>
              <w:noProof/>
              <w:kern w:val="2"/>
              <w:sz w:val="24"/>
              <w:szCs w:val="24"/>
              <w:lang w:eastAsia="en-IN"/>
              <w14:ligatures w14:val="standardContextual"/>
            </w:rPr>
          </w:pPr>
          <w:r w:rsidRPr="00173FC2">
            <w:rPr>
              <w:sz w:val="24"/>
              <w:szCs w:val="24"/>
            </w:rPr>
            <w:fldChar w:fldCharType="begin"/>
          </w:r>
          <w:r w:rsidRPr="00173FC2">
            <w:rPr>
              <w:sz w:val="24"/>
              <w:szCs w:val="24"/>
            </w:rPr>
            <w:instrText xml:space="preserve"> TOC \o "1-3" \h \z \u </w:instrText>
          </w:r>
          <w:r w:rsidRPr="00173FC2">
            <w:rPr>
              <w:sz w:val="24"/>
              <w:szCs w:val="24"/>
            </w:rPr>
            <w:fldChar w:fldCharType="separate"/>
          </w:r>
          <w:hyperlink w:anchor="_Toc214641821" w:history="1">
            <w:r w:rsidR="000F227A" w:rsidRPr="00173FC2">
              <w:rPr>
                <w:rStyle w:val="Hyperlink"/>
                <w:noProof/>
                <w:sz w:val="24"/>
                <w:szCs w:val="24"/>
              </w:rPr>
              <w:t>1. Introduction to the report</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_Toc214641821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3</w:t>
            </w:r>
            <w:r w:rsidR="000F227A" w:rsidRPr="00173FC2">
              <w:rPr>
                <w:noProof/>
                <w:webHidden/>
                <w:sz w:val="24"/>
                <w:szCs w:val="24"/>
              </w:rPr>
              <w:fldChar w:fldCharType="end"/>
            </w:r>
          </w:hyperlink>
        </w:p>
        <w:p w14:paraId="784A4294" w14:textId="09802309" w:rsidR="000F227A" w:rsidRPr="00173FC2" w:rsidRDefault="00AD03FB" w:rsidP="00E5452A">
          <w:pPr>
            <w:pStyle w:val="TOC1"/>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22" w:history="1">
            <w:r w:rsidR="000F227A" w:rsidRPr="00173FC2">
              <w:rPr>
                <w:rStyle w:val="Hyperlink"/>
                <w:noProof/>
                <w:sz w:val="24"/>
                <w:szCs w:val="24"/>
              </w:rPr>
              <w:t>2. Benefits and challenges of international operations</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_Toc214641822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3</w:t>
            </w:r>
            <w:r w:rsidR="000F227A" w:rsidRPr="00173FC2">
              <w:rPr>
                <w:noProof/>
                <w:webHidden/>
                <w:sz w:val="24"/>
                <w:szCs w:val="24"/>
              </w:rPr>
              <w:fldChar w:fldCharType="end"/>
            </w:r>
          </w:hyperlink>
        </w:p>
        <w:p w14:paraId="53E91BE7" w14:textId="3252FE7D" w:rsidR="000F227A" w:rsidRPr="00173FC2" w:rsidRDefault="00AD03FB" w:rsidP="00E5452A">
          <w:pPr>
            <w:pStyle w:val="TOC2"/>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23" w:history="1">
            <w:r w:rsidR="000F227A" w:rsidRPr="00173FC2">
              <w:rPr>
                <w:rStyle w:val="Hyperlink"/>
                <w:noProof/>
                <w:sz w:val="24"/>
                <w:szCs w:val="24"/>
              </w:rPr>
              <w:t>a. Explaining why Toyota Motor can be designated an MNC/TNC</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_Toc214641823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3</w:t>
            </w:r>
            <w:r w:rsidR="000F227A" w:rsidRPr="00173FC2">
              <w:rPr>
                <w:noProof/>
                <w:webHidden/>
                <w:sz w:val="24"/>
                <w:szCs w:val="24"/>
              </w:rPr>
              <w:fldChar w:fldCharType="end"/>
            </w:r>
          </w:hyperlink>
        </w:p>
        <w:p w14:paraId="30E05BBD" w14:textId="70967555" w:rsidR="000F227A" w:rsidRPr="00173FC2" w:rsidRDefault="00AD03FB" w:rsidP="00E5452A">
          <w:pPr>
            <w:pStyle w:val="TOC2"/>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24" w:history="1">
            <w:r w:rsidR="000F227A" w:rsidRPr="00173FC2">
              <w:rPr>
                <w:rStyle w:val="Hyperlink"/>
                <w:noProof/>
                <w:sz w:val="24"/>
                <w:szCs w:val="24"/>
              </w:rPr>
              <w:t>b. Global activities of Toyota Motors</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_Toc214641824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4</w:t>
            </w:r>
            <w:r w:rsidR="000F227A" w:rsidRPr="00173FC2">
              <w:rPr>
                <w:noProof/>
                <w:webHidden/>
                <w:sz w:val="24"/>
                <w:szCs w:val="24"/>
              </w:rPr>
              <w:fldChar w:fldCharType="end"/>
            </w:r>
          </w:hyperlink>
        </w:p>
        <w:p w14:paraId="2A2C2DF0" w14:textId="0A0EC7FC" w:rsidR="000F227A" w:rsidRPr="00173FC2" w:rsidRDefault="00AD03FB" w:rsidP="00E5452A">
          <w:pPr>
            <w:pStyle w:val="TOC2"/>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25" w:history="1">
            <w:r w:rsidR="000F227A" w:rsidRPr="00173FC2">
              <w:rPr>
                <w:rStyle w:val="Hyperlink"/>
                <w:noProof/>
                <w:sz w:val="24"/>
                <w:szCs w:val="24"/>
              </w:rPr>
              <w:t>c. The various entry modes that Toyota Motors has employed in entering the various international markets</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_Toc214641825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5</w:t>
            </w:r>
            <w:r w:rsidR="000F227A" w:rsidRPr="00173FC2">
              <w:rPr>
                <w:noProof/>
                <w:webHidden/>
                <w:sz w:val="24"/>
                <w:szCs w:val="24"/>
              </w:rPr>
              <w:fldChar w:fldCharType="end"/>
            </w:r>
          </w:hyperlink>
        </w:p>
        <w:p w14:paraId="7BEB2694" w14:textId="41729346" w:rsidR="000F227A" w:rsidRPr="00173FC2" w:rsidRDefault="00AD03FB" w:rsidP="00E5452A">
          <w:pPr>
            <w:pStyle w:val="TOC2"/>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26" w:history="1">
            <w:r w:rsidR="000F227A" w:rsidRPr="00173FC2">
              <w:rPr>
                <w:rStyle w:val="Hyperlink"/>
                <w:noProof/>
                <w:sz w:val="24"/>
                <w:szCs w:val="24"/>
              </w:rPr>
              <w:t>d. The key benefits obtained by Toyota Motors from its international operations</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_Toc214641826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6</w:t>
            </w:r>
            <w:r w:rsidR="000F227A" w:rsidRPr="00173FC2">
              <w:rPr>
                <w:noProof/>
                <w:webHidden/>
                <w:sz w:val="24"/>
                <w:szCs w:val="24"/>
              </w:rPr>
              <w:fldChar w:fldCharType="end"/>
            </w:r>
          </w:hyperlink>
        </w:p>
        <w:p w14:paraId="0733E62B" w14:textId="10F5235C" w:rsidR="000F227A" w:rsidRPr="00173FC2" w:rsidRDefault="00AD03FB" w:rsidP="00E5452A">
          <w:pPr>
            <w:pStyle w:val="TOC1"/>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27" w:history="1">
            <w:r w:rsidR="000F227A" w:rsidRPr="00173FC2">
              <w:rPr>
                <w:rStyle w:val="Hyperlink"/>
                <w:noProof/>
                <w:sz w:val="24"/>
                <w:szCs w:val="24"/>
              </w:rPr>
              <w:t>3. Impact of OLI Factors on Market Entry Mode</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_Toc214641827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7</w:t>
            </w:r>
            <w:r w:rsidR="000F227A" w:rsidRPr="00173FC2">
              <w:rPr>
                <w:noProof/>
                <w:webHidden/>
                <w:sz w:val="24"/>
                <w:szCs w:val="24"/>
              </w:rPr>
              <w:fldChar w:fldCharType="end"/>
            </w:r>
          </w:hyperlink>
        </w:p>
        <w:p w14:paraId="6D11B066" w14:textId="4D996CCA" w:rsidR="000F227A" w:rsidRPr="00173FC2" w:rsidRDefault="00AD03FB" w:rsidP="00E5452A">
          <w:pPr>
            <w:pStyle w:val="TOC1"/>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28" w:history="1">
            <w:r w:rsidR="000F227A" w:rsidRPr="00173FC2">
              <w:rPr>
                <w:rStyle w:val="Hyperlink"/>
                <w:noProof/>
                <w:sz w:val="24"/>
                <w:szCs w:val="24"/>
              </w:rPr>
              <w:t>4. Cultural Differences and Their Impact on Market Entry and Success</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_Toc214641828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10</w:t>
            </w:r>
            <w:r w:rsidR="000F227A" w:rsidRPr="00173FC2">
              <w:rPr>
                <w:noProof/>
                <w:webHidden/>
                <w:sz w:val="24"/>
                <w:szCs w:val="24"/>
              </w:rPr>
              <w:fldChar w:fldCharType="end"/>
            </w:r>
          </w:hyperlink>
        </w:p>
        <w:p w14:paraId="5AA91C69" w14:textId="29BBC6A7" w:rsidR="000F227A" w:rsidRPr="00173FC2" w:rsidRDefault="00AD03FB" w:rsidP="00E5452A">
          <w:pPr>
            <w:pStyle w:val="TOC2"/>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29" w:history="1">
            <w:r w:rsidR="000F227A" w:rsidRPr="00173FC2">
              <w:rPr>
                <w:rStyle w:val="Hyperlink"/>
                <w:noProof/>
                <w:sz w:val="24"/>
                <w:szCs w:val="24"/>
              </w:rPr>
              <w:t>4.1 Comparative Cultural Analysis Between Japan and the Selected Emerging Economy</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_Toc214641829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10</w:t>
            </w:r>
            <w:r w:rsidR="000F227A" w:rsidRPr="00173FC2">
              <w:rPr>
                <w:noProof/>
                <w:webHidden/>
                <w:sz w:val="24"/>
                <w:szCs w:val="24"/>
              </w:rPr>
              <w:fldChar w:fldCharType="end"/>
            </w:r>
          </w:hyperlink>
        </w:p>
        <w:p w14:paraId="24B3BC97" w14:textId="33C2854D" w:rsidR="000F227A" w:rsidRPr="00173FC2" w:rsidRDefault="00AD03FB" w:rsidP="00E5452A">
          <w:pPr>
            <w:pStyle w:val="TOC2"/>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30" w:history="1">
            <w:r w:rsidR="000F227A" w:rsidRPr="00173FC2">
              <w:rPr>
                <w:rStyle w:val="Hyperlink"/>
                <w:noProof/>
                <w:sz w:val="24"/>
                <w:szCs w:val="24"/>
              </w:rPr>
              <w:t>4.2 Influence of Cultural Differences on Toyota’s Market Entry Strategy</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_Toc214641830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11</w:t>
            </w:r>
            <w:r w:rsidR="000F227A" w:rsidRPr="00173FC2">
              <w:rPr>
                <w:noProof/>
                <w:webHidden/>
                <w:sz w:val="24"/>
                <w:szCs w:val="24"/>
              </w:rPr>
              <w:fldChar w:fldCharType="end"/>
            </w:r>
          </w:hyperlink>
        </w:p>
        <w:p w14:paraId="1E56BB88" w14:textId="0A217E35" w:rsidR="000F227A" w:rsidRPr="00173FC2" w:rsidRDefault="00AD03FB" w:rsidP="00E5452A">
          <w:pPr>
            <w:pStyle w:val="TOC2"/>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31" w:history="1">
            <w:r w:rsidR="000F227A" w:rsidRPr="00173FC2">
              <w:rPr>
                <w:rStyle w:val="Hyperlink"/>
                <w:noProof/>
                <w:sz w:val="24"/>
                <w:szCs w:val="24"/>
              </w:rPr>
              <w:t>4.3 Impact of Cultural Dynamics on Toyota’s Operational Success and Long-Term Performance</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_Toc214641831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12</w:t>
            </w:r>
            <w:r w:rsidR="000F227A" w:rsidRPr="00173FC2">
              <w:rPr>
                <w:noProof/>
                <w:webHidden/>
                <w:sz w:val="24"/>
                <w:szCs w:val="24"/>
              </w:rPr>
              <w:fldChar w:fldCharType="end"/>
            </w:r>
          </w:hyperlink>
        </w:p>
        <w:p w14:paraId="00651F9C" w14:textId="329D163E" w:rsidR="000F227A" w:rsidRPr="00173FC2" w:rsidRDefault="00AD03FB" w:rsidP="00E5452A">
          <w:pPr>
            <w:pStyle w:val="TOC1"/>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32" w:history="1">
            <w:r w:rsidR="000F227A" w:rsidRPr="00173FC2">
              <w:rPr>
                <w:rStyle w:val="Hyperlink"/>
                <w:noProof/>
                <w:sz w:val="24"/>
                <w:szCs w:val="24"/>
              </w:rPr>
              <w:t>5. SOP Adjustments for Success in Emerging Markets</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_Toc214641832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13</w:t>
            </w:r>
            <w:r w:rsidR="000F227A" w:rsidRPr="00173FC2">
              <w:rPr>
                <w:noProof/>
                <w:webHidden/>
                <w:sz w:val="24"/>
                <w:szCs w:val="24"/>
              </w:rPr>
              <w:fldChar w:fldCharType="end"/>
            </w:r>
          </w:hyperlink>
        </w:p>
        <w:p w14:paraId="427A56EC" w14:textId="5D318E86" w:rsidR="000F227A" w:rsidRPr="00173FC2" w:rsidRDefault="00AD03FB" w:rsidP="00E5452A">
          <w:pPr>
            <w:pStyle w:val="TOC2"/>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33" w:history="1">
            <w:r w:rsidR="000F227A" w:rsidRPr="00173FC2">
              <w:rPr>
                <w:rStyle w:val="Hyperlink"/>
                <w:noProof/>
                <w:sz w:val="24"/>
                <w:szCs w:val="24"/>
              </w:rPr>
              <w:t>5.1 SOP Adjustment 1: Localised Leadership, Decision-Making and HRM Practices</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_Toc214641833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13</w:t>
            </w:r>
            <w:r w:rsidR="000F227A" w:rsidRPr="00173FC2">
              <w:rPr>
                <w:noProof/>
                <w:webHidden/>
                <w:sz w:val="24"/>
                <w:szCs w:val="24"/>
              </w:rPr>
              <w:fldChar w:fldCharType="end"/>
            </w:r>
          </w:hyperlink>
        </w:p>
        <w:p w14:paraId="6A657EDD" w14:textId="0E93E3B2" w:rsidR="000F227A" w:rsidRPr="00173FC2" w:rsidRDefault="00AD03FB" w:rsidP="00E5452A">
          <w:pPr>
            <w:pStyle w:val="TOC2"/>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34" w:history="1">
            <w:r w:rsidR="000F227A" w:rsidRPr="00173FC2">
              <w:rPr>
                <w:rStyle w:val="Hyperlink"/>
                <w:noProof/>
                <w:sz w:val="24"/>
                <w:szCs w:val="24"/>
              </w:rPr>
              <w:t>5.2 SOP Adjustment 2: Adaptation of Production, Quality, and Supply Chain Systems</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_Toc214641834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14</w:t>
            </w:r>
            <w:r w:rsidR="000F227A" w:rsidRPr="00173FC2">
              <w:rPr>
                <w:noProof/>
                <w:webHidden/>
                <w:sz w:val="24"/>
                <w:szCs w:val="24"/>
              </w:rPr>
              <w:fldChar w:fldCharType="end"/>
            </w:r>
          </w:hyperlink>
        </w:p>
        <w:p w14:paraId="52C0D86C" w14:textId="50EF33BF" w:rsidR="000F227A" w:rsidRPr="00173FC2" w:rsidRDefault="00AD03FB" w:rsidP="00E5452A">
          <w:pPr>
            <w:pStyle w:val="TOC2"/>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35" w:history="1">
            <w:r w:rsidR="000F227A" w:rsidRPr="00173FC2">
              <w:rPr>
                <w:rStyle w:val="Hyperlink"/>
                <w:noProof/>
                <w:sz w:val="24"/>
                <w:szCs w:val="24"/>
              </w:rPr>
              <w:t>5.3 SOP Adjustment 3: Market-Specific Customer Engagement, Marketing, and Service Protocols</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_Toc214641835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16</w:t>
            </w:r>
            <w:r w:rsidR="000F227A" w:rsidRPr="00173FC2">
              <w:rPr>
                <w:noProof/>
                <w:webHidden/>
                <w:sz w:val="24"/>
                <w:szCs w:val="24"/>
              </w:rPr>
              <w:fldChar w:fldCharType="end"/>
            </w:r>
          </w:hyperlink>
        </w:p>
        <w:p w14:paraId="4B3B95E7" w14:textId="52F43E58" w:rsidR="000F227A" w:rsidRPr="00173FC2" w:rsidRDefault="00AD03FB" w:rsidP="00E5452A">
          <w:pPr>
            <w:pStyle w:val="TOC1"/>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36" w:history="1">
            <w:r w:rsidR="000F227A" w:rsidRPr="00173FC2">
              <w:rPr>
                <w:rStyle w:val="Hyperlink"/>
                <w:noProof/>
                <w:sz w:val="24"/>
                <w:szCs w:val="24"/>
              </w:rPr>
              <w:t>6. Conclusion to the report</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_Toc214641836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17</w:t>
            </w:r>
            <w:r w:rsidR="000F227A" w:rsidRPr="00173FC2">
              <w:rPr>
                <w:noProof/>
                <w:webHidden/>
                <w:sz w:val="24"/>
                <w:szCs w:val="24"/>
              </w:rPr>
              <w:fldChar w:fldCharType="end"/>
            </w:r>
          </w:hyperlink>
        </w:p>
        <w:p w14:paraId="47F2A39F" w14:textId="087033A1" w:rsidR="000F227A" w:rsidRPr="00173FC2" w:rsidRDefault="00AD03FB" w:rsidP="00E5452A">
          <w:pPr>
            <w:pStyle w:val="TOC1"/>
            <w:tabs>
              <w:tab w:val="right" w:leader="dot" w:pos="9350"/>
            </w:tabs>
            <w:spacing w:after="0" w:line="360" w:lineRule="auto"/>
            <w:jc w:val="both"/>
            <w:rPr>
              <w:rFonts w:eastAsiaTheme="minorEastAsia"/>
              <w:noProof/>
              <w:kern w:val="2"/>
              <w:sz w:val="24"/>
              <w:szCs w:val="24"/>
              <w:lang w:eastAsia="en-IN"/>
              <w14:ligatures w14:val="standardContextual"/>
            </w:rPr>
          </w:pPr>
          <w:hyperlink w:anchor="_Toc214641837" w:history="1">
            <w:r w:rsidR="000F227A" w:rsidRPr="00173FC2">
              <w:rPr>
                <w:rStyle w:val="Hyperlink"/>
                <w:noProof/>
                <w:sz w:val="24"/>
                <w:szCs w:val="24"/>
              </w:rPr>
              <w:t>References</w:t>
            </w:r>
            <w:r w:rsidR="000F227A" w:rsidRPr="00173FC2">
              <w:rPr>
                <w:noProof/>
                <w:webHidden/>
                <w:sz w:val="24"/>
                <w:szCs w:val="24"/>
              </w:rPr>
              <w:tab/>
            </w:r>
            <w:r w:rsidR="000F227A" w:rsidRPr="00173FC2">
              <w:rPr>
                <w:noProof/>
                <w:webHidden/>
                <w:sz w:val="24"/>
                <w:szCs w:val="24"/>
              </w:rPr>
              <w:fldChar w:fldCharType="begin"/>
            </w:r>
            <w:r w:rsidR="000F227A" w:rsidRPr="00173FC2">
              <w:rPr>
                <w:noProof/>
                <w:webHidden/>
                <w:sz w:val="24"/>
                <w:szCs w:val="24"/>
              </w:rPr>
              <w:instrText xml:space="preserve"> PAGEREF _Toc214641837 \h </w:instrText>
            </w:r>
            <w:r w:rsidR="000F227A" w:rsidRPr="00173FC2">
              <w:rPr>
                <w:noProof/>
                <w:webHidden/>
                <w:sz w:val="24"/>
                <w:szCs w:val="24"/>
              </w:rPr>
            </w:r>
            <w:r w:rsidR="000F227A" w:rsidRPr="00173FC2">
              <w:rPr>
                <w:noProof/>
                <w:webHidden/>
                <w:sz w:val="24"/>
                <w:szCs w:val="24"/>
              </w:rPr>
              <w:fldChar w:fldCharType="separate"/>
            </w:r>
            <w:r w:rsidR="00CC7C38" w:rsidRPr="00173FC2">
              <w:rPr>
                <w:noProof/>
                <w:webHidden/>
                <w:sz w:val="24"/>
                <w:szCs w:val="24"/>
              </w:rPr>
              <w:t>19</w:t>
            </w:r>
            <w:r w:rsidR="000F227A" w:rsidRPr="00173FC2">
              <w:rPr>
                <w:noProof/>
                <w:webHidden/>
                <w:sz w:val="24"/>
                <w:szCs w:val="24"/>
              </w:rPr>
              <w:fldChar w:fldCharType="end"/>
            </w:r>
          </w:hyperlink>
        </w:p>
        <w:p w14:paraId="46648D12" w14:textId="427BE965" w:rsidR="00DE5498" w:rsidRPr="00173FC2" w:rsidRDefault="004D7D10" w:rsidP="00E5452A">
          <w:pPr>
            <w:spacing w:line="360" w:lineRule="auto"/>
            <w:jc w:val="both"/>
            <w:rPr>
              <w:sz w:val="24"/>
              <w:szCs w:val="24"/>
            </w:rPr>
          </w:pPr>
          <w:r w:rsidRPr="00173FC2">
            <w:rPr>
              <w:sz w:val="24"/>
              <w:szCs w:val="24"/>
            </w:rPr>
            <w:fldChar w:fldCharType="end"/>
          </w:r>
        </w:p>
      </w:sdtContent>
    </w:sdt>
    <w:bookmarkStart w:id="4" w:name="_x3dbzpjqkgx0" w:colFirst="0" w:colLast="0" w:displacedByCustomXml="prev"/>
    <w:bookmarkEnd w:id="4" w:displacedByCustomXml="prev"/>
    <w:bookmarkStart w:id="5" w:name="_4z2bxxnldhzy" w:colFirst="0" w:colLast="0" w:displacedByCustomXml="prev"/>
    <w:bookmarkEnd w:id="5" w:displacedByCustomXml="prev"/>
    <w:bookmarkStart w:id="6" w:name="_ji4j8tthixyy" w:colFirst="0" w:colLast="0" w:displacedByCustomXml="prev"/>
    <w:bookmarkEnd w:id="6" w:displacedByCustomXml="prev"/>
    <w:bookmarkStart w:id="7" w:name="_mgns3skqddpe" w:colFirst="0" w:colLast="0" w:displacedByCustomXml="prev"/>
    <w:bookmarkEnd w:id="7" w:displacedByCustomXml="prev"/>
    <w:bookmarkStart w:id="8" w:name="_eoscoka24iy4" w:colFirst="0" w:colLast="0" w:displacedByCustomXml="prev"/>
    <w:bookmarkEnd w:id="8" w:displacedByCustomXml="prev"/>
    <w:bookmarkStart w:id="9" w:name="_vu34pr36ltb1" w:colFirst="0" w:colLast="0" w:displacedByCustomXml="prev"/>
    <w:bookmarkEnd w:id="9" w:displacedByCustomXml="prev"/>
    <w:bookmarkStart w:id="10" w:name="_p296rnb1ejze" w:colFirst="0" w:colLast="0" w:displacedByCustomXml="prev"/>
    <w:bookmarkEnd w:id="10" w:displacedByCustomXml="prev"/>
    <w:bookmarkStart w:id="11" w:name="_u8bwhbczc774" w:colFirst="0" w:colLast="0" w:displacedByCustomXml="prev"/>
    <w:bookmarkEnd w:id="11" w:displacedByCustomXml="prev"/>
    <w:bookmarkStart w:id="12" w:name="_qnzwg7tvd40j" w:colFirst="0" w:colLast="0" w:displacedByCustomXml="prev"/>
    <w:bookmarkEnd w:id="12" w:displacedByCustomXml="prev"/>
    <w:bookmarkStart w:id="13" w:name="_pkzpuysdrdff" w:colFirst="0" w:colLast="0" w:displacedByCustomXml="prev"/>
    <w:bookmarkEnd w:id="13" w:displacedByCustomXml="prev"/>
    <w:bookmarkStart w:id="14" w:name="_lkwwck4r4h77" w:colFirst="0" w:colLast="0" w:displacedByCustomXml="prev"/>
    <w:bookmarkEnd w:id="14" w:displacedByCustomXml="prev"/>
    <w:bookmarkStart w:id="15" w:name="_6tggsturszr3" w:colFirst="0" w:colLast="0" w:displacedByCustomXml="prev"/>
    <w:bookmarkEnd w:id="15" w:displacedByCustomXml="prev"/>
    <w:bookmarkStart w:id="16" w:name="_34jr7tlcx0fe" w:colFirst="0" w:colLast="0" w:displacedByCustomXml="prev"/>
    <w:bookmarkEnd w:id="16" w:displacedByCustomXml="prev"/>
    <w:bookmarkStart w:id="17" w:name="_vahunqne43vz" w:colFirst="0" w:colLast="0" w:displacedByCustomXml="prev"/>
    <w:bookmarkEnd w:id="17" w:displacedByCustomXml="prev"/>
    <w:bookmarkStart w:id="18" w:name="_3obzq98o93lz" w:colFirst="0" w:colLast="0" w:displacedByCustomXml="prev"/>
    <w:bookmarkEnd w:id="18" w:displacedByCustomXml="prev"/>
    <w:bookmarkStart w:id="19" w:name="_acvi1b9alekz" w:colFirst="0" w:colLast="0" w:displacedByCustomXml="prev"/>
    <w:bookmarkEnd w:id="19" w:displacedByCustomXml="prev"/>
    <w:bookmarkStart w:id="20" w:name="_4845mew9vqx2" w:colFirst="0" w:colLast="0" w:displacedByCustomXml="prev"/>
    <w:bookmarkEnd w:id="20" w:displacedByCustomXml="prev"/>
    <w:bookmarkStart w:id="21" w:name="_tf1b7c23a5dw" w:colFirst="0" w:colLast="0" w:displacedByCustomXml="prev"/>
    <w:bookmarkEnd w:id="21" w:displacedByCustomXml="prev"/>
    <w:bookmarkStart w:id="22" w:name="_f4yrqdw0cxum" w:colFirst="0" w:colLast="0" w:displacedByCustomXml="prev"/>
    <w:bookmarkEnd w:id="22" w:displacedByCustomXml="prev"/>
    <w:bookmarkStart w:id="23" w:name="_x5bj6kl6hwok" w:colFirst="0" w:colLast="0" w:displacedByCustomXml="prev"/>
    <w:bookmarkEnd w:id="23" w:displacedByCustomXml="prev"/>
    <w:bookmarkStart w:id="24" w:name="_lkp3ql6kt893" w:colFirst="0" w:colLast="0" w:displacedByCustomXml="prev"/>
    <w:bookmarkEnd w:id="24" w:displacedByCustomXml="prev"/>
    <w:bookmarkStart w:id="25" w:name="_101x4ec1vxy" w:colFirst="0" w:colLast="0" w:displacedByCustomXml="prev"/>
    <w:bookmarkEnd w:id="25" w:displacedByCustomXml="prev"/>
    <w:bookmarkStart w:id="26" w:name="_biw3407hujsg" w:colFirst="0" w:colLast="0" w:displacedByCustomXml="prev"/>
    <w:bookmarkEnd w:id="26" w:displacedByCustomXml="prev"/>
    <w:bookmarkStart w:id="27" w:name="_7mpa2l39u8ol" w:colFirst="0" w:colLast="0" w:displacedByCustomXml="prev"/>
    <w:bookmarkEnd w:id="27" w:displacedByCustomXml="prev"/>
    <w:bookmarkStart w:id="28" w:name="_6uuiedhrqdlq" w:colFirst="0" w:colLast="0" w:displacedByCustomXml="prev"/>
    <w:bookmarkEnd w:id="28" w:displacedByCustomXml="prev"/>
    <w:p w14:paraId="1A84BD83" w14:textId="77777777" w:rsidR="00DE5498" w:rsidRPr="00173FC2" w:rsidRDefault="00DE5498" w:rsidP="00E5452A">
      <w:pPr>
        <w:pStyle w:val="Normal1"/>
        <w:spacing w:line="360" w:lineRule="auto"/>
        <w:jc w:val="both"/>
        <w:rPr>
          <w:sz w:val="24"/>
          <w:szCs w:val="24"/>
        </w:rPr>
      </w:pPr>
    </w:p>
    <w:p w14:paraId="1A22E524" w14:textId="77777777" w:rsidR="000F227A" w:rsidRPr="00173FC2" w:rsidRDefault="000F227A" w:rsidP="00E5452A">
      <w:pPr>
        <w:spacing w:line="360" w:lineRule="auto"/>
        <w:jc w:val="both"/>
        <w:rPr>
          <w:rFonts w:eastAsia="Times New Roman"/>
          <w:b/>
          <w:bCs/>
          <w:sz w:val="24"/>
          <w:szCs w:val="24"/>
        </w:rPr>
      </w:pPr>
      <w:bookmarkStart w:id="29" w:name="_er71626g27yp" w:colFirst="0" w:colLast="0"/>
      <w:bookmarkEnd w:id="29"/>
      <w:r w:rsidRPr="00173FC2">
        <w:rPr>
          <w:sz w:val="24"/>
          <w:szCs w:val="24"/>
        </w:rPr>
        <w:br w:type="page"/>
      </w:r>
    </w:p>
    <w:p w14:paraId="6ECB2424" w14:textId="0C43A523" w:rsidR="00DE5498" w:rsidRPr="00173FC2" w:rsidRDefault="00970BC5" w:rsidP="00E5452A">
      <w:pPr>
        <w:pStyle w:val="Heading1"/>
        <w:rPr>
          <w:rFonts w:ascii="Arial" w:hAnsi="Arial" w:cs="Arial"/>
        </w:rPr>
      </w:pPr>
      <w:bookmarkStart w:id="30" w:name="_Toc214641821"/>
      <w:r w:rsidRPr="00173FC2">
        <w:rPr>
          <w:rFonts w:ascii="Arial" w:hAnsi="Arial" w:cs="Arial"/>
        </w:rPr>
        <w:lastRenderedPageBreak/>
        <w:t>1. Introduction to the report</w:t>
      </w:r>
      <w:bookmarkEnd w:id="30"/>
      <w:r w:rsidRPr="00173FC2">
        <w:rPr>
          <w:rFonts w:ascii="Arial" w:hAnsi="Arial" w:cs="Arial"/>
        </w:rPr>
        <w:t xml:space="preserve"> </w:t>
      </w:r>
    </w:p>
    <w:p w14:paraId="02367AC8"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In today’s globalised economy, multinational enterprises play a critical role in shaping international trade, investment, and innovation across industries. This report critically reviews the global activities of Toyota Motor Corporation, which is among the largest automotive producers in the world and one of the largest multinational corporations (MNCs) in the world. Toyota currently has more than 50 plants worldwide, with over 27 manufacturing plants, and this indicates its expansion and presence in the automobile sector (Toyota Motor Corporation, 2025). The report dwells on the advantages and the obstacles that are related to the internationalisation of Toyota, including its research and development, production, sourcing, sales, and financing processes. It also assesses the foreign market entry strategies of the company with a focus on the predominant role of foreign direct investment (FDI) and investigates the major benefits it gains due to its international pursuits. Moreover, the report uses the OLI (Ownership, Location, Internalisation) model to explain the role of the three factors in shaping international strategies at Toyota. The experience gained in this research offers a holistic approach to the strategic analysis needed to succeed in international business.</w:t>
      </w:r>
    </w:p>
    <w:p w14:paraId="7F110E50" w14:textId="77777777" w:rsidR="00DE5498" w:rsidRPr="00173FC2" w:rsidRDefault="00970BC5" w:rsidP="00E5452A">
      <w:pPr>
        <w:pStyle w:val="Heading1"/>
        <w:rPr>
          <w:rFonts w:ascii="Arial" w:hAnsi="Arial" w:cs="Arial"/>
        </w:rPr>
      </w:pPr>
      <w:bookmarkStart w:id="31" w:name="_pa1mt86g1269" w:colFirst="0" w:colLast="0"/>
      <w:bookmarkStart w:id="32" w:name="_Toc214641822"/>
      <w:bookmarkEnd w:id="31"/>
      <w:r w:rsidRPr="00173FC2">
        <w:rPr>
          <w:rFonts w:ascii="Arial" w:hAnsi="Arial" w:cs="Arial"/>
        </w:rPr>
        <w:t>2. Benefits and challenges of international operations</w:t>
      </w:r>
      <w:bookmarkEnd w:id="32"/>
      <w:r w:rsidRPr="00173FC2">
        <w:rPr>
          <w:rFonts w:ascii="Arial" w:hAnsi="Arial" w:cs="Arial"/>
        </w:rPr>
        <w:t xml:space="preserve"> </w:t>
      </w:r>
    </w:p>
    <w:p w14:paraId="4C5F1417" w14:textId="77777777" w:rsidR="00DE5498" w:rsidRPr="00173FC2" w:rsidRDefault="00970BC5" w:rsidP="00E5452A">
      <w:pPr>
        <w:pStyle w:val="Heading2"/>
        <w:spacing w:before="0" w:after="0"/>
        <w:rPr>
          <w:rFonts w:ascii="Arial" w:hAnsi="Arial" w:cs="Arial"/>
          <w:sz w:val="24"/>
          <w:szCs w:val="24"/>
        </w:rPr>
      </w:pPr>
      <w:bookmarkStart w:id="33" w:name="_pqe7cigkvvr" w:colFirst="0" w:colLast="0"/>
      <w:bookmarkStart w:id="34" w:name="_Toc214641823"/>
      <w:bookmarkEnd w:id="33"/>
      <w:r w:rsidRPr="00173FC2">
        <w:rPr>
          <w:rFonts w:ascii="Arial" w:hAnsi="Arial" w:cs="Arial"/>
          <w:sz w:val="24"/>
          <w:szCs w:val="24"/>
        </w:rPr>
        <w:t>a. Explaining why Toyota Motor can be designated an MNC/TNC</w:t>
      </w:r>
      <w:bookmarkEnd w:id="34"/>
    </w:p>
    <w:p w14:paraId="76929F07"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Toyota Motor Corporation is obviously a multinational enterprise (MNC). The company is designing, producing, and distributing automobiles in dozens of nations, and it possesses a large international presence. Toyota has over 50 foreign manufacturing facilities in 27 non-Japanese countries and regions (Toyota Motor Corporation, 2025). In 2025, the net revenues of Toyota amounted to ¥48.04 trillion (US314 billion), with much of it being obtained beyond Japan (Toyota Motor, 2025). By the volume of sales in 2024, Toyota (including Lexus) sold approximately 10.16 million vehicles worldwide, 2.73 million in North America, 3.21 million in Asia, 1.17 million in Europe, and 1.44 million in Japan (Toyota Motor Corporation, 2025). Toyota’s global presence demonstrates its strong multinational enterprise capabilities</w:t>
      </w:r>
    </w:p>
    <w:p w14:paraId="71EBC63A"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noProof/>
          <w:sz w:val="24"/>
          <w:szCs w:val="24"/>
          <w:highlight w:val="white"/>
          <w:lang w:val="en-US"/>
        </w:rPr>
        <w:lastRenderedPageBreak/>
        <w:drawing>
          <wp:inline distT="114300" distB="114300" distL="114300" distR="114300" wp14:anchorId="6F38E70E" wp14:editId="7504EC62">
            <wp:extent cx="5943600" cy="16002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1600200"/>
                    </a:xfrm>
                    <a:prstGeom prst="rect">
                      <a:avLst/>
                    </a:prstGeom>
                    <a:ln w="12700">
                      <a:solidFill>
                        <a:srgbClr val="000000"/>
                      </a:solidFill>
                      <a:prstDash val="solid"/>
                    </a:ln>
                  </pic:spPr>
                </pic:pic>
              </a:graphicData>
            </a:graphic>
          </wp:inline>
        </w:drawing>
      </w:r>
    </w:p>
    <w:p w14:paraId="7D20947B" w14:textId="77777777" w:rsidR="00DE5498" w:rsidRPr="00173FC2" w:rsidRDefault="00970BC5" w:rsidP="00E5452A">
      <w:pPr>
        <w:pStyle w:val="Normal1"/>
        <w:spacing w:line="360" w:lineRule="auto"/>
        <w:jc w:val="both"/>
        <w:rPr>
          <w:rFonts w:eastAsia="Times New Roman"/>
          <w:b/>
          <w:bCs/>
          <w:sz w:val="24"/>
          <w:szCs w:val="24"/>
          <w:highlight w:val="white"/>
        </w:rPr>
      </w:pPr>
      <w:r w:rsidRPr="00173FC2">
        <w:rPr>
          <w:rFonts w:eastAsia="Times New Roman"/>
          <w:b/>
          <w:bCs/>
          <w:sz w:val="24"/>
          <w:szCs w:val="24"/>
          <w:highlight w:val="white"/>
        </w:rPr>
        <w:t>Figure 1: Different Regions of Toyota sales</w:t>
      </w:r>
    </w:p>
    <w:p w14:paraId="65ED24CC"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(Source: Toyota Motor Corporation, 2025)</w:t>
      </w:r>
    </w:p>
    <w:p w14:paraId="55A99886" w14:textId="77777777" w:rsidR="00DE5498" w:rsidRPr="00173FC2" w:rsidRDefault="00970BC5" w:rsidP="00E5452A">
      <w:pPr>
        <w:pStyle w:val="Heading2"/>
        <w:spacing w:before="0" w:after="0"/>
        <w:rPr>
          <w:rFonts w:ascii="Arial" w:hAnsi="Arial" w:cs="Arial"/>
          <w:sz w:val="24"/>
          <w:szCs w:val="24"/>
        </w:rPr>
      </w:pPr>
      <w:bookmarkStart w:id="35" w:name="_kbvj1l2tlyb" w:colFirst="0" w:colLast="0"/>
      <w:bookmarkStart w:id="36" w:name="_Toc214641824"/>
      <w:bookmarkEnd w:id="35"/>
      <w:r w:rsidRPr="00173FC2">
        <w:rPr>
          <w:rFonts w:ascii="Arial" w:hAnsi="Arial" w:cs="Arial"/>
          <w:sz w:val="24"/>
          <w:szCs w:val="24"/>
        </w:rPr>
        <w:t>b. Global activities of Toyota Motors</w:t>
      </w:r>
      <w:bookmarkEnd w:id="36"/>
    </w:p>
    <w:p w14:paraId="664D3487"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Research and Development</w:t>
      </w:r>
      <w:r w:rsidRPr="00173FC2">
        <w:rPr>
          <w:rFonts w:eastAsia="Times New Roman"/>
          <w:sz w:val="24"/>
          <w:szCs w:val="24"/>
          <w:highlight w:val="white"/>
        </w:rPr>
        <w:t>: Toyota has a high rate of worldwide R&amp;D. During fiscal 2025, it incurred about 1326.4 billion on R&amp;D (Toyota Motor Corporation, 2025). M Report (2025) stated that its research and development is geared to the future mobility hybrids, EVs, fuel cell and autonomous driving technologies, particularly to the energy and environment solutions.</w:t>
      </w:r>
    </w:p>
    <w:p w14:paraId="3AE515CE"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Sourcing</w:t>
      </w:r>
      <w:r w:rsidRPr="00173FC2">
        <w:rPr>
          <w:rFonts w:eastAsia="Times New Roman"/>
          <w:sz w:val="24"/>
          <w:szCs w:val="24"/>
          <w:highlight w:val="white"/>
        </w:rPr>
        <w:t>: Toyota acquires components, raw materials, and parts through a network of suppliers that are globally spread out and have more than 50 operations in 26+ countries (Toyota Motor Corporation, 2024). This multi-country sourcing strategy assists in the optimisation of cost, stimulation of supplier innovation, and sustainability of the supply chain.</w:t>
      </w:r>
    </w:p>
    <w:p w14:paraId="018255DC"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Production</w:t>
      </w:r>
      <w:r w:rsidRPr="00173FC2">
        <w:rPr>
          <w:rFonts w:eastAsia="Times New Roman"/>
          <w:sz w:val="24"/>
          <w:szCs w:val="24"/>
          <w:highlight w:val="white"/>
        </w:rPr>
        <w:t>: Toyota operates 54 plants worldwide, allowing it to produce near-demand markets (Toyota Motor Corporation, 2024). Toyota Motor Corporation (2024) narrated that Toyota's production and export statistics indicate that the company achieved a large output worldwide through its global network in the first half of fiscal 2025.</w:t>
      </w:r>
    </w:p>
    <w:p w14:paraId="00247A1F"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Sales</w:t>
      </w:r>
      <w:r w:rsidRPr="00173FC2">
        <w:rPr>
          <w:rFonts w:eastAsia="Times New Roman"/>
          <w:sz w:val="24"/>
          <w:szCs w:val="24"/>
          <w:highlight w:val="white"/>
        </w:rPr>
        <w:t>: Toyota is expected to sell 9,362 thousand vehicles in fiscal 2025, which will be consolidated (Toyota Motor Corporation, 2024). Toyota Motor Corporation (2024) stated that it has a broad global distribution, covering North American, European, Asian, and Japanese markets.</w:t>
      </w:r>
    </w:p>
    <w:p w14:paraId="126D9649"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Financing</w:t>
      </w:r>
      <w:r w:rsidRPr="00173FC2">
        <w:rPr>
          <w:rFonts w:eastAsia="Times New Roman"/>
          <w:sz w:val="24"/>
          <w:szCs w:val="24"/>
          <w:highlight w:val="white"/>
        </w:rPr>
        <w:t xml:space="preserve">: The consolidated sales revenue of Toyota as of the fiscal year ended March 31, 2025, was ¥48,036.7 billion, and the net income was 4,765.0 billion (Toyota Motor </w:t>
      </w:r>
      <w:r w:rsidRPr="00173FC2">
        <w:rPr>
          <w:rFonts w:eastAsia="Times New Roman"/>
          <w:sz w:val="24"/>
          <w:szCs w:val="24"/>
          <w:highlight w:val="white"/>
        </w:rPr>
        <w:lastRenderedPageBreak/>
        <w:t>Corporation, 2024). Its financial services division (leasing, loans, insurance) generated ¥4,437,827 million in external customer revenue.</w:t>
      </w:r>
    </w:p>
    <w:p w14:paraId="112B3524" w14:textId="77777777" w:rsidR="00DE5498" w:rsidRPr="00173FC2" w:rsidRDefault="00970BC5" w:rsidP="00E5452A">
      <w:pPr>
        <w:pStyle w:val="Heading2"/>
        <w:spacing w:before="0" w:after="0"/>
        <w:rPr>
          <w:rFonts w:ascii="Arial" w:hAnsi="Arial" w:cs="Arial"/>
          <w:sz w:val="24"/>
          <w:szCs w:val="24"/>
        </w:rPr>
      </w:pPr>
      <w:bookmarkStart w:id="37" w:name="_nvzl5pzf36rp" w:colFirst="0" w:colLast="0"/>
      <w:bookmarkStart w:id="38" w:name="_Toc214641825"/>
      <w:bookmarkEnd w:id="37"/>
      <w:r w:rsidRPr="00173FC2">
        <w:rPr>
          <w:rFonts w:ascii="Arial" w:hAnsi="Arial" w:cs="Arial"/>
          <w:sz w:val="24"/>
          <w:szCs w:val="24"/>
        </w:rPr>
        <w:t>c. The various entry modes that Toyota Motors has employed in entering the various international markets</w:t>
      </w:r>
      <w:bookmarkEnd w:id="38"/>
    </w:p>
    <w:p w14:paraId="41A26026"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Foreign Direct Investment (FDI</w:t>
      </w:r>
      <w:r w:rsidRPr="00173FC2">
        <w:rPr>
          <w:rFonts w:eastAsia="Times New Roman"/>
          <w:sz w:val="24"/>
          <w:szCs w:val="24"/>
          <w:highlight w:val="white"/>
        </w:rPr>
        <w:t xml:space="preserve">) </w:t>
      </w:r>
      <w:r w:rsidRPr="00173FC2">
        <w:rPr>
          <w:rFonts w:eastAsia="Times New Roman"/>
          <w:b/>
          <w:bCs/>
          <w:i/>
          <w:iCs/>
          <w:sz w:val="24"/>
          <w:szCs w:val="24"/>
          <w:highlight w:val="white"/>
        </w:rPr>
        <w:t>- Wholly-Owned Subsidiaries / Greenfield Plants:</w:t>
      </w:r>
      <w:r w:rsidRPr="00173FC2">
        <w:rPr>
          <w:rFonts w:eastAsia="Times New Roman"/>
          <w:sz w:val="24"/>
          <w:szCs w:val="24"/>
          <w:highlight w:val="white"/>
        </w:rPr>
        <w:t xml:space="preserve"> Toyota invests in foreign manufacturing sites by erecting and running its own manufacturing plants in foreign markets. Toyota has over 50 foreign factories operating in 27 countries and regions beyond Japan as of March 31, 2025 (Toyota Motor Corporation, 2025a). This enables Toyota to localise production and lower the cost of trade (tariffs, transport), and react fast to the demand in the region with its Toyota Production System (Toyota Motor Corporation, 2025a). As an illustration, it has plants all over North America, Europe (Czech Republic, UK, France), Asia (Thailand, India, China), South America (Argentina, Brazil), among others (Toyota Motor Corporation, 2025a). By means of FDI, Toyota maintains overall control over quality, production processes, and long-term strategy in critical markets.</w:t>
      </w:r>
    </w:p>
    <w:p w14:paraId="0D4F62E1"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Joint Ventures (JVs)</w:t>
      </w:r>
      <w:r w:rsidRPr="00173FC2">
        <w:rPr>
          <w:rFonts w:eastAsia="Times New Roman"/>
          <w:sz w:val="24"/>
          <w:szCs w:val="24"/>
          <w:highlight w:val="white"/>
        </w:rPr>
        <w:t>: Toyota applies joint ventures in markets where limitations exist or a local joint venture is a strategic factor. China is one of the most significant markets, having 50:50 joint ventures with FAW Group (FAW-Toyota) and Guangzhou Automobile Group (GAC) (GAC-Toyota) to produce such popular models as Corolla, Camry, RAV4, and EVs (Toyota Motor Corporation, 2025a). As an example, its JV with FAW has three regional plants (Tianjin, Changchun, Sichuan), and the total capacity is approximately 690,000 units per year (Toyota Motor Corporation, 2025a). This mode allows Toyota to meet its local regulatory limitations, distributing capital risk, and exploiting partner networks (distribution, supplier, labor).</w:t>
      </w:r>
    </w:p>
    <w:p w14:paraId="399119BF"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Exporting / Export-Based Distribution:</w:t>
      </w:r>
      <w:r w:rsidRPr="00173FC2">
        <w:rPr>
          <w:rFonts w:eastAsia="Times New Roman"/>
          <w:sz w:val="24"/>
          <w:szCs w:val="24"/>
          <w:highlight w:val="white"/>
        </w:rPr>
        <w:t xml:space="preserve"> Another method used by Toyota is the exporting of vehicles and components manufactured in its home-based production or regional centers to the markets where there is no production. This was one of the earliest modes of Toyota penetrating many markets in the past. The company reports on its own SEC filings that much of its foreign sales were initially served through exports, and subsequent local plants were constructed (Toyota Motor Corporation, 2025a). Exports </w:t>
      </w:r>
      <w:r w:rsidRPr="00173FC2">
        <w:rPr>
          <w:rFonts w:eastAsia="Times New Roman"/>
          <w:sz w:val="24"/>
          <w:szCs w:val="24"/>
          <w:highlight w:val="white"/>
        </w:rPr>
        <w:lastRenderedPageBreak/>
        <w:t>are still applicable to the models or market segment where local production is not feasible or efficient yet, or where serving a market with a limited scale.</w:t>
      </w:r>
    </w:p>
    <w:p w14:paraId="0E957D38" w14:textId="77777777" w:rsidR="00DE5498" w:rsidRPr="00173FC2" w:rsidRDefault="00970BC5" w:rsidP="00E5452A">
      <w:pPr>
        <w:pStyle w:val="Normal1"/>
        <w:spacing w:line="360" w:lineRule="auto"/>
        <w:jc w:val="both"/>
        <w:rPr>
          <w:rFonts w:eastAsia="Times New Roman"/>
          <w:b/>
          <w:bCs/>
          <w:sz w:val="24"/>
          <w:szCs w:val="24"/>
          <w:highlight w:val="white"/>
        </w:rPr>
      </w:pPr>
      <w:r w:rsidRPr="00173FC2">
        <w:rPr>
          <w:rFonts w:eastAsia="Times New Roman"/>
          <w:b/>
          <w:bCs/>
          <w:sz w:val="24"/>
          <w:szCs w:val="24"/>
          <w:highlight w:val="white"/>
        </w:rPr>
        <w:t>Dominant Entry Mode</w:t>
      </w:r>
    </w:p>
    <w:p w14:paraId="17F1961A" w14:textId="6124BE4C"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Foreign Direct Investment (FDI):</w:t>
      </w:r>
      <w:r w:rsidRPr="00173FC2">
        <w:rPr>
          <w:rFonts w:eastAsia="Times New Roman"/>
          <w:sz w:val="24"/>
          <w:szCs w:val="24"/>
          <w:highlight w:val="white"/>
        </w:rPr>
        <w:t xml:space="preserve"> Although each of the three entry modes is significant, the prevailing global competitive approach in Toyota is FDI through wholly-owned subsidiaries and greenfield manufacturing. This is seen in the fact that it has over 50 production plants in other </w:t>
      </w:r>
      <w:r w:rsidR="00F45BEB" w:rsidRPr="00173FC2">
        <w:rPr>
          <w:rFonts w:eastAsia="Times New Roman"/>
          <w:sz w:val="24"/>
          <w:szCs w:val="24"/>
          <w:highlight w:val="white"/>
        </w:rPr>
        <w:t>countries, with</w:t>
      </w:r>
      <w:r w:rsidRPr="00173FC2">
        <w:rPr>
          <w:rFonts w:eastAsia="Times New Roman"/>
          <w:sz w:val="24"/>
          <w:szCs w:val="24"/>
          <w:highlight w:val="white"/>
        </w:rPr>
        <w:t xml:space="preserve"> more than 27 countries being covered (Toyota Motor Corporation, 2025a). FDI provides Toyota with the best control of production, quality, transfer of technology (its Toyota Production System), and cost structure. It also helps it to optimise its supply chain globally and be responsive to local demands. This means that through having and running its own plants, Toyota minimises risks of trade barriers, currency volatility, and invests in areas where growth opportunities are most likely to be higher.</w:t>
      </w:r>
    </w:p>
    <w:p w14:paraId="2A18253C"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highlight w:val="white"/>
        </w:rPr>
        <w:t>Toyota supplements its FDI with joint ventures in a situation where full ownership is challenging because of regulatory or strategic factors (such as in China). However, its size and international reach of wholly owned facilities render it the driving force behind its global growth in FDI.</w:t>
      </w:r>
    </w:p>
    <w:p w14:paraId="7B5934B4" w14:textId="77777777" w:rsidR="00DE5498" w:rsidRPr="00173FC2" w:rsidRDefault="00970BC5" w:rsidP="00E5452A">
      <w:pPr>
        <w:pStyle w:val="Heading2"/>
        <w:spacing w:before="0" w:after="0"/>
        <w:rPr>
          <w:rFonts w:ascii="Arial" w:hAnsi="Arial" w:cs="Arial"/>
          <w:sz w:val="24"/>
          <w:szCs w:val="24"/>
        </w:rPr>
      </w:pPr>
      <w:bookmarkStart w:id="39" w:name="_vogtrcmywv32" w:colFirst="0" w:colLast="0"/>
      <w:bookmarkStart w:id="40" w:name="_Toc214641826"/>
      <w:bookmarkEnd w:id="39"/>
      <w:r w:rsidRPr="00173FC2">
        <w:rPr>
          <w:rFonts w:ascii="Arial" w:hAnsi="Arial" w:cs="Arial"/>
          <w:sz w:val="24"/>
          <w:szCs w:val="24"/>
        </w:rPr>
        <w:t>d. The key benefits obtained by Toyota Motors from its international operations</w:t>
      </w:r>
      <w:bookmarkEnd w:id="40"/>
    </w:p>
    <w:p w14:paraId="2847C94A"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Cost Effectiveness and Economies of Scale</w:t>
      </w:r>
      <w:r w:rsidRPr="00173FC2">
        <w:rPr>
          <w:rFonts w:eastAsia="Times New Roman"/>
          <w:sz w:val="24"/>
          <w:szCs w:val="24"/>
          <w:highlight w:val="white"/>
        </w:rPr>
        <w:t>: With the localisation in an extensive number of markets, Toyota controls expenses connected with export charges, shipping, and foreign exchange risks. Fifty-two production bases in 27 countries mean that Toyota can distribute fixed costs and maximise capacity utilisation (Toyota Motor Corporation, 2024). As per Toyota Motor Corporation (2025b), its Global Link Production System allows plants that are underused to replace the work of busier plants and enhance flexibility and minimise wasted capacity.</w:t>
      </w:r>
    </w:p>
    <w:p w14:paraId="6501E4F0"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Quality and Standardisation</w:t>
      </w:r>
      <w:r w:rsidRPr="00173FC2">
        <w:rPr>
          <w:rFonts w:eastAsia="Times New Roman"/>
          <w:sz w:val="24"/>
          <w:szCs w:val="24"/>
          <w:highlight w:val="white"/>
        </w:rPr>
        <w:t xml:space="preserve">: Toyota implements the Toyota Production System (TPS) in all parts of the world, and that includes lean practices, continuous improvement (kaizen), and quality control, which guarantees the quality uniformity of its products in its plants across the world (Nkuna et al., 2023). The company standardises platforms and parts of its vehicles by product through its Toyota New Global Architecture (TNGA), thus </w:t>
      </w:r>
      <w:r w:rsidRPr="00173FC2">
        <w:rPr>
          <w:rFonts w:eastAsia="Times New Roman"/>
          <w:sz w:val="24"/>
          <w:szCs w:val="24"/>
          <w:highlight w:val="white"/>
        </w:rPr>
        <w:lastRenderedPageBreak/>
        <w:t>increasing commonality, decreasing duplication, and minimising costs without compromising quality.</w:t>
      </w:r>
    </w:p>
    <w:p w14:paraId="14B8A8DA" w14:textId="34F99A5D"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Risk Diversification and Flexibility</w:t>
      </w:r>
      <w:r w:rsidRPr="00173FC2">
        <w:rPr>
          <w:rFonts w:eastAsia="Times New Roman"/>
          <w:sz w:val="24"/>
          <w:szCs w:val="24"/>
          <w:highlight w:val="white"/>
        </w:rPr>
        <w:t xml:space="preserve">: Toyota operates in several </w:t>
      </w:r>
      <w:r w:rsidR="00F45BEB" w:rsidRPr="00173FC2">
        <w:rPr>
          <w:rFonts w:eastAsia="Times New Roman"/>
          <w:sz w:val="24"/>
          <w:szCs w:val="24"/>
          <w:highlight w:val="white"/>
        </w:rPr>
        <w:t>markets, and</w:t>
      </w:r>
      <w:r w:rsidRPr="00173FC2">
        <w:rPr>
          <w:rFonts w:eastAsia="Times New Roman"/>
          <w:sz w:val="24"/>
          <w:szCs w:val="24"/>
          <w:highlight w:val="white"/>
        </w:rPr>
        <w:t xml:space="preserve"> this helps it to hedge demand risks and geopolitical risks (Vidal López et al., 2024). Supply may be used as an example, when demand is low in one area, other facilities may be increased to offset. It has a worldwide manufacturing network and a strong supply chain that contributes to resiliency (Toyota Motor Corporation, 2025c). In addition, it has enhanced its competitiveness in the global market because, by localising operations, Toyota is able to improve products to suit local tastes, government demands, and prices.</w:t>
      </w:r>
    </w:p>
    <w:p w14:paraId="0B32689F"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Supply-Chain Optimisation:</w:t>
      </w:r>
      <w:r w:rsidRPr="00173FC2">
        <w:rPr>
          <w:rFonts w:eastAsia="Times New Roman"/>
          <w:sz w:val="24"/>
          <w:szCs w:val="24"/>
          <w:highlight w:val="white"/>
        </w:rPr>
        <w:t xml:space="preserve"> Toyota has a global supply chain that is assisted by its international business. The sourcing and production in a vast number of countries enable the firm to enjoy the savings in costs and reduced lead times, and enhanced supplier relationships (Yang, 2022). This also stands to facilitate Toyota to scale the procurement of key materials, negotiate with suppliers, and also maintain continuity of its input flows.</w:t>
      </w:r>
    </w:p>
    <w:p w14:paraId="27E462CC" w14:textId="66A3ACA3"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Innovation &amp; Localised R&amp;D</w:t>
      </w:r>
      <w:r w:rsidRPr="00173FC2">
        <w:rPr>
          <w:rFonts w:eastAsia="Times New Roman"/>
          <w:sz w:val="24"/>
          <w:szCs w:val="24"/>
          <w:highlight w:val="white"/>
        </w:rPr>
        <w:t>: To reduce the products to regional markets, Toyota has design/R&amp;D</w:t>
      </w:r>
      <w:r w:rsidR="00F45BEB" w:rsidRPr="00173FC2">
        <w:rPr>
          <w:rFonts w:eastAsia="Times New Roman"/>
          <w:sz w:val="24"/>
          <w:szCs w:val="24"/>
          <w:highlight w:val="white"/>
        </w:rPr>
        <w:t xml:space="preserve"> </w:t>
      </w:r>
      <w:r w:rsidRPr="00173FC2">
        <w:rPr>
          <w:rFonts w:eastAsia="Times New Roman"/>
          <w:sz w:val="24"/>
          <w:szCs w:val="24"/>
          <w:highlight w:val="white"/>
        </w:rPr>
        <w:t>centress in numerous countries, which are used to innovate much faster (Liu et al., 2024). This will assist the company in having a competitive advantage of knowing and responding to the local consumer preferences (EV demand in Europe, hybrid demand in emerging markets) better.</w:t>
      </w:r>
    </w:p>
    <w:p w14:paraId="7FAEE713"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Financial Strength and Revenue Growth</w:t>
      </w:r>
      <w:r w:rsidRPr="00173FC2">
        <w:rPr>
          <w:rFonts w:eastAsia="Times New Roman"/>
          <w:sz w:val="24"/>
          <w:szCs w:val="24"/>
          <w:highlight w:val="white"/>
        </w:rPr>
        <w:t>: Toyota has a global presence that promotes good financial strength. As an example, in the context of the Integrated Report 2024, Toyota emphasises that its global operations contribute to sustainable value generation, diversification of risks, and predictable cash flows in different regions (Toyota Motor Corporation, 2024). The production locally and marketing worldwide is what makes Toyota capture more markets and distribute its investment risks, and has led to its strength and profitability.</w:t>
      </w:r>
    </w:p>
    <w:p w14:paraId="73E3C23B"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 xml:space="preserve">The globalisation of Toyota's business generates enormous advantages. The reduction of unit costs, economies of scale, the consistent quality, the international TPS, and the opportunity to be more flexible with the help of the diversification of the risk of production. The competitive advantage is further narrowed by its global supply chain and localised </w:t>
      </w:r>
      <w:r w:rsidRPr="00173FC2">
        <w:rPr>
          <w:rFonts w:eastAsia="Times New Roman"/>
          <w:sz w:val="24"/>
          <w:szCs w:val="24"/>
          <w:highlight w:val="white"/>
        </w:rPr>
        <w:lastRenderedPageBreak/>
        <w:t>R&amp;D. All these are benefits that enhance the global leadership and financial stability of Toyota.</w:t>
      </w:r>
    </w:p>
    <w:p w14:paraId="039F34DE" w14:textId="77777777" w:rsidR="00DE5498" w:rsidRPr="00173FC2" w:rsidRDefault="00970BC5" w:rsidP="00E5452A">
      <w:pPr>
        <w:pStyle w:val="Heading1"/>
        <w:rPr>
          <w:rFonts w:ascii="Arial" w:hAnsi="Arial" w:cs="Arial"/>
          <w:highlight w:val="yellow"/>
        </w:rPr>
      </w:pPr>
      <w:bookmarkStart w:id="41" w:name="_9rc1yaoyxmny" w:colFirst="0" w:colLast="0"/>
      <w:bookmarkStart w:id="42" w:name="_Toc214641827"/>
      <w:bookmarkEnd w:id="41"/>
      <w:r w:rsidRPr="00173FC2">
        <w:rPr>
          <w:rFonts w:ascii="Arial" w:hAnsi="Arial" w:cs="Arial"/>
        </w:rPr>
        <w:t>3. Impact of OLI Factors on Market Entry Mode</w:t>
      </w:r>
      <w:bookmarkEnd w:id="42"/>
      <w:r w:rsidRPr="00173FC2">
        <w:rPr>
          <w:rFonts w:ascii="Arial" w:hAnsi="Arial" w:cs="Arial"/>
        </w:rPr>
        <w:t xml:space="preserve"> </w:t>
      </w:r>
    </w:p>
    <w:p w14:paraId="0DBBDDA0"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 xml:space="preserve">John Dunning formulated the OLI (Ownership, Location, Internalisation) paradigm, which offers a good concept of understanding why multinational enterprises (MNEs) such as Toyota Motor Corporation adopt specific foreign market entry modes. </w:t>
      </w:r>
      <w:r w:rsidRPr="00173FC2">
        <w:rPr>
          <w:rFonts w:eastAsia="Times New Roman"/>
          <w:b/>
          <w:bCs/>
          <w:i/>
          <w:iCs/>
          <w:sz w:val="24"/>
          <w:szCs w:val="24"/>
          <w:highlight w:val="white"/>
        </w:rPr>
        <w:t>Ownership</w:t>
      </w:r>
      <w:r w:rsidRPr="00173FC2">
        <w:rPr>
          <w:rFonts w:eastAsia="Times New Roman"/>
          <w:sz w:val="24"/>
          <w:szCs w:val="24"/>
          <w:highlight w:val="white"/>
        </w:rPr>
        <w:t xml:space="preserve"> advantages are the assets or abilities of the firm that provide Toyota with a competitive advantage on the international front (Tarmohamed, 2022). Toyota has good proprietary strengths, which include the Toyota Production System (TPS), lean manufacturing, and continuous-improvement (kaizen) practices, which enable it to sustain operational superiority in expanding overseas. Furthermore, Toyota is able to standardise vehicle platforms across markets with its design and platform competence, especially the Toyota New Global Architecture (TNGA). It can also share components with other markets where Toyota can reduce costs and simplify the manufacturing process. Financial capability and size also represent some of the ownership advantages: as of March 31, 2025, Toyota has more than 50 global manufacturing organisations in 27 countries, which indicates that it can distribute the fixed costs among the large global volumes and use its capital to make strategic investments (Toyota Motor Corporation, 2025). Such ownership facilities explain why Toyota prefers to internalise its operations and not to depend on licensing or exports only.</w:t>
      </w:r>
    </w:p>
    <w:p w14:paraId="7B3206B5"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noProof/>
          <w:sz w:val="24"/>
          <w:szCs w:val="24"/>
          <w:highlight w:val="white"/>
          <w:lang w:val="en-US"/>
        </w:rPr>
        <w:lastRenderedPageBreak/>
        <w:drawing>
          <wp:inline distT="114300" distB="114300" distL="114300" distR="114300" wp14:anchorId="58ED65CF" wp14:editId="266799EE">
            <wp:extent cx="5943600" cy="3340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493847D0" w14:textId="77777777" w:rsidR="00DE5498" w:rsidRPr="00173FC2" w:rsidRDefault="00970BC5" w:rsidP="00E5452A">
      <w:pPr>
        <w:pStyle w:val="Normal1"/>
        <w:spacing w:line="360" w:lineRule="auto"/>
        <w:jc w:val="both"/>
        <w:rPr>
          <w:rFonts w:eastAsia="Times New Roman"/>
          <w:b/>
          <w:bCs/>
          <w:sz w:val="24"/>
          <w:szCs w:val="24"/>
          <w:highlight w:val="white"/>
        </w:rPr>
      </w:pPr>
      <w:r w:rsidRPr="00173FC2">
        <w:rPr>
          <w:rFonts w:eastAsia="Times New Roman"/>
          <w:b/>
          <w:bCs/>
          <w:sz w:val="24"/>
          <w:szCs w:val="24"/>
          <w:highlight w:val="white"/>
        </w:rPr>
        <w:t>Figure 2: OLI (Ownership, Location, Internalisation) paradigm</w:t>
      </w:r>
    </w:p>
    <w:p w14:paraId="0F27CC5C" w14:textId="77777777"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(Business-to-you, 2025)</w:t>
      </w:r>
    </w:p>
    <w:p w14:paraId="04D79814" w14:textId="53363D2C" w:rsidR="00DE5498" w:rsidRPr="00173FC2" w:rsidRDefault="00970BC5" w:rsidP="00E5452A">
      <w:pPr>
        <w:pStyle w:val="Normal1"/>
        <w:spacing w:line="360" w:lineRule="auto"/>
        <w:jc w:val="both"/>
        <w:rPr>
          <w:rFonts w:eastAsia="Times New Roman"/>
          <w:sz w:val="24"/>
          <w:szCs w:val="24"/>
          <w:highlight w:val="white"/>
        </w:rPr>
      </w:pPr>
      <w:r w:rsidRPr="00173FC2">
        <w:rPr>
          <w:rFonts w:eastAsia="Times New Roman"/>
          <w:b/>
          <w:bCs/>
          <w:i/>
          <w:iCs/>
          <w:sz w:val="24"/>
          <w:szCs w:val="24"/>
          <w:highlight w:val="white"/>
        </w:rPr>
        <w:t xml:space="preserve">Location </w:t>
      </w:r>
      <w:r w:rsidRPr="00173FC2">
        <w:rPr>
          <w:rFonts w:eastAsia="Times New Roman"/>
          <w:sz w:val="24"/>
          <w:szCs w:val="24"/>
          <w:highlight w:val="white"/>
        </w:rPr>
        <w:t xml:space="preserve">benefits can justify the reason why Toyota would opt to invest in specific markets in foreign countries instead of exporting all of its cars out of Japan. One of the reasons is closeness to high-demand markets. Toyota is strategic in placing plants in areas with high populations of consumers, such as North America, </w:t>
      </w:r>
      <w:r w:rsidR="00F45BEB" w:rsidRPr="00173FC2">
        <w:rPr>
          <w:rFonts w:eastAsia="Times New Roman"/>
          <w:sz w:val="24"/>
          <w:szCs w:val="24"/>
          <w:highlight w:val="white"/>
        </w:rPr>
        <w:t>Europe (</w:t>
      </w:r>
      <w:r w:rsidRPr="00173FC2">
        <w:rPr>
          <w:rFonts w:eastAsia="Times New Roman"/>
          <w:sz w:val="24"/>
          <w:szCs w:val="24"/>
          <w:highlight w:val="white"/>
        </w:rPr>
        <w:t>Czech, UK, France), Southeast Asia (Thailand, Indonesia), India, and Latin America, so that the company can respond to local demand in time and cut transportation expenses (Toyota Motor Corporation, 2024). Cost efficiency is also a location strength: some countries have cheaper labour costs, a preferable supply-chain system,s and trade advantages. Toyota has utilised a global procurement strategy that benefits local and regional suppliers to maximise costs and enhance efficiency (Toyota Motor Corporation, 2024). The location benefits are also promoted by regulatory incentives. An example is when in China, Toyota uses joint ventures with FAW and GAC to meet the local ownership laws and enter one of the largest automobile markets in the world (Toyota Motor Corporation, 2024). Moreover, the geographic diversification helps Toyota to reduce the risks like trade conflict, currency variation, and regional demand deterrence.</w:t>
      </w:r>
    </w:p>
    <w:p w14:paraId="5DF1E2A6"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lastRenderedPageBreak/>
        <w:t xml:space="preserve">The benefits of </w:t>
      </w:r>
      <w:r w:rsidRPr="00EC6F6D">
        <w:rPr>
          <w:rFonts w:eastAsia="Times New Roman"/>
          <w:b/>
          <w:sz w:val="24"/>
          <w:szCs w:val="24"/>
        </w:rPr>
        <w:t>internalisation</w:t>
      </w:r>
      <w:r w:rsidRPr="00173FC2">
        <w:rPr>
          <w:rFonts w:eastAsia="Times New Roman"/>
          <w:sz w:val="24"/>
          <w:szCs w:val="24"/>
        </w:rPr>
        <w:t xml:space="preserve"> are the reasons why Toyota would rather own and operate the business as opposed to using a third party contract and licensing business. Internalisation also gives Toyota the possibility to retain a close control over the quality of production and the process which is one of the fundamental aspects of the TPS philosophy. Direct control over manufacturing also lowers transaction costs relating to contracts, negotiations and the co-ordination with third parties especially in its global supply chain. The integrated procurement system allows Toyota to execute efficient sourcing, manage costs, and guarantee quality (Toyota Motor Corporation, 2024). Internalisation is also a form of protection to proprietary knowledge both in terms of production methods and design innovations and it is also flexible in terms of reallocating capacity in different regions depending on the changing demand.</w:t>
      </w:r>
    </w:p>
    <w:p w14:paraId="2390DAAA"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There are however challenges that are associated with the OLI framework which Toyota applied. In China, internalisation benefits are mitigated in a small portion since there is a need to enter joint ventures to comply with regulatory requirements (Toyota Motor Corporation, 2024). According to the SEC filing of 2022, Toyota has over 50 foreign manufacturing organizations in 26 countries and regions, and the distribution system has been getting more intricate (U.S. Securities and Exchange Commission, 2023).  Also, with the move by the auto industry to electric vehicles (EVs) and mobility services, Toyota might have to become more collaborative in R&amp;D and collaborations, weighing internalisation with the necessity to be innovative.</w:t>
      </w:r>
    </w:p>
    <w:p w14:paraId="072175DE"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To sum up, Toyota ownership, location, and internalisation advantages play a significant role in the international market entry decisions that the company has made. Its unique abilities, the power of its brands, and financial capabilities provide the direct investment in the foreign markets. The geographical benefits determine the location where production is to be set up in order to be cost effective, reach the market and diversification of risks. With internalisation, there is control over quality, knowledge and efficiency of a transaction. Although the joint venture in markets such as china indicate some trade-offs, the OLI model demonstrates the reason why Toyota has used foreign direct investment as the major mode of entry, which has helped it to retain its global competitiveness, operational excellence, and financial sustainability.</w:t>
      </w:r>
    </w:p>
    <w:p w14:paraId="29B36B6A" w14:textId="77777777" w:rsidR="00DE5498" w:rsidRPr="00173FC2" w:rsidRDefault="00970BC5" w:rsidP="00E5452A">
      <w:pPr>
        <w:pStyle w:val="Heading1"/>
        <w:rPr>
          <w:rFonts w:ascii="Arial" w:hAnsi="Arial" w:cs="Arial"/>
        </w:rPr>
      </w:pPr>
      <w:bookmarkStart w:id="43" w:name="_a5tmxrnt911b" w:colFirst="0" w:colLast="0"/>
      <w:bookmarkStart w:id="44" w:name="_Toc214641828"/>
      <w:bookmarkEnd w:id="43"/>
      <w:r w:rsidRPr="00173FC2">
        <w:rPr>
          <w:rFonts w:ascii="Arial" w:hAnsi="Arial" w:cs="Arial"/>
        </w:rPr>
        <w:lastRenderedPageBreak/>
        <w:t>4. Cultural Differences and Their Impact on Market Entry and Success</w:t>
      </w:r>
      <w:bookmarkEnd w:id="44"/>
    </w:p>
    <w:p w14:paraId="632C89F6" w14:textId="77777777" w:rsidR="00DE5498" w:rsidRPr="00173FC2" w:rsidRDefault="00970BC5" w:rsidP="00E5452A">
      <w:pPr>
        <w:pStyle w:val="Heading2"/>
        <w:keepNext w:val="0"/>
        <w:keepLines w:val="0"/>
        <w:spacing w:before="0" w:after="0"/>
        <w:rPr>
          <w:rFonts w:ascii="Arial" w:hAnsi="Arial" w:cs="Arial"/>
          <w:sz w:val="24"/>
          <w:szCs w:val="24"/>
        </w:rPr>
      </w:pPr>
      <w:bookmarkStart w:id="45" w:name="_x7mrngd3ed40" w:colFirst="0" w:colLast="0"/>
      <w:bookmarkStart w:id="46" w:name="_Toc214641829"/>
      <w:bookmarkEnd w:id="45"/>
      <w:r w:rsidRPr="00173FC2">
        <w:rPr>
          <w:rFonts w:ascii="Arial" w:hAnsi="Arial" w:cs="Arial"/>
          <w:sz w:val="24"/>
          <w:szCs w:val="24"/>
        </w:rPr>
        <w:t>4.1 Comparative Cultural Analysis Between Japan and the Selected Emerging Economy</w:t>
      </w:r>
      <w:bookmarkEnd w:id="46"/>
    </w:p>
    <w:p w14:paraId="3EB59502"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A comparative cultural evaluation of Japan, a mother country of Toyota and India, one of the emerging economies shows that there are serious differences in cultures that determine the way of conducting business on an international level. The Hofstede model indicates that Japan obtains a score of 54 on Power Distance, which implies that the nation has a relatively hierarchical society with a high orientation toward meritocracy (Università Ca’ Foscari Venezia, 2024). Conversely, India has a Power Distance score of 77, which means that more progressively, people have accepted inequality and top-down power in organisations (International Business Center, 2025). This difference indicates that the consensus-based Toyota establishment of the ringi system might require a modification to suit more Indian hierarchical corporate cultures.</w:t>
      </w:r>
    </w:p>
    <w:p w14:paraId="5722441E" w14:textId="77777777" w:rsidR="00DE5498" w:rsidRPr="00173FC2" w:rsidRDefault="00DE5498" w:rsidP="00E5452A">
      <w:pPr>
        <w:pStyle w:val="Normal1"/>
        <w:spacing w:line="360" w:lineRule="auto"/>
        <w:jc w:val="both"/>
        <w:rPr>
          <w:rFonts w:eastAsia="Times New Roman"/>
          <w:sz w:val="24"/>
          <w:szCs w:val="24"/>
        </w:rPr>
      </w:pPr>
    </w:p>
    <w:p w14:paraId="589C1D4C"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noProof/>
          <w:sz w:val="24"/>
          <w:szCs w:val="24"/>
          <w:lang w:val="en-US"/>
        </w:rPr>
        <w:drawing>
          <wp:inline distT="114300" distB="114300" distL="114300" distR="114300" wp14:anchorId="6F89103B" wp14:editId="7840A04A">
            <wp:extent cx="5943600" cy="33401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781CC3BF" w14:textId="77777777" w:rsidR="00DE5498" w:rsidRPr="00173FC2" w:rsidRDefault="00970BC5" w:rsidP="00E5452A">
      <w:pPr>
        <w:pStyle w:val="Normal1"/>
        <w:spacing w:line="360" w:lineRule="auto"/>
        <w:jc w:val="both"/>
        <w:rPr>
          <w:rFonts w:eastAsia="Times New Roman"/>
          <w:b/>
          <w:bCs/>
          <w:sz w:val="24"/>
          <w:szCs w:val="24"/>
        </w:rPr>
      </w:pPr>
      <w:r w:rsidRPr="00173FC2">
        <w:rPr>
          <w:rFonts w:eastAsia="Times New Roman"/>
          <w:b/>
          <w:bCs/>
          <w:sz w:val="24"/>
          <w:szCs w:val="24"/>
        </w:rPr>
        <w:t>Figure 3: Hofstede’s Cultural Dimensions, Japan</w:t>
      </w:r>
    </w:p>
    <w:p w14:paraId="028E801C"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(Prezi, 2025)</w:t>
      </w:r>
    </w:p>
    <w:p w14:paraId="2FD56041" w14:textId="77777777" w:rsidR="00DE5498" w:rsidRPr="00173FC2" w:rsidRDefault="00DE5498" w:rsidP="00E5452A">
      <w:pPr>
        <w:pStyle w:val="Normal1"/>
        <w:spacing w:line="360" w:lineRule="auto"/>
        <w:jc w:val="both"/>
        <w:rPr>
          <w:rFonts w:eastAsia="Times New Roman"/>
          <w:sz w:val="24"/>
          <w:szCs w:val="24"/>
        </w:rPr>
      </w:pPr>
    </w:p>
    <w:p w14:paraId="27DA6C4B"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lastRenderedPageBreak/>
        <w:t>The score of Japan on Individualism vs Collectivism is 46, which indicates that the values of collectivism are also not the strongest, but still higher in comparison with some other Asian cultures (Università Ca’ Foscari Venezia, 2025). India scores 48, which similarly follows the common inclination towards collectivism, which balances the group loyalty and moderate individualism (Econstor, 2024). This consistency would allow the Toyota collaborative production model i.e. team based Toyota Production System (TPS).</w:t>
      </w:r>
    </w:p>
    <w:p w14:paraId="01793917"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On the Uncertainty Avoidance index, Japan scores a very high 92, which is indicative of a strong culture that prefers formality, rules, and predictability (Puglisi, 2022). Conversely, India has a score of 40 indicating that the society is more accepting of ambiguity and adapting processes (International Business Center, 2025). This distinction implies that the standardised systems in Toyota such as kaizen, jidoka and strict quality control might need good cross-cultural training in India when applied.</w:t>
      </w:r>
    </w:p>
    <w:p w14:paraId="228FD18B"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In terms of Long-Term Orientation, Australia has scores ranging between 80 and 88 (Sometimes, the source differs), which means a focus on future planning, endurance, and long-term outcomes (Puglisi, 2022). India has a score of 51 which indicates that it is more of a combination between tradition and future orientation (Econstor, 2025).  Using the high-low-context theory as postulated by Hall, Japan and India are high-context communicators. Such cultures tend to be indirect in their communication, utilizing the non-verbal messages, strong interpersonal connections and unspoken knowledge. This is a similarity that can enable Toyota to establish good working relationships with its suppliers and create a negotiation structure that is founded on faith in India.</w:t>
      </w:r>
    </w:p>
    <w:p w14:paraId="02667F18" w14:textId="77777777" w:rsidR="00DE5498" w:rsidRPr="00173FC2" w:rsidRDefault="00970BC5" w:rsidP="00E5452A">
      <w:pPr>
        <w:pStyle w:val="Normal1"/>
        <w:spacing w:line="360" w:lineRule="auto"/>
        <w:jc w:val="both"/>
        <w:rPr>
          <w:b/>
          <w:bCs/>
          <w:sz w:val="24"/>
          <w:szCs w:val="24"/>
        </w:rPr>
      </w:pPr>
      <w:r w:rsidRPr="00173FC2">
        <w:rPr>
          <w:rFonts w:eastAsia="Times New Roman"/>
          <w:sz w:val="24"/>
          <w:szCs w:val="24"/>
        </w:rPr>
        <w:t>On the whole, the differences in culture in terms of hierarchy, risk-taking, and time orientation imply that Toyota will have to change the leadership style, training, and internal processes in India, yet the similarity in terms of collectivism and high context provides a good background to cooperate, trust, and align operational strategies.</w:t>
      </w:r>
    </w:p>
    <w:p w14:paraId="3126602C" w14:textId="77777777" w:rsidR="00DE5498" w:rsidRPr="00173FC2" w:rsidRDefault="00970BC5" w:rsidP="00E5452A">
      <w:pPr>
        <w:pStyle w:val="Heading2"/>
        <w:keepNext w:val="0"/>
        <w:keepLines w:val="0"/>
        <w:spacing w:before="0" w:after="0"/>
        <w:rPr>
          <w:rFonts w:ascii="Arial" w:hAnsi="Arial" w:cs="Arial"/>
          <w:sz w:val="24"/>
          <w:szCs w:val="24"/>
        </w:rPr>
      </w:pPr>
      <w:bookmarkStart w:id="47" w:name="_ha4goo73vlfk" w:colFirst="0" w:colLast="0"/>
      <w:bookmarkStart w:id="48" w:name="_Toc214641830"/>
      <w:bookmarkEnd w:id="47"/>
      <w:r w:rsidRPr="00173FC2">
        <w:rPr>
          <w:rFonts w:ascii="Arial" w:hAnsi="Arial" w:cs="Arial"/>
          <w:sz w:val="24"/>
          <w:szCs w:val="24"/>
        </w:rPr>
        <w:t>4.2 Influence of Cultural Differences on Toyota’s Market Entry Strategy</w:t>
      </w:r>
      <w:bookmarkEnd w:id="48"/>
    </w:p>
    <w:p w14:paraId="28444CC5"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 xml:space="preserve">A cultural comparison between Japan and India highlights major statistical differences in the dimensions of Hofstede that offer a solid evidence of the role of cultural distance on the strategies of Toyota. The Power Distance Index (PDI) of India is 77, much more than 54 of Japan, which demonstrates that the organisational structure of India is more </w:t>
      </w:r>
      <w:r w:rsidRPr="00173FC2">
        <w:rPr>
          <w:rFonts w:eastAsia="Times New Roman"/>
          <w:sz w:val="24"/>
          <w:szCs w:val="24"/>
        </w:rPr>
        <w:lastRenderedPageBreak/>
        <w:t>hierarchical and tolerates more power inequalities (Weil, 2025a). In terms of Uncertainty Avoidance, Japan has a score of 92 indicating they favor clarity, structure, and predictability whereas India has only 40 indicating that the Indian culture is less sensitive to uncertainty and more relaxed processes (International Business Center, 2025). With regards to Individualism, India scores 48, and Japan scores 46, which indicates that both cultures are inclined towards collectivism and attach importance to group loyalty and cohesion (Weil, 2025a). On the Long-Term Orientation dimension, Hofstede data indicate that India scores 61, and Japan scores 80, which tells us about the difference in future planning orientations: India values both tradition and flexibility, whereas Japan is more oriented to long-term commitment and perseverance (Weil, 2025b). Such statistical differences confirm that the entry strategy of Toyota in India has to take into consideration hierarchical governance, more relational and adaptive negotiation style, and flexible but ultimately long-term strategic orientation. The high difference in Uncertainty Avoidance explains why Toyota would have to transition to its standardised production systems in a moderately gradual manner, by capitalising on extensive training but being careful to local tolerance of ambiguity. Altogether, the quantitative cultural data give a plausible basis to examine how Toyota can integrate the control mechanisms, leadership model, and structure of partnership to successfully enter the Indian unique cultural environment.</w:t>
      </w:r>
    </w:p>
    <w:p w14:paraId="5F41ED0E" w14:textId="77777777" w:rsidR="00DE5498" w:rsidRPr="00173FC2" w:rsidRDefault="00970BC5" w:rsidP="00E5452A">
      <w:pPr>
        <w:pStyle w:val="Heading2"/>
        <w:keepNext w:val="0"/>
        <w:keepLines w:val="0"/>
        <w:spacing w:before="0" w:after="0"/>
        <w:rPr>
          <w:rFonts w:ascii="Arial" w:hAnsi="Arial" w:cs="Arial"/>
          <w:sz w:val="24"/>
          <w:szCs w:val="24"/>
        </w:rPr>
      </w:pPr>
      <w:bookmarkStart w:id="49" w:name="_usowmf21foi6" w:colFirst="0" w:colLast="0"/>
      <w:bookmarkStart w:id="50" w:name="_Toc214641831"/>
      <w:bookmarkEnd w:id="49"/>
      <w:r w:rsidRPr="00173FC2">
        <w:rPr>
          <w:rFonts w:ascii="Arial" w:hAnsi="Arial" w:cs="Arial"/>
          <w:sz w:val="24"/>
          <w:szCs w:val="24"/>
        </w:rPr>
        <w:t>4.3 Impact of Cultural Dynamics on Toyota’s Operational Success and Long-Term Performance</w:t>
      </w:r>
      <w:bookmarkEnd w:id="50"/>
    </w:p>
    <w:p w14:paraId="7F301F37"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 xml:space="preserve">Japanese and Indian cultural relationships have a huge impact on the operational success and long-term performance of Toyota, especially in the HRM, leadership, supply chain management, marketing adaptation, and customer engagement sectors. The Power Distance is high in India (77) when compared to Japan (54) indicates that employees in India desire strict hierarchical leaders (International Business Center, 2025). Toyota therefore needs to employ a more authoritative type of leadership in India which is abetted with the introduction of visible involvement of senior management and gradually incorporate its collaborative Japanese model like kaizen and team problem solving. The collectivist orientation of India (Individualism score 48) in HRM promotes an incentive approach to groups and the employment association which is noteworthy in </w:t>
      </w:r>
      <w:r w:rsidRPr="00173FC2">
        <w:rPr>
          <w:rFonts w:eastAsia="Times New Roman"/>
          <w:sz w:val="24"/>
          <w:szCs w:val="24"/>
        </w:rPr>
        <w:lastRenderedPageBreak/>
        <w:t>terms of loyalty, constant improvement, and developing skills characteristic of Toyota (International Business Center, 2025). Nonetheless, a Japanese score Uncertainty Avoidance (92) is contrasted with Indian (40) implying that Toyota will have to incur higher costs in standardised training to instill discipline in production processes (University of Michigan, 2025; International Business Center, 2025). The performance of Toyota in terms of its supply chain is also affected by cultural expectations. The relational business culture and high level of trust in India demand that Toyota develops long term relationships with suppliers, which are backed by co-location, joint training and joint quality improvement programmes. This strategy enhances consistency and minimization of cultural tension in quality assurance and logistics.</w:t>
      </w:r>
    </w:p>
    <w:p w14:paraId="742A8381"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Marketing customization is imperative since value-for-money offers, family appeal, and long-lasting durability appeal highly to Indian consumers, as the reliability of Toyota is also associated with reliability (Hartoyo et al., 2023). Indian preferences in high context communication also imply that the narratives of the brands should focus on emotional appeal, social identity and trust and not on the purely technical specifications.</w:t>
      </w:r>
    </w:p>
    <w:p w14:paraId="1E03D5E4" w14:textId="77777777" w:rsidR="00DE5498" w:rsidRPr="00173FC2" w:rsidRDefault="00970BC5" w:rsidP="00E5452A">
      <w:pPr>
        <w:pStyle w:val="Normal1"/>
        <w:spacing w:line="360" w:lineRule="auto"/>
        <w:jc w:val="both"/>
        <w:rPr>
          <w:rFonts w:eastAsia="Times New Roman"/>
          <w:sz w:val="24"/>
          <w:szCs w:val="24"/>
          <w:highlight w:val="yellow"/>
        </w:rPr>
      </w:pPr>
      <w:r w:rsidRPr="00173FC2">
        <w:rPr>
          <w:rFonts w:eastAsia="Times New Roman"/>
          <w:sz w:val="24"/>
          <w:szCs w:val="24"/>
        </w:rPr>
        <w:t>To achieve competitive advantage in the long-run, Toyota will have to strike a balance between global efficiency and local cultural responsiveness. In the case that leadership style, HRM practices, supply chain cooperation, and customer engagement strategies are aligned with the cultural realities, Toyota stands at a better position of developing sustained operational excellence and market resilience in India.</w:t>
      </w:r>
    </w:p>
    <w:p w14:paraId="14314035" w14:textId="77777777" w:rsidR="00DE5498" w:rsidRPr="00173FC2" w:rsidRDefault="00970BC5" w:rsidP="00E5452A">
      <w:pPr>
        <w:pStyle w:val="Heading1"/>
        <w:rPr>
          <w:rFonts w:ascii="Arial" w:hAnsi="Arial" w:cs="Arial"/>
        </w:rPr>
      </w:pPr>
      <w:bookmarkStart w:id="51" w:name="_r1oenfty646z" w:colFirst="0" w:colLast="0"/>
      <w:bookmarkStart w:id="52" w:name="_Toc214641832"/>
      <w:bookmarkEnd w:id="51"/>
      <w:r w:rsidRPr="00173FC2">
        <w:rPr>
          <w:rFonts w:ascii="Arial" w:hAnsi="Arial" w:cs="Arial"/>
        </w:rPr>
        <w:t>5. SOP Adjustments for Success in Emerging Markets</w:t>
      </w:r>
      <w:bookmarkEnd w:id="52"/>
    </w:p>
    <w:p w14:paraId="4078E375" w14:textId="77777777" w:rsidR="00DE5498" w:rsidRPr="00173FC2" w:rsidRDefault="00970BC5" w:rsidP="00E5452A">
      <w:pPr>
        <w:pStyle w:val="Heading2"/>
        <w:keepNext w:val="0"/>
        <w:keepLines w:val="0"/>
        <w:spacing w:before="0" w:after="0"/>
        <w:rPr>
          <w:rFonts w:ascii="Arial" w:hAnsi="Arial" w:cs="Arial"/>
          <w:sz w:val="24"/>
          <w:szCs w:val="24"/>
        </w:rPr>
      </w:pPr>
      <w:bookmarkStart w:id="53" w:name="_5ou1mmeibkl3" w:colFirst="0" w:colLast="0"/>
      <w:bookmarkStart w:id="54" w:name="_Toc214641833"/>
      <w:bookmarkEnd w:id="53"/>
      <w:r w:rsidRPr="00173FC2">
        <w:rPr>
          <w:rFonts w:ascii="Arial" w:hAnsi="Arial" w:cs="Arial"/>
          <w:sz w:val="24"/>
          <w:szCs w:val="24"/>
        </w:rPr>
        <w:t>5.1 SOP Adjustment 1: Localised Leadership, Decision-Making and HRM Practices</w:t>
      </w:r>
      <w:bookmarkEnd w:id="54"/>
    </w:p>
    <w:p w14:paraId="78BACDCD"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 xml:space="preserve">In order to successfully do business in India, Toyota must localise its SOPs in the leadership, decision-making, and HRM on the basis of pertinent cultural and labour-market realities. The GLOBE Project suggests that Southern Asia cluster (that includes India) is one of the most value-driven by Charismatic/Value-Based Leadership, Team-Oriented Leadership, and Humane-Oriented Leadership (GLOBE Project, 2025). It means that Indian workers are sensitive to visionary and sensitive leaders who serve the organisational objectives with personal integrity Toyota needs to grant the local managers high authority and relational leadership.The GLOBE Project suggests that Southern Asia </w:t>
      </w:r>
      <w:r w:rsidRPr="00173FC2">
        <w:rPr>
          <w:rFonts w:eastAsia="Times New Roman"/>
          <w:sz w:val="24"/>
          <w:szCs w:val="24"/>
        </w:rPr>
        <w:lastRenderedPageBreak/>
        <w:t>cluster (that includes India) is one of the most value-driven by Charismatic/Value-Based Leadership, Team-Oriented Leadership, and Humane-Oriented Leadership (GLOBE Project, 2025). It means that Indian workers are sensitive to visionary and sensitive leaders who serve the organisational objectives with personal integrity 5.1  Toyota needs to grant the local managers high authority and relational leadership.</w:t>
      </w:r>
    </w:p>
    <w:p w14:paraId="31762A8F"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The numbers provided by GLOBE also suggest that practices of Power Distance in South Asia (around 5.29) are higher than in Japan (around 4.18), which once again suggests that Toyota India should follow certain strict hierarchies in the SOPs (GLOBE Project, 2025). Toyota in turn should revise its decision making SOPs to capture authoritative leadership whereby the Indian managers are granted the authority to make their own decisions locally and command cross-functional teams with confidence.</w:t>
      </w:r>
    </w:p>
    <w:p w14:paraId="1D4B77CF"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In addition to cultural values, there is a major challenge of skills-development affecting the India workforce. According to the Skill India mission by the World Bank, the formal skills training of only 2.3 percent of the overall Indian workforce compares to the overwhelming percentages of developed economies (World Bank, 2017). The low level of formal training required translates into the fact that Toyota SOPs incorporate long-term training and mentorship programmes of the local employees so that they receive sufficient levels of technical and managerial skills that will help them to run the operations efficiently.</w:t>
      </w:r>
    </w:p>
    <w:p w14:paraId="733FFB17"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In addition, the Institute of Competitiveness portrays that 66.89% of Indian employees are semi-skilled and a very small percentage are highly skilled (India Competitiveness, 2017). Toyota ought to henceforth institutionalise talent development SOPs, provide tiered training systems, career ladders, and continuous performance feedback, create loyalty, encourage upskilling, and retention.</w:t>
      </w:r>
    </w:p>
    <w:p w14:paraId="789098B7"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Localisation of leadership, empowering the hierarchical Indian managers as well as investing in the skill development through organised training will help Toyota to harmonise its ownership advantages with the local practices and provide better long-term performance as well as organisational stability in India.</w:t>
      </w:r>
    </w:p>
    <w:p w14:paraId="5E3F8BF4" w14:textId="77777777" w:rsidR="00DE5498" w:rsidRPr="00173FC2" w:rsidRDefault="00970BC5" w:rsidP="00E5452A">
      <w:pPr>
        <w:pStyle w:val="Heading2"/>
        <w:keepNext w:val="0"/>
        <w:keepLines w:val="0"/>
        <w:spacing w:before="0" w:after="0"/>
        <w:rPr>
          <w:rFonts w:ascii="Arial" w:hAnsi="Arial" w:cs="Arial"/>
          <w:sz w:val="24"/>
          <w:szCs w:val="24"/>
        </w:rPr>
      </w:pPr>
      <w:bookmarkStart w:id="55" w:name="_60amzj8v7do2" w:colFirst="0" w:colLast="0"/>
      <w:bookmarkStart w:id="56" w:name="_Toc214641834"/>
      <w:bookmarkEnd w:id="55"/>
      <w:r w:rsidRPr="00173FC2">
        <w:rPr>
          <w:rFonts w:ascii="Arial" w:hAnsi="Arial" w:cs="Arial"/>
          <w:sz w:val="24"/>
          <w:szCs w:val="24"/>
        </w:rPr>
        <w:t>5.2 SOP Adjustment 2: Adaptation of Production, Quality, and Supply Chain Systems</w:t>
      </w:r>
      <w:bookmarkEnd w:id="56"/>
    </w:p>
    <w:p w14:paraId="46E90A00"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lastRenderedPageBreak/>
        <w:t>In a bid to leverage the competitive advantages of Toyota in India, the firm will have to significantly modify its production, quality and supply chain SOPs in order to match the cultural disposition of India especially its low Uncertainty Avoidance and its geographic benefits. The score of Uncertainty Avoidance ingrained in the socio-cultural fabric of India of 40 (Hofstede) signifies that this country tolerates ambiguity, flexible processes, and change (International Business Centre, 2025). Being less committed to strict standardised rules than the human mindset of the Japanese, particularly in production, Indian employees and managers can be more inclined to less structured, adaptive problem solving. Thus, Toyota ought to structure its SOPs in such a way that the Toyota Production System (TPS) can be implemented in stages with gradual improvements and feedback instead of complete standardisation at an early stage.</w:t>
      </w:r>
    </w:p>
    <w:p w14:paraId="75316D3A"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The SOPs by Toyota need to incorporate a modular quality control processes to exploit the flexibility of local suppliers. The manufacturing sector of India is booming with up to 17.2% of the GDP according to S&amp;P Global (S&amp;P Global, 2023). The scale of this manufacturing offers Toyota with high quality of network of local suppliers, although there is also variability in supplier capabilities. Toyota can progressively improve the quality standard by creating supplier development programmes, quality workshops, and jointly developing quality standards, which will not choke local innovation.</w:t>
      </w:r>
    </w:p>
    <w:p w14:paraId="04383200"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In addition, as the economic analysis of the World Bank states, manufacturers that are involved in the Global Value Chains (GVCs) in India report an increase in value-added 250 percent higher than the non-GVC companies (World Bank, 2022). This location advantage indicates that the SOPs of the Toyota company need to focus on integration with the suppliers in the Indian GVC, and they should exploit their productivity potential. Toyota needs to introduce SOPs to work with Tier-1 and Tier-2 suppliers in the country - common planning sessions, demand forecasting and capacity investments.</w:t>
      </w:r>
    </w:p>
    <w:p w14:paraId="7AE2DB13"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 xml:space="preserve">When it comes to logistics and supply chain operations, SOPs are to consider the fact that India has got a better infrastructure but continues to have inconsistency in its logistics reliability. As an illustration, the buffer stocks, the flexible inventory policies and the decentralised distribution hubs can be required by SOPs to reduce risk (Vadivelu et al., 2025). Toyota may also apply lean but flexible processes: just-in-time documentation, </w:t>
      </w:r>
      <w:r w:rsidRPr="00173FC2">
        <w:rPr>
          <w:rFonts w:eastAsia="Times New Roman"/>
          <w:sz w:val="24"/>
          <w:szCs w:val="24"/>
        </w:rPr>
        <w:lastRenderedPageBreak/>
        <w:t>pliable standard operating checklists, and real-time quality reporting systems, and adapted to a situation in which processes can also change depending on local feedback.</w:t>
      </w:r>
    </w:p>
    <w:p w14:paraId="6BFB6721"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Lastly, Toyota should come up with cross-cultural training SOPs of both the Japanese and the Indian teams to maintain production discipline. Indian employees need to be trained in the basics of TPS, kaizen mentality, and quality circles, however, they should be motivated to provide local solutions and modify tools. Japanese experts on the other hand require SOPs to coach, mentor and empower local teams, they understand that Indian workers might oppose or misinterpret formal processes than workplace Japanese workers.</w:t>
      </w:r>
    </w:p>
    <w:p w14:paraId="26B04750"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Modifying its production and supply chain SOPs to conform to the low Uncertainty Avoidance of India and leveraging its location-based manufacturing advantages would help Toyota to be more resilient to its operations, enable innovation, and promote long-term quality benefits.</w:t>
      </w:r>
    </w:p>
    <w:p w14:paraId="53AC984F" w14:textId="77777777" w:rsidR="00DE5498" w:rsidRPr="00173FC2" w:rsidRDefault="00970BC5" w:rsidP="00E5452A">
      <w:pPr>
        <w:pStyle w:val="Heading2"/>
        <w:keepNext w:val="0"/>
        <w:keepLines w:val="0"/>
        <w:spacing w:before="0" w:after="0"/>
        <w:rPr>
          <w:rFonts w:ascii="Arial" w:hAnsi="Arial" w:cs="Arial"/>
          <w:sz w:val="24"/>
          <w:szCs w:val="24"/>
        </w:rPr>
      </w:pPr>
      <w:bookmarkStart w:id="57" w:name="_6zsrkje36d46" w:colFirst="0" w:colLast="0"/>
      <w:bookmarkStart w:id="58" w:name="_Toc214641835"/>
      <w:bookmarkEnd w:id="57"/>
      <w:r w:rsidRPr="00173FC2">
        <w:rPr>
          <w:rFonts w:ascii="Arial" w:hAnsi="Arial" w:cs="Arial"/>
          <w:sz w:val="24"/>
          <w:szCs w:val="24"/>
        </w:rPr>
        <w:t>5.3 SOP Adjustment 3: Market-Specific Customer Engagement, Marketing, and Service Protocols</w:t>
      </w:r>
      <w:bookmarkEnd w:id="58"/>
    </w:p>
    <w:p w14:paraId="1F5BFD25"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To enhance its competitiveness in India, Toyota will have to localize its Standard Operating Procedures (SOPs) in dealing with customers, marketing communication and service provision to suit the cultural expectations and behavioural patterns of India. Indian customers value relational trust and personalised interaction and open communication highly. A full pre-service explanation, such as scope of work, inspection results and estimated cost, which are recorded, resulted in customers who receive it achieving significantly higher levels of satisfaction (848 vs. 828 out of 1,000) and created 7% more service revenue in dealerships (J.D. Power, 2023). This statistical data proves that the SOPs adopted by Toyota should enforce systematic pre-service communication so that the service advisors would clearly inform the customers on what work should be done before any work is done.</w:t>
      </w:r>
    </w:p>
    <w:p w14:paraId="270B443E"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 xml:space="preserve">Equally, J.D. Power India CSI Study (2022) also revealed that customer satisfaction is 25 points higher in dealerships where service advisors are proactive to reach out to customers by confirming their requests at the first instance and kept them updated regularly (863 vs. 838). This suggests that Toyota ought to formalize SOPs that focus on </w:t>
      </w:r>
      <w:r w:rsidRPr="00173FC2">
        <w:rPr>
          <w:rFonts w:eastAsia="Times New Roman"/>
          <w:sz w:val="24"/>
          <w:szCs w:val="24"/>
        </w:rPr>
        <w:lastRenderedPageBreak/>
        <w:t>empathy-oriented, proactive interactions, which are considered to be in accordance with the high-context culture of communication in India where the relational cues play an important role in generating the perception of service quality.</w:t>
      </w:r>
    </w:p>
    <w:p w14:paraId="7645C328"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The marketing SOPs should also be able to capture the digital consumer environment in India. According to the IAMAI 2023 Report on the Internet in India, 821 million active internet users are in India (IAMAI, 2023). Toyota thus needs to incorporate SOPs in regards to omnichannel marketing that ensures the same branding on websites, social media, WhatsApp communication and dealership.</w:t>
      </w:r>
    </w:p>
    <w:p w14:paraId="6D5CBE0E"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Another important dimension is trust. The 2024 Voice of the Consumer Survey released by PwC showed that 82 percent of Indian consumers consider the protection of personal data to be the most significant determinant to develop trust (PwC India, 2024). Toyota should hence incorporate the SOPs that focus on privacy of data in digital marketing, customer touch, and service procedures; so that the customers feel safe to provide personal and vehicle data. Long term loyalty plays a decisive role in after sales service. According to J.D. Power findings, service satisfactions drive up to 60% of the repurchase decisions in India, as opposed to most developed markets (J.D. Power, 2022). As a means of capitalising on this, Toyota ought to standardise SOPs in regard to personalised follow-ups, loyalty programmes (e.g. family service programme), transparent billing and culturally sensitised communications.</w:t>
      </w:r>
    </w:p>
    <w:p w14:paraId="19F407EA"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All in all, providing statistically endorsed customer engagement, emotional marketing, transparency guidelines, and digital connectivity as its SOPs, Toyota will be able to build trust, improve customer satisfaction, and ensure long-term market performance in India.</w:t>
      </w:r>
    </w:p>
    <w:p w14:paraId="41E053FB" w14:textId="77777777" w:rsidR="00DE5498" w:rsidRPr="00173FC2" w:rsidRDefault="00970BC5" w:rsidP="00E5452A">
      <w:pPr>
        <w:pStyle w:val="Heading1"/>
        <w:rPr>
          <w:rFonts w:ascii="Arial" w:hAnsi="Arial" w:cs="Arial"/>
        </w:rPr>
      </w:pPr>
      <w:bookmarkStart w:id="59" w:name="_8tjmhcbhuvqh" w:colFirst="0" w:colLast="0"/>
      <w:bookmarkStart w:id="60" w:name="_Toc214641836"/>
      <w:bookmarkEnd w:id="59"/>
      <w:r w:rsidRPr="00173FC2">
        <w:rPr>
          <w:rFonts w:ascii="Arial" w:hAnsi="Arial" w:cs="Arial"/>
        </w:rPr>
        <w:t>6. Conclusion to the report</w:t>
      </w:r>
      <w:bookmarkEnd w:id="60"/>
      <w:r w:rsidRPr="00173FC2">
        <w:rPr>
          <w:rFonts w:ascii="Arial" w:hAnsi="Arial" w:cs="Arial"/>
        </w:rPr>
        <w:t xml:space="preserve"> </w:t>
      </w:r>
    </w:p>
    <w:p w14:paraId="560291F5"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 xml:space="preserve">In general, this report has critically discussed the internationalisation process of Toyota Motor Corporation and its strategic successes in conducting business in various global markets, but with particular attention given to India. The analysis has shown that Toyota has high ownership benefits in the form of Toyota Production System, international R&amp;D, financial resources, and standardised quality processes that have made it successful in terms of expanding internationally through foreign direct investment and joint ventures. The location benefits, such as the vast population of consumers in India, the growing </w:t>
      </w:r>
      <w:r w:rsidRPr="00173FC2">
        <w:rPr>
          <w:rFonts w:eastAsia="Times New Roman"/>
          <w:sz w:val="24"/>
          <w:szCs w:val="24"/>
        </w:rPr>
        <w:lastRenderedPageBreak/>
        <w:t>production capacity and the government subsidies are other factors that justify the fact that Toyota will continue investing in the Indian market. The benefits to internalisation, especially the necessity of Toyota to keep high quality standards and safeguard corporate production secrets, are the reason why it favours complete ownership or highly regulated joint ventures.</w:t>
      </w:r>
    </w:p>
    <w:p w14:paraId="3BA652AC"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The cultural analysis pointed out that, there are major differences between Japan and India, particularly in terms of hierarchy, uncertainty and long-term orientation, which have direct implications on the market-entry decisions of Toyota, its operational success and leadership practices. Toyota will have to align its governance mechanisms, style of negotiation, HRM systems and communication strategies to meet the cultural expectations in India. The proposed SOP changes such as localised leadership, adaptive production systems, and culturally sensitive engagement of customers are indicative of the changes that need to be made to the strategic nature of Toyota to ensure a balance between global efficiency and the local realities in India.</w:t>
      </w:r>
    </w:p>
    <w:p w14:paraId="76BE752F" w14:textId="77777777" w:rsidR="00DE5498" w:rsidRPr="00173FC2" w:rsidRDefault="00970BC5" w:rsidP="00E5452A">
      <w:pPr>
        <w:pStyle w:val="Normal1"/>
        <w:spacing w:line="360" w:lineRule="auto"/>
        <w:jc w:val="both"/>
        <w:rPr>
          <w:rFonts w:eastAsia="Times New Roman"/>
          <w:sz w:val="24"/>
          <w:szCs w:val="24"/>
        </w:rPr>
      </w:pPr>
      <w:r w:rsidRPr="00173FC2">
        <w:rPr>
          <w:rFonts w:eastAsia="Times New Roman"/>
          <w:sz w:val="24"/>
          <w:szCs w:val="24"/>
        </w:rPr>
        <w:t>The inclusion of these culturally responsive and operationally aligned SOPs will help Toyota to enhance its competitiveness, increase consumer confidence and improve long-term operability in India fast-moving automotive market.</w:t>
      </w:r>
    </w:p>
    <w:p w14:paraId="03A29113" w14:textId="77777777" w:rsidR="00DE5498" w:rsidRPr="00173FC2" w:rsidRDefault="00DE5498" w:rsidP="00E5452A">
      <w:pPr>
        <w:pStyle w:val="Normal1"/>
        <w:spacing w:line="360" w:lineRule="auto"/>
        <w:jc w:val="both"/>
        <w:rPr>
          <w:rFonts w:eastAsia="Times New Roman"/>
          <w:sz w:val="24"/>
          <w:szCs w:val="24"/>
        </w:rPr>
      </w:pPr>
    </w:p>
    <w:p w14:paraId="0EA44944" w14:textId="77777777" w:rsidR="00DE5498" w:rsidRPr="00173FC2" w:rsidRDefault="00DE5498" w:rsidP="00E5452A">
      <w:pPr>
        <w:pStyle w:val="Normal1"/>
        <w:spacing w:line="360" w:lineRule="auto"/>
        <w:jc w:val="both"/>
        <w:rPr>
          <w:rFonts w:eastAsia="Times New Roman"/>
          <w:sz w:val="24"/>
          <w:szCs w:val="24"/>
        </w:rPr>
      </w:pPr>
    </w:p>
    <w:p w14:paraId="3795E2D8" w14:textId="77777777" w:rsidR="00F45BEB" w:rsidRPr="00173FC2" w:rsidRDefault="00F45BEB" w:rsidP="00E5452A">
      <w:pPr>
        <w:spacing w:line="360" w:lineRule="auto"/>
        <w:jc w:val="both"/>
        <w:rPr>
          <w:rFonts w:eastAsia="Times New Roman"/>
          <w:b/>
          <w:bCs/>
          <w:sz w:val="24"/>
          <w:szCs w:val="24"/>
        </w:rPr>
      </w:pPr>
      <w:bookmarkStart w:id="61" w:name="_pz5rozdgvfe2" w:colFirst="0" w:colLast="0"/>
      <w:bookmarkStart w:id="62" w:name="_Toc214641837"/>
      <w:bookmarkEnd w:id="61"/>
      <w:r w:rsidRPr="00173FC2">
        <w:rPr>
          <w:sz w:val="24"/>
          <w:szCs w:val="24"/>
        </w:rPr>
        <w:br w:type="page"/>
      </w:r>
    </w:p>
    <w:p w14:paraId="4F9B747E" w14:textId="62D59A86" w:rsidR="004D7D10" w:rsidRPr="00173FC2" w:rsidRDefault="00970BC5" w:rsidP="00E5452A">
      <w:pPr>
        <w:pStyle w:val="Heading1"/>
        <w:rPr>
          <w:rFonts w:ascii="Arial" w:hAnsi="Arial" w:cs="Arial"/>
        </w:rPr>
      </w:pPr>
      <w:r w:rsidRPr="00173FC2">
        <w:rPr>
          <w:rFonts w:ascii="Arial" w:hAnsi="Arial" w:cs="Arial"/>
        </w:rPr>
        <w:lastRenderedPageBreak/>
        <w:t>References</w:t>
      </w:r>
      <w:bookmarkEnd w:id="62"/>
    </w:p>
    <w:p w14:paraId="0AB7A1F3"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Business-to-you (2025) </w:t>
      </w:r>
      <w:r w:rsidRPr="00173FC2">
        <w:rPr>
          <w:rFonts w:eastAsia="Times New Roman"/>
          <w:i/>
          <w:iCs/>
          <w:sz w:val="24"/>
          <w:szCs w:val="24"/>
        </w:rPr>
        <w:t>Choosing the right entry mode strategy.</w:t>
      </w:r>
      <w:r w:rsidRPr="00173FC2">
        <w:rPr>
          <w:rFonts w:eastAsia="Times New Roman"/>
          <w:sz w:val="24"/>
          <w:szCs w:val="24"/>
        </w:rPr>
        <w:t xml:space="preserve"> Available at:</w:t>
      </w:r>
      <w:hyperlink r:id="rId11">
        <w:r w:rsidRPr="00173FC2">
          <w:rPr>
            <w:rFonts w:eastAsia="Times New Roman"/>
            <w:sz w:val="24"/>
            <w:szCs w:val="24"/>
          </w:rPr>
          <w:t xml:space="preserve"> </w:t>
        </w:r>
      </w:hyperlink>
      <w:hyperlink r:id="rId12">
        <w:r w:rsidRPr="00173FC2">
          <w:rPr>
            <w:rFonts w:eastAsia="Times New Roman"/>
            <w:color w:val="1155CC"/>
            <w:sz w:val="24"/>
            <w:szCs w:val="24"/>
            <w:u w:val="single"/>
          </w:rPr>
          <w:t>https://www.business-to-you.com/choosing-the-right-entry-mode-strategy/</w:t>
        </w:r>
      </w:hyperlink>
      <w:r w:rsidRPr="00173FC2">
        <w:rPr>
          <w:rFonts w:eastAsia="Times New Roman"/>
          <w:sz w:val="24"/>
          <w:szCs w:val="24"/>
        </w:rPr>
        <w:t xml:space="preserve"> (Accessed: 21 November 2025).</w:t>
      </w:r>
    </w:p>
    <w:p w14:paraId="41CCAB50"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Econstor (2024) </w:t>
      </w:r>
      <w:r w:rsidRPr="00173FC2">
        <w:rPr>
          <w:rFonts w:eastAsia="Times New Roman"/>
          <w:i/>
          <w:iCs/>
          <w:sz w:val="24"/>
          <w:szCs w:val="24"/>
        </w:rPr>
        <w:t>[PDF document retrieved from Econstor repository].</w:t>
      </w:r>
      <w:r w:rsidRPr="00173FC2">
        <w:rPr>
          <w:rFonts w:eastAsia="Times New Roman"/>
          <w:sz w:val="24"/>
          <w:szCs w:val="24"/>
        </w:rPr>
        <w:t xml:space="preserve"> Available at:</w:t>
      </w:r>
      <w:hyperlink r:id="rId13">
        <w:r w:rsidRPr="00173FC2">
          <w:rPr>
            <w:rFonts w:eastAsia="Times New Roman"/>
            <w:sz w:val="24"/>
            <w:szCs w:val="24"/>
          </w:rPr>
          <w:t xml:space="preserve"> </w:t>
        </w:r>
      </w:hyperlink>
      <w:hyperlink r:id="rId14">
        <w:r w:rsidRPr="00173FC2">
          <w:rPr>
            <w:rFonts w:eastAsia="Times New Roman"/>
            <w:color w:val="1155CC"/>
            <w:sz w:val="24"/>
            <w:szCs w:val="24"/>
            <w:u w:val="single"/>
          </w:rPr>
          <w:t>https://www.econstor.eu/bitstream/10419/310741/1/18_2_01.pdf</w:t>
        </w:r>
      </w:hyperlink>
      <w:r w:rsidRPr="00173FC2">
        <w:rPr>
          <w:rFonts w:eastAsia="Times New Roman"/>
          <w:sz w:val="24"/>
          <w:szCs w:val="24"/>
        </w:rPr>
        <w:t xml:space="preserve"> (Accessed: 21 November 2025).</w:t>
      </w:r>
    </w:p>
    <w:p w14:paraId="63D4F334"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Econstor (2025) </w:t>
      </w:r>
      <w:r w:rsidRPr="00173FC2">
        <w:rPr>
          <w:rFonts w:eastAsia="Times New Roman"/>
          <w:i/>
          <w:iCs/>
          <w:sz w:val="24"/>
          <w:szCs w:val="24"/>
        </w:rPr>
        <w:t>[PDF document retrieved from Econstor repository].</w:t>
      </w:r>
      <w:r w:rsidRPr="00173FC2">
        <w:rPr>
          <w:rFonts w:eastAsia="Times New Roman"/>
          <w:sz w:val="24"/>
          <w:szCs w:val="24"/>
        </w:rPr>
        <w:t xml:space="preserve"> Available at:</w:t>
      </w:r>
      <w:hyperlink r:id="rId15">
        <w:r w:rsidRPr="00173FC2">
          <w:rPr>
            <w:rFonts w:eastAsia="Times New Roman"/>
            <w:sz w:val="24"/>
            <w:szCs w:val="24"/>
          </w:rPr>
          <w:t xml:space="preserve"> </w:t>
        </w:r>
      </w:hyperlink>
      <w:hyperlink r:id="rId16">
        <w:r w:rsidRPr="00173FC2">
          <w:rPr>
            <w:rFonts w:eastAsia="Times New Roman"/>
            <w:color w:val="1155CC"/>
            <w:sz w:val="24"/>
            <w:szCs w:val="24"/>
            <w:u w:val="single"/>
          </w:rPr>
          <w:t>https://www.econstor.eu/bitstream/10419/310741/1/18_2_01.pdf</w:t>
        </w:r>
      </w:hyperlink>
      <w:r w:rsidRPr="00173FC2">
        <w:rPr>
          <w:rFonts w:eastAsia="Times New Roman"/>
          <w:sz w:val="24"/>
          <w:szCs w:val="24"/>
        </w:rPr>
        <w:t xml:space="preserve"> (Accessed: 21 November 2025).</w:t>
      </w:r>
    </w:p>
    <w:p w14:paraId="7B82F53E"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GLOBE Project (2025) </w:t>
      </w:r>
      <w:r w:rsidRPr="00173FC2">
        <w:rPr>
          <w:rFonts w:eastAsia="Times New Roman"/>
          <w:i/>
          <w:iCs/>
          <w:sz w:val="24"/>
          <w:szCs w:val="24"/>
        </w:rPr>
        <w:t>Southern Asia cluster results.</w:t>
      </w:r>
      <w:r w:rsidRPr="00173FC2">
        <w:rPr>
          <w:rFonts w:eastAsia="Times New Roman"/>
          <w:sz w:val="24"/>
          <w:szCs w:val="24"/>
        </w:rPr>
        <w:t xml:space="preserve"> Available at:</w:t>
      </w:r>
      <w:hyperlink r:id="rId17">
        <w:r w:rsidRPr="00173FC2">
          <w:rPr>
            <w:rFonts w:eastAsia="Times New Roman"/>
            <w:sz w:val="24"/>
            <w:szCs w:val="24"/>
          </w:rPr>
          <w:t xml:space="preserve"> </w:t>
        </w:r>
      </w:hyperlink>
      <w:hyperlink r:id="rId18">
        <w:r w:rsidRPr="00173FC2">
          <w:rPr>
            <w:rFonts w:eastAsia="Times New Roman"/>
            <w:color w:val="1155CC"/>
            <w:sz w:val="24"/>
            <w:szCs w:val="24"/>
            <w:u w:val="single"/>
          </w:rPr>
          <w:t>https://globeproject.com/results/clusters/southern-asia%3Fmenu%3Dlist.html</w:t>
        </w:r>
      </w:hyperlink>
      <w:r w:rsidRPr="00173FC2">
        <w:rPr>
          <w:rFonts w:eastAsia="Times New Roman"/>
          <w:sz w:val="24"/>
          <w:szCs w:val="24"/>
        </w:rPr>
        <w:t xml:space="preserve"> (Accessed: 21 November 2025).</w:t>
      </w:r>
    </w:p>
    <w:p w14:paraId="6A07462E" w14:textId="77777777" w:rsidR="00173A20" w:rsidRPr="00173FC2" w:rsidRDefault="00173A20" w:rsidP="00E5452A">
      <w:pPr>
        <w:pStyle w:val="Normal1"/>
        <w:spacing w:line="360" w:lineRule="auto"/>
        <w:jc w:val="both"/>
        <w:rPr>
          <w:rFonts w:eastAsia="Times New Roman"/>
          <w:color w:val="1155CC"/>
          <w:sz w:val="24"/>
          <w:szCs w:val="24"/>
          <w:u w:val="single"/>
        </w:rPr>
      </w:pPr>
      <w:r w:rsidRPr="00173FC2">
        <w:rPr>
          <w:rFonts w:eastAsia="Times New Roman"/>
          <w:sz w:val="24"/>
          <w:szCs w:val="24"/>
        </w:rPr>
        <w:t xml:space="preserve">Hartoyo, H., Manalu, E., Sumarwan, U. and Nurhayati, P. (2023) ‘Driving success: A segmentation of customer admiration in automotive industry’, </w:t>
      </w:r>
      <w:r w:rsidRPr="00173FC2">
        <w:rPr>
          <w:rFonts w:eastAsia="Times New Roman"/>
          <w:i/>
          <w:iCs/>
          <w:sz w:val="24"/>
          <w:szCs w:val="24"/>
        </w:rPr>
        <w:t>Journal of Open Innovation: Technology, Market, and Complexity</w:t>
      </w:r>
      <w:r w:rsidRPr="00173FC2">
        <w:rPr>
          <w:rFonts w:eastAsia="Times New Roman"/>
          <w:sz w:val="24"/>
          <w:szCs w:val="24"/>
        </w:rPr>
        <w:t>, 9(2), p.100031. doi:</w:t>
      </w:r>
      <w:hyperlink r:id="rId19">
        <w:r w:rsidRPr="00173FC2">
          <w:rPr>
            <w:rFonts w:eastAsia="Times New Roman"/>
            <w:sz w:val="24"/>
            <w:szCs w:val="24"/>
          </w:rPr>
          <w:t xml:space="preserve"> </w:t>
        </w:r>
      </w:hyperlink>
      <w:hyperlink r:id="rId20">
        <w:r w:rsidRPr="00173FC2">
          <w:rPr>
            <w:rFonts w:eastAsia="Times New Roman"/>
            <w:color w:val="1155CC"/>
            <w:sz w:val="24"/>
            <w:szCs w:val="24"/>
            <w:u w:val="single"/>
          </w:rPr>
          <w:t>https://doi.org/10.1016/j.joitmc.2023.100031</w:t>
        </w:r>
      </w:hyperlink>
    </w:p>
    <w:p w14:paraId="341C39E3"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IAMAI (2023) </w:t>
      </w:r>
      <w:r w:rsidRPr="00173FC2">
        <w:rPr>
          <w:rFonts w:eastAsia="Times New Roman"/>
          <w:i/>
          <w:iCs/>
          <w:sz w:val="24"/>
          <w:szCs w:val="24"/>
        </w:rPr>
        <w:t>Internet in India 2023.</w:t>
      </w:r>
      <w:r w:rsidRPr="00173FC2">
        <w:rPr>
          <w:rFonts w:eastAsia="Times New Roman"/>
          <w:sz w:val="24"/>
          <w:szCs w:val="24"/>
        </w:rPr>
        <w:t xml:space="preserve"> New Delhi: Internet and Mobile Association of India. Available at:</w:t>
      </w:r>
      <w:hyperlink r:id="rId21">
        <w:r w:rsidRPr="00173FC2">
          <w:rPr>
            <w:rFonts w:eastAsia="Times New Roman"/>
            <w:sz w:val="24"/>
            <w:szCs w:val="24"/>
          </w:rPr>
          <w:t xml:space="preserve"> </w:t>
        </w:r>
      </w:hyperlink>
      <w:hyperlink r:id="rId22">
        <w:r w:rsidRPr="00173FC2">
          <w:rPr>
            <w:rFonts w:eastAsia="Times New Roman"/>
            <w:color w:val="1155CC"/>
            <w:sz w:val="24"/>
            <w:szCs w:val="24"/>
            <w:u w:val="single"/>
          </w:rPr>
          <w:t>https://www.iamai.in/sites/default/files/research/INTERNET%20IN%20INDIA%202023.pdf</w:t>
        </w:r>
      </w:hyperlink>
      <w:r w:rsidRPr="00173FC2">
        <w:rPr>
          <w:rFonts w:eastAsia="Times New Roman"/>
          <w:sz w:val="24"/>
          <w:szCs w:val="24"/>
        </w:rPr>
        <w:t xml:space="preserve"> (Accessed: 21 November 2025).</w:t>
      </w:r>
    </w:p>
    <w:p w14:paraId="39E597E0"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India Competitiveness (2017) </w:t>
      </w:r>
      <w:r w:rsidRPr="00173FC2">
        <w:rPr>
          <w:rFonts w:eastAsia="Times New Roman"/>
          <w:i/>
          <w:iCs/>
          <w:sz w:val="24"/>
          <w:szCs w:val="24"/>
        </w:rPr>
        <w:t>Mind the gap, then fix it: the mismatch between workforce skills and job market demands in India.</w:t>
      </w:r>
      <w:r w:rsidRPr="00173FC2">
        <w:rPr>
          <w:rFonts w:eastAsia="Times New Roman"/>
          <w:sz w:val="24"/>
          <w:szCs w:val="24"/>
        </w:rPr>
        <w:t xml:space="preserve"> Available at:</w:t>
      </w:r>
      <w:hyperlink r:id="rId23">
        <w:r w:rsidRPr="00173FC2">
          <w:rPr>
            <w:rFonts w:eastAsia="Times New Roman"/>
            <w:sz w:val="24"/>
            <w:szCs w:val="24"/>
          </w:rPr>
          <w:t xml:space="preserve"> </w:t>
        </w:r>
      </w:hyperlink>
      <w:hyperlink r:id="rId24">
        <w:r w:rsidRPr="00173FC2">
          <w:rPr>
            <w:rFonts w:eastAsia="Times New Roman"/>
            <w:color w:val="1155CC"/>
            <w:sz w:val="24"/>
            <w:szCs w:val="24"/>
            <w:u w:val="single"/>
          </w:rPr>
          <w:t>https://competitiveness.in/mind-the-gap-then-fix-it-the-mismatch-between-workforce-skills-and-job-market-demands-in-india/</w:t>
        </w:r>
      </w:hyperlink>
      <w:r w:rsidRPr="00173FC2">
        <w:rPr>
          <w:rFonts w:eastAsia="Times New Roman"/>
          <w:sz w:val="24"/>
          <w:szCs w:val="24"/>
        </w:rPr>
        <w:t xml:space="preserve"> (Accessed: 21 November 2025).</w:t>
      </w:r>
    </w:p>
    <w:p w14:paraId="3800411F"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International Business Center (2025a) </w:t>
      </w:r>
      <w:r w:rsidRPr="00173FC2">
        <w:rPr>
          <w:rFonts w:eastAsia="Times New Roman"/>
          <w:i/>
          <w:iCs/>
          <w:sz w:val="24"/>
          <w:szCs w:val="24"/>
        </w:rPr>
        <w:t>Hofstede insights: India.</w:t>
      </w:r>
      <w:r w:rsidRPr="00173FC2">
        <w:rPr>
          <w:rFonts w:eastAsia="Times New Roman"/>
          <w:sz w:val="24"/>
          <w:szCs w:val="24"/>
        </w:rPr>
        <w:t xml:space="preserve"> Available at:</w:t>
      </w:r>
      <w:hyperlink r:id="rId25">
        <w:r w:rsidRPr="00173FC2">
          <w:rPr>
            <w:rFonts w:eastAsia="Times New Roman"/>
            <w:sz w:val="24"/>
            <w:szCs w:val="24"/>
          </w:rPr>
          <w:t xml:space="preserve"> </w:t>
        </w:r>
      </w:hyperlink>
      <w:hyperlink r:id="rId26">
        <w:r w:rsidRPr="00173FC2">
          <w:rPr>
            <w:rFonts w:eastAsia="Times New Roman"/>
            <w:color w:val="1155CC"/>
            <w:sz w:val="24"/>
            <w:szCs w:val="24"/>
            <w:u w:val="single"/>
          </w:rPr>
          <w:t>https://www.internationalbusinesscenter.org/geert-hofstede/hofstede_india.shtml</w:t>
        </w:r>
      </w:hyperlink>
      <w:r w:rsidRPr="00173FC2">
        <w:rPr>
          <w:rFonts w:eastAsia="Times New Roman"/>
          <w:sz w:val="24"/>
          <w:szCs w:val="24"/>
        </w:rPr>
        <w:t xml:space="preserve"> (Accessed: 21 November 2025).</w:t>
      </w:r>
    </w:p>
    <w:p w14:paraId="7CCF0671"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lastRenderedPageBreak/>
        <w:t xml:space="preserve">International Business Center (2025b) </w:t>
      </w:r>
      <w:r w:rsidRPr="00173FC2">
        <w:rPr>
          <w:rFonts w:eastAsia="Times New Roman"/>
          <w:i/>
          <w:iCs/>
          <w:sz w:val="24"/>
          <w:szCs w:val="24"/>
        </w:rPr>
        <w:t>India – Geert Hofstede cultural dimensions explained.</w:t>
      </w:r>
      <w:r w:rsidRPr="00173FC2">
        <w:rPr>
          <w:rFonts w:eastAsia="Times New Roman"/>
          <w:sz w:val="24"/>
          <w:szCs w:val="24"/>
        </w:rPr>
        <w:t xml:space="preserve"> Available at:</w:t>
      </w:r>
      <w:hyperlink r:id="rId27">
        <w:r w:rsidRPr="00173FC2">
          <w:rPr>
            <w:rFonts w:eastAsia="Times New Roman"/>
            <w:sz w:val="24"/>
            <w:szCs w:val="24"/>
          </w:rPr>
          <w:t xml:space="preserve"> </w:t>
        </w:r>
      </w:hyperlink>
      <w:hyperlink r:id="rId28">
        <w:r w:rsidRPr="00173FC2">
          <w:rPr>
            <w:rFonts w:eastAsia="Times New Roman"/>
            <w:color w:val="1155CC"/>
            <w:sz w:val="24"/>
            <w:szCs w:val="24"/>
            <w:u w:val="single"/>
          </w:rPr>
          <w:t>https://www.internationalbusinesscenter.org/geert-hofstede/hofstede_india.shtml</w:t>
        </w:r>
      </w:hyperlink>
      <w:r w:rsidRPr="00173FC2">
        <w:rPr>
          <w:rFonts w:eastAsia="Times New Roman"/>
          <w:sz w:val="24"/>
          <w:szCs w:val="24"/>
        </w:rPr>
        <w:t xml:space="preserve"> (Accessed: 21 November 2025).</w:t>
      </w:r>
    </w:p>
    <w:p w14:paraId="2D37287E"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J.D. Power (2022) </w:t>
      </w:r>
      <w:r w:rsidRPr="00173FC2">
        <w:rPr>
          <w:rFonts w:eastAsia="Times New Roman"/>
          <w:i/>
          <w:iCs/>
          <w:sz w:val="24"/>
          <w:szCs w:val="24"/>
        </w:rPr>
        <w:t>2022 India customer service index (CSI) study.</w:t>
      </w:r>
      <w:r w:rsidRPr="00173FC2">
        <w:rPr>
          <w:rFonts w:eastAsia="Times New Roman"/>
          <w:sz w:val="24"/>
          <w:szCs w:val="24"/>
        </w:rPr>
        <w:t xml:space="preserve"> Available at:</w:t>
      </w:r>
      <w:hyperlink r:id="rId29">
        <w:r w:rsidRPr="00173FC2">
          <w:rPr>
            <w:rFonts w:eastAsia="Times New Roman"/>
            <w:sz w:val="24"/>
            <w:szCs w:val="24"/>
          </w:rPr>
          <w:t xml:space="preserve"> </w:t>
        </w:r>
      </w:hyperlink>
      <w:hyperlink r:id="rId30">
        <w:r w:rsidRPr="00173FC2">
          <w:rPr>
            <w:rFonts w:eastAsia="Times New Roman"/>
            <w:color w:val="1155CC"/>
            <w:sz w:val="24"/>
            <w:szCs w:val="24"/>
            <w:u w:val="single"/>
          </w:rPr>
          <w:t>https://www.jdpower.com/business/press-releases/2022-india-customer-service-index-csi-study</w:t>
        </w:r>
      </w:hyperlink>
      <w:r w:rsidRPr="00173FC2">
        <w:rPr>
          <w:rFonts w:eastAsia="Times New Roman"/>
          <w:sz w:val="24"/>
          <w:szCs w:val="24"/>
        </w:rPr>
        <w:t xml:space="preserve"> (Accessed: 21 November 2025).</w:t>
      </w:r>
    </w:p>
    <w:p w14:paraId="381944F6"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J.D. Power (2023) </w:t>
      </w:r>
      <w:r w:rsidRPr="00173FC2">
        <w:rPr>
          <w:rFonts w:eastAsia="Times New Roman"/>
          <w:i/>
          <w:iCs/>
          <w:sz w:val="24"/>
          <w:szCs w:val="24"/>
        </w:rPr>
        <w:t>2023 India customer service index (CSI) study.</w:t>
      </w:r>
      <w:r w:rsidRPr="00173FC2">
        <w:rPr>
          <w:rFonts w:eastAsia="Times New Roman"/>
          <w:sz w:val="24"/>
          <w:szCs w:val="24"/>
        </w:rPr>
        <w:t xml:space="preserve"> Available at:</w:t>
      </w:r>
      <w:hyperlink r:id="rId31">
        <w:r w:rsidRPr="00173FC2">
          <w:rPr>
            <w:rFonts w:eastAsia="Times New Roman"/>
            <w:sz w:val="24"/>
            <w:szCs w:val="24"/>
          </w:rPr>
          <w:t xml:space="preserve"> </w:t>
        </w:r>
      </w:hyperlink>
      <w:hyperlink r:id="rId32">
        <w:r w:rsidRPr="00173FC2">
          <w:rPr>
            <w:rFonts w:eastAsia="Times New Roman"/>
            <w:color w:val="1155CC"/>
            <w:sz w:val="24"/>
            <w:szCs w:val="24"/>
            <w:u w:val="single"/>
          </w:rPr>
          <w:t>https://www.jdpower.com/business/press-releases/2023-india-customer-service-index-csi-study</w:t>
        </w:r>
      </w:hyperlink>
      <w:r w:rsidRPr="00173FC2">
        <w:rPr>
          <w:rFonts w:eastAsia="Times New Roman"/>
          <w:sz w:val="24"/>
          <w:szCs w:val="24"/>
        </w:rPr>
        <w:t xml:space="preserve"> (Accessed: 21 November 2025).</w:t>
      </w:r>
    </w:p>
    <w:p w14:paraId="3C776D61" w14:textId="77777777" w:rsidR="00173A20" w:rsidRPr="00173FC2" w:rsidRDefault="00173A20"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 xml:space="preserve">Liu, L., Xiong, Y., Feng, K., Li, X. and Fu, Y. (2024) ‘Cross-market innovation: the dynamics of latecomer catching-up model from new Chinese electric vehicle OEMs’. </w:t>
      </w:r>
      <w:r w:rsidRPr="00173FC2">
        <w:rPr>
          <w:rFonts w:eastAsia="Times New Roman"/>
          <w:i/>
          <w:iCs/>
          <w:sz w:val="24"/>
          <w:szCs w:val="24"/>
          <w:highlight w:val="white"/>
        </w:rPr>
        <w:t>Asia Pacific Business Review</w:t>
      </w:r>
      <w:r w:rsidRPr="00173FC2">
        <w:rPr>
          <w:rFonts w:eastAsia="Times New Roman"/>
          <w:sz w:val="24"/>
          <w:szCs w:val="24"/>
          <w:highlight w:val="white"/>
        </w:rPr>
        <w:t>, pp. 1-26.</w:t>
      </w:r>
      <w:hyperlink r:id="rId33">
        <w:r w:rsidRPr="00173FC2">
          <w:rPr>
            <w:rFonts w:eastAsia="Times New Roman"/>
            <w:sz w:val="24"/>
            <w:szCs w:val="24"/>
            <w:highlight w:val="white"/>
            <w:u w:val="single"/>
          </w:rPr>
          <w:t>https://doi.org/10.1093/irap/lcae002</w:t>
        </w:r>
      </w:hyperlink>
      <w:r w:rsidRPr="00173FC2">
        <w:rPr>
          <w:rFonts w:eastAsia="Times New Roman"/>
          <w:sz w:val="24"/>
          <w:szCs w:val="24"/>
          <w:highlight w:val="white"/>
        </w:rPr>
        <w:t xml:space="preserve">  </w:t>
      </w:r>
    </w:p>
    <w:p w14:paraId="4CABFE2D"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M Report. (2025) </w:t>
      </w:r>
      <w:r w:rsidRPr="00173FC2">
        <w:rPr>
          <w:rFonts w:eastAsia="Times New Roman"/>
          <w:i/>
          <w:iCs/>
          <w:sz w:val="24"/>
          <w:szCs w:val="24"/>
        </w:rPr>
        <w:t>Toyota tops R&amp;D spending with ¥1.37 trillion, marking 16 consecutive years of growth, survey finds</w:t>
      </w:r>
      <w:r w:rsidRPr="00173FC2">
        <w:rPr>
          <w:rFonts w:eastAsia="Times New Roman"/>
          <w:sz w:val="24"/>
          <w:szCs w:val="24"/>
        </w:rPr>
        <w:t>. M Report, 30 September. Available at:</w:t>
      </w:r>
      <w:hyperlink r:id="rId34">
        <w:r w:rsidRPr="00173FC2">
          <w:rPr>
            <w:rFonts w:eastAsia="Times New Roman"/>
            <w:sz w:val="24"/>
            <w:szCs w:val="24"/>
          </w:rPr>
          <w:t xml:space="preserve"> </w:t>
        </w:r>
      </w:hyperlink>
      <w:hyperlink r:id="rId35">
        <w:r w:rsidRPr="00173FC2">
          <w:rPr>
            <w:rFonts w:eastAsia="Times New Roman"/>
            <w:sz w:val="24"/>
            <w:szCs w:val="24"/>
            <w:u w:val="single"/>
          </w:rPr>
          <w:t>https://www.mreport.co.th/en/news/industry-movement/160-toyota-rd-spending-2025?</w:t>
        </w:r>
      </w:hyperlink>
      <w:r w:rsidRPr="00173FC2">
        <w:rPr>
          <w:rFonts w:eastAsia="Times New Roman"/>
          <w:sz w:val="24"/>
          <w:szCs w:val="24"/>
        </w:rPr>
        <w:t xml:space="preserve"> (Accessed: 21 November 2025).</w:t>
      </w:r>
    </w:p>
    <w:p w14:paraId="7D42D950" w14:textId="77777777" w:rsidR="00173A20" w:rsidRPr="00173FC2" w:rsidRDefault="00173A20"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 xml:space="preserve">Nkuna, J., Vermeulen, A. and Pretorius, J.H.C. (2023) ‘The Integration of Toyota Production System (TPS) and Lean Operations’. In </w:t>
      </w:r>
      <w:r w:rsidRPr="00173FC2">
        <w:rPr>
          <w:rFonts w:eastAsia="Times New Roman"/>
          <w:i/>
          <w:iCs/>
          <w:sz w:val="24"/>
          <w:szCs w:val="24"/>
          <w:highlight w:val="white"/>
        </w:rPr>
        <w:t xml:space="preserve">Proceedings of the second Australian international conference on industrial engineering and operations management, Melbourne, Australia, November </w:t>
      </w:r>
      <w:r w:rsidRPr="00173FC2">
        <w:rPr>
          <w:rFonts w:eastAsia="Times New Roman"/>
          <w:sz w:val="24"/>
          <w:szCs w:val="24"/>
          <w:highlight w:val="white"/>
        </w:rPr>
        <w:t>14-16 (Vol. 60).</w:t>
      </w:r>
      <w:hyperlink r:id="rId36">
        <w:r w:rsidRPr="00173FC2">
          <w:rPr>
            <w:rFonts w:eastAsia="Times New Roman"/>
            <w:sz w:val="24"/>
            <w:szCs w:val="24"/>
            <w:highlight w:val="white"/>
            <w:u w:val="single"/>
          </w:rPr>
          <w:t>https://doi.org/10.46254/AU02.20230060</w:t>
        </w:r>
      </w:hyperlink>
      <w:r w:rsidRPr="00173FC2">
        <w:rPr>
          <w:rFonts w:eastAsia="Times New Roman"/>
          <w:sz w:val="24"/>
          <w:szCs w:val="24"/>
          <w:highlight w:val="white"/>
        </w:rPr>
        <w:t xml:space="preserve">  </w:t>
      </w:r>
    </w:p>
    <w:p w14:paraId="0897D185"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Prezi (2025) </w:t>
      </w:r>
      <w:r w:rsidRPr="00173FC2">
        <w:rPr>
          <w:rFonts w:eastAsia="Times New Roman"/>
          <w:i/>
          <w:iCs/>
          <w:sz w:val="24"/>
          <w:szCs w:val="24"/>
        </w:rPr>
        <w:t>Hofstede’s cultural dimensions – Japan.</w:t>
      </w:r>
      <w:r w:rsidRPr="00173FC2">
        <w:rPr>
          <w:rFonts w:eastAsia="Times New Roman"/>
          <w:sz w:val="24"/>
          <w:szCs w:val="24"/>
        </w:rPr>
        <w:t xml:space="preserve"> Available at:</w:t>
      </w:r>
      <w:hyperlink r:id="rId37">
        <w:r w:rsidRPr="00173FC2">
          <w:rPr>
            <w:rFonts w:eastAsia="Times New Roman"/>
            <w:sz w:val="24"/>
            <w:szCs w:val="24"/>
          </w:rPr>
          <w:t xml:space="preserve"> </w:t>
        </w:r>
      </w:hyperlink>
      <w:hyperlink r:id="rId38">
        <w:r w:rsidRPr="00173FC2">
          <w:rPr>
            <w:rFonts w:eastAsia="Times New Roman"/>
            <w:color w:val="1155CC"/>
            <w:sz w:val="24"/>
            <w:szCs w:val="24"/>
            <w:u w:val="single"/>
          </w:rPr>
          <w:t>https://prezi.com/p/9r1lryq4knlp/hofstedes-cultural-dimensions-japan/</w:t>
        </w:r>
      </w:hyperlink>
      <w:r w:rsidRPr="00173FC2">
        <w:rPr>
          <w:rFonts w:eastAsia="Times New Roman"/>
          <w:sz w:val="24"/>
          <w:szCs w:val="24"/>
        </w:rPr>
        <w:t xml:space="preserve"> (Accessed: 21 November 2025).</w:t>
      </w:r>
    </w:p>
    <w:p w14:paraId="434D8DBE"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Puglisi, I. (2022) </w:t>
      </w:r>
      <w:r w:rsidRPr="00173FC2">
        <w:rPr>
          <w:rFonts w:eastAsia="Times New Roman"/>
          <w:i/>
          <w:iCs/>
          <w:sz w:val="24"/>
          <w:szCs w:val="24"/>
        </w:rPr>
        <w:t>Marketing food in Japan: A case study of KitKat’s success in Japan through glocalization.</w:t>
      </w:r>
      <w:r w:rsidRPr="00173FC2">
        <w:rPr>
          <w:rFonts w:eastAsia="Times New Roman"/>
          <w:sz w:val="24"/>
          <w:szCs w:val="24"/>
        </w:rPr>
        <w:t xml:space="preserve"> Master’s thesis. Università Ca’ Foscari Venezia. Available at:</w:t>
      </w:r>
      <w:hyperlink r:id="rId39">
        <w:r w:rsidRPr="00173FC2">
          <w:rPr>
            <w:rFonts w:eastAsia="Times New Roman"/>
            <w:sz w:val="24"/>
            <w:szCs w:val="24"/>
          </w:rPr>
          <w:t xml:space="preserve"> </w:t>
        </w:r>
      </w:hyperlink>
      <w:hyperlink r:id="rId40">
        <w:r w:rsidRPr="00173FC2">
          <w:rPr>
            <w:rFonts w:eastAsia="Times New Roman"/>
            <w:color w:val="1155CC"/>
            <w:sz w:val="24"/>
            <w:szCs w:val="24"/>
            <w:u w:val="single"/>
          </w:rPr>
          <w:t>https://unitesi.unive.it/retrieve/4fdca18d-0240-43fe-83bb-0c51370b65ba/868943-1268053.pdf</w:t>
        </w:r>
      </w:hyperlink>
      <w:r w:rsidRPr="00173FC2">
        <w:rPr>
          <w:rFonts w:eastAsia="Times New Roman"/>
          <w:sz w:val="24"/>
          <w:szCs w:val="24"/>
        </w:rPr>
        <w:t xml:space="preserve"> (Accessed: 21 November 2025).</w:t>
      </w:r>
    </w:p>
    <w:p w14:paraId="1143953B"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PwC India (2024) </w:t>
      </w:r>
      <w:r w:rsidRPr="00173FC2">
        <w:rPr>
          <w:rFonts w:eastAsia="Times New Roman"/>
          <w:i/>
          <w:iCs/>
          <w:sz w:val="24"/>
          <w:szCs w:val="24"/>
        </w:rPr>
        <w:t>82% of Indian consumers consider protection of personal data as most crucial factor in building trust – PwC’s Voice of the Consumer Survey 2024.</w:t>
      </w:r>
      <w:r w:rsidRPr="00173FC2">
        <w:rPr>
          <w:rFonts w:eastAsia="Times New Roman"/>
          <w:sz w:val="24"/>
          <w:szCs w:val="24"/>
        </w:rPr>
        <w:t xml:space="preserve"> Available at:</w:t>
      </w:r>
      <w:hyperlink r:id="rId41">
        <w:r w:rsidRPr="00173FC2">
          <w:rPr>
            <w:rFonts w:eastAsia="Times New Roman"/>
            <w:sz w:val="24"/>
            <w:szCs w:val="24"/>
          </w:rPr>
          <w:t xml:space="preserve"> </w:t>
        </w:r>
      </w:hyperlink>
      <w:hyperlink r:id="rId42">
        <w:r w:rsidRPr="00173FC2">
          <w:rPr>
            <w:rFonts w:eastAsia="Times New Roman"/>
            <w:color w:val="1155CC"/>
            <w:sz w:val="24"/>
            <w:szCs w:val="24"/>
            <w:u w:val="single"/>
          </w:rPr>
          <w:t>https://www.pwc.in/press-releases/2024/82-of-indian-consumers-consider-protection-of-personal-data-as-most-crucial-factor-in-building-trust-pwcs-voice-of-the-consumer-survey-2024.html</w:t>
        </w:r>
      </w:hyperlink>
      <w:r w:rsidRPr="00173FC2">
        <w:rPr>
          <w:rFonts w:eastAsia="Times New Roman"/>
          <w:sz w:val="24"/>
          <w:szCs w:val="24"/>
        </w:rPr>
        <w:t xml:space="preserve"> (Accessed: 21 November 2025).</w:t>
      </w:r>
    </w:p>
    <w:p w14:paraId="68C0BECA"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S&amp;P Global (2023) </w:t>
      </w:r>
      <w:r w:rsidRPr="00173FC2">
        <w:rPr>
          <w:rFonts w:eastAsia="Times New Roman"/>
          <w:i/>
          <w:iCs/>
          <w:sz w:val="24"/>
          <w:szCs w:val="24"/>
        </w:rPr>
        <w:t>India manufacturing opportunity amid global trade uncertainty.</w:t>
      </w:r>
      <w:r w:rsidRPr="00173FC2">
        <w:rPr>
          <w:rFonts w:eastAsia="Times New Roman"/>
          <w:sz w:val="24"/>
          <w:szCs w:val="24"/>
        </w:rPr>
        <w:t xml:space="preserve"> Available at:</w:t>
      </w:r>
      <w:hyperlink r:id="rId43">
        <w:r w:rsidRPr="00173FC2">
          <w:rPr>
            <w:rFonts w:eastAsia="Times New Roman"/>
            <w:sz w:val="24"/>
            <w:szCs w:val="24"/>
          </w:rPr>
          <w:t xml:space="preserve"> </w:t>
        </w:r>
      </w:hyperlink>
      <w:hyperlink r:id="rId44">
        <w:r w:rsidRPr="00173FC2">
          <w:rPr>
            <w:rFonts w:eastAsia="Times New Roman"/>
            <w:color w:val="1155CC"/>
            <w:sz w:val="24"/>
            <w:szCs w:val="24"/>
            <w:u w:val="single"/>
          </w:rPr>
          <w:t>https://www.spglobal.com/en/research-insights/special-reports/india-forward/india-manufacturing-opportunity-amid-global-trade-uncertainty</w:t>
        </w:r>
      </w:hyperlink>
      <w:r w:rsidRPr="00173FC2">
        <w:rPr>
          <w:rFonts w:eastAsia="Times New Roman"/>
          <w:sz w:val="24"/>
          <w:szCs w:val="24"/>
        </w:rPr>
        <w:t xml:space="preserve"> (Accessed: 21 November 2025).</w:t>
      </w:r>
    </w:p>
    <w:p w14:paraId="45643ABA" w14:textId="77777777" w:rsidR="00173A20" w:rsidRPr="00173FC2" w:rsidRDefault="00173A20"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Tarmohamed, S.S. (2022) ‘Strategic Factors Adopted by Toyota Motor Dealers to Gaining Competitive Advantage in Mombasa County, Kenya’.</w:t>
      </w:r>
      <w:hyperlink r:id="rId45">
        <w:r w:rsidRPr="00173FC2">
          <w:rPr>
            <w:rFonts w:eastAsia="Times New Roman"/>
            <w:sz w:val="24"/>
            <w:szCs w:val="24"/>
            <w:highlight w:val="white"/>
            <w:u w:val="single"/>
          </w:rPr>
          <w:t>https://dx.doi.org/10.61426/sjbcm.v9i1.2220</w:t>
        </w:r>
      </w:hyperlink>
      <w:r w:rsidRPr="00173FC2">
        <w:rPr>
          <w:rFonts w:eastAsia="Times New Roman"/>
          <w:sz w:val="24"/>
          <w:szCs w:val="24"/>
          <w:highlight w:val="white"/>
        </w:rPr>
        <w:t xml:space="preserve">  </w:t>
      </w:r>
    </w:p>
    <w:p w14:paraId="312DC843"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Toyota Motor Corporation. (2024) </w:t>
      </w:r>
      <w:r w:rsidRPr="00173FC2">
        <w:rPr>
          <w:rFonts w:eastAsia="Times New Roman"/>
          <w:i/>
          <w:iCs/>
          <w:sz w:val="24"/>
          <w:szCs w:val="24"/>
        </w:rPr>
        <w:t>Form 20-F: Annual Report for the year ended 31 March 2024</w:t>
      </w:r>
      <w:r w:rsidRPr="00173FC2">
        <w:rPr>
          <w:rFonts w:eastAsia="Times New Roman"/>
          <w:sz w:val="24"/>
          <w:szCs w:val="24"/>
        </w:rPr>
        <w:t>. Available at:</w:t>
      </w:r>
      <w:hyperlink r:id="rId46">
        <w:r w:rsidRPr="00173FC2">
          <w:rPr>
            <w:rFonts w:eastAsia="Times New Roman"/>
            <w:sz w:val="24"/>
            <w:szCs w:val="24"/>
          </w:rPr>
          <w:t xml:space="preserve"> </w:t>
        </w:r>
      </w:hyperlink>
      <w:hyperlink r:id="rId47">
        <w:r w:rsidRPr="00173FC2">
          <w:rPr>
            <w:rFonts w:eastAsia="Times New Roman"/>
            <w:sz w:val="24"/>
            <w:szCs w:val="24"/>
            <w:u w:val="single"/>
          </w:rPr>
          <w:t>https://global.toyota/pages/global_toyota/ir/library/sec/20-F_202403_final.pdf</w:t>
        </w:r>
      </w:hyperlink>
      <w:r w:rsidRPr="00173FC2">
        <w:rPr>
          <w:rFonts w:eastAsia="Times New Roman"/>
          <w:sz w:val="24"/>
          <w:szCs w:val="24"/>
        </w:rPr>
        <w:t xml:space="preserve"> (Accessed: 21 November 2025).</w:t>
      </w:r>
    </w:p>
    <w:p w14:paraId="44689240"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Toyota Motor Corporation. (2025) </w:t>
      </w:r>
      <w:r w:rsidRPr="00173FC2">
        <w:rPr>
          <w:rFonts w:eastAsia="Times New Roman"/>
          <w:i/>
          <w:iCs/>
          <w:sz w:val="24"/>
          <w:szCs w:val="24"/>
        </w:rPr>
        <w:t>Sales Volume in 2024</w:t>
      </w:r>
      <w:r w:rsidRPr="00173FC2">
        <w:rPr>
          <w:rFonts w:eastAsia="Times New Roman"/>
          <w:sz w:val="24"/>
          <w:szCs w:val="24"/>
        </w:rPr>
        <w:t>. Global Toyota fact data. Available at:</w:t>
      </w:r>
      <w:hyperlink r:id="rId48">
        <w:r w:rsidRPr="00173FC2">
          <w:rPr>
            <w:rFonts w:eastAsia="Times New Roman"/>
            <w:sz w:val="24"/>
            <w:szCs w:val="24"/>
          </w:rPr>
          <w:t xml:space="preserve"> </w:t>
        </w:r>
      </w:hyperlink>
      <w:hyperlink r:id="rId49">
        <w:r w:rsidRPr="00173FC2">
          <w:rPr>
            <w:rFonts w:eastAsia="Times New Roman"/>
            <w:sz w:val="24"/>
            <w:szCs w:val="24"/>
            <w:u w:val="single"/>
          </w:rPr>
          <w:t>https://global.toyota/pages/fact-data/fact-data_001_06_en.pdf</w:t>
        </w:r>
      </w:hyperlink>
      <w:r w:rsidRPr="00173FC2">
        <w:rPr>
          <w:rFonts w:eastAsia="Times New Roman"/>
          <w:sz w:val="24"/>
          <w:szCs w:val="24"/>
        </w:rPr>
        <w:t xml:space="preserve"> (Accessed: 21 November 2025).</w:t>
      </w:r>
    </w:p>
    <w:p w14:paraId="7ABF67E7"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Toyota Motor Corporation. (2025a) </w:t>
      </w:r>
      <w:r w:rsidRPr="00173FC2">
        <w:rPr>
          <w:rFonts w:eastAsia="Times New Roman"/>
          <w:i/>
          <w:iCs/>
          <w:sz w:val="24"/>
          <w:szCs w:val="24"/>
        </w:rPr>
        <w:t>Annual Report on Form 20-F for the fiscal year ended March 31, 2025</w:t>
      </w:r>
      <w:r w:rsidRPr="00173FC2">
        <w:rPr>
          <w:rFonts w:eastAsia="Times New Roman"/>
          <w:sz w:val="24"/>
          <w:szCs w:val="24"/>
        </w:rPr>
        <w:t>. Available at:</w:t>
      </w:r>
      <w:hyperlink r:id="rId50">
        <w:r w:rsidRPr="00173FC2">
          <w:rPr>
            <w:rFonts w:eastAsia="Times New Roman"/>
            <w:sz w:val="24"/>
            <w:szCs w:val="24"/>
          </w:rPr>
          <w:t xml:space="preserve"> </w:t>
        </w:r>
      </w:hyperlink>
      <w:hyperlink r:id="rId51">
        <w:r w:rsidRPr="00173FC2">
          <w:rPr>
            <w:rFonts w:eastAsia="Times New Roman"/>
            <w:sz w:val="24"/>
            <w:szCs w:val="24"/>
            <w:u w:val="single"/>
          </w:rPr>
          <w:t>https://www.sec.gov/Archives/edgar/data/1094517/000119312525142326/d925022d20f.htm</w:t>
        </w:r>
      </w:hyperlink>
      <w:r w:rsidRPr="00173FC2">
        <w:rPr>
          <w:rFonts w:eastAsia="Times New Roman"/>
          <w:sz w:val="24"/>
          <w:szCs w:val="24"/>
        </w:rPr>
        <w:t xml:space="preserve"> (Accessed: 21 November 2025).</w:t>
      </w:r>
    </w:p>
    <w:p w14:paraId="1C021423"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Toyota Motor Corporation. (2025b) </w:t>
      </w:r>
      <w:r w:rsidRPr="00173FC2">
        <w:rPr>
          <w:rFonts w:eastAsia="Times New Roman"/>
          <w:i/>
          <w:iCs/>
          <w:sz w:val="24"/>
          <w:szCs w:val="24"/>
        </w:rPr>
        <w:t>Annual Report 2007 (Year ended 31 March 2007)</w:t>
      </w:r>
      <w:r w:rsidRPr="00173FC2">
        <w:rPr>
          <w:rFonts w:eastAsia="Times New Roman"/>
          <w:sz w:val="24"/>
          <w:szCs w:val="24"/>
        </w:rPr>
        <w:t>. Available at:</w:t>
      </w:r>
      <w:hyperlink r:id="rId52">
        <w:r w:rsidRPr="00173FC2">
          <w:rPr>
            <w:rFonts w:eastAsia="Times New Roman"/>
            <w:sz w:val="24"/>
            <w:szCs w:val="24"/>
          </w:rPr>
          <w:t xml:space="preserve"> </w:t>
        </w:r>
      </w:hyperlink>
      <w:hyperlink r:id="rId53">
        <w:r w:rsidRPr="00173FC2">
          <w:rPr>
            <w:rFonts w:eastAsia="Times New Roman"/>
            <w:sz w:val="24"/>
            <w:szCs w:val="24"/>
            <w:u w:val="single"/>
          </w:rPr>
          <w:t>https://www.toyota-global.com/pages/contents/investors/ir_library/annual/pdf/2007/pdf/ar07_e.pdf</w:t>
        </w:r>
      </w:hyperlink>
      <w:r w:rsidRPr="00173FC2">
        <w:rPr>
          <w:rFonts w:eastAsia="Times New Roman"/>
          <w:sz w:val="24"/>
          <w:szCs w:val="24"/>
        </w:rPr>
        <w:t xml:space="preserve"> (Accessed: 21 November 2025).</w:t>
      </w:r>
    </w:p>
    <w:p w14:paraId="16CB4913"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Toyota Motor Corporation. (2025c) </w:t>
      </w:r>
      <w:r w:rsidRPr="00173FC2">
        <w:rPr>
          <w:rFonts w:eastAsia="Times New Roman"/>
          <w:i/>
          <w:iCs/>
          <w:sz w:val="24"/>
          <w:szCs w:val="24"/>
        </w:rPr>
        <w:t>Annual Report 2007 (Year ended 31 March 2007)</w:t>
      </w:r>
      <w:r w:rsidRPr="00173FC2">
        <w:rPr>
          <w:rFonts w:eastAsia="Times New Roman"/>
          <w:sz w:val="24"/>
          <w:szCs w:val="24"/>
        </w:rPr>
        <w:t>. Available at:</w:t>
      </w:r>
      <w:hyperlink r:id="rId54">
        <w:r w:rsidRPr="00173FC2">
          <w:rPr>
            <w:rFonts w:eastAsia="Times New Roman"/>
            <w:sz w:val="24"/>
            <w:szCs w:val="24"/>
          </w:rPr>
          <w:t xml:space="preserve"> </w:t>
        </w:r>
      </w:hyperlink>
      <w:hyperlink r:id="rId55">
        <w:r w:rsidRPr="00173FC2">
          <w:rPr>
            <w:rFonts w:eastAsia="Times New Roman"/>
            <w:sz w:val="24"/>
            <w:szCs w:val="24"/>
            <w:u w:val="single"/>
          </w:rPr>
          <w:t>https://www.annualreports.com/HostedData/AnnualReportArchive/t/NYSE_TM_2007.pdf</w:t>
        </w:r>
      </w:hyperlink>
      <w:r w:rsidRPr="00173FC2">
        <w:rPr>
          <w:rFonts w:eastAsia="Times New Roman"/>
          <w:sz w:val="24"/>
          <w:szCs w:val="24"/>
        </w:rPr>
        <w:t xml:space="preserve"> (Accessed: 21 November 2025).</w:t>
      </w:r>
    </w:p>
    <w:p w14:paraId="0FBF26E3"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lastRenderedPageBreak/>
        <w:t xml:space="preserve">Toyota Motor. (2025) </w:t>
      </w:r>
      <w:r w:rsidRPr="00173FC2">
        <w:rPr>
          <w:rFonts w:eastAsia="Times New Roman"/>
          <w:i/>
          <w:iCs/>
          <w:sz w:val="24"/>
          <w:szCs w:val="24"/>
        </w:rPr>
        <w:t>TMC announces April through March 2025 financial results</w:t>
      </w:r>
      <w:r w:rsidRPr="00173FC2">
        <w:rPr>
          <w:rFonts w:eastAsia="Times New Roman"/>
          <w:sz w:val="24"/>
          <w:szCs w:val="24"/>
        </w:rPr>
        <w:t>. Toyota USA Newsroom, 8 May. Available at:</w:t>
      </w:r>
      <w:hyperlink r:id="rId56">
        <w:r w:rsidRPr="00173FC2">
          <w:rPr>
            <w:rFonts w:eastAsia="Times New Roman"/>
            <w:sz w:val="24"/>
            <w:szCs w:val="24"/>
          </w:rPr>
          <w:t xml:space="preserve"> </w:t>
        </w:r>
      </w:hyperlink>
      <w:hyperlink r:id="rId57">
        <w:r w:rsidRPr="00173FC2">
          <w:rPr>
            <w:rFonts w:eastAsia="Times New Roman"/>
            <w:sz w:val="24"/>
            <w:szCs w:val="24"/>
            <w:u w:val="single"/>
          </w:rPr>
          <w:t>https://pressroom.toyota.com/tmc-announces-april-through-march-2025-financial-results/</w:t>
        </w:r>
      </w:hyperlink>
      <w:r w:rsidRPr="00173FC2">
        <w:rPr>
          <w:rFonts w:eastAsia="Times New Roman"/>
          <w:sz w:val="24"/>
          <w:szCs w:val="24"/>
        </w:rPr>
        <w:t xml:space="preserve"> (Accessed: 21 November 2025).</w:t>
      </w:r>
    </w:p>
    <w:p w14:paraId="334382CB"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U.S. Securities and Exchange Commission (2023) </w:t>
      </w:r>
      <w:r w:rsidRPr="00173FC2">
        <w:rPr>
          <w:rFonts w:eastAsia="Times New Roman"/>
          <w:i/>
          <w:iCs/>
          <w:sz w:val="24"/>
          <w:szCs w:val="24"/>
        </w:rPr>
        <w:t>Form 20-F: Infosys Limited.</w:t>
      </w:r>
      <w:r w:rsidRPr="00173FC2">
        <w:rPr>
          <w:rFonts w:eastAsia="Times New Roman"/>
          <w:sz w:val="24"/>
          <w:szCs w:val="24"/>
        </w:rPr>
        <w:t xml:space="preserve"> Available at:</w:t>
      </w:r>
      <w:hyperlink r:id="rId58">
        <w:r w:rsidRPr="00173FC2">
          <w:rPr>
            <w:rFonts w:eastAsia="Times New Roman"/>
            <w:sz w:val="24"/>
            <w:szCs w:val="24"/>
          </w:rPr>
          <w:t xml:space="preserve"> </w:t>
        </w:r>
      </w:hyperlink>
      <w:hyperlink r:id="rId59">
        <w:r w:rsidRPr="00173FC2">
          <w:rPr>
            <w:rFonts w:eastAsia="Times New Roman"/>
            <w:color w:val="1155CC"/>
            <w:sz w:val="24"/>
            <w:szCs w:val="24"/>
            <w:u w:val="single"/>
          </w:rPr>
          <w:t>https://www.sec.gov/Archives/edgar/data/1094517/000119312523179181/d360541d20f.htm</w:t>
        </w:r>
      </w:hyperlink>
      <w:r w:rsidRPr="00173FC2">
        <w:rPr>
          <w:rFonts w:eastAsia="Times New Roman"/>
          <w:sz w:val="24"/>
          <w:szCs w:val="24"/>
        </w:rPr>
        <w:t xml:space="preserve"> (Accessed: 21 November 2025).</w:t>
      </w:r>
    </w:p>
    <w:p w14:paraId="3FFD85A8"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Università Ca’ Foscari Venezia (2024) </w:t>
      </w:r>
      <w:r w:rsidRPr="00173FC2">
        <w:rPr>
          <w:rFonts w:eastAsia="Times New Roman"/>
          <w:i/>
          <w:iCs/>
          <w:sz w:val="24"/>
          <w:szCs w:val="24"/>
        </w:rPr>
        <w:t>[PDF document retrieved from unitesi.unive.it].</w:t>
      </w:r>
      <w:r w:rsidRPr="00173FC2">
        <w:rPr>
          <w:rFonts w:eastAsia="Times New Roman"/>
          <w:sz w:val="24"/>
          <w:szCs w:val="24"/>
        </w:rPr>
        <w:t xml:space="preserve"> Available at:</w:t>
      </w:r>
      <w:hyperlink r:id="rId60">
        <w:r w:rsidRPr="00173FC2">
          <w:rPr>
            <w:rFonts w:eastAsia="Times New Roman"/>
            <w:sz w:val="24"/>
            <w:szCs w:val="24"/>
          </w:rPr>
          <w:t xml:space="preserve"> </w:t>
        </w:r>
      </w:hyperlink>
      <w:hyperlink r:id="rId61">
        <w:r w:rsidRPr="00173FC2">
          <w:rPr>
            <w:rFonts w:eastAsia="Times New Roman"/>
            <w:color w:val="1155CC"/>
            <w:sz w:val="24"/>
            <w:szCs w:val="24"/>
            <w:u w:val="single"/>
          </w:rPr>
          <w:t>https://unitesi.unive.it/retrieve/4fdca18d-0240-43fe-83bb-0c51370b65ba/868943-1268053.pdf</w:t>
        </w:r>
      </w:hyperlink>
      <w:r w:rsidRPr="00173FC2">
        <w:rPr>
          <w:rFonts w:eastAsia="Times New Roman"/>
          <w:sz w:val="24"/>
          <w:szCs w:val="24"/>
        </w:rPr>
        <w:t xml:space="preserve"> (Accessed: 21 November 2025).</w:t>
      </w:r>
    </w:p>
    <w:p w14:paraId="7BFD44AF"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Università Ca’ Foscari Venezia (2025) </w:t>
      </w:r>
      <w:r w:rsidRPr="00173FC2">
        <w:rPr>
          <w:rFonts w:eastAsia="Times New Roman"/>
          <w:i/>
          <w:iCs/>
          <w:sz w:val="24"/>
          <w:szCs w:val="24"/>
        </w:rPr>
        <w:t>[PDF document retrieved from unitesi.unive.it].</w:t>
      </w:r>
      <w:r w:rsidRPr="00173FC2">
        <w:rPr>
          <w:rFonts w:eastAsia="Times New Roman"/>
          <w:sz w:val="24"/>
          <w:szCs w:val="24"/>
        </w:rPr>
        <w:t xml:space="preserve"> Available at:</w:t>
      </w:r>
      <w:hyperlink r:id="rId62">
        <w:r w:rsidRPr="00173FC2">
          <w:rPr>
            <w:rFonts w:eastAsia="Times New Roman"/>
            <w:sz w:val="24"/>
            <w:szCs w:val="24"/>
          </w:rPr>
          <w:t xml:space="preserve"> </w:t>
        </w:r>
      </w:hyperlink>
      <w:hyperlink r:id="rId63">
        <w:r w:rsidRPr="00173FC2">
          <w:rPr>
            <w:rFonts w:eastAsia="Times New Roman"/>
            <w:color w:val="1155CC"/>
            <w:sz w:val="24"/>
            <w:szCs w:val="24"/>
            <w:u w:val="single"/>
          </w:rPr>
          <w:t>https://unitesi.unive.it/retrieve/4fdca18d-0240-43fe-83bb-0c51370b65ba/868943-1268053.pdf</w:t>
        </w:r>
      </w:hyperlink>
      <w:r w:rsidRPr="00173FC2">
        <w:rPr>
          <w:rFonts w:eastAsia="Times New Roman"/>
          <w:sz w:val="24"/>
          <w:szCs w:val="24"/>
        </w:rPr>
        <w:t xml:space="preserve"> (Accessed: 21 November 2025).</w:t>
      </w:r>
    </w:p>
    <w:p w14:paraId="3E40F8CB"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University of Michigan (2025) </w:t>
      </w:r>
      <w:r w:rsidRPr="00173FC2">
        <w:rPr>
          <w:rFonts w:eastAsia="Times New Roman"/>
          <w:i/>
          <w:iCs/>
          <w:sz w:val="24"/>
          <w:szCs w:val="24"/>
        </w:rPr>
        <w:t>Cultural dimensions.</w:t>
      </w:r>
      <w:r w:rsidRPr="00173FC2">
        <w:rPr>
          <w:rFonts w:eastAsia="Times New Roman"/>
          <w:sz w:val="24"/>
          <w:szCs w:val="24"/>
        </w:rPr>
        <w:t xml:space="preserve"> Available at:</w:t>
      </w:r>
      <w:hyperlink r:id="rId64">
        <w:r w:rsidRPr="00173FC2">
          <w:rPr>
            <w:rFonts w:eastAsia="Times New Roman"/>
            <w:sz w:val="24"/>
            <w:szCs w:val="24"/>
          </w:rPr>
          <w:t xml:space="preserve"> </w:t>
        </w:r>
      </w:hyperlink>
      <w:hyperlink r:id="rId65">
        <w:r w:rsidRPr="00173FC2">
          <w:rPr>
            <w:rFonts w:eastAsia="Times New Roman"/>
            <w:color w:val="1155CC"/>
            <w:sz w:val="24"/>
            <w:szCs w:val="24"/>
            <w:u w:val="single"/>
          </w:rPr>
          <w:t>https://public.websites.umich.edu/~psycours/490/cdimen.pdf</w:t>
        </w:r>
      </w:hyperlink>
      <w:r w:rsidRPr="00173FC2">
        <w:rPr>
          <w:rFonts w:eastAsia="Times New Roman"/>
          <w:sz w:val="24"/>
          <w:szCs w:val="24"/>
        </w:rPr>
        <w:t xml:space="preserve"> (Accessed: 21 November 2025).</w:t>
      </w:r>
    </w:p>
    <w:p w14:paraId="5D954A1A"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Vadivelu, V., Nachimuthu, P. and Karthikeyan, P. (2025) ‘Transforming supply chains with additive manufacturing’, in </w:t>
      </w:r>
      <w:r w:rsidRPr="00173FC2">
        <w:rPr>
          <w:rFonts w:eastAsia="Times New Roman"/>
          <w:i/>
          <w:iCs/>
          <w:sz w:val="24"/>
          <w:szCs w:val="24"/>
        </w:rPr>
        <w:t>Metal additive manufacturing: principles, techniques and applications.</w:t>
      </w:r>
      <w:r w:rsidRPr="00173FC2">
        <w:rPr>
          <w:rFonts w:eastAsia="Times New Roman"/>
          <w:sz w:val="24"/>
          <w:szCs w:val="24"/>
        </w:rPr>
        <w:t xml:space="preserve"> Wiley, pp. 359–406. Available at:</w:t>
      </w:r>
      <w:hyperlink r:id="rId66">
        <w:r w:rsidRPr="00173FC2">
          <w:rPr>
            <w:rFonts w:eastAsia="Times New Roman"/>
            <w:sz w:val="24"/>
            <w:szCs w:val="24"/>
          </w:rPr>
          <w:t xml:space="preserve"> </w:t>
        </w:r>
      </w:hyperlink>
      <w:hyperlink r:id="rId67">
        <w:r w:rsidRPr="00173FC2">
          <w:rPr>
            <w:rFonts w:eastAsia="Times New Roman"/>
            <w:color w:val="1155CC"/>
            <w:sz w:val="24"/>
            <w:szCs w:val="24"/>
            <w:u w:val="single"/>
          </w:rPr>
          <w:t>https://onlinelibrary.wiley.com/doi/abs/10.1002/9781394287659.ch15</w:t>
        </w:r>
      </w:hyperlink>
      <w:r w:rsidRPr="00173FC2">
        <w:rPr>
          <w:rFonts w:eastAsia="Times New Roman"/>
          <w:sz w:val="24"/>
          <w:szCs w:val="24"/>
        </w:rPr>
        <w:t xml:space="preserve"> (Accessed: 21 November 2025).</w:t>
      </w:r>
    </w:p>
    <w:p w14:paraId="4348B6CA" w14:textId="77777777" w:rsidR="00173A20" w:rsidRPr="00173FC2" w:rsidRDefault="00173A20"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 xml:space="preserve">Vidal López, L., Pelegrín Solé, À. and Gonzalez-Pujol, I. (2024) ‘Diversifying economic risks: Japan’s economic hedging toward China.’ </w:t>
      </w:r>
      <w:r w:rsidRPr="00173FC2">
        <w:rPr>
          <w:rFonts w:eastAsia="Times New Roman"/>
          <w:i/>
          <w:iCs/>
          <w:sz w:val="24"/>
          <w:szCs w:val="24"/>
          <w:highlight w:val="white"/>
        </w:rPr>
        <w:t>International Relations of the Asia-Pacific</w:t>
      </w:r>
      <w:r w:rsidRPr="00173FC2">
        <w:rPr>
          <w:rFonts w:eastAsia="Times New Roman"/>
          <w:sz w:val="24"/>
          <w:szCs w:val="24"/>
          <w:highlight w:val="white"/>
        </w:rPr>
        <w:t>, 24(2), pp. 315-355.</w:t>
      </w:r>
      <w:hyperlink r:id="rId68">
        <w:r w:rsidRPr="00173FC2">
          <w:rPr>
            <w:rFonts w:eastAsia="Times New Roman"/>
            <w:sz w:val="24"/>
            <w:szCs w:val="24"/>
            <w:highlight w:val="white"/>
            <w:u w:val="single"/>
          </w:rPr>
          <w:t>https://diposit.ub.edu/dspace/bitstream/2445/221823/1/871859.pdf</w:t>
        </w:r>
      </w:hyperlink>
      <w:r w:rsidRPr="00173FC2">
        <w:rPr>
          <w:rFonts w:eastAsia="Times New Roman"/>
          <w:sz w:val="24"/>
          <w:szCs w:val="24"/>
          <w:highlight w:val="white"/>
        </w:rPr>
        <w:t xml:space="preserve"> </w:t>
      </w:r>
    </w:p>
    <w:p w14:paraId="57993A13"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Weil, A. (2025a) ‘Hofstede’s dimensions of culture theory’, in </w:t>
      </w:r>
      <w:r w:rsidRPr="00173FC2">
        <w:rPr>
          <w:rFonts w:eastAsia="Times New Roman"/>
          <w:i/>
          <w:iCs/>
          <w:sz w:val="24"/>
          <w:szCs w:val="24"/>
        </w:rPr>
        <w:t>Speaking of Culture.</w:t>
      </w:r>
      <w:r w:rsidRPr="00173FC2">
        <w:rPr>
          <w:rFonts w:eastAsia="Times New Roman"/>
          <w:sz w:val="24"/>
          <w:szCs w:val="24"/>
        </w:rPr>
        <w:t xml:space="preserve"> LibreTexts Social Sciences. Available at: https://socialsci.libretexts.org/.../6.02%3A_Hofstede%E2%80%99s_dimensions_of_culture_theory (Accessed: 21 November 2025).</w:t>
      </w:r>
    </w:p>
    <w:p w14:paraId="2C55CAD0"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lastRenderedPageBreak/>
        <w:t xml:space="preserve">Weil, A. (2025b) ‘A closer look at values’, in </w:t>
      </w:r>
      <w:r w:rsidRPr="00173FC2">
        <w:rPr>
          <w:rFonts w:eastAsia="Times New Roman"/>
          <w:i/>
          <w:iCs/>
          <w:sz w:val="24"/>
          <w:szCs w:val="24"/>
        </w:rPr>
        <w:t>Speaking of Culture.</w:t>
      </w:r>
      <w:r w:rsidRPr="00173FC2">
        <w:rPr>
          <w:rFonts w:eastAsia="Times New Roman"/>
          <w:sz w:val="24"/>
          <w:szCs w:val="24"/>
        </w:rPr>
        <w:t xml:space="preserve"> UEN Pressbooks. Available at:</w:t>
      </w:r>
      <w:hyperlink r:id="rId69">
        <w:r w:rsidRPr="00173FC2">
          <w:rPr>
            <w:rFonts w:eastAsia="Times New Roman"/>
            <w:sz w:val="24"/>
            <w:szCs w:val="24"/>
          </w:rPr>
          <w:t xml:space="preserve"> </w:t>
        </w:r>
      </w:hyperlink>
      <w:hyperlink r:id="rId70">
        <w:r w:rsidRPr="00173FC2">
          <w:rPr>
            <w:rFonts w:eastAsia="Times New Roman"/>
            <w:color w:val="1155CC"/>
            <w:sz w:val="24"/>
            <w:szCs w:val="24"/>
            <w:u w:val="single"/>
          </w:rPr>
          <w:t>https://uen.pressbooks.pub/speakingofculture/chapter/chapter-6-a-closer-look-at-values/</w:t>
        </w:r>
      </w:hyperlink>
      <w:r w:rsidRPr="00173FC2">
        <w:rPr>
          <w:rFonts w:eastAsia="Times New Roman"/>
          <w:sz w:val="24"/>
          <w:szCs w:val="24"/>
        </w:rPr>
        <w:t xml:space="preserve"> (Accessed: 21 November 2025).</w:t>
      </w:r>
    </w:p>
    <w:p w14:paraId="72525438"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World Bank (2017) </w:t>
      </w:r>
      <w:r w:rsidRPr="00173FC2">
        <w:rPr>
          <w:rFonts w:eastAsia="Times New Roman"/>
          <w:i/>
          <w:iCs/>
          <w:sz w:val="24"/>
          <w:szCs w:val="24"/>
        </w:rPr>
        <w:t>India: Skills assessment report – Skills for jobs (PAD).</w:t>
      </w:r>
      <w:r w:rsidRPr="00173FC2">
        <w:rPr>
          <w:rFonts w:eastAsia="Times New Roman"/>
          <w:sz w:val="24"/>
          <w:szCs w:val="24"/>
        </w:rPr>
        <w:t xml:space="preserve"> Washington, DC: World Bank Group. Available at: https://documents.worldbank.org/.../INDIA-SKILL-PAD-06062017.pdf (Accessed: 21 November 2025).</w:t>
      </w:r>
    </w:p>
    <w:p w14:paraId="5B75CD32" w14:textId="77777777" w:rsidR="00173A20" w:rsidRPr="00173FC2" w:rsidRDefault="00173A20" w:rsidP="00E5452A">
      <w:pPr>
        <w:pStyle w:val="Normal1"/>
        <w:spacing w:line="360" w:lineRule="auto"/>
        <w:jc w:val="both"/>
        <w:rPr>
          <w:rFonts w:eastAsia="Times New Roman"/>
          <w:sz w:val="24"/>
          <w:szCs w:val="24"/>
        </w:rPr>
      </w:pPr>
      <w:r w:rsidRPr="00173FC2">
        <w:rPr>
          <w:rFonts w:eastAsia="Times New Roman"/>
          <w:sz w:val="24"/>
          <w:szCs w:val="24"/>
        </w:rPr>
        <w:t xml:space="preserve">World Bank (2022) </w:t>
      </w:r>
      <w:r w:rsidRPr="00173FC2">
        <w:rPr>
          <w:rFonts w:eastAsia="Times New Roman"/>
          <w:i/>
          <w:iCs/>
          <w:sz w:val="24"/>
          <w:szCs w:val="24"/>
        </w:rPr>
        <w:t>India country partnership framework FY23–27.</w:t>
      </w:r>
      <w:r w:rsidRPr="00173FC2">
        <w:rPr>
          <w:rFonts w:eastAsia="Times New Roman"/>
          <w:sz w:val="24"/>
          <w:szCs w:val="24"/>
        </w:rPr>
        <w:t xml:space="preserve"> Washington, DC: World Bank. Available at: https://documents1.worldbank.org/.../P175027138446b0c21862819662d283ed24.pdf (Accessed: 21 November 2025).</w:t>
      </w:r>
    </w:p>
    <w:p w14:paraId="514DE3E2" w14:textId="77777777" w:rsidR="00173A20" w:rsidRPr="00173FC2" w:rsidRDefault="00173A20" w:rsidP="00E5452A">
      <w:pPr>
        <w:pStyle w:val="Normal1"/>
        <w:spacing w:line="360" w:lineRule="auto"/>
        <w:jc w:val="both"/>
        <w:rPr>
          <w:rFonts w:eastAsia="Times New Roman"/>
          <w:sz w:val="24"/>
          <w:szCs w:val="24"/>
          <w:highlight w:val="white"/>
        </w:rPr>
      </w:pPr>
      <w:r w:rsidRPr="00173FC2">
        <w:rPr>
          <w:rFonts w:eastAsia="Times New Roman"/>
          <w:sz w:val="24"/>
          <w:szCs w:val="24"/>
          <w:highlight w:val="white"/>
        </w:rPr>
        <w:t xml:space="preserve">Yang, S. (2022) ‘Analysis for supply chain management: evidence from Toyota’. </w:t>
      </w:r>
      <w:r w:rsidRPr="00173FC2">
        <w:rPr>
          <w:rFonts w:eastAsia="Times New Roman"/>
          <w:i/>
          <w:iCs/>
          <w:sz w:val="24"/>
          <w:szCs w:val="24"/>
          <w:highlight w:val="white"/>
        </w:rPr>
        <w:t>BCP Business and Management</w:t>
      </w:r>
      <w:r w:rsidRPr="00173FC2">
        <w:rPr>
          <w:rFonts w:eastAsia="Times New Roman"/>
          <w:sz w:val="24"/>
          <w:szCs w:val="24"/>
          <w:highlight w:val="white"/>
        </w:rPr>
        <w:t>, 34, pp. 1204-1209https://</w:t>
      </w:r>
      <w:hyperlink r:id="rId71">
        <w:r w:rsidRPr="00173FC2">
          <w:rPr>
            <w:rFonts w:eastAsia="Times New Roman"/>
            <w:sz w:val="24"/>
            <w:szCs w:val="24"/>
            <w:highlight w:val="white"/>
            <w:u w:val="single"/>
          </w:rPr>
          <w:t>doi.org/10.54691/bcpbm.v34i.3160</w:t>
        </w:r>
      </w:hyperlink>
      <w:r w:rsidRPr="00173FC2">
        <w:rPr>
          <w:rFonts w:eastAsia="Times New Roman"/>
          <w:sz w:val="24"/>
          <w:szCs w:val="24"/>
          <w:highlight w:val="white"/>
        </w:rPr>
        <w:t xml:space="preserve">  </w:t>
      </w:r>
    </w:p>
    <w:p w14:paraId="03625A90" w14:textId="77777777" w:rsidR="00DE5498" w:rsidRDefault="00DE5498" w:rsidP="000F227A">
      <w:pPr>
        <w:pStyle w:val="Normal1"/>
        <w:spacing w:line="360" w:lineRule="auto"/>
        <w:jc w:val="both"/>
        <w:rPr>
          <w:rFonts w:ascii="Times New Roman" w:eastAsia="Times New Roman" w:hAnsi="Times New Roman" w:cs="Times New Roman"/>
          <w:sz w:val="24"/>
          <w:szCs w:val="24"/>
        </w:rPr>
      </w:pPr>
    </w:p>
    <w:sectPr w:rsidR="00DE5498" w:rsidSect="004D7D10">
      <w:headerReference w:type="default" r:id="rId72"/>
      <w:footerReference w:type="default" r:id="rId7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E7299F" w14:textId="77777777" w:rsidR="00AD03FB" w:rsidRDefault="00AD03FB" w:rsidP="00DE5498">
      <w:pPr>
        <w:spacing w:line="240" w:lineRule="auto"/>
      </w:pPr>
      <w:r>
        <w:separator/>
      </w:r>
    </w:p>
  </w:endnote>
  <w:endnote w:type="continuationSeparator" w:id="0">
    <w:p w14:paraId="2CC2E369" w14:textId="77777777" w:rsidR="00AD03FB" w:rsidRDefault="00AD03FB" w:rsidP="00DE54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2028ABC-4E2F-4C59-AA7D-456146472A66}"/>
  </w:font>
  <w:font w:name="Calibri">
    <w:panose1 w:val="020F0502020204030204"/>
    <w:charset w:val="00"/>
    <w:family w:val="swiss"/>
    <w:pitch w:val="variable"/>
    <w:sig w:usb0="E4002EFF" w:usb1="C200247B" w:usb2="00000009" w:usb3="00000000" w:csb0="000001FF" w:csb1="00000000"/>
    <w:embedRegular r:id="rId2" w:fontKey="{058EE0CF-5777-4AEC-ACD3-29FB6EAAF366}"/>
    <w:embedBold r:id="rId3" w:fontKey="{79614CF3-5E07-4C51-8FCB-4B0C3C83374F}"/>
  </w:font>
  <w:font w:name="Cambria">
    <w:panose1 w:val="02040503050406030204"/>
    <w:charset w:val="00"/>
    <w:family w:val="roman"/>
    <w:pitch w:val="variable"/>
    <w:sig w:usb0="E00006FF" w:usb1="420024FF" w:usb2="02000000" w:usb3="00000000" w:csb0="0000019F" w:csb1="00000000"/>
    <w:embedRegular r:id="rId4" w:fontKey="{4B3E9DAA-CE92-4DDA-8F66-3841C467801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369880"/>
      <w:docPartObj>
        <w:docPartGallery w:val="Page Numbers (Bottom of Page)"/>
        <w:docPartUnique/>
      </w:docPartObj>
    </w:sdtPr>
    <w:sdtEndPr/>
    <w:sdtContent>
      <w:p w14:paraId="374FFCA2" w14:textId="237D32C6" w:rsidR="004D7D10" w:rsidRDefault="004D7D10">
        <w:pPr>
          <w:pStyle w:val="Footer"/>
          <w:jc w:val="right"/>
        </w:pPr>
        <w:r>
          <w:fldChar w:fldCharType="begin"/>
        </w:r>
        <w:r>
          <w:instrText xml:space="preserve"> PAGE   \* MERGEFORMAT </w:instrText>
        </w:r>
        <w:r>
          <w:fldChar w:fldCharType="separate"/>
        </w:r>
        <w:r w:rsidR="00F5511D">
          <w:rPr>
            <w:noProof/>
          </w:rPr>
          <w:t>9</w:t>
        </w:r>
        <w:r>
          <w:rPr>
            <w:noProof/>
          </w:rPr>
          <w:fldChar w:fldCharType="end"/>
        </w:r>
      </w:p>
    </w:sdtContent>
  </w:sdt>
  <w:p w14:paraId="129BAD85" w14:textId="77777777" w:rsidR="004D7D10" w:rsidRDefault="004D7D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60DF7" w14:textId="77777777" w:rsidR="00AD03FB" w:rsidRDefault="00AD03FB" w:rsidP="00DE5498">
      <w:pPr>
        <w:spacing w:line="240" w:lineRule="auto"/>
      </w:pPr>
      <w:r>
        <w:separator/>
      </w:r>
    </w:p>
  </w:footnote>
  <w:footnote w:type="continuationSeparator" w:id="0">
    <w:p w14:paraId="045B5A49" w14:textId="77777777" w:rsidR="00AD03FB" w:rsidRDefault="00AD03FB" w:rsidP="00DE54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0655D" w14:textId="77777777" w:rsidR="00DE5498" w:rsidRDefault="00970BC5">
    <w:pPr>
      <w:pStyle w:val="Normal1"/>
      <w:ind w:left="6480" w:firstLine="720"/>
    </w:pPr>
    <w:r>
      <w:rPr>
        <w:noProof/>
        <w:lang w:val="en-US"/>
      </w:rPr>
      <w:drawing>
        <wp:inline distT="114300" distB="114300" distL="114300" distR="114300" wp14:anchorId="184C554A" wp14:editId="4370C343">
          <wp:extent cx="2019300" cy="81915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019300" cy="81915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498"/>
    <w:rsid w:val="00072A79"/>
    <w:rsid w:val="000F227A"/>
    <w:rsid w:val="00173A20"/>
    <w:rsid w:val="00173FC2"/>
    <w:rsid w:val="001C6D1F"/>
    <w:rsid w:val="001E0D06"/>
    <w:rsid w:val="00205443"/>
    <w:rsid w:val="002823BF"/>
    <w:rsid w:val="0028465D"/>
    <w:rsid w:val="00302266"/>
    <w:rsid w:val="003D2EE3"/>
    <w:rsid w:val="004D7D10"/>
    <w:rsid w:val="005716A9"/>
    <w:rsid w:val="005723BF"/>
    <w:rsid w:val="00607325"/>
    <w:rsid w:val="00675383"/>
    <w:rsid w:val="00795219"/>
    <w:rsid w:val="00841074"/>
    <w:rsid w:val="00864DAB"/>
    <w:rsid w:val="00970BC5"/>
    <w:rsid w:val="00A824A0"/>
    <w:rsid w:val="00AD03FB"/>
    <w:rsid w:val="00B918C4"/>
    <w:rsid w:val="00BF7C1E"/>
    <w:rsid w:val="00CC7C38"/>
    <w:rsid w:val="00CF5205"/>
    <w:rsid w:val="00D74DB6"/>
    <w:rsid w:val="00DE5498"/>
    <w:rsid w:val="00DF068C"/>
    <w:rsid w:val="00E46B2B"/>
    <w:rsid w:val="00E5452A"/>
    <w:rsid w:val="00EC6F6D"/>
    <w:rsid w:val="00F45BEB"/>
    <w:rsid w:val="00F55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FF73C"/>
  <w15:docId w15:val="{EC58871F-75C6-443F-8E90-7F599ACD0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DE5498"/>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1"/>
    <w:next w:val="Normal1"/>
    <w:link w:val="Heading2Char"/>
    <w:rsid w:val="00DE5498"/>
    <w:pPr>
      <w:keepNext/>
      <w:keepLines/>
      <w:spacing w:before="280" w:after="80"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1"/>
    <w:next w:val="Normal1"/>
    <w:rsid w:val="00DE5498"/>
    <w:pPr>
      <w:keepNext/>
      <w:keepLines/>
      <w:spacing w:before="320" w:after="80"/>
      <w:outlineLvl w:val="2"/>
    </w:pPr>
    <w:rPr>
      <w:color w:val="434343"/>
      <w:sz w:val="28"/>
      <w:szCs w:val="28"/>
    </w:rPr>
  </w:style>
  <w:style w:type="paragraph" w:styleId="Heading4">
    <w:name w:val="heading 4"/>
    <w:basedOn w:val="Normal1"/>
    <w:next w:val="Normal1"/>
    <w:rsid w:val="00DE5498"/>
    <w:pPr>
      <w:keepNext/>
      <w:keepLines/>
      <w:spacing w:before="280" w:after="80"/>
      <w:outlineLvl w:val="3"/>
    </w:pPr>
    <w:rPr>
      <w:color w:val="666666"/>
      <w:sz w:val="24"/>
      <w:szCs w:val="24"/>
    </w:rPr>
  </w:style>
  <w:style w:type="paragraph" w:styleId="Heading5">
    <w:name w:val="heading 5"/>
    <w:basedOn w:val="Normal1"/>
    <w:next w:val="Normal1"/>
    <w:rsid w:val="00DE5498"/>
    <w:pPr>
      <w:keepNext/>
      <w:keepLines/>
      <w:spacing w:before="240" w:after="80"/>
      <w:outlineLvl w:val="4"/>
    </w:pPr>
    <w:rPr>
      <w:color w:val="666666"/>
    </w:rPr>
  </w:style>
  <w:style w:type="paragraph" w:styleId="Heading6">
    <w:name w:val="heading 6"/>
    <w:basedOn w:val="Normal1"/>
    <w:next w:val="Normal1"/>
    <w:rsid w:val="00DE5498"/>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E5498"/>
    <w:tblPr>
      <w:tblCellMar>
        <w:top w:w="100" w:type="dxa"/>
        <w:left w:w="100" w:type="dxa"/>
        <w:bottom w:w="100" w:type="dxa"/>
        <w:right w:w="100" w:type="dxa"/>
      </w:tblCellMar>
    </w:tblPr>
  </w:style>
  <w:style w:type="paragraph" w:customStyle="1" w:styleId="Normal1">
    <w:name w:val="Normal1"/>
    <w:rsid w:val="00DE5498"/>
  </w:style>
  <w:style w:type="paragraph" w:styleId="Title">
    <w:name w:val="Title"/>
    <w:basedOn w:val="Normal1"/>
    <w:next w:val="Normal1"/>
    <w:rsid w:val="00DE5498"/>
    <w:pPr>
      <w:keepNext/>
      <w:keepLines/>
      <w:spacing w:after="60"/>
    </w:pPr>
    <w:rPr>
      <w:sz w:val="52"/>
      <w:szCs w:val="52"/>
    </w:rPr>
  </w:style>
  <w:style w:type="paragraph" w:styleId="Subtitle">
    <w:name w:val="Subtitle"/>
    <w:basedOn w:val="Normal1"/>
    <w:next w:val="Normal1"/>
    <w:rsid w:val="00DE5498"/>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D7D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D10"/>
    <w:rPr>
      <w:rFonts w:ascii="Tahoma" w:hAnsi="Tahoma" w:cs="Tahoma"/>
      <w:sz w:val="16"/>
      <w:szCs w:val="16"/>
    </w:rPr>
  </w:style>
  <w:style w:type="paragraph" w:styleId="TOCHeading">
    <w:name w:val="TOC Heading"/>
    <w:basedOn w:val="Heading1"/>
    <w:next w:val="Normal"/>
    <w:uiPriority w:val="39"/>
    <w:semiHidden/>
    <w:unhideWhenUsed/>
    <w:qFormat/>
    <w:rsid w:val="004D7D10"/>
    <w:pPr>
      <w:spacing w:before="48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4D7D10"/>
    <w:pPr>
      <w:spacing w:after="100"/>
    </w:pPr>
  </w:style>
  <w:style w:type="paragraph" w:styleId="TOC2">
    <w:name w:val="toc 2"/>
    <w:basedOn w:val="Normal"/>
    <w:next w:val="Normal"/>
    <w:autoRedefine/>
    <w:uiPriority w:val="39"/>
    <w:unhideWhenUsed/>
    <w:rsid w:val="004D7D10"/>
    <w:pPr>
      <w:spacing w:after="100"/>
      <w:ind w:left="220"/>
    </w:pPr>
  </w:style>
  <w:style w:type="character" w:styleId="Hyperlink">
    <w:name w:val="Hyperlink"/>
    <w:basedOn w:val="DefaultParagraphFont"/>
    <w:uiPriority w:val="99"/>
    <w:unhideWhenUsed/>
    <w:rsid w:val="004D7D10"/>
    <w:rPr>
      <w:color w:val="0000FF" w:themeColor="hyperlink"/>
      <w:u w:val="single"/>
    </w:rPr>
  </w:style>
  <w:style w:type="paragraph" w:styleId="Header">
    <w:name w:val="header"/>
    <w:basedOn w:val="Normal"/>
    <w:link w:val="HeaderChar"/>
    <w:uiPriority w:val="99"/>
    <w:semiHidden/>
    <w:unhideWhenUsed/>
    <w:rsid w:val="004D7D1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D7D10"/>
  </w:style>
  <w:style w:type="paragraph" w:styleId="Footer">
    <w:name w:val="footer"/>
    <w:basedOn w:val="Normal"/>
    <w:link w:val="FooterChar"/>
    <w:uiPriority w:val="99"/>
    <w:unhideWhenUsed/>
    <w:rsid w:val="004D7D10"/>
    <w:pPr>
      <w:tabs>
        <w:tab w:val="center" w:pos="4680"/>
        <w:tab w:val="right" w:pos="9360"/>
      </w:tabs>
      <w:spacing w:line="240" w:lineRule="auto"/>
    </w:pPr>
  </w:style>
  <w:style w:type="character" w:customStyle="1" w:styleId="FooterChar">
    <w:name w:val="Footer Char"/>
    <w:basedOn w:val="DefaultParagraphFont"/>
    <w:link w:val="Footer"/>
    <w:uiPriority w:val="99"/>
    <w:rsid w:val="004D7D10"/>
  </w:style>
  <w:style w:type="character" w:customStyle="1" w:styleId="Heading2Char">
    <w:name w:val="Heading 2 Char"/>
    <w:basedOn w:val="DefaultParagraphFont"/>
    <w:link w:val="Heading2"/>
    <w:rsid w:val="00D74DB6"/>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econstor.eu/bitstream/10419/310741/1/18_2_01.pdf?utm_source=chatgpt.com" TargetMode="External"/><Relationship Id="rId18" Type="http://schemas.openxmlformats.org/officeDocument/2006/relationships/hyperlink" Target="https://globeproject.com/results/clusters/southern-asia%3Fmenu%3Dlist.html?utm_source=chatgpt.com" TargetMode="External"/><Relationship Id="rId26" Type="http://schemas.openxmlformats.org/officeDocument/2006/relationships/hyperlink" Target="https://www.internationalbusinesscenter.org/geert-hofstede/hofstede_india.shtml?utm_source=chatgpt.com" TargetMode="External"/><Relationship Id="rId39" Type="http://schemas.openxmlformats.org/officeDocument/2006/relationships/hyperlink" Target="https://unitesi.unive.it/retrieve/4fdca18d-0240-43fe-83bb-0c51370b65ba/868943-1268053.pdf?utm_source=chatgpt.com" TargetMode="External"/><Relationship Id="rId21" Type="http://schemas.openxmlformats.org/officeDocument/2006/relationships/hyperlink" Target="https://www.iamai.in/sites/default/files/research/INTERNET%20IN%20INDIA%202023.pdf?utm_source=chatgpt.com" TargetMode="External"/><Relationship Id="rId34" Type="http://schemas.openxmlformats.org/officeDocument/2006/relationships/hyperlink" Target="https://www.mreport.co.th/en/news/industry-movement/160-toyota-rd-spending-2025?utm_source=chatgpt.com" TargetMode="External"/><Relationship Id="rId42" Type="http://schemas.openxmlformats.org/officeDocument/2006/relationships/hyperlink" Target="https://www.pwc.in/press-releases/2024/82-of-indian-consumers-consider-protection-of-personal-data-as-most-crucial-factor-in-building-trust-pwcs-voice-of-the-consumer-survey-2024.html?utm_source=chatgpt.com" TargetMode="External"/><Relationship Id="rId47" Type="http://schemas.openxmlformats.org/officeDocument/2006/relationships/hyperlink" Target="https://global.toyota/pages/global_toyota/ir/library/sec/20-F_202403_final.pdf?utm_source=chatgpt.com" TargetMode="External"/><Relationship Id="rId50" Type="http://schemas.openxmlformats.org/officeDocument/2006/relationships/hyperlink" Target="https://www.sec.gov/Archives/edgar/data/1094517/000119312525142326/d925022d20f.htm?utm_source=chatgpt.com" TargetMode="External"/><Relationship Id="rId55" Type="http://schemas.openxmlformats.org/officeDocument/2006/relationships/hyperlink" Target="https://www.annualreports.com/HostedData/AnnualReportArchive/t/NYSE_TM_2007.pdf?utm_source=chatgpt.com" TargetMode="External"/><Relationship Id="rId63" Type="http://schemas.openxmlformats.org/officeDocument/2006/relationships/hyperlink" Target="https://unitesi.unive.it/retrieve/4fdca18d-0240-43fe-83bb-0c51370b65ba/868943-1268053.pdf?utm_source=chatgpt.com" TargetMode="External"/><Relationship Id="rId68" Type="http://schemas.openxmlformats.org/officeDocument/2006/relationships/hyperlink" Target="https://diposit.ub.edu/dspace/bitstream/2445/221823/1/871859.pdf" TargetMode="External"/><Relationship Id="rId7" Type="http://schemas.openxmlformats.org/officeDocument/2006/relationships/image" Target="media/image1.png"/><Relationship Id="rId71" Type="http://schemas.openxmlformats.org/officeDocument/2006/relationships/hyperlink" Target="http://doi.org/10.54691/bcpbm.v34i.3160" TargetMode="External"/><Relationship Id="rId2" Type="http://schemas.openxmlformats.org/officeDocument/2006/relationships/styles" Target="styles.xml"/><Relationship Id="rId16" Type="http://schemas.openxmlformats.org/officeDocument/2006/relationships/hyperlink" Target="https://www.econstor.eu/bitstream/10419/310741/1/18_2_01.pdf?utm_source=chatgpt.com" TargetMode="External"/><Relationship Id="rId29" Type="http://schemas.openxmlformats.org/officeDocument/2006/relationships/hyperlink" Target="https://www.jdpower.com/business/press-releases/2022-india-customer-service-index-csi-study?utm_source=chatgpt.com" TargetMode="External"/><Relationship Id="rId11" Type="http://schemas.openxmlformats.org/officeDocument/2006/relationships/hyperlink" Target="https://www.business-to-you.com/choosing-the-right-entry-mode-strategy/" TargetMode="External"/><Relationship Id="rId24" Type="http://schemas.openxmlformats.org/officeDocument/2006/relationships/hyperlink" Target="https://competitiveness.in/mind-the-gap-then-fix-it-the-mismatch-between-workforce-skills-and-job-market-demands-in-india/?utm_source=chatgpt.com" TargetMode="External"/><Relationship Id="rId32" Type="http://schemas.openxmlformats.org/officeDocument/2006/relationships/hyperlink" Target="https://www.jdpower.com/business/press-releases/2023-india-customer-service-index-csi-study?utm_source=chatgpt.com" TargetMode="External"/><Relationship Id="rId37" Type="http://schemas.openxmlformats.org/officeDocument/2006/relationships/hyperlink" Target="https://prezi.com/p/9r1lryq4knlp/hofstedes-cultural-dimensions-japan/" TargetMode="External"/><Relationship Id="rId40" Type="http://schemas.openxmlformats.org/officeDocument/2006/relationships/hyperlink" Target="https://unitesi.unive.it/retrieve/4fdca18d-0240-43fe-83bb-0c51370b65ba/868943-1268053.pdf?utm_source=chatgpt.com" TargetMode="External"/><Relationship Id="rId45" Type="http://schemas.openxmlformats.org/officeDocument/2006/relationships/hyperlink" Target="https://dx.doi.org/10.61426/sjbcm.v9i1.2220" TargetMode="External"/><Relationship Id="rId53" Type="http://schemas.openxmlformats.org/officeDocument/2006/relationships/hyperlink" Target="https://www.toyota-global.com/pages/contents/investors/ir_library/annual/pdf/2007/pdf/ar07_e.pdf" TargetMode="External"/><Relationship Id="rId58" Type="http://schemas.openxmlformats.org/officeDocument/2006/relationships/hyperlink" Target="https://www.sec.gov/Archives/edgar/data/1094517/000119312523179181/d360541d20f.htm?utm_source=chatgpt.com" TargetMode="External"/><Relationship Id="rId66" Type="http://schemas.openxmlformats.org/officeDocument/2006/relationships/hyperlink" Target="https://onlinelibrary.wiley.com/doi/abs/10.1002/9781394287659.ch15"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constor.eu/bitstream/10419/310741/1/18_2_01.pdf?utm_source=chatgpt.com" TargetMode="External"/><Relationship Id="rId23" Type="http://schemas.openxmlformats.org/officeDocument/2006/relationships/hyperlink" Target="https://competitiveness.in/mind-the-gap-then-fix-it-the-mismatch-between-workforce-skills-and-job-market-demands-in-india/?utm_source=chatgpt.com" TargetMode="External"/><Relationship Id="rId28" Type="http://schemas.openxmlformats.org/officeDocument/2006/relationships/hyperlink" Target="https://www.internationalbusinesscenter.org/geert-hofstede/hofstede_india.shtml?utm_source=chatgpt.com" TargetMode="External"/><Relationship Id="rId36" Type="http://schemas.openxmlformats.org/officeDocument/2006/relationships/hyperlink" Target="https://doi.org/10.46254/AU02.20230060" TargetMode="External"/><Relationship Id="rId49" Type="http://schemas.openxmlformats.org/officeDocument/2006/relationships/hyperlink" Target="https://global.toyota/pages/fact-data/fact-data_001_06_en.pdf" TargetMode="External"/><Relationship Id="rId57" Type="http://schemas.openxmlformats.org/officeDocument/2006/relationships/hyperlink" Target="https://pressroom.toyota.com/tmc-announces-april-through-march-2025-financial-results/?utm_source=chatgpt.com" TargetMode="External"/><Relationship Id="rId61" Type="http://schemas.openxmlformats.org/officeDocument/2006/relationships/hyperlink" Target="https://unitesi.unive.it/retrieve/4fdca18d-0240-43fe-83bb-0c51370b65ba/868943-1268053.pdf?utm_source=chatgpt.com" TargetMode="External"/><Relationship Id="rId10" Type="http://schemas.openxmlformats.org/officeDocument/2006/relationships/image" Target="media/image4.png"/><Relationship Id="rId19" Type="http://schemas.openxmlformats.org/officeDocument/2006/relationships/hyperlink" Target="https://doi.org/10.1016/j.joitmc.2023.100031" TargetMode="External"/><Relationship Id="rId31" Type="http://schemas.openxmlformats.org/officeDocument/2006/relationships/hyperlink" Target="https://www.jdpower.com/business/press-releases/2023-india-customer-service-index-csi-study?utm_source=chatgpt.com" TargetMode="External"/><Relationship Id="rId44" Type="http://schemas.openxmlformats.org/officeDocument/2006/relationships/hyperlink" Target="https://www.spglobal.com/en/research-insights/special-reports/india-forward/india-manufacturing-opportunity-amid-global-trade-uncertainty?utm_source=chatgpt.com" TargetMode="External"/><Relationship Id="rId52" Type="http://schemas.openxmlformats.org/officeDocument/2006/relationships/hyperlink" Target="https://www.toyota-global.com/pages/contents/investors/ir_library/annual/pdf/2007/pdf/ar07_e.pdf" TargetMode="External"/><Relationship Id="rId60" Type="http://schemas.openxmlformats.org/officeDocument/2006/relationships/hyperlink" Target="https://unitesi.unive.it/retrieve/4fdca18d-0240-43fe-83bb-0c51370b65ba/868943-1268053.pdf?utm_source=chatgpt.com" TargetMode="External"/><Relationship Id="rId65" Type="http://schemas.openxmlformats.org/officeDocument/2006/relationships/hyperlink" Target="https://public.websites.umich.edu/~psycours/490/cdimen.pdf?utm_source=chatgpt.com"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constor.eu/bitstream/10419/310741/1/18_2_01.pdf?utm_source=chatgpt.com" TargetMode="External"/><Relationship Id="rId22" Type="http://schemas.openxmlformats.org/officeDocument/2006/relationships/hyperlink" Target="https://www.iamai.in/sites/default/files/research/INTERNET%20IN%20INDIA%202023.pdf?utm_source=chatgpt.com" TargetMode="External"/><Relationship Id="rId27" Type="http://schemas.openxmlformats.org/officeDocument/2006/relationships/hyperlink" Target="https://www.internationalbusinesscenter.org/geert-hofstede/hofstede_india.shtml?utm_source=chatgpt.com" TargetMode="External"/><Relationship Id="rId30" Type="http://schemas.openxmlformats.org/officeDocument/2006/relationships/hyperlink" Target="https://www.jdpower.com/business/press-releases/2022-india-customer-service-index-csi-study?utm_source=chatgpt.com" TargetMode="External"/><Relationship Id="rId35" Type="http://schemas.openxmlformats.org/officeDocument/2006/relationships/hyperlink" Target="https://www.mreport.co.th/en/news/industry-movement/160-toyota-rd-spending-2025?utm_source=chatgpt.com" TargetMode="External"/><Relationship Id="rId43" Type="http://schemas.openxmlformats.org/officeDocument/2006/relationships/hyperlink" Target="https://www.spglobal.com/en/research-insights/special-reports/india-forward/india-manufacturing-opportunity-amid-global-trade-uncertainty?utm_source=chatgpt.com" TargetMode="External"/><Relationship Id="rId48" Type="http://schemas.openxmlformats.org/officeDocument/2006/relationships/hyperlink" Target="https://global.toyota/pages/fact-data/fact-data_001_06_en.pdf" TargetMode="External"/><Relationship Id="rId56" Type="http://schemas.openxmlformats.org/officeDocument/2006/relationships/hyperlink" Target="https://pressroom.toyota.com/tmc-announces-april-through-march-2025-financial-results/?utm_source=chatgpt.com" TargetMode="External"/><Relationship Id="rId64" Type="http://schemas.openxmlformats.org/officeDocument/2006/relationships/hyperlink" Target="https://public.websites.umich.edu/~psycours/490/cdimen.pdf?utm_source=chatgpt.com" TargetMode="External"/><Relationship Id="rId69" Type="http://schemas.openxmlformats.org/officeDocument/2006/relationships/hyperlink" Target="https://uen.pressbooks.pub/speakingofculture/chapter/chapter-6-a-closer-look-at-values/?utm_source=chatgpt.com" TargetMode="External"/><Relationship Id="rId8" Type="http://schemas.openxmlformats.org/officeDocument/2006/relationships/image" Target="media/image2.png"/><Relationship Id="rId51" Type="http://schemas.openxmlformats.org/officeDocument/2006/relationships/hyperlink" Target="https://www.sec.gov/Archives/edgar/data/1094517/000119312525142326/d925022d20f.htm?utm_source=chatgpt.com" TargetMode="External"/><Relationship Id="rId72"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business-to-you.com/choosing-the-right-entry-mode-strategy/" TargetMode="External"/><Relationship Id="rId17" Type="http://schemas.openxmlformats.org/officeDocument/2006/relationships/hyperlink" Target="https://globeproject.com/results/clusters/southern-asia%3Fmenu%3Dlist.html?utm_source=chatgpt.com" TargetMode="External"/><Relationship Id="rId25" Type="http://schemas.openxmlformats.org/officeDocument/2006/relationships/hyperlink" Target="https://www.internationalbusinesscenter.org/geert-hofstede/hofstede_india.shtml?utm_source=chatgpt.com" TargetMode="External"/><Relationship Id="rId33" Type="http://schemas.openxmlformats.org/officeDocument/2006/relationships/hyperlink" Target="https://doi.org/10.1093/irap/lcae002" TargetMode="External"/><Relationship Id="rId38" Type="http://schemas.openxmlformats.org/officeDocument/2006/relationships/hyperlink" Target="https://prezi.com/p/9r1lryq4knlp/hofstedes-cultural-dimensions-japan/" TargetMode="External"/><Relationship Id="rId46" Type="http://schemas.openxmlformats.org/officeDocument/2006/relationships/hyperlink" Target="https://global.toyota/pages/global_toyota/ir/library/sec/20-F_202403_final.pdf?utm_source=chatgpt.com" TargetMode="External"/><Relationship Id="rId59" Type="http://schemas.openxmlformats.org/officeDocument/2006/relationships/hyperlink" Target="https://www.sec.gov/Archives/edgar/data/1094517/000119312523179181/d360541d20f.htm?utm_source=chatgpt.com" TargetMode="External"/><Relationship Id="rId67" Type="http://schemas.openxmlformats.org/officeDocument/2006/relationships/hyperlink" Target="https://onlinelibrary.wiley.com/doi/abs/10.1002/9781394287659.ch15" TargetMode="External"/><Relationship Id="rId20" Type="http://schemas.openxmlformats.org/officeDocument/2006/relationships/hyperlink" Target="https://doi.org/10.1016/j.joitmc.2023.100031" TargetMode="External"/><Relationship Id="rId41" Type="http://schemas.openxmlformats.org/officeDocument/2006/relationships/hyperlink" Target="https://www.pwc.in/press-releases/2024/82-of-indian-consumers-consider-protection-of-personal-data-as-most-crucial-factor-in-building-trust-pwcs-voice-of-the-consumer-survey-2024.html?utm_source=chatgpt.com" TargetMode="External"/><Relationship Id="rId54" Type="http://schemas.openxmlformats.org/officeDocument/2006/relationships/hyperlink" Target="https://www.annualreports.com/HostedData/AnnualReportArchive/t/NYSE_TM_2007.pdf?utm_source=chatgpt.com" TargetMode="External"/><Relationship Id="rId62" Type="http://schemas.openxmlformats.org/officeDocument/2006/relationships/hyperlink" Target="https://unitesi.unive.it/retrieve/4fdca18d-0240-43fe-83bb-0c51370b65ba/868943-1268053.pdf?utm_source=chatgpt.com" TargetMode="External"/><Relationship Id="rId70" Type="http://schemas.openxmlformats.org/officeDocument/2006/relationships/hyperlink" Target="https://uen.pressbooks.pub/speakingofculture/chapter/chapter-6-a-closer-look-at-values/?utm_source=chatgpt.co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63384-9373-4E9D-B14C-0F5B50137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8038</Words>
  <Characters>45823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2025-12-13T14:22:00Z</dcterms:created>
  <dcterms:modified xsi:type="dcterms:W3CDTF">2025-12-14T03:17:00Z</dcterms:modified>
</cp:coreProperties>
</file>