
<file path=[Content_Types].xml><?xml version="1.0" encoding="utf-8"?>
<Types xmlns="http://schemas.openxmlformats.org/package/2006/content-types">
  <Default Extension="xml" ContentType="application/xml"/>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stylesWithEffects.xml" ContentType="application/vnd.ms-word.stylesWithEffects+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xmlns:dgm="http://schemas.openxmlformats.org/drawingml/2006/diagram">
  <w:body>
    <w:p w14:paraId="00000001">
      <w:pPr>
        <w:spacing w:line="360" w:lineRule="auto"/>
        <w:jc w:val="center"/>
        <w:rPr>
          <w:szCs w:val="24"/>
          <w:lang w:val="en-GB"/>
        </w:rPr>
      </w:pPr>
      <w:r>
        <w:rPr>
          <w:b/>
          <w:bCs/>
          <w:szCs w:val="24"/>
          <w:u w:val="single"/>
          <w:lang w:val="en-GB"/>
        </w:rPr>
        <w:t>Activity 4 - Reflection</w:t>
      </w:r>
    </w:p>
    <w:p w14:paraId="00000002">
      <w:pPr>
        <w:spacing w:line="360" w:lineRule="auto"/>
        <w:jc w:val="both"/>
        <w:rPr>
          <w:szCs w:val="24"/>
          <w:lang w:val="en-GB"/>
        </w:rPr>
      </w:pPr>
      <w:r>
        <w:rPr>
          <w:szCs w:val="24"/>
          <w:lang w:val="en-GB"/>
        </w:rPr>
        <w:t>Using Gibb's Reflective Cycle (1988) template below, you should reflect on a time when you demonstrated care and compassion,</w:t>
      </w:r>
      <w:bookmarkStart w:id="0" w:name="_GoBack"/>
      <w:bookmarkEnd w:id="0"/>
      <w:r>
        <w:rPr>
          <w:szCs w:val="24"/>
          <w:lang w:val="en-GB"/>
        </w:rPr>
        <w:t xml:space="preserve"> </w:t>
      </w:r>
      <w:r>
        <w:rPr>
          <w:szCs w:val="24"/>
          <w:lang w:val="en-GB"/>
        </w:rPr>
        <w:t xml:space="preserve">this can be in any situation.  </w:t>
      </w:r>
    </w:p>
    <w:p w14:paraId="00000003">
      <w:pPr>
        <w:spacing w:line="360" w:lineRule="auto"/>
        <w:jc w:val="both"/>
        <w:rPr>
          <w:szCs w:val="24"/>
          <w:lang w:val="en-GB"/>
        </w:rPr>
      </w:pPr>
      <w:r>
        <w:rPr>
          <w:szCs w:val="24"/>
          <w:lang w:val="en-GB"/>
        </w:rPr>
        <w:t>Please pick a scenario that is comprehensive but concise – short and sweet will help you focus your responses.</w:t>
      </w:r>
    </w:p>
    <w:p w14:paraId="00000004">
      <w:pPr>
        <w:spacing w:line="360" w:lineRule="auto"/>
        <w:jc w:val="both"/>
        <w:rPr>
          <w:szCs w:val="24"/>
          <w:lang w:val="en-GB"/>
        </w:rPr>
      </w:pPr>
      <w:r>
        <w:rPr>
          <w:szCs w:val="24"/>
          <w:lang w:val="en-GB"/>
        </w:rPr>
        <w:t>For each area of the Gibbs Cycle – you must include at least one citation and include a corresponding reference list at the end.</w:t>
      </w:r>
    </w:p>
    <w:p w14:paraId="00000005">
      <w:pPr>
        <w:spacing w:line="360" w:lineRule="auto"/>
        <w:jc w:val="both"/>
        <w:rPr>
          <w:szCs w:val="24"/>
          <w:lang w:val="en-GB"/>
        </w:rPr>
      </w:pPr>
      <w:r>
        <w:rPr>
          <w:szCs w:val="24"/>
          <w:lang w:val="en-GB"/>
        </w:rPr>
        <w:t>Please upload your Word document to the correct submission link when complete.</w:t>
      </w:r>
    </w:p>
    <w:p w14:paraId="00000006">
      <w:pPr>
        <w:spacing w:line="360" w:lineRule="auto"/>
        <w:jc w:val="both"/>
        <w:rPr>
          <w:szCs w:val="24"/>
          <w:lang w:val="en-GB"/>
        </w:rPr>
      </w:pPr>
    </w:p>
    <w:p w14:paraId="00000007">
      <w:pPr>
        <w:numPr>
          <w:ilvl w:val="0"/>
          <w:numId w:val="1"/>
        </w:numPr>
        <w:spacing w:line="360" w:lineRule="auto"/>
        <w:jc w:val="both"/>
        <w:rPr>
          <w:szCs w:val="24"/>
          <w:lang w:val="en-GB"/>
        </w:rPr>
      </w:pPr>
      <w:r>
        <w:rPr>
          <w:szCs w:val="24"/>
          <w:lang w:val="en-GB"/>
        </w:rPr>
        <w:t xml:space="preserve">Description – what happened? </w:t>
      </w:r>
    </w:p>
    <w:p w14:paraId="00000008">
      <w:pPr>
        <w:spacing w:line="360" w:lineRule="auto"/>
        <w:jc w:val="both"/>
        <w:rPr>
          <w:szCs w:val="24"/>
          <w:lang w:val="en-GB"/>
        </w:rPr>
      </w:pPr>
      <w:r>
        <w:rPr>
          <w:szCs w:val="24"/>
          <w:lang w:val="en-GB"/>
        </w:rPr>
        <w:t xml:space="preserve">I decided to divide the sections among my three classmates and group to cut down on the amount of research time needed for our graded written group work assignment. It was not necessary to schedule time to work together on the assignment's composition because we thought we could complete it in the afternoon on the day it was due. Nevertheless, we didn't realize the portions weren't prepared in the same way until we were seated. </w:t>
      </w:r>
      <w:r>
        <w:rPr>
          <w:szCs w:val="24"/>
          <w:lang w:val="en-GB"/>
        </w:rPr>
        <w:t>This necessitated revising a significant portion of the work so that it would read correctly</w:t>
      </w:r>
      <w:r>
        <w:rPr>
          <w:szCs w:val="24"/>
          <w:lang w:val="en-GB"/>
        </w:rPr>
        <w:t xml:space="preserve"> </w:t>
      </w:r>
      <w:r>
        <w:rPr>
          <w:szCs w:val="24"/>
        </w:rPr>
        <w:t>(Dominick Grundy, 2017)</w:t>
      </w:r>
      <w:r>
        <w:rPr>
          <w:szCs w:val="24"/>
          <w:lang w:val="en-GB"/>
        </w:rPr>
        <w:t>.  We had enough time to write our parts before the deadline, but we hadn't left much room in our schedules to modify in case anything went wrong. We were able to complete the task ahead of schedule even though two of our group members had to cancel their evening plans.</w:t>
      </w:r>
    </w:p>
    <w:p w14:paraId="00000009">
      <w:pPr>
        <w:numPr>
          <w:ilvl w:val="0"/>
          <w:numId w:val="1"/>
        </w:numPr>
        <w:spacing w:line="360" w:lineRule="auto"/>
        <w:jc w:val="both"/>
        <w:rPr>
          <w:szCs w:val="24"/>
          <w:lang w:val="en-GB"/>
        </w:rPr>
      </w:pPr>
      <w:r>
        <w:rPr>
          <w:szCs w:val="24"/>
          <w:lang w:val="en-GB"/>
        </w:rPr>
        <w:t xml:space="preserve"> Feelings – what were you thinking and feeling</w:t>
      </w:r>
    </w:p>
    <w:p w14:paraId="0000000A">
      <w:pPr>
        <w:spacing w:line="360" w:lineRule="auto"/>
        <w:jc w:val="both"/>
        <w:rPr>
          <w:szCs w:val="24"/>
          <w:lang w:val="en-GB"/>
        </w:rPr>
      </w:pPr>
      <w:r>
        <w:rPr>
          <w:szCs w:val="24"/>
          <w:lang w:val="en-GB"/>
        </w:rPr>
        <w:t xml:space="preserve">Until we gathered as a group and saw there was still a great deal of work to be done, I was pleased, thinking that we had made the correct choice to split and conquer. I thought it was frustrating when we realized we couldn't submit the assignment in its current state. My lack of drive to begin the rewriting stemmed from my certainty that it would be successful. </w:t>
      </w:r>
      <w:r>
        <w:rPr>
          <w:szCs w:val="24"/>
          <w:lang w:val="en-GB"/>
        </w:rPr>
        <w:t>This meant that we had to cancel a few events, which made me quite sad. But that remorse spurred me on that evening to put in more effort and finish earlier than I had intended. In retrospect, it turned out that making the effort was the proper choice</w:t>
      </w:r>
      <w:r>
        <w:rPr>
          <w:szCs w:val="24"/>
          <w:lang w:val="en-GB"/>
        </w:rPr>
        <w:t xml:space="preserve"> </w:t>
      </w:r>
      <w:r>
        <w:rPr>
          <w:szCs w:val="24"/>
        </w:rPr>
        <w:t>(</w:t>
      </w:r>
      <w:r>
        <w:rPr>
          <w:szCs w:val="24"/>
        </w:rPr>
        <w:t>Barile</w:t>
      </w:r>
      <w:r>
        <w:rPr>
          <w:szCs w:val="24"/>
        </w:rPr>
        <w:t>, 2014)</w:t>
      </w:r>
      <w:r>
        <w:rPr>
          <w:szCs w:val="24"/>
          <w:lang w:val="en-GB"/>
        </w:rPr>
        <w:t>.</w:t>
      </w:r>
    </w:p>
    <w:p w14:paraId="0000000B">
      <w:pPr>
        <w:numPr>
          <w:ilvl w:val="0"/>
          <w:numId w:val="1"/>
        </w:numPr>
        <w:spacing w:line="360" w:lineRule="auto"/>
        <w:jc w:val="both"/>
        <w:rPr>
          <w:szCs w:val="24"/>
          <w:lang w:val="en-GB"/>
        </w:rPr>
      </w:pPr>
      <w:r>
        <w:rPr>
          <w:szCs w:val="24"/>
          <w:lang w:val="en-GB"/>
        </w:rPr>
        <w:t>Evaluation – what was good or bad about the experience</w:t>
      </w:r>
    </w:p>
    <w:p w14:paraId="0000000C">
      <w:pPr>
        <w:spacing w:line="360" w:lineRule="auto"/>
        <w:jc w:val="both"/>
        <w:rPr>
          <w:szCs w:val="24"/>
          <w:lang w:val="en-GB"/>
        </w:rPr>
      </w:pPr>
      <w:r>
        <w:rPr>
          <w:szCs w:val="24"/>
          <w:lang w:val="en-GB"/>
        </w:rPr>
        <w:t>One good and productive thing was that every group member turned in excellent work by the deadline. In addition, the fact that two other members of our group had to postpone their plans that evening gave us even more motivation to work hard</w:t>
      </w:r>
      <w:r>
        <w:rPr>
          <w:szCs w:val="24"/>
          <w:lang w:val="en-GB"/>
        </w:rPr>
        <w:t xml:space="preserve"> </w:t>
      </w:r>
      <w:r>
        <w:rPr>
          <w:szCs w:val="24"/>
          <w:lang w:val="en-GB"/>
        </w:rPr>
        <w:t>(</w:t>
      </w:r>
      <w:r>
        <w:rPr>
          <w:szCs w:val="24"/>
          <w:lang w:val="en-GB"/>
        </w:rPr>
        <w:t>Arlo</w:t>
      </w:r>
      <w:r>
        <w:rPr>
          <w:szCs w:val="24"/>
          <w:lang w:val="en-GB"/>
        </w:rPr>
        <w:t>, 2017)</w:t>
      </w:r>
      <w:r>
        <w:rPr>
          <w:szCs w:val="24"/>
          <w:lang w:val="en-GB"/>
        </w:rPr>
        <w:t>. That had a favourable effect on the work ethic of the group. We all assumed we wrote in the same manner, which was false, and as a result, the group's overall timetable fell through.</w:t>
      </w:r>
    </w:p>
    <w:p w14:paraId="0000000D">
      <w:pPr>
        <w:numPr>
          <w:ilvl w:val="0"/>
          <w:numId w:val="1"/>
        </w:numPr>
        <w:spacing w:line="360" w:lineRule="auto"/>
        <w:jc w:val="both"/>
        <w:rPr>
          <w:szCs w:val="24"/>
          <w:lang w:val="en-GB"/>
        </w:rPr>
      </w:pPr>
      <w:r>
        <w:rPr>
          <w:szCs w:val="24"/>
          <w:lang w:val="en-GB"/>
        </w:rPr>
        <w:t xml:space="preserve"> Analysis – What sense can you make of the situation? What have you learned?</w:t>
      </w:r>
    </w:p>
    <w:p w14:paraId="0000000E">
      <w:pPr>
        <w:spacing w:line="360" w:lineRule="auto"/>
        <w:jc w:val="both"/>
        <w:rPr>
          <w:szCs w:val="24"/>
          <w:lang w:val="en-GB"/>
        </w:rPr>
      </w:pPr>
      <w:r>
        <w:rPr>
          <w:szCs w:val="24"/>
          <w:lang w:val="en-GB"/>
        </w:rPr>
        <w:t>Our first attempt at job division was successful, in my opinion, since we divided up the tasks according to people's strengths and allowed them to choose whatever parts of the project they wanted to concentrate on. Working independently has always been my strong suit, and I've discovered that this style of employment best suits my interests and skills. I can see how this may be extended to groups as well.</w:t>
      </w:r>
    </w:p>
    <w:p w14:paraId="0000000F">
      <w:pPr>
        <w:spacing w:line="360" w:lineRule="auto"/>
        <w:jc w:val="both"/>
        <w:rPr>
          <w:szCs w:val="24"/>
          <w:lang w:val="en-GB"/>
        </w:rPr>
      </w:pPr>
      <w:r>
        <w:rPr>
          <w:szCs w:val="24"/>
          <w:lang w:val="en-GB"/>
        </w:rPr>
        <w:t>We didn't pay enough attention to it since we thought it would help us save time while we were putting the pieces together. Due to time constraints, we had to rush through the rewrite, which took far longer than expected.  Our lack of preparation for the writing and organization of the sections is likely the root cause of our current</w:t>
      </w:r>
      <w:r>
        <w:rPr>
          <w:szCs w:val="24"/>
          <w:lang w:val="en-GB"/>
        </w:rPr>
        <w:t xml:space="preserve"> situation</w:t>
      </w:r>
      <w:r>
        <w:rPr>
          <w:szCs w:val="24"/>
          <w:lang w:val="en-GB"/>
        </w:rPr>
        <w:t>.</w:t>
      </w:r>
    </w:p>
    <w:p w14:paraId="00000010">
      <w:pPr>
        <w:spacing w:line="360" w:lineRule="auto"/>
        <w:jc w:val="both"/>
        <w:rPr>
          <w:szCs w:val="24"/>
          <w:lang w:val="en-GB"/>
        </w:rPr>
      </w:pPr>
      <w:r>
        <w:rPr>
          <w:szCs w:val="24"/>
          <w:lang w:val="en-GB"/>
        </w:rPr>
        <w:t>The situation is explicable in light of two things I learned while perusing group work literature. Everyone in a group has their own set of skills and weaknesses, which is implied by team roles (Liang, Shih, and Chiang, 2015). Regardless of whether we viewed our team members via Belbin's lens or not, we were able to effectively delegate tasks and work together because we made use of everyone's unique set of abilities.</w:t>
      </w:r>
    </w:p>
    <w:p w14:paraId="00000011">
      <w:pPr>
        <w:spacing w:line="360" w:lineRule="auto"/>
        <w:jc w:val="both"/>
        <w:rPr>
          <w:szCs w:val="24"/>
          <w:lang w:val="en-GB"/>
        </w:rPr>
      </w:pPr>
      <w:r>
        <w:rPr>
          <w:szCs w:val="24"/>
          <w:lang w:val="en-GB"/>
        </w:rPr>
        <w:t>We might not have realized the idea wouldn't work because of a phenomenon known as "groupthink". Members of a group engage in groupthink when they silently accept the group's decision or perspective without questioning it for fear of being seen as not part of the group. If we had been suspicious of our assumptions about the plan, we would have known it wouldn't work, in my opinion. When trying to make collective decisions in the future, I think it will be helpful to be aware of groupthink.</w:t>
      </w:r>
    </w:p>
    <w:p w14:paraId="00000012">
      <w:pPr>
        <w:numPr>
          <w:ilvl w:val="0"/>
          <w:numId w:val="1"/>
        </w:numPr>
        <w:spacing w:line="360" w:lineRule="auto"/>
        <w:jc w:val="both"/>
        <w:rPr>
          <w:szCs w:val="24"/>
          <w:lang w:val="en-GB"/>
        </w:rPr>
      </w:pPr>
      <w:r>
        <w:rPr>
          <w:szCs w:val="24"/>
          <w:lang w:val="en-GB"/>
        </w:rPr>
        <w:t xml:space="preserve">Conclusion – what else could you have done? </w:t>
      </w:r>
    </w:p>
    <w:p w14:paraId="00000013">
      <w:pPr>
        <w:spacing w:line="360" w:lineRule="auto"/>
        <w:jc w:val="both"/>
        <w:rPr>
          <w:szCs w:val="24"/>
          <w:lang w:val="en-GB"/>
        </w:rPr>
      </w:pPr>
      <w:r>
        <w:rPr>
          <w:szCs w:val="24"/>
          <w:lang w:val="en-GB"/>
        </w:rPr>
        <w:t>What I have learned is that we must have a clear vision of how we want each activity to come out before dividing it among the group. We presumably could have submitted the sections without requiring too much rewriting if we had taken this action. I will also continue to encourage people to consider their abilities, and for more extensive projects, I could even</w:t>
      </w:r>
      <w:r>
        <w:rPr>
          <w:szCs w:val="24"/>
          <w:lang w:val="en-GB"/>
        </w:rPr>
        <w:t xml:space="preserve"> suggest the team roles</w:t>
      </w:r>
      <w:r>
        <w:rPr>
          <w:szCs w:val="24"/>
          <w:lang w:val="en-GB"/>
        </w:rPr>
        <w:t xml:space="preserve"> framework. At last, I understood that to ensure that nobody is falling victim to groupthink, it's critical to challenge the consensus on some matters.</w:t>
      </w:r>
    </w:p>
    <w:p w14:paraId="00000014">
      <w:pPr>
        <w:numPr>
          <w:ilvl w:val="0"/>
          <w:numId w:val="1"/>
        </w:numPr>
        <w:spacing w:line="360" w:lineRule="auto"/>
        <w:jc w:val="both"/>
        <w:rPr>
          <w:szCs w:val="24"/>
          <w:lang w:val="en-GB"/>
        </w:rPr>
      </w:pPr>
      <w:r>
        <w:rPr>
          <w:szCs w:val="24"/>
          <w:lang w:val="en-GB"/>
        </w:rPr>
        <w:t xml:space="preserve">Action plan </w:t>
      </w:r>
      <w:r>
        <w:rPr>
          <w:szCs w:val="24"/>
          <w:lang w:val="en-GB"/>
        </w:rPr>
        <w:softHyphen/>
      </w:r>
      <w:r>
        <w:rPr>
          <w:szCs w:val="24"/>
          <w:lang w:val="en-GB"/>
        </w:rPr>
        <w:t>– If I have to do the same thing again, what would I do differently?</w:t>
      </w:r>
    </w:p>
    <w:p w14:paraId="00000015">
      <w:pPr>
        <w:spacing w:line="360" w:lineRule="auto"/>
        <w:jc w:val="both"/>
        <w:rPr>
          <w:szCs w:val="24"/>
          <w:lang w:val="en-GB"/>
        </w:rPr>
      </w:pPr>
      <w:r>
        <w:rPr>
          <w:szCs w:val="24"/>
          <w:lang w:val="en-GB"/>
        </w:rPr>
        <w:t xml:space="preserve">Before collaborating with a group again, I want to make sure we all know what we're good at. </w:t>
      </w:r>
      <w:r>
        <w:rPr>
          <w:szCs w:val="24"/>
          <w:lang w:val="en-GB"/>
        </w:rPr>
        <w:t xml:space="preserve">This is simple to memorize and put into action for a first encounter, thus it might serve as an icebreaker if we aren't familiar with each other. Once we settle on a division of </w:t>
      </w:r>
      <w:r>
        <w:rPr>
          <w:szCs w:val="24"/>
          <w:lang w:val="en-GB"/>
        </w:rPr>
        <w:t>labor</w:t>
      </w:r>
      <w:r>
        <w:rPr>
          <w:szCs w:val="24"/>
          <w:lang w:val="en-GB"/>
        </w:rPr>
        <w:t>, the next item I want is a detailed account of our respective expectations. So that we have a shared reference point when we write our sections, it would be beneficial if we could collaborate on the introduction or first section.</w:t>
      </w:r>
      <w:r>
        <w:rPr>
          <w:szCs w:val="24"/>
          <w:lang w:val="en-GB"/>
        </w:rPr>
        <w:t xml:space="preserve"> </w:t>
      </w:r>
      <w:r>
        <w:rPr>
          <w:szCs w:val="24"/>
          <w:lang w:val="en-GB"/>
        </w:rPr>
        <w:t xml:space="preserve">This will likely be a sufficient reminder for me to propose this concept the next time someone recommends dividing up the </w:t>
      </w:r>
      <w:r>
        <w:rPr>
          <w:szCs w:val="24"/>
          <w:lang w:val="en-GB"/>
        </w:rPr>
        <w:t>work</w:t>
      </w:r>
      <w:r>
        <w:rPr>
          <w:szCs w:val="24"/>
          <w:lang w:val="en-GB"/>
        </w:rPr>
        <w:t xml:space="preserve"> </w:t>
      </w:r>
      <w:r>
        <w:rPr>
          <w:szCs w:val="24"/>
        </w:rPr>
        <w:t> (</w:t>
      </w:r>
      <w:r>
        <w:rPr>
          <w:szCs w:val="24"/>
        </w:rPr>
        <w:t>Spratt, 2013)</w:t>
      </w:r>
      <w:r>
        <w:rPr>
          <w:szCs w:val="24"/>
          <w:lang w:val="en-GB"/>
        </w:rPr>
        <w:t>. Before we wrap up, I want to make sure we're not succumbing to groupthink by asking whether we may reconsider our initial decisions. Any problems that I encounter, I will inform the organization about. I want to be able to disagree when it's hard by remembering that I want the best end possible.</w:t>
      </w:r>
    </w:p>
    <w:p w14:paraId="00000016">
      <w:pPr>
        <w:spacing w:line="360" w:lineRule="auto"/>
        <w:jc w:val="both"/>
        <w:rPr>
          <w:b/>
          <w:szCs w:val="24"/>
          <w:lang w:val="en-GB"/>
        </w:rPr>
      </w:pPr>
      <w:r>
        <w:rPr>
          <w:b/>
          <w:szCs w:val="24"/>
          <w:lang w:val="en-GB"/>
        </w:rPr>
        <w:t xml:space="preserve">References </w:t>
      </w:r>
    </w:p>
    <w:p w14:paraId="00000017">
      <w:pPr>
        <w:pStyle w:val="Normal(Web)"/>
        <w:spacing w:before="0" w:after="0" w:line="360" w:lineRule="auto"/>
        <w:ind w:left="567" w:hanging="567"/>
        <w:jc w:val="both"/>
        <w:rPr/>
      </w:pPr>
      <w:r>
        <w:t xml:space="preserve">Liang, H.-Y., Shih, H.-A. and Chiang, Y.-H. (2015). Team diversity and team helping behaviour: The mediating roles of team cooperation and team cohesion. </w:t>
      </w:r>
      <w:r>
        <w:rPr>
          <w:i/>
          <w:iCs/>
        </w:rPr>
        <w:t>European Management Journal</w:t>
      </w:r>
      <w:r>
        <w:t>, 33(1), pp.48–59. doi:https://doi.org/10.1016/j.emj.2014.07.002.</w:t>
      </w:r>
    </w:p>
    <w:p w14:paraId="00000018">
      <w:pPr>
        <w:pStyle w:val="Normal(Web)"/>
        <w:spacing w:before="0" w:after="0" w:line="360" w:lineRule="auto"/>
        <w:ind w:left="567" w:hanging="567"/>
        <w:jc w:val="both"/>
        <w:rPr/>
      </w:pPr>
      <w:r>
        <w:t>‌ Arlo, C. (2017). Work, Play, and Clinical Writing: Response to ‘Thinking About Our Work: Work’. </w:t>
      </w:r>
      <w:r>
        <w:rPr>
          <w:i/>
          <w:iCs/>
        </w:rPr>
        <w:t>Group</w:t>
      </w:r>
      <w:r>
        <w:t xml:space="preserve">, 41(1), p.49. </w:t>
      </w:r>
      <w:r>
        <w:t>doi:https</w:t>
      </w:r>
      <w:r>
        <w:t>://doi.org/10.13186/group.41.1.0049.</w:t>
      </w:r>
    </w:p>
    <w:p w14:paraId="00000019">
      <w:pPr>
        <w:pStyle w:val="Normal(Web)"/>
        <w:spacing w:line="360" w:lineRule="auto"/>
        <w:ind w:left="567" w:hanging="567"/>
        <w:jc w:val="both"/>
        <w:rPr/>
      </w:pPr>
      <w:r>
        <w:t>Barile</w:t>
      </w:r>
      <w:r>
        <w:t>, E. (2014). Are Background Feelings Intentional Feelings? </w:t>
      </w:r>
      <w:r>
        <w:rPr>
          <w:i/>
          <w:iCs/>
        </w:rPr>
        <w:t>Open Journal of Philosophy</w:t>
      </w:r>
      <w:r>
        <w:t>, </w:t>
      </w:r>
      <w:r>
        <w:rPr>
          <w:i/>
          <w:iCs/>
        </w:rPr>
        <w:t>04</w:t>
      </w:r>
      <w:r>
        <w:t xml:space="preserve">(04), 560–574. </w:t>
      </w:r>
      <w:r>
        <w:fldChar w:fldCharType="begin"/>
      </w:r>
      <w:r>
        <w:instrText xml:space="preserve">HYPERLINK "https://doi.org/10.4236/ojpp.2014.44058" </w:instrText>
      </w:r>
      <w:r>
        <w:fldChar w:fldCharType="separate"/>
      </w:r>
      <w:r>
        <w:rPr>
          <w:rStyle w:val="Hyperlink"/>
        </w:rPr>
        <w:t>https://doi.org/10.4236/ojpp.2014.44058</w:t>
      </w:r>
      <w:r>
        <w:fldChar w:fldCharType="end"/>
      </w:r>
    </w:p>
    <w:p w14:paraId="0000001A">
      <w:pPr>
        <w:pStyle w:val="Normal(Web)"/>
        <w:spacing w:line="360" w:lineRule="auto"/>
        <w:ind w:left="567" w:hanging="567"/>
        <w:jc w:val="both"/>
        <w:rPr/>
      </w:pPr>
      <w:r>
        <w:t xml:space="preserve">Spratt, D. (2013). </w:t>
      </w:r>
      <w:r>
        <w:t>Collaborating for a Stronger Organization and Collaborating With Colleagues in Other Countries.</w:t>
      </w:r>
      <w:r>
        <w:t> </w:t>
      </w:r>
      <w:r>
        <w:rPr>
          <w:i/>
          <w:iCs/>
        </w:rPr>
        <w:t>AORN Journal</w:t>
      </w:r>
      <w:r>
        <w:t>, </w:t>
      </w:r>
      <w:r>
        <w:rPr>
          <w:i/>
          <w:iCs/>
        </w:rPr>
        <w:t>97</w:t>
      </w:r>
      <w:r>
        <w:t xml:space="preserve">(1), 1–3. </w:t>
      </w:r>
      <w:r>
        <w:fldChar w:fldCharType="begin"/>
      </w:r>
      <w:r>
        <w:instrText xml:space="preserve">HYPERLINK "https://doi.org/10.1016/j.aorn.2012.11.014" </w:instrText>
      </w:r>
      <w:r>
        <w:fldChar w:fldCharType="separate"/>
      </w:r>
      <w:r>
        <w:rPr>
          <w:rStyle w:val="Hyperlink"/>
        </w:rPr>
        <w:t>https://doi.org/10.1016/j.aorn.2012.11.014</w:t>
      </w:r>
      <w:r>
        <w:fldChar w:fldCharType="end"/>
      </w:r>
    </w:p>
    <w:p w14:paraId="0000001B">
      <w:pPr>
        <w:pStyle w:val="Normal(Web)"/>
        <w:spacing w:line="360" w:lineRule="auto"/>
        <w:ind w:left="567" w:hanging="567"/>
        <w:jc w:val="both"/>
        <w:rPr/>
      </w:pPr>
      <w:r>
        <w:t>Dominick Grundy.</w:t>
      </w:r>
      <w:r>
        <w:t xml:space="preserve"> (2017). Thinking About Our Work: Work. </w:t>
      </w:r>
      <w:r>
        <w:rPr>
          <w:i/>
          <w:iCs/>
        </w:rPr>
        <w:t>Group</w:t>
      </w:r>
      <w:r>
        <w:t>, </w:t>
      </w:r>
      <w:r>
        <w:rPr>
          <w:i/>
          <w:iCs/>
        </w:rPr>
        <w:t>41</w:t>
      </w:r>
      <w:r>
        <w:t>(1), 45.</w:t>
      </w:r>
      <w:r>
        <w:t xml:space="preserve"> https://doi.org/10.13186/group.41.1.0045</w:t>
      </w:r>
    </w:p>
    <w:p w14:paraId="0000001C">
      <w:pPr>
        <w:pStyle w:val="Normal(Web)"/>
        <w:spacing w:line="360" w:lineRule="auto"/>
        <w:ind w:left="567" w:hanging="567"/>
        <w:jc w:val="both"/>
        <w:rPr/>
      </w:pPr>
      <w:r>
        <w:t>‌</w:t>
      </w:r>
    </w:p>
    <w:p w14:paraId="0000001D">
      <w:pPr>
        <w:pStyle w:val="Normal(Web)"/>
        <w:spacing w:line="360" w:lineRule="auto"/>
        <w:ind w:left="567" w:hanging="567"/>
        <w:jc w:val="both"/>
        <w:rPr/>
      </w:pPr>
    </w:p>
    <w:p w14:paraId="0000001E">
      <w:pPr>
        <w:pStyle w:val="Normal(Web)"/>
        <w:spacing w:before="0" w:after="0" w:line="360" w:lineRule="auto"/>
        <w:ind w:left="567" w:hanging="567"/>
        <w:jc w:val="both"/>
        <w:rPr/>
      </w:pPr>
      <w:r>
        <w:t>‌</w:t>
      </w:r>
    </w:p>
    <w:p w14:paraId="0000001F">
      <w:pPr>
        <w:pStyle w:val="Normal(Web)"/>
        <w:spacing w:before="0" w:after="0" w:line="360" w:lineRule="auto"/>
        <w:ind w:left="567" w:hanging="567"/>
        <w:jc w:val="both"/>
        <w:rPr/>
      </w:pPr>
    </w:p>
    <w:p w14:paraId="00000020">
      <w:pPr>
        <w:pStyle w:val="Normal(Web)"/>
        <w:spacing w:line="360" w:lineRule="auto"/>
        <w:jc w:val="both"/>
        <w:rPr>
          <w:rFonts w:ascii="Calibri" w:cs="Calibri" w:hAnsi="Calibri"/>
        </w:rPr>
      </w:pPr>
      <w:r>
        <w:rPr>
          <w:rFonts w:ascii="Calibri" w:cs="Calibri" w:hAnsi="Calibri"/>
        </w:rPr>
        <w:t>‌</w:t>
      </w:r>
    </w:p>
    <w:p w14:paraId="00000021">
      <w:pPr>
        <w:pStyle w:val="Normal(Web)"/>
        <w:rPr>
          <w:rFonts w:ascii="Calibri" w:cs="Calibri" w:hAnsi="Calibri"/>
          <w:color w:val="000000"/>
          <w:sz w:val="27"/>
          <w:szCs w:val="27"/>
        </w:rPr>
      </w:pPr>
    </w:p>
    <w:p w14:paraId="00000022"/>
    <w:sectPr>
      <w:pgSz w:w="12240" w:h="15840"/>
      <w:pgMar w:top="1440" w:right="1440" w:bottom="1440" w:left="1440" w:header="708" w:footer="708" w:gutter="0"/>
      <w:cols w:space="708"/>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Arial">
    <w:panose1 w:val="020b0604020202020204"/>
    <w:charset w:val="00"/>
    <w:family w:val="swiss"/>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248B5"/>
    <w:rsid w:val="000D2827"/>
    <w:rsid w:val="001B3F8C"/>
    <w:rsid w:val="00342377"/>
    <w:rsid w:val="0036339D"/>
    <w:rsid w:val="004A29E1"/>
    <w:rsid w:val="005248B5"/>
    <w:rsid w:val="007C2AFF"/>
    <w:rsid w:val="00946212"/>
    <w:rsid w:val="00AE6C92"/>
    <w:rsid w:val="00B72DAC"/>
    <w:rsid w:val="00C440BD"/>
    <w:rsid w:val="00DA56A7"/>
    <w:rsid w:val="00EE4B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imes New Roman" w:cstheme="minorBidi" w:eastAsiaTheme="minorHAnsi" w:hAnsi="Times New Roman"/>
        <w:sz w:val="24"/>
        <w:szCs w:val="22"/>
        <w:lang w:val="en-US" w:bidi="ar-SA" w:eastAsia="en-US"/>
        <w14:ligatures w14:val="standardContextual"/>
      </w:rPr>
    </w:rPrDefault>
    <w:pPrDefault>
      <w:pPr>
        <w:spacing w:after="200" w:line="276"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1f497d" w:themeColor="text2"/>
      <w:sz w:val="18"/>
      <w:szCs w:val="18"/>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240" w:after="0" w:line="240" w:lineRule="auto"/>
      <w:jc w:val="both"/>
    </w:pPr>
    <w:rPr>
      <w:b/>
      <w:bCs/>
      <w:szCs w:val="48"/>
    </w:rPr>
  </w:style>
  <w:style w:type="paragraph" w:styleId="Heading2">
    <w:name w:val="Heading 2"/>
    <w:basedOn w:val="Normal"/>
    <w:next w:val="Normal"/>
    <w:link w:val="Heading2Char"/>
    <w:uiPriority w:val="9"/>
    <w:qFormat w:val="on"/>
    <w:pPr>
      <w:keepNext w:val="on"/>
      <w:keepLines w:val="on"/>
      <w:spacing w:before="40" w:after="0" w:line="240" w:lineRule="auto"/>
      <w:jc w:val="both"/>
    </w:pPr>
    <w:rPr>
      <w:b/>
      <w:bCs/>
      <w:color w:val="000000" w:themeColor="text1"/>
      <w:szCs w:val="36"/>
    </w:rPr>
  </w:style>
  <w:style w:type="character" w:default="1" w:styleId="DefaultParagraphFont">
    <w:name w:val="Default Paragraph Font"/>
    <w:uiPriority w:val="1"/>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hAnsi="Times New Roman"/>
      <w:b/>
      <w:bCs/>
      <w:sz w:val="24"/>
      <w:szCs w:val="48"/>
    </w:rPr>
  </w:style>
  <w:style w:type="character" w:customStyle="1" w:styleId="Heading2Char">
    <w:name w:val="Heading 2 Char"/>
    <w:basedOn w:val="DefaultParagraphFont"/>
    <w:link w:val="Heading2"/>
    <w:uiPriority w:val="9"/>
    <w:rPr>
      <w:b/>
      <w:bCs/>
      <w:color w:val="000000" w:themeColor="text1"/>
      <w:sz w:val="24"/>
      <w:szCs w:val="36"/>
    </w:rPr>
  </w:style>
  <w:style w:type="paragraph" w:styleId="ListParagraph">
    <w:name w:val="List Paragraph"/>
    <w:basedOn w:val="Normal"/>
    <w:uiPriority w:val="34"/>
    <w:qFormat w:val="on"/>
    <w:pPr>
      <w:ind w:left="720"/>
      <w:contextualSpacing w:val="on"/>
    </w:pPr>
  </w:style>
  <w:style w:type="paragraph" w:styleId="Normal(Web)">
    <w:name w:val="Normal (Web)"/>
    <w:basedOn w:val="Normal"/>
    <w:uiPriority w:val="99"/>
    <w:semiHidden w:val="on"/>
    <w:unhideWhenUsed w:val="on"/>
    <w:pPr>
      <w:spacing w:before="100" w:after="100" w:line="240" w:lineRule="auto"/>
    </w:pPr>
    <w:rPr>
      <w:rFonts w:cs="Times New Roman" w:eastAsia="Times New Roman"/>
      <w:szCs w:val="24"/>
    </w:rPr>
  </w:style>
  <w:style w:type="character" w:styleId="Hyperlink">
    <w:name w:val="Hyperlink"/>
    <w:basedOn w:val="DefaultParagraphFont"/>
    <w:uiPriority w:val="99"/>
    <w:unhideWhenUsed w:val="on"/>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C2AFF"/>
    <w:pPr>
      <w:keepNext/>
      <w:keepLines/>
      <w:spacing w:before="240" w:after="0" w:line="240" w:lineRule="auto"/>
      <w:jc w:val="both"/>
      <w:outlineLvl w:val="0"/>
    </w:pPr>
    <w:rPr>
      <w:b/>
      <w:bCs/>
      <w:kern w:val="36"/>
      <w:szCs w:val="48"/>
    </w:rPr>
  </w:style>
  <w:style w:type="paragraph" w:styleId="Heading2">
    <w:name w:val="heading 2"/>
    <w:basedOn w:val="Normal"/>
    <w:next w:val="Normal"/>
    <w:link w:val="Heading2Char"/>
    <w:uiPriority w:val="9"/>
    <w:qFormat/>
    <w:rsid w:val="0036339D"/>
    <w:pPr>
      <w:keepNext/>
      <w:keepLines/>
      <w:spacing w:before="40" w:after="0" w:line="240" w:lineRule="auto"/>
      <w:jc w:val="both"/>
      <w:outlineLvl w:val="1"/>
    </w:pPr>
    <w:rPr>
      <w:b/>
      <w:bCs/>
      <w:color w:val="000000" w:themeColor="text1"/>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2AFF"/>
    <w:rPr>
      <w:rFonts w:ascii="Times New Roman" w:hAnsi="Times New Roman"/>
      <w:b/>
      <w:bCs/>
      <w:kern w:val="36"/>
      <w:sz w:val="24"/>
      <w:szCs w:val="48"/>
    </w:rPr>
  </w:style>
  <w:style w:type="character" w:customStyle="1" w:styleId="Heading2Char">
    <w:name w:val="Heading 2 Char"/>
    <w:basedOn w:val="DefaultParagraphFont"/>
    <w:link w:val="Heading2"/>
    <w:uiPriority w:val="9"/>
    <w:rsid w:val="0036339D"/>
    <w:rPr>
      <w:b/>
      <w:bCs/>
      <w:color w:val="000000" w:themeColor="text1"/>
      <w:sz w:val="24"/>
      <w:szCs w:val="36"/>
    </w:rPr>
  </w:style>
  <w:style w:type="paragraph" w:styleId="ListParagraph">
    <w:name w:val="List Paragraph"/>
    <w:basedOn w:val="Normal"/>
    <w:uiPriority w:val="34"/>
    <w:qFormat/>
    <w:rsid w:val="000D2827"/>
    <w:pPr>
      <w:ind w:left="720"/>
      <w:contextualSpacing/>
    </w:pPr>
  </w:style>
  <w:style w:type="paragraph" w:styleId="NormalWeb">
    <w:name w:val="Normal (Web)"/>
    <w:basedOn w:val="Normal"/>
    <w:uiPriority w:val="99"/>
    <w:semiHidden/>
    <w:unhideWhenUsed/>
    <w:rsid w:val="00946212"/>
    <w:pPr>
      <w:spacing w:before="100" w:beforeAutospacing="1" w:after="100" w:afterAutospacing="1" w:line="240" w:lineRule="auto"/>
    </w:pPr>
    <w:rPr>
      <w:rFonts w:eastAsia="Times New Roman" w:cs="Times New Roman"/>
      <w:kern w:val="0"/>
      <w:szCs w:val="24"/>
      <w14:ligatures w14:val="none"/>
    </w:rPr>
  </w:style>
  <w:style w:type="character" w:styleId="Hyperlink">
    <w:name w:val="Hyperlink"/>
    <w:basedOn w:val="DefaultParagraphFont"/>
    <w:uiPriority w:val="99"/>
    <w:unhideWhenUsed/>
    <w:rsid w:val="001B3F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9916968">
      <w:bodyDiv w:val="1"/>
      <w:marLeft w:val="0"/>
      <w:marRight w:val="0"/>
      <w:marTop w:val="0"/>
      <w:marBottom w:val="0"/>
      <w:divBdr>
        <w:top w:val="none" w:sz="0" w:space="0" w:color="auto"/>
        <w:left w:val="none" w:sz="0" w:space="0" w:color="auto"/>
        <w:bottom w:val="none" w:sz="0" w:space="0" w:color="auto"/>
        <w:right w:val="none" w:sz="0" w:space="0" w:color="auto"/>
      </w:divBdr>
    </w:div>
    <w:div w:id="697125389">
      <w:bodyDiv w:val="1"/>
      <w:marLeft w:val="0"/>
      <w:marRight w:val="0"/>
      <w:marTop w:val="0"/>
      <w:marBottom w:val="0"/>
      <w:divBdr>
        <w:top w:val="none" w:sz="0" w:space="0" w:color="auto"/>
        <w:left w:val="none" w:sz="0" w:space="0" w:color="auto"/>
        <w:bottom w:val="none" w:sz="0" w:space="0" w:color="auto"/>
        <w:right w:val="none" w:sz="0" w:space="0" w:color="auto"/>
      </w:divBdr>
    </w:div>
    <w:div w:id="1638339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4" Type="http://schemas.openxmlformats.org/officeDocument/2006/relationships/settings" Target="settings.xml"/><Relationship Id="rId8" Type="http://schemas.openxmlformats.org/officeDocument/2006/relationships/fontTable" Target="fontTable.xml"/><Relationship Id="rId9" Type="http://schemas.openxmlformats.org/officeDocument/2006/relationships/theme" Target="theme/theme1.xml"/><Relationship Id="rId3" Type="http://schemas.microsoft.com/office/2007/relationships/stylesWithEffects" Target="stylesWithEffects.xml"/><Relationship Id="rId5" Type="http://schemas.openxmlformats.org/officeDocument/2006/relationships/webSettings" Target="webSettings.xml"/><Relationship Id="rId6" Type="http://schemas.openxmlformats.org/officeDocument/2006/relationships/hyperlink" Target="https://doi.org/10.4236/ojpp.2014.44058" TargetMode="External"/><Relationship Id="rId7" Type="http://schemas.openxmlformats.org/officeDocument/2006/relationships/hyperlink" Target="https://doi.org/10.1016/j.aorn.2012.11.014" TargetMode="Externa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4</Pages>
  <Words>1027</Words>
  <Characters>5855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Alam Afridi</dc:creator>
  <cp:lastModifiedBy>Alam Afridi</cp:lastModifiedBy>
</cp:coreProperties>
</file>