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7D07" w:rsidRPr="00543E02" w:rsidRDefault="00757D07" w:rsidP="00543E02">
      <w:pPr>
        <w:spacing w:line="480" w:lineRule="auto"/>
        <w:jc w:val="both"/>
        <w:rPr>
          <w:rFonts w:ascii="Times New Roman" w:hAnsi="Times New Roman" w:cs="Times New Roman"/>
          <w:sz w:val="24"/>
          <w:szCs w:val="24"/>
        </w:rPr>
      </w:pPr>
      <w:r w:rsidRPr="00543E02">
        <w:rPr>
          <w:rFonts w:ascii="Times New Roman" w:hAnsi="Times New Roman" w:cs="Times New Roman"/>
          <w:sz w:val="24"/>
          <w:szCs w:val="24"/>
        </w:rPr>
        <w:t>With wills not becoming legally regulated until 1540,</w:t>
      </w:r>
      <w:r w:rsidR="002552E3" w:rsidRPr="00543E02">
        <w:rPr>
          <w:rStyle w:val="FootnoteReference"/>
          <w:rFonts w:ascii="Times New Roman" w:hAnsi="Times New Roman" w:cs="Times New Roman"/>
          <w:sz w:val="24"/>
          <w:szCs w:val="24"/>
        </w:rPr>
        <w:footnoteReference w:id="1"/>
      </w:r>
      <w:r w:rsidRPr="00543E02">
        <w:rPr>
          <w:rFonts w:ascii="Times New Roman" w:hAnsi="Times New Roman" w:cs="Times New Roman"/>
          <w:sz w:val="24"/>
          <w:szCs w:val="24"/>
        </w:rPr>
        <w:t xml:space="preserve"> the medieval last will and testament was primarily a </w:t>
      </w:r>
      <w:r w:rsidR="004B662E" w:rsidRPr="00543E02">
        <w:rPr>
          <w:rFonts w:ascii="Times New Roman" w:hAnsi="Times New Roman" w:cs="Times New Roman"/>
          <w:sz w:val="24"/>
          <w:szCs w:val="24"/>
        </w:rPr>
        <w:t>“</w:t>
      </w:r>
      <w:r w:rsidRPr="00543E02">
        <w:rPr>
          <w:rFonts w:ascii="Times New Roman" w:hAnsi="Times New Roman" w:cs="Times New Roman"/>
          <w:sz w:val="24"/>
          <w:szCs w:val="24"/>
        </w:rPr>
        <w:t>formal means of disposing of one's</w:t>
      </w:r>
      <w:r w:rsidR="004B662E" w:rsidRPr="00543E02">
        <w:rPr>
          <w:rFonts w:ascii="Times New Roman" w:hAnsi="Times New Roman" w:cs="Times New Roman"/>
          <w:sz w:val="24"/>
          <w:szCs w:val="24"/>
        </w:rPr>
        <w:t>”</w:t>
      </w:r>
      <w:r w:rsidRPr="00543E02">
        <w:rPr>
          <w:rFonts w:ascii="Times New Roman" w:hAnsi="Times New Roman" w:cs="Times New Roman"/>
          <w:sz w:val="24"/>
          <w:szCs w:val="24"/>
        </w:rPr>
        <w:t xml:space="preserve"> property,</w:t>
      </w:r>
      <w:r w:rsidR="002552E3" w:rsidRPr="00543E02">
        <w:rPr>
          <w:rStyle w:val="FootnoteReference"/>
          <w:rFonts w:ascii="Times New Roman" w:hAnsi="Times New Roman" w:cs="Times New Roman"/>
          <w:sz w:val="24"/>
          <w:szCs w:val="24"/>
        </w:rPr>
        <w:footnoteReference w:id="2"/>
      </w:r>
      <w:r w:rsidRPr="00543E02">
        <w:rPr>
          <w:rFonts w:ascii="Times New Roman" w:hAnsi="Times New Roman" w:cs="Times New Roman"/>
          <w:sz w:val="24"/>
          <w:szCs w:val="24"/>
        </w:rPr>
        <w:t xml:space="preserve"> debts and making provisions for their soul. This need to make provisions for their soul and property was, understandably, most important for those with more property and disposable income, namely, the aristocracy. For Cecily of York, the wife of a royal duke, and the mother, and grandmother, of England’s Kings and Queens, the need for a will was essential. </w:t>
      </w:r>
    </w:p>
    <w:p w:rsidR="00D029D3" w:rsidRPr="00543E02" w:rsidRDefault="00907367" w:rsidP="00543E02">
      <w:pPr>
        <w:spacing w:line="480" w:lineRule="auto"/>
        <w:jc w:val="both"/>
        <w:rPr>
          <w:rFonts w:ascii="Times New Roman" w:hAnsi="Times New Roman" w:cs="Times New Roman"/>
          <w:sz w:val="24"/>
          <w:szCs w:val="24"/>
        </w:rPr>
      </w:pPr>
      <w:r w:rsidRPr="00543E02">
        <w:rPr>
          <w:rFonts w:ascii="Times New Roman" w:hAnsi="Times New Roman" w:cs="Times New Roman"/>
          <w:sz w:val="24"/>
          <w:szCs w:val="24"/>
        </w:rPr>
        <w:t>Religion is a key theme throughout the dying process and medieval wills, as seen the Duchess Cecily’s will, with religious items being left to the key figures in her life. Unlike modern wills, however, the key sign of an individual’s mindset is not primarily evident in what is being left to someone, but rather in the religious references throughout. Starting by stating that the will is written in “the name of allmyghty god, the blessed Trinitie, fader son and holigost”,</w:t>
      </w:r>
      <w:r w:rsidR="002552E3" w:rsidRPr="00543E02">
        <w:rPr>
          <w:rStyle w:val="FootnoteReference"/>
          <w:rFonts w:ascii="Times New Roman" w:hAnsi="Times New Roman" w:cs="Times New Roman"/>
          <w:sz w:val="24"/>
          <w:szCs w:val="24"/>
        </w:rPr>
        <w:footnoteReference w:id="3"/>
      </w:r>
      <w:r w:rsidRPr="00543E02">
        <w:rPr>
          <w:rFonts w:ascii="Times New Roman" w:hAnsi="Times New Roman" w:cs="Times New Roman"/>
          <w:sz w:val="24"/>
          <w:szCs w:val="24"/>
        </w:rPr>
        <w:t xml:space="preserve"> Cecily is clearly demonstrating the importance of religion in both her life, and medieval life generally. This is further highlighted by the first ‘item’ mentioned in the main body of the will is her soul. Cecily states that she “surrender[s]” her soul to God,</w:t>
      </w:r>
      <w:r w:rsidR="002552E3" w:rsidRPr="00543E02">
        <w:rPr>
          <w:rStyle w:val="FootnoteReference"/>
          <w:rFonts w:ascii="Times New Roman" w:hAnsi="Times New Roman" w:cs="Times New Roman"/>
          <w:sz w:val="24"/>
          <w:szCs w:val="24"/>
        </w:rPr>
        <w:footnoteReference w:id="4"/>
      </w:r>
      <w:r w:rsidRPr="00543E02">
        <w:rPr>
          <w:rFonts w:ascii="Times New Roman" w:hAnsi="Times New Roman" w:cs="Times New Roman"/>
          <w:sz w:val="24"/>
          <w:szCs w:val="24"/>
        </w:rPr>
        <w:t xml:space="preserve"> providing an insight into her mindset whilst dying. ‘To Surrender’ is described by the Cambridge English Dictionary as “to give something that is yours to someone else because you have been forced to do so or because it is necessary to do so”,</w:t>
      </w:r>
      <w:r w:rsidR="002552E3" w:rsidRPr="00543E02">
        <w:rPr>
          <w:rStyle w:val="FootnoteReference"/>
          <w:rFonts w:ascii="Times New Roman" w:hAnsi="Times New Roman" w:cs="Times New Roman"/>
          <w:sz w:val="24"/>
          <w:szCs w:val="24"/>
        </w:rPr>
        <w:footnoteReference w:id="5"/>
      </w:r>
      <w:r w:rsidRPr="00543E02">
        <w:rPr>
          <w:rFonts w:ascii="Times New Roman" w:hAnsi="Times New Roman" w:cs="Times New Roman"/>
          <w:sz w:val="24"/>
          <w:szCs w:val="24"/>
        </w:rPr>
        <w:t xml:space="preserve"> suggesting that the medieval person saw their soul as a physical entity that could be surrendered. Further to this, the primary inclusion in the will shows that their soul, and the eternal care of this, was the greatest concern to a dying individual. </w:t>
      </w:r>
    </w:p>
    <w:p w:rsidR="00907367" w:rsidRPr="00543E02" w:rsidRDefault="00907367" w:rsidP="00543E02">
      <w:pPr>
        <w:spacing w:line="480" w:lineRule="auto"/>
        <w:jc w:val="both"/>
        <w:rPr>
          <w:rFonts w:ascii="Times New Roman" w:hAnsi="Times New Roman" w:cs="Times New Roman"/>
          <w:sz w:val="24"/>
          <w:szCs w:val="24"/>
        </w:rPr>
      </w:pPr>
      <w:r w:rsidRPr="00543E02">
        <w:rPr>
          <w:rFonts w:ascii="Times New Roman" w:hAnsi="Times New Roman" w:cs="Times New Roman"/>
          <w:sz w:val="24"/>
          <w:szCs w:val="24"/>
        </w:rPr>
        <w:lastRenderedPageBreak/>
        <w:t>In addition to the first reference in her will being to religion, its inclusion throughout clearly illustrates its importance. One clear instance of this is the three “tappettes” depicting the Saints John the Baptist, Mary Maudeleyn and George be</w:t>
      </w:r>
      <w:r w:rsidR="002552E3" w:rsidRPr="00543E02">
        <w:rPr>
          <w:rFonts w:ascii="Times New Roman" w:hAnsi="Times New Roman" w:cs="Times New Roman"/>
          <w:sz w:val="24"/>
          <w:szCs w:val="24"/>
        </w:rPr>
        <w:t>ing left to Henry, Duke of York</w:t>
      </w:r>
      <w:r w:rsidRPr="00543E02">
        <w:rPr>
          <w:rFonts w:ascii="Times New Roman" w:hAnsi="Times New Roman" w:cs="Times New Roman"/>
          <w:sz w:val="24"/>
          <w:szCs w:val="24"/>
        </w:rPr>
        <w:t>.</w:t>
      </w:r>
      <w:r w:rsidR="002552E3" w:rsidRPr="00543E02">
        <w:rPr>
          <w:rStyle w:val="FootnoteReference"/>
          <w:rFonts w:ascii="Times New Roman" w:hAnsi="Times New Roman" w:cs="Times New Roman"/>
          <w:sz w:val="24"/>
          <w:szCs w:val="24"/>
        </w:rPr>
        <w:footnoteReference w:id="6"/>
      </w:r>
      <w:r w:rsidRPr="00543E02">
        <w:rPr>
          <w:rFonts w:ascii="Times New Roman" w:hAnsi="Times New Roman" w:cs="Times New Roman"/>
          <w:sz w:val="24"/>
          <w:szCs w:val="24"/>
        </w:rPr>
        <w:t xml:space="preserve"> The bequeathing of religious tapestries to her great-grandson, who as the ‘spare heir’ was destined to enter the Church,</w:t>
      </w:r>
      <w:r w:rsidR="002552E3" w:rsidRPr="00543E02">
        <w:rPr>
          <w:rStyle w:val="FootnoteReference"/>
          <w:rFonts w:ascii="Times New Roman" w:hAnsi="Times New Roman" w:cs="Times New Roman"/>
          <w:sz w:val="24"/>
          <w:szCs w:val="24"/>
        </w:rPr>
        <w:footnoteReference w:id="7"/>
      </w:r>
      <w:r w:rsidRPr="00543E02">
        <w:rPr>
          <w:rFonts w:ascii="Times New Roman" w:hAnsi="Times New Roman" w:cs="Times New Roman"/>
          <w:sz w:val="24"/>
          <w:szCs w:val="24"/>
        </w:rPr>
        <w:t xml:space="preserve"> clearly shows the acceptance of important figures entering the church, and that a Priest was an individual who wielded a great deal of social and political might, proving the importance of religion in the medieval world. </w:t>
      </w:r>
    </w:p>
    <w:p w:rsidR="008E487E" w:rsidRPr="00543E02" w:rsidRDefault="008E487E" w:rsidP="00543E02">
      <w:pPr>
        <w:spacing w:line="480" w:lineRule="auto"/>
        <w:jc w:val="both"/>
        <w:rPr>
          <w:rFonts w:ascii="Times New Roman" w:hAnsi="Times New Roman" w:cs="Times New Roman"/>
          <w:b/>
          <w:sz w:val="24"/>
          <w:szCs w:val="24"/>
        </w:rPr>
      </w:pPr>
      <w:r w:rsidRPr="00543E02">
        <w:rPr>
          <w:rFonts w:ascii="Times New Roman" w:hAnsi="Times New Roman" w:cs="Times New Roman"/>
          <w:sz w:val="24"/>
          <w:szCs w:val="24"/>
        </w:rPr>
        <w:t>Another evident point within this will is the extent to which medieval England was a patriarchal society. This is clear from the way Cecily, an individual who wielded significant social and political power, is describing herself in reference to men. Referring to herself as the “wife unto the right noble prince Richard late Duke of Yorke”,</w:t>
      </w:r>
      <w:r w:rsidR="002552E3" w:rsidRPr="00543E02">
        <w:rPr>
          <w:rStyle w:val="FootnoteReference"/>
          <w:rFonts w:ascii="Times New Roman" w:hAnsi="Times New Roman" w:cs="Times New Roman"/>
          <w:sz w:val="24"/>
          <w:szCs w:val="24"/>
        </w:rPr>
        <w:footnoteReference w:id="8"/>
      </w:r>
      <w:r w:rsidRPr="00543E02">
        <w:rPr>
          <w:rFonts w:ascii="Times New Roman" w:hAnsi="Times New Roman" w:cs="Times New Roman"/>
          <w:sz w:val="24"/>
          <w:szCs w:val="24"/>
        </w:rPr>
        <w:t xml:space="preserve"> and mother of her “lord and son King Edward the iiiith” suggests that her greatest achievement had been to make an advantageous marriage,</w:t>
      </w:r>
      <w:r w:rsidR="002552E3" w:rsidRPr="00543E02">
        <w:rPr>
          <w:rStyle w:val="FootnoteReference"/>
          <w:rFonts w:ascii="Times New Roman" w:hAnsi="Times New Roman" w:cs="Times New Roman"/>
          <w:sz w:val="24"/>
          <w:szCs w:val="24"/>
        </w:rPr>
        <w:footnoteReference w:id="9"/>
      </w:r>
      <w:r w:rsidRPr="00543E02">
        <w:rPr>
          <w:rFonts w:ascii="Times New Roman" w:hAnsi="Times New Roman" w:cs="Times New Roman"/>
          <w:sz w:val="24"/>
          <w:szCs w:val="24"/>
        </w:rPr>
        <w:t xml:space="preserve"> and to ensure the continuation of the bloodline and House of York. In contrast to this, her will also refers to Richard, Duke of York in his relation to Edward IV, as his father. This implies that the norm in wills is slightly different from the everyday patriarchal society, as it refers to everyone in direct connection with the highest ranking individual possible, regardless of gender, and for Cecily this was her husband - a royal duke, and her son, the king. </w:t>
      </w:r>
      <w:r w:rsidR="008F2169" w:rsidRPr="00543E02">
        <w:rPr>
          <w:rFonts w:ascii="Times New Roman" w:hAnsi="Times New Roman" w:cs="Times New Roman"/>
          <w:sz w:val="24"/>
          <w:szCs w:val="24"/>
        </w:rPr>
        <w:t xml:space="preserve">A secondary alternate reason for this inclusion in her will is that, by including their connection </w:t>
      </w:r>
      <w:r w:rsidR="008F2169" w:rsidRPr="00543E02">
        <w:rPr>
          <w:rFonts w:ascii="Times New Roman" w:hAnsi="Times New Roman" w:cs="Times New Roman"/>
          <w:sz w:val="24"/>
          <w:szCs w:val="24"/>
        </w:rPr>
        <w:lastRenderedPageBreak/>
        <w:t>to high ranking individuals, a medieval person emphasises their own high status, giving themselves higher importance, even in death.</w:t>
      </w:r>
      <w:r w:rsidR="00ED08DB" w:rsidRPr="00543E02">
        <w:rPr>
          <w:rFonts w:ascii="Times New Roman" w:hAnsi="Times New Roman" w:cs="Times New Roman"/>
          <w:b/>
          <w:sz w:val="24"/>
          <w:szCs w:val="24"/>
        </w:rPr>
        <w:t xml:space="preserve"> </w:t>
      </w:r>
    </w:p>
    <w:p w:rsidR="008E487E" w:rsidRPr="00543E02" w:rsidRDefault="004C3FAE" w:rsidP="00543E02">
      <w:pPr>
        <w:spacing w:line="480" w:lineRule="auto"/>
        <w:jc w:val="both"/>
        <w:rPr>
          <w:rFonts w:ascii="Times New Roman" w:hAnsi="Times New Roman" w:cs="Times New Roman"/>
          <w:sz w:val="24"/>
          <w:szCs w:val="24"/>
        </w:rPr>
      </w:pPr>
      <w:r w:rsidRPr="00543E02">
        <w:rPr>
          <w:rFonts w:ascii="Times New Roman" w:hAnsi="Times New Roman" w:cs="Times New Roman"/>
          <w:sz w:val="24"/>
          <w:szCs w:val="24"/>
        </w:rPr>
        <w:t xml:space="preserve">Another </w:t>
      </w:r>
      <w:r w:rsidR="008E487E" w:rsidRPr="00543E02">
        <w:rPr>
          <w:rFonts w:ascii="Times New Roman" w:hAnsi="Times New Roman" w:cs="Times New Roman"/>
          <w:sz w:val="24"/>
          <w:szCs w:val="24"/>
        </w:rPr>
        <w:t>point of interest from the will of Duchess Cecily is the order in which individuals are left items. Starting with Henry VII, and the extract ending with some of her other grandchildren (“of Suffolke”),</w:t>
      </w:r>
      <w:r w:rsidR="002552E3" w:rsidRPr="00543E02">
        <w:rPr>
          <w:rStyle w:val="FootnoteReference"/>
          <w:rFonts w:ascii="Times New Roman" w:hAnsi="Times New Roman" w:cs="Times New Roman"/>
          <w:sz w:val="24"/>
          <w:szCs w:val="24"/>
        </w:rPr>
        <w:footnoteReference w:id="10"/>
      </w:r>
      <w:r w:rsidR="008E487E" w:rsidRPr="00543E02">
        <w:rPr>
          <w:rFonts w:ascii="Times New Roman" w:hAnsi="Times New Roman" w:cs="Times New Roman"/>
          <w:sz w:val="24"/>
          <w:szCs w:val="24"/>
        </w:rPr>
        <w:t xml:space="preserve"> her will does not, as might be expected from a modern will, list individuals by their familial connection, but rather by their seniority within the country. </w:t>
      </w:r>
      <w:r w:rsidRPr="00543E02">
        <w:rPr>
          <w:rFonts w:ascii="Times New Roman" w:hAnsi="Times New Roman" w:cs="Times New Roman"/>
          <w:sz w:val="24"/>
          <w:szCs w:val="24"/>
        </w:rPr>
        <w:t>Whilst it is possible that this is an acknowledgement that she was a high-ranking individual of the defeated House of York</w:t>
      </w:r>
      <w:r w:rsidR="00425B79" w:rsidRPr="00543E02">
        <w:rPr>
          <w:rFonts w:ascii="Times New Roman" w:hAnsi="Times New Roman" w:cs="Times New Roman"/>
          <w:sz w:val="24"/>
          <w:szCs w:val="24"/>
        </w:rPr>
        <w:t>,</w:t>
      </w:r>
      <w:r w:rsidR="00C33709" w:rsidRPr="00543E02">
        <w:rPr>
          <w:rFonts w:ascii="Times New Roman" w:hAnsi="Times New Roman" w:cs="Times New Roman"/>
          <w:sz w:val="24"/>
          <w:szCs w:val="24"/>
        </w:rPr>
        <w:t xml:space="preserve"> as is shown by all the items being given “at the Kinges pleasure”</w:t>
      </w:r>
      <w:r w:rsidRPr="00543E02">
        <w:rPr>
          <w:rFonts w:ascii="Times New Roman" w:hAnsi="Times New Roman" w:cs="Times New Roman"/>
          <w:sz w:val="24"/>
          <w:szCs w:val="24"/>
        </w:rPr>
        <w:t>,</w:t>
      </w:r>
      <w:r w:rsidR="002552E3" w:rsidRPr="00543E02">
        <w:rPr>
          <w:rStyle w:val="FootnoteReference"/>
          <w:rFonts w:ascii="Times New Roman" w:hAnsi="Times New Roman" w:cs="Times New Roman"/>
          <w:sz w:val="24"/>
          <w:szCs w:val="24"/>
        </w:rPr>
        <w:footnoteReference w:id="11"/>
      </w:r>
      <w:r w:rsidR="00425B79" w:rsidRPr="00543E02">
        <w:rPr>
          <w:rFonts w:ascii="Times New Roman" w:hAnsi="Times New Roman" w:cs="Times New Roman"/>
          <w:sz w:val="24"/>
          <w:szCs w:val="24"/>
        </w:rPr>
        <w:t xml:space="preserve"> and there being no reference made to Richard III, or to one of her grandsons – Edward, Earl of Warwick, who was imprisoned in the Tower of London at the time of her death.</w:t>
      </w:r>
      <w:r w:rsidR="002552E3" w:rsidRPr="00543E02">
        <w:rPr>
          <w:rStyle w:val="FootnoteReference"/>
          <w:rFonts w:ascii="Times New Roman" w:hAnsi="Times New Roman" w:cs="Times New Roman"/>
          <w:sz w:val="24"/>
          <w:szCs w:val="24"/>
        </w:rPr>
        <w:footnoteReference w:id="12"/>
      </w:r>
      <w:r w:rsidR="00425B79" w:rsidRPr="00543E02">
        <w:rPr>
          <w:rFonts w:ascii="Times New Roman" w:hAnsi="Times New Roman" w:cs="Times New Roman"/>
          <w:sz w:val="24"/>
          <w:szCs w:val="24"/>
        </w:rPr>
        <w:t xml:space="preserve"> Despite this, </w:t>
      </w:r>
      <w:r w:rsidRPr="00543E02">
        <w:rPr>
          <w:rFonts w:ascii="Times New Roman" w:hAnsi="Times New Roman" w:cs="Times New Roman"/>
          <w:sz w:val="24"/>
          <w:szCs w:val="24"/>
        </w:rPr>
        <w:t xml:space="preserve">it is more likely that her primary motive, again, is to provide evidence of her seniority in the country, as she can claim a direct familial relation with the ruling family of England.  </w:t>
      </w:r>
    </w:p>
    <w:p w:rsidR="004C3FAE" w:rsidRPr="00543E02" w:rsidRDefault="004C3FAE" w:rsidP="00543E02">
      <w:pPr>
        <w:spacing w:line="480" w:lineRule="auto"/>
        <w:jc w:val="both"/>
        <w:rPr>
          <w:rFonts w:ascii="Times New Roman" w:hAnsi="Times New Roman" w:cs="Times New Roman"/>
          <w:sz w:val="24"/>
          <w:szCs w:val="24"/>
        </w:rPr>
      </w:pPr>
      <w:r w:rsidRPr="00543E02">
        <w:rPr>
          <w:rFonts w:ascii="Times New Roman" w:hAnsi="Times New Roman" w:cs="Times New Roman"/>
          <w:sz w:val="24"/>
          <w:szCs w:val="24"/>
        </w:rPr>
        <w:t xml:space="preserve">Once the structure and motives behind Duchess Cecily’s will have been analysed, a substantial amount can then be learned from the items left in her will, and who she gifts them to. </w:t>
      </w:r>
      <w:r w:rsidR="007E5D23" w:rsidRPr="00543E02">
        <w:rPr>
          <w:rFonts w:ascii="Times New Roman" w:hAnsi="Times New Roman" w:cs="Times New Roman"/>
          <w:sz w:val="24"/>
          <w:szCs w:val="24"/>
        </w:rPr>
        <w:t xml:space="preserve">For instance, she gifts Elizabeth of York </w:t>
      </w:r>
      <w:r w:rsidR="00425B79" w:rsidRPr="00543E02">
        <w:rPr>
          <w:rFonts w:ascii="Times New Roman" w:hAnsi="Times New Roman" w:cs="Times New Roman"/>
          <w:sz w:val="24"/>
          <w:szCs w:val="24"/>
        </w:rPr>
        <w:t>“a sawter…covered with grene clothe of golde”,</w:t>
      </w:r>
      <w:r w:rsidR="002552E3" w:rsidRPr="00543E02">
        <w:rPr>
          <w:rStyle w:val="FootnoteReference"/>
          <w:rFonts w:ascii="Times New Roman" w:hAnsi="Times New Roman" w:cs="Times New Roman"/>
          <w:sz w:val="24"/>
          <w:szCs w:val="24"/>
        </w:rPr>
        <w:footnoteReference w:id="13"/>
      </w:r>
      <w:r w:rsidR="00425B79" w:rsidRPr="00543E02">
        <w:rPr>
          <w:rFonts w:ascii="Times New Roman" w:hAnsi="Times New Roman" w:cs="Times New Roman"/>
          <w:sz w:val="24"/>
          <w:szCs w:val="24"/>
        </w:rPr>
        <w:t xml:space="preserve"> whereas she leaves another of Edward IVs daughters, Katherine, a “traves of blewe satten”.</w:t>
      </w:r>
      <w:r w:rsidR="002552E3" w:rsidRPr="00543E02">
        <w:rPr>
          <w:rStyle w:val="FootnoteReference"/>
          <w:rFonts w:ascii="Times New Roman" w:hAnsi="Times New Roman" w:cs="Times New Roman"/>
          <w:sz w:val="24"/>
          <w:szCs w:val="24"/>
        </w:rPr>
        <w:footnoteReference w:id="14"/>
      </w:r>
      <w:r w:rsidR="00425B79" w:rsidRPr="00543E02">
        <w:rPr>
          <w:rFonts w:ascii="Times New Roman" w:hAnsi="Times New Roman" w:cs="Times New Roman"/>
          <w:sz w:val="24"/>
          <w:szCs w:val="24"/>
        </w:rPr>
        <w:t xml:space="preserve"> This illustrates that the items being left to individuals can provide us with an insight into the medieval mindset, as the Queen is given a grand gift suitable for her status in life, Katherine, on the other hand, is left </w:t>
      </w:r>
      <w:r w:rsidR="00F15B70" w:rsidRPr="00543E02">
        <w:rPr>
          <w:rFonts w:ascii="Times New Roman" w:hAnsi="Times New Roman" w:cs="Times New Roman"/>
          <w:sz w:val="24"/>
          <w:szCs w:val="24"/>
        </w:rPr>
        <w:t>an item</w:t>
      </w:r>
      <w:r w:rsidR="00425B79" w:rsidRPr="00543E02">
        <w:rPr>
          <w:rFonts w:ascii="Times New Roman" w:hAnsi="Times New Roman" w:cs="Times New Roman"/>
          <w:sz w:val="24"/>
          <w:szCs w:val="24"/>
        </w:rPr>
        <w:t xml:space="preserve"> </w:t>
      </w:r>
      <w:r w:rsidR="00F15B70" w:rsidRPr="00543E02">
        <w:rPr>
          <w:rFonts w:ascii="Times New Roman" w:hAnsi="Times New Roman" w:cs="Times New Roman"/>
          <w:sz w:val="24"/>
          <w:szCs w:val="24"/>
        </w:rPr>
        <w:t xml:space="preserve">in blue, a colour that held great significance in the medieval </w:t>
      </w:r>
      <w:r w:rsidR="00F15B70" w:rsidRPr="00543E02">
        <w:rPr>
          <w:rFonts w:ascii="Times New Roman" w:hAnsi="Times New Roman" w:cs="Times New Roman"/>
          <w:sz w:val="24"/>
          <w:szCs w:val="24"/>
        </w:rPr>
        <w:lastRenderedPageBreak/>
        <w:t>world, as it was the colour traditionally associated with</w:t>
      </w:r>
      <w:r w:rsidR="00C6055A" w:rsidRPr="00543E02">
        <w:rPr>
          <w:rFonts w:ascii="Times New Roman" w:hAnsi="Times New Roman" w:cs="Times New Roman"/>
          <w:sz w:val="24"/>
          <w:szCs w:val="24"/>
        </w:rPr>
        <w:t xml:space="preserve"> the</w:t>
      </w:r>
      <w:r w:rsidR="00F15B70" w:rsidRPr="00543E02">
        <w:rPr>
          <w:rFonts w:ascii="Times New Roman" w:hAnsi="Times New Roman" w:cs="Times New Roman"/>
          <w:sz w:val="24"/>
          <w:szCs w:val="24"/>
        </w:rPr>
        <w:t xml:space="preserve"> Virgin Mary,</w:t>
      </w:r>
      <w:r w:rsidR="00C6055A" w:rsidRPr="00543E02">
        <w:rPr>
          <w:rStyle w:val="FootnoteReference"/>
          <w:rFonts w:ascii="Times New Roman" w:hAnsi="Times New Roman" w:cs="Times New Roman"/>
          <w:sz w:val="24"/>
          <w:szCs w:val="24"/>
        </w:rPr>
        <w:t xml:space="preserve"> </w:t>
      </w:r>
      <w:r w:rsidR="00C6055A" w:rsidRPr="00543E02">
        <w:rPr>
          <w:rStyle w:val="FootnoteReference"/>
          <w:rFonts w:ascii="Times New Roman" w:hAnsi="Times New Roman" w:cs="Times New Roman"/>
          <w:sz w:val="24"/>
          <w:szCs w:val="24"/>
        </w:rPr>
        <w:footnoteReference w:id="15"/>
      </w:r>
      <w:r w:rsidR="00F15B70" w:rsidRPr="00543E02">
        <w:rPr>
          <w:rFonts w:ascii="Times New Roman" w:hAnsi="Times New Roman" w:cs="Times New Roman"/>
          <w:sz w:val="24"/>
          <w:szCs w:val="24"/>
        </w:rPr>
        <w:t xml:space="preserve"> therefore making sense for it to be left to the unmarried Katherine.</w:t>
      </w:r>
      <w:r w:rsidR="002552E3" w:rsidRPr="00543E02">
        <w:rPr>
          <w:rStyle w:val="FootnoteReference"/>
          <w:rFonts w:ascii="Times New Roman" w:hAnsi="Times New Roman" w:cs="Times New Roman"/>
          <w:sz w:val="24"/>
          <w:szCs w:val="24"/>
        </w:rPr>
        <w:footnoteReference w:id="16"/>
      </w:r>
      <w:r w:rsidR="00F15B70" w:rsidRPr="00543E02">
        <w:rPr>
          <w:rFonts w:ascii="Times New Roman" w:hAnsi="Times New Roman" w:cs="Times New Roman"/>
          <w:sz w:val="24"/>
          <w:szCs w:val="24"/>
        </w:rPr>
        <w:t xml:space="preserve"> </w:t>
      </w:r>
    </w:p>
    <w:p w:rsidR="00F15B70" w:rsidRPr="00543E02" w:rsidRDefault="00F15B70" w:rsidP="00543E02">
      <w:pPr>
        <w:spacing w:line="480" w:lineRule="auto"/>
        <w:jc w:val="both"/>
        <w:rPr>
          <w:rFonts w:ascii="Times New Roman" w:hAnsi="Times New Roman" w:cs="Times New Roman"/>
          <w:sz w:val="24"/>
          <w:szCs w:val="24"/>
        </w:rPr>
      </w:pPr>
      <w:r w:rsidRPr="00543E02">
        <w:rPr>
          <w:rFonts w:ascii="Times New Roman" w:hAnsi="Times New Roman" w:cs="Times New Roman"/>
          <w:sz w:val="24"/>
          <w:szCs w:val="24"/>
        </w:rPr>
        <w:t>Another item commonly left in wills of this period were beds, with Shakespeare leaving his wife their “second best bed”,</w:t>
      </w:r>
      <w:r w:rsidR="002552E3" w:rsidRPr="00543E02">
        <w:rPr>
          <w:rStyle w:val="FootnoteReference"/>
          <w:rFonts w:ascii="Times New Roman" w:hAnsi="Times New Roman" w:cs="Times New Roman"/>
          <w:sz w:val="24"/>
          <w:szCs w:val="24"/>
        </w:rPr>
        <w:footnoteReference w:id="17"/>
      </w:r>
      <w:r w:rsidRPr="00543E02">
        <w:rPr>
          <w:rFonts w:ascii="Times New Roman" w:hAnsi="Times New Roman" w:cs="Times New Roman"/>
          <w:sz w:val="24"/>
          <w:szCs w:val="24"/>
        </w:rPr>
        <w:t xml:space="preserve"> and Cecily leaving Arthur, Prince of Wales being left “a bedde of arres”.</w:t>
      </w:r>
      <w:r w:rsidR="002552E3" w:rsidRPr="00543E02">
        <w:rPr>
          <w:rStyle w:val="FootnoteReference"/>
          <w:rFonts w:ascii="Times New Roman" w:hAnsi="Times New Roman" w:cs="Times New Roman"/>
          <w:sz w:val="24"/>
          <w:szCs w:val="24"/>
        </w:rPr>
        <w:footnoteReference w:id="18"/>
      </w:r>
      <w:r w:rsidRPr="00543E02">
        <w:rPr>
          <w:rFonts w:ascii="Times New Roman" w:hAnsi="Times New Roman" w:cs="Times New Roman"/>
          <w:sz w:val="24"/>
          <w:szCs w:val="24"/>
        </w:rPr>
        <w:t xml:space="preserve"> What this demonstrates is that there was very little wastage in the medieval period, even within the royal family. </w:t>
      </w:r>
      <w:r w:rsidR="008C3A30" w:rsidRPr="00543E02">
        <w:rPr>
          <w:rFonts w:ascii="Times New Roman" w:hAnsi="Times New Roman" w:cs="Times New Roman"/>
          <w:sz w:val="24"/>
          <w:szCs w:val="24"/>
        </w:rPr>
        <w:t>With beds being a highly complex structure, they cost a great deal to manufacture and upholster, and as such, the leaving of a bed in Cecily’s will demonstrates that, not only was she leaving items suitable to an individual’s role in life (with Arthur having his own household as Prince of Wales),</w:t>
      </w:r>
      <w:r w:rsidR="002552E3" w:rsidRPr="00543E02">
        <w:rPr>
          <w:rStyle w:val="FootnoteReference"/>
          <w:rFonts w:ascii="Times New Roman" w:hAnsi="Times New Roman" w:cs="Times New Roman"/>
          <w:sz w:val="24"/>
          <w:szCs w:val="24"/>
        </w:rPr>
        <w:footnoteReference w:id="19"/>
      </w:r>
      <w:r w:rsidR="008C3A30" w:rsidRPr="00543E02">
        <w:rPr>
          <w:rFonts w:ascii="Times New Roman" w:hAnsi="Times New Roman" w:cs="Times New Roman"/>
          <w:sz w:val="24"/>
          <w:szCs w:val="24"/>
        </w:rPr>
        <w:t xml:space="preserve"> she was also being highly practical, ensuring that all of her possessions were gifted, ensuring that nothing was wasted, once again demonstrating a difference between medieval and modern wills. </w:t>
      </w:r>
    </w:p>
    <w:p w:rsidR="00F15B70" w:rsidRPr="00543E02" w:rsidRDefault="00F15B70" w:rsidP="00543E02">
      <w:pPr>
        <w:spacing w:line="480" w:lineRule="auto"/>
        <w:jc w:val="both"/>
        <w:rPr>
          <w:rFonts w:ascii="Times New Roman" w:hAnsi="Times New Roman" w:cs="Times New Roman"/>
          <w:sz w:val="24"/>
          <w:szCs w:val="24"/>
        </w:rPr>
      </w:pPr>
      <w:r w:rsidRPr="00543E02">
        <w:rPr>
          <w:rFonts w:ascii="Times New Roman" w:hAnsi="Times New Roman" w:cs="Times New Roman"/>
          <w:sz w:val="24"/>
          <w:szCs w:val="24"/>
        </w:rPr>
        <w:t>In conclusion, whilst a Will was, to the medieval mind, a purely practical document</w:t>
      </w:r>
      <w:r w:rsidR="008C3A30" w:rsidRPr="00543E02">
        <w:rPr>
          <w:rFonts w:ascii="Times New Roman" w:hAnsi="Times New Roman" w:cs="Times New Roman"/>
          <w:sz w:val="24"/>
          <w:szCs w:val="24"/>
        </w:rPr>
        <w:t>,</w:t>
      </w:r>
      <w:r w:rsidRPr="00543E02">
        <w:rPr>
          <w:rFonts w:ascii="Times New Roman" w:hAnsi="Times New Roman" w:cs="Times New Roman"/>
          <w:sz w:val="24"/>
          <w:szCs w:val="24"/>
        </w:rPr>
        <w:t xml:space="preserve"> leaving behind requests as to the provisions made for their soul, body, and possessions, they can also be used as highly informative historical documents, especially when relating to highly influential historical figures, such as Cecily, Duchess of York. </w:t>
      </w:r>
    </w:p>
    <w:p w:rsidR="002552E3" w:rsidRPr="00FE30F4" w:rsidRDefault="002552E3" w:rsidP="00FE30F4">
      <w:pPr>
        <w:spacing w:line="480" w:lineRule="auto"/>
        <w:jc w:val="both"/>
        <w:rPr>
          <w:rFonts w:ascii="Times New Roman" w:hAnsi="Times New Roman" w:cs="Times New Roman"/>
          <w:sz w:val="24"/>
          <w:szCs w:val="24"/>
        </w:rPr>
      </w:pPr>
      <w:r w:rsidRPr="00FE30F4">
        <w:rPr>
          <w:rFonts w:ascii="Times New Roman" w:hAnsi="Times New Roman" w:cs="Times New Roman"/>
          <w:sz w:val="24"/>
          <w:szCs w:val="24"/>
        </w:rPr>
        <w:br w:type="page"/>
      </w:r>
    </w:p>
    <w:p w:rsidR="002552E3" w:rsidRPr="00D029D3" w:rsidRDefault="002552E3" w:rsidP="00543E02">
      <w:pPr>
        <w:spacing w:line="360" w:lineRule="auto"/>
        <w:rPr>
          <w:rFonts w:ascii="Times New Roman" w:hAnsi="Times New Roman" w:cs="Times New Roman"/>
          <w:sz w:val="24"/>
          <w:szCs w:val="24"/>
          <w:u w:val="single"/>
        </w:rPr>
      </w:pPr>
      <w:r w:rsidRPr="00D029D3">
        <w:rPr>
          <w:rFonts w:ascii="Times New Roman" w:hAnsi="Times New Roman" w:cs="Times New Roman"/>
          <w:sz w:val="24"/>
          <w:szCs w:val="24"/>
          <w:u w:val="single"/>
        </w:rPr>
        <w:lastRenderedPageBreak/>
        <w:t>Bibliography</w:t>
      </w:r>
    </w:p>
    <w:p w:rsidR="002552E3" w:rsidRPr="00D029D3" w:rsidRDefault="002552E3" w:rsidP="00543E02">
      <w:pPr>
        <w:spacing w:line="360" w:lineRule="auto"/>
        <w:rPr>
          <w:rFonts w:ascii="Times New Roman" w:hAnsi="Times New Roman" w:cs="Times New Roman"/>
          <w:sz w:val="24"/>
          <w:szCs w:val="24"/>
          <w:u w:val="single"/>
        </w:rPr>
      </w:pPr>
      <w:r w:rsidRPr="00D029D3">
        <w:rPr>
          <w:rFonts w:ascii="Times New Roman" w:hAnsi="Times New Roman" w:cs="Times New Roman"/>
          <w:sz w:val="24"/>
          <w:szCs w:val="24"/>
          <w:u w:val="single"/>
        </w:rPr>
        <w:t>Primary Sources</w:t>
      </w:r>
    </w:p>
    <w:p w:rsidR="00D029D3" w:rsidRPr="00D029D3" w:rsidRDefault="00D029D3" w:rsidP="00543E02">
      <w:pPr>
        <w:pStyle w:val="FootnoteText"/>
        <w:spacing w:line="360" w:lineRule="auto"/>
        <w:rPr>
          <w:rFonts w:ascii="Times New Roman" w:hAnsi="Times New Roman" w:cs="Times New Roman"/>
          <w:sz w:val="24"/>
          <w:szCs w:val="24"/>
        </w:rPr>
      </w:pPr>
      <w:r w:rsidRPr="00D029D3">
        <w:rPr>
          <w:rFonts w:ascii="Times New Roman" w:hAnsi="Times New Roman" w:cs="Times New Roman"/>
          <w:sz w:val="24"/>
          <w:szCs w:val="24"/>
        </w:rPr>
        <w:t xml:space="preserve">Internet Archive, Wills from Doctors’ Commons. A selection from the wills of eminent persons proved in the Prerogative Court of Canterbury, 1495-1695, Available on: </w:t>
      </w:r>
      <w:hyperlink r:id="rId7" w:history="1">
        <w:r w:rsidRPr="00D029D3">
          <w:rPr>
            <w:rStyle w:val="Hyperlink"/>
            <w:rFonts w:ascii="Times New Roman" w:hAnsi="Times New Roman" w:cs="Times New Roman"/>
            <w:sz w:val="24"/>
            <w:szCs w:val="24"/>
          </w:rPr>
          <w:t>https://archive.org/details/willsfromdoctors00churrich</w:t>
        </w:r>
      </w:hyperlink>
      <w:r w:rsidRPr="00D029D3">
        <w:rPr>
          <w:rFonts w:ascii="Times New Roman" w:hAnsi="Times New Roman" w:cs="Times New Roman"/>
          <w:sz w:val="24"/>
          <w:szCs w:val="24"/>
        </w:rPr>
        <w:t xml:space="preserve"> Accessed on [18.10.2017]. </w:t>
      </w:r>
    </w:p>
    <w:p w:rsidR="002552E3" w:rsidRPr="00D029D3" w:rsidRDefault="002552E3" w:rsidP="00543E02">
      <w:pPr>
        <w:spacing w:line="360" w:lineRule="auto"/>
        <w:rPr>
          <w:rFonts w:ascii="Times New Roman" w:hAnsi="Times New Roman" w:cs="Times New Roman"/>
          <w:sz w:val="24"/>
          <w:szCs w:val="24"/>
          <w:u w:val="single"/>
        </w:rPr>
      </w:pPr>
      <w:r w:rsidRPr="00D029D3">
        <w:rPr>
          <w:rFonts w:ascii="Times New Roman" w:hAnsi="Times New Roman" w:cs="Times New Roman"/>
          <w:sz w:val="24"/>
          <w:szCs w:val="24"/>
          <w:u w:val="single"/>
        </w:rPr>
        <w:t>Secondary Sources</w:t>
      </w:r>
    </w:p>
    <w:p w:rsidR="00D73D5B" w:rsidRDefault="00D73D5B" w:rsidP="00543E02">
      <w:pPr>
        <w:spacing w:line="360" w:lineRule="auto"/>
        <w:rPr>
          <w:rFonts w:ascii="Times New Roman" w:hAnsi="Times New Roman" w:cs="Times New Roman"/>
          <w:sz w:val="24"/>
          <w:szCs w:val="24"/>
        </w:rPr>
      </w:pPr>
      <w:r w:rsidRPr="00D029D3">
        <w:rPr>
          <w:rFonts w:ascii="Times New Roman" w:hAnsi="Times New Roman" w:cs="Times New Roman"/>
          <w:sz w:val="24"/>
          <w:szCs w:val="24"/>
        </w:rPr>
        <w:t xml:space="preserve">Lee, C. </w:t>
      </w:r>
      <w:r w:rsidRPr="00D029D3">
        <w:rPr>
          <w:rFonts w:ascii="Times New Roman" w:hAnsi="Times New Roman" w:cs="Times New Roman"/>
          <w:i/>
          <w:sz w:val="24"/>
          <w:szCs w:val="24"/>
        </w:rPr>
        <w:t>This Sceptred Isle: The Making of the British</w:t>
      </w:r>
      <w:r w:rsidRPr="00D029D3">
        <w:rPr>
          <w:rFonts w:ascii="Times New Roman" w:hAnsi="Times New Roman" w:cs="Times New Roman"/>
          <w:sz w:val="24"/>
          <w:szCs w:val="24"/>
        </w:rPr>
        <w:t xml:space="preserve"> (London: Consta</w:t>
      </w:r>
      <w:r w:rsidRPr="00D029D3">
        <w:rPr>
          <w:rFonts w:ascii="Times New Roman" w:hAnsi="Times New Roman" w:cs="Times New Roman"/>
          <w:sz w:val="24"/>
          <w:szCs w:val="24"/>
        </w:rPr>
        <w:t>ble and Robinson Ltd, 2012).</w:t>
      </w:r>
    </w:p>
    <w:p w:rsidR="00543E02" w:rsidRPr="00543E02" w:rsidRDefault="00543E02" w:rsidP="00543E02">
      <w:pPr>
        <w:pStyle w:val="FootnoteText"/>
        <w:spacing w:line="360" w:lineRule="auto"/>
        <w:rPr>
          <w:rFonts w:ascii="Times New Roman" w:hAnsi="Times New Roman" w:cs="Times New Roman"/>
          <w:sz w:val="24"/>
          <w:szCs w:val="24"/>
        </w:rPr>
      </w:pPr>
      <w:r w:rsidRPr="00543E02">
        <w:rPr>
          <w:rFonts w:ascii="Times New Roman" w:hAnsi="Times New Roman" w:cs="Times New Roman"/>
          <w:sz w:val="24"/>
          <w:szCs w:val="24"/>
        </w:rPr>
        <w:t xml:space="preserve">Westerfelhaus, R. ‘She Speaks to Us, for Us, and of Us: Our Lady of Guadalupe as a Semiotic Site of Struggle and Identity’, in </w:t>
      </w:r>
      <w:r w:rsidRPr="00543E02">
        <w:rPr>
          <w:rFonts w:ascii="Times New Roman" w:hAnsi="Times New Roman" w:cs="Times New Roman"/>
          <w:i/>
          <w:sz w:val="24"/>
          <w:szCs w:val="24"/>
        </w:rPr>
        <w:t xml:space="preserve">Communicating Ethnic and Cultural Identity </w:t>
      </w:r>
      <w:r w:rsidRPr="00543E02">
        <w:rPr>
          <w:rFonts w:ascii="Times New Roman" w:hAnsi="Times New Roman" w:cs="Times New Roman"/>
          <w:sz w:val="24"/>
          <w:szCs w:val="24"/>
        </w:rPr>
        <w:t>ed. Chuang. R and Fong M.</w:t>
      </w:r>
      <w:r w:rsidRPr="00543E02">
        <w:rPr>
          <w:rFonts w:ascii="Times New Roman" w:hAnsi="Times New Roman" w:cs="Times New Roman"/>
          <w:sz w:val="24"/>
          <w:szCs w:val="24"/>
        </w:rPr>
        <w:t xml:space="preserve"> </w:t>
      </w:r>
      <w:r w:rsidRPr="00543E02">
        <w:rPr>
          <w:rFonts w:ascii="Times New Roman" w:hAnsi="Times New Roman" w:cs="Times New Roman"/>
          <w:sz w:val="24"/>
          <w:szCs w:val="24"/>
        </w:rPr>
        <w:t>(Lanham: Rowman and Littlefield Publishers Inc., 2004), pp. 105 – 121</w:t>
      </w:r>
      <w:r w:rsidRPr="00543E02">
        <w:rPr>
          <w:rFonts w:ascii="Times New Roman" w:hAnsi="Times New Roman" w:cs="Times New Roman"/>
          <w:sz w:val="24"/>
          <w:szCs w:val="24"/>
        </w:rPr>
        <w:t>.</w:t>
      </w:r>
    </w:p>
    <w:p w:rsidR="00543E02" w:rsidRPr="00543E02" w:rsidRDefault="00543E02" w:rsidP="00543E02">
      <w:pPr>
        <w:pStyle w:val="FootnoteText"/>
        <w:spacing w:line="360" w:lineRule="auto"/>
        <w:rPr>
          <w:rFonts w:ascii="Times New Roman" w:hAnsi="Times New Roman" w:cs="Times New Roman"/>
        </w:rPr>
      </w:pPr>
    </w:p>
    <w:p w:rsidR="00FE30F4" w:rsidRPr="00D029D3" w:rsidRDefault="002552E3" w:rsidP="00543E02">
      <w:pPr>
        <w:spacing w:line="360" w:lineRule="auto"/>
        <w:rPr>
          <w:rFonts w:ascii="Times New Roman" w:hAnsi="Times New Roman" w:cs="Times New Roman"/>
          <w:sz w:val="24"/>
          <w:szCs w:val="24"/>
          <w:u w:val="single"/>
        </w:rPr>
      </w:pPr>
      <w:r w:rsidRPr="00D029D3">
        <w:rPr>
          <w:rFonts w:ascii="Times New Roman" w:hAnsi="Times New Roman" w:cs="Times New Roman"/>
          <w:sz w:val="24"/>
          <w:szCs w:val="24"/>
          <w:u w:val="single"/>
        </w:rPr>
        <w:t>Web Sources</w:t>
      </w:r>
    </w:p>
    <w:p w:rsidR="00FE30F4" w:rsidRPr="00D029D3" w:rsidRDefault="00FE30F4" w:rsidP="00543E02">
      <w:pPr>
        <w:spacing w:line="360" w:lineRule="auto"/>
        <w:rPr>
          <w:rFonts w:ascii="Times New Roman" w:hAnsi="Times New Roman" w:cs="Times New Roman"/>
          <w:sz w:val="24"/>
          <w:szCs w:val="24"/>
        </w:rPr>
      </w:pPr>
      <w:r w:rsidRPr="00D029D3">
        <w:rPr>
          <w:rFonts w:ascii="Times New Roman" w:hAnsi="Times New Roman" w:cs="Times New Roman"/>
          <w:sz w:val="24"/>
          <w:szCs w:val="24"/>
        </w:rPr>
        <w:t xml:space="preserve">Durham University, North Eastern Inheritance Wills and Testaments, Available at:  </w:t>
      </w:r>
    </w:p>
    <w:p w:rsidR="00FE30F4" w:rsidRPr="00D029D3" w:rsidRDefault="00FE30F4" w:rsidP="00543E02">
      <w:pPr>
        <w:spacing w:line="360" w:lineRule="auto"/>
        <w:rPr>
          <w:rFonts w:ascii="Times New Roman" w:hAnsi="Times New Roman" w:cs="Times New Roman"/>
          <w:sz w:val="24"/>
          <w:szCs w:val="24"/>
        </w:rPr>
      </w:pPr>
      <w:hyperlink r:id="rId8" w:history="1">
        <w:r w:rsidRPr="00D029D3">
          <w:rPr>
            <w:rStyle w:val="Hyperlink"/>
            <w:rFonts w:ascii="Times New Roman" w:hAnsi="Times New Roman" w:cs="Times New Roman"/>
            <w:color w:val="auto"/>
            <w:sz w:val="24"/>
            <w:szCs w:val="24"/>
          </w:rPr>
          <w:t>http://familyrecords.dur.ac.uk/nei/NEI_wills_and_testaments.pdf</w:t>
        </w:r>
      </w:hyperlink>
      <w:r w:rsidRPr="00D029D3">
        <w:rPr>
          <w:rFonts w:ascii="Times New Roman" w:hAnsi="Times New Roman" w:cs="Times New Roman"/>
          <w:sz w:val="24"/>
          <w:szCs w:val="24"/>
        </w:rPr>
        <w:t xml:space="preserve"> Accessed on [16.10.2017].</w:t>
      </w:r>
    </w:p>
    <w:p w:rsidR="00FE30F4" w:rsidRPr="00D029D3" w:rsidRDefault="00FE30F4" w:rsidP="00543E02">
      <w:pPr>
        <w:spacing w:line="360" w:lineRule="auto"/>
        <w:rPr>
          <w:rFonts w:ascii="Times New Roman" w:hAnsi="Times New Roman" w:cs="Times New Roman"/>
          <w:sz w:val="24"/>
          <w:szCs w:val="24"/>
        </w:rPr>
      </w:pPr>
      <w:r w:rsidRPr="00D029D3">
        <w:rPr>
          <w:rFonts w:ascii="Times New Roman" w:hAnsi="Times New Roman" w:cs="Times New Roman"/>
          <w:sz w:val="24"/>
          <w:szCs w:val="24"/>
        </w:rPr>
        <w:t xml:space="preserve">Cambridge English Dictionary, Surrender, Available at: </w:t>
      </w:r>
      <w:hyperlink r:id="rId9" w:history="1">
        <w:r w:rsidRPr="00D029D3">
          <w:rPr>
            <w:rStyle w:val="Hyperlink"/>
            <w:rFonts w:ascii="Times New Roman" w:hAnsi="Times New Roman" w:cs="Times New Roman"/>
            <w:color w:val="auto"/>
            <w:sz w:val="24"/>
            <w:szCs w:val="24"/>
          </w:rPr>
          <w:t>http://dictionary.cambridge.org/dictionary/english/surrender</w:t>
        </w:r>
      </w:hyperlink>
      <w:r w:rsidRPr="00D029D3">
        <w:rPr>
          <w:rFonts w:ascii="Times New Roman" w:hAnsi="Times New Roman" w:cs="Times New Roman"/>
          <w:sz w:val="24"/>
          <w:szCs w:val="24"/>
        </w:rPr>
        <w:t xml:space="preserve"> Accessed on [16.10.2017].</w:t>
      </w:r>
    </w:p>
    <w:p w:rsidR="00FE30F4" w:rsidRPr="00D029D3" w:rsidRDefault="00FE30F4" w:rsidP="00543E02">
      <w:pPr>
        <w:pStyle w:val="FootnoteText"/>
        <w:spacing w:line="360" w:lineRule="auto"/>
        <w:rPr>
          <w:rFonts w:ascii="Times New Roman" w:hAnsi="Times New Roman" w:cs="Times New Roman"/>
          <w:sz w:val="24"/>
          <w:szCs w:val="24"/>
        </w:rPr>
      </w:pPr>
      <w:r w:rsidRPr="00D029D3">
        <w:rPr>
          <w:rFonts w:ascii="Times New Roman" w:hAnsi="Times New Roman" w:cs="Times New Roman"/>
          <w:sz w:val="24"/>
          <w:szCs w:val="24"/>
        </w:rPr>
        <w:t xml:space="preserve">The Oxford Dictionary of National Biography, Edward of Warwick, Available on:  </w:t>
      </w:r>
      <w:hyperlink r:id="rId10" w:history="1">
        <w:r w:rsidRPr="00D029D3">
          <w:rPr>
            <w:rStyle w:val="Hyperlink"/>
            <w:rFonts w:ascii="Times New Roman" w:hAnsi="Times New Roman" w:cs="Times New Roman"/>
            <w:color w:val="auto"/>
            <w:sz w:val="24"/>
            <w:szCs w:val="24"/>
          </w:rPr>
          <w:t>http://www.oxforddnb.com/view/article/8525?docPos=2</w:t>
        </w:r>
      </w:hyperlink>
      <w:r w:rsidRPr="00D029D3">
        <w:rPr>
          <w:rFonts w:ascii="Times New Roman" w:hAnsi="Times New Roman" w:cs="Times New Roman"/>
          <w:sz w:val="24"/>
          <w:szCs w:val="24"/>
        </w:rPr>
        <w:t xml:space="preserve"> Accessed on [16.10.2017].</w:t>
      </w:r>
    </w:p>
    <w:p w:rsidR="00FE30F4" w:rsidRPr="00D029D3" w:rsidRDefault="00FE30F4" w:rsidP="00543E02">
      <w:pPr>
        <w:pStyle w:val="FootnoteText"/>
        <w:spacing w:line="360" w:lineRule="auto"/>
        <w:rPr>
          <w:rFonts w:ascii="Times New Roman" w:hAnsi="Times New Roman" w:cs="Times New Roman"/>
          <w:sz w:val="24"/>
          <w:szCs w:val="24"/>
        </w:rPr>
      </w:pPr>
      <w:r w:rsidRPr="00D029D3">
        <w:rPr>
          <w:rFonts w:ascii="Times New Roman" w:hAnsi="Times New Roman" w:cs="Times New Roman"/>
          <w:sz w:val="24"/>
          <w:szCs w:val="24"/>
        </w:rPr>
        <w:t>The Sh</w:t>
      </w:r>
      <w:bookmarkStart w:id="0" w:name="_GoBack"/>
      <w:bookmarkEnd w:id="0"/>
      <w:r w:rsidRPr="00D029D3">
        <w:rPr>
          <w:rFonts w:ascii="Times New Roman" w:hAnsi="Times New Roman" w:cs="Times New Roman"/>
          <w:sz w:val="24"/>
          <w:szCs w:val="24"/>
        </w:rPr>
        <w:t xml:space="preserve">akespeare Birthplace Trust, The Second Best Bed, Available on: </w:t>
      </w:r>
      <w:hyperlink r:id="rId11" w:history="1">
        <w:r w:rsidRPr="00D029D3">
          <w:rPr>
            <w:rStyle w:val="Hyperlink"/>
            <w:rFonts w:ascii="Times New Roman" w:hAnsi="Times New Roman" w:cs="Times New Roman"/>
            <w:color w:val="auto"/>
            <w:sz w:val="24"/>
            <w:szCs w:val="24"/>
          </w:rPr>
          <w:t>https://www.shakespeare.org.uk/explore-shakespeare/blogs/second-best-bed/</w:t>
        </w:r>
      </w:hyperlink>
      <w:r w:rsidRPr="00D029D3">
        <w:rPr>
          <w:rFonts w:ascii="Times New Roman" w:hAnsi="Times New Roman" w:cs="Times New Roman"/>
          <w:sz w:val="24"/>
          <w:szCs w:val="24"/>
        </w:rPr>
        <w:t xml:space="preserve"> Accessed on [16.10.2017]. </w:t>
      </w:r>
    </w:p>
    <w:p w:rsidR="00FE30F4" w:rsidRPr="00D029D3" w:rsidRDefault="00FE30F4" w:rsidP="00543E02">
      <w:pPr>
        <w:pStyle w:val="FootnoteText"/>
        <w:spacing w:line="360" w:lineRule="auto"/>
        <w:rPr>
          <w:rFonts w:ascii="Times New Roman" w:hAnsi="Times New Roman" w:cs="Times New Roman"/>
          <w:sz w:val="24"/>
          <w:szCs w:val="24"/>
        </w:rPr>
      </w:pPr>
      <w:r w:rsidRPr="00D029D3">
        <w:rPr>
          <w:rFonts w:ascii="Times New Roman" w:hAnsi="Times New Roman" w:cs="Times New Roman"/>
          <w:sz w:val="24"/>
          <w:szCs w:val="24"/>
        </w:rPr>
        <w:t xml:space="preserve">Reviews in History, Arthur Tudor, Prince of Wales: Life, Death and Commemoration, Available on: </w:t>
      </w:r>
      <w:hyperlink r:id="rId12" w:history="1">
        <w:r w:rsidRPr="00D029D3">
          <w:rPr>
            <w:rStyle w:val="Hyperlink"/>
            <w:rFonts w:ascii="Times New Roman" w:hAnsi="Times New Roman" w:cs="Times New Roman"/>
            <w:color w:val="auto"/>
            <w:sz w:val="24"/>
            <w:szCs w:val="24"/>
          </w:rPr>
          <w:t>http://www.history.ac.uk/reviews/review/1006</w:t>
        </w:r>
      </w:hyperlink>
      <w:r w:rsidRPr="00D029D3">
        <w:rPr>
          <w:rFonts w:ascii="Times New Roman" w:hAnsi="Times New Roman" w:cs="Times New Roman"/>
          <w:sz w:val="24"/>
          <w:szCs w:val="24"/>
        </w:rPr>
        <w:t xml:space="preserve"> Accessed on [16.10.2017].</w:t>
      </w:r>
    </w:p>
    <w:p w:rsidR="0077509E" w:rsidRPr="00FE30F4" w:rsidRDefault="0077509E" w:rsidP="00543E02">
      <w:pPr>
        <w:spacing w:line="360" w:lineRule="auto"/>
        <w:rPr>
          <w:rFonts w:ascii="Times New Roman" w:hAnsi="Times New Roman" w:cs="Times New Roman"/>
          <w:sz w:val="24"/>
          <w:szCs w:val="24"/>
          <w:u w:val="single"/>
        </w:rPr>
      </w:pPr>
    </w:p>
    <w:sectPr w:rsidR="0077509E" w:rsidRPr="00FE30F4">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3771" w:rsidRDefault="000A3771" w:rsidP="00F04C26">
      <w:pPr>
        <w:spacing w:after="0" w:line="240" w:lineRule="auto"/>
      </w:pPr>
      <w:r>
        <w:separator/>
      </w:r>
    </w:p>
  </w:endnote>
  <w:endnote w:type="continuationSeparator" w:id="0">
    <w:p w:rsidR="000A3771" w:rsidRDefault="000A3771" w:rsidP="00F04C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3771" w:rsidRDefault="000A3771" w:rsidP="00F04C26">
      <w:pPr>
        <w:spacing w:after="0" w:line="240" w:lineRule="auto"/>
      </w:pPr>
      <w:r>
        <w:separator/>
      </w:r>
    </w:p>
  </w:footnote>
  <w:footnote w:type="continuationSeparator" w:id="0">
    <w:p w:rsidR="000A3771" w:rsidRDefault="000A3771" w:rsidP="00F04C26">
      <w:pPr>
        <w:spacing w:after="0" w:line="240" w:lineRule="auto"/>
      </w:pPr>
      <w:r>
        <w:continuationSeparator/>
      </w:r>
    </w:p>
  </w:footnote>
  <w:footnote w:id="1">
    <w:p w:rsidR="002552E3" w:rsidRPr="00543E02" w:rsidRDefault="002552E3" w:rsidP="00FE30F4">
      <w:pPr>
        <w:pStyle w:val="FootnoteText"/>
        <w:rPr>
          <w:rFonts w:ascii="Times New Roman" w:hAnsi="Times New Roman" w:cs="Times New Roman"/>
        </w:rPr>
      </w:pPr>
      <w:r w:rsidRPr="00543E02">
        <w:rPr>
          <w:rStyle w:val="FootnoteReference"/>
          <w:rFonts w:ascii="Times New Roman" w:hAnsi="Times New Roman" w:cs="Times New Roman"/>
        </w:rPr>
        <w:footnoteRef/>
      </w:r>
      <w:r w:rsidRPr="00543E02">
        <w:rPr>
          <w:rFonts w:ascii="Times New Roman" w:hAnsi="Times New Roman" w:cs="Times New Roman"/>
        </w:rPr>
        <w:t xml:space="preserve"> </w:t>
      </w:r>
      <w:r w:rsidR="00D334CF" w:rsidRPr="00543E02">
        <w:rPr>
          <w:rFonts w:ascii="Times New Roman" w:hAnsi="Times New Roman" w:cs="Times New Roman"/>
        </w:rPr>
        <w:t xml:space="preserve">Durham University, North Eastern Inheritance Wills and Testaments, Available at:  </w:t>
      </w:r>
      <w:hyperlink r:id="rId1" w:history="1">
        <w:r w:rsidR="00F95A9B" w:rsidRPr="00543E02">
          <w:rPr>
            <w:rStyle w:val="Hyperlink"/>
            <w:rFonts w:ascii="Times New Roman" w:hAnsi="Times New Roman" w:cs="Times New Roman"/>
            <w:color w:val="auto"/>
          </w:rPr>
          <w:t>http://familyreco</w:t>
        </w:r>
        <w:r w:rsidR="00F95A9B" w:rsidRPr="00543E02">
          <w:rPr>
            <w:rStyle w:val="Hyperlink"/>
            <w:rFonts w:ascii="Times New Roman" w:hAnsi="Times New Roman" w:cs="Times New Roman"/>
            <w:color w:val="auto"/>
          </w:rPr>
          <w:t>r</w:t>
        </w:r>
        <w:r w:rsidR="00F95A9B" w:rsidRPr="00543E02">
          <w:rPr>
            <w:rStyle w:val="Hyperlink"/>
            <w:rFonts w:ascii="Times New Roman" w:hAnsi="Times New Roman" w:cs="Times New Roman"/>
            <w:color w:val="auto"/>
          </w:rPr>
          <w:t>ds.dur.ac.uk/nei/NEI_wills_and_testaments.pdf</w:t>
        </w:r>
      </w:hyperlink>
      <w:r w:rsidR="00F95A9B" w:rsidRPr="00543E02">
        <w:rPr>
          <w:rFonts w:ascii="Times New Roman" w:hAnsi="Times New Roman" w:cs="Times New Roman"/>
        </w:rPr>
        <w:t xml:space="preserve"> </w:t>
      </w:r>
      <w:r w:rsidR="00D334CF" w:rsidRPr="00543E02">
        <w:rPr>
          <w:rFonts w:ascii="Times New Roman" w:hAnsi="Times New Roman" w:cs="Times New Roman"/>
        </w:rPr>
        <w:t>Accessed on [</w:t>
      </w:r>
      <w:r w:rsidR="006C5444" w:rsidRPr="00543E02">
        <w:rPr>
          <w:rFonts w:ascii="Times New Roman" w:hAnsi="Times New Roman" w:cs="Times New Roman"/>
        </w:rPr>
        <w:t>16.10.2017].</w:t>
      </w:r>
    </w:p>
  </w:footnote>
  <w:footnote w:id="2">
    <w:p w:rsidR="002552E3" w:rsidRPr="00543E02" w:rsidRDefault="002552E3" w:rsidP="00FE30F4">
      <w:pPr>
        <w:pStyle w:val="FootnoteText"/>
        <w:rPr>
          <w:rFonts w:ascii="Times New Roman" w:hAnsi="Times New Roman" w:cs="Times New Roman"/>
        </w:rPr>
      </w:pPr>
      <w:r w:rsidRPr="00543E02">
        <w:rPr>
          <w:rStyle w:val="FootnoteReference"/>
          <w:rFonts w:ascii="Times New Roman" w:hAnsi="Times New Roman" w:cs="Times New Roman"/>
        </w:rPr>
        <w:footnoteRef/>
      </w:r>
      <w:r w:rsidRPr="00543E02">
        <w:rPr>
          <w:rFonts w:ascii="Times New Roman" w:hAnsi="Times New Roman" w:cs="Times New Roman"/>
        </w:rPr>
        <w:t xml:space="preserve"> </w:t>
      </w:r>
      <w:r w:rsidR="006C5444" w:rsidRPr="00543E02">
        <w:rPr>
          <w:rFonts w:ascii="Times New Roman" w:hAnsi="Times New Roman" w:cs="Times New Roman"/>
          <w:i/>
        </w:rPr>
        <w:t xml:space="preserve">Ibid. </w:t>
      </w:r>
    </w:p>
  </w:footnote>
  <w:footnote w:id="3">
    <w:p w:rsidR="002552E3" w:rsidRPr="00543E02" w:rsidRDefault="002552E3" w:rsidP="00FE30F4">
      <w:pPr>
        <w:pStyle w:val="FootnoteText"/>
        <w:rPr>
          <w:rFonts w:ascii="Times New Roman" w:hAnsi="Times New Roman" w:cs="Times New Roman"/>
        </w:rPr>
      </w:pPr>
      <w:r w:rsidRPr="00543E02">
        <w:rPr>
          <w:rStyle w:val="FootnoteReference"/>
          <w:rFonts w:ascii="Times New Roman" w:hAnsi="Times New Roman" w:cs="Times New Roman"/>
        </w:rPr>
        <w:footnoteRef/>
      </w:r>
      <w:r w:rsidRPr="00543E02">
        <w:rPr>
          <w:rFonts w:ascii="Times New Roman" w:hAnsi="Times New Roman" w:cs="Times New Roman"/>
        </w:rPr>
        <w:t xml:space="preserve"> </w:t>
      </w:r>
      <w:r w:rsidR="00D029D3" w:rsidRPr="00543E02">
        <w:rPr>
          <w:rFonts w:ascii="Times New Roman" w:hAnsi="Times New Roman" w:cs="Times New Roman"/>
        </w:rPr>
        <w:t xml:space="preserve">Internet Archive, Wills from Doctors’ Commons. A selection from the wills of eminent persons proved in the Prerogative Court of Canterbury, 1495-1695, Available on: </w:t>
      </w:r>
      <w:hyperlink r:id="rId2" w:history="1">
        <w:r w:rsidR="00D029D3" w:rsidRPr="00543E02">
          <w:rPr>
            <w:rStyle w:val="Hyperlink"/>
            <w:rFonts w:ascii="Times New Roman" w:hAnsi="Times New Roman" w:cs="Times New Roman"/>
          </w:rPr>
          <w:t>https://archive.org/details/willsfromdoctors00churrich</w:t>
        </w:r>
      </w:hyperlink>
      <w:r w:rsidR="00D029D3" w:rsidRPr="00543E02">
        <w:rPr>
          <w:rFonts w:ascii="Times New Roman" w:hAnsi="Times New Roman" w:cs="Times New Roman"/>
        </w:rPr>
        <w:t xml:space="preserve"> Accessed on [18.10.2017]. </w:t>
      </w:r>
    </w:p>
  </w:footnote>
  <w:footnote w:id="4">
    <w:p w:rsidR="002552E3" w:rsidRPr="00543E02" w:rsidRDefault="002552E3" w:rsidP="00FE30F4">
      <w:pPr>
        <w:pStyle w:val="FootnoteText"/>
        <w:rPr>
          <w:rFonts w:ascii="Times New Roman" w:hAnsi="Times New Roman" w:cs="Times New Roman"/>
        </w:rPr>
      </w:pPr>
      <w:r w:rsidRPr="00543E02">
        <w:rPr>
          <w:rStyle w:val="FootnoteReference"/>
          <w:rFonts w:ascii="Times New Roman" w:hAnsi="Times New Roman" w:cs="Times New Roman"/>
        </w:rPr>
        <w:footnoteRef/>
      </w:r>
      <w:r w:rsidRPr="00543E02">
        <w:rPr>
          <w:rFonts w:ascii="Times New Roman" w:hAnsi="Times New Roman" w:cs="Times New Roman"/>
        </w:rPr>
        <w:t xml:space="preserve"> </w:t>
      </w:r>
      <w:r w:rsidR="00D029D3" w:rsidRPr="00543E02">
        <w:rPr>
          <w:rFonts w:ascii="Times New Roman" w:hAnsi="Times New Roman" w:cs="Times New Roman"/>
          <w:i/>
        </w:rPr>
        <w:t xml:space="preserve">Ibid. </w:t>
      </w:r>
    </w:p>
  </w:footnote>
  <w:footnote w:id="5">
    <w:p w:rsidR="002552E3" w:rsidRPr="00543E02" w:rsidRDefault="002552E3" w:rsidP="00FE30F4">
      <w:pPr>
        <w:pStyle w:val="FootnoteText"/>
        <w:rPr>
          <w:rFonts w:ascii="Times New Roman" w:hAnsi="Times New Roman" w:cs="Times New Roman"/>
        </w:rPr>
      </w:pPr>
      <w:r w:rsidRPr="00543E02">
        <w:rPr>
          <w:rStyle w:val="FootnoteReference"/>
          <w:rFonts w:ascii="Times New Roman" w:hAnsi="Times New Roman" w:cs="Times New Roman"/>
        </w:rPr>
        <w:footnoteRef/>
      </w:r>
      <w:r w:rsidRPr="00543E02">
        <w:rPr>
          <w:rFonts w:ascii="Times New Roman" w:hAnsi="Times New Roman" w:cs="Times New Roman"/>
        </w:rPr>
        <w:t xml:space="preserve"> </w:t>
      </w:r>
      <w:r w:rsidR="006C5444" w:rsidRPr="00543E02">
        <w:rPr>
          <w:rFonts w:ascii="Times New Roman" w:hAnsi="Times New Roman" w:cs="Times New Roman"/>
        </w:rPr>
        <w:t xml:space="preserve">Cambridge English Dictionary, Surrender, Available at: </w:t>
      </w:r>
      <w:hyperlink r:id="rId3" w:history="1">
        <w:r w:rsidR="00F95A9B" w:rsidRPr="00543E02">
          <w:rPr>
            <w:rStyle w:val="Hyperlink"/>
            <w:rFonts w:ascii="Times New Roman" w:hAnsi="Times New Roman" w:cs="Times New Roman"/>
            <w:color w:val="auto"/>
          </w:rPr>
          <w:t>http://dictionary.cambridge.org/dictionary/english/surrender</w:t>
        </w:r>
      </w:hyperlink>
      <w:r w:rsidR="006C5444" w:rsidRPr="00543E02">
        <w:rPr>
          <w:rFonts w:ascii="Times New Roman" w:hAnsi="Times New Roman" w:cs="Times New Roman"/>
        </w:rPr>
        <w:t xml:space="preserve"> Accessed on [16.10.2017].</w:t>
      </w:r>
    </w:p>
  </w:footnote>
  <w:footnote w:id="6">
    <w:p w:rsidR="002552E3" w:rsidRPr="00543E02" w:rsidRDefault="002552E3" w:rsidP="00FE30F4">
      <w:pPr>
        <w:pStyle w:val="FootnoteText"/>
        <w:rPr>
          <w:rFonts w:ascii="Times New Roman" w:hAnsi="Times New Roman" w:cs="Times New Roman"/>
        </w:rPr>
      </w:pPr>
      <w:r w:rsidRPr="00543E02">
        <w:rPr>
          <w:rStyle w:val="FootnoteReference"/>
          <w:rFonts w:ascii="Times New Roman" w:hAnsi="Times New Roman" w:cs="Times New Roman"/>
        </w:rPr>
        <w:footnoteRef/>
      </w:r>
      <w:r w:rsidRPr="00543E02">
        <w:rPr>
          <w:rFonts w:ascii="Times New Roman" w:hAnsi="Times New Roman" w:cs="Times New Roman"/>
        </w:rPr>
        <w:t xml:space="preserve"> </w:t>
      </w:r>
      <w:r w:rsidR="00D029D3" w:rsidRPr="00543E02">
        <w:rPr>
          <w:rFonts w:ascii="Times New Roman" w:hAnsi="Times New Roman" w:cs="Times New Roman"/>
        </w:rPr>
        <w:t xml:space="preserve">Internet Archive, Wills from Doctors’ Commons. A selection from the wills of eminent persons proved in the Prerogative Court of Canterbury, 1495-1695, Available on: </w:t>
      </w:r>
      <w:hyperlink r:id="rId4" w:history="1">
        <w:r w:rsidR="00D029D3" w:rsidRPr="00543E02">
          <w:rPr>
            <w:rStyle w:val="Hyperlink"/>
            <w:rFonts w:ascii="Times New Roman" w:hAnsi="Times New Roman" w:cs="Times New Roman"/>
          </w:rPr>
          <w:t>https://archive.org/details/willsfromdoctors00churrich</w:t>
        </w:r>
      </w:hyperlink>
      <w:r w:rsidR="00D029D3" w:rsidRPr="00543E02">
        <w:rPr>
          <w:rFonts w:ascii="Times New Roman" w:hAnsi="Times New Roman" w:cs="Times New Roman"/>
        </w:rPr>
        <w:t xml:space="preserve"> Accessed on [18.10.2017]. </w:t>
      </w:r>
    </w:p>
  </w:footnote>
  <w:footnote w:id="7">
    <w:p w:rsidR="002552E3" w:rsidRPr="00543E02" w:rsidRDefault="002552E3" w:rsidP="00FE30F4">
      <w:pPr>
        <w:pStyle w:val="FootnoteText"/>
        <w:rPr>
          <w:rFonts w:ascii="Times New Roman" w:hAnsi="Times New Roman" w:cs="Times New Roman"/>
        </w:rPr>
      </w:pPr>
      <w:r w:rsidRPr="00543E02">
        <w:rPr>
          <w:rStyle w:val="FootnoteReference"/>
          <w:rFonts w:ascii="Times New Roman" w:hAnsi="Times New Roman" w:cs="Times New Roman"/>
        </w:rPr>
        <w:footnoteRef/>
      </w:r>
      <w:r w:rsidRPr="00543E02">
        <w:rPr>
          <w:rFonts w:ascii="Times New Roman" w:hAnsi="Times New Roman" w:cs="Times New Roman"/>
        </w:rPr>
        <w:t xml:space="preserve"> </w:t>
      </w:r>
      <w:r w:rsidR="00FE30F4" w:rsidRPr="00543E02">
        <w:rPr>
          <w:rFonts w:ascii="Times New Roman" w:hAnsi="Times New Roman" w:cs="Times New Roman"/>
        </w:rPr>
        <w:t xml:space="preserve">C. Lee, </w:t>
      </w:r>
      <w:r w:rsidR="00FE30F4" w:rsidRPr="00543E02">
        <w:rPr>
          <w:rFonts w:ascii="Times New Roman" w:hAnsi="Times New Roman" w:cs="Times New Roman"/>
          <w:i/>
        </w:rPr>
        <w:t>This Sceptred Isle: The Making of the British</w:t>
      </w:r>
      <w:r w:rsidR="00FE30F4" w:rsidRPr="00543E02">
        <w:rPr>
          <w:rFonts w:ascii="Times New Roman" w:hAnsi="Times New Roman" w:cs="Times New Roman"/>
        </w:rPr>
        <w:t xml:space="preserve"> (London: Constable and Robinson Ltd, 2012), p. 159.</w:t>
      </w:r>
    </w:p>
  </w:footnote>
  <w:footnote w:id="8">
    <w:p w:rsidR="002552E3" w:rsidRPr="00543E02" w:rsidRDefault="002552E3" w:rsidP="00FE30F4">
      <w:pPr>
        <w:pStyle w:val="FootnoteText"/>
        <w:rPr>
          <w:rFonts w:ascii="Times New Roman" w:hAnsi="Times New Roman" w:cs="Times New Roman"/>
        </w:rPr>
      </w:pPr>
      <w:r w:rsidRPr="00543E02">
        <w:rPr>
          <w:rStyle w:val="FootnoteReference"/>
          <w:rFonts w:ascii="Times New Roman" w:hAnsi="Times New Roman" w:cs="Times New Roman"/>
        </w:rPr>
        <w:footnoteRef/>
      </w:r>
      <w:r w:rsidRPr="00543E02">
        <w:rPr>
          <w:rFonts w:ascii="Times New Roman" w:hAnsi="Times New Roman" w:cs="Times New Roman"/>
        </w:rPr>
        <w:t xml:space="preserve"> </w:t>
      </w:r>
      <w:r w:rsidR="00D029D3" w:rsidRPr="00543E02">
        <w:rPr>
          <w:rFonts w:ascii="Times New Roman" w:hAnsi="Times New Roman" w:cs="Times New Roman"/>
        </w:rPr>
        <w:t xml:space="preserve">Internet Archive, Wills from Doctors’ Commons. A selection from the wills of eminent persons proved in the Prerogative Court of Canterbury, 1495-1695, Available on: </w:t>
      </w:r>
      <w:hyperlink r:id="rId5" w:history="1">
        <w:r w:rsidR="00D029D3" w:rsidRPr="00543E02">
          <w:rPr>
            <w:rStyle w:val="Hyperlink"/>
            <w:rFonts w:ascii="Times New Roman" w:hAnsi="Times New Roman" w:cs="Times New Roman"/>
          </w:rPr>
          <w:t>https://archive.org/details/willsfromdoctors00churrich</w:t>
        </w:r>
      </w:hyperlink>
      <w:r w:rsidR="00D029D3" w:rsidRPr="00543E02">
        <w:rPr>
          <w:rFonts w:ascii="Times New Roman" w:hAnsi="Times New Roman" w:cs="Times New Roman"/>
        </w:rPr>
        <w:t xml:space="preserve"> Accessed on [18.10.2017]. </w:t>
      </w:r>
    </w:p>
  </w:footnote>
  <w:footnote w:id="9">
    <w:p w:rsidR="002552E3" w:rsidRPr="00543E02" w:rsidRDefault="002552E3" w:rsidP="00FE30F4">
      <w:pPr>
        <w:pStyle w:val="FootnoteText"/>
        <w:rPr>
          <w:rFonts w:ascii="Times New Roman" w:hAnsi="Times New Roman" w:cs="Times New Roman"/>
        </w:rPr>
      </w:pPr>
      <w:r w:rsidRPr="00543E02">
        <w:rPr>
          <w:rStyle w:val="FootnoteReference"/>
          <w:rFonts w:ascii="Times New Roman" w:hAnsi="Times New Roman" w:cs="Times New Roman"/>
        </w:rPr>
        <w:footnoteRef/>
      </w:r>
      <w:r w:rsidRPr="00543E02">
        <w:rPr>
          <w:rFonts w:ascii="Times New Roman" w:hAnsi="Times New Roman" w:cs="Times New Roman"/>
        </w:rPr>
        <w:t xml:space="preserve"> </w:t>
      </w:r>
      <w:r w:rsidR="00D029D3" w:rsidRPr="00543E02">
        <w:rPr>
          <w:rFonts w:ascii="Times New Roman" w:hAnsi="Times New Roman" w:cs="Times New Roman"/>
          <w:i/>
        </w:rPr>
        <w:t>Ibid.</w:t>
      </w:r>
    </w:p>
  </w:footnote>
  <w:footnote w:id="10">
    <w:p w:rsidR="002552E3" w:rsidRPr="00543E02" w:rsidRDefault="002552E3" w:rsidP="00FE30F4">
      <w:pPr>
        <w:pStyle w:val="FootnoteText"/>
        <w:rPr>
          <w:rFonts w:ascii="Times New Roman" w:hAnsi="Times New Roman" w:cs="Times New Roman"/>
        </w:rPr>
      </w:pPr>
      <w:r w:rsidRPr="00543E02">
        <w:rPr>
          <w:rStyle w:val="FootnoteReference"/>
          <w:rFonts w:ascii="Times New Roman" w:hAnsi="Times New Roman" w:cs="Times New Roman"/>
        </w:rPr>
        <w:footnoteRef/>
      </w:r>
      <w:r w:rsidRPr="00543E02">
        <w:rPr>
          <w:rFonts w:ascii="Times New Roman" w:hAnsi="Times New Roman" w:cs="Times New Roman"/>
        </w:rPr>
        <w:t xml:space="preserve"> </w:t>
      </w:r>
      <w:r w:rsidR="00D029D3" w:rsidRPr="00543E02">
        <w:rPr>
          <w:rFonts w:ascii="Times New Roman" w:hAnsi="Times New Roman" w:cs="Times New Roman"/>
        </w:rPr>
        <w:t xml:space="preserve">Internet Archive, Wills from Doctors’ Commons. A selection from the wills of eminent persons proved in the Prerogative Court of Canterbury, 1495-1695, Available on: </w:t>
      </w:r>
      <w:hyperlink r:id="rId6" w:history="1">
        <w:r w:rsidR="00D029D3" w:rsidRPr="00543E02">
          <w:rPr>
            <w:rStyle w:val="Hyperlink"/>
            <w:rFonts w:ascii="Times New Roman" w:hAnsi="Times New Roman" w:cs="Times New Roman"/>
          </w:rPr>
          <w:t>https://archive.org/details/willsfromdoctors00churrich</w:t>
        </w:r>
      </w:hyperlink>
      <w:r w:rsidR="00D029D3" w:rsidRPr="00543E02">
        <w:rPr>
          <w:rFonts w:ascii="Times New Roman" w:hAnsi="Times New Roman" w:cs="Times New Roman"/>
        </w:rPr>
        <w:t xml:space="preserve"> Accessed on [18.10.2017]. </w:t>
      </w:r>
    </w:p>
  </w:footnote>
  <w:footnote w:id="11">
    <w:p w:rsidR="002552E3" w:rsidRPr="00543E02" w:rsidRDefault="002552E3" w:rsidP="00FE30F4">
      <w:pPr>
        <w:pStyle w:val="FootnoteText"/>
        <w:rPr>
          <w:rFonts w:ascii="Times New Roman" w:hAnsi="Times New Roman" w:cs="Times New Roman"/>
        </w:rPr>
      </w:pPr>
      <w:r w:rsidRPr="00543E02">
        <w:rPr>
          <w:rStyle w:val="FootnoteReference"/>
          <w:rFonts w:ascii="Times New Roman" w:hAnsi="Times New Roman" w:cs="Times New Roman"/>
        </w:rPr>
        <w:footnoteRef/>
      </w:r>
      <w:r w:rsidRPr="00543E02">
        <w:rPr>
          <w:rFonts w:ascii="Times New Roman" w:hAnsi="Times New Roman" w:cs="Times New Roman"/>
        </w:rPr>
        <w:t xml:space="preserve"> </w:t>
      </w:r>
      <w:r w:rsidR="00D029D3" w:rsidRPr="00543E02">
        <w:rPr>
          <w:rFonts w:ascii="Times New Roman" w:hAnsi="Times New Roman" w:cs="Times New Roman"/>
          <w:i/>
        </w:rPr>
        <w:t>Ibid.</w:t>
      </w:r>
    </w:p>
  </w:footnote>
  <w:footnote w:id="12">
    <w:p w:rsidR="002552E3" w:rsidRPr="00543E02" w:rsidRDefault="002552E3" w:rsidP="00FE30F4">
      <w:pPr>
        <w:pStyle w:val="FootnoteText"/>
        <w:rPr>
          <w:rFonts w:ascii="Times New Roman" w:hAnsi="Times New Roman" w:cs="Times New Roman"/>
        </w:rPr>
      </w:pPr>
      <w:r w:rsidRPr="00543E02">
        <w:rPr>
          <w:rStyle w:val="FootnoteReference"/>
          <w:rFonts w:ascii="Times New Roman" w:hAnsi="Times New Roman" w:cs="Times New Roman"/>
        </w:rPr>
        <w:footnoteRef/>
      </w:r>
      <w:r w:rsidRPr="00543E02">
        <w:rPr>
          <w:rFonts w:ascii="Times New Roman" w:hAnsi="Times New Roman" w:cs="Times New Roman"/>
        </w:rPr>
        <w:t xml:space="preserve"> </w:t>
      </w:r>
      <w:r w:rsidR="006C5444" w:rsidRPr="00543E02">
        <w:rPr>
          <w:rFonts w:ascii="Times New Roman" w:hAnsi="Times New Roman" w:cs="Times New Roman"/>
        </w:rPr>
        <w:t xml:space="preserve">The Oxford Dictionary of National Biography, Edward of Warwick, Available on:  </w:t>
      </w:r>
      <w:hyperlink r:id="rId7" w:history="1">
        <w:r w:rsidR="00A64FA0" w:rsidRPr="00543E02">
          <w:rPr>
            <w:rStyle w:val="Hyperlink"/>
            <w:rFonts w:ascii="Times New Roman" w:hAnsi="Times New Roman" w:cs="Times New Roman"/>
            <w:color w:val="auto"/>
          </w:rPr>
          <w:t>http://www.oxforddnb.com/view/artic</w:t>
        </w:r>
        <w:r w:rsidR="00A64FA0" w:rsidRPr="00543E02">
          <w:rPr>
            <w:rStyle w:val="Hyperlink"/>
            <w:rFonts w:ascii="Times New Roman" w:hAnsi="Times New Roman" w:cs="Times New Roman"/>
            <w:color w:val="auto"/>
          </w:rPr>
          <w:t>l</w:t>
        </w:r>
        <w:r w:rsidR="00A64FA0" w:rsidRPr="00543E02">
          <w:rPr>
            <w:rStyle w:val="Hyperlink"/>
            <w:rFonts w:ascii="Times New Roman" w:hAnsi="Times New Roman" w:cs="Times New Roman"/>
            <w:color w:val="auto"/>
          </w:rPr>
          <w:t>e/8525?docPos=2</w:t>
        </w:r>
      </w:hyperlink>
      <w:r w:rsidR="00A64FA0" w:rsidRPr="00543E02">
        <w:rPr>
          <w:rFonts w:ascii="Times New Roman" w:hAnsi="Times New Roman" w:cs="Times New Roman"/>
        </w:rPr>
        <w:t xml:space="preserve"> </w:t>
      </w:r>
      <w:r w:rsidR="006C5444" w:rsidRPr="00543E02">
        <w:rPr>
          <w:rFonts w:ascii="Times New Roman" w:hAnsi="Times New Roman" w:cs="Times New Roman"/>
        </w:rPr>
        <w:t xml:space="preserve">Accessed </w:t>
      </w:r>
      <w:r w:rsidR="00C6055A" w:rsidRPr="00543E02">
        <w:rPr>
          <w:rFonts w:ascii="Times New Roman" w:hAnsi="Times New Roman" w:cs="Times New Roman"/>
        </w:rPr>
        <w:t>on [16.10.2017].</w:t>
      </w:r>
    </w:p>
  </w:footnote>
  <w:footnote w:id="13">
    <w:p w:rsidR="002552E3" w:rsidRPr="00543E02" w:rsidRDefault="002552E3" w:rsidP="00FE30F4">
      <w:pPr>
        <w:pStyle w:val="FootnoteText"/>
        <w:rPr>
          <w:rFonts w:ascii="Times New Roman" w:hAnsi="Times New Roman" w:cs="Times New Roman"/>
        </w:rPr>
      </w:pPr>
      <w:r w:rsidRPr="00543E02">
        <w:rPr>
          <w:rStyle w:val="FootnoteReference"/>
          <w:rFonts w:ascii="Times New Roman" w:hAnsi="Times New Roman" w:cs="Times New Roman"/>
        </w:rPr>
        <w:footnoteRef/>
      </w:r>
      <w:r w:rsidRPr="00543E02">
        <w:rPr>
          <w:rFonts w:ascii="Times New Roman" w:hAnsi="Times New Roman" w:cs="Times New Roman"/>
        </w:rPr>
        <w:t xml:space="preserve"> </w:t>
      </w:r>
      <w:r w:rsidR="00D029D3" w:rsidRPr="00543E02">
        <w:rPr>
          <w:rFonts w:ascii="Times New Roman" w:hAnsi="Times New Roman" w:cs="Times New Roman"/>
        </w:rPr>
        <w:t xml:space="preserve">Internet Archive, Wills from Doctors’ Commons. A selection from the wills of eminent persons proved in the Prerogative Court of Canterbury, 1495-1695, Available on: </w:t>
      </w:r>
      <w:hyperlink r:id="rId8" w:history="1">
        <w:r w:rsidR="00D029D3" w:rsidRPr="00543E02">
          <w:rPr>
            <w:rStyle w:val="Hyperlink"/>
            <w:rFonts w:ascii="Times New Roman" w:hAnsi="Times New Roman" w:cs="Times New Roman"/>
          </w:rPr>
          <w:t>https://archive.org/details/willsfromdoctors00churrich</w:t>
        </w:r>
      </w:hyperlink>
      <w:r w:rsidR="00D029D3" w:rsidRPr="00543E02">
        <w:rPr>
          <w:rFonts w:ascii="Times New Roman" w:hAnsi="Times New Roman" w:cs="Times New Roman"/>
        </w:rPr>
        <w:t xml:space="preserve"> Accessed on [18.10.2017]. </w:t>
      </w:r>
    </w:p>
  </w:footnote>
  <w:footnote w:id="14">
    <w:p w:rsidR="002552E3" w:rsidRPr="00543E02" w:rsidRDefault="002552E3" w:rsidP="00FE30F4">
      <w:pPr>
        <w:pStyle w:val="FootnoteText"/>
        <w:rPr>
          <w:rFonts w:ascii="Times New Roman" w:hAnsi="Times New Roman" w:cs="Times New Roman"/>
        </w:rPr>
      </w:pPr>
      <w:r w:rsidRPr="00543E02">
        <w:rPr>
          <w:rStyle w:val="FootnoteReference"/>
          <w:rFonts w:ascii="Times New Roman" w:hAnsi="Times New Roman" w:cs="Times New Roman"/>
        </w:rPr>
        <w:footnoteRef/>
      </w:r>
      <w:r w:rsidRPr="00543E02">
        <w:rPr>
          <w:rFonts w:ascii="Times New Roman" w:hAnsi="Times New Roman" w:cs="Times New Roman"/>
        </w:rPr>
        <w:t xml:space="preserve"> </w:t>
      </w:r>
      <w:r w:rsidR="00D029D3" w:rsidRPr="00543E02">
        <w:rPr>
          <w:rFonts w:ascii="Times New Roman" w:hAnsi="Times New Roman" w:cs="Times New Roman"/>
          <w:i/>
        </w:rPr>
        <w:t>Ibid.</w:t>
      </w:r>
    </w:p>
  </w:footnote>
  <w:footnote w:id="15">
    <w:p w:rsidR="00C6055A" w:rsidRPr="00543E02" w:rsidRDefault="00C6055A" w:rsidP="00FE30F4">
      <w:pPr>
        <w:pStyle w:val="FootnoteText"/>
        <w:rPr>
          <w:rFonts w:ascii="Times New Roman" w:hAnsi="Times New Roman" w:cs="Times New Roman"/>
        </w:rPr>
      </w:pPr>
      <w:r w:rsidRPr="00543E02">
        <w:rPr>
          <w:rStyle w:val="FootnoteReference"/>
          <w:rFonts w:ascii="Times New Roman" w:hAnsi="Times New Roman" w:cs="Times New Roman"/>
        </w:rPr>
        <w:footnoteRef/>
      </w:r>
      <w:r w:rsidRPr="00543E02">
        <w:rPr>
          <w:rFonts w:ascii="Times New Roman" w:hAnsi="Times New Roman" w:cs="Times New Roman"/>
        </w:rPr>
        <w:t xml:space="preserve"> </w:t>
      </w:r>
      <w:r w:rsidR="00D029D3" w:rsidRPr="00543E02">
        <w:rPr>
          <w:rFonts w:ascii="Times New Roman" w:hAnsi="Times New Roman" w:cs="Times New Roman"/>
        </w:rPr>
        <w:t xml:space="preserve">R. Westerfelhaus, </w:t>
      </w:r>
      <w:r w:rsidR="00543E02" w:rsidRPr="00543E02">
        <w:rPr>
          <w:rFonts w:ascii="Times New Roman" w:hAnsi="Times New Roman" w:cs="Times New Roman"/>
        </w:rPr>
        <w:t xml:space="preserve">‘She Speaks to Us, for Us, and of Us: Our Lady of Guadalupe as a Semiotic Site of Struggle and Identity’, in </w:t>
      </w:r>
      <w:r w:rsidR="00543E02" w:rsidRPr="00543E02">
        <w:rPr>
          <w:rFonts w:ascii="Times New Roman" w:hAnsi="Times New Roman" w:cs="Times New Roman"/>
          <w:i/>
        </w:rPr>
        <w:t xml:space="preserve">Communicating Ethnic and Cultural Identity </w:t>
      </w:r>
      <w:r w:rsidR="00543E02" w:rsidRPr="00543E02">
        <w:rPr>
          <w:rFonts w:ascii="Times New Roman" w:hAnsi="Times New Roman" w:cs="Times New Roman"/>
        </w:rPr>
        <w:t>ed. R. Chuang and M. Fong (Lanham: Rowman and Littlefield Publishers Inc., 2004), pp. 105 – 121, p. 114.</w:t>
      </w:r>
    </w:p>
  </w:footnote>
  <w:footnote w:id="16">
    <w:p w:rsidR="002552E3" w:rsidRPr="00543E02" w:rsidRDefault="002552E3" w:rsidP="00FE30F4">
      <w:pPr>
        <w:pStyle w:val="FootnoteText"/>
        <w:rPr>
          <w:rFonts w:ascii="Times New Roman" w:hAnsi="Times New Roman" w:cs="Times New Roman"/>
        </w:rPr>
      </w:pPr>
      <w:r w:rsidRPr="00543E02">
        <w:rPr>
          <w:rStyle w:val="FootnoteReference"/>
          <w:rFonts w:ascii="Times New Roman" w:hAnsi="Times New Roman" w:cs="Times New Roman"/>
        </w:rPr>
        <w:footnoteRef/>
      </w:r>
      <w:r w:rsidRPr="00543E02">
        <w:rPr>
          <w:rFonts w:ascii="Times New Roman" w:hAnsi="Times New Roman" w:cs="Times New Roman"/>
        </w:rPr>
        <w:t xml:space="preserve"> </w:t>
      </w:r>
      <w:r w:rsidR="00D029D3" w:rsidRPr="00543E02">
        <w:rPr>
          <w:rFonts w:ascii="Times New Roman" w:hAnsi="Times New Roman" w:cs="Times New Roman"/>
        </w:rPr>
        <w:t xml:space="preserve">Internet Archive, Wills from Doctors’ Commons. A selection from the wills of eminent persons proved in the Prerogative Court of Canterbury, 1495-1695, Available on: </w:t>
      </w:r>
      <w:hyperlink r:id="rId9" w:history="1">
        <w:r w:rsidR="00D029D3" w:rsidRPr="00543E02">
          <w:rPr>
            <w:rStyle w:val="Hyperlink"/>
            <w:rFonts w:ascii="Times New Roman" w:hAnsi="Times New Roman" w:cs="Times New Roman"/>
          </w:rPr>
          <w:t>https://archive.org/details/willsfromdoctors00churrich</w:t>
        </w:r>
      </w:hyperlink>
      <w:r w:rsidR="00D029D3" w:rsidRPr="00543E02">
        <w:rPr>
          <w:rFonts w:ascii="Times New Roman" w:hAnsi="Times New Roman" w:cs="Times New Roman"/>
        </w:rPr>
        <w:t xml:space="preserve"> Accessed on [18.10.2017]. </w:t>
      </w:r>
    </w:p>
  </w:footnote>
  <w:footnote w:id="17">
    <w:p w:rsidR="002552E3" w:rsidRPr="00543E02" w:rsidRDefault="002552E3" w:rsidP="00FE30F4">
      <w:pPr>
        <w:pStyle w:val="FootnoteText"/>
        <w:rPr>
          <w:rFonts w:ascii="Times New Roman" w:hAnsi="Times New Roman" w:cs="Times New Roman"/>
        </w:rPr>
      </w:pPr>
      <w:r w:rsidRPr="00543E02">
        <w:rPr>
          <w:rStyle w:val="FootnoteReference"/>
          <w:rFonts w:ascii="Times New Roman" w:hAnsi="Times New Roman" w:cs="Times New Roman"/>
        </w:rPr>
        <w:footnoteRef/>
      </w:r>
      <w:r w:rsidRPr="00543E02">
        <w:rPr>
          <w:rFonts w:ascii="Times New Roman" w:hAnsi="Times New Roman" w:cs="Times New Roman"/>
        </w:rPr>
        <w:t xml:space="preserve"> </w:t>
      </w:r>
      <w:r w:rsidR="00FE30F4" w:rsidRPr="00543E02">
        <w:rPr>
          <w:rFonts w:ascii="Times New Roman" w:hAnsi="Times New Roman" w:cs="Times New Roman"/>
        </w:rPr>
        <w:t xml:space="preserve">The Shakespeare Birthplace Trust, The Second Best Bed, Available on: </w:t>
      </w:r>
      <w:hyperlink r:id="rId10" w:history="1">
        <w:r w:rsidR="00F95A9B" w:rsidRPr="00543E02">
          <w:rPr>
            <w:rStyle w:val="Hyperlink"/>
            <w:rFonts w:ascii="Times New Roman" w:hAnsi="Times New Roman" w:cs="Times New Roman"/>
            <w:color w:val="auto"/>
          </w:rPr>
          <w:t>https://www.shakespeare.org.uk/explore-shakespeare/blogs/second-best-bed/</w:t>
        </w:r>
      </w:hyperlink>
      <w:r w:rsidR="00FE30F4" w:rsidRPr="00543E02">
        <w:rPr>
          <w:rFonts w:ascii="Times New Roman" w:hAnsi="Times New Roman" w:cs="Times New Roman"/>
        </w:rPr>
        <w:t xml:space="preserve"> Accessed on [16.10.2017].</w:t>
      </w:r>
      <w:r w:rsidR="00F95A9B" w:rsidRPr="00543E02">
        <w:rPr>
          <w:rFonts w:ascii="Times New Roman" w:hAnsi="Times New Roman" w:cs="Times New Roman"/>
        </w:rPr>
        <w:t xml:space="preserve"> </w:t>
      </w:r>
    </w:p>
  </w:footnote>
  <w:footnote w:id="18">
    <w:p w:rsidR="002552E3" w:rsidRPr="00543E02" w:rsidRDefault="002552E3" w:rsidP="00FE30F4">
      <w:pPr>
        <w:pStyle w:val="FootnoteText"/>
        <w:rPr>
          <w:rFonts w:ascii="Times New Roman" w:hAnsi="Times New Roman" w:cs="Times New Roman"/>
        </w:rPr>
      </w:pPr>
      <w:r w:rsidRPr="00543E02">
        <w:rPr>
          <w:rStyle w:val="FootnoteReference"/>
          <w:rFonts w:ascii="Times New Roman" w:hAnsi="Times New Roman" w:cs="Times New Roman"/>
        </w:rPr>
        <w:footnoteRef/>
      </w:r>
      <w:r w:rsidRPr="00543E02">
        <w:rPr>
          <w:rFonts w:ascii="Times New Roman" w:hAnsi="Times New Roman" w:cs="Times New Roman"/>
        </w:rPr>
        <w:t xml:space="preserve"> </w:t>
      </w:r>
      <w:r w:rsidR="00D029D3" w:rsidRPr="00543E02">
        <w:rPr>
          <w:rFonts w:ascii="Times New Roman" w:hAnsi="Times New Roman" w:cs="Times New Roman"/>
        </w:rPr>
        <w:t xml:space="preserve">Internet Archive, Wills from Doctors’ Commons. A selection from the wills of eminent persons proved in the Prerogative Court of Canterbury, 1495-1695, Available on: </w:t>
      </w:r>
      <w:hyperlink r:id="rId11" w:history="1">
        <w:r w:rsidR="00D029D3" w:rsidRPr="00543E02">
          <w:rPr>
            <w:rStyle w:val="Hyperlink"/>
            <w:rFonts w:ascii="Times New Roman" w:hAnsi="Times New Roman" w:cs="Times New Roman"/>
          </w:rPr>
          <w:t>https://archive.org/details/willsfromdoctors00churrich</w:t>
        </w:r>
      </w:hyperlink>
      <w:r w:rsidR="00D029D3" w:rsidRPr="00543E02">
        <w:rPr>
          <w:rFonts w:ascii="Times New Roman" w:hAnsi="Times New Roman" w:cs="Times New Roman"/>
        </w:rPr>
        <w:t xml:space="preserve"> Accessed on [18.10.2017]. </w:t>
      </w:r>
    </w:p>
  </w:footnote>
  <w:footnote w:id="19">
    <w:p w:rsidR="002552E3" w:rsidRPr="00543E02" w:rsidRDefault="002552E3" w:rsidP="00FE30F4">
      <w:pPr>
        <w:pStyle w:val="FootnoteText"/>
        <w:rPr>
          <w:rFonts w:ascii="Times New Roman" w:hAnsi="Times New Roman" w:cs="Times New Roman"/>
        </w:rPr>
      </w:pPr>
      <w:r w:rsidRPr="00543E02">
        <w:rPr>
          <w:rStyle w:val="FootnoteReference"/>
          <w:rFonts w:ascii="Times New Roman" w:hAnsi="Times New Roman" w:cs="Times New Roman"/>
        </w:rPr>
        <w:footnoteRef/>
      </w:r>
      <w:r w:rsidRPr="00543E02">
        <w:rPr>
          <w:rFonts w:ascii="Times New Roman" w:hAnsi="Times New Roman" w:cs="Times New Roman"/>
        </w:rPr>
        <w:t xml:space="preserve"> </w:t>
      </w:r>
      <w:r w:rsidR="00FE30F4" w:rsidRPr="00543E02">
        <w:rPr>
          <w:rFonts w:ascii="Times New Roman" w:hAnsi="Times New Roman" w:cs="Times New Roman"/>
        </w:rPr>
        <w:t xml:space="preserve">Reviews in History, Arthur Tudor, Prince of Wales: Life, Death and Commemoration, Available on: </w:t>
      </w:r>
      <w:hyperlink r:id="rId12" w:history="1">
        <w:r w:rsidR="00A64FA0" w:rsidRPr="00543E02">
          <w:rPr>
            <w:rStyle w:val="Hyperlink"/>
            <w:rFonts w:ascii="Times New Roman" w:hAnsi="Times New Roman" w:cs="Times New Roman"/>
            <w:color w:val="auto"/>
          </w:rPr>
          <w:t>http://www.history.ac.uk/reviews/review/1006</w:t>
        </w:r>
      </w:hyperlink>
      <w:r w:rsidR="00A64FA0" w:rsidRPr="00543E02">
        <w:rPr>
          <w:rFonts w:ascii="Times New Roman" w:hAnsi="Times New Roman" w:cs="Times New Roman"/>
        </w:rPr>
        <w:t xml:space="preserve"> </w:t>
      </w:r>
      <w:r w:rsidR="00FE30F4" w:rsidRPr="00543E02">
        <w:rPr>
          <w:rFonts w:ascii="Times New Roman" w:hAnsi="Times New Roman" w:cs="Times New Roman"/>
        </w:rPr>
        <w:t>Accessed on [16.10.2017].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4C26" w:rsidRDefault="00F04C26" w:rsidP="00F04C26">
    <w:pPr>
      <w:pStyle w:val="Header"/>
      <w:jc w:val="right"/>
    </w:pPr>
    <w:r>
      <w:t>Thomas J. Dobson (1500215)</w:t>
    </w:r>
  </w:p>
  <w:p w:rsidR="00F04C26" w:rsidRDefault="00F04C26" w:rsidP="00F04C26">
    <w:pPr>
      <w:pStyle w:val="Header"/>
      <w:jc w:val="right"/>
    </w:pPr>
    <w:r>
      <w:t xml:space="preserve">Death and Dying: </w:t>
    </w:r>
    <w:r w:rsidR="004C3FAE">
      <w:t>The</w:t>
    </w:r>
    <w:r>
      <w:t xml:space="preserve"> Macabre in the Late Middle Ages Portfolio – Portfolio</w:t>
    </w:r>
  </w:p>
  <w:p w:rsidR="00F04C26" w:rsidRDefault="00F04C26" w:rsidP="00F04C26">
    <w:pPr>
      <w:pStyle w:val="Header"/>
      <w:jc w:val="right"/>
    </w:pPr>
    <w:r>
      <w:t>Part 1 due 20 October 2017</w:t>
    </w:r>
  </w:p>
  <w:p w:rsidR="004C3FAE" w:rsidRPr="00F15B70" w:rsidRDefault="004C3FAE" w:rsidP="00F15B70">
    <w:pPr>
      <w:rPr>
        <w:rFonts w:ascii="Times New Roman" w:hAnsi="Times New Roman" w:cs="Times New Roman"/>
        <w:color w:val="0070C0"/>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4C26"/>
    <w:rsid w:val="000A3771"/>
    <w:rsid w:val="000E59D0"/>
    <w:rsid w:val="001C7A43"/>
    <w:rsid w:val="002552E3"/>
    <w:rsid w:val="00425B79"/>
    <w:rsid w:val="004B662E"/>
    <w:rsid w:val="004C3FAE"/>
    <w:rsid w:val="004F1237"/>
    <w:rsid w:val="00543E02"/>
    <w:rsid w:val="005B0AF9"/>
    <w:rsid w:val="006C5444"/>
    <w:rsid w:val="00757D07"/>
    <w:rsid w:val="0077509E"/>
    <w:rsid w:val="007E5D23"/>
    <w:rsid w:val="008C3A30"/>
    <w:rsid w:val="008E487E"/>
    <w:rsid w:val="008F2169"/>
    <w:rsid w:val="00907367"/>
    <w:rsid w:val="00A64FA0"/>
    <w:rsid w:val="00AB6ED9"/>
    <w:rsid w:val="00AC3723"/>
    <w:rsid w:val="00AD01EE"/>
    <w:rsid w:val="00AF6A77"/>
    <w:rsid w:val="00C12C30"/>
    <w:rsid w:val="00C33709"/>
    <w:rsid w:val="00C6055A"/>
    <w:rsid w:val="00D029D3"/>
    <w:rsid w:val="00D334CF"/>
    <w:rsid w:val="00D609B9"/>
    <w:rsid w:val="00D73D5B"/>
    <w:rsid w:val="00ED08DB"/>
    <w:rsid w:val="00F04C26"/>
    <w:rsid w:val="00F07EFF"/>
    <w:rsid w:val="00F15B70"/>
    <w:rsid w:val="00F95A9B"/>
    <w:rsid w:val="00FE30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66C601"/>
  <w15:chartTrackingRefBased/>
  <w15:docId w15:val="{FFDD0F32-B1FE-423C-9774-BDD8A527F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D029D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4C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4C26"/>
  </w:style>
  <w:style w:type="paragraph" w:styleId="Footer">
    <w:name w:val="footer"/>
    <w:basedOn w:val="Normal"/>
    <w:link w:val="FooterChar"/>
    <w:uiPriority w:val="99"/>
    <w:unhideWhenUsed/>
    <w:rsid w:val="00F04C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4C26"/>
  </w:style>
  <w:style w:type="paragraph" w:styleId="FootnoteText">
    <w:name w:val="footnote text"/>
    <w:basedOn w:val="Normal"/>
    <w:link w:val="FootnoteTextChar"/>
    <w:uiPriority w:val="99"/>
    <w:unhideWhenUsed/>
    <w:rsid w:val="002552E3"/>
    <w:pPr>
      <w:spacing w:after="0" w:line="240" w:lineRule="auto"/>
    </w:pPr>
    <w:rPr>
      <w:sz w:val="20"/>
      <w:szCs w:val="20"/>
    </w:rPr>
  </w:style>
  <w:style w:type="character" w:customStyle="1" w:styleId="FootnoteTextChar">
    <w:name w:val="Footnote Text Char"/>
    <w:basedOn w:val="DefaultParagraphFont"/>
    <w:link w:val="FootnoteText"/>
    <w:uiPriority w:val="99"/>
    <w:rsid w:val="002552E3"/>
    <w:rPr>
      <w:sz w:val="20"/>
      <w:szCs w:val="20"/>
    </w:rPr>
  </w:style>
  <w:style w:type="character" w:styleId="FootnoteReference">
    <w:name w:val="footnote reference"/>
    <w:basedOn w:val="DefaultParagraphFont"/>
    <w:uiPriority w:val="99"/>
    <w:semiHidden/>
    <w:unhideWhenUsed/>
    <w:rsid w:val="002552E3"/>
    <w:rPr>
      <w:vertAlign w:val="superscript"/>
    </w:rPr>
  </w:style>
  <w:style w:type="character" w:styleId="Hyperlink">
    <w:name w:val="Hyperlink"/>
    <w:basedOn w:val="DefaultParagraphFont"/>
    <w:uiPriority w:val="99"/>
    <w:unhideWhenUsed/>
    <w:rsid w:val="00F95A9B"/>
    <w:rPr>
      <w:color w:val="0563C1" w:themeColor="hyperlink"/>
      <w:u w:val="single"/>
    </w:rPr>
  </w:style>
  <w:style w:type="character" w:styleId="UnresolvedMention">
    <w:name w:val="Unresolved Mention"/>
    <w:basedOn w:val="DefaultParagraphFont"/>
    <w:uiPriority w:val="99"/>
    <w:semiHidden/>
    <w:unhideWhenUsed/>
    <w:rsid w:val="00F95A9B"/>
    <w:rPr>
      <w:color w:val="808080"/>
      <w:shd w:val="clear" w:color="auto" w:fill="E6E6E6"/>
    </w:rPr>
  </w:style>
  <w:style w:type="character" w:styleId="FollowedHyperlink">
    <w:name w:val="FollowedHyperlink"/>
    <w:basedOn w:val="DefaultParagraphFont"/>
    <w:uiPriority w:val="99"/>
    <w:semiHidden/>
    <w:unhideWhenUsed/>
    <w:rsid w:val="00D334CF"/>
    <w:rPr>
      <w:color w:val="954F72" w:themeColor="followedHyperlink"/>
      <w:u w:val="single"/>
    </w:rPr>
  </w:style>
  <w:style w:type="character" w:customStyle="1" w:styleId="Heading1Char">
    <w:name w:val="Heading 1 Char"/>
    <w:basedOn w:val="DefaultParagraphFont"/>
    <w:link w:val="Heading1"/>
    <w:uiPriority w:val="9"/>
    <w:rsid w:val="00D029D3"/>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279846">
      <w:bodyDiv w:val="1"/>
      <w:marLeft w:val="0"/>
      <w:marRight w:val="0"/>
      <w:marTop w:val="0"/>
      <w:marBottom w:val="0"/>
      <w:divBdr>
        <w:top w:val="none" w:sz="0" w:space="0" w:color="auto"/>
        <w:left w:val="none" w:sz="0" w:space="0" w:color="auto"/>
        <w:bottom w:val="none" w:sz="0" w:space="0" w:color="auto"/>
        <w:right w:val="none" w:sz="0" w:space="0" w:color="auto"/>
      </w:divBdr>
    </w:div>
    <w:div w:id="1815366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familyrecords.dur.ac.uk/nei/NEI_wills_and_testaments.pdf"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archive.org/details/willsfromdoctors00churrich" TargetMode="External"/><Relationship Id="rId12" Type="http://schemas.openxmlformats.org/officeDocument/2006/relationships/hyperlink" Target="http://www.history.ac.uk/reviews/review/1006"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hakespeare.org.uk/explore-shakespeare/blogs/second-best-be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oxforddnb.com/view/article/8525?docPos=2" TargetMode="External"/><Relationship Id="rId4" Type="http://schemas.openxmlformats.org/officeDocument/2006/relationships/webSettings" Target="webSettings.xml"/><Relationship Id="rId9" Type="http://schemas.openxmlformats.org/officeDocument/2006/relationships/hyperlink" Target="http://dictionary.cambridge.org/dictionary/english/surrender"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archive.org/details/willsfromdoctors00churrich" TargetMode="External"/><Relationship Id="rId3" Type="http://schemas.openxmlformats.org/officeDocument/2006/relationships/hyperlink" Target="http://dictionary.cambridge.org/dictionary/english/surrender" TargetMode="External"/><Relationship Id="rId7" Type="http://schemas.openxmlformats.org/officeDocument/2006/relationships/hyperlink" Target="http://www.oxforddnb.com/view/article/8525?docPos=2" TargetMode="External"/><Relationship Id="rId12" Type="http://schemas.openxmlformats.org/officeDocument/2006/relationships/hyperlink" Target="http://www.history.ac.uk/reviews/review/1006" TargetMode="External"/><Relationship Id="rId2" Type="http://schemas.openxmlformats.org/officeDocument/2006/relationships/hyperlink" Target="https://archive.org/details/willsfromdoctors00churrich" TargetMode="External"/><Relationship Id="rId1" Type="http://schemas.openxmlformats.org/officeDocument/2006/relationships/hyperlink" Target="http://familyrecords.dur.ac.uk/nei/NEI_wills_and_testaments.pdf" TargetMode="External"/><Relationship Id="rId6" Type="http://schemas.openxmlformats.org/officeDocument/2006/relationships/hyperlink" Target="https://archive.org/details/willsfromdoctors00churrich" TargetMode="External"/><Relationship Id="rId11" Type="http://schemas.openxmlformats.org/officeDocument/2006/relationships/hyperlink" Target="https://archive.org/details/willsfromdoctors00churrich" TargetMode="External"/><Relationship Id="rId5" Type="http://schemas.openxmlformats.org/officeDocument/2006/relationships/hyperlink" Target="https://archive.org/details/willsfromdoctors00churrich" TargetMode="External"/><Relationship Id="rId10" Type="http://schemas.openxmlformats.org/officeDocument/2006/relationships/hyperlink" Target="https://www.shakespeare.org.uk/explore-shakespeare/blogs/second-best-bed/" TargetMode="External"/><Relationship Id="rId4" Type="http://schemas.openxmlformats.org/officeDocument/2006/relationships/hyperlink" Target="https://archive.org/details/willsfromdoctors00churrich" TargetMode="External"/><Relationship Id="rId9" Type="http://schemas.openxmlformats.org/officeDocument/2006/relationships/hyperlink" Target="https://archive.org/details/willsfromdoctors00churri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30847A-404C-4990-AEC8-5A6DC7CD2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1404</Words>
  <Characters>6966</Characters>
  <Application>Microsoft Office Word</Application>
  <DocSecurity>0</DocSecurity>
  <Lines>92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J. Dobson</dc:creator>
  <cp:keywords/>
  <dc:description/>
  <cp:lastModifiedBy>Thomas J. Dobson</cp:lastModifiedBy>
  <cp:revision>3</cp:revision>
  <dcterms:created xsi:type="dcterms:W3CDTF">2017-10-19T18:40:00Z</dcterms:created>
  <dcterms:modified xsi:type="dcterms:W3CDTF">2017-10-19T18:41:00Z</dcterms:modified>
</cp:coreProperties>
</file>