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The legendary meeting between Alexander the Great and the Queen of the Amazons Talestris is a powerful tableau of two significant figures, but its validity has been one of debate for as long as we have had record of it. While authors such as Plutarch and Strabo reject the validity of this tale for a number of reasons, authors such as Quintus Curtius Rufus embrace the tale. Even in medieval texts this encounter can be found in Walter of Châtillon’s </w:t>
      </w:r>
      <w:r w:rsidDel="00000000" w:rsidR="00000000" w:rsidRPr="00000000">
        <w:rPr>
          <w:i w:val="1"/>
          <w:rtl w:val="0"/>
        </w:rPr>
        <w:t xml:space="preserve">Alexandreis</w:t>
      </w:r>
      <w:r w:rsidDel="00000000" w:rsidR="00000000" w:rsidRPr="00000000">
        <w:rPr>
          <w:rtl w:val="0"/>
        </w:rPr>
        <w:t xml:space="preserve"> and the </w:t>
      </w:r>
      <w:r w:rsidDel="00000000" w:rsidR="00000000" w:rsidRPr="00000000">
        <w:rPr>
          <w:i w:val="1"/>
          <w:rtl w:val="0"/>
        </w:rPr>
        <w:t xml:space="preserve">Historia de Preliis</w:t>
      </w:r>
      <w:r w:rsidDel="00000000" w:rsidR="00000000" w:rsidRPr="00000000">
        <w:rPr>
          <w:rtl w:val="0"/>
        </w:rPr>
        <w:t xml:space="preserve">, clearly demonstrating the lasting cultural impact of this tale. Quintus Curtius Rufus, Walter of Châtillon’s </w:t>
      </w:r>
      <w:r w:rsidDel="00000000" w:rsidR="00000000" w:rsidRPr="00000000">
        <w:rPr>
          <w:i w:val="1"/>
          <w:rtl w:val="0"/>
        </w:rPr>
        <w:t xml:space="preserve">Alexandreis</w:t>
      </w:r>
      <w:r w:rsidDel="00000000" w:rsidR="00000000" w:rsidRPr="00000000">
        <w:rPr>
          <w:rtl w:val="0"/>
        </w:rPr>
        <w:t xml:space="preserve"> and the </w:t>
      </w:r>
      <w:r w:rsidDel="00000000" w:rsidR="00000000" w:rsidRPr="00000000">
        <w:rPr>
          <w:i w:val="1"/>
          <w:rtl w:val="0"/>
        </w:rPr>
        <w:t xml:space="preserve">Historia de Preliis</w:t>
      </w:r>
      <w:r w:rsidDel="00000000" w:rsidR="00000000" w:rsidRPr="00000000">
        <w:rPr>
          <w:rtl w:val="0"/>
        </w:rPr>
        <w:t xml:space="preserve"> will be the main focus of this essay.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Alexander the Great – born in 356 BCE to Philip II of Macedon and his fourth wife Olympias – inherited his father’s empire at the age of 20. He expanded his rule from Macedon and the Hellenic League to include Egypt and Persia, previously under the rule of Darius III. His legendary encounter with Queen Talestris of the Amazons is said to have occurred in 329/8 BCE (Baynham, 2001, p.116). Talestris, known only from her stories around meeting Alexander, rules over a culture of warrior women believed to have existed by ancient societies, despite the historical debate over the actual existence of such a matriarchal society.</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Amazons are frequently featured in mythology, interacting with heroes like Heracles and Achilles, and their supposed existence challenges the narrative of a predominantly patriarchal ancient world. Scholars continue to explore whether there might have been a real society that inspired these legends.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Critics like Plutarch and Strabo expressed skepticism about the authenticity of Alexander’s encounter with Talestris (Baynham, 2001, p.117-118). Plutarch dismisses the tale, citing contemporary sources such as Ptolemy and Aristobulus who viewed it as fictitious (Plutarch, </w:t>
      </w:r>
      <w:r w:rsidDel="00000000" w:rsidR="00000000" w:rsidRPr="00000000">
        <w:rPr>
          <w:i w:val="1"/>
          <w:rtl w:val="0"/>
        </w:rPr>
        <w:t xml:space="preserve">Alex</w:t>
      </w:r>
      <w:r w:rsidDel="00000000" w:rsidR="00000000" w:rsidRPr="00000000">
        <w:rPr>
          <w:rtl w:val="0"/>
        </w:rPr>
        <w:t xml:space="preserve">. 46). Strabo critiques the geographical inaccuracies in Cleitarchus’ version – the version that likely informed many others – particularly the implausible distances between locations supposedly easily travelled by Talestris (Strabo, 11.1.5, 11.5.3-4). These critiques highlight ongoing debates about the blending of myth and history in accounts of Alexander’s exploits.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Bdr>
          <w:top w:color="e3e3e3" w:space="0" w:sz="0" w:val="none"/>
          <w:left w:color="e3e3e3" w:space="0" w:sz="0" w:val="none"/>
          <w:bottom w:color="e3e3e3" w:space="0" w:sz="0" w:val="none"/>
          <w:right w:color="e3e3e3" w:space="0" w:sz="0" w:val="none"/>
          <w:between w:color="e3e3e3" w:space="0" w:sz="0" w:val="none"/>
        </w:pBdr>
        <w:spacing w:after="300" w:line="276" w:lineRule="auto"/>
        <w:rPr/>
      </w:pPr>
      <w:r w:rsidDel="00000000" w:rsidR="00000000" w:rsidRPr="00000000">
        <w:rPr>
          <w:rtl w:val="0"/>
        </w:rPr>
        <w:t xml:space="preserve">The accounts of Alexander the Great's encounter with Queen Talestris of the Amazons in the writings of Walter of Châtillon, Quintus Curtius Rufus, and the Historia de Preliis present varied narratives that illustrate how history and myth intermingle, influenced by cultural and historical contexts.</w:t>
      </w:r>
    </w:p>
    <w:p w:rsidR="00000000" w:rsidDel="00000000" w:rsidP="00000000" w:rsidRDefault="00000000" w:rsidRPr="00000000" w14:paraId="0000000A">
      <w:pPr>
        <w:pBdr>
          <w:top w:color="e3e3e3" w:space="0" w:sz="0" w:val="none"/>
          <w:left w:color="e3e3e3" w:space="0" w:sz="0" w:val="none"/>
          <w:bottom w:color="e3e3e3" w:space="0" w:sz="0" w:val="none"/>
          <w:right w:color="e3e3e3" w:space="0" w:sz="0" w:val="none"/>
          <w:between w:color="e3e3e3" w:space="0" w:sz="0" w:val="none"/>
        </w:pBdr>
        <w:spacing w:after="300" w:before="300" w:line="276" w:lineRule="auto"/>
        <w:rPr/>
      </w:pPr>
      <w:r w:rsidDel="00000000" w:rsidR="00000000" w:rsidRPr="00000000">
        <w:rPr>
          <w:rtl w:val="0"/>
        </w:rPr>
        <w:t xml:space="preserve">Historia de Preliis offers a unique portrayal where Alexander and Talestris communicate only through letters, never meeting in person. Talestris warns Alexander of the dishonor his army would face whether defeated by or victorious over women, reflecting on the perceived implications of such a battle (p.78). This account delves into the societal structure of the Amazons, describing their living arrangements, child-rearing practices, and military organization, emphasizing strategic and diplomatic concerns over personal interaction (p.77-78).</w:t>
      </w:r>
    </w:p>
    <w:p w:rsidR="00000000" w:rsidDel="00000000" w:rsidP="00000000" w:rsidRDefault="00000000" w:rsidRPr="00000000" w14:paraId="0000000B">
      <w:pPr>
        <w:pBdr>
          <w:top w:color="e3e3e3" w:space="0" w:sz="0" w:val="none"/>
          <w:left w:color="e3e3e3" w:space="0" w:sz="0" w:val="none"/>
          <w:bottom w:color="e3e3e3" w:space="0" w:sz="0" w:val="none"/>
          <w:right w:color="e3e3e3" w:space="0" w:sz="0" w:val="none"/>
          <w:between w:color="e3e3e3" w:space="0" w:sz="0" w:val="none"/>
        </w:pBdr>
        <w:spacing w:after="300" w:before="300" w:line="276" w:lineRule="auto"/>
        <w:rPr/>
      </w:pPr>
      <w:r w:rsidDel="00000000" w:rsidR="00000000" w:rsidRPr="00000000">
        <w:rPr>
          <w:rtl w:val="0"/>
        </w:rPr>
        <w:t xml:space="preserve">Quintus Curtius Rufus provides a more intimate look at the encounter, where Talestris rides out with 300 women to meet Alexander (l.26), driven by a desire to conceive a child with him (l.30). Quintus focuses on the physical and martial characteristics of the Amazons, noting their unique battle dress and the searing of one breast to facilitate archery and spear-throwing (27-28). This narrative almost romanticizes the encounter, highlighting the thirteen days Alexander and Talestris spend together, fulfilling her wish for a potential heir (l.32).</w:t>
      </w:r>
    </w:p>
    <w:p w:rsidR="00000000" w:rsidDel="00000000" w:rsidP="00000000" w:rsidRDefault="00000000" w:rsidRPr="00000000" w14:paraId="0000000C">
      <w:pPr>
        <w:pBdr>
          <w:top w:color="e3e3e3" w:space="0" w:sz="0" w:val="none"/>
          <w:left w:color="e3e3e3" w:space="0" w:sz="0" w:val="none"/>
          <w:bottom w:color="e3e3e3" w:space="0" w:sz="0" w:val="none"/>
          <w:right w:color="e3e3e3" w:space="0" w:sz="0" w:val="none"/>
          <w:between w:color="e3e3e3" w:space="0" w:sz="0" w:val="none"/>
        </w:pBdr>
        <w:spacing w:after="300" w:before="300" w:line="276" w:lineRule="auto"/>
        <w:rPr/>
      </w:pPr>
      <w:r w:rsidDel="00000000" w:rsidR="00000000" w:rsidRPr="00000000">
        <w:rPr>
          <w:rtl w:val="0"/>
        </w:rPr>
        <w:t xml:space="preserve">Walter of Châtillon similarly describes a direct meeting initiated by Talestris’s desire to see Alexander, whom she deems worthy of fathering her child (l.42-47). Walter’s description includes details of the Amazonian dress (l,18-27) and Talestris’ evaluation of Alexander’s physical appearance, juxtaposing his perceived ordinary looks against his legendary reputation. Talestris’s visit concludes with the implication that she becomes pregnant, suggesting a mythical continuation of Alexander's lineage through her.</w:t>
      </w:r>
    </w:p>
    <w:p w:rsidR="00000000" w:rsidDel="00000000" w:rsidP="00000000" w:rsidRDefault="00000000" w:rsidRPr="00000000" w14:paraId="0000000D">
      <w:pPr>
        <w:pBdr>
          <w:top w:color="e3e3e3" w:space="0" w:sz="0" w:val="none"/>
          <w:left w:color="e3e3e3" w:space="0" w:sz="0" w:val="none"/>
          <w:bottom w:color="e3e3e3" w:space="0" w:sz="0" w:val="none"/>
          <w:right w:color="e3e3e3" w:space="0" w:sz="0" w:val="none"/>
          <w:between w:color="e3e3e3" w:space="0" w:sz="0" w:val="none"/>
        </w:pBdr>
        <w:spacing w:after="300" w:before="300" w:line="276" w:lineRule="auto"/>
        <w:rPr/>
      </w:pPr>
      <w:r w:rsidDel="00000000" w:rsidR="00000000" w:rsidRPr="00000000">
        <w:rPr>
          <w:rtl w:val="0"/>
        </w:rPr>
        <w:t xml:space="preserve">Each account reflects different aspects of the encounter. The Historia de Preliis focuses on the Amazonian society’s structure and military readiness, presenting a cautious and strategic Talestris. Quintus Curtius Rufus and Walter of Châtillon focus on personal and physical interactions, infused with elements of romance and personal legacy, highlighting the cultural fascination with the mythical qualities of Alexander and the Amazons.</w:t>
      </w:r>
    </w:p>
    <w:p w:rsidR="00000000" w:rsidDel="00000000" w:rsidP="00000000" w:rsidRDefault="00000000" w:rsidRPr="00000000" w14:paraId="0000000E">
      <w:pPr>
        <w:pBdr>
          <w:top w:color="e3e3e3" w:space="0" w:sz="0" w:val="none"/>
          <w:left w:color="e3e3e3" w:space="0" w:sz="0" w:val="none"/>
          <w:bottom w:color="e3e3e3" w:space="0" w:sz="0" w:val="none"/>
          <w:right w:color="e3e3e3" w:space="0" w:sz="0" w:val="none"/>
          <w:between w:color="e3e3e3" w:space="0" w:sz="0" w:val="none"/>
        </w:pBdr>
        <w:spacing w:after="300" w:before="300" w:line="276" w:lineRule="auto"/>
        <w:rPr/>
      </w:pPr>
      <w:r w:rsidDel="00000000" w:rsidR="00000000" w:rsidRPr="00000000">
        <w:rPr>
          <w:rtl w:val="0"/>
        </w:rPr>
        <w:t xml:space="preserve">These narratives collectively showcase varying perceptions of leadership, gender roles, and cultural interaction. While Historia de Preliis is more concerned with strategic implications and societal details, Quintus and Walter depict a Talestris driven by personal desires, emphasizing themes of legacy and romantic liaisons.</w:t>
      </w:r>
    </w:p>
    <w:p w:rsidR="00000000" w:rsidDel="00000000" w:rsidP="00000000" w:rsidRDefault="00000000" w:rsidRPr="00000000" w14:paraId="0000000F">
      <w:pPr>
        <w:pBdr>
          <w:top w:color="e3e3e3" w:space="0" w:sz="0" w:val="none"/>
          <w:left w:color="e3e3e3" w:space="0" w:sz="0" w:val="none"/>
          <w:bottom w:color="e3e3e3" w:space="0" w:sz="0" w:val="none"/>
          <w:right w:color="e3e3e3" w:space="0" w:sz="0" w:val="none"/>
          <w:between w:color="e3e3e3" w:space="0" w:sz="0" w:val="none"/>
        </w:pBdr>
        <w:spacing w:before="300" w:line="276" w:lineRule="auto"/>
        <w:rPr/>
      </w:pPr>
      <w:r w:rsidDel="00000000" w:rsidR="00000000" w:rsidRPr="00000000">
        <w:rPr>
          <w:rtl w:val="0"/>
        </w:rPr>
        <w:t xml:space="preserve">These differences underscore the blending of historical facts and mythical storytelling in ancient writings, where Alexander's persona often serves as a narrative canvas for broader cultural reflections and mythological embellishments. Each version not only entertains but also offers insights into the values and interests of its time, reflecting how legendary figures are shaped by the stories told about them.</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highlight w:val="white"/>
        </w:rPr>
      </w:pPr>
      <w:r w:rsidDel="00000000" w:rsidR="00000000" w:rsidRPr="00000000">
        <w:rPr>
          <w:highlight w:val="white"/>
          <w:rtl w:val="0"/>
        </w:rPr>
        <w:t xml:space="preserve">The enduring legend of Alexander the Great's meeting with Queen Talestris reflects the blend of history and mythology, underscored by the varied accounts from ancient and medieval sources. While scholars like Plutarch and Strabo dismiss the tale citing lack of evidence and geographic implausibilities, narratives by Quintus Curtius Rufus, Walter of Châtillon, and the Historia de Preliis embrace and perpetuate the myth. These stories, ranging from strategic advisories to romanticized encounters, highlight not only the malleability of legendary narratives but also the cultural and temporal fascination with figures like Alexander and the mythical Amazons. The accounts, despite their discrepancies, demonstrate how such legends are utilized to explore themes of power, gender, and legacy, serving both entertainment and illustrative purposes across generations.</w:t>
      </w:r>
    </w:p>
    <w:p w:rsidR="00000000" w:rsidDel="00000000" w:rsidP="00000000" w:rsidRDefault="00000000" w:rsidRPr="00000000" w14:paraId="00000012">
      <w:pPr>
        <w:rPr>
          <w:highlight w:val="white"/>
        </w:rPr>
      </w:pPr>
      <w:r w:rsidDel="00000000" w:rsidR="00000000" w:rsidRPr="00000000">
        <w:rPr>
          <w:rtl w:val="0"/>
        </w:rPr>
      </w:r>
    </w:p>
    <w:p w:rsidR="00000000" w:rsidDel="00000000" w:rsidP="00000000" w:rsidRDefault="00000000" w:rsidRPr="00000000" w14:paraId="00000013">
      <w:pPr>
        <w:rPr>
          <w:b w:val="1"/>
          <w:highlight w:val="white"/>
        </w:rPr>
      </w:pPr>
      <w:r w:rsidDel="00000000" w:rsidR="00000000" w:rsidRPr="00000000">
        <w:rPr>
          <w:b w:val="1"/>
          <w:highlight w:val="white"/>
          <w:rtl w:val="0"/>
        </w:rPr>
        <w:t xml:space="preserve">Bibliography</w:t>
      </w:r>
    </w:p>
    <w:p w:rsidR="00000000" w:rsidDel="00000000" w:rsidP="00000000" w:rsidRDefault="00000000" w:rsidRPr="00000000" w14:paraId="00000014">
      <w:pPr>
        <w:numPr>
          <w:ilvl w:val="0"/>
          <w:numId w:val="2"/>
        </w:numPr>
        <w:ind w:left="720" w:hanging="360"/>
        <w:rPr>
          <w:highlight w:val="white"/>
        </w:rPr>
      </w:pPr>
      <w:r w:rsidDel="00000000" w:rsidR="00000000" w:rsidRPr="00000000">
        <w:rPr>
          <w:highlight w:val="white"/>
          <w:rtl w:val="0"/>
        </w:rPr>
        <w:t xml:space="preserve">Baynham, E. 2001. ‘Alexander and the Amazons’ </w:t>
      </w:r>
      <w:r w:rsidDel="00000000" w:rsidR="00000000" w:rsidRPr="00000000">
        <w:rPr>
          <w:i w:val="1"/>
          <w:highlight w:val="white"/>
          <w:rtl w:val="0"/>
        </w:rPr>
        <w:t xml:space="preserve">Classical Quarterly</w:t>
      </w:r>
      <w:r w:rsidDel="00000000" w:rsidR="00000000" w:rsidRPr="00000000">
        <w:rPr>
          <w:highlight w:val="white"/>
          <w:rtl w:val="0"/>
        </w:rPr>
        <w:t xml:space="preserve"> 51.1</w:t>
      </w:r>
      <w:r w:rsidDel="00000000" w:rsidR="00000000" w:rsidRPr="00000000">
        <w:rPr>
          <w:highlight w:val="white"/>
          <w:rtl w:val="0"/>
        </w:rPr>
        <w:t xml:space="preserve">, 115-126</w:t>
      </w:r>
    </w:p>
    <w:p w:rsidR="00000000" w:rsidDel="00000000" w:rsidP="00000000" w:rsidRDefault="00000000" w:rsidRPr="00000000" w14:paraId="00000015">
      <w:pPr>
        <w:ind w:left="720" w:firstLine="0"/>
        <w:rPr>
          <w:highlight w:val="white"/>
        </w:rPr>
      </w:pPr>
      <w:r w:rsidDel="00000000" w:rsidR="00000000" w:rsidRPr="00000000">
        <w:rPr>
          <w:rtl w:val="0"/>
        </w:rPr>
      </w:r>
    </w:p>
    <w:p w:rsidR="00000000" w:rsidDel="00000000" w:rsidP="00000000" w:rsidRDefault="00000000" w:rsidRPr="00000000" w14:paraId="00000016">
      <w:pPr>
        <w:numPr>
          <w:ilvl w:val="0"/>
          <w:numId w:val="1"/>
        </w:numPr>
        <w:ind w:left="720" w:hanging="360"/>
        <w:rPr>
          <w:highlight w:val="white"/>
        </w:rPr>
      </w:pPr>
      <w:r w:rsidDel="00000000" w:rsidR="00000000" w:rsidRPr="00000000">
        <w:rPr>
          <w:highlight w:val="white"/>
          <w:rtl w:val="0"/>
        </w:rPr>
        <w:t xml:space="preserve">Walter of Chatillon, </w:t>
      </w:r>
      <w:r w:rsidDel="00000000" w:rsidR="00000000" w:rsidRPr="00000000">
        <w:rPr>
          <w:i w:val="1"/>
          <w:highlight w:val="white"/>
          <w:rtl w:val="0"/>
        </w:rPr>
        <w:t xml:space="preserve">Alexandreis</w:t>
      </w:r>
      <w:r w:rsidDel="00000000" w:rsidR="00000000" w:rsidRPr="00000000">
        <w:rPr>
          <w:highlight w:val="white"/>
          <w:rtl w:val="0"/>
        </w:rPr>
        <w:t xml:space="preserve"> 8.1-48</w:t>
      </w:r>
    </w:p>
    <w:p w:rsidR="00000000" w:rsidDel="00000000" w:rsidP="00000000" w:rsidRDefault="00000000" w:rsidRPr="00000000" w14:paraId="00000017">
      <w:pPr>
        <w:numPr>
          <w:ilvl w:val="0"/>
          <w:numId w:val="1"/>
        </w:numPr>
        <w:ind w:left="720" w:hanging="360"/>
        <w:rPr>
          <w:highlight w:val="white"/>
          <w:u w:val="none"/>
        </w:rPr>
      </w:pPr>
      <w:r w:rsidDel="00000000" w:rsidR="00000000" w:rsidRPr="00000000">
        <w:rPr>
          <w:highlight w:val="white"/>
          <w:rtl w:val="0"/>
        </w:rPr>
        <w:t xml:space="preserve">Historia de Preliis p.77-9</w:t>
      </w:r>
    </w:p>
    <w:p w:rsidR="00000000" w:rsidDel="00000000" w:rsidP="00000000" w:rsidRDefault="00000000" w:rsidRPr="00000000" w14:paraId="00000018">
      <w:pPr>
        <w:numPr>
          <w:ilvl w:val="0"/>
          <w:numId w:val="1"/>
        </w:numPr>
        <w:ind w:left="720" w:hanging="360"/>
        <w:rPr>
          <w:highlight w:val="white"/>
          <w:u w:val="none"/>
        </w:rPr>
      </w:pPr>
      <w:r w:rsidDel="00000000" w:rsidR="00000000" w:rsidRPr="00000000">
        <w:rPr>
          <w:highlight w:val="white"/>
          <w:rtl w:val="0"/>
        </w:rPr>
        <w:t xml:space="preserve">Quintus Curtius Rufus 6.5.24-32</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