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830E8" w14:textId="77777777" w:rsidR="005352E4" w:rsidRPr="00095284" w:rsidRDefault="005352E4" w:rsidP="005352E4">
      <w:pPr>
        <w:spacing w:line="259" w:lineRule="auto"/>
        <w:jc w:val="center"/>
        <w:rPr>
          <w:rFonts w:cs="Arial"/>
          <w:szCs w:val="24"/>
          <w:lang w:val="en-GB"/>
        </w:rPr>
      </w:pPr>
      <w:r w:rsidRPr="00095284">
        <w:rPr>
          <w:rFonts w:cs="Arial"/>
          <w:noProof/>
          <w:szCs w:val="24"/>
          <w:lang w:val="en-GB"/>
        </w:rPr>
        <w:drawing>
          <wp:inline distT="0" distB="0" distL="0" distR="0" wp14:anchorId="581FEA25" wp14:editId="66376B15">
            <wp:extent cx="3759200" cy="1431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59200" cy="1431925"/>
                    </a:xfrm>
                    <a:prstGeom prst="rect">
                      <a:avLst/>
                    </a:prstGeom>
                  </pic:spPr>
                </pic:pic>
              </a:graphicData>
            </a:graphic>
          </wp:inline>
        </w:drawing>
      </w:r>
    </w:p>
    <w:p w14:paraId="6E6768FD" w14:textId="77777777" w:rsidR="00095284" w:rsidRPr="00095284" w:rsidRDefault="00095284" w:rsidP="005352E4">
      <w:pPr>
        <w:spacing w:line="259" w:lineRule="auto"/>
        <w:jc w:val="center"/>
        <w:rPr>
          <w:rFonts w:cs="Arial"/>
          <w:b/>
          <w:szCs w:val="24"/>
          <w:lang w:val="en-GB"/>
        </w:rPr>
      </w:pPr>
    </w:p>
    <w:p w14:paraId="25820B1E" w14:textId="77777777" w:rsidR="00095284" w:rsidRPr="00095284" w:rsidRDefault="00095284" w:rsidP="005352E4">
      <w:pPr>
        <w:spacing w:line="259" w:lineRule="auto"/>
        <w:jc w:val="center"/>
        <w:rPr>
          <w:rFonts w:cs="Arial"/>
          <w:b/>
          <w:szCs w:val="24"/>
          <w:lang w:val="en-GB"/>
        </w:rPr>
      </w:pPr>
    </w:p>
    <w:p w14:paraId="3B02A947" w14:textId="77777777" w:rsidR="005352E4" w:rsidRPr="00095284" w:rsidRDefault="005352E4" w:rsidP="005352E4">
      <w:pPr>
        <w:spacing w:line="259" w:lineRule="auto"/>
        <w:jc w:val="center"/>
        <w:rPr>
          <w:rFonts w:cs="Arial"/>
          <w:sz w:val="28"/>
          <w:szCs w:val="28"/>
          <w:lang w:val="en-GB"/>
        </w:rPr>
      </w:pPr>
      <w:r w:rsidRPr="00095284">
        <w:rPr>
          <w:rFonts w:cs="Arial"/>
          <w:b/>
          <w:sz w:val="28"/>
          <w:szCs w:val="28"/>
          <w:lang w:val="en-GB"/>
        </w:rPr>
        <w:t>Assignment Title</w:t>
      </w:r>
      <w:r w:rsidRPr="00095284">
        <w:rPr>
          <w:rFonts w:cs="Arial"/>
          <w:sz w:val="28"/>
          <w:szCs w:val="28"/>
          <w:lang w:val="en-GB"/>
        </w:rPr>
        <w:t>: Assessment component: Financial performance and management</w:t>
      </w:r>
    </w:p>
    <w:p w14:paraId="7024D4FE" w14:textId="77777777" w:rsidR="005352E4" w:rsidRPr="00095284" w:rsidRDefault="005352E4" w:rsidP="005352E4">
      <w:pPr>
        <w:spacing w:line="259" w:lineRule="auto"/>
        <w:jc w:val="center"/>
        <w:rPr>
          <w:rFonts w:cs="Arial"/>
          <w:szCs w:val="24"/>
          <w:lang w:val="en-GB"/>
        </w:rPr>
      </w:pPr>
    </w:p>
    <w:p w14:paraId="500C0A0F" w14:textId="77777777" w:rsidR="005352E4" w:rsidRPr="00095284" w:rsidRDefault="005352E4" w:rsidP="005352E4">
      <w:pPr>
        <w:spacing w:line="259" w:lineRule="auto"/>
        <w:jc w:val="center"/>
        <w:rPr>
          <w:rFonts w:cs="Arial"/>
          <w:szCs w:val="24"/>
          <w:lang w:val="en-GB"/>
        </w:rPr>
      </w:pPr>
    </w:p>
    <w:p w14:paraId="795EEBBF" w14:textId="5CC71D4B" w:rsidR="005352E4" w:rsidRPr="00FD60F6" w:rsidRDefault="005352E4" w:rsidP="00FD60F6">
      <w:pPr>
        <w:spacing w:line="259" w:lineRule="auto"/>
        <w:rPr>
          <w:rFonts w:cs="Arial"/>
          <w:sz w:val="28"/>
          <w:szCs w:val="28"/>
          <w:lang w:val="en-GB"/>
        </w:rPr>
      </w:pPr>
      <w:proofErr w:type="gramStart"/>
      <w:r w:rsidRPr="00FD60F6">
        <w:rPr>
          <w:rFonts w:cs="Arial"/>
          <w:sz w:val="28"/>
          <w:szCs w:val="28"/>
          <w:lang w:val="en-GB"/>
        </w:rPr>
        <w:t xml:space="preserve">Name </w:t>
      </w:r>
      <w:r w:rsidR="00FD60F6" w:rsidRPr="00FD60F6">
        <w:rPr>
          <w:rFonts w:cs="Arial"/>
          <w:sz w:val="28"/>
          <w:szCs w:val="28"/>
          <w:lang w:val="en-GB"/>
        </w:rPr>
        <w:t>:</w:t>
      </w:r>
      <w:proofErr w:type="gramEnd"/>
      <w:r w:rsidR="00FD60F6" w:rsidRPr="00FD60F6">
        <w:rPr>
          <w:rFonts w:cs="Arial"/>
          <w:sz w:val="28"/>
          <w:szCs w:val="28"/>
          <w:lang w:val="en-GB"/>
        </w:rPr>
        <w:t xml:space="preserve"> </w:t>
      </w:r>
      <w:proofErr w:type="spellStart"/>
      <w:r w:rsidR="00FD60F6" w:rsidRPr="00FD60F6">
        <w:rPr>
          <w:rFonts w:cs="Arial"/>
          <w:sz w:val="28"/>
          <w:szCs w:val="28"/>
          <w:lang w:val="en-GB"/>
        </w:rPr>
        <w:t>Almahender</w:t>
      </w:r>
      <w:proofErr w:type="spellEnd"/>
      <w:r w:rsidR="00FD60F6" w:rsidRPr="00FD60F6">
        <w:rPr>
          <w:rFonts w:cs="Arial"/>
          <w:sz w:val="28"/>
          <w:szCs w:val="28"/>
          <w:lang w:val="en-GB"/>
        </w:rPr>
        <w:t xml:space="preserve"> singh</w:t>
      </w:r>
    </w:p>
    <w:p w14:paraId="2C9D3967" w14:textId="77777777" w:rsidR="00E62FD7" w:rsidRDefault="005352E4" w:rsidP="00FD60F6">
      <w:pPr>
        <w:spacing w:line="259" w:lineRule="auto"/>
        <w:rPr>
          <w:rFonts w:cs="Arial"/>
          <w:sz w:val="28"/>
          <w:szCs w:val="28"/>
          <w:lang w:val="en-GB"/>
        </w:rPr>
      </w:pPr>
      <w:r w:rsidRPr="00FD60F6">
        <w:rPr>
          <w:rFonts w:cs="Arial"/>
          <w:sz w:val="28"/>
          <w:szCs w:val="28"/>
          <w:lang w:val="en-GB"/>
        </w:rPr>
        <w:t>Student Id:</w:t>
      </w:r>
      <w:r w:rsidR="00FD60F6" w:rsidRPr="00FD60F6">
        <w:rPr>
          <w:rFonts w:cs="Arial"/>
          <w:sz w:val="28"/>
          <w:szCs w:val="28"/>
          <w:lang w:val="en-GB"/>
        </w:rPr>
        <w:t xml:space="preserve"> 2504913</w:t>
      </w:r>
    </w:p>
    <w:p w14:paraId="5AFF16A9" w14:textId="25042F74" w:rsidR="00FD60F6" w:rsidRPr="00FD60F6" w:rsidRDefault="00FD60F6" w:rsidP="00FD60F6">
      <w:pPr>
        <w:spacing w:line="259" w:lineRule="auto"/>
        <w:rPr>
          <w:rFonts w:cs="Arial"/>
          <w:sz w:val="28"/>
          <w:szCs w:val="28"/>
          <w:lang w:val="en-GB"/>
        </w:rPr>
      </w:pPr>
      <w:r w:rsidRPr="00FD60F6">
        <w:rPr>
          <w:rFonts w:cs="Arial"/>
          <w:szCs w:val="24"/>
          <w:lang w:val="en-GB"/>
        </w:rPr>
        <w:t xml:space="preserve"> </w:t>
      </w:r>
      <w:r w:rsidRPr="00FD60F6">
        <w:rPr>
          <w:rFonts w:cs="Arial"/>
          <w:sz w:val="28"/>
          <w:szCs w:val="28"/>
          <w:lang w:val="en-GB"/>
        </w:rPr>
        <w:t>Module code: LCMB7002</w:t>
      </w:r>
    </w:p>
    <w:p w14:paraId="6F4BE1E8" w14:textId="77777777" w:rsidR="00FD60F6" w:rsidRPr="00FD60F6" w:rsidRDefault="00FD60F6" w:rsidP="00FD60F6">
      <w:pPr>
        <w:spacing w:line="259" w:lineRule="auto"/>
        <w:rPr>
          <w:rFonts w:cs="Arial"/>
          <w:bCs/>
          <w:sz w:val="28"/>
          <w:szCs w:val="28"/>
          <w:lang w:val="en-GB"/>
        </w:rPr>
      </w:pPr>
      <w:r w:rsidRPr="00FD60F6">
        <w:rPr>
          <w:rFonts w:cs="Arial"/>
          <w:bCs/>
          <w:sz w:val="28"/>
          <w:szCs w:val="28"/>
          <w:lang w:val="en-GB"/>
        </w:rPr>
        <w:t>Module: Financial Management</w:t>
      </w:r>
    </w:p>
    <w:p w14:paraId="54FDF4F0" w14:textId="77777777" w:rsidR="00FD60F6" w:rsidRPr="00FD60F6" w:rsidRDefault="00FD60F6" w:rsidP="00FD60F6">
      <w:pPr>
        <w:spacing w:line="259" w:lineRule="auto"/>
        <w:rPr>
          <w:rFonts w:cs="Arial"/>
          <w:bCs/>
          <w:sz w:val="28"/>
          <w:szCs w:val="28"/>
          <w:lang w:val="en-GB"/>
        </w:rPr>
      </w:pPr>
      <w:r w:rsidRPr="00FD60F6">
        <w:rPr>
          <w:rFonts w:cs="Arial"/>
          <w:bCs/>
          <w:sz w:val="28"/>
          <w:szCs w:val="28"/>
          <w:lang w:val="en-GB"/>
        </w:rPr>
        <w:t>Programme: Master of Business Administration</w:t>
      </w:r>
    </w:p>
    <w:p w14:paraId="6BE467EE" w14:textId="3014B91E" w:rsidR="00240FA4" w:rsidRDefault="00FD60F6" w:rsidP="00FD60F6">
      <w:pPr>
        <w:spacing w:line="259" w:lineRule="auto"/>
        <w:rPr>
          <w:rFonts w:cs="Arial"/>
          <w:szCs w:val="24"/>
          <w:lang w:val="en-GB"/>
        </w:rPr>
      </w:pPr>
      <w:r w:rsidRPr="00FD60F6">
        <w:rPr>
          <w:bCs/>
          <w:sz w:val="28"/>
          <w:szCs w:val="28"/>
        </w:rPr>
        <w:t>Lecturer’s Name</w:t>
      </w:r>
      <w:r>
        <w:rPr>
          <w:b/>
          <w:bCs/>
          <w:sz w:val="28"/>
          <w:szCs w:val="28"/>
        </w:rPr>
        <w:t>:</w:t>
      </w:r>
      <w:r w:rsidRPr="00FD60F6">
        <w:t xml:space="preserve"> </w:t>
      </w:r>
      <w:proofErr w:type="spellStart"/>
      <w:r w:rsidRPr="00FD60F6">
        <w:rPr>
          <w:sz w:val="28"/>
          <w:szCs w:val="28"/>
        </w:rPr>
        <w:t>Shengfeng</w:t>
      </w:r>
      <w:proofErr w:type="spellEnd"/>
      <w:r w:rsidRPr="00FD60F6">
        <w:rPr>
          <w:sz w:val="28"/>
          <w:szCs w:val="28"/>
        </w:rPr>
        <w:t xml:space="preserve"> Mei</w:t>
      </w:r>
    </w:p>
    <w:p w14:paraId="5F9EC40F" w14:textId="77777777" w:rsidR="00240FA4" w:rsidRDefault="00240FA4" w:rsidP="005352E4">
      <w:pPr>
        <w:spacing w:line="259" w:lineRule="auto"/>
        <w:jc w:val="center"/>
        <w:rPr>
          <w:rFonts w:cs="Arial"/>
          <w:szCs w:val="24"/>
          <w:lang w:val="en-GB"/>
        </w:rPr>
      </w:pPr>
    </w:p>
    <w:p w14:paraId="5B5A732B" w14:textId="0E25BB0F" w:rsidR="00E91F8A" w:rsidRPr="00095284" w:rsidRDefault="00E91F8A" w:rsidP="005352E4">
      <w:pPr>
        <w:spacing w:line="259" w:lineRule="auto"/>
        <w:jc w:val="center"/>
        <w:rPr>
          <w:rFonts w:cs="Arial"/>
          <w:szCs w:val="24"/>
          <w:lang w:val="en-GB"/>
        </w:rPr>
      </w:pPr>
      <w:r w:rsidRPr="00095284">
        <w:rPr>
          <w:rFonts w:cs="Arial"/>
          <w:szCs w:val="24"/>
          <w:lang w:val="en-GB"/>
        </w:rPr>
        <w:br w:type="page"/>
      </w:r>
    </w:p>
    <w:sdt>
      <w:sdtPr>
        <w:rPr>
          <w:rFonts w:cs="Arial"/>
          <w:b/>
          <w:szCs w:val="24"/>
          <w:lang w:val="en-GB"/>
        </w:rPr>
        <w:id w:val="546487977"/>
        <w:docPartObj>
          <w:docPartGallery w:val="Table of Contents"/>
          <w:docPartUnique/>
        </w:docPartObj>
      </w:sdtPr>
      <w:sdtEndPr>
        <w:rPr>
          <w:bCs/>
        </w:rPr>
      </w:sdtEndPr>
      <w:sdtContent>
        <w:p w14:paraId="38012BB6" w14:textId="77777777" w:rsidR="00E91F8A" w:rsidRPr="00095284" w:rsidRDefault="00E91F8A" w:rsidP="00E91F8A">
          <w:pPr>
            <w:jc w:val="center"/>
            <w:rPr>
              <w:rFonts w:cs="Arial"/>
              <w:b/>
              <w:sz w:val="28"/>
              <w:szCs w:val="28"/>
              <w:lang w:val="en-GB"/>
            </w:rPr>
          </w:pPr>
          <w:r w:rsidRPr="00095284">
            <w:rPr>
              <w:rFonts w:cs="Arial"/>
              <w:b/>
              <w:sz w:val="28"/>
              <w:szCs w:val="28"/>
              <w:lang w:val="en-GB"/>
            </w:rPr>
            <w:t>Table of Contents</w:t>
          </w:r>
        </w:p>
        <w:p w14:paraId="1A68A0A2" w14:textId="6A309964" w:rsidR="001D7BF7" w:rsidRDefault="00E91F8A">
          <w:pPr>
            <w:pStyle w:val="TOC1"/>
            <w:tabs>
              <w:tab w:val="right" w:leader="dot" w:pos="9060"/>
            </w:tabs>
            <w:rPr>
              <w:rFonts w:asciiTheme="minorHAnsi" w:eastAsiaTheme="minorEastAsia" w:hAnsiTheme="minorHAnsi"/>
              <w:noProof/>
              <w:color w:val="auto"/>
              <w:sz w:val="22"/>
              <w:lang w:val="en-IN" w:eastAsia="en-IN"/>
            </w:rPr>
          </w:pPr>
          <w:r w:rsidRPr="00095284">
            <w:rPr>
              <w:rFonts w:cs="Arial"/>
              <w:b/>
              <w:bCs/>
              <w:szCs w:val="24"/>
              <w:lang w:val="en-GB"/>
            </w:rPr>
            <w:fldChar w:fldCharType="begin"/>
          </w:r>
          <w:r w:rsidRPr="00095284">
            <w:rPr>
              <w:rFonts w:cs="Arial"/>
              <w:b/>
              <w:bCs/>
              <w:szCs w:val="24"/>
              <w:lang w:val="en-GB"/>
            </w:rPr>
            <w:instrText xml:space="preserve"> TOC \o "1-3" \h \z \u </w:instrText>
          </w:r>
          <w:r w:rsidRPr="00095284">
            <w:rPr>
              <w:rFonts w:cs="Arial"/>
              <w:b/>
              <w:bCs/>
              <w:szCs w:val="24"/>
              <w:lang w:val="en-GB"/>
            </w:rPr>
            <w:fldChar w:fldCharType="separate"/>
          </w:r>
          <w:hyperlink w:anchor="_Toc216894581" w:history="1">
            <w:r w:rsidR="001D7BF7" w:rsidRPr="00D52F43">
              <w:rPr>
                <w:rStyle w:val="Hyperlink"/>
                <w:noProof/>
                <w:lang w:val="en-GB"/>
              </w:rPr>
              <w:t>1. Introduction</w:t>
            </w:r>
            <w:r w:rsidR="001D7BF7">
              <w:rPr>
                <w:noProof/>
                <w:webHidden/>
              </w:rPr>
              <w:tab/>
            </w:r>
            <w:r w:rsidR="001D7BF7">
              <w:rPr>
                <w:noProof/>
                <w:webHidden/>
              </w:rPr>
              <w:fldChar w:fldCharType="begin"/>
            </w:r>
            <w:r w:rsidR="001D7BF7">
              <w:rPr>
                <w:noProof/>
                <w:webHidden/>
              </w:rPr>
              <w:instrText xml:space="preserve"> PAGEREF _Toc216894581 \h </w:instrText>
            </w:r>
            <w:r w:rsidR="001D7BF7">
              <w:rPr>
                <w:noProof/>
                <w:webHidden/>
              </w:rPr>
            </w:r>
            <w:r w:rsidR="001D7BF7">
              <w:rPr>
                <w:noProof/>
                <w:webHidden/>
              </w:rPr>
              <w:fldChar w:fldCharType="separate"/>
            </w:r>
            <w:r w:rsidR="001B4552">
              <w:rPr>
                <w:noProof/>
                <w:webHidden/>
              </w:rPr>
              <w:t>3</w:t>
            </w:r>
            <w:r w:rsidR="001D7BF7">
              <w:rPr>
                <w:noProof/>
                <w:webHidden/>
              </w:rPr>
              <w:fldChar w:fldCharType="end"/>
            </w:r>
          </w:hyperlink>
        </w:p>
        <w:p w14:paraId="3AE72FD5" w14:textId="0163FC04" w:rsidR="001D7BF7" w:rsidRDefault="001D7BF7">
          <w:pPr>
            <w:pStyle w:val="TOC1"/>
            <w:tabs>
              <w:tab w:val="right" w:leader="dot" w:pos="9060"/>
            </w:tabs>
            <w:rPr>
              <w:rFonts w:asciiTheme="minorHAnsi" w:eastAsiaTheme="minorEastAsia" w:hAnsiTheme="minorHAnsi"/>
              <w:noProof/>
              <w:color w:val="auto"/>
              <w:sz w:val="22"/>
              <w:lang w:val="en-IN" w:eastAsia="en-IN"/>
            </w:rPr>
          </w:pPr>
          <w:hyperlink w:anchor="_Toc216894582" w:history="1">
            <w:r w:rsidRPr="00D52F43">
              <w:rPr>
                <w:rStyle w:val="Hyperlink"/>
                <w:noProof/>
                <w:lang w:val="en-GB"/>
              </w:rPr>
              <w:t>2. Financial Health Check</w:t>
            </w:r>
            <w:r>
              <w:rPr>
                <w:noProof/>
                <w:webHidden/>
              </w:rPr>
              <w:tab/>
            </w:r>
            <w:r>
              <w:rPr>
                <w:noProof/>
                <w:webHidden/>
              </w:rPr>
              <w:fldChar w:fldCharType="begin"/>
            </w:r>
            <w:r>
              <w:rPr>
                <w:noProof/>
                <w:webHidden/>
              </w:rPr>
              <w:instrText xml:space="preserve"> PAGEREF _Toc216894582 \h </w:instrText>
            </w:r>
            <w:r>
              <w:rPr>
                <w:noProof/>
                <w:webHidden/>
              </w:rPr>
            </w:r>
            <w:r>
              <w:rPr>
                <w:noProof/>
                <w:webHidden/>
              </w:rPr>
              <w:fldChar w:fldCharType="separate"/>
            </w:r>
            <w:r w:rsidR="001B4552">
              <w:rPr>
                <w:noProof/>
                <w:webHidden/>
              </w:rPr>
              <w:t>3</w:t>
            </w:r>
            <w:r>
              <w:rPr>
                <w:noProof/>
                <w:webHidden/>
              </w:rPr>
              <w:fldChar w:fldCharType="end"/>
            </w:r>
          </w:hyperlink>
        </w:p>
        <w:p w14:paraId="5222D512" w14:textId="55F3A776" w:rsidR="001D7BF7" w:rsidRDefault="001D7BF7">
          <w:pPr>
            <w:pStyle w:val="TOC2"/>
            <w:tabs>
              <w:tab w:val="right" w:leader="dot" w:pos="9060"/>
            </w:tabs>
            <w:rPr>
              <w:rFonts w:asciiTheme="minorHAnsi" w:eastAsiaTheme="minorEastAsia" w:hAnsiTheme="minorHAnsi"/>
              <w:noProof/>
              <w:color w:val="auto"/>
              <w:sz w:val="22"/>
              <w:lang w:val="en-IN" w:eastAsia="en-IN"/>
            </w:rPr>
          </w:pPr>
          <w:hyperlink w:anchor="_Toc216894583" w:history="1">
            <w:r w:rsidRPr="00D52F43">
              <w:rPr>
                <w:rStyle w:val="Hyperlink"/>
                <w:noProof/>
                <w:lang w:val="en-GB"/>
              </w:rPr>
              <w:t xml:space="preserve">2.1 Analysis of General electronics’ </w:t>
            </w:r>
            <w:r w:rsidRPr="00D52F43">
              <w:rPr>
                <w:rStyle w:val="Hyperlink"/>
                <w:noProof/>
              </w:rPr>
              <w:t>Financial</w:t>
            </w:r>
            <w:r w:rsidRPr="00D52F43">
              <w:rPr>
                <w:rStyle w:val="Hyperlink"/>
                <w:noProof/>
                <w:lang w:val="en-GB"/>
              </w:rPr>
              <w:t xml:space="preserve"> Statement (2020-2024)</w:t>
            </w:r>
            <w:r>
              <w:rPr>
                <w:noProof/>
                <w:webHidden/>
              </w:rPr>
              <w:tab/>
            </w:r>
            <w:r>
              <w:rPr>
                <w:noProof/>
                <w:webHidden/>
              </w:rPr>
              <w:fldChar w:fldCharType="begin"/>
            </w:r>
            <w:r>
              <w:rPr>
                <w:noProof/>
                <w:webHidden/>
              </w:rPr>
              <w:instrText xml:space="preserve"> PAGEREF _Toc216894583 \h </w:instrText>
            </w:r>
            <w:r>
              <w:rPr>
                <w:noProof/>
                <w:webHidden/>
              </w:rPr>
            </w:r>
            <w:r>
              <w:rPr>
                <w:noProof/>
                <w:webHidden/>
              </w:rPr>
              <w:fldChar w:fldCharType="separate"/>
            </w:r>
            <w:r w:rsidR="001B4552">
              <w:rPr>
                <w:noProof/>
                <w:webHidden/>
              </w:rPr>
              <w:t>3</w:t>
            </w:r>
            <w:r>
              <w:rPr>
                <w:noProof/>
                <w:webHidden/>
              </w:rPr>
              <w:fldChar w:fldCharType="end"/>
            </w:r>
          </w:hyperlink>
        </w:p>
        <w:p w14:paraId="1D54F373" w14:textId="73A9C833" w:rsidR="001D7BF7" w:rsidRDefault="001D7BF7">
          <w:pPr>
            <w:pStyle w:val="TOC2"/>
            <w:tabs>
              <w:tab w:val="right" w:leader="dot" w:pos="9060"/>
            </w:tabs>
            <w:rPr>
              <w:rFonts w:asciiTheme="minorHAnsi" w:eastAsiaTheme="minorEastAsia" w:hAnsiTheme="minorHAnsi"/>
              <w:noProof/>
              <w:color w:val="auto"/>
              <w:sz w:val="22"/>
              <w:lang w:val="en-IN" w:eastAsia="en-IN"/>
            </w:rPr>
          </w:pPr>
          <w:hyperlink w:anchor="_Toc216894584" w:history="1">
            <w:r w:rsidRPr="00D52F43">
              <w:rPr>
                <w:rStyle w:val="Hyperlink"/>
                <w:noProof/>
                <w:lang w:val="en-GB"/>
              </w:rPr>
              <w:t>2.2 Ratio assessment</w:t>
            </w:r>
            <w:r>
              <w:rPr>
                <w:noProof/>
                <w:webHidden/>
              </w:rPr>
              <w:tab/>
            </w:r>
            <w:r>
              <w:rPr>
                <w:noProof/>
                <w:webHidden/>
              </w:rPr>
              <w:fldChar w:fldCharType="begin"/>
            </w:r>
            <w:r>
              <w:rPr>
                <w:noProof/>
                <w:webHidden/>
              </w:rPr>
              <w:instrText xml:space="preserve"> PAGEREF _Toc216894584 \h </w:instrText>
            </w:r>
            <w:r>
              <w:rPr>
                <w:noProof/>
                <w:webHidden/>
              </w:rPr>
            </w:r>
            <w:r>
              <w:rPr>
                <w:noProof/>
                <w:webHidden/>
              </w:rPr>
              <w:fldChar w:fldCharType="separate"/>
            </w:r>
            <w:r w:rsidR="001B4552">
              <w:rPr>
                <w:noProof/>
                <w:webHidden/>
              </w:rPr>
              <w:t>4</w:t>
            </w:r>
            <w:r>
              <w:rPr>
                <w:noProof/>
                <w:webHidden/>
              </w:rPr>
              <w:fldChar w:fldCharType="end"/>
            </w:r>
          </w:hyperlink>
        </w:p>
        <w:p w14:paraId="5F0C496F" w14:textId="63806D79" w:rsidR="001D7BF7" w:rsidRDefault="001D7BF7">
          <w:pPr>
            <w:pStyle w:val="TOC2"/>
            <w:tabs>
              <w:tab w:val="right" w:leader="dot" w:pos="9060"/>
            </w:tabs>
            <w:rPr>
              <w:rFonts w:asciiTheme="minorHAnsi" w:eastAsiaTheme="minorEastAsia" w:hAnsiTheme="minorHAnsi"/>
              <w:noProof/>
              <w:color w:val="auto"/>
              <w:sz w:val="22"/>
              <w:lang w:val="en-IN" w:eastAsia="en-IN"/>
            </w:rPr>
          </w:pPr>
          <w:hyperlink w:anchor="_Toc216894585" w:history="1">
            <w:r w:rsidRPr="00D52F43">
              <w:rPr>
                <w:rStyle w:val="Hyperlink"/>
                <w:noProof/>
                <w:lang w:val="en-GB"/>
              </w:rPr>
              <w:t>2.3 Identification of Trends, Strengths, and Threats</w:t>
            </w:r>
            <w:r>
              <w:rPr>
                <w:noProof/>
                <w:webHidden/>
              </w:rPr>
              <w:tab/>
            </w:r>
            <w:r>
              <w:rPr>
                <w:noProof/>
                <w:webHidden/>
              </w:rPr>
              <w:fldChar w:fldCharType="begin"/>
            </w:r>
            <w:r>
              <w:rPr>
                <w:noProof/>
                <w:webHidden/>
              </w:rPr>
              <w:instrText xml:space="preserve"> PAGEREF _Toc216894585 \h </w:instrText>
            </w:r>
            <w:r>
              <w:rPr>
                <w:noProof/>
                <w:webHidden/>
              </w:rPr>
            </w:r>
            <w:r>
              <w:rPr>
                <w:noProof/>
                <w:webHidden/>
              </w:rPr>
              <w:fldChar w:fldCharType="separate"/>
            </w:r>
            <w:r w:rsidR="001B4552">
              <w:rPr>
                <w:noProof/>
                <w:webHidden/>
              </w:rPr>
              <w:t>7</w:t>
            </w:r>
            <w:r>
              <w:rPr>
                <w:noProof/>
                <w:webHidden/>
              </w:rPr>
              <w:fldChar w:fldCharType="end"/>
            </w:r>
          </w:hyperlink>
        </w:p>
        <w:p w14:paraId="756A0C2D" w14:textId="521146E0" w:rsidR="001D7BF7" w:rsidRDefault="001D7BF7">
          <w:pPr>
            <w:pStyle w:val="TOC2"/>
            <w:tabs>
              <w:tab w:val="right" w:leader="dot" w:pos="9060"/>
            </w:tabs>
            <w:rPr>
              <w:rFonts w:asciiTheme="minorHAnsi" w:eastAsiaTheme="minorEastAsia" w:hAnsiTheme="minorHAnsi"/>
              <w:noProof/>
              <w:color w:val="auto"/>
              <w:sz w:val="22"/>
              <w:lang w:val="en-IN" w:eastAsia="en-IN"/>
            </w:rPr>
          </w:pPr>
          <w:hyperlink w:anchor="_Toc216894586" w:history="1">
            <w:r w:rsidRPr="00D52F43">
              <w:rPr>
                <w:rStyle w:val="Hyperlink"/>
                <w:noProof/>
                <w:lang w:val="en-GB"/>
              </w:rPr>
              <w:t>2.4 Application of Altman Z-score for assessing default risk</w:t>
            </w:r>
            <w:r>
              <w:rPr>
                <w:noProof/>
                <w:webHidden/>
              </w:rPr>
              <w:tab/>
            </w:r>
            <w:r>
              <w:rPr>
                <w:noProof/>
                <w:webHidden/>
              </w:rPr>
              <w:fldChar w:fldCharType="begin"/>
            </w:r>
            <w:r>
              <w:rPr>
                <w:noProof/>
                <w:webHidden/>
              </w:rPr>
              <w:instrText xml:space="preserve"> PAGEREF _Toc216894586 \h </w:instrText>
            </w:r>
            <w:r>
              <w:rPr>
                <w:noProof/>
                <w:webHidden/>
              </w:rPr>
            </w:r>
            <w:r>
              <w:rPr>
                <w:noProof/>
                <w:webHidden/>
              </w:rPr>
              <w:fldChar w:fldCharType="separate"/>
            </w:r>
            <w:r w:rsidR="001B4552">
              <w:rPr>
                <w:noProof/>
                <w:webHidden/>
              </w:rPr>
              <w:t>8</w:t>
            </w:r>
            <w:r>
              <w:rPr>
                <w:noProof/>
                <w:webHidden/>
              </w:rPr>
              <w:fldChar w:fldCharType="end"/>
            </w:r>
          </w:hyperlink>
        </w:p>
        <w:p w14:paraId="006206EC" w14:textId="4A6DB501" w:rsidR="001D7BF7" w:rsidRDefault="001D7BF7">
          <w:pPr>
            <w:pStyle w:val="TOC1"/>
            <w:tabs>
              <w:tab w:val="right" w:leader="dot" w:pos="9060"/>
            </w:tabs>
            <w:rPr>
              <w:rFonts w:asciiTheme="minorHAnsi" w:eastAsiaTheme="minorEastAsia" w:hAnsiTheme="minorHAnsi"/>
              <w:noProof/>
              <w:color w:val="auto"/>
              <w:sz w:val="22"/>
              <w:lang w:val="en-IN" w:eastAsia="en-IN"/>
            </w:rPr>
          </w:pPr>
          <w:hyperlink w:anchor="_Toc216894587" w:history="1">
            <w:r w:rsidRPr="00D52F43">
              <w:rPr>
                <w:rStyle w:val="Hyperlink"/>
                <w:noProof/>
                <w:lang w:val="en-GB"/>
              </w:rPr>
              <w:t>3. Working Capital Management Analysis</w:t>
            </w:r>
            <w:r>
              <w:rPr>
                <w:noProof/>
                <w:webHidden/>
              </w:rPr>
              <w:tab/>
            </w:r>
            <w:r>
              <w:rPr>
                <w:noProof/>
                <w:webHidden/>
              </w:rPr>
              <w:fldChar w:fldCharType="begin"/>
            </w:r>
            <w:r>
              <w:rPr>
                <w:noProof/>
                <w:webHidden/>
              </w:rPr>
              <w:instrText xml:space="preserve"> PAGEREF _Toc216894587 \h </w:instrText>
            </w:r>
            <w:r>
              <w:rPr>
                <w:noProof/>
                <w:webHidden/>
              </w:rPr>
            </w:r>
            <w:r>
              <w:rPr>
                <w:noProof/>
                <w:webHidden/>
              </w:rPr>
              <w:fldChar w:fldCharType="separate"/>
            </w:r>
            <w:r w:rsidR="001B4552">
              <w:rPr>
                <w:noProof/>
                <w:webHidden/>
              </w:rPr>
              <w:t>9</w:t>
            </w:r>
            <w:r>
              <w:rPr>
                <w:noProof/>
                <w:webHidden/>
              </w:rPr>
              <w:fldChar w:fldCharType="end"/>
            </w:r>
          </w:hyperlink>
        </w:p>
        <w:p w14:paraId="4BB046DA" w14:textId="56863A14" w:rsidR="001D7BF7" w:rsidRDefault="001D7BF7">
          <w:pPr>
            <w:pStyle w:val="TOC2"/>
            <w:tabs>
              <w:tab w:val="right" w:leader="dot" w:pos="9060"/>
            </w:tabs>
            <w:rPr>
              <w:rFonts w:asciiTheme="minorHAnsi" w:eastAsiaTheme="minorEastAsia" w:hAnsiTheme="minorHAnsi"/>
              <w:noProof/>
              <w:color w:val="auto"/>
              <w:sz w:val="22"/>
              <w:lang w:val="en-IN" w:eastAsia="en-IN"/>
            </w:rPr>
          </w:pPr>
          <w:hyperlink w:anchor="_Toc216894588" w:history="1">
            <w:r w:rsidRPr="00D52F43">
              <w:rPr>
                <w:rStyle w:val="Hyperlink"/>
                <w:noProof/>
                <w:lang w:val="en-GB"/>
              </w:rPr>
              <w:t>3.1 Cash Operating Cycle</w:t>
            </w:r>
            <w:r>
              <w:rPr>
                <w:noProof/>
                <w:webHidden/>
              </w:rPr>
              <w:tab/>
            </w:r>
            <w:r>
              <w:rPr>
                <w:noProof/>
                <w:webHidden/>
              </w:rPr>
              <w:fldChar w:fldCharType="begin"/>
            </w:r>
            <w:r>
              <w:rPr>
                <w:noProof/>
                <w:webHidden/>
              </w:rPr>
              <w:instrText xml:space="preserve"> PAGEREF _Toc216894588 \h </w:instrText>
            </w:r>
            <w:r>
              <w:rPr>
                <w:noProof/>
                <w:webHidden/>
              </w:rPr>
            </w:r>
            <w:r>
              <w:rPr>
                <w:noProof/>
                <w:webHidden/>
              </w:rPr>
              <w:fldChar w:fldCharType="separate"/>
            </w:r>
            <w:r w:rsidR="001B4552">
              <w:rPr>
                <w:noProof/>
                <w:webHidden/>
              </w:rPr>
              <w:t>9</w:t>
            </w:r>
            <w:r>
              <w:rPr>
                <w:noProof/>
                <w:webHidden/>
              </w:rPr>
              <w:fldChar w:fldCharType="end"/>
            </w:r>
          </w:hyperlink>
        </w:p>
        <w:p w14:paraId="449AFF19" w14:textId="1AAB208C" w:rsidR="001D7BF7" w:rsidRDefault="001D7BF7">
          <w:pPr>
            <w:pStyle w:val="TOC2"/>
            <w:tabs>
              <w:tab w:val="right" w:leader="dot" w:pos="9060"/>
            </w:tabs>
            <w:rPr>
              <w:rFonts w:asciiTheme="minorHAnsi" w:eastAsiaTheme="minorEastAsia" w:hAnsiTheme="minorHAnsi"/>
              <w:noProof/>
              <w:color w:val="auto"/>
              <w:sz w:val="22"/>
              <w:lang w:val="en-IN" w:eastAsia="en-IN"/>
            </w:rPr>
          </w:pPr>
          <w:hyperlink w:anchor="_Toc216894589" w:history="1">
            <w:r w:rsidRPr="00D52F43">
              <w:rPr>
                <w:rStyle w:val="Hyperlink"/>
                <w:noProof/>
                <w:lang w:val="en-GB"/>
              </w:rPr>
              <w:t>3.2 Recommending strategies to improve liquidity through working capital reforms</w:t>
            </w:r>
            <w:r>
              <w:rPr>
                <w:noProof/>
                <w:webHidden/>
              </w:rPr>
              <w:tab/>
            </w:r>
            <w:r>
              <w:rPr>
                <w:noProof/>
                <w:webHidden/>
              </w:rPr>
              <w:fldChar w:fldCharType="begin"/>
            </w:r>
            <w:r>
              <w:rPr>
                <w:noProof/>
                <w:webHidden/>
              </w:rPr>
              <w:instrText xml:space="preserve"> PAGEREF _Toc216894589 \h </w:instrText>
            </w:r>
            <w:r>
              <w:rPr>
                <w:noProof/>
                <w:webHidden/>
              </w:rPr>
            </w:r>
            <w:r>
              <w:rPr>
                <w:noProof/>
                <w:webHidden/>
              </w:rPr>
              <w:fldChar w:fldCharType="separate"/>
            </w:r>
            <w:r w:rsidR="001B4552">
              <w:rPr>
                <w:noProof/>
                <w:webHidden/>
              </w:rPr>
              <w:t>10</w:t>
            </w:r>
            <w:r>
              <w:rPr>
                <w:noProof/>
                <w:webHidden/>
              </w:rPr>
              <w:fldChar w:fldCharType="end"/>
            </w:r>
          </w:hyperlink>
        </w:p>
        <w:p w14:paraId="09394B83" w14:textId="21AF56AB" w:rsidR="001D7BF7" w:rsidRDefault="001D7BF7">
          <w:pPr>
            <w:pStyle w:val="TOC2"/>
            <w:tabs>
              <w:tab w:val="right" w:leader="dot" w:pos="9060"/>
            </w:tabs>
            <w:rPr>
              <w:rFonts w:asciiTheme="minorHAnsi" w:eastAsiaTheme="minorEastAsia" w:hAnsiTheme="minorHAnsi"/>
              <w:noProof/>
              <w:color w:val="auto"/>
              <w:sz w:val="22"/>
              <w:lang w:val="en-IN" w:eastAsia="en-IN"/>
            </w:rPr>
          </w:pPr>
          <w:hyperlink w:anchor="_Toc216894590" w:history="1">
            <w:r w:rsidRPr="00D52F43">
              <w:rPr>
                <w:rStyle w:val="Hyperlink"/>
                <w:noProof/>
                <w:lang w:val="en-GB"/>
              </w:rPr>
              <w:t>3.3 Comparing short-term Vs long-term financing options</w:t>
            </w:r>
            <w:r>
              <w:rPr>
                <w:noProof/>
                <w:webHidden/>
              </w:rPr>
              <w:tab/>
            </w:r>
            <w:r>
              <w:rPr>
                <w:noProof/>
                <w:webHidden/>
              </w:rPr>
              <w:fldChar w:fldCharType="begin"/>
            </w:r>
            <w:r>
              <w:rPr>
                <w:noProof/>
                <w:webHidden/>
              </w:rPr>
              <w:instrText xml:space="preserve"> PAGEREF _Toc216894590 \h </w:instrText>
            </w:r>
            <w:r>
              <w:rPr>
                <w:noProof/>
                <w:webHidden/>
              </w:rPr>
            </w:r>
            <w:r>
              <w:rPr>
                <w:noProof/>
                <w:webHidden/>
              </w:rPr>
              <w:fldChar w:fldCharType="separate"/>
            </w:r>
            <w:r w:rsidR="001B4552">
              <w:rPr>
                <w:noProof/>
                <w:webHidden/>
              </w:rPr>
              <w:t>11</w:t>
            </w:r>
            <w:r>
              <w:rPr>
                <w:noProof/>
                <w:webHidden/>
              </w:rPr>
              <w:fldChar w:fldCharType="end"/>
            </w:r>
          </w:hyperlink>
        </w:p>
        <w:p w14:paraId="76128381" w14:textId="3AEE8533" w:rsidR="001D7BF7" w:rsidRDefault="001D7BF7">
          <w:pPr>
            <w:pStyle w:val="TOC1"/>
            <w:tabs>
              <w:tab w:val="right" w:leader="dot" w:pos="9060"/>
            </w:tabs>
            <w:rPr>
              <w:rFonts w:asciiTheme="minorHAnsi" w:eastAsiaTheme="minorEastAsia" w:hAnsiTheme="minorHAnsi"/>
              <w:noProof/>
              <w:color w:val="auto"/>
              <w:sz w:val="22"/>
              <w:lang w:val="en-IN" w:eastAsia="en-IN"/>
            </w:rPr>
          </w:pPr>
          <w:hyperlink w:anchor="_Toc216894591" w:history="1">
            <w:r w:rsidRPr="00D52F43">
              <w:rPr>
                <w:rStyle w:val="Hyperlink"/>
                <w:noProof/>
                <w:lang w:val="en-GB"/>
              </w:rPr>
              <w:t>4. Strategic Financial Restructuring Plan</w:t>
            </w:r>
            <w:r>
              <w:rPr>
                <w:noProof/>
                <w:webHidden/>
              </w:rPr>
              <w:tab/>
            </w:r>
            <w:r>
              <w:rPr>
                <w:noProof/>
                <w:webHidden/>
              </w:rPr>
              <w:fldChar w:fldCharType="begin"/>
            </w:r>
            <w:r>
              <w:rPr>
                <w:noProof/>
                <w:webHidden/>
              </w:rPr>
              <w:instrText xml:space="preserve"> PAGEREF _Toc216894591 \h </w:instrText>
            </w:r>
            <w:r>
              <w:rPr>
                <w:noProof/>
                <w:webHidden/>
              </w:rPr>
            </w:r>
            <w:r>
              <w:rPr>
                <w:noProof/>
                <w:webHidden/>
              </w:rPr>
              <w:fldChar w:fldCharType="separate"/>
            </w:r>
            <w:r w:rsidR="001B4552">
              <w:rPr>
                <w:noProof/>
                <w:webHidden/>
              </w:rPr>
              <w:t>11</w:t>
            </w:r>
            <w:r>
              <w:rPr>
                <w:noProof/>
                <w:webHidden/>
              </w:rPr>
              <w:fldChar w:fldCharType="end"/>
            </w:r>
          </w:hyperlink>
        </w:p>
        <w:p w14:paraId="3F4BDE6E" w14:textId="121D38D4" w:rsidR="001D7BF7" w:rsidRDefault="001D7BF7">
          <w:pPr>
            <w:pStyle w:val="TOC2"/>
            <w:tabs>
              <w:tab w:val="right" w:leader="dot" w:pos="9060"/>
            </w:tabs>
            <w:rPr>
              <w:rFonts w:asciiTheme="minorHAnsi" w:eastAsiaTheme="minorEastAsia" w:hAnsiTheme="minorHAnsi"/>
              <w:noProof/>
              <w:color w:val="auto"/>
              <w:sz w:val="22"/>
              <w:lang w:val="en-IN" w:eastAsia="en-IN"/>
            </w:rPr>
          </w:pPr>
          <w:hyperlink w:anchor="_Toc216894592" w:history="1">
            <w:r w:rsidRPr="00D52F43">
              <w:rPr>
                <w:rStyle w:val="Hyperlink"/>
                <w:noProof/>
                <w:lang w:val="en-GB"/>
              </w:rPr>
              <w:t>4.1 Recommendation of Financial Restructuring Options</w:t>
            </w:r>
            <w:r>
              <w:rPr>
                <w:noProof/>
                <w:webHidden/>
              </w:rPr>
              <w:tab/>
            </w:r>
            <w:r>
              <w:rPr>
                <w:noProof/>
                <w:webHidden/>
              </w:rPr>
              <w:fldChar w:fldCharType="begin"/>
            </w:r>
            <w:r>
              <w:rPr>
                <w:noProof/>
                <w:webHidden/>
              </w:rPr>
              <w:instrText xml:space="preserve"> PAGEREF _Toc216894592 \h </w:instrText>
            </w:r>
            <w:r>
              <w:rPr>
                <w:noProof/>
                <w:webHidden/>
              </w:rPr>
            </w:r>
            <w:r>
              <w:rPr>
                <w:noProof/>
                <w:webHidden/>
              </w:rPr>
              <w:fldChar w:fldCharType="separate"/>
            </w:r>
            <w:r w:rsidR="001B4552">
              <w:rPr>
                <w:noProof/>
                <w:webHidden/>
              </w:rPr>
              <w:t>11</w:t>
            </w:r>
            <w:r>
              <w:rPr>
                <w:noProof/>
                <w:webHidden/>
              </w:rPr>
              <w:fldChar w:fldCharType="end"/>
            </w:r>
          </w:hyperlink>
        </w:p>
        <w:p w14:paraId="5CA0F175" w14:textId="26E1C923" w:rsidR="001D7BF7" w:rsidRDefault="001D7BF7">
          <w:pPr>
            <w:pStyle w:val="TOC2"/>
            <w:tabs>
              <w:tab w:val="right" w:leader="dot" w:pos="9060"/>
            </w:tabs>
            <w:rPr>
              <w:rFonts w:asciiTheme="minorHAnsi" w:eastAsiaTheme="minorEastAsia" w:hAnsiTheme="minorHAnsi"/>
              <w:noProof/>
              <w:color w:val="auto"/>
              <w:sz w:val="22"/>
              <w:lang w:val="en-IN" w:eastAsia="en-IN"/>
            </w:rPr>
          </w:pPr>
          <w:hyperlink w:anchor="_Toc216894593" w:history="1">
            <w:r w:rsidRPr="00D52F43">
              <w:rPr>
                <w:rStyle w:val="Hyperlink"/>
                <w:noProof/>
                <w:lang w:val="en-GB"/>
              </w:rPr>
              <w:t>4.2 Impact of restructuring on shareholder value, debt structure, and operational flexibility</w:t>
            </w:r>
            <w:r>
              <w:rPr>
                <w:noProof/>
                <w:webHidden/>
              </w:rPr>
              <w:tab/>
            </w:r>
            <w:r>
              <w:rPr>
                <w:noProof/>
                <w:webHidden/>
              </w:rPr>
              <w:fldChar w:fldCharType="begin"/>
            </w:r>
            <w:r>
              <w:rPr>
                <w:noProof/>
                <w:webHidden/>
              </w:rPr>
              <w:instrText xml:space="preserve"> PAGEREF _Toc216894593 \h </w:instrText>
            </w:r>
            <w:r>
              <w:rPr>
                <w:noProof/>
                <w:webHidden/>
              </w:rPr>
            </w:r>
            <w:r>
              <w:rPr>
                <w:noProof/>
                <w:webHidden/>
              </w:rPr>
              <w:fldChar w:fldCharType="separate"/>
            </w:r>
            <w:r w:rsidR="001B4552">
              <w:rPr>
                <w:noProof/>
                <w:webHidden/>
              </w:rPr>
              <w:t>12</w:t>
            </w:r>
            <w:r>
              <w:rPr>
                <w:noProof/>
                <w:webHidden/>
              </w:rPr>
              <w:fldChar w:fldCharType="end"/>
            </w:r>
          </w:hyperlink>
        </w:p>
        <w:p w14:paraId="255C0AFE" w14:textId="4E4CF524" w:rsidR="001D7BF7" w:rsidRDefault="001D7BF7">
          <w:pPr>
            <w:pStyle w:val="TOC2"/>
            <w:tabs>
              <w:tab w:val="right" w:leader="dot" w:pos="9060"/>
            </w:tabs>
            <w:rPr>
              <w:rFonts w:asciiTheme="minorHAnsi" w:eastAsiaTheme="minorEastAsia" w:hAnsiTheme="minorHAnsi"/>
              <w:noProof/>
              <w:color w:val="auto"/>
              <w:sz w:val="22"/>
              <w:lang w:val="en-IN" w:eastAsia="en-IN"/>
            </w:rPr>
          </w:pPr>
          <w:hyperlink w:anchor="_Toc216894594" w:history="1">
            <w:r w:rsidRPr="00D52F43">
              <w:rPr>
                <w:rStyle w:val="Hyperlink"/>
                <w:noProof/>
                <w:lang w:val="en-GB"/>
              </w:rPr>
              <w:t>4.3 International and Ethical Considerations</w:t>
            </w:r>
            <w:r>
              <w:rPr>
                <w:noProof/>
                <w:webHidden/>
              </w:rPr>
              <w:tab/>
            </w:r>
            <w:r>
              <w:rPr>
                <w:noProof/>
                <w:webHidden/>
              </w:rPr>
              <w:fldChar w:fldCharType="begin"/>
            </w:r>
            <w:r>
              <w:rPr>
                <w:noProof/>
                <w:webHidden/>
              </w:rPr>
              <w:instrText xml:space="preserve"> PAGEREF _Toc216894594 \h </w:instrText>
            </w:r>
            <w:r>
              <w:rPr>
                <w:noProof/>
                <w:webHidden/>
              </w:rPr>
            </w:r>
            <w:r>
              <w:rPr>
                <w:noProof/>
                <w:webHidden/>
              </w:rPr>
              <w:fldChar w:fldCharType="separate"/>
            </w:r>
            <w:r w:rsidR="001B4552">
              <w:rPr>
                <w:noProof/>
                <w:webHidden/>
              </w:rPr>
              <w:t>15</w:t>
            </w:r>
            <w:r>
              <w:rPr>
                <w:noProof/>
                <w:webHidden/>
              </w:rPr>
              <w:fldChar w:fldCharType="end"/>
            </w:r>
          </w:hyperlink>
        </w:p>
        <w:p w14:paraId="571E84EB" w14:textId="3A6F01C5" w:rsidR="001D7BF7" w:rsidRDefault="001D7BF7">
          <w:pPr>
            <w:pStyle w:val="TOC1"/>
            <w:tabs>
              <w:tab w:val="right" w:leader="dot" w:pos="9060"/>
            </w:tabs>
            <w:rPr>
              <w:rFonts w:asciiTheme="minorHAnsi" w:eastAsiaTheme="minorEastAsia" w:hAnsiTheme="minorHAnsi"/>
              <w:noProof/>
              <w:color w:val="auto"/>
              <w:sz w:val="22"/>
              <w:lang w:val="en-IN" w:eastAsia="en-IN"/>
            </w:rPr>
          </w:pPr>
          <w:hyperlink w:anchor="_Toc216894595" w:history="1">
            <w:r w:rsidRPr="00D52F43">
              <w:rPr>
                <w:rStyle w:val="Hyperlink"/>
                <w:noProof/>
                <w:lang w:val="en-GB"/>
              </w:rPr>
              <w:t>5. Investment Appraisal and Capital Budgeting</w:t>
            </w:r>
            <w:r>
              <w:rPr>
                <w:noProof/>
                <w:webHidden/>
              </w:rPr>
              <w:tab/>
            </w:r>
            <w:r>
              <w:rPr>
                <w:noProof/>
                <w:webHidden/>
              </w:rPr>
              <w:fldChar w:fldCharType="begin"/>
            </w:r>
            <w:r>
              <w:rPr>
                <w:noProof/>
                <w:webHidden/>
              </w:rPr>
              <w:instrText xml:space="preserve"> PAGEREF _Toc216894595 \h </w:instrText>
            </w:r>
            <w:r>
              <w:rPr>
                <w:noProof/>
                <w:webHidden/>
              </w:rPr>
            </w:r>
            <w:r>
              <w:rPr>
                <w:noProof/>
                <w:webHidden/>
              </w:rPr>
              <w:fldChar w:fldCharType="separate"/>
            </w:r>
            <w:r w:rsidR="001B4552">
              <w:rPr>
                <w:noProof/>
                <w:webHidden/>
              </w:rPr>
              <w:t>15</w:t>
            </w:r>
            <w:r>
              <w:rPr>
                <w:noProof/>
                <w:webHidden/>
              </w:rPr>
              <w:fldChar w:fldCharType="end"/>
            </w:r>
          </w:hyperlink>
        </w:p>
        <w:p w14:paraId="48DE129F" w14:textId="57B930DE" w:rsidR="001D7BF7" w:rsidRDefault="001D7BF7">
          <w:pPr>
            <w:pStyle w:val="TOC2"/>
            <w:tabs>
              <w:tab w:val="right" w:leader="dot" w:pos="9060"/>
            </w:tabs>
            <w:rPr>
              <w:rFonts w:asciiTheme="minorHAnsi" w:eastAsiaTheme="minorEastAsia" w:hAnsiTheme="minorHAnsi"/>
              <w:noProof/>
              <w:color w:val="auto"/>
              <w:sz w:val="22"/>
              <w:lang w:val="en-IN" w:eastAsia="en-IN"/>
            </w:rPr>
          </w:pPr>
          <w:hyperlink w:anchor="_Toc216894596" w:history="1">
            <w:r w:rsidRPr="00D52F43">
              <w:rPr>
                <w:rStyle w:val="Hyperlink"/>
                <w:noProof/>
                <w:lang w:val="en-GB"/>
              </w:rPr>
              <w:t>5.1 Analysis of PBP, ARR, NPV, PI, and IRR of Projects</w:t>
            </w:r>
            <w:r>
              <w:rPr>
                <w:noProof/>
                <w:webHidden/>
              </w:rPr>
              <w:tab/>
            </w:r>
            <w:r>
              <w:rPr>
                <w:noProof/>
                <w:webHidden/>
              </w:rPr>
              <w:fldChar w:fldCharType="begin"/>
            </w:r>
            <w:r>
              <w:rPr>
                <w:noProof/>
                <w:webHidden/>
              </w:rPr>
              <w:instrText xml:space="preserve"> PAGEREF _Toc216894596 \h </w:instrText>
            </w:r>
            <w:r>
              <w:rPr>
                <w:noProof/>
                <w:webHidden/>
              </w:rPr>
            </w:r>
            <w:r>
              <w:rPr>
                <w:noProof/>
                <w:webHidden/>
              </w:rPr>
              <w:fldChar w:fldCharType="separate"/>
            </w:r>
            <w:r w:rsidR="001B4552">
              <w:rPr>
                <w:noProof/>
                <w:webHidden/>
              </w:rPr>
              <w:t>16</w:t>
            </w:r>
            <w:r>
              <w:rPr>
                <w:noProof/>
                <w:webHidden/>
              </w:rPr>
              <w:fldChar w:fldCharType="end"/>
            </w:r>
          </w:hyperlink>
        </w:p>
        <w:p w14:paraId="0A7D4325" w14:textId="3B3F6DB0" w:rsidR="001D7BF7" w:rsidRDefault="001D7BF7">
          <w:pPr>
            <w:pStyle w:val="TOC2"/>
            <w:tabs>
              <w:tab w:val="right" w:leader="dot" w:pos="9060"/>
            </w:tabs>
            <w:rPr>
              <w:rFonts w:asciiTheme="minorHAnsi" w:eastAsiaTheme="minorEastAsia" w:hAnsiTheme="minorHAnsi"/>
              <w:noProof/>
              <w:color w:val="auto"/>
              <w:sz w:val="22"/>
              <w:lang w:val="en-IN" w:eastAsia="en-IN"/>
            </w:rPr>
          </w:pPr>
          <w:hyperlink w:anchor="_Toc216894597" w:history="1">
            <w:r w:rsidRPr="00D52F43">
              <w:rPr>
                <w:rStyle w:val="Hyperlink"/>
                <w:noProof/>
                <w:lang w:val="en-GB"/>
              </w:rPr>
              <w:t>5.2 Final Investment Recommendation</w:t>
            </w:r>
            <w:r>
              <w:rPr>
                <w:noProof/>
                <w:webHidden/>
              </w:rPr>
              <w:tab/>
            </w:r>
            <w:r>
              <w:rPr>
                <w:noProof/>
                <w:webHidden/>
              </w:rPr>
              <w:fldChar w:fldCharType="begin"/>
            </w:r>
            <w:r>
              <w:rPr>
                <w:noProof/>
                <w:webHidden/>
              </w:rPr>
              <w:instrText xml:space="preserve"> PAGEREF _Toc216894597 \h </w:instrText>
            </w:r>
            <w:r>
              <w:rPr>
                <w:noProof/>
                <w:webHidden/>
              </w:rPr>
            </w:r>
            <w:r>
              <w:rPr>
                <w:noProof/>
                <w:webHidden/>
              </w:rPr>
              <w:fldChar w:fldCharType="separate"/>
            </w:r>
            <w:r w:rsidR="001B4552">
              <w:rPr>
                <w:noProof/>
                <w:webHidden/>
              </w:rPr>
              <w:t>17</w:t>
            </w:r>
            <w:r>
              <w:rPr>
                <w:noProof/>
                <w:webHidden/>
              </w:rPr>
              <w:fldChar w:fldCharType="end"/>
            </w:r>
          </w:hyperlink>
        </w:p>
        <w:p w14:paraId="02858CB4" w14:textId="74FAFB69" w:rsidR="001D7BF7" w:rsidRDefault="001D7BF7">
          <w:pPr>
            <w:pStyle w:val="TOC2"/>
            <w:tabs>
              <w:tab w:val="right" w:leader="dot" w:pos="9060"/>
            </w:tabs>
            <w:rPr>
              <w:rFonts w:asciiTheme="minorHAnsi" w:eastAsiaTheme="minorEastAsia" w:hAnsiTheme="minorHAnsi"/>
              <w:noProof/>
              <w:color w:val="auto"/>
              <w:sz w:val="22"/>
              <w:lang w:val="en-IN" w:eastAsia="en-IN"/>
            </w:rPr>
          </w:pPr>
          <w:hyperlink w:anchor="_Toc216894598" w:history="1">
            <w:r w:rsidRPr="00D52F43">
              <w:rPr>
                <w:rStyle w:val="Hyperlink"/>
                <w:noProof/>
                <w:lang w:val="en-GB"/>
              </w:rPr>
              <w:t>5.3 Justification</w:t>
            </w:r>
            <w:r>
              <w:rPr>
                <w:noProof/>
                <w:webHidden/>
              </w:rPr>
              <w:tab/>
            </w:r>
            <w:r>
              <w:rPr>
                <w:noProof/>
                <w:webHidden/>
              </w:rPr>
              <w:fldChar w:fldCharType="begin"/>
            </w:r>
            <w:r>
              <w:rPr>
                <w:noProof/>
                <w:webHidden/>
              </w:rPr>
              <w:instrText xml:space="preserve"> PAGEREF _Toc216894598 \h </w:instrText>
            </w:r>
            <w:r>
              <w:rPr>
                <w:noProof/>
                <w:webHidden/>
              </w:rPr>
            </w:r>
            <w:r>
              <w:rPr>
                <w:noProof/>
                <w:webHidden/>
              </w:rPr>
              <w:fldChar w:fldCharType="separate"/>
            </w:r>
            <w:r w:rsidR="001B4552">
              <w:rPr>
                <w:noProof/>
                <w:webHidden/>
              </w:rPr>
              <w:t>18</w:t>
            </w:r>
            <w:r>
              <w:rPr>
                <w:noProof/>
                <w:webHidden/>
              </w:rPr>
              <w:fldChar w:fldCharType="end"/>
            </w:r>
          </w:hyperlink>
        </w:p>
        <w:p w14:paraId="587399F3" w14:textId="22BC3C7A" w:rsidR="001D7BF7" w:rsidRDefault="001D7BF7">
          <w:pPr>
            <w:pStyle w:val="TOC1"/>
            <w:tabs>
              <w:tab w:val="right" w:leader="dot" w:pos="9060"/>
            </w:tabs>
            <w:rPr>
              <w:rFonts w:asciiTheme="minorHAnsi" w:eastAsiaTheme="minorEastAsia" w:hAnsiTheme="minorHAnsi"/>
              <w:noProof/>
              <w:color w:val="auto"/>
              <w:sz w:val="22"/>
              <w:lang w:val="en-IN" w:eastAsia="en-IN"/>
            </w:rPr>
          </w:pPr>
          <w:hyperlink w:anchor="_Toc216894599" w:history="1">
            <w:r w:rsidRPr="00D52F43">
              <w:rPr>
                <w:rStyle w:val="Hyperlink"/>
                <w:noProof/>
                <w:lang w:val="en-GB"/>
              </w:rPr>
              <w:t>6. Conclusion</w:t>
            </w:r>
            <w:r>
              <w:rPr>
                <w:noProof/>
                <w:webHidden/>
              </w:rPr>
              <w:tab/>
            </w:r>
            <w:r>
              <w:rPr>
                <w:noProof/>
                <w:webHidden/>
              </w:rPr>
              <w:fldChar w:fldCharType="begin"/>
            </w:r>
            <w:r>
              <w:rPr>
                <w:noProof/>
                <w:webHidden/>
              </w:rPr>
              <w:instrText xml:space="preserve"> PAGEREF _Toc216894599 \h </w:instrText>
            </w:r>
            <w:r>
              <w:rPr>
                <w:noProof/>
                <w:webHidden/>
              </w:rPr>
            </w:r>
            <w:r>
              <w:rPr>
                <w:noProof/>
                <w:webHidden/>
              </w:rPr>
              <w:fldChar w:fldCharType="separate"/>
            </w:r>
            <w:r w:rsidR="001B4552">
              <w:rPr>
                <w:noProof/>
                <w:webHidden/>
              </w:rPr>
              <w:t>19</w:t>
            </w:r>
            <w:r>
              <w:rPr>
                <w:noProof/>
                <w:webHidden/>
              </w:rPr>
              <w:fldChar w:fldCharType="end"/>
            </w:r>
          </w:hyperlink>
        </w:p>
        <w:p w14:paraId="65E5E0D6" w14:textId="12D976DC" w:rsidR="001D7BF7" w:rsidRDefault="001D7BF7">
          <w:pPr>
            <w:pStyle w:val="TOC1"/>
            <w:tabs>
              <w:tab w:val="right" w:leader="dot" w:pos="9060"/>
            </w:tabs>
            <w:rPr>
              <w:rFonts w:asciiTheme="minorHAnsi" w:eastAsiaTheme="minorEastAsia" w:hAnsiTheme="minorHAnsi"/>
              <w:noProof/>
              <w:color w:val="auto"/>
              <w:sz w:val="22"/>
              <w:lang w:val="en-IN" w:eastAsia="en-IN"/>
            </w:rPr>
          </w:pPr>
          <w:hyperlink w:anchor="_Toc216894600" w:history="1">
            <w:r w:rsidRPr="00D52F43">
              <w:rPr>
                <w:rStyle w:val="Hyperlink"/>
                <w:noProof/>
                <w:lang w:val="en-GB"/>
              </w:rPr>
              <w:t>References</w:t>
            </w:r>
            <w:r>
              <w:rPr>
                <w:noProof/>
                <w:webHidden/>
              </w:rPr>
              <w:tab/>
            </w:r>
            <w:r>
              <w:rPr>
                <w:noProof/>
                <w:webHidden/>
              </w:rPr>
              <w:fldChar w:fldCharType="begin"/>
            </w:r>
            <w:r>
              <w:rPr>
                <w:noProof/>
                <w:webHidden/>
              </w:rPr>
              <w:instrText xml:space="preserve"> PAGEREF _Toc216894600 \h </w:instrText>
            </w:r>
            <w:r>
              <w:rPr>
                <w:noProof/>
                <w:webHidden/>
              </w:rPr>
            </w:r>
            <w:r>
              <w:rPr>
                <w:noProof/>
                <w:webHidden/>
              </w:rPr>
              <w:fldChar w:fldCharType="separate"/>
            </w:r>
            <w:r w:rsidR="001B4552">
              <w:rPr>
                <w:noProof/>
                <w:webHidden/>
              </w:rPr>
              <w:t>20</w:t>
            </w:r>
            <w:r>
              <w:rPr>
                <w:noProof/>
                <w:webHidden/>
              </w:rPr>
              <w:fldChar w:fldCharType="end"/>
            </w:r>
          </w:hyperlink>
        </w:p>
        <w:p w14:paraId="3EEF4F41" w14:textId="259A7819" w:rsidR="001D7BF7" w:rsidRDefault="001D7BF7">
          <w:pPr>
            <w:pStyle w:val="TOC1"/>
            <w:tabs>
              <w:tab w:val="right" w:leader="dot" w:pos="9060"/>
            </w:tabs>
            <w:rPr>
              <w:rFonts w:asciiTheme="minorHAnsi" w:eastAsiaTheme="minorEastAsia" w:hAnsiTheme="minorHAnsi"/>
              <w:noProof/>
              <w:color w:val="auto"/>
              <w:sz w:val="22"/>
              <w:lang w:val="en-IN" w:eastAsia="en-IN"/>
            </w:rPr>
          </w:pPr>
          <w:hyperlink w:anchor="_Toc216894601" w:history="1">
            <w:r w:rsidRPr="00D52F43">
              <w:rPr>
                <w:rStyle w:val="Hyperlink"/>
                <w:noProof/>
                <w:lang w:val="en-GB"/>
              </w:rPr>
              <w:t>Appendices</w:t>
            </w:r>
            <w:r>
              <w:rPr>
                <w:noProof/>
                <w:webHidden/>
              </w:rPr>
              <w:tab/>
            </w:r>
            <w:r>
              <w:rPr>
                <w:noProof/>
                <w:webHidden/>
              </w:rPr>
              <w:fldChar w:fldCharType="begin"/>
            </w:r>
            <w:r>
              <w:rPr>
                <w:noProof/>
                <w:webHidden/>
              </w:rPr>
              <w:instrText xml:space="preserve"> PAGEREF _Toc216894601 \h </w:instrText>
            </w:r>
            <w:r>
              <w:rPr>
                <w:noProof/>
                <w:webHidden/>
              </w:rPr>
            </w:r>
            <w:r>
              <w:rPr>
                <w:noProof/>
                <w:webHidden/>
              </w:rPr>
              <w:fldChar w:fldCharType="separate"/>
            </w:r>
            <w:r w:rsidR="001B4552">
              <w:rPr>
                <w:noProof/>
                <w:webHidden/>
              </w:rPr>
              <w:t>23</w:t>
            </w:r>
            <w:r>
              <w:rPr>
                <w:noProof/>
                <w:webHidden/>
              </w:rPr>
              <w:fldChar w:fldCharType="end"/>
            </w:r>
          </w:hyperlink>
        </w:p>
        <w:p w14:paraId="53292A81" w14:textId="087AC58F" w:rsidR="001D7BF7" w:rsidRDefault="001D7BF7" w:rsidP="00436E0E">
          <w:pPr>
            <w:pStyle w:val="TOC2"/>
            <w:tabs>
              <w:tab w:val="right" w:leader="dot" w:pos="9060"/>
            </w:tabs>
            <w:rPr>
              <w:rFonts w:asciiTheme="minorHAnsi" w:eastAsiaTheme="minorEastAsia" w:hAnsiTheme="minorHAnsi"/>
              <w:noProof/>
              <w:color w:val="auto"/>
              <w:sz w:val="22"/>
              <w:lang w:val="en-IN" w:eastAsia="en-IN"/>
            </w:rPr>
          </w:pPr>
          <w:hyperlink w:anchor="_Toc216894602" w:history="1">
            <w:r w:rsidRPr="00D52F43">
              <w:rPr>
                <w:rStyle w:val="Hyperlink"/>
                <w:noProof/>
                <w:lang w:val="en-GB"/>
              </w:rPr>
              <w:t xml:space="preserve">Appendix </w:t>
            </w:r>
            <w:r>
              <w:rPr>
                <w:noProof/>
                <w:webHidden/>
              </w:rPr>
              <w:tab/>
            </w:r>
            <w:r>
              <w:rPr>
                <w:noProof/>
                <w:webHidden/>
              </w:rPr>
              <w:fldChar w:fldCharType="begin"/>
            </w:r>
            <w:r>
              <w:rPr>
                <w:noProof/>
                <w:webHidden/>
              </w:rPr>
              <w:instrText xml:space="preserve"> PAGEREF _Toc216894602 \h </w:instrText>
            </w:r>
            <w:r>
              <w:rPr>
                <w:noProof/>
                <w:webHidden/>
              </w:rPr>
            </w:r>
            <w:r>
              <w:rPr>
                <w:noProof/>
                <w:webHidden/>
              </w:rPr>
              <w:fldChar w:fldCharType="separate"/>
            </w:r>
            <w:r w:rsidR="001B4552">
              <w:rPr>
                <w:noProof/>
                <w:webHidden/>
              </w:rPr>
              <w:t>23</w:t>
            </w:r>
            <w:r>
              <w:rPr>
                <w:noProof/>
                <w:webHidden/>
              </w:rPr>
              <w:fldChar w:fldCharType="end"/>
            </w:r>
          </w:hyperlink>
        </w:p>
        <w:p w14:paraId="6D507798" w14:textId="3B109B2B" w:rsidR="001D7BF7" w:rsidRDefault="001D7BF7">
          <w:pPr>
            <w:pStyle w:val="TOC3"/>
            <w:tabs>
              <w:tab w:val="right" w:leader="dot" w:pos="9060"/>
            </w:tabs>
            <w:rPr>
              <w:rFonts w:asciiTheme="minorHAnsi" w:eastAsiaTheme="minorEastAsia" w:hAnsiTheme="minorHAnsi"/>
              <w:noProof/>
              <w:color w:val="auto"/>
              <w:sz w:val="22"/>
              <w:lang w:val="en-IN" w:eastAsia="en-IN"/>
            </w:rPr>
          </w:pPr>
          <w:hyperlink w:anchor="_Toc216894604" w:history="1">
            <w:r w:rsidRPr="00D52F43">
              <w:rPr>
                <w:rStyle w:val="Hyperlink"/>
                <w:noProof/>
                <w:lang w:val="en-GB"/>
              </w:rPr>
              <w:t>Project A</w:t>
            </w:r>
            <w:r>
              <w:rPr>
                <w:noProof/>
                <w:webHidden/>
              </w:rPr>
              <w:tab/>
            </w:r>
            <w:r>
              <w:rPr>
                <w:noProof/>
                <w:webHidden/>
              </w:rPr>
              <w:fldChar w:fldCharType="begin"/>
            </w:r>
            <w:r>
              <w:rPr>
                <w:noProof/>
                <w:webHidden/>
              </w:rPr>
              <w:instrText xml:space="preserve"> PAGEREF _Toc216894604 \h </w:instrText>
            </w:r>
            <w:r>
              <w:rPr>
                <w:noProof/>
                <w:webHidden/>
              </w:rPr>
            </w:r>
            <w:r>
              <w:rPr>
                <w:noProof/>
                <w:webHidden/>
              </w:rPr>
              <w:fldChar w:fldCharType="separate"/>
            </w:r>
            <w:r w:rsidR="001B4552">
              <w:rPr>
                <w:noProof/>
                <w:webHidden/>
              </w:rPr>
              <w:t>25</w:t>
            </w:r>
            <w:r>
              <w:rPr>
                <w:noProof/>
                <w:webHidden/>
              </w:rPr>
              <w:fldChar w:fldCharType="end"/>
            </w:r>
          </w:hyperlink>
        </w:p>
        <w:p w14:paraId="4308EF2A" w14:textId="14BB9E0D" w:rsidR="001D7BF7" w:rsidRDefault="001D7BF7">
          <w:pPr>
            <w:pStyle w:val="TOC3"/>
            <w:tabs>
              <w:tab w:val="right" w:leader="dot" w:pos="9060"/>
            </w:tabs>
            <w:rPr>
              <w:rFonts w:asciiTheme="minorHAnsi" w:eastAsiaTheme="minorEastAsia" w:hAnsiTheme="minorHAnsi"/>
              <w:noProof/>
              <w:color w:val="auto"/>
              <w:sz w:val="22"/>
              <w:lang w:val="en-IN" w:eastAsia="en-IN"/>
            </w:rPr>
          </w:pPr>
          <w:hyperlink w:anchor="_Toc216894605" w:history="1">
            <w:r w:rsidRPr="00D52F43">
              <w:rPr>
                <w:rStyle w:val="Hyperlink"/>
                <w:noProof/>
                <w:lang w:val="en-GB"/>
              </w:rPr>
              <w:t>Project B</w:t>
            </w:r>
            <w:r>
              <w:rPr>
                <w:noProof/>
                <w:webHidden/>
              </w:rPr>
              <w:tab/>
            </w:r>
            <w:r>
              <w:rPr>
                <w:noProof/>
                <w:webHidden/>
              </w:rPr>
              <w:fldChar w:fldCharType="begin"/>
            </w:r>
            <w:r>
              <w:rPr>
                <w:noProof/>
                <w:webHidden/>
              </w:rPr>
              <w:instrText xml:space="preserve"> PAGEREF _Toc216894605 \h </w:instrText>
            </w:r>
            <w:r>
              <w:rPr>
                <w:noProof/>
                <w:webHidden/>
              </w:rPr>
            </w:r>
            <w:r>
              <w:rPr>
                <w:noProof/>
                <w:webHidden/>
              </w:rPr>
              <w:fldChar w:fldCharType="separate"/>
            </w:r>
            <w:r w:rsidR="001B4552">
              <w:rPr>
                <w:noProof/>
                <w:webHidden/>
              </w:rPr>
              <w:t>27</w:t>
            </w:r>
            <w:r>
              <w:rPr>
                <w:noProof/>
                <w:webHidden/>
              </w:rPr>
              <w:fldChar w:fldCharType="end"/>
            </w:r>
          </w:hyperlink>
        </w:p>
        <w:p w14:paraId="48CBFC4B" w14:textId="4C278DDC" w:rsidR="001D7BF7" w:rsidRDefault="001D7BF7">
          <w:pPr>
            <w:pStyle w:val="TOC3"/>
            <w:tabs>
              <w:tab w:val="right" w:leader="dot" w:pos="9060"/>
            </w:tabs>
            <w:rPr>
              <w:rFonts w:asciiTheme="minorHAnsi" w:eastAsiaTheme="minorEastAsia" w:hAnsiTheme="minorHAnsi"/>
              <w:noProof/>
              <w:color w:val="auto"/>
              <w:sz w:val="22"/>
              <w:lang w:val="en-IN" w:eastAsia="en-IN"/>
            </w:rPr>
          </w:pPr>
          <w:hyperlink w:anchor="_Toc216894606" w:history="1">
            <w:r w:rsidRPr="00D52F43">
              <w:rPr>
                <w:rStyle w:val="Hyperlink"/>
                <w:noProof/>
                <w:lang w:val="en-GB"/>
              </w:rPr>
              <w:t>Project C</w:t>
            </w:r>
            <w:r>
              <w:rPr>
                <w:noProof/>
                <w:webHidden/>
              </w:rPr>
              <w:tab/>
            </w:r>
            <w:r>
              <w:rPr>
                <w:noProof/>
                <w:webHidden/>
              </w:rPr>
              <w:fldChar w:fldCharType="begin"/>
            </w:r>
            <w:r>
              <w:rPr>
                <w:noProof/>
                <w:webHidden/>
              </w:rPr>
              <w:instrText xml:space="preserve"> PAGEREF _Toc216894606 \h </w:instrText>
            </w:r>
            <w:r>
              <w:rPr>
                <w:noProof/>
                <w:webHidden/>
              </w:rPr>
            </w:r>
            <w:r>
              <w:rPr>
                <w:noProof/>
                <w:webHidden/>
              </w:rPr>
              <w:fldChar w:fldCharType="separate"/>
            </w:r>
            <w:r w:rsidR="001B4552">
              <w:rPr>
                <w:noProof/>
                <w:webHidden/>
              </w:rPr>
              <w:t>29</w:t>
            </w:r>
            <w:r>
              <w:rPr>
                <w:noProof/>
                <w:webHidden/>
              </w:rPr>
              <w:fldChar w:fldCharType="end"/>
            </w:r>
          </w:hyperlink>
        </w:p>
        <w:p w14:paraId="3A5648FD" w14:textId="37DC52FE" w:rsidR="00E91F8A" w:rsidRPr="00095284" w:rsidRDefault="00E91F8A">
          <w:pPr>
            <w:rPr>
              <w:rFonts w:cs="Arial"/>
              <w:szCs w:val="24"/>
              <w:lang w:val="en-GB"/>
            </w:rPr>
          </w:pPr>
          <w:r w:rsidRPr="00095284">
            <w:rPr>
              <w:rFonts w:cs="Arial"/>
              <w:b/>
              <w:bCs/>
              <w:szCs w:val="24"/>
              <w:lang w:val="en-GB"/>
            </w:rPr>
            <w:fldChar w:fldCharType="end"/>
          </w:r>
        </w:p>
      </w:sdtContent>
    </w:sdt>
    <w:p w14:paraId="1B3AE0E3" w14:textId="77777777" w:rsidR="001D07DB" w:rsidRPr="00095284" w:rsidRDefault="001D07DB" w:rsidP="001D07DB">
      <w:pPr>
        <w:spacing w:line="259" w:lineRule="auto"/>
        <w:jc w:val="center"/>
        <w:rPr>
          <w:rFonts w:cs="Arial"/>
          <w:b/>
          <w:sz w:val="28"/>
          <w:szCs w:val="28"/>
          <w:lang w:val="en-GB"/>
        </w:rPr>
      </w:pPr>
      <w:r w:rsidRPr="00095284">
        <w:rPr>
          <w:rFonts w:cs="Arial"/>
          <w:b/>
          <w:sz w:val="28"/>
          <w:szCs w:val="28"/>
          <w:lang w:val="en-GB"/>
        </w:rPr>
        <w:t xml:space="preserve">List of tables </w:t>
      </w:r>
    </w:p>
    <w:bookmarkStart w:id="0" w:name="_cor7gedovz8i" w:colFirst="0" w:colLast="0"/>
    <w:bookmarkEnd w:id="0"/>
    <w:p w14:paraId="36ED0867" w14:textId="77DC3971" w:rsidR="00095284" w:rsidRPr="00095284" w:rsidRDefault="00095284">
      <w:pPr>
        <w:pStyle w:val="TableofFigures"/>
        <w:tabs>
          <w:tab w:val="right" w:leader="dot" w:pos="9016"/>
        </w:tabs>
        <w:rPr>
          <w:rFonts w:eastAsiaTheme="minorEastAsia" w:cs="Arial"/>
          <w:noProof/>
          <w:kern w:val="2"/>
          <w:szCs w:val="24"/>
          <w:lang w:val="en-IN" w:eastAsia="en-IN"/>
          <w14:ligatures w14:val="standardContextual"/>
        </w:rPr>
      </w:pPr>
      <w:r w:rsidRPr="00095284">
        <w:rPr>
          <w:rFonts w:cs="Arial"/>
          <w:lang w:val="en-GB"/>
        </w:rPr>
        <w:fldChar w:fldCharType="begin"/>
      </w:r>
      <w:r w:rsidRPr="00095284">
        <w:rPr>
          <w:rFonts w:cs="Arial"/>
          <w:lang w:val="en-GB"/>
        </w:rPr>
        <w:instrText xml:space="preserve"> TOC \h \z \t "Heading 4" \c </w:instrText>
      </w:r>
      <w:r w:rsidRPr="00095284">
        <w:rPr>
          <w:rFonts w:cs="Arial"/>
          <w:lang w:val="en-GB"/>
        </w:rPr>
        <w:fldChar w:fldCharType="separate"/>
      </w:r>
      <w:hyperlink w:anchor="_Toc216891977" w:history="1">
        <w:r w:rsidRPr="00095284">
          <w:rPr>
            <w:rStyle w:val="Hyperlink"/>
            <w:rFonts w:cs="Arial"/>
            <w:noProof/>
            <w:lang w:val="en-GB"/>
          </w:rPr>
          <w:t>Table 1: Profitability Ratios</w:t>
        </w:r>
        <w:r w:rsidRPr="00095284">
          <w:rPr>
            <w:rFonts w:cs="Arial"/>
            <w:noProof/>
            <w:webHidden/>
          </w:rPr>
          <w:tab/>
        </w:r>
        <w:r w:rsidRPr="00095284">
          <w:rPr>
            <w:rFonts w:cs="Arial"/>
            <w:noProof/>
            <w:webHidden/>
          </w:rPr>
          <w:fldChar w:fldCharType="begin"/>
        </w:r>
        <w:r w:rsidRPr="00095284">
          <w:rPr>
            <w:rFonts w:cs="Arial"/>
            <w:noProof/>
            <w:webHidden/>
          </w:rPr>
          <w:instrText xml:space="preserve"> PAGEREF _Toc216891977 \h </w:instrText>
        </w:r>
        <w:r w:rsidRPr="00095284">
          <w:rPr>
            <w:rFonts w:cs="Arial"/>
            <w:noProof/>
            <w:webHidden/>
          </w:rPr>
        </w:r>
        <w:r w:rsidRPr="00095284">
          <w:rPr>
            <w:rFonts w:cs="Arial"/>
            <w:noProof/>
            <w:webHidden/>
          </w:rPr>
          <w:fldChar w:fldCharType="separate"/>
        </w:r>
        <w:r w:rsidR="001B4552">
          <w:rPr>
            <w:rFonts w:cs="Arial"/>
            <w:noProof/>
            <w:webHidden/>
          </w:rPr>
          <w:t>5</w:t>
        </w:r>
        <w:r w:rsidRPr="00095284">
          <w:rPr>
            <w:rFonts w:cs="Arial"/>
            <w:noProof/>
            <w:webHidden/>
          </w:rPr>
          <w:fldChar w:fldCharType="end"/>
        </w:r>
      </w:hyperlink>
    </w:p>
    <w:p w14:paraId="3E682B30" w14:textId="1DE17536" w:rsidR="00095284" w:rsidRPr="00095284" w:rsidRDefault="00095284">
      <w:pPr>
        <w:pStyle w:val="TableofFigures"/>
        <w:tabs>
          <w:tab w:val="right" w:leader="dot" w:pos="9016"/>
        </w:tabs>
        <w:rPr>
          <w:rFonts w:eastAsiaTheme="minorEastAsia" w:cs="Arial"/>
          <w:noProof/>
          <w:kern w:val="2"/>
          <w:szCs w:val="24"/>
          <w:lang w:val="en-IN" w:eastAsia="en-IN"/>
          <w14:ligatures w14:val="standardContextual"/>
        </w:rPr>
      </w:pPr>
      <w:hyperlink w:anchor="_Toc216891978" w:history="1">
        <w:r w:rsidRPr="00095284">
          <w:rPr>
            <w:rStyle w:val="Hyperlink"/>
            <w:rFonts w:cs="Arial"/>
            <w:noProof/>
            <w:lang w:val="en-GB"/>
          </w:rPr>
          <w:t>Table 2: Liquidity Ratios</w:t>
        </w:r>
        <w:r w:rsidRPr="00095284">
          <w:rPr>
            <w:rFonts w:cs="Arial"/>
            <w:noProof/>
            <w:webHidden/>
          </w:rPr>
          <w:tab/>
        </w:r>
        <w:r w:rsidRPr="00095284">
          <w:rPr>
            <w:rFonts w:cs="Arial"/>
            <w:noProof/>
            <w:webHidden/>
          </w:rPr>
          <w:fldChar w:fldCharType="begin"/>
        </w:r>
        <w:r w:rsidRPr="00095284">
          <w:rPr>
            <w:rFonts w:cs="Arial"/>
            <w:noProof/>
            <w:webHidden/>
          </w:rPr>
          <w:instrText xml:space="preserve"> PAGEREF _Toc216891978 \h </w:instrText>
        </w:r>
        <w:r w:rsidRPr="00095284">
          <w:rPr>
            <w:rFonts w:cs="Arial"/>
            <w:noProof/>
            <w:webHidden/>
          </w:rPr>
        </w:r>
        <w:r w:rsidRPr="00095284">
          <w:rPr>
            <w:rFonts w:cs="Arial"/>
            <w:noProof/>
            <w:webHidden/>
          </w:rPr>
          <w:fldChar w:fldCharType="separate"/>
        </w:r>
        <w:r w:rsidR="001B4552">
          <w:rPr>
            <w:rFonts w:cs="Arial"/>
            <w:noProof/>
            <w:webHidden/>
          </w:rPr>
          <w:t>5</w:t>
        </w:r>
        <w:r w:rsidRPr="00095284">
          <w:rPr>
            <w:rFonts w:cs="Arial"/>
            <w:noProof/>
            <w:webHidden/>
          </w:rPr>
          <w:fldChar w:fldCharType="end"/>
        </w:r>
      </w:hyperlink>
    </w:p>
    <w:p w14:paraId="3D4DAD20" w14:textId="3C1D66C7" w:rsidR="00095284" w:rsidRPr="00095284" w:rsidRDefault="00095284">
      <w:pPr>
        <w:pStyle w:val="TableofFigures"/>
        <w:tabs>
          <w:tab w:val="right" w:leader="dot" w:pos="9016"/>
        </w:tabs>
        <w:rPr>
          <w:rFonts w:eastAsiaTheme="minorEastAsia" w:cs="Arial"/>
          <w:noProof/>
          <w:kern w:val="2"/>
          <w:szCs w:val="24"/>
          <w:lang w:val="en-IN" w:eastAsia="en-IN"/>
          <w14:ligatures w14:val="standardContextual"/>
        </w:rPr>
      </w:pPr>
      <w:hyperlink w:anchor="_Toc216891979" w:history="1">
        <w:r w:rsidRPr="00095284">
          <w:rPr>
            <w:rStyle w:val="Hyperlink"/>
            <w:rFonts w:cs="Arial"/>
            <w:noProof/>
            <w:lang w:val="en-GB"/>
          </w:rPr>
          <w:t>Table 3: Efficiency Ratios</w:t>
        </w:r>
        <w:r w:rsidRPr="00095284">
          <w:rPr>
            <w:rFonts w:cs="Arial"/>
            <w:noProof/>
            <w:webHidden/>
          </w:rPr>
          <w:tab/>
        </w:r>
        <w:r w:rsidRPr="00095284">
          <w:rPr>
            <w:rFonts w:cs="Arial"/>
            <w:noProof/>
            <w:webHidden/>
          </w:rPr>
          <w:fldChar w:fldCharType="begin"/>
        </w:r>
        <w:r w:rsidRPr="00095284">
          <w:rPr>
            <w:rFonts w:cs="Arial"/>
            <w:noProof/>
            <w:webHidden/>
          </w:rPr>
          <w:instrText xml:space="preserve"> PAGEREF _Toc216891979 \h </w:instrText>
        </w:r>
        <w:r w:rsidRPr="00095284">
          <w:rPr>
            <w:rFonts w:cs="Arial"/>
            <w:noProof/>
            <w:webHidden/>
          </w:rPr>
        </w:r>
        <w:r w:rsidRPr="00095284">
          <w:rPr>
            <w:rFonts w:cs="Arial"/>
            <w:noProof/>
            <w:webHidden/>
          </w:rPr>
          <w:fldChar w:fldCharType="separate"/>
        </w:r>
        <w:r w:rsidR="001B4552">
          <w:rPr>
            <w:rFonts w:cs="Arial"/>
            <w:noProof/>
            <w:webHidden/>
          </w:rPr>
          <w:t>6</w:t>
        </w:r>
        <w:r w:rsidRPr="00095284">
          <w:rPr>
            <w:rFonts w:cs="Arial"/>
            <w:noProof/>
            <w:webHidden/>
          </w:rPr>
          <w:fldChar w:fldCharType="end"/>
        </w:r>
      </w:hyperlink>
    </w:p>
    <w:p w14:paraId="67F7728C" w14:textId="52496755" w:rsidR="00095284" w:rsidRPr="00095284" w:rsidRDefault="00095284">
      <w:pPr>
        <w:pStyle w:val="TableofFigures"/>
        <w:tabs>
          <w:tab w:val="right" w:leader="dot" w:pos="9016"/>
        </w:tabs>
        <w:rPr>
          <w:rFonts w:eastAsiaTheme="minorEastAsia" w:cs="Arial"/>
          <w:noProof/>
          <w:kern w:val="2"/>
          <w:szCs w:val="24"/>
          <w:lang w:val="en-IN" w:eastAsia="en-IN"/>
          <w14:ligatures w14:val="standardContextual"/>
        </w:rPr>
      </w:pPr>
      <w:hyperlink w:anchor="_Toc216891980" w:history="1">
        <w:r w:rsidRPr="00095284">
          <w:rPr>
            <w:rStyle w:val="Hyperlink"/>
            <w:rFonts w:cs="Arial"/>
            <w:noProof/>
            <w:lang w:val="en-GB"/>
          </w:rPr>
          <w:t>Table 4: Gearing / Leverage Ratios</w:t>
        </w:r>
        <w:r w:rsidRPr="00095284">
          <w:rPr>
            <w:rFonts w:cs="Arial"/>
            <w:noProof/>
            <w:webHidden/>
          </w:rPr>
          <w:tab/>
        </w:r>
        <w:r w:rsidRPr="00095284">
          <w:rPr>
            <w:rFonts w:cs="Arial"/>
            <w:noProof/>
            <w:webHidden/>
          </w:rPr>
          <w:fldChar w:fldCharType="begin"/>
        </w:r>
        <w:r w:rsidRPr="00095284">
          <w:rPr>
            <w:rFonts w:cs="Arial"/>
            <w:noProof/>
            <w:webHidden/>
          </w:rPr>
          <w:instrText xml:space="preserve"> PAGEREF _Toc216891980 \h </w:instrText>
        </w:r>
        <w:r w:rsidRPr="00095284">
          <w:rPr>
            <w:rFonts w:cs="Arial"/>
            <w:noProof/>
            <w:webHidden/>
          </w:rPr>
        </w:r>
        <w:r w:rsidRPr="00095284">
          <w:rPr>
            <w:rFonts w:cs="Arial"/>
            <w:noProof/>
            <w:webHidden/>
          </w:rPr>
          <w:fldChar w:fldCharType="separate"/>
        </w:r>
        <w:r w:rsidR="001B4552">
          <w:rPr>
            <w:rFonts w:cs="Arial"/>
            <w:noProof/>
            <w:webHidden/>
          </w:rPr>
          <w:t>6</w:t>
        </w:r>
        <w:r w:rsidRPr="00095284">
          <w:rPr>
            <w:rFonts w:cs="Arial"/>
            <w:noProof/>
            <w:webHidden/>
          </w:rPr>
          <w:fldChar w:fldCharType="end"/>
        </w:r>
      </w:hyperlink>
    </w:p>
    <w:p w14:paraId="1AF26178" w14:textId="643F8EB4" w:rsidR="00095284" w:rsidRPr="00095284" w:rsidRDefault="00095284">
      <w:pPr>
        <w:pStyle w:val="TableofFigures"/>
        <w:tabs>
          <w:tab w:val="right" w:leader="dot" w:pos="9016"/>
        </w:tabs>
        <w:rPr>
          <w:rFonts w:eastAsiaTheme="minorEastAsia" w:cs="Arial"/>
          <w:noProof/>
          <w:kern w:val="2"/>
          <w:szCs w:val="24"/>
          <w:lang w:val="en-IN" w:eastAsia="en-IN"/>
          <w14:ligatures w14:val="standardContextual"/>
        </w:rPr>
      </w:pPr>
      <w:hyperlink w:anchor="_Toc216891981" w:history="1">
        <w:r w:rsidRPr="00095284">
          <w:rPr>
            <w:rStyle w:val="Hyperlink"/>
            <w:rFonts w:cs="Arial"/>
            <w:noProof/>
            <w:lang w:val="en-GB"/>
          </w:rPr>
          <w:t>Table 5: Cash Flow Ratios</w:t>
        </w:r>
        <w:r w:rsidRPr="00095284">
          <w:rPr>
            <w:rFonts w:cs="Arial"/>
            <w:noProof/>
            <w:webHidden/>
          </w:rPr>
          <w:tab/>
        </w:r>
        <w:r w:rsidRPr="00095284">
          <w:rPr>
            <w:rFonts w:cs="Arial"/>
            <w:noProof/>
            <w:webHidden/>
          </w:rPr>
          <w:fldChar w:fldCharType="begin"/>
        </w:r>
        <w:r w:rsidRPr="00095284">
          <w:rPr>
            <w:rFonts w:cs="Arial"/>
            <w:noProof/>
            <w:webHidden/>
          </w:rPr>
          <w:instrText xml:space="preserve"> PAGEREF _Toc216891981 \h </w:instrText>
        </w:r>
        <w:r w:rsidRPr="00095284">
          <w:rPr>
            <w:rFonts w:cs="Arial"/>
            <w:noProof/>
            <w:webHidden/>
          </w:rPr>
        </w:r>
        <w:r w:rsidRPr="00095284">
          <w:rPr>
            <w:rFonts w:cs="Arial"/>
            <w:noProof/>
            <w:webHidden/>
          </w:rPr>
          <w:fldChar w:fldCharType="separate"/>
        </w:r>
        <w:r w:rsidR="001B4552">
          <w:rPr>
            <w:rFonts w:cs="Arial"/>
            <w:noProof/>
            <w:webHidden/>
          </w:rPr>
          <w:t>6</w:t>
        </w:r>
        <w:r w:rsidRPr="00095284">
          <w:rPr>
            <w:rFonts w:cs="Arial"/>
            <w:noProof/>
            <w:webHidden/>
          </w:rPr>
          <w:fldChar w:fldCharType="end"/>
        </w:r>
      </w:hyperlink>
    </w:p>
    <w:p w14:paraId="5F91EEB1" w14:textId="7B0B0F82" w:rsidR="00095284" w:rsidRPr="00095284" w:rsidRDefault="00095284">
      <w:pPr>
        <w:pStyle w:val="TableofFigures"/>
        <w:tabs>
          <w:tab w:val="right" w:leader="dot" w:pos="9016"/>
        </w:tabs>
        <w:rPr>
          <w:rFonts w:eastAsiaTheme="minorEastAsia" w:cs="Arial"/>
          <w:noProof/>
          <w:kern w:val="2"/>
          <w:szCs w:val="24"/>
          <w:lang w:val="en-IN" w:eastAsia="en-IN"/>
          <w14:ligatures w14:val="standardContextual"/>
        </w:rPr>
      </w:pPr>
      <w:hyperlink w:anchor="_Toc216891982" w:history="1">
        <w:r w:rsidRPr="00095284">
          <w:rPr>
            <w:rStyle w:val="Hyperlink"/>
            <w:rFonts w:cs="Arial"/>
            <w:noProof/>
            <w:lang w:val="en-GB"/>
          </w:rPr>
          <w:t>Table 6: Investment Ratios</w:t>
        </w:r>
        <w:r w:rsidRPr="00095284">
          <w:rPr>
            <w:rFonts w:cs="Arial"/>
            <w:noProof/>
            <w:webHidden/>
          </w:rPr>
          <w:tab/>
        </w:r>
        <w:r w:rsidRPr="00095284">
          <w:rPr>
            <w:rFonts w:cs="Arial"/>
            <w:noProof/>
            <w:webHidden/>
          </w:rPr>
          <w:fldChar w:fldCharType="begin"/>
        </w:r>
        <w:r w:rsidRPr="00095284">
          <w:rPr>
            <w:rFonts w:cs="Arial"/>
            <w:noProof/>
            <w:webHidden/>
          </w:rPr>
          <w:instrText xml:space="preserve"> PAGEREF _Toc216891982 \h </w:instrText>
        </w:r>
        <w:r w:rsidRPr="00095284">
          <w:rPr>
            <w:rFonts w:cs="Arial"/>
            <w:noProof/>
            <w:webHidden/>
          </w:rPr>
        </w:r>
        <w:r w:rsidRPr="00095284">
          <w:rPr>
            <w:rFonts w:cs="Arial"/>
            <w:noProof/>
            <w:webHidden/>
          </w:rPr>
          <w:fldChar w:fldCharType="separate"/>
        </w:r>
        <w:r w:rsidR="001B4552">
          <w:rPr>
            <w:rFonts w:cs="Arial"/>
            <w:noProof/>
            <w:webHidden/>
          </w:rPr>
          <w:t>7</w:t>
        </w:r>
        <w:r w:rsidRPr="00095284">
          <w:rPr>
            <w:rFonts w:cs="Arial"/>
            <w:noProof/>
            <w:webHidden/>
          </w:rPr>
          <w:fldChar w:fldCharType="end"/>
        </w:r>
      </w:hyperlink>
    </w:p>
    <w:p w14:paraId="31C7A9F7" w14:textId="77777777" w:rsidR="00095284" w:rsidRPr="00095284" w:rsidRDefault="00095284" w:rsidP="00095284">
      <w:pPr>
        <w:spacing w:line="259" w:lineRule="auto"/>
        <w:jc w:val="left"/>
        <w:rPr>
          <w:rFonts w:cs="Arial"/>
          <w:lang w:val="en-GB"/>
        </w:rPr>
      </w:pPr>
      <w:r w:rsidRPr="00095284">
        <w:rPr>
          <w:rFonts w:cs="Arial"/>
          <w:lang w:val="en-GB"/>
        </w:rPr>
        <w:fldChar w:fldCharType="end"/>
      </w:r>
    </w:p>
    <w:p w14:paraId="287BF289" w14:textId="63457218" w:rsidR="00095284" w:rsidRPr="00095284" w:rsidRDefault="00095284" w:rsidP="00095284">
      <w:pPr>
        <w:spacing w:line="259" w:lineRule="auto"/>
        <w:jc w:val="center"/>
        <w:rPr>
          <w:rFonts w:cs="Arial"/>
          <w:b/>
          <w:bCs/>
          <w:sz w:val="28"/>
          <w:szCs w:val="24"/>
          <w:lang w:val="en-GB"/>
        </w:rPr>
      </w:pPr>
      <w:r w:rsidRPr="00095284">
        <w:rPr>
          <w:rFonts w:cs="Arial"/>
          <w:b/>
          <w:bCs/>
          <w:sz w:val="28"/>
          <w:szCs w:val="24"/>
          <w:lang w:val="en-GB"/>
        </w:rPr>
        <w:t>List of Figures</w:t>
      </w:r>
    </w:p>
    <w:p w14:paraId="25E500DA" w14:textId="3EEDC3B5" w:rsidR="00095284" w:rsidRPr="00095284" w:rsidRDefault="00095284">
      <w:pPr>
        <w:pStyle w:val="TableofFigures"/>
        <w:tabs>
          <w:tab w:val="right" w:leader="dot" w:pos="9016"/>
        </w:tabs>
        <w:rPr>
          <w:rFonts w:eastAsiaTheme="minorEastAsia" w:cs="Arial"/>
          <w:noProof/>
          <w:kern w:val="2"/>
          <w:szCs w:val="24"/>
          <w:lang w:val="en-IN" w:eastAsia="en-IN"/>
          <w14:ligatures w14:val="standardContextual"/>
        </w:rPr>
      </w:pPr>
      <w:r w:rsidRPr="00095284">
        <w:rPr>
          <w:rFonts w:cs="Arial"/>
          <w:lang w:val="en-GB"/>
        </w:rPr>
        <w:fldChar w:fldCharType="begin"/>
      </w:r>
      <w:r w:rsidRPr="00095284">
        <w:rPr>
          <w:rFonts w:cs="Arial"/>
          <w:lang w:val="en-GB"/>
        </w:rPr>
        <w:instrText xml:space="preserve"> TOC \h \z \t "Heading 5" \c </w:instrText>
      </w:r>
      <w:r w:rsidRPr="00095284">
        <w:rPr>
          <w:rFonts w:cs="Arial"/>
          <w:lang w:val="en-GB"/>
        </w:rPr>
        <w:fldChar w:fldCharType="separate"/>
      </w:r>
      <w:hyperlink w:anchor="_Toc216892003" w:history="1">
        <w:r w:rsidRPr="00095284">
          <w:rPr>
            <w:rStyle w:val="Hyperlink"/>
            <w:rFonts w:cs="Arial"/>
            <w:noProof/>
          </w:rPr>
          <w:t>Figure 1: Business Restructuring Model</w:t>
        </w:r>
        <w:r w:rsidRPr="00095284">
          <w:rPr>
            <w:rFonts w:cs="Arial"/>
            <w:noProof/>
            <w:webHidden/>
          </w:rPr>
          <w:tab/>
        </w:r>
        <w:r w:rsidRPr="00095284">
          <w:rPr>
            <w:rFonts w:cs="Arial"/>
            <w:noProof/>
            <w:webHidden/>
          </w:rPr>
          <w:fldChar w:fldCharType="begin"/>
        </w:r>
        <w:r w:rsidRPr="00095284">
          <w:rPr>
            <w:rFonts w:cs="Arial"/>
            <w:noProof/>
            <w:webHidden/>
          </w:rPr>
          <w:instrText xml:space="preserve"> PAGEREF _Toc216892003 \h </w:instrText>
        </w:r>
        <w:r w:rsidRPr="00095284">
          <w:rPr>
            <w:rFonts w:cs="Arial"/>
            <w:noProof/>
            <w:webHidden/>
          </w:rPr>
        </w:r>
        <w:r w:rsidRPr="00095284">
          <w:rPr>
            <w:rFonts w:cs="Arial"/>
            <w:noProof/>
            <w:webHidden/>
          </w:rPr>
          <w:fldChar w:fldCharType="separate"/>
        </w:r>
        <w:r w:rsidR="001B4552">
          <w:rPr>
            <w:rFonts w:cs="Arial"/>
            <w:noProof/>
            <w:webHidden/>
          </w:rPr>
          <w:t>14</w:t>
        </w:r>
        <w:r w:rsidRPr="00095284">
          <w:rPr>
            <w:rFonts w:cs="Arial"/>
            <w:noProof/>
            <w:webHidden/>
          </w:rPr>
          <w:fldChar w:fldCharType="end"/>
        </w:r>
      </w:hyperlink>
    </w:p>
    <w:p w14:paraId="751E4929" w14:textId="5D5E6663" w:rsidR="00095284" w:rsidRPr="00095284" w:rsidRDefault="00095284">
      <w:pPr>
        <w:spacing w:line="259" w:lineRule="auto"/>
        <w:jc w:val="left"/>
        <w:rPr>
          <w:rFonts w:cs="Arial"/>
          <w:lang w:val="en-GB"/>
        </w:rPr>
      </w:pPr>
      <w:r w:rsidRPr="00095284">
        <w:rPr>
          <w:rFonts w:cs="Arial"/>
          <w:lang w:val="en-GB"/>
        </w:rPr>
        <w:fldChar w:fldCharType="end"/>
      </w:r>
      <w:r w:rsidRPr="00095284">
        <w:rPr>
          <w:rFonts w:cs="Arial"/>
          <w:lang w:val="en-GB"/>
        </w:rPr>
        <w:br w:type="page"/>
      </w:r>
    </w:p>
    <w:p w14:paraId="1AAA9198" w14:textId="53D03216" w:rsidR="00095284" w:rsidRPr="00095284" w:rsidRDefault="00095284" w:rsidP="00095284">
      <w:pPr>
        <w:pStyle w:val="Heading1"/>
        <w:rPr>
          <w:lang w:val="en-GB"/>
        </w:rPr>
      </w:pPr>
      <w:bookmarkStart w:id="1" w:name="_Toc216894581"/>
      <w:r w:rsidRPr="00095284">
        <w:rPr>
          <w:lang w:val="en-GB"/>
        </w:rPr>
        <w:lastRenderedPageBreak/>
        <w:t>1. Introduction</w:t>
      </w:r>
      <w:bookmarkEnd w:id="1"/>
      <w:r w:rsidRPr="00095284">
        <w:rPr>
          <w:lang w:val="en-GB"/>
        </w:rPr>
        <w:t xml:space="preserve"> </w:t>
      </w:r>
    </w:p>
    <w:p w14:paraId="0D33E37B" w14:textId="12FB9BAE" w:rsidR="00095284" w:rsidRPr="00095284" w:rsidRDefault="00095284" w:rsidP="00611350">
      <w:pPr>
        <w:rPr>
          <w:lang w:val="en-GB"/>
        </w:rPr>
      </w:pPr>
      <w:r w:rsidRPr="00095284">
        <w:rPr>
          <w:lang w:val="en-GB"/>
        </w:rPr>
        <w:t>The report provides a critical financial analysis of General Electronics, an international corporation that is presently undergoing huge operational and financial issues. The company is in a bad condition after a lengthy period of declining performance and market instability. The report will identify the underlying causes of the declining situation and develop a robust recovery strategy that will put the business on its feet and road to recovery. There are four main stages of the report. The first section is to make a financial health check, such as an analysis of records and identify the trend of profit and the risk of bankruptcy. The second section includes an analysis of working capital management as a solution to prevent liquidity issues and cash flow problems. The third section offers a strategic restructuring strategy, including a discussion of various corporate alternatives to balance the balance sheet and regain investor confidence. The last section includes reviewing investment projects with the aim of identifying the most attractive projects that offer long-term value without needing lofty capital constraints. Integrating financial theory with real-world restructuring decisions and ethical issues, this report represents a concise road map of how to make General Electronics a profitable global enterprise that is sustainable.</w:t>
      </w:r>
    </w:p>
    <w:p w14:paraId="2E24DF91" w14:textId="0729D7C9" w:rsidR="008217B7" w:rsidRPr="00095284" w:rsidRDefault="00095284" w:rsidP="006B6514">
      <w:pPr>
        <w:pStyle w:val="Heading1"/>
        <w:rPr>
          <w:lang w:val="en-GB"/>
        </w:rPr>
      </w:pPr>
      <w:bookmarkStart w:id="2" w:name="_Toc216894582"/>
      <w:r w:rsidRPr="00095284">
        <w:rPr>
          <w:lang w:val="en-GB"/>
        </w:rPr>
        <w:t>2</w:t>
      </w:r>
      <w:r w:rsidR="00023AD7" w:rsidRPr="00095284">
        <w:rPr>
          <w:lang w:val="en-GB"/>
        </w:rPr>
        <w:t>. Financial Health Check</w:t>
      </w:r>
      <w:bookmarkEnd w:id="2"/>
      <w:r w:rsidR="00023AD7" w:rsidRPr="00095284">
        <w:rPr>
          <w:lang w:val="en-GB"/>
        </w:rPr>
        <w:t xml:space="preserve"> </w:t>
      </w:r>
    </w:p>
    <w:p w14:paraId="57A1805C" w14:textId="43129FED" w:rsidR="000A5C09" w:rsidRPr="00095284" w:rsidRDefault="00095284" w:rsidP="006B6514">
      <w:pPr>
        <w:pStyle w:val="Heading2"/>
        <w:rPr>
          <w:lang w:val="en-GB"/>
        </w:rPr>
      </w:pPr>
      <w:bookmarkStart w:id="3" w:name="_Toc216894583"/>
      <w:r w:rsidRPr="00095284">
        <w:rPr>
          <w:lang w:val="en-GB"/>
        </w:rPr>
        <w:t>2</w:t>
      </w:r>
      <w:r w:rsidR="000A5C09" w:rsidRPr="00095284">
        <w:rPr>
          <w:lang w:val="en-GB"/>
        </w:rPr>
        <w:t xml:space="preserve">.1 Analysis of General electronics’ </w:t>
      </w:r>
      <w:r w:rsidR="000A5C09" w:rsidRPr="006B6514">
        <w:t>Financial</w:t>
      </w:r>
      <w:r w:rsidR="000A5C09" w:rsidRPr="00095284">
        <w:rPr>
          <w:lang w:val="en-GB"/>
        </w:rPr>
        <w:t xml:space="preserve"> Statement (2020-2024)</w:t>
      </w:r>
      <w:bookmarkEnd w:id="3"/>
    </w:p>
    <w:p w14:paraId="69C63C96" w14:textId="77777777" w:rsidR="00443A1C" w:rsidRPr="00095284" w:rsidRDefault="00443A1C" w:rsidP="006B6514">
      <w:pPr>
        <w:rPr>
          <w:lang w:val="en-GB"/>
        </w:rPr>
      </w:pPr>
      <w:r w:rsidRPr="00095284">
        <w:rPr>
          <w:lang w:val="en-GB"/>
        </w:rPr>
        <w:t>The financial statement of the General Electronics over the past five years has addressed a major determination in the financial performance, profitability, and financial stability, while confirming the business’ distressed position. Here a detailed review of the income statement, cash flow statement and balance sheet insights has been given for ide notifying the structural and operational specifications besides short-term volatility.</w:t>
      </w:r>
    </w:p>
    <w:p w14:paraId="750F274C" w14:textId="77777777" w:rsidR="004F7190" w:rsidRPr="00095284" w:rsidRDefault="000D5CC3" w:rsidP="006B6514">
      <w:pPr>
        <w:rPr>
          <w:lang w:val="en-GB"/>
        </w:rPr>
      </w:pPr>
      <w:r w:rsidRPr="00095284">
        <w:rPr>
          <w:lang w:val="en-GB"/>
        </w:rPr>
        <w:t xml:space="preserve">By assessing the </w:t>
      </w:r>
      <w:r w:rsidRPr="00095284">
        <w:rPr>
          <w:i/>
          <w:lang w:val="en-GB"/>
        </w:rPr>
        <w:t xml:space="preserve">income statement perspective </w:t>
      </w:r>
      <w:r w:rsidRPr="00095284">
        <w:rPr>
          <w:lang w:val="en-GB"/>
        </w:rPr>
        <w:t xml:space="preserve">revenues has addressed a sharp declining from </w:t>
      </w:r>
      <w:r w:rsidR="006E2E61" w:rsidRPr="00095284">
        <w:rPr>
          <w:lang w:val="en-GB"/>
        </w:rPr>
        <w:t xml:space="preserve">£614,680m in 2020 to £394,879m in 2024, while addressing </w:t>
      </w:r>
      <w:r w:rsidR="004F7190" w:rsidRPr="00095284">
        <w:rPr>
          <w:lang w:val="en-GB"/>
        </w:rPr>
        <w:t>the weakening global demand, including; loss of market share, or ineffective product positioning. Even though the gross profit margins remained stable (which is around 29% in 2024), while operating profitability has been collapsed due to the excessive operating expenses that has exceeded the gross profit in both 2023 and 2024</w:t>
      </w:r>
      <w:r w:rsidR="008114E9" w:rsidRPr="00095284">
        <w:rPr>
          <w:lang w:val="en-GB"/>
        </w:rPr>
        <w:t xml:space="preserve"> (refer to annual statements) (Stobierski, 2020)</w:t>
      </w:r>
      <w:r w:rsidR="004F7190" w:rsidRPr="00095284">
        <w:rPr>
          <w:lang w:val="en-GB"/>
        </w:rPr>
        <w:t xml:space="preserve">. This has caused operating loss of £85,301m in </w:t>
      </w:r>
      <w:r w:rsidR="004F7190" w:rsidRPr="00095284">
        <w:rPr>
          <w:lang w:val="en-GB"/>
        </w:rPr>
        <w:lastRenderedPageBreak/>
        <w:t>2023 and £15,297m in 2024. The net income has followed similar trend, which has deteriorated from the healthy profits of £38,572m in 2020 to the substantial losses of £98,238m in 2023, with having a continued losses FY2024</w:t>
      </w:r>
      <w:r w:rsidR="008114E9" w:rsidRPr="00095284">
        <w:rPr>
          <w:lang w:val="en-GB"/>
        </w:rPr>
        <w:t xml:space="preserve"> (refer to annual statements)</w:t>
      </w:r>
      <w:r w:rsidR="004F7190" w:rsidRPr="00095284">
        <w:rPr>
          <w:lang w:val="en-GB"/>
        </w:rPr>
        <w:t xml:space="preserve">. Such impairment of the goodwill or £49,075m in 2023 has addressed past overinvestment and failure of acquisitions. </w:t>
      </w:r>
    </w:p>
    <w:p w14:paraId="61638286" w14:textId="77777777" w:rsidR="00ED0F94" w:rsidRPr="00095284" w:rsidRDefault="009A4EB0" w:rsidP="006B6514">
      <w:pPr>
        <w:rPr>
          <w:lang w:val="en-GB"/>
        </w:rPr>
      </w:pPr>
      <w:r w:rsidRPr="00095284">
        <w:rPr>
          <w:lang w:val="en-GB"/>
        </w:rPr>
        <w:t xml:space="preserve">Then </w:t>
      </w:r>
      <w:r w:rsidRPr="00095284">
        <w:rPr>
          <w:i/>
          <w:lang w:val="en-GB"/>
        </w:rPr>
        <w:t xml:space="preserve">cash flow statement </w:t>
      </w:r>
      <w:r w:rsidRPr="00095284">
        <w:rPr>
          <w:lang w:val="en-GB"/>
        </w:rPr>
        <w:t xml:space="preserve">addresses rising pressure on the liquidity while the operating cash flows has remained positive. It has been declined from </w:t>
      </w:r>
      <w:r w:rsidR="001938FE" w:rsidRPr="00095284">
        <w:rPr>
          <w:lang w:val="en-GB"/>
        </w:rPr>
        <w:t xml:space="preserve">£73,392m in 2020 to £14,822m in 2024, which has been driven by the declining earnings and adverse working capital movements, specifically in payables and receivables. </w:t>
      </w:r>
      <w:r w:rsidR="001D1E42" w:rsidRPr="00095284">
        <w:rPr>
          <w:lang w:val="en-GB"/>
        </w:rPr>
        <w:t xml:space="preserve">Making investment in a consistent manner can show some negative </w:t>
      </w:r>
      <w:r w:rsidR="0055796E" w:rsidRPr="00095284">
        <w:rPr>
          <w:lang w:val="en-GB"/>
        </w:rPr>
        <w:t>cash flow, while reflecting current capital expenses and intangible asset investment without having commensurate returns</w:t>
      </w:r>
      <w:r w:rsidR="008114E9" w:rsidRPr="00095284">
        <w:rPr>
          <w:lang w:val="en-GB"/>
        </w:rPr>
        <w:t xml:space="preserve"> (refer to annual statements)</w:t>
      </w:r>
      <w:r w:rsidR="0055796E" w:rsidRPr="00095284">
        <w:rPr>
          <w:lang w:val="en-GB"/>
        </w:rPr>
        <w:t xml:space="preserve">.   </w:t>
      </w:r>
      <w:r w:rsidR="001D1E42" w:rsidRPr="00095284">
        <w:rPr>
          <w:lang w:val="en-GB"/>
        </w:rPr>
        <w:t xml:space="preserve"> </w:t>
      </w:r>
    </w:p>
    <w:p w14:paraId="41932885" w14:textId="2B30677D" w:rsidR="009D73D0" w:rsidRPr="00095284" w:rsidRDefault="00C16D9A" w:rsidP="006B6514">
      <w:pPr>
        <w:rPr>
          <w:lang w:val="en-GB"/>
        </w:rPr>
      </w:pPr>
      <w:r w:rsidRPr="00095284">
        <w:rPr>
          <w:lang w:val="en-GB"/>
        </w:rPr>
        <w:t xml:space="preserve">From the </w:t>
      </w:r>
      <w:r w:rsidRPr="00095284">
        <w:rPr>
          <w:i/>
          <w:lang w:val="en-GB"/>
        </w:rPr>
        <w:t xml:space="preserve">financial position </w:t>
      </w:r>
      <w:r w:rsidR="00095284" w:rsidRPr="00095284">
        <w:rPr>
          <w:i/>
          <w:lang w:val="en-GB"/>
        </w:rPr>
        <w:t>standpoint,</w:t>
      </w:r>
      <w:r w:rsidRPr="00095284">
        <w:rPr>
          <w:i/>
          <w:lang w:val="en-GB"/>
        </w:rPr>
        <w:t xml:space="preserve"> </w:t>
      </w:r>
      <w:r w:rsidRPr="00095284">
        <w:rPr>
          <w:lang w:val="en-GB"/>
        </w:rPr>
        <w:t xml:space="preserve">the total assets have fallen from being </w:t>
      </w:r>
      <w:r w:rsidR="00820E76" w:rsidRPr="00095284">
        <w:rPr>
          <w:lang w:val="en-GB"/>
        </w:rPr>
        <w:t>£510,290m in 2020 to £323,354m in 2024, which is due to the declination of inventories, receivables including, and impairment of assets</w:t>
      </w:r>
      <w:r w:rsidR="008114E9" w:rsidRPr="00095284">
        <w:rPr>
          <w:lang w:val="en-GB"/>
        </w:rPr>
        <w:t xml:space="preserve"> (</w:t>
      </w:r>
      <w:proofErr w:type="spellStart"/>
      <w:r w:rsidR="008114E9" w:rsidRPr="00095284">
        <w:rPr>
          <w:lang w:val="en-GB"/>
        </w:rPr>
        <w:t>Mcclure</w:t>
      </w:r>
      <w:proofErr w:type="spellEnd"/>
      <w:r w:rsidR="008114E9" w:rsidRPr="00095284">
        <w:rPr>
          <w:lang w:val="en-GB"/>
        </w:rPr>
        <w:t>, 2025)</w:t>
      </w:r>
      <w:r w:rsidR="00820E76" w:rsidRPr="00095284">
        <w:rPr>
          <w:lang w:val="en-GB"/>
        </w:rPr>
        <w:t xml:space="preserve">. The equity has reduced substantially, with having </w:t>
      </w:r>
      <w:r w:rsidR="00095284" w:rsidRPr="00095284">
        <w:rPr>
          <w:lang w:val="en-GB"/>
        </w:rPr>
        <w:t>retained earnings</w:t>
      </w:r>
      <w:r w:rsidR="00820E76" w:rsidRPr="00095284">
        <w:rPr>
          <w:lang w:val="en-GB"/>
        </w:rPr>
        <w:t xml:space="preserve"> and declining of treasury stocks that has remained</w:t>
      </w:r>
      <w:r w:rsidR="003F0F31" w:rsidRPr="00095284">
        <w:rPr>
          <w:lang w:val="en-GB"/>
        </w:rPr>
        <w:t xml:space="preserve"> negative, while weakening the </w:t>
      </w:r>
      <w:r w:rsidR="0014504D" w:rsidRPr="00095284">
        <w:rPr>
          <w:lang w:val="en-GB"/>
        </w:rPr>
        <w:t xml:space="preserve">solvency position of the business. Even though the current liabilities </w:t>
      </w:r>
      <w:r w:rsidR="00096283" w:rsidRPr="00095284">
        <w:rPr>
          <w:lang w:val="en-GB"/>
        </w:rPr>
        <w:t>have</w:t>
      </w:r>
      <w:r w:rsidR="0014504D" w:rsidRPr="00095284">
        <w:rPr>
          <w:lang w:val="en-GB"/>
        </w:rPr>
        <w:t xml:space="preserve"> been reduced, the liquidity remained strained as cash balance has reduced by 37% between 2023 and 2024.    </w:t>
      </w:r>
      <w:r w:rsidR="003F0F31" w:rsidRPr="00095284">
        <w:rPr>
          <w:lang w:val="en-GB"/>
        </w:rPr>
        <w:t xml:space="preserve"> </w:t>
      </w:r>
      <w:r w:rsidR="00820E76" w:rsidRPr="00095284">
        <w:rPr>
          <w:lang w:val="en-GB"/>
        </w:rPr>
        <w:t xml:space="preserve">   </w:t>
      </w:r>
    </w:p>
    <w:p w14:paraId="458647FD" w14:textId="6DCF37A6" w:rsidR="0098447F" w:rsidRPr="00095284" w:rsidRDefault="00095284" w:rsidP="00095284">
      <w:pPr>
        <w:pStyle w:val="Heading2"/>
        <w:rPr>
          <w:lang w:val="en-GB"/>
        </w:rPr>
      </w:pPr>
      <w:bookmarkStart w:id="4" w:name="_Toc216894584"/>
      <w:r w:rsidRPr="00095284">
        <w:rPr>
          <w:lang w:val="en-GB"/>
        </w:rPr>
        <w:t>2</w:t>
      </w:r>
      <w:r w:rsidR="0098447F" w:rsidRPr="00095284">
        <w:rPr>
          <w:lang w:val="en-GB"/>
        </w:rPr>
        <w:t xml:space="preserve">.2 </w:t>
      </w:r>
      <w:r w:rsidR="00626A93" w:rsidRPr="00095284">
        <w:rPr>
          <w:lang w:val="en-GB"/>
        </w:rPr>
        <w:t>Ratio assessment</w:t>
      </w:r>
      <w:bookmarkEnd w:id="4"/>
    </w:p>
    <w:tbl>
      <w:tblPr>
        <w:tblW w:w="5000" w:type="pct"/>
        <w:tblLook w:val="04A0" w:firstRow="1" w:lastRow="0" w:firstColumn="1" w:lastColumn="0" w:noHBand="0" w:noVBand="1"/>
      </w:tblPr>
      <w:tblGrid>
        <w:gridCol w:w="1108"/>
        <w:gridCol w:w="1672"/>
        <w:gridCol w:w="1277"/>
        <w:gridCol w:w="1277"/>
        <w:gridCol w:w="1242"/>
        <w:gridCol w:w="1242"/>
        <w:gridCol w:w="1242"/>
      </w:tblGrid>
      <w:tr w:rsidR="00626A93" w:rsidRPr="00095284" w14:paraId="3753EE33" w14:textId="77777777" w:rsidTr="00626A93">
        <w:trPr>
          <w:trHeight w:val="300"/>
        </w:trPr>
        <w:tc>
          <w:tcPr>
            <w:tcW w:w="5000" w:type="pct"/>
            <w:gridSpan w:val="7"/>
            <w:tcBorders>
              <w:top w:val="single" w:sz="4" w:space="0" w:color="auto"/>
              <w:left w:val="single" w:sz="4" w:space="0" w:color="auto"/>
              <w:bottom w:val="single" w:sz="4" w:space="0" w:color="auto"/>
              <w:right w:val="single" w:sz="4" w:space="0" w:color="000000"/>
            </w:tcBorders>
            <w:noWrap/>
            <w:vAlign w:val="bottom"/>
            <w:hideMark/>
          </w:tcPr>
          <w:p w14:paraId="4B848E4D" w14:textId="77777777" w:rsidR="00626A93" w:rsidRPr="00095284" w:rsidRDefault="00626A93" w:rsidP="00626A93">
            <w:pPr>
              <w:spacing w:after="0"/>
              <w:jc w:val="center"/>
              <w:rPr>
                <w:rFonts w:eastAsia="Times New Roman" w:cs="Arial"/>
                <w:b/>
                <w:color w:val="000000"/>
                <w:szCs w:val="24"/>
                <w:lang w:val="en-GB"/>
              </w:rPr>
            </w:pPr>
            <w:r w:rsidRPr="00095284">
              <w:rPr>
                <w:rFonts w:eastAsia="Times New Roman" w:cs="Arial"/>
                <w:b/>
                <w:color w:val="000000"/>
                <w:szCs w:val="24"/>
                <w:lang w:val="en-GB"/>
              </w:rPr>
              <w:t>Profitability Ratios</w:t>
            </w:r>
          </w:p>
        </w:tc>
      </w:tr>
      <w:tr w:rsidR="00626A93" w:rsidRPr="00095284" w14:paraId="645414F1" w14:textId="77777777" w:rsidTr="00626A93">
        <w:trPr>
          <w:trHeight w:val="300"/>
        </w:trPr>
        <w:tc>
          <w:tcPr>
            <w:tcW w:w="563" w:type="pct"/>
            <w:tcBorders>
              <w:top w:val="nil"/>
              <w:left w:val="single" w:sz="4" w:space="0" w:color="auto"/>
              <w:bottom w:val="single" w:sz="4" w:space="0" w:color="auto"/>
              <w:right w:val="single" w:sz="4" w:space="0" w:color="auto"/>
            </w:tcBorders>
            <w:noWrap/>
            <w:vAlign w:val="bottom"/>
            <w:hideMark/>
          </w:tcPr>
          <w:p w14:paraId="29E5E648" w14:textId="77777777" w:rsidR="00626A93" w:rsidRPr="00095284" w:rsidRDefault="00626A93" w:rsidP="00626A93">
            <w:pPr>
              <w:spacing w:after="0"/>
              <w:jc w:val="center"/>
              <w:rPr>
                <w:rFonts w:eastAsia="Times New Roman" w:cs="Arial"/>
                <w:b/>
                <w:bCs/>
                <w:color w:val="000000"/>
                <w:szCs w:val="24"/>
                <w:lang w:val="en-GB"/>
              </w:rPr>
            </w:pPr>
            <w:r w:rsidRPr="00095284">
              <w:rPr>
                <w:rFonts w:eastAsia="Times New Roman" w:cs="Arial"/>
                <w:b/>
                <w:bCs/>
                <w:color w:val="000000"/>
                <w:szCs w:val="24"/>
                <w:lang w:val="en-GB"/>
              </w:rPr>
              <w:t>Ratio</w:t>
            </w:r>
          </w:p>
        </w:tc>
        <w:tc>
          <w:tcPr>
            <w:tcW w:w="979" w:type="pct"/>
            <w:tcBorders>
              <w:top w:val="nil"/>
              <w:left w:val="nil"/>
              <w:bottom w:val="single" w:sz="4" w:space="0" w:color="auto"/>
              <w:right w:val="single" w:sz="4" w:space="0" w:color="auto"/>
            </w:tcBorders>
            <w:noWrap/>
            <w:vAlign w:val="bottom"/>
            <w:hideMark/>
          </w:tcPr>
          <w:p w14:paraId="73C02421" w14:textId="77777777" w:rsidR="00626A93" w:rsidRPr="00095284" w:rsidRDefault="00626A93" w:rsidP="00626A93">
            <w:pPr>
              <w:spacing w:after="0"/>
              <w:jc w:val="center"/>
              <w:rPr>
                <w:rFonts w:eastAsia="Times New Roman" w:cs="Arial"/>
                <w:b/>
                <w:bCs/>
                <w:color w:val="000000"/>
                <w:szCs w:val="24"/>
                <w:lang w:val="en-GB"/>
              </w:rPr>
            </w:pPr>
            <w:r w:rsidRPr="00095284">
              <w:rPr>
                <w:rFonts w:eastAsia="Times New Roman" w:cs="Arial"/>
                <w:b/>
                <w:bCs/>
                <w:color w:val="000000"/>
                <w:szCs w:val="24"/>
                <w:lang w:val="en-GB"/>
              </w:rPr>
              <w:t>Formula</w:t>
            </w:r>
          </w:p>
        </w:tc>
        <w:tc>
          <w:tcPr>
            <w:tcW w:w="706" w:type="pct"/>
            <w:tcBorders>
              <w:top w:val="nil"/>
              <w:left w:val="nil"/>
              <w:bottom w:val="single" w:sz="4" w:space="0" w:color="auto"/>
              <w:right w:val="single" w:sz="4" w:space="0" w:color="auto"/>
            </w:tcBorders>
            <w:noWrap/>
            <w:vAlign w:val="bottom"/>
            <w:hideMark/>
          </w:tcPr>
          <w:p w14:paraId="2D370D3C" w14:textId="77777777" w:rsidR="00626A93" w:rsidRPr="00095284" w:rsidRDefault="00626A93" w:rsidP="00626A93">
            <w:pPr>
              <w:spacing w:after="0"/>
              <w:jc w:val="center"/>
              <w:rPr>
                <w:rFonts w:eastAsia="Times New Roman" w:cs="Arial"/>
                <w:b/>
                <w:bCs/>
                <w:color w:val="000000"/>
                <w:szCs w:val="24"/>
                <w:lang w:val="en-GB"/>
              </w:rPr>
            </w:pPr>
            <w:r w:rsidRPr="00095284">
              <w:rPr>
                <w:rFonts w:eastAsia="Times New Roman" w:cs="Arial"/>
                <w:b/>
                <w:bCs/>
                <w:color w:val="000000"/>
                <w:szCs w:val="24"/>
                <w:lang w:val="en-GB"/>
              </w:rPr>
              <w:t>2024 (Amount &amp; Result)</w:t>
            </w:r>
          </w:p>
        </w:tc>
        <w:tc>
          <w:tcPr>
            <w:tcW w:w="706" w:type="pct"/>
            <w:tcBorders>
              <w:top w:val="nil"/>
              <w:left w:val="nil"/>
              <w:bottom w:val="single" w:sz="4" w:space="0" w:color="auto"/>
              <w:right w:val="single" w:sz="4" w:space="0" w:color="auto"/>
            </w:tcBorders>
            <w:noWrap/>
            <w:vAlign w:val="bottom"/>
            <w:hideMark/>
          </w:tcPr>
          <w:p w14:paraId="34038B64" w14:textId="77777777" w:rsidR="00626A93" w:rsidRPr="00095284" w:rsidRDefault="00626A93" w:rsidP="00626A93">
            <w:pPr>
              <w:spacing w:after="0"/>
              <w:jc w:val="center"/>
              <w:rPr>
                <w:rFonts w:eastAsia="Times New Roman" w:cs="Arial"/>
                <w:b/>
                <w:bCs/>
                <w:color w:val="000000"/>
                <w:szCs w:val="24"/>
                <w:lang w:val="en-GB"/>
              </w:rPr>
            </w:pPr>
            <w:r w:rsidRPr="00095284">
              <w:rPr>
                <w:rFonts w:eastAsia="Times New Roman" w:cs="Arial"/>
                <w:b/>
                <w:bCs/>
                <w:color w:val="000000"/>
                <w:szCs w:val="24"/>
                <w:lang w:val="en-GB"/>
              </w:rPr>
              <w:t>2023</w:t>
            </w:r>
          </w:p>
        </w:tc>
        <w:tc>
          <w:tcPr>
            <w:tcW w:w="682" w:type="pct"/>
            <w:tcBorders>
              <w:top w:val="nil"/>
              <w:left w:val="nil"/>
              <w:bottom w:val="single" w:sz="4" w:space="0" w:color="auto"/>
              <w:right w:val="single" w:sz="4" w:space="0" w:color="auto"/>
            </w:tcBorders>
            <w:noWrap/>
            <w:vAlign w:val="bottom"/>
            <w:hideMark/>
          </w:tcPr>
          <w:p w14:paraId="070757F1" w14:textId="77777777" w:rsidR="00626A93" w:rsidRPr="00095284" w:rsidRDefault="00626A93" w:rsidP="00626A93">
            <w:pPr>
              <w:spacing w:after="0"/>
              <w:jc w:val="center"/>
              <w:rPr>
                <w:rFonts w:eastAsia="Times New Roman" w:cs="Arial"/>
                <w:b/>
                <w:bCs/>
                <w:color w:val="000000"/>
                <w:szCs w:val="24"/>
                <w:lang w:val="en-GB"/>
              </w:rPr>
            </w:pPr>
            <w:r w:rsidRPr="00095284">
              <w:rPr>
                <w:rFonts w:eastAsia="Times New Roman" w:cs="Arial"/>
                <w:b/>
                <w:bCs/>
                <w:color w:val="000000"/>
                <w:szCs w:val="24"/>
                <w:lang w:val="en-GB"/>
              </w:rPr>
              <w:t>2022</w:t>
            </w:r>
          </w:p>
        </w:tc>
        <w:tc>
          <w:tcPr>
            <w:tcW w:w="682" w:type="pct"/>
            <w:tcBorders>
              <w:top w:val="nil"/>
              <w:left w:val="nil"/>
              <w:bottom w:val="single" w:sz="4" w:space="0" w:color="auto"/>
              <w:right w:val="single" w:sz="4" w:space="0" w:color="auto"/>
            </w:tcBorders>
            <w:noWrap/>
            <w:vAlign w:val="bottom"/>
            <w:hideMark/>
          </w:tcPr>
          <w:p w14:paraId="3FC57F82" w14:textId="77777777" w:rsidR="00626A93" w:rsidRPr="00095284" w:rsidRDefault="00626A93" w:rsidP="00626A93">
            <w:pPr>
              <w:spacing w:after="0"/>
              <w:jc w:val="center"/>
              <w:rPr>
                <w:rFonts w:eastAsia="Times New Roman" w:cs="Arial"/>
                <w:b/>
                <w:bCs/>
                <w:color w:val="000000"/>
                <w:szCs w:val="24"/>
                <w:lang w:val="en-GB"/>
              </w:rPr>
            </w:pPr>
            <w:r w:rsidRPr="00095284">
              <w:rPr>
                <w:rFonts w:eastAsia="Times New Roman" w:cs="Arial"/>
                <w:b/>
                <w:bCs/>
                <w:color w:val="000000"/>
                <w:szCs w:val="24"/>
                <w:lang w:val="en-GB"/>
              </w:rPr>
              <w:t>2021</w:t>
            </w:r>
          </w:p>
        </w:tc>
        <w:tc>
          <w:tcPr>
            <w:tcW w:w="682" w:type="pct"/>
            <w:tcBorders>
              <w:top w:val="nil"/>
              <w:left w:val="nil"/>
              <w:bottom w:val="single" w:sz="4" w:space="0" w:color="auto"/>
              <w:right w:val="single" w:sz="4" w:space="0" w:color="auto"/>
            </w:tcBorders>
            <w:noWrap/>
            <w:vAlign w:val="bottom"/>
            <w:hideMark/>
          </w:tcPr>
          <w:p w14:paraId="16B97898" w14:textId="77777777" w:rsidR="00626A93" w:rsidRPr="00095284" w:rsidRDefault="00626A93" w:rsidP="00626A93">
            <w:pPr>
              <w:spacing w:after="0"/>
              <w:jc w:val="center"/>
              <w:rPr>
                <w:rFonts w:eastAsia="Times New Roman" w:cs="Arial"/>
                <w:b/>
                <w:bCs/>
                <w:color w:val="000000"/>
                <w:szCs w:val="24"/>
                <w:lang w:val="en-GB"/>
              </w:rPr>
            </w:pPr>
            <w:r w:rsidRPr="00095284">
              <w:rPr>
                <w:rFonts w:eastAsia="Times New Roman" w:cs="Arial"/>
                <w:b/>
                <w:bCs/>
                <w:color w:val="000000"/>
                <w:szCs w:val="24"/>
                <w:lang w:val="en-GB"/>
              </w:rPr>
              <w:t>2020</w:t>
            </w:r>
          </w:p>
        </w:tc>
      </w:tr>
      <w:tr w:rsidR="00626A93" w:rsidRPr="00095284" w14:paraId="62E81C9A" w14:textId="77777777" w:rsidTr="00626A93">
        <w:trPr>
          <w:trHeight w:val="300"/>
        </w:trPr>
        <w:tc>
          <w:tcPr>
            <w:tcW w:w="563" w:type="pct"/>
            <w:tcBorders>
              <w:top w:val="nil"/>
              <w:left w:val="single" w:sz="4" w:space="0" w:color="auto"/>
              <w:bottom w:val="single" w:sz="4" w:space="0" w:color="auto"/>
              <w:right w:val="single" w:sz="4" w:space="0" w:color="auto"/>
            </w:tcBorders>
            <w:noWrap/>
            <w:vAlign w:val="bottom"/>
            <w:hideMark/>
          </w:tcPr>
          <w:p w14:paraId="08B44476" w14:textId="77777777" w:rsidR="00626A93" w:rsidRPr="00095284" w:rsidRDefault="00626A93" w:rsidP="00626A93">
            <w:pPr>
              <w:spacing w:after="0"/>
              <w:jc w:val="left"/>
              <w:rPr>
                <w:rFonts w:eastAsia="Times New Roman" w:cs="Arial"/>
                <w:b/>
                <w:i/>
                <w:color w:val="000000"/>
                <w:szCs w:val="24"/>
                <w:lang w:val="en-GB"/>
              </w:rPr>
            </w:pPr>
            <w:r w:rsidRPr="00095284">
              <w:rPr>
                <w:rFonts w:eastAsia="Times New Roman" w:cs="Arial"/>
                <w:b/>
                <w:i/>
                <w:color w:val="000000"/>
                <w:szCs w:val="24"/>
                <w:lang w:val="en-GB"/>
              </w:rPr>
              <w:t>Gross Profit Margin (%)</w:t>
            </w:r>
          </w:p>
        </w:tc>
        <w:tc>
          <w:tcPr>
            <w:tcW w:w="979" w:type="pct"/>
            <w:tcBorders>
              <w:top w:val="nil"/>
              <w:left w:val="nil"/>
              <w:bottom w:val="single" w:sz="4" w:space="0" w:color="auto"/>
              <w:right w:val="single" w:sz="4" w:space="0" w:color="auto"/>
            </w:tcBorders>
            <w:noWrap/>
            <w:vAlign w:val="bottom"/>
            <w:hideMark/>
          </w:tcPr>
          <w:p w14:paraId="06B30D5B"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Gross Profit ÷ Net Sales × 100</w:t>
            </w:r>
          </w:p>
        </w:tc>
        <w:tc>
          <w:tcPr>
            <w:tcW w:w="706" w:type="pct"/>
            <w:tcBorders>
              <w:top w:val="nil"/>
              <w:left w:val="nil"/>
              <w:bottom w:val="single" w:sz="4" w:space="0" w:color="auto"/>
              <w:right w:val="single" w:sz="4" w:space="0" w:color="auto"/>
            </w:tcBorders>
            <w:noWrap/>
            <w:vAlign w:val="bottom"/>
            <w:hideMark/>
          </w:tcPr>
          <w:p w14:paraId="1E140F29"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113,994 ÷ 394,879 = 28.87%</w:t>
            </w:r>
          </w:p>
        </w:tc>
        <w:tc>
          <w:tcPr>
            <w:tcW w:w="706" w:type="pct"/>
            <w:tcBorders>
              <w:top w:val="nil"/>
              <w:left w:val="nil"/>
              <w:bottom w:val="single" w:sz="4" w:space="0" w:color="auto"/>
              <w:right w:val="single" w:sz="4" w:space="0" w:color="auto"/>
            </w:tcBorders>
            <w:noWrap/>
            <w:vAlign w:val="bottom"/>
            <w:hideMark/>
          </w:tcPr>
          <w:p w14:paraId="02966D18"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97,560 ÷ 420,457 = 23.20%</w:t>
            </w:r>
          </w:p>
        </w:tc>
        <w:tc>
          <w:tcPr>
            <w:tcW w:w="682" w:type="pct"/>
            <w:tcBorders>
              <w:top w:val="nil"/>
              <w:left w:val="nil"/>
              <w:bottom w:val="single" w:sz="4" w:space="0" w:color="auto"/>
              <w:right w:val="single" w:sz="4" w:space="0" w:color="auto"/>
            </w:tcBorders>
            <w:noWrap/>
            <w:vAlign w:val="bottom"/>
            <w:hideMark/>
          </w:tcPr>
          <w:p w14:paraId="5FE3D2FC"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152,292 ÷ 542,751 = 28.06%</w:t>
            </w:r>
          </w:p>
        </w:tc>
        <w:tc>
          <w:tcPr>
            <w:tcW w:w="682" w:type="pct"/>
            <w:tcBorders>
              <w:top w:val="nil"/>
              <w:left w:val="nil"/>
              <w:bottom w:val="single" w:sz="4" w:space="0" w:color="auto"/>
              <w:right w:val="single" w:sz="4" w:space="0" w:color="auto"/>
            </w:tcBorders>
            <w:noWrap/>
            <w:vAlign w:val="bottom"/>
            <w:hideMark/>
          </w:tcPr>
          <w:p w14:paraId="42220044"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173,016 ÷ 601,602 = 28.76%</w:t>
            </w:r>
          </w:p>
        </w:tc>
        <w:tc>
          <w:tcPr>
            <w:tcW w:w="682" w:type="pct"/>
            <w:tcBorders>
              <w:top w:val="nil"/>
              <w:left w:val="nil"/>
              <w:bottom w:val="single" w:sz="4" w:space="0" w:color="auto"/>
              <w:right w:val="single" w:sz="4" w:space="0" w:color="auto"/>
            </w:tcBorders>
            <w:noWrap/>
            <w:vAlign w:val="bottom"/>
            <w:hideMark/>
          </w:tcPr>
          <w:p w14:paraId="2D70FEB4"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176,256 ÷ 614,680 = 28.67%</w:t>
            </w:r>
          </w:p>
        </w:tc>
      </w:tr>
      <w:tr w:rsidR="00626A93" w:rsidRPr="00095284" w14:paraId="3AF0553F" w14:textId="77777777" w:rsidTr="00626A93">
        <w:trPr>
          <w:trHeight w:val="300"/>
        </w:trPr>
        <w:tc>
          <w:tcPr>
            <w:tcW w:w="563" w:type="pct"/>
            <w:tcBorders>
              <w:top w:val="nil"/>
              <w:left w:val="single" w:sz="4" w:space="0" w:color="auto"/>
              <w:bottom w:val="single" w:sz="4" w:space="0" w:color="auto"/>
              <w:right w:val="single" w:sz="4" w:space="0" w:color="auto"/>
            </w:tcBorders>
            <w:noWrap/>
            <w:vAlign w:val="bottom"/>
            <w:hideMark/>
          </w:tcPr>
          <w:p w14:paraId="7D9E1848" w14:textId="77777777" w:rsidR="00626A93" w:rsidRPr="00095284" w:rsidRDefault="00626A93" w:rsidP="00626A93">
            <w:pPr>
              <w:spacing w:after="0"/>
              <w:jc w:val="left"/>
              <w:rPr>
                <w:rFonts w:eastAsia="Times New Roman" w:cs="Arial"/>
                <w:b/>
                <w:i/>
                <w:color w:val="000000"/>
                <w:szCs w:val="24"/>
                <w:lang w:val="en-GB"/>
              </w:rPr>
            </w:pPr>
            <w:r w:rsidRPr="00095284">
              <w:rPr>
                <w:rFonts w:eastAsia="Times New Roman" w:cs="Arial"/>
                <w:b/>
                <w:i/>
                <w:color w:val="000000"/>
                <w:szCs w:val="24"/>
                <w:lang w:val="en-GB"/>
              </w:rPr>
              <w:t xml:space="preserve">Net Profit </w:t>
            </w:r>
            <w:r w:rsidRPr="00095284">
              <w:rPr>
                <w:rFonts w:eastAsia="Times New Roman" w:cs="Arial"/>
                <w:b/>
                <w:i/>
                <w:color w:val="000000"/>
                <w:szCs w:val="24"/>
                <w:lang w:val="en-GB"/>
              </w:rPr>
              <w:lastRenderedPageBreak/>
              <w:t>Margin (%)</w:t>
            </w:r>
          </w:p>
        </w:tc>
        <w:tc>
          <w:tcPr>
            <w:tcW w:w="979" w:type="pct"/>
            <w:tcBorders>
              <w:top w:val="nil"/>
              <w:left w:val="nil"/>
              <w:bottom w:val="single" w:sz="4" w:space="0" w:color="auto"/>
              <w:right w:val="single" w:sz="4" w:space="0" w:color="auto"/>
            </w:tcBorders>
            <w:noWrap/>
            <w:vAlign w:val="bottom"/>
            <w:hideMark/>
          </w:tcPr>
          <w:p w14:paraId="35168847"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lastRenderedPageBreak/>
              <w:t>Net Income ÷ Net Sales × 100</w:t>
            </w:r>
          </w:p>
        </w:tc>
        <w:tc>
          <w:tcPr>
            <w:tcW w:w="706" w:type="pct"/>
            <w:tcBorders>
              <w:top w:val="nil"/>
              <w:left w:val="nil"/>
              <w:bottom w:val="single" w:sz="4" w:space="0" w:color="auto"/>
              <w:right w:val="single" w:sz="4" w:space="0" w:color="auto"/>
            </w:tcBorders>
            <w:noWrap/>
            <w:vAlign w:val="bottom"/>
            <w:hideMark/>
          </w:tcPr>
          <w:p w14:paraId="3C76EB07"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 xml:space="preserve">(24,029) ÷ </w:t>
            </w:r>
            <w:r w:rsidRPr="00095284">
              <w:rPr>
                <w:rFonts w:eastAsia="Times New Roman" w:cs="Arial"/>
                <w:color w:val="000000"/>
                <w:szCs w:val="24"/>
                <w:lang w:val="en-GB"/>
              </w:rPr>
              <w:lastRenderedPageBreak/>
              <w:t>394,879 = -6.09%</w:t>
            </w:r>
          </w:p>
        </w:tc>
        <w:tc>
          <w:tcPr>
            <w:tcW w:w="706" w:type="pct"/>
            <w:tcBorders>
              <w:top w:val="nil"/>
              <w:left w:val="nil"/>
              <w:bottom w:val="single" w:sz="4" w:space="0" w:color="auto"/>
              <w:right w:val="single" w:sz="4" w:space="0" w:color="auto"/>
            </w:tcBorders>
            <w:noWrap/>
            <w:vAlign w:val="bottom"/>
            <w:hideMark/>
          </w:tcPr>
          <w:p w14:paraId="39234036"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lastRenderedPageBreak/>
              <w:t xml:space="preserve">(98,238) ÷ 420,457 </w:t>
            </w:r>
            <w:r w:rsidRPr="00095284">
              <w:rPr>
                <w:rFonts w:eastAsia="Times New Roman" w:cs="Arial"/>
                <w:color w:val="000000"/>
                <w:szCs w:val="24"/>
                <w:lang w:val="en-GB"/>
              </w:rPr>
              <w:lastRenderedPageBreak/>
              <w:t>= -23.37%</w:t>
            </w:r>
          </w:p>
        </w:tc>
        <w:tc>
          <w:tcPr>
            <w:tcW w:w="682" w:type="pct"/>
            <w:tcBorders>
              <w:top w:val="nil"/>
              <w:left w:val="nil"/>
              <w:bottom w:val="single" w:sz="4" w:space="0" w:color="auto"/>
              <w:right w:val="single" w:sz="4" w:space="0" w:color="auto"/>
            </w:tcBorders>
            <w:noWrap/>
            <w:vAlign w:val="bottom"/>
            <w:hideMark/>
          </w:tcPr>
          <w:p w14:paraId="18633B33"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lastRenderedPageBreak/>
              <w:t>407 ÷ 542,751 = 0.07%</w:t>
            </w:r>
          </w:p>
        </w:tc>
        <w:tc>
          <w:tcPr>
            <w:tcW w:w="682" w:type="pct"/>
            <w:tcBorders>
              <w:top w:val="nil"/>
              <w:left w:val="nil"/>
              <w:bottom w:val="single" w:sz="4" w:space="0" w:color="auto"/>
              <w:right w:val="single" w:sz="4" w:space="0" w:color="auto"/>
            </w:tcBorders>
            <w:noWrap/>
            <w:vAlign w:val="bottom"/>
            <w:hideMark/>
          </w:tcPr>
          <w:p w14:paraId="31E2D65D"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5,301 ÷ 601,602 = 0.88%</w:t>
            </w:r>
          </w:p>
        </w:tc>
        <w:tc>
          <w:tcPr>
            <w:tcW w:w="682" w:type="pct"/>
            <w:tcBorders>
              <w:top w:val="nil"/>
              <w:left w:val="nil"/>
              <w:bottom w:val="single" w:sz="4" w:space="0" w:color="auto"/>
              <w:right w:val="single" w:sz="4" w:space="0" w:color="auto"/>
            </w:tcBorders>
            <w:noWrap/>
            <w:vAlign w:val="bottom"/>
            <w:hideMark/>
          </w:tcPr>
          <w:p w14:paraId="66468885"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38,572 ÷ 614,680 = 6.28%</w:t>
            </w:r>
          </w:p>
        </w:tc>
      </w:tr>
      <w:tr w:rsidR="00626A93" w:rsidRPr="00095284" w14:paraId="59432394" w14:textId="77777777" w:rsidTr="00626A93">
        <w:trPr>
          <w:trHeight w:val="300"/>
        </w:trPr>
        <w:tc>
          <w:tcPr>
            <w:tcW w:w="563" w:type="pct"/>
            <w:tcBorders>
              <w:top w:val="nil"/>
              <w:left w:val="single" w:sz="4" w:space="0" w:color="auto"/>
              <w:bottom w:val="single" w:sz="4" w:space="0" w:color="auto"/>
              <w:right w:val="single" w:sz="4" w:space="0" w:color="auto"/>
            </w:tcBorders>
            <w:noWrap/>
            <w:vAlign w:val="bottom"/>
            <w:hideMark/>
          </w:tcPr>
          <w:p w14:paraId="31032030" w14:textId="77777777" w:rsidR="00626A93" w:rsidRPr="00095284" w:rsidRDefault="00626A93" w:rsidP="00626A93">
            <w:pPr>
              <w:spacing w:after="0"/>
              <w:jc w:val="left"/>
              <w:rPr>
                <w:rFonts w:eastAsia="Times New Roman" w:cs="Arial"/>
                <w:b/>
                <w:i/>
                <w:color w:val="000000"/>
                <w:szCs w:val="24"/>
                <w:lang w:val="en-GB"/>
              </w:rPr>
            </w:pPr>
            <w:r w:rsidRPr="00095284">
              <w:rPr>
                <w:rFonts w:eastAsia="Times New Roman" w:cs="Arial"/>
                <w:b/>
                <w:i/>
                <w:color w:val="000000"/>
                <w:szCs w:val="24"/>
                <w:lang w:val="en-GB"/>
              </w:rPr>
              <w:t>ROA (%)</w:t>
            </w:r>
          </w:p>
        </w:tc>
        <w:tc>
          <w:tcPr>
            <w:tcW w:w="979" w:type="pct"/>
            <w:tcBorders>
              <w:top w:val="nil"/>
              <w:left w:val="nil"/>
              <w:bottom w:val="single" w:sz="4" w:space="0" w:color="auto"/>
              <w:right w:val="single" w:sz="4" w:space="0" w:color="auto"/>
            </w:tcBorders>
            <w:noWrap/>
            <w:vAlign w:val="bottom"/>
            <w:hideMark/>
          </w:tcPr>
          <w:p w14:paraId="5FF6A428"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Net Income ÷ Total Assets × 100</w:t>
            </w:r>
          </w:p>
        </w:tc>
        <w:tc>
          <w:tcPr>
            <w:tcW w:w="706" w:type="pct"/>
            <w:tcBorders>
              <w:top w:val="nil"/>
              <w:left w:val="nil"/>
              <w:bottom w:val="single" w:sz="4" w:space="0" w:color="auto"/>
              <w:right w:val="single" w:sz="4" w:space="0" w:color="auto"/>
            </w:tcBorders>
            <w:noWrap/>
            <w:vAlign w:val="bottom"/>
            <w:hideMark/>
          </w:tcPr>
          <w:p w14:paraId="140480C1"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(24,029) ÷ 323,354 = -7.43%</w:t>
            </w:r>
          </w:p>
        </w:tc>
        <w:tc>
          <w:tcPr>
            <w:tcW w:w="706" w:type="pct"/>
            <w:tcBorders>
              <w:top w:val="nil"/>
              <w:left w:val="nil"/>
              <w:bottom w:val="single" w:sz="4" w:space="0" w:color="auto"/>
              <w:right w:val="single" w:sz="4" w:space="0" w:color="auto"/>
            </w:tcBorders>
            <w:noWrap/>
            <w:vAlign w:val="bottom"/>
            <w:hideMark/>
          </w:tcPr>
          <w:p w14:paraId="0BCC2703"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(98,238) ÷ 355,872 = -27.61%</w:t>
            </w:r>
          </w:p>
        </w:tc>
        <w:tc>
          <w:tcPr>
            <w:tcW w:w="682" w:type="pct"/>
            <w:tcBorders>
              <w:top w:val="nil"/>
              <w:left w:val="nil"/>
              <w:bottom w:val="single" w:sz="4" w:space="0" w:color="auto"/>
              <w:right w:val="single" w:sz="4" w:space="0" w:color="auto"/>
            </w:tcBorders>
            <w:noWrap/>
            <w:vAlign w:val="bottom"/>
            <w:hideMark/>
          </w:tcPr>
          <w:p w14:paraId="320148BA"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407 ÷ 504,163 = 0.08%</w:t>
            </w:r>
          </w:p>
        </w:tc>
        <w:tc>
          <w:tcPr>
            <w:tcW w:w="682" w:type="pct"/>
            <w:tcBorders>
              <w:top w:val="nil"/>
              <w:left w:val="nil"/>
              <w:bottom w:val="single" w:sz="4" w:space="0" w:color="auto"/>
              <w:right w:val="single" w:sz="4" w:space="0" w:color="auto"/>
            </w:tcBorders>
            <w:noWrap/>
            <w:vAlign w:val="bottom"/>
            <w:hideMark/>
          </w:tcPr>
          <w:p w14:paraId="764FC89B"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5,301 ÷ 510,348 = 1.04%</w:t>
            </w:r>
          </w:p>
        </w:tc>
        <w:tc>
          <w:tcPr>
            <w:tcW w:w="682" w:type="pct"/>
            <w:tcBorders>
              <w:top w:val="nil"/>
              <w:left w:val="nil"/>
              <w:bottom w:val="single" w:sz="4" w:space="0" w:color="auto"/>
              <w:right w:val="single" w:sz="4" w:space="0" w:color="auto"/>
            </w:tcBorders>
            <w:noWrap/>
            <w:vAlign w:val="bottom"/>
            <w:hideMark/>
          </w:tcPr>
          <w:p w14:paraId="6DCFD59F"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38,572 ÷ 510,290 = 7.56%</w:t>
            </w:r>
          </w:p>
        </w:tc>
      </w:tr>
      <w:tr w:rsidR="00626A93" w:rsidRPr="00095284" w14:paraId="672B44C5" w14:textId="77777777" w:rsidTr="00626A93">
        <w:trPr>
          <w:trHeight w:val="300"/>
        </w:trPr>
        <w:tc>
          <w:tcPr>
            <w:tcW w:w="563" w:type="pct"/>
            <w:tcBorders>
              <w:top w:val="nil"/>
              <w:left w:val="single" w:sz="4" w:space="0" w:color="auto"/>
              <w:bottom w:val="single" w:sz="4" w:space="0" w:color="auto"/>
              <w:right w:val="single" w:sz="4" w:space="0" w:color="auto"/>
            </w:tcBorders>
            <w:noWrap/>
            <w:vAlign w:val="bottom"/>
            <w:hideMark/>
          </w:tcPr>
          <w:p w14:paraId="7FB8D77A" w14:textId="77777777" w:rsidR="00626A93" w:rsidRPr="00095284" w:rsidRDefault="00626A93" w:rsidP="00626A93">
            <w:pPr>
              <w:spacing w:after="0"/>
              <w:jc w:val="left"/>
              <w:rPr>
                <w:rFonts w:eastAsia="Times New Roman" w:cs="Arial"/>
                <w:b/>
                <w:i/>
                <w:color w:val="000000"/>
                <w:szCs w:val="24"/>
                <w:lang w:val="en-GB"/>
              </w:rPr>
            </w:pPr>
            <w:r w:rsidRPr="00095284">
              <w:rPr>
                <w:rFonts w:eastAsia="Times New Roman" w:cs="Arial"/>
                <w:b/>
                <w:i/>
                <w:color w:val="000000"/>
                <w:szCs w:val="24"/>
                <w:lang w:val="en-GB"/>
              </w:rPr>
              <w:t>ROE (%)</w:t>
            </w:r>
          </w:p>
        </w:tc>
        <w:tc>
          <w:tcPr>
            <w:tcW w:w="979" w:type="pct"/>
            <w:tcBorders>
              <w:top w:val="nil"/>
              <w:left w:val="nil"/>
              <w:bottom w:val="single" w:sz="4" w:space="0" w:color="auto"/>
              <w:right w:val="single" w:sz="4" w:space="0" w:color="auto"/>
            </w:tcBorders>
            <w:noWrap/>
            <w:vAlign w:val="bottom"/>
            <w:hideMark/>
          </w:tcPr>
          <w:p w14:paraId="712F670B"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Net Income ÷ Shareholders’ Equity × 100</w:t>
            </w:r>
          </w:p>
        </w:tc>
        <w:tc>
          <w:tcPr>
            <w:tcW w:w="706" w:type="pct"/>
            <w:tcBorders>
              <w:top w:val="nil"/>
              <w:left w:val="nil"/>
              <w:bottom w:val="single" w:sz="4" w:space="0" w:color="auto"/>
              <w:right w:val="single" w:sz="4" w:space="0" w:color="auto"/>
            </w:tcBorders>
            <w:noWrap/>
            <w:vAlign w:val="bottom"/>
            <w:hideMark/>
          </w:tcPr>
          <w:p w14:paraId="4290F76C"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(24,029) ÷ 153,105 = -15.69%</w:t>
            </w:r>
          </w:p>
        </w:tc>
        <w:tc>
          <w:tcPr>
            <w:tcW w:w="706" w:type="pct"/>
            <w:tcBorders>
              <w:top w:val="nil"/>
              <w:left w:val="nil"/>
              <w:bottom w:val="single" w:sz="4" w:space="0" w:color="auto"/>
              <w:right w:val="single" w:sz="4" w:space="0" w:color="auto"/>
            </w:tcBorders>
            <w:noWrap/>
            <w:vAlign w:val="bottom"/>
            <w:hideMark/>
          </w:tcPr>
          <w:p w14:paraId="4E70CFC3"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(98,238) ÷ 178,920 = -54.91%</w:t>
            </w:r>
          </w:p>
        </w:tc>
        <w:tc>
          <w:tcPr>
            <w:tcW w:w="682" w:type="pct"/>
            <w:tcBorders>
              <w:top w:val="nil"/>
              <w:left w:val="nil"/>
              <w:bottom w:val="single" w:sz="4" w:space="0" w:color="auto"/>
              <w:right w:val="single" w:sz="4" w:space="0" w:color="auto"/>
            </w:tcBorders>
            <w:noWrap/>
            <w:vAlign w:val="bottom"/>
            <w:hideMark/>
          </w:tcPr>
          <w:p w14:paraId="58DF4A66"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407 ÷ 268,406 = 0.15%</w:t>
            </w:r>
          </w:p>
        </w:tc>
        <w:tc>
          <w:tcPr>
            <w:tcW w:w="682" w:type="pct"/>
            <w:tcBorders>
              <w:top w:val="nil"/>
              <w:left w:val="nil"/>
              <w:bottom w:val="single" w:sz="4" w:space="0" w:color="auto"/>
              <w:right w:val="single" w:sz="4" w:space="0" w:color="auto"/>
            </w:tcBorders>
            <w:noWrap/>
            <w:vAlign w:val="bottom"/>
            <w:hideMark/>
          </w:tcPr>
          <w:p w14:paraId="09360DBD"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5,301 ÷ 275,949 = 1.92%</w:t>
            </w:r>
          </w:p>
        </w:tc>
        <w:tc>
          <w:tcPr>
            <w:tcW w:w="682" w:type="pct"/>
            <w:tcBorders>
              <w:top w:val="nil"/>
              <w:left w:val="nil"/>
              <w:bottom w:val="single" w:sz="4" w:space="0" w:color="auto"/>
              <w:right w:val="single" w:sz="4" w:space="0" w:color="auto"/>
            </w:tcBorders>
            <w:noWrap/>
            <w:vAlign w:val="bottom"/>
            <w:hideMark/>
          </w:tcPr>
          <w:p w14:paraId="79B9C799" w14:textId="77777777" w:rsidR="00626A93" w:rsidRPr="00095284" w:rsidRDefault="00626A93" w:rsidP="00626A93">
            <w:pPr>
              <w:spacing w:after="0"/>
              <w:jc w:val="left"/>
              <w:rPr>
                <w:rFonts w:eastAsia="Times New Roman" w:cs="Arial"/>
                <w:color w:val="000000"/>
                <w:szCs w:val="24"/>
                <w:lang w:val="en-GB"/>
              </w:rPr>
            </w:pPr>
            <w:r w:rsidRPr="00095284">
              <w:rPr>
                <w:rFonts w:eastAsia="Times New Roman" w:cs="Arial"/>
                <w:color w:val="000000"/>
                <w:szCs w:val="24"/>
                <w:lang w:val="en-GB"/>
              </w:rPr>
              <w:t>38,572 ÷ 313,301 = 12.31%</w:t>
            </w:r>
          </w:p>
        </w:tc>
      </w:tr>
    </w:tbl>
    <w:p w14:paraId="01FA3414" w14:textId="77777777" w:rsidR="006F44AA" w:rsidRPr="00095284" w:rsidRDefault="006F44AA" w:rsidP="00095284">
      <w:pPr>
        <w:pStyle w:val="Heading4"/>
        <w:rPr>
          <w:lang w:val="en-GB"/>
        </w:rPr>
      </w:pPr>
      <w:bookmarkStart w:id="5" w:name="_Toc216868168"/>
      <w:bookmarkStart w:id="6" w:name="_Toc216891977"/>
      <w:r w:rsidRPr="00095284">
        <w:rPr>
          <w:lang w:val="en-GB"/>
        </w:rPr>
        <w:t xml:space="preserve">Table </w:t>
      </w:r>
      <w:r w:rsidRPr="00095284">
        <w:rPr>
          <w:lang w:val="en-GB"/>
        </w:rPr>
        <w:fldChar w:fldCharType="begin"/>
      </w:r>
      <w:r w:rsidRPr="00095284">
        <w:rPr>
          <w:lang w:val="en-GB"/>
        </w:rPr>
        <w:instrText xml:space="preserve"> SEQ Table \* ARABIC </w:instrText>
      </w:r>
      <w:r w:rsidRPr="00095284">
        <w:rPr>
          <w:lang w:val="en-GB"/>
        </w:rPr>
        <w:fldChar w:fldCharType="separate"/>
      </w:r>
      <w:r w:rsidR="00634152" w:rsidRPr="00095284">
        <w:rPr>
          <w:lang w:val="en-GB"/>
        </w:rPr>
        <w:t>1</w:t>
      </w:r>
      <w:r w:rsidRPr="00095284">
        <w:rPr>
          <w:lang w:val="en-GB"/>
        </w:rPr>
        <w:fldChar w:fldCharType="end"/>
      </w:r>
      <w:r w:rsidRPr="00095284">
        <w:rPr>
          <w:lang w:val="en-GB"/>
        </w:rPr>
        <w:t>: Profitability Ratios</w:t>
      </w:r>
      <w:bookmarkEnd w:id="5"/>
      <w:bookmarkEnd w:id="6"/>
    </w:p>
    <w:p w14:paraId="76AC9610" w14:textId="3C538328" w:rsidR="006F44AA" w:rsidRPr="00095284" w:rsidRDefault="006F44AA" w:rsidP="006F44AA">
      <w:pPr>
        <w:jc w:val="center"/>
        <w:rPr>
          <w:rFonts w:cs="Arial"/>
          <w:szCs w:val="24"/>
          <w:lang w:val="en-GB"/>
        </w:rPr>
      </w:pPr>
    </w:p>
    <w:tbl>
      <w:tblPr>
        <w:tblW w:w="5000" w:type="pct"/>
        <w:tblLayout w:type="fixed"/>
        <w:tblLook w:val="04A0" w:firstRow="1" w:lastRow="0" w:firstColumn="1" w:lastColumn="0" w:noHBand="0" w:noVBand="1"/>
      </w:tblPr>
      <w:tblGrid>
        <w:gridCol w:w="851"/>
        <w:gridCol w:w="1511"/>
        <w:gridCol w:w="1317"/>
        <w:gridCol w:w="1317"/>
        <w:gridCol w:w="1355"/>
        <w:gridCol w:w="1355"/>
        <w:gridCol w:w="1354"/>
      </w:tblGrid>
      <w:tr w:rsidR="000731E9" w:rsidRPr="00095284" w14:paraId="3BE98C0B" w14:textId="77777777" w:rsidTr="000731E9">
        <w:trPr>
          <w:trHeight w:val="300"/>
        </w:trPr>
        <w:tc>
          <w:tcPr>
            <w:tcW w:w="5000" w:type="pct"/>
            <w:gridSpan w:val="7"/>
            <w:tcBorders>
              <w:top w:val="single" w:sz="4" w:space="0" w:color="auto"/>
              <w:left w:val="single" w:sz="4" w:space="0" w:color="auto"/>
              <w:bottom w:val="single" w:sz="4" w:space="0" w:color="auto"/>
              <w:right w:val="single" w:sz="4" w:space="0" w:color="000000"/>
            </w:tcBorders>
            <w:noWrap/>
            <w:vAlign w:val="bottom"/>
            <w:hideMark/>
          </w:tcPr>
          <w:p w14:paraId="5605E9DC" w14:textId="77777777" w:rsidR="000731E9" w:rsidRPr="00095284" w:rsidRDefault="000731E9" w:rsidP="000731E9">
            <w:pPr>
              <w:spacing w:after="0"/>
              <w:jc w:val="center"/>
              <w:rPr>
                <w:rFonts w:eastAsia="Times New Roman" w:cs="Arial"/>
                <w:b/>
                <w:bCs/>
                <w:color w:val="000000"/>
                <w:szCs w:val="24"/>
                <w:lang w:val="en-GB"/>
              </w:rPr>
            </w:pPr>
            <w:r w:rsidRPr="00095284">
              <w:rPr>
                <w:rFonts w:eastAsia="Times New Roman" w:cs="Arial"/>
                <w:b/>
                <w:bCs/>
                <w:color w:val="000000"/>
                <w:szCs w:val="24"/>
                <w:lang w:val="en-GB"/>
              </w:rPr>
              <w:t>Liquidity Ratios</w:t>
            </w:r>
          </w:p>
        </w:tc>
      </w:tr>
      <w:tr w:rsidR="000731E9" w:rsidRPr="00095284" w14:paraId="05ECEBA6" w14:textId="77777777" w:rsidTr="000731E9">
        <w:trPr>
          <w:trHeight w:val="300"/>
        </w:trPr>
        <w:tc>
          <w:tcPr>
            <w:tcW w:w="469" w:type="pct"/>
            <w:tcBorders>
              <w:top w:val="nil"/>
              <w:left w:val="single" w:sz="4" w:space="0" w:color="auto"/>
              <w:bottom w:val="single" w:sz="4" w:space="0" w:color="auto"/>
              <w:right w:val="single" w:sz="4" w:space="0" w:color="auto"/>
            </w:tcBorders>
            <w:noWrap/>
            <w:vAlign w:val="bottom"/>
            <w:hideMark/>
          </w:tcPr>
          <w:p w14:paraId="09AE43C9" w14:textId="77777777" w:rsidR="000731E9" w:rsidRPr="00095284" w:rsidRDefault="000731E9" w:rsidP="000731E9">
            <w:pPr>
              <w:spacing w:after="0"/>
              <w:jc w:val="left"/>
              <w:rPr>
                <w:rFonts w:eastAsia="Times New Roman" w:cs="Arial"/>
                <w:b/>
                <w:bCs/>
                <w:color w:val="000000"/>
                <w:szCs w:val="24"/>
                <w:lang w:val="en-GB"/>
              </w:rPr>
            </w:pPr>
            <w:r w:rsidRPr="00095284">
              <w:rPr>
                <w:rFonts w:eastAsia="Times New Roman" w:cs="Arial"/>
                <w:b/>
                <w:bCs/>
                <w:color w:val="000000"/>
                <w:szCs w:val="24"/>
                <w:lang w:val="en-GB"/>
              </w:rPr>
              <w:t>Ratio</w:t>
            </w:r>
          </w:p>
        </w:tc>
        <w:tc>
          <w:tcPr>
            <w:tcW w:w="834" w:type="pct"/>
            <w:tcBorders>
              <w:top w:val="nil"/>
              <w:left w:val="nil"/>
              <w:bottom w:val="single" w:sz="4" w:space="0" w:color="auto"/>
              <w:right w:val="single" w:sz="4" w:space="0" w:color="auto"/>
            </w:tcBorders>
            <w:noWrap/>
            <w:vAlign w:val="bottom"/>
            <w:hideMark/>
          </w:tcPr>
          <w:p w14:paraId="7D6B3BED" w14:textId="77777777" w:rsidR="000731E9" w:rsidRPr="00095284" w:rsidRDefault="000731E9" w:rsidP="000731E9">
            <w:pPr>
              <w:spacing w:after="0"/>
              <w:jc w:val="left"/>
              <w:rPr>
                <w:rFonts w:eastAsia="Times New Roman" w:cs="Arial"/>
                <w:b/>
                <w:bCs/>
                <w:color w:val="000000"/>
                <w:szCs w:val="24"/>
                <w:lang w:val="en-GB"/>
              </w:rPr>
            </w:pPr>
            <w:r w:rsidRPr="00095284">
              <w:rPr>
                <w:rFonts w:eastAsia="Times New Roman" w:cs="Arial"/>
                <w:b/>
                <w:bCs/>
                <w:color w:val="000000"/>
                <w:szCs w:val="24"/>
                <w:lang w:val="en-GB"/>
              </w:rPr>
              <w:t>Formula</w:t>
            </w:r>
          </w:p>
        </w:tc>
        <w:tc>
          <w:tcPr>
            <w:tcW w:w="727" w:type="pct"/>
            <w:tcBorders>
              <w:top w:val="nil"/>
              <w:left w:val="nil"/>
              <w:bottom w:val="single" w:sz="4" w:space="0" w:color="auto"/>
              <w:right w:val="single" w:sz="4" w:space="0" w:color="auto"/>
            </w:tcBorders>
            <w:noWrap/>
            <w:vAlign w:val="bottom"/>
            <w:hideMark/>
          </w:tcPr>
          <w:p w14:paraId="15E6DEFF" w14:textId="77777777" w:rsidR="000731E9" w:rsidRPr="00095284" w:rsidRDefault="000731E9" w:rsidP="000731E9">
            <w:pPr>
              <w:spacing w:after="0"/>
              <w:jc w:val="right"/>
              <w:rPr>
                <w:rFonts w:eastAsia="Times New Roman" w:cs="Arial"/>
                <w:b/>
                <w:bCs/>
                <w:color w:val="000000"/>
                <w:szCs w:val="24"/>
                <w:lang w:val="en-GB"/>
              </w:rPr>
            </w:pPr>
            <w:r w:rsidRPr="00095284">
              <w:rPr>
                <w:rFonts w:eastAsia="Times New Roman" w:cs="Arial"/>
                <w:b/>
                <w:bCs/>
                <w:color w:val="000000"/>
                <w:szCs w:val="24"/>
                <w:lang w:val="en-GB"/>
              </w:rPr>
              <w:t>2024</w:t>
            </w:r>
          </w:p>
        </w:tc>
        <w:tc>
          <w:tcPr>
            <w:tcW w:w="727" w:type="pct"/>
            <w:tcBorders>
              <w:top w:val="nil"/>
              <w:left w:val="nil"/>
              <w:bottom w:val="single" w:sz="4" w:space="0" w:color="auto"/>
              <w:right w:val="single" w:sz="4" w:space="0" w:color="auto"/>
            </w:tcBorders>
            <w:noWrap/>
            <w:vAlign w:val="bottom"/>
            <w:hideMark/>
          </w:tcPr>
          <w:p w14:paraId="5505A5B1" w14:textId="77777777" w:rsidR="000731E9" w:rsidRPr="00095284" w:rsidRDefault="000731E9" w:rsidP="000731E9">
            <w:pPr>
              <w:spacing w:after="0"/>
              <w:jc w:val="right"/>
              <w:rPr>
                <w:rFonts w:eastAsia="Times New Roman" w:cs="Arial"/>
                <w:b/>
                <w:bCs/>
                <w:color w:val="000000"/>
                <w:szCs w:val="24"/>
                <w:lang w:val="en-GB"/>
              </w:rPr>
            </w:pPr>
            <w:r w:rsidRPr="00095284">
              <w:rPr>
                <w:rFonts w:eastAsia="Times New Roman" w:cs="Arial"/>
                <w:b/>
                <w:bCs/>
                <w:color w:val="000000"/>
                <w:szCs w:val="24"/>
                <w:lang w:val="en-GB"/>
              </w:rPr>
              <w:t>2023</w:t>
            </w:r>
          </w:p>
        </w:tc>
        <w:tc>
          <w:tcPr>
            <w:tcW w:w="748" w:type="pct"/>
            <w:tcBorders>
              <w:top w:val="nil"/>
              <w:left w:val="nil"/>
              <w:bottom w:val="single" w:sz="4" w:space="0" w:color="auto"/>
              <w:right w:val="single" w:sz="4" w:space="0" w:color="auto"/>
            </w:tcBorders>
            <w:noWrap/>
            <w:vAlign w:val="bottom"/>
            <w:hideMark/>
          </w:tcPr>
          <w:p w14:paraId="54B254F6" w14:textId="77777777" w:rsidR="000731E9" w:rsidRPr="00095284" w:rsidRDefault="000731E9" w:rsidP="000731E9">
            <w:pPr>
              <w:spacing w:after="0"/>
              <w:jc w:val="right"/>
              <w:rPr>
                <w:rFonts w:eastAsia="Times New Roman" w:cs="Arial"/>
                <w:b/>
                <w:bCs/>
                <w:color w:val="000000"/>
                <w:szCs w:val="24"/>
                <w:lang w:val="en-GB"/>
              </w:rPr>
            </w:pPr>
            <w:r w:rsidRPr="00095284">
              <w:rPr>
                <w:rFonts w:eastAsia="Times New Roman" w:cs="Arial"/>
                <w:b/>
                <w:bCs/>
                <w:color w:val="000000"/>
                <w:szCs w:val="24"/>
                <w:lang w:val="en-GB"/>
              </w:rPr>
              <w:t>2022</w:t>
            </w:r>
          </w:p>
        </w:tc>
        <w:tc>
          <w:tcPr>
            <w:tcW w:w="748" w:type="pct"/>
            <w:tcBorders>
              <w:top w:val="nil"/>
              <w:left w:val="nil"/>
              <w:bottom w:val="single" w:sz="4" w:space="0" w:color="auto"/>
              <w:right w:val="single" w:sz="4" w:space="0" w:color="auto"/>
            </w:tcBorders>
            <w:noWrap/>
            <w:vAlign w:val="bottom"/>
            <w:hideMark/>
          </w:tcPr>
          <w:p w14:paraId="58723D27" w14:textId="77777777" w:rsidR="000731E9" w:rsidRPr="00095284" w:rsidRDefault="000731E9" w:rsidP="000731E9">
            <w:pPr>
              <w:spacing w:after="0"/>
              <w:jc w:val="right"/>
              <w:rPr>
                <w:rFonts w:eastAsia="Times New Roman" w:cs="Arial"/>
                <w:b/>
                <w:bCs/>
                <w:color w:val="000000"/>
                <w:szCs w:val="24"/>
                <w:lang w:val="en-GB"/>
              </w:rPr>
            </w:pPr>
            <w:r w:rsidRPr="00095284">
              <w:rPr>
                <w:rFonts w:eastAsia="Times New Roman" w:cs="Arial"/>
                <w:b/>
                <w:bCs/>
                <w:color w:val="000000"/>
                <w:szCs w:val="24"/>
                <w:lang w:val="en-GB"/>
              </w:rPr>
              <w:t>2021</w:t>
            </w:r>
          </w:p>
        </w:tc>
        <w:tc>
          <w:tcPr>
            <w:tcW w:w="748" w:type="pct"/>
            <w:tcBorders>
              <w:top w:val="nil"/>
              <w:left w:val="nil"/>
              <w:bottom w:val="single" w:sz="4" w:space="0" w:color="auto"/>
              <w:right w:val="single" w:sz="4" w:space="0" w:color="auto"/>
            </w:tcBorders>
            <w:noWrap/>
            <w:vAlign w:val="bottom"/>
            <w:hideMark/>
          </w:tcPr>
          <w:p w14:paraId="31A0EE91" w14:textId="77777777" w:rsidR="000731E9" w:rsidRPr="00095284" w:rsidRDefault="000731E9" w:rsidP="000731E9">
            <w:pPr>
              <w:spacing w:after="0"/>
              <w:jc w:val="right"/>
              <w:rPr>
                <w:rFonts w:eastAsia="Times New Roman" w:cs="Arial"/>
                <w:b/>
                <w:bCs/>
                <w:color w:val="000000"/>
                <w:szCs w:val="24"/>
                <w:lang w:val="en-GB"/>
              </w:rPr>
            </w:pPr>
            <w:r w:rsidRPr="00095284">
              <w:rPr>
                <w:rFonts w:eastAsia="Times New Roman" w:cs="Arial"/>
                <w:b/>
                <w:bCs/>
                <w:color w:val="000000"/>
                <w:szCs w:val="24"/>
                <w:lang w:val="en-GB"/>
              </w:rPr>
              <w:t>2020</w:t>
            </w:r>
          </w:p>
        </w:tc>
      </w:tr>
      <w:tr w:rsidR="000731E9" w:rsidRPr="00095284" w14:paraId="66671279" w14:textId="77777777" w:rsidTr="000731E9">
        <w:trPr>
          <w:trHeight w:val="300"/>
        </w:trPr>
        <w:tc>
          <w:tcPr>
            <w:tcW w:w="469" w:type="pct"/>
            <w:tcBorders>
              <w:top w:val="nil"/>
              <w:left w:val="single" w:sz="4" w:space="0" w:color="auto"/>
              <w:bottom w:val="single" w:sz="4" w:space="0" w:color="auto"/>
              <w:right w:val="single" w:sz="4" w:space="0" w:color="auto"/>
            </w:tcBorders>
            <w:noWrap/>
            <w:vAlign w:val="bottom"/>
            <w:hideMark/>
          </w:tcPr>
          <w:p w14:paraId="6D18F0E8" w14:textId="77777777" w:rsidR="000731E9" w:rsidRPr="00095284" w:rsidRDefault="000731E9" w:rsidP="000731E9">
            <w:pPr>
              <w:spacing w:after="0"/>
              <w:jc w:val="left"/>
              <w:rPr>
                <w:rFonts w:eastAsia="Times New Roman" w:cs="Arial"/>
                <w:b/>
                <w:i/>
                <w:color w:val="000000"/>
                <w:szCs w:val="24"/>
                <w:lang w:val="en-GB"/>
              </w:rPr>
            </w:pPr>
            <w:r w:rsidRPr="00095284">
              <w:rPr>
                <w:rFonts w:eastAsia="Times New Roman" w:cs="Arial"/>
                <w:b/>
                <w:i/>
                <w:color w:val="000000"/>
                <w:szCs w:val="24"/>
                <w:lang w:val="en-GB"/>
              </w:rPr>
              <w:t>Current Ratio</w:t>
            </w:r>
          </w:p>
        </w:tc>
        <w:tc>
          <w:tcPr>
            <w:tcW w:w="834" w:type="pct"/>
            <w:tcBorders>
              <w:top w:val="nil"/>
              <w:left w:val="nil"/>
              <w:bottom w:val="single" w:sz="4" w:space="0" w:color="auto"/>
              <w:right w:val="single" w:sz="4" w:space="0" w:color="auto"/>
            </w:tcBorders>
            <w:noWrap/>
            <w:vAlign w:val="bottom"/>
            <w:hideMark/>
          </w:tcPr>
          <w:p w14:paraId="70DED78F" w14:textId="77777777" w:rsidR="000731E9" w:rsidRPr="00095284" w:rsidRDefault="000731E9" w:rsidP="000731E9">
            <w:pPr>
              <w:spacing w:after="0"/>
              <w:jc w:val="left"/>
              <w:rPr>
                <w:rFonts w:eastAsia="Times New Roman" w:cs="Arial"/>
                <w:color w:val="000000"/>
                <w:szCs w:val="24"/>
                <w:lang w:val="en-GB"/>
              </w:rPr>
            </w:pPr>
            <w:r w:rsidRPr="00095284">
              <w:rPr>
                <w:rFonts w:eastAsia="Times New Roman" w:cs="Arial"/>
                <w:color w:val="000000"/>
                <w:szCs w:val="24"/>
                <w:lang w:val="en-GB"/>
              </w:rPr>
              <w:t>Current Assets ÷ Current Liabilities</w:t>
            </w:r>
          </w:p>
        </w:tc>
        <w:tc>
          <w:tcPr>
            <w:tcW w:w="727" w:type="pct"/>
            <w:tcBorders>
              <w:top w:val="nil"/>
              <w:left w:val="nil"/>
              <w:bottom w:val="single" w:sz="4" w:space="0" w:color="auto"/>
              <w:right w:val="single" w:sz="4" w:space="0" w:color="auto"/>
            </w:tcBorders>
            <w:noWrap/>
            <w:vAlign w:val="bottom"/>
            <w:hideMark/>
          </w:tcPr>
          <w:p w14:paraId="30007CB7" w14:textId="77777777" w:rsidR="000731E9" w:rsidRPr="00095284" w:rsidRDefault="000731E9" w:rsidP="000731E9">
            <w:pPr>
              <w:spacing w:after="0"/>
              <w:jc w:val="left"/>
              <w:rPr>
                <w:rFonts w:eastAsia="Times New Roman" w:cs="Arial"/>
                <w:color w:val="000000"/>
                <w:szCs w:val="24"/>
                <w:lang w:val="en-GB"/>
              </w:rPr>
            </w:pPr>
            <w:r w:rsidRPr="00095284">
              <w:rPr>
                <w:rFonts w:eastAsia="Times New Roman" w:cs="Arial"/>
                <w:color w:val="000000"/>
                <w:szCs w:val="24"/>
                <w:lang w:val="en-GB"/>
              </w:rPr>
              <w:t>242,494 ÷ 158,291 = 1.53</w:t>
            </w:r>
          </w:p>
        </w:tc>
        <w:tc>
          <w:tcPr>
            <w:tcW w:w="727" w:type="pct"/>
            <w:tcBorders>
              <w:top w:val="nil"/>
              <w:left w:val="nil"/>
              <w:bottom w:val="single" w:sz="4" w:space="0" w:color="auto"/>
              <w:right w:val="single" w:sz="4" w:space="0" w:color="auto"/>
            </w:tcBorders>
            <w:noWrap/>
            <w:vAlign w:val="bottom"/>
            <w:hideMark/>
          </w:tcPr>
          <w:p w14:paraId="1DBD4463" w14:textId="77777777" w:rsidR="000731E9" w:rsidRPr="00095284" w:rsidRDefault="000731E9" w:rsidP="000731E9">
            <w:pPr>
              <w:spacing w:after="0"/>
              <w:jc w:val="left"/>
              <w:rPr>
                <w:rFonts w:eastAsia="Times New Roman" w:cs="Arial"/>
                <w:color w:val="000000"/>
                <w:szCs w:val="24"/>
                <w:lang w:val="en-GB"/>
              </w:rPr>
            </w:pPr>
            <w:r w:rsidRPr="00095284">
              <w:rPr>
                <w:rFonts w:eastAsia="Times New Roman" w:cs="Arial"/>
                <w:color w:val="000000"/>
                <w:szCs w:val="24"/>
                <w:lang w:val="en-GB"/>
              </w:rPr>
              <w:t>258,851 ÷ 161,148 = 1.61</w:t>
            </w:r>
          </w:p>
        </w:tc>
        <w:tc>
          <w:tcPr>
            <w:tcW w:w="748" w:type="pct"/>
            <w:tcBorders>
              <w:top w:val="nil"/>
              <w:left w:val="nil"/>
              <w:bottom w:val="single" w:sz="4" w:space="0" w:color="auto"/>
              <w:right w:val="single" w:sz="4" w:space="0" w:color="auto"/>
            </w:tcBorders>
            <w:noWrap/>
            <w:vAlign w:val="bottom"/>
            <w:hideMark/>
          </w:tcPr>
          <w:p w14:paraId="00F53D85" w14:textId="77777777" w:rsidR="000731E9" w:rsidRPr="00095284" w:rsidRDefault="000731E9" w:rsidP="000731E9">
            <w:pPr>
              <w:spacing w:after="0"/>
              <w:jc w:val="left"/>
              <w:rPr>
                <w:rFonts w:eastAsia="Times New Roman" w:cs="Arial"/>
                <w:color w:val="000000"/>
                <w:szCs w:val="24"/>
                <w:lang w:val="en-GB"/>
              </w:rPr>
            </w:pPr>
            <w:r w:rsidRPr="00095284">
              <w:rPr>
                <w:rFonts w:eastAsia="Times New Roman" w:cs="Arial"/>
                <w:color w:val="000000"/>
                <w:szCs w:val="24"/>
                <w:lang w:val="en-GB"/>
              </w:rPr>
              <w:t>338,040 ÷ 216,473 = 1.56</w:t>
            </w:r>
          </w:p>
        </w:tc>
        <w:tc>
          <w:tcPr>
            <w:tcW w:w="748" w:type="pct"/>
            <w:tcBorders>
              <w:top w:val="nil"/>
              <w:left w:val="nil"/>
              <w:bottom w:val="single" w:sz="4" w:space="0" w:color="auto"/>
              <w:right w:val="single" w:sz="4" w:space="0" w:color="auto"/>
            </w:tcBorders>
            <w:noWrap/>
            <w:vAlign w:val="bottom"/>
            <w:hideMark/>
          </w:tcPr>
          <w:p w14:paraId="5B45C998" w14:textId="77777777" w:rsidR="000731E9" w:rsidRPr="00095284" w:rsidRDefault="000731E9" w:rsidP="000731E9">
            <w:pPr>
              <w:spacing w:after="0"/>
              <w:jc w:val="left"/>
              <w:rPr>
                <w:rFonts w:eastAsia="Times New Roman" w:cs="Arial"/>
                <w:color w:val="000000"/>
                <w:szCs w:val="24"/>
                <w:lang w:val="en-GB"/>
              </w:rPr>
            </w:pPr>
            <w:r w:rsidRPr="00095284">
              <w:rPr>
                <w:rFonts w:eastAsia="Times New Roman" w:cs="Arial"/>
                <w:color w:val="000000"/>
                <w:szCs w:val="24"/>
                <w:lang w:val="en-GB"/>
              </w:rPr>
              <w:t>337,146 ÷ 216,787 = 1.56</w:t>
            </w:r>
          </w:p>
        </w:tc>
        <w:tc>
          <w:tcPr>
            <w:tcW w:w="748" w:type="pct"/>
            <w:tcBorders>
              <w:top w:val="nil"/>
              <w:left w:val="nil"/>
              <w:bottom w:val="single" w:sz="4" w:space="0" w:color="auto"/>
              <w:right w:val="single" w:sz="4" w:space="0" w:color="auto"/>
            </w:tcBorders>
            <w:noWrap/>
            <w:vAlign w:val="bottom"/>
            <w:hideMark/>
          </w:tcPr>
          <w:p w14:paraId="1F53A17E" w14:textId="77777777" w:rsidR="000731E9" w:rsidRPr="00095284" w:rsidRDefault="000731E9" w:rsidP="000731E9">
            <w:pPr>
              <w:spacing w:after="0"/>
              <w:jc w:val="left"/>
              <w:rPr>
                <w:rFonts w:eastAsia="Times New Roman" w:cs="Arial"/>
                <w:color w:val="000000"/>
                <w:szCs w:val="24"/>
                <w:lang w:val="en-GB"/>
              </w:rPr>
            </w:pPr>
            <w:r w:rsidRPr="00095284">
              <w:rPr>
                <w:rFonts w:eastAsia="Times New Roman" w:cs="Arial"/>
                <w:color w:val="000000"/>
                <w:szCs w:val="24"/>
                <w:lang w:val="en-GB"/>
              </w:rPr>
              <w:t>326,843 ÷ 179,510 = 1.82</w:t>
            </w:r>
          </w:p>
        </w:tc>
      </w:tr>
      <w:tr w:rsidR="000731E9" w:rsidRPr="00095284" w14:paraId="378717A4" w14:textId="77777777" w:rsidTr="000731E9">
        <w:trPr>
          <w:trHeight w:val="300"/>
        </w:trPr>
        <w:tc>
          <w:tcPr>
            <w:tcW w:w="469" w:type="pct"/>
            <w:tcBorders>
              <w:top w:val="nil"/>
              <w:left w:val="single" w:sz="4" w:space="0" w:color="auto"/>
              <w:bottom w:val="single" w:sz="4" w:space="0" w:color="auto"/>
              <w:right w:val="single" w:sz="4" w:space="0" w:color="auto"/>
            </w:tcBorders>
            <w:noWrap/>
            <w:vAlign w:val="bottom"/>
            <w:hideMark/>
          </w:tcPr>
          <w:p w14:paraId="1B3C9289" w14:textId="77777777" w:rsidR="000731E9" w:rsidRPr="00095284" w:rsidRDefault="000731E9" w:rsidP="000731E9">
            <w:pPr>
              <w:spacing w:after="0"/>
              <w:jc w:val="left"/>
              <w:rPr>
                <w:rFonts w:eastAsia="Times New Roman" w:cs="Arial"/>
                <w:b/>
                <w:i/>
                <w:color w:val="000000"/>
                <w:szCs w:val="24"/>
                <w:lang w:val="en-GB"/>
              </w:rPr>
            </w:pPr>
            <w:r w:rsidRPr="00095284">
              <w:rPr>
                <w:rFonts w:eastAsia="Times New Roman" w:cs="Arial"/>
                <w:b/>
                <w:i/>
                <w:color w:val="000000"/>
                <w:szCs w:val="24"/>
                <w:lang w:val="en-GB"/>
              </w:rPr>
              <w:t>Quick Ratio</w:t>
            </w:r>
          </w:p>
        </w:tc>
        <w:tc>
          <w:tcPr>
            <w:tcW w:w="834" w:type="pct"/>
            <w:tcBorders>
              <w:top w:val="nil"/>
              <w:left w:val="nil"/>
              <w:bottom w:val="single" w:sz="4" w:space="0" w:color="auto"/>
              <w:right w:val="single" w:sz="4" w:space="0" w:color="auto"/>
            </w:tcBorders>
            <w:noWrap/>
            <w:vAlign w:val="bottom"/>
            <w:hideMark/>
          </w:tcPr>
          <w:p w14:paraId="7DCE5ECB" w14:textId="77777777" w:rsidR="000731E9" w:rsidRPr="00095284" w:rsidRDefault="000731E9" w:rsidP="000731E9">
            <w:pPr>
              <w:spacing w:after="0"/>
              <w:jc w:val="left"/>
              <w:rPr>
                <w:rFonts w:eastAsia="Times New Roman" w:cs="Arial"/>
                <w:color w:val="000000"/>
                <w:szCs w:val="24"/>
                <w:lang w:val="en-GB"/>
              </w:rPr>
            </w:pPr>
            <w:r w:rsidRPr="00095284">
              <w:rPr>
                <w:rFonts w:eastAsia="Times New Roman" w:cs="Arial"/>
                <w:color w:val="000000"/>
                <w:szCs w:val="24"/>
                <w:lang w:val="en-GB"/>
              </w:rPr>
              <w:t>(Current Assets – Inventories) ÷ Current Liabilities</w:t>
            </w:r>
          </w:p>
        </w:tc>
        <w:tc>
          <w:tcPr>
            <w:tcW w:w="727" w:type="pct"/>
            <w:tcBorders>
              <w:top w:val="nil"/>
              <w:left w:val="nil"/>
              <w:bottom w:val="single" w:sz="4" w:space="0" w:color="auto"/>
              <w:right w:val="single" w:sz="4" w:space="0" w:color="auto"/>
            </w:tcBorders>
            <w:noWrap/>
            <w:vAlign w:val="bottom"/>
            <w:hideMark/>
          </w:tcPr>
          <w:p w14:paraId="71178775" w14:textId="77777777" w:rsidR="000731E9" w:rsidRPr="00095284" w:rsidRDefault="000731E9" w:rsidP="000731E9">
            <w:pPr>
              <w:spacing w:after="0"/>
              <w:jc w:val="left"/>
              <w:rPr>
                <w:rFonts w:eastAsia="Times New Roman" w:cs="Arial"/>
                <w:color w:val="000000"/>
                <w:szCs w:val="24"/>
                <w:lang w:val="en-GB"/>
              </w:rPr>
            </w:pPr>
            <w:r w:rsidRPr="00095284">
              <w:rPr>
                <w:rFonts w:eastAsia="Times New Roman" w:cs="Arial"/>
                <w:color w:val="000000"/>
                <w:szCs w:val="24"/>
                <w:lang w:val="en-GB"/>
              </w:rPr>
              <w:t>(242,494 − 79,355) ÷ 158,291 = 1.03</w:t>
            </w:r>
          </w:p>
        </w:tc>
        <w:tc>
          <w:tcPr>
            <w:tcW w:w="727" w:type="pct"/>
            <w:tcBorders>
              <w:top w:val="nil"/>
              <w:left w:val="nil"/>
              <w:bottom w:val="single" w:sz="4" w:space="0" w:color="auto"/>
              <w:right w:val="single" w:sz="4" w:space="0" w:color="auto"/>
            </w:tcBorders>
            <w:noWrap/>
            <w:vAlign w:val="bottom"/>
            <w:hideMark/>
          </w:tcPr>
          <w:p w14:paraId="2EB47B22" w14:textId="77777777" w:rsidR="000731E9" w:rsidRPr="00095284" w:rsidRDefault="000731E9" w:rsidP="000731E9">
            <w:pPr>
              <w:spacing w:after="0"/>
              <w:jc w:val="left"/>
              <w:rPr>
                <w:rFonts w:eastAsia="Times New Roman" w:cs="Arial"/>
                <w:color w:val="000000"/>
                <w:szCs w:val="24"/>
                <w:lang w:val="en-GB"/>
              </w:rPr>
            </w:pPr>
            <w:r w:rsidRPr="00095284">
              <w:rPr>
                <w:rFonts w:eastAsia="Times New Roman" w:cs="Arial"/>
                <w:color w:val="000000"/>
                <w:szCs w:val="24"/>
                <w:lang w:val="en-GB"/>
              </w:rPr>
              <w:t>(258,851 − 88,273) ÷ 161,148 = 1.06</w:t>
            </w:r>
          </w:p>
        </w:tc>
        <w:tc>
          <w:tcPr>
            <w:tcW w:w="748" w:type="pct"/>
            <w:tcBorders>
              <w:top w:val="nil"/>
              <w:left w:val="nil"/>
              <w:bottom w:val="single" w:sz="4" w:space="0" w:color="auto"/>
              <w:right w:val="single" w:sz="4" w:space="0" w:color="auto"/>
            </w:tcBorders>
            <w:noWrap/>
            <w:vAlign w:val="bottom"/>
            <w:hideMark/>
          </w:tcPr>
          <w:p w14:paraId="5CE482EB" w14:textId="77777777" w:rsidR="000731E9" w:rsidRPr="00095284" w:rsidRDefault="000731E9" w:rsidP="000731E9">
            <w:pPr>
              <w:spacing w:after="0"/>
              <w:jc w:val="left"/>
              <w:rPr>
                <w:rFonts w:eastAsia="Times New Roman" w:cs="Arial"/>
                <w:color w:val="000000"/>
                <w:szCs w:val="24"/>
                <w:lang w:val="en-GB"/>
              </w:rPr>
            </w:pPr>
            <w:r w:rsidRPr="00095284">
              <w:rPr>
                <w:rFonts w:eastAsia="Times New Roman" w:cs="Arial"/>
                <w:color w:val="000000"/>
                <w:szCs w:val="24"/>
                <w:lang w:val="en-GB"/>
              </w:rPr>
              <w:t>(338,040 − 140,181) ÷ 216,473 = 0.91</w:t>
            </w:r>
          </w:p>
        </w:tc>
        <w:tc>
          <w:tcPr>
            <w:tcW w:w="748" w:type="pct"/>
            <w:tcBorders>
              <w:top w:val="nil"/>
              <w:left w:val="nil"/>
              <w:bottom w:val="single" w:sz="4" w:space="0" w:color="auto"/>
              <w:right w:val="single" w:sz="4" w:space="0" w:color="auto"/>
            </w:tcBorders>
            <w:noWrap/>
            <w:vAlign w:val="bottom"/>
            <w:hideMark/>
          </w:tcPr>
          <w:p w14:paraId="457F5AB8" w14:textId="77777777" w:rsidR="000731E9" w:rsidRPr="00095284" w:rsidRDefault="000731E9" w:rsidP="000731E9">
            <w:pPr>
              <w:spacing w:after="0"/>
              <w:jc w:val="left"/>
              <w:rPr>
                <w:rFonts w:eastAsia="Times New Roman" w:cs="Arial"/>
                <w:color w:val="000000"/>
                <w:szCs w:val="24"/>
                <w:lang w:val="en-GB"/>
              </w:rPr>
            </w:pPr>
            <w:r w:rsidRPr="00095284">
              <w:rPr>
                <w:rFonts w:eastAsia="Times New Roman" w:cs="Arial"/>
                <w:color w:val="000000"/>
                <w:szCs w:val="24"/>
                <w:lang w:val="en-GB"/>
              </w:rPr>
              <w:t>(337,146 − 134,469) ÷ 216,787 = 0.94</w:t>
            </w:r>
          </w:p>
        </w:tc>
        <w:tc>
          <w:tcPr>
            <w:tcW w:w="748" w:type="pct"/>
            <w:tcBorders>
              <w:top w:val="nil"/>
              <w:left w:val="nil"/>
              <w:bottom w:val="single" w:sz="4" w:space="0" w:color="auto"/>
              <w:right w:val="single" w:sz="4" w:space="0" w:color="auto"/>
            </w:tcBorders>
            <w:noWrap/>
            <w:vAlign w:val="bottom"/>
            <w:hideMark/>
          </w:tcPr>
          <w:p w14:paraId="41C82D85" w14:textId="77777777" w:rsidR="000731E9" w:rsidRPr="00095284" w:rsidRDefault="000731E9" w:rsidP="000731E9">
            <w:pPr>
              <w:spacing w:after="0"/>
              <w:jc w:val="left"/>
              <w:rPr>
                <w:rFonts w:eastAsia="Times New Roman" w:cs="Arial"/>
                <w:color w:val="000000"/>
                <w:szCs w:val="24"/>
                <w:lang w:val="en-GB"/>
              </w:rPr>
            </w:pPr>
            <w:r w:rsidRPr="00095284">
              <w:rPr>
                <w:rFonts w:eastAsia="Times New Roman" w:cs="Arial"/>
                <w:color w:val="000000"/>
                <w:szCs w:val="24"/>
                <w:lang w:val="en-GB"/>
              </w:rPr>
              <w:t>(326,843 − 120,430) ÷ 179,510 = 1.15</w:t>
            </w:r>
          </w:p>
        </w:tc>
      </w:tr>
    </w:tbl>
    <w:p w14:paraId="54A2BDA0" w14:textId="77777777" w:rsidR="00626A93" w:rsidRPr="00095284" w:rsidRDefault="00D74F87" w:rsidP="00095284">
      <w:pPr>
        <w:pStyle w:val="Heading4"/>
        <w:rPr>
          <w:lang w:val="en-GB"/>
        </w:rPr>
      </w:pPr>
      <w:bookmarkStart w:id="7" w:name="_Toc216868169"/>
      <w:bookmarkStart w:id="8" w:name="_Toc216891978"/>
      <w:r w:rsidRPr="00095284">
        <w:rPr>
          <w:lang w:val="en-GB"/>
        </w:rPr>
        <w:t xml:space="preserve">Table </w:t>
      </w:r>
      <w:r w:rsidRPr="00095284">
        <w:rPr>
          <w:lang w:val="en-GB"/>
        </w:rPr>
        <w:fldChar w:fldCharType="begin"/>
      </w:r>
      <w:r w:rsidRPr="00095284">
        <w:rPr>
          <w:lang w:val="en-GB"/>
        </w:rPr>
        <w:instrText xml:space="preserve"> SEQ Table \* ARABIC </w:instrText>
      </w:r>
      <w:r w:rsidRPr="00095284">
        <w:rPr>
          <w:lang w:val="en-GB"/>
        </w:rPr>
        <w:fldChar w:fldCharType="separate"/>
      </w:r>
      <w:r w:rsidR="00634152" w:rsidRPr="00095284">
        <w:rPr>
          <w:lang w:val="en-GB"/>
        </w:rPr>
        <w:t>2</w:t>
      </w:r>
      <w:r w:rsidRPr="00095284">
        <w:rPr>
          <w:lang w:val="en-GB"/>
        </w:rPr>
        <w:fldChar w:fldCharType="end"/>
      </w:r>
      <w:r w:rsidRPr="00095284">
        <w:rPr>
          <w:lang w:val="en-GB"/>
        </w:rPr>
        <w:t xml:space="preserve">: Liquidity </w:t>
      </w:r>
      <w:r w:rsidR="00F8722D" w:rsidRPr="00095284">
        <w:rPr>
          <w:lang w:val="en-GB"/>
        </w:rPr>
        <w:t>Ratios</w:t>
      </w:r>
      <w:bookmarkEnd w:id="7"/>
      <w:bookmarkEnd w:id="8"/>
    </w:p>
    <w:p w14:paraId="0251952C" w14:textId="7B887092" w:rsidR="00152C46" w:rsidRPr="00095284" w:rsidRDefault="00152C46" w:rsidP="00D74F87">
      <w:pPr>
        <w:jc w:val="center"/>
        <w:rPr>
          <w:rFonts w:cs="Arial"/>
          <w:szCs w:val="24"/>
          <w:lang w:val="en-GB"/>
        </w:rPr>
      </w:pPr>
    </w:p>
    <w:tbl>
      <w:tblPr>
        <w:tblW w:w="5000" w:type="pct"/>
        <w:tblLook w:val="04A0" w:firstRow="1" w:lastRow="0" w:firstColumn="1" w:lastColumn="0" w:noHBand="0" w:noVBand="1"/>
      </w:tblPr>
      <w:tblGrid>
        <w:gridCol w:w="952"/>
        <w:gridCol w:w="1313"/>
        <w:gridCol w:w="1359"/>
        <w:gridCol w:w="1359"/>
        <w:gridCol w:w="1359"/>
        <w:gridCol w:w="1359"/>
        <w:gridCol w:w="1359"/>
      </w:tblGrid>
      <w:tr w:rsidR="00F26A59" w:rsidRPr="00095284" w14:paraId="0332A07F" w14:textId="77777777" w:rsidTr="00F26A59">
        <w:trPr>
          <w:trHeight w:val="300"/>
        </w:trPr>
        <w:tc>
          <w:tcPr>
            <w:tcW w:w="5000" w:type="pct"/>
            <w:gridSpan w:val="7"/>
            <w:tcBorders>
              <w:top w:val="single" w:sz="4" w:space="0" w:color="auto"/>
              <w:left w:val="single" w:sz="4" w:space="0" w:color="auto"/>
              <w:bottom w:val="single" w:sz="4" w:space="0" w:color="auto"/>
              <w:right w:val="single" w:sz="4" w:space="0" w:color="000000"/>
            </w:tcBorders>
            <w:noWrap/>
            <w:vAlign w:val="bottom"/>
            <w:hideMark/>
          </w:tcPr>
          <w:p w14:paraId="0ED457A2" w14:textId="77777777" w:rsidR="00F26A59" w:rsidRPr="00095284" w:rsidRDefault="00F26A59" w:rsidP="00F26A59">
            <w:pPr>
              <w:spacing w:after="0"/>
              <w:jc w:val="center"/>
              <w:rPr>
                <w:rFonts w:eastAsia="Times New Roman" w:cs="Arial"/>
                <w:b/>
                <w:bCs/>
                <w:color w:val="000000"/>
                <w:szCs w:val="24"/>
                <w:lang w:val="en-GB"/>
              </w:rPr>
            </w:pPr>
            <w:r w:rsidRPr="00095284">
              <w:rPr>
                <w:rFonts w:eastAsia="Times New Roman" w:cs="Arial"/>
                <w:b/>
                <w:bCs/>
                <w:color w:val="000000"/>
                <w:szCs w:val="24"/>
                <w:lang w:val="en-GB"/>
              </w:rPr>
              <w:t>Efficiency Ratios</w:t>
            </w:r>
          </w:p>
        </w:tc>
      </w:tr>
      <w:tr w:rsidR="00F26A59" w:rsidRPr="00095284" w14:paraId="402EC12B" w14:textId="77777777" w:rsidTr="00F26A59">
        <w:trPr>
          <w:trHeight w:val="300"/>
        </w:trPr>
        <w:tc>
          <w:tcPr>
            <w:tcW w:w="461" w:type="pct"/>
            <w:tcBorders>
              <w:top w:val="nil"/>
              <w:left w:val="single" w:sz="4" w:space="0" w:color="auto"/>
              <w:bottom w:val="single" w:sz="4" w:space="0" w:color="auto"/>
              <w:right w:val="single" w:sz="4" w:space="0" w:color="auto"/>
            </w:tcBorders>
            <w:noWrap/>
            <w:vAlign w:val="bottom"/>
            <w:hideMark/>
          </w:tcPr>
          <w:p w14:paraId="4843ECEC" w14:textId="77777777" w:rsidR="00F26A59" w:rsidRPr="00095284" w:rsidRDefault="00F26A59" w:rsidP="00F26A59">
            <w:pPr>
              <w:spacing w:after="0"/>
              <w:jc w:val="center"/>
              <w:rPr>
                <w:rFonts w:eastAsia="Times New Roman" w:cs="Arial"/>
                <w:b/>
                <w:bCs/>
                <w:color w:val="000000"/>
                <w:szCs w:val="24"/>
                <w:lang w:val="en-GB"/>
              </w:rPr>
            </w:pPr>
            <w:r w:rsidRPr="00095284">
              <w:rPr>
                <w:rFonts w:eastAsia="Times New Roman" w:cs="Arial"/>
                <w:b/>
                <w:bCs/>
                <w:color w:val="000000"/>
                <w:szCs w:val="24"/>
                <w:lang w:val="en-GB"/>
              </w:rPr>
              <w:lastRenderedPageBreak/>
              <w:t>Ratio</w:t>
            </w:r>
          </w:p>
        </w:tc>
        <w:tc>
          <w:tcPr>
            <w:tcW w:w="715" w:type="pct"/>
            <w:tcBorders>
              <w:top w:val="nil"/>
              <w:left w:val="nil"/>
              <w:bottom w:val="single" w:sz="4" w:space="0" w:color="auto"/>
              <w:right w:val="single" w:sz="4" w:space="0" w:color="auto"/>
            </w:tcBorders>
            <w:noWrap/>
            <w:vAlign w:val="bottom"/>
            <w:hideMark/>
          </w:tcPr>
          <w:p w14:paraId="70E4E9D5" w14:textId="77777777" w:rsidR="00F26A59" w:rsidRPr="00095284" w:rsidRDefault="00F26A59" w:rsidP="00F26A59">
            <w:pPr>
              <w:spacing w:after="0"/>
              <w:jc w:val="center"/>
              <w:rPr>
                <w:rFonts w:eastAsia="Times New Roman" w:cs="Arial"/>
                <w:b/>
                <w:bCs/>
                <w:color w:val="000000"/>
                <w:szCs w:val="24"/>
                <w:lang w:val="en-GB"/>
              </w:rPr>
            </w:pPr>
            <w:r w:rsidRPr="00095284">
              <w:rPr>
                <w:rFonts w:eastAsia="Times New Roman" w:cs="Arial"/>
                <w:b/>
                <w:bCs/>
                <w:color w:val="000000"/>
                <w:szCs w:val="24"/>
                <w:lang w:val="en-GB"/>
              </w:rPr>
              <w:t>Formula</w:t>
            </w:r>
          </w:p>
        </w:tc>
        <w:tc>
          <w:tcPr>
            <w:tcW w:w="765" w:type="pct"/>
            <w:tcBorders>
              <w:top w:val="nil"/>
              <w:left w:val="nil"/>
              <w:bottom w:val="single" w:sz="4" w:space="0" w:color="auto"/>
              <w:right w:val="single" w:sz="4" w:space="0" w:color="auto"/>
            </w:tcBorders>
            <w:noWrap/>
            <w:vAlign w:val="bottom"/>
            <w:hideMark/>
          </w:tcPr>
          <w:p w14:paraId="18EB87E4" w14:textId="77777777" w:rsidR="00F26A59" w:rsidRPr="00095284" w:rsidRDefault="00F26A59" w:rsidP="00F26A59">
            <w:pPr>
              <w:spacing w:after="0"/>
              <w:jc w:val="center"/>
              <w:rPr>
                <w:rFonts w:eastAsia="Times New Roman" w:cs="Arial"/>
                <w:b/>
                <w:bCs/>
                <w:color w:val="000000"/>
                <w:szCs w:val="24"/>
                <w:lang w:val="en-GB"/>
              </w:rPr>
            </w:pPr>
            <w:r w:rsidRPr="00095284">
              <w:rPr>
                <w:rFonts w:eastAsia="Times New Roman" w:cs="Arial"/>
                <w:b/>
                <w:bCs/>
                <w:color w:val="000000"/>
                <w:szCs w:val="24"/>
                <w:lang w:val="en-GB"/>
              </w:rPr>
              <w:t>2024</w:t>
            </w:r>
          </w:p>
        </w:tc>
        <w:tc>
          <w:tcPr>
            <w:tcW w:w="765" w:type="pct"/>
            <w:tcBorders>
              <w:top w:val="nil"/>
              <w:left w:val="nil"/>
              <w:bottom w:val="single" w:sz="4" w:space="0" w:color="auto"/>
              <w:right w:val="single" w:sz="4" w:space="0" w:color="auto"/>
            </w:tcBorders>
            <w:noWrap/>
            <w:vAlign w:val="bottom"/>
            <w:hideMark/>
          </w:tcPr>
          <w:p w14:paraId="1EC904E1" w14:textId="77777777" w:rsidR="00F26A59" w:rsidRPr="00095284" w:rsidRDefault="00F26A59" w:rsidP="00F26A59">
            <w:pPr>
              <w:spacing w:after="0"/>
              <w:jc w:val="center"/>
              <w:rPr>
                <w:rFonts w:eastAsia="Times New Roman" w:cs="Arial"/>
                <w:b/>
                <w:bCs/>
                <w:color w:val="000000"/>
                <w:szCs w:val="24"/>
                <w:lang w:val="en-GB"/>
              </w:rPr>
            </w:pPr>
            <w:r w:rsidRPr="00095284">
              <w:rPr>
                <w:rFonts w:eastAsia="Times New Roman" w:cs="Arial"/>
                <w:b/>
                <w:bCs/>
                <w:color w:val="000000"/>
                <w:szCs w:val="24"/>
                <w:lang w:val="en-GB"/>
              </w:rPr>
              <w:t>2023</w:t>
            </w:r>
          </w:p>
        </w:tc>
        <w:tc>
          <w:tcPr>
            <w:tcW w:w="765" w:type="pct"/>
            <w:tcBorders>
              <w:top w:val="nil"/>
              <w:left w:val="nil"/>
              <w:bottom w:val="single" w:sz="4" w:space="0" w:color="auto"/>
              <w:right w:val="single" w:sz="4" w:space="0" w:color="auto"/>
            </w:tcBorders>
            <w:noWrap/>
            <w:vAlign w:val="bottom"/>
            <w:hideMark/>
          </w:tcPr>
          <w:p w14:paraId="20CCF76B" w14:textId="77777777" w:rsidR="00F26A59" w:rsidRPr="00095284" w:rsidRDefault="00F26A59" w:rsidP="00F26A59">
            <w:pPr>
              <w:spacing w:after="0"/>
              <w:jc w:val="center"/>
              <w:rPr>
                <w:rFonts w:eastAsia="Times New Roman" w:cs="Arial"/>
                <w:b/>
                <w:bCs/>
                <w:color w:val="000000"/>
                <w:szCs w:val="24"/>
                <w:lang w:val="en-GB"/>
              </w:rPr>
            </w:pPr>
            <w:r w:rsidRPr="00095284">
              <w:rPr>
                <w:rFonts w:eastAsia="Times New Roman" w:cs="Arial"/>
                <w:b/>
                <w:bCs/>
                <w:color w:val="000000"/>
                <w:szCs w:val="24"/>
                <w:lang w:val="en-GB"/>
              </w:rPr>
              <w:t>2022</w:t>
            </w:r>
          </w:p>
        </w:tc>
        <w:tc>
          <w:tcPr>
            <w:tcW w:w="765" w:type="pct"/>
            <w:tcBorders>
              <w:top w:val="nil"/>
              <w:left w:val="nil"/>
              <w:bottom w:val="single" w:sz="4" w:space="0" w:color="auto"/>
              <w:right w:val="single" w:sz="4" w:space="0" w:color="auto"/>
            </w:tcBorders>
            <w:noWrap/>
            <w:vAlign w:val="bottom"/>
            <w:hideMark/>
          </w:tcPr>
          <w:p w14:paraId="723C88E1" w14:textId="77777777" w:rsidR="00F26A59" w:rsidRPr="00095284" w:rsidRDefault="00F26A59" w:rsidP="00F26A59">
            <w:pPr>
              <w:spacing w:after="0"/>
              <w:jc w:val="center"/>
              <w:rPr>
                <w:rFonts w:eastAsia="Times New Roman" w:cs="Arial"/>
                <w:b/>
                <w:bCs/>
                <w:color w:val="000000"/>
                <w:szCs w:val="24"/>
                <w:lang w:val="en-GB"/>
              </w:rPr>
            </w:pPr>
            <w:r w:rsidRPr="00095284">
              <w:rPr>
                <w:rFonts w:eastAsia="Times New Roman" w:cs="Arial"/>
                <w:b/>
                <w:bCs/>
                <w:color w:val="000000"/>
                <w:szCs w:val="24"/>
                <w:lang w:val="en-GB"/>
              </w:rPr>
              <w:t>2021</w:t>
            </w:r>
          </w:p>
        </w:tc>
        <w:tc>
          <w:tcPr>
            <w:tcW w:w="765" w:type="pct"/>
            <w:tcBorders>
              <w:top w:val="nil"/>
              <w:left w:val="nil"/>
              <w:bottom w:val="single" w:sz="4" w:space="0" w:color="auto"/>
              <w:right w:val="single" w:sz="4" w:space="0" w:color="auto"/>
            </w:tcBorders>
            <w:noWrap/>
            <w:vAlign w:val="bottom"/>
            <w:hideMark/>
          </w:tcPr>
          <w:p w14:paraId="175C04BF" w14:textId="77777777" w:rsidR="00F26A59" w:rsidRPr="00095284" w:rsidRDefault="00F26A59" w:rsidP="00F26A59">
            <w:pPr>
              <w:spacing w:after="0"/>
              <w:jc w:val="center"/>
              <w:rPr>
                <w:rFonts w:eastAsia="Times New Roman" w:cs="Arial"/>
                <w:b/>
                <w:bCs/>
                <w:color w:val="000000"/>
                <w:szCs w:val="24"/>
                <w:lang w:val="en-GB"/>
              </w:rPr>
            </w:pPr>
            <w:r w:rsidRPr="00095284">
              <w:rPr>
                <w:rFonts w:eastAsia="Times New Roman" w:cs="Arial"/>
                <w:b/>
                <w:bCs/>
                <w:color w:val="000000"/>
                <w:szCs w:val="24"/>
                <w:lang w:val="en-GB"/>
              </w:rPr>
              <w:t>2020</w:t>
            </w:r>
          </w:p>
        </w:tc>
      </w:tr>
      <w:tr w:rsidR="00F26A59" w:rsidRPr="00095284" w14:paraId="70D324B8" w14:textId="77777777" w:rsidTr="00F26A59">
        <w:trPr>
          <w:trHeight w:val="300"/>
        </w:trPr>
        <w:tc>
          <w:tcPr>
            <w:tcW w:w="461" w:type="pct"/>
            <w:tcBorders>
              <w:top w:val="nil"/>
              <w:left w:val="single" w:sz="4" w:space="0" w:color="auto"/>
              <w:bottom w:val="single" w:sz="4" w:space="0" w:color="auto"/>
              <w:right w:val="single" w:sz="4" w:space="0" w:color="auto"/>
            </w:tcBorders>
            <w:noWrap/>
            <w:vAlign w:val="bottom"/>
            <w:hideMark/>
          </w:tcPr>
          <w:p w14:paraId="5CB567C9" w14:textId="77777777" w:rsidR="00F26A59" w:rsidRPr="00095284" w:rsidRDefault="00F26A59" w:rsidP="00F26A59">
            <w:pPr>
              <w:spacing w:after="0"/>
              <w:jc w:val="left"/>
              <w:rPr>
                <w:rFonts w:eastAsia="Times New Roman" w:cs="Arial"/>
                <w:b/>
                <w:i/>
                <w:color w:val="000000"/>
                <w:szCs w:val="24"/>
                <w:lang w:val="en-GB"/>
              </w:rPr>
            </w:pPr>
            <w:r w:rsidRPr="00095284">
              <w:rPr>
                <w:rFonts w:eastAsia="Times New Roman" w:cs="Arial"/>
                <w:b/>
                <w:i/>
                <w:color w:val="000000"/>
                <w:szCs w:val="24"/>
                <w:lang w:val="en-GB"/>
              </w:rPr>
              <w:t>Asset Turnover</w:t>
            </w:r>
          </w:p>
        </w:tc>
        <w:tc>
          <w:tcPr>
            <w:tcW w:w="715" w:type="pct"/>
            <w:tcBorders>
              <w:top w:val="nil"/>
              <w:left w:val="nil"/>
              <w:bottom w:val="single" w:sz="4" w:space="0" w:color="auto"/>
              <w:right w:val="single" w:sz="4" w:space="0" w:color="auto"/>
            </w:tcBorders>
            <w:noWrap/>
            <w:vAlign w:val="bottom"/>
            <w:hideMark/>
          </w:tcPr>
          <w:p w14:paraId="365B69B4" w14:textId="77777777" w:rsidR="00F26A59" w:rsidRPr="00095284" w:rsidRDefault="00F26A59" w:rsidP="00F26A59">
            <w:pPr>
              <w:spacing w:after="0"/>
              <w:jc w:val="left"/>
              <w:rPr>
                <w:rFonts w:eastAsia="Times New Roman" w:cs="Arial"/>
                <w:color w:val="000000"/>
                <w:szCs w:val="24"/>
                <w:lang w:val="en-GB"/>
              </w:rPr>
            </w:pPr>
            <w:r w:rsidRPr="00095284">
              <w:rPr>
                <w:rFonts w:eastAsia="Times New Roman" w:cs="Arial"/>
                <w:color w:val="000000"/>
                <w:szCs w:val="24"/>
                <w:lang w:val="en-GB"/>
              </w:rPr>
              <w:t>Net Sales ÷ Total Assets</w:t>
            </w:r>
          </w:p>
        </w:tc>
        <w:tc>
          <w:tcPr>
            <w:tcW w:w="765" w:type="pct"/>
            <w:tcBorders>
              <w:top w:val="nil"/>
              <w:left w:val="nil"/>
              <w:bottom w:val="single" w:sz="4" w:space="0" w:color="auto"/>
              <w:right w:val="single" w:sz="4" w:space="0" w:color="auto"/>
            </w:tcBorders>
            <w:noWrap/>
            <w:vAlign w:val="bottom"/>
            <w:hideMark/>
          </w:tcPr>
          <w:p w14:paraId="6BF2F681" w14:textId="77777777" w:rsidR="00F26A59" w:rsidRPr="00095284" w:rsidRDefault="00F26A59" w:rsidP="00F26A59">
            <w:pPr>
              <w:spacing w:after="0"/>
              <w:jc w:val="left"/>
              <w:rPr>
                <w:rFonts w:eastAsia="Times New Roman" w:cs="Arial"/>
                <w:color w:val="000000"/>
                <w:szCs w:val="24"/>
                <w:lang w:val="en-GB"/>
              </w:rPr>
            </w:pPr>
            <w:r w:rsidRPr="00095284">
              <w:rPr>
                <w:rFonts w:eastAsia="Times New Roman" w:cs="Arial"/>
                <w:color w:val="000000"/>
                <w:szCs w:val="24"/>
                <w:lang w:val="en-GB"/>
              </w:rPr>
              <w:t>394,879 ÷ 323,354 = 1.22</w:t>
            </w:r>
          </w:p>
        </w:tc>
        <w:tc>
          <w:tcPr>
            <w:tcW w:w="765" w:type="pct"/>
            <w:tcBorders>
              <w:top w:val="nil"/>
              <w:left w:val="nil"/>
              <w:bottom w:val="single" w:sz="4" w:space="0" w:color="auto"/>
              <w:right w:val="single" w:sz="4" w:space="0" w:color="auto"/>
            </w:tcBorders>
            <w:noWrap/>
            <w:vAlign w:val="bottom"/>
            <w:hideMark/>
          </w:tcPr>
          <w:p w14:paraId="62E7A414" w14:textId="77777777" w:rsidR="00F26A59" w:rsidRPr="00095284" w:rsidRDefault="00F26A59" w:rsidP="00F26A59">
            <w:pPr>
              <w:spacing w:after="0"/>
              <w:jc w:val="left"/>
              <w:rPr>
                <w:rFonts w:eastAsia="Times New Roman" w:cs="Arial"/>
                <w:color w:val="000000"/>
                <w:szCs w:val="24"/>
                <w:lang w:val="en-GB"/>
              </w:rPr>
            </w:pPr>
            <w:r w:rsidRPr="00095284">
              <w:rPr>
                <w:rFonts w:eastAsia="Times New Roman" w:cs="Arial"/>
                <w:color w:val="000000"/>
                <w:szCs w:val="24"/>
                <w:lang w:val="en-GB"/>
              </w:rPr>
              <w:t>420,457 ÷ 355,872 = 1.18</w:t>
            </w:r>
          </w:p>
        </w:tc>
        <w:tc>
          <w:tcPr>
            <w:tcW w:w="765" w:type="pct"/>
            <w:tcBorders>
              <w:top w:val="nil"/>
              <w:left w:val="nil"/>
              <w:bottom w:val="single" w:sz="4" w:space="0" w:color="auto"/>
              <w:right w:val="single" w:sz="4" w:space="0" w:color="auto"/>
            </w:tcBorders>
            <w:noWrap/>
            <w:vAlign w:val="bottom"/>
            <w:hideMark/>
          </w:tcPr>
          <w:p w14:paraId="6B8E7EC9" w14:textId="77777777" w:rsidR="00F26A59" w:rsidRPr="00095284" w:rsidRDefault="00F26A59" w:rsidP="00F26A59">
            <w:pPr>
              <w:spacing w:after="0"/>
              <w:jc w:val="left"/>
              <w:rPr>
                <w:rFonts w:eastAsia="Times New Roman" w:cs="Arial"/>
                <w:color w:val="000000"/>
                <w:szCs w:val="24"/>
                <w:lang w:val="en-GB"/>
              </w:rPr>
            </w:pPr>
            <w:r w:rsidRPr="00095284">
              <w:rPr>
                <w:rFonts w:eastAsia="Times New Roman" w:cs="Arial"/>
                <w:color w:val="000000"/>
                <w:szCs w:val="24"/>
                <w:lang w:val="en-GB"/>
              </w:rPr>
              <w:t>542,751 ÷ 504,163 = 1.08</w:t>
            </w:r>
          </w:p>
        </w:tc>
        <w:tc>
          <w:tcPr>
            <w:tcW w:w="765" w:type="pct"/>
            <w:tcBorders>
              <w:top w:val="nil"/>
              <w:left w:val="nil"/>
              <w:bottom w:val="single" w:sz="4" w:space="0" w:color="auto"/>
              <w:right w:val="single" w:sz="4" w:space="0" w:color="auto"/>
            </w:tcBorders>
            <w:noWrap/>
            <w:vAlign w:val="bottom"/>
            <w:hideMark/>
          </w:tcPr>
          <w:p w14:paraId="54A2D7F5" w14:textId="77777777" w:rsidR="00F26A59" w:rsidRPr="00095284" w:rsidRDefault="00F26A59" w:rsidP="00F26A59">
            <w:pPr>
              <w:spacing w:after="0"/>
              <w:jc w:val="left"/>
              <w:rPr>
                <w:rFonts w:eastAsia="Times New Roman" w:cs="Arial"/>
                <w:color w:val="000000"/>
                <w:szCs w:val="24"/>
                <w:lang w:val="en-GB"/>
              </w:rPr>
            </w:pPr>
            <w:r w:rsidRPr="00095284">
              <w:rPr>
                <w:rFonts w:eastAsia="Times New Roman" w:cs="Arial"/>
                <w:color w:val="000000"/>
                <w:szCs w:val="24"/>
                <w:lang w:val="en-GB"/>
              </w:rPr>
              <w:t>601,602 ÷ 510,348 = 1.18</w:t>
            </w:r>
          </w:p>
        </w:tc>
        <w:tc>
          <w:tcPr>
            <w:tcW w:w="765" w:type="pct"/>
            <w:tcBorders>
              <w:top w:val="nil"/>
              <w:left w:val="nil"/>
              <w:bottom w:val="single" w:sz="4" w:space="0" w:color="auto"/>
              <w:right w:val="single" w:sz="4" w:space="0" w:color="auto"/>
            </w:tcBorders>
            <w:noWrap/>
            <w:vAlign w:val="bottom"/>
            <w:hideMark/>
          </w:tcPr>
          <w:p w14:paraId="0643C46C" w14:textId="77777777" w:rsidR="00F26A59" w:rsidRPr="00095284" w:rsidRDefault="00F26A59" w:rsidP="00F26A59">
            <w:pPr>
              <w:spacing w:after="0"/>
              <w:jc w:val="left"/>
              <w:rPr>
                <w:rFonts w:eastAsia="Times New Roman" w:cs="Arial"/>
                <w:color w:val="000000"/>
                <w:szCs w:val="24"/>
                <w:lang w:val="en-GB"/>
              </w:rPr>
            </w:pPr>
            <w:r w:rsidRPr="00095284">
              <w:rPr>
                <w:rFonts w:eastAsia="Times New Roman" w:cs="Arial"/>
                <w:color w:val="000000"/>
                <w:szCs w:val="24"/>
                <w:lang w:val="en-GB"/>
              </w:rPr>
              <w:t>614,680 ÷ 510,290 = 1.21</w:t>
            </w:r>
          </w:p>
        </w:tc>
      </w:tr>
    </w:tbl>
    <w:p w14:paraId="6F349D9A" w14:textId="77777777" w:rsidR="00D74F87" w:rsidRPr="00095284" w:rsidRDefault="00F26A59" w:rsidP="00095284">
      <w:pPr>
        <w:pStyle w:val="Heading4"/>
        <w:rPr>
          <w:lang w:val="en-GB"/>
        </w:rPr>
      </w:pPr>
      <w:bookmarkStart w:id="9" w:name="_Toc216868170"/>
      <w:bookmarkStart w:id="10" w:name="_Toc216891979"/>
      <w:r w:rsidRPr="00095284">
        <w:rPr>
          <w:lang w:val="en-GB"/>
        </w:rPr>
        <w:t xml:space="preserve">Table </w:t>
      </w:r>
      <w:r w:rsidRPr="00095284">
        <w:rPr>
          <w:lang w:val="en-GB"/>
        </w:rPr>
        <w:fldChar w:fldCharType="begin"/>
      </w:r>
      <w:r w:rsidRPr="00095284">
        <w:rPr>
          <w:lang w:val="en-GB"/>
        </w:rPr>
        <w:instrText xml:space="preserve"> SEQ Table \* ARABIC </w:instrText>
      </w:r>
      <w:r w:rsidRPr="00095284">
        <w:rPr>
          <w:lang w:val="en-GB"/>
        </w:rPr>
        <w:fldChar w:fldCharType="separate"/>
      </w:r>
      <w:r w:rsidR="00634152" w:rsidRPr="00095284">
        <w:rPr>
          <w:lang w:val="en-GB"/>
        </w:rPr>
        <w:t>3</w:t>
      </w:r>
      <w:r w:rsidRPr="00095284">
        <w:rPr>
          <w:lang w:val="en-GB"/>
        </w:rPr>
        <w:fldChar w:fldCharType="end"/>
      </w:r>
      <w:r w:rsidRPr="00095284">
        <w:rPr>
          <w:lang w:val="en-GB"/>
        </w:rPr>
        <w:t>: Efficiency Ratios</w:t>
      </w:r>
      <w:bookmarkEnd w:id="9"/>
      <w:bookmarkEnd w:id="10"/>
    </w:p>
    <w:p w14:paraId="508F1967" w14:textId="3215ADAE" w:rsidR="00626A93" w:rsidRPr="00095284" w:rsidRDefault="00626A93" w:rsidP="00436E0E">
      <w:pPr>
        <w:rPr>
          <w:rFonts w:cs="Arial"/>
          <w:szCs w:val="24"/>
          <w:lang w:val="en-GB"/>
        </w:rPr>
      </w:pPr>
    </w:p>
    <w:tbl>
      <w:tblPr>
        <w:tblW w:w="5000" w:type="pct"/>
        <w:tblLook w:val="04A0" w:firstRow="1" w:lastRow="0" w:firstColumn="1" w:lastColumn="0" w:noHBand="0" w:noVBand="1"/>
      </w:tblPr>
      <w:tblGrid>
        <w:gridCol w:w="858"/>
        <w:gridCol w:w="1797"/>
        <w:gridCol w:w="1281"/>
        <w:gridCol w:w="1281"/>
        <w:gridCol w:w="1281"/>
        <w:gridCol w:w="1281"/>
        <w:gridCol w:w="1281"/>
      </w:tblGrid>
      <w:tr w:rsidR="00983EC8" w:rsidRPr="00095284" w14:paraId="3253AF0C" w14:textId="77777777" w:rsidTr="00983EC8">
        <w:trPr>
          <w:trHeight w:val="300"/>
        </w:trPr>
        <w:tc>
          <w:tcPr>
            <w:tcW w:w="5000" w:type="pct"/>
            <w:gridSpan w:val="7"/>
            <w:tcBorders>
              <w:top w:val="single" w:sz="4" w:space="0" w:color="auto"/>
              <w:left w:val="single" w:sz="4" w:space="0" w:color="auto"/>
              <w:bottom w:val="single" w:sz="4" w:space="0" w:color="auto"/>
              <w:right w:val="single" w:sz="4" w:space="0" w:color="000000"/>
            </w:tcBorders>
            <w:noWrap/>
            <w:vAlign w:val="bottom"/>
            <w:hideMark/>
          </w:tcPr>
          <w:p w14:paraId="1CCE5305" w14:textId="77777777" w:rsidR="00983EC8" w:rsidRPr="00095284" w:rsidRDefault="00983EC8" w:rsidP="00983EC8">
            <w:pPr>
              <w:spacing w:after="0"/>
              <w:jc w:val="center"/>
              <w:rPr>
                <w:rFonts w:eastAsia="Times New Roman" w:cs="Arial"/>
                <w:b/>
                <w:bCs/>
                <w:color w:val="000000"/>
                <w:szCs w:val="24"/>
                <w:lang w:val="en-GB"/>
              </w:rPr>
            </w:pPr>
            <w:r w:rsidRPr="00095284">
              <w:rPr>
                <w:rFonts w:eastAsia="Times New Roman" w:cs="Arial"/>
                <w:b/>
                <w:bCs/>
                <w:color w:val="000000"/>
                <w:szCs w:val="24"/>
                <w:lang w:val="en-GB"/>
              </w:rPr>
              <w:t>Gearing / Leverage Ratios</w:t>
            </w:r>
          </w:p>
        </w:tc>
      </w:tr>
      <w:tr w:rsidR="00983EC8" w:rsidRPr="00095284" w14:paraId="3B0692F6" w14:textId="77777777" w:rsidTr="00983EC8">
        <w:trPr>
          <w:trHeight w:val="300"/>
        </w:trPr>
        <w:tc>
          <w:tcPr>
            <w:tcW w:w="417" w:type="pct"/>
            <w:tcBorders>
              <w:top w:val="nil"/>
              <w:left w:val="single" w:sz="4" w:space="0" w:color="auto"/>
              <w:bottom w:val="single" w:sz="4" w:space="0" w:color="auto"/>
              <w:right w:val="single" w:sz="4" w:space="0" w:color="auto"/>
            </w:tcBorders>
            <w:noWrap/>
            <w:vAlign w:val="bottom"/>
            <w:hideMark/>
          </w:tcPr>
          <w:p w14:paraId="4F6F3D18" w14:textId="77777777" w:rsidR="00983EC8" w:rsidRPr="00095284" w:rsidRDefault="00983EC8" w:rsidP="00983EC8">
            <w:pPr>
              <w:spacing w:after="0"/>
              <w:jc w:val="left"/>
              <w:rPr>
                <w:rFonts w:eastAsia="Times New Roman" w:cs="Arial"/>
                <w:b/>
                <w:bCs/>
                <w:color w:val="000000"/>
                <w:szCs w:val="24"/>
                <w:lang w:val="en-GB"/>
              </w:rPr>
            </w:pPr>
            <w:r w:rsidRPr="00095284">
              <w:rPr>
                <w:rFonts w:eastAsia="Times New Roman" w:cs="Arial"/>
                <w:b/>
                <w:bCs/>
                <w:color w:val="000000"/>
                <w:szCs w:val="24"/>
                <w:lang w:val="en-GB"/>
              </w:rPr>
              <w:t>Ratio</w:t>
            </w:r>
          </w:p>
        </w:tc>
        <w:tc>
          <w:tcPr>
            <w:tcW w:w="1056" w:type="pct"/>
            <w:tcBorders>
              <w:top w:val="nil"/>
              <w:left w:val="nil"/>
              <w:bottom w:val="single" w:sz="4" w:space="0" w:color="auto"/>
              <w:right w:val="single" w:sz="4" w:space="0" w:color="auto"/>
            </w:tcBorders>
            <w:noWrap/>
            <w:vAlign w:val="bottom"/>
            <w:hideMark/>
          </w:tcPr>
          <w:p w14:paraId="7987A479" w14:textId="77777777" w:rsidR="00983EC8" w:rsidRPr="00095284" w:rsidRDefault="00983EC8" w:rsidP="00983EC8">
            <w:pPr>
              <w:spacing w:after="0"/>
              <w:jc w:val="left"/>
              <w:rPr>
                <w:rFonts w:eastAsia="Times New Roman" w:cs="Arial"/>
                <w:b/>
                <w:bCs/>
                <w:color w:val="000000"/>
                <w:szCs w:val="24"/>
                <w:lang w:val="en-GB"/>
              </w:rPr>
            </w:pPr>
            <w:r w:rsidRPr="00095284">
              <w:rPr>
                <w:rFonts w:eastAsia="Times New Roman" w:cs="Arial"/>
                <w:b/>
                <w:bCs/>
                <w:color w:val="000000"/>
                <w:szCs w:val="24"/>
                <w:lang w:val="en-GB"/>
              </w:rPr>
              <w:t>Formula</w:t>
            </w:r>
          </w:p>
        </w:tc>
        <w:tc>
          <w:tcPr>
            <w:tcW w:w="705" w:type="pct"/>
            <w:tcBorders>
              <w:top w:val="nil"/>
              <w:left w:val="nil"/>
              <w:bottom w:val="single" w:sz="4" w:space="0" w:color="auto"/>
              <w:right w:val="single" w:sz="4" w:space="0" w:color="auto"/>
            </w:tcBorders>
            <w:noWrap/>
            <w:vAlign w:val="bottom"/>
            <w:hideMark/>
          </w:tcPr>
          <w:p w14:paraId="63BD9F3B" w14:textId="77777777" w:rsidR="00983EC8" w:rsidRPr="00095284" w:rsidRDefault="00983EC8" w:rsidP="00983EC8">
            <w:pPr>
              <w:spacing w:after="0"/>
              <w:jc w:val="right"/>
              <w:rPr>
                <w:rFonts w:eastAsia="Times New Roman" w:cs="Arial"/>
                <w:b/>
                <w:bCs/>
                <w:color w:val="000000"/>
                <w:szCs w:val="24"/>
                <w:lang w:val="en-GB"/>
              </w:rPr>
            </w:pPr>
            <w:r w:rsidRPr="00095284">
              <w:rPr>
                <w:rFonts w:eastAsia="Times New Roman" w:cs="Arial"/>
                <w:b/>
                <w:bCs/>
                <w:color w:val="000000"/>
                <w:szCs w:val="24"/>
                <w:lang w:val="en-GB"/>
              </w:rPr>
              <w:t>2024</w:t>
            </w:r>
          </w:p>
        </w:tc>
        <w:tc>
          <w:tcPr>
            <w:tcW w:w="705" w:type="pct"/>
            <w:tcBorders>
              <w:top w:val="nil"/>
              <w:left w:val="nil"/>
              <w:bottom w:val="single" w:sz="4" w:space="0" w:color="auto"/>
              <w:right w:val="single" w:sz="4" w:space="0" w:color="auto"/>
            </w:tcBorders>
            <w:noWrap/>
            <w:vAlign w:val="bottom"/>
            <w:hideMark/>
          </w:tcPr>
          <w:p w14:paraId="7C927C36" w14:textId="77777777" w:rsidR="00983EC8" w:rsidRPr="00095284" w:rsidRDefault="00983EC8" w:rsidP="00983EC8">
            <w:pPr>
              <w:spacing w:after="0"/>
              <w:jc w:val="right"/>
              <w:rPr>
                <w:rFonts w:eastAsia="Times New Roman" w:cs="Arial"/>
                <w:b/>
                <w:bCs/>
                <w:color w:val="000000"/>
                <w:szCs w:val="24"/>
                <w:lang w:val="en-GB"/>
              </w:rPr>
            </w:pPr>
            <w:r w:rsidRPr="00095284">
              <w:rPr>
                <w:rFonts w:eastAsia="Times New Roman" w:cs="Arial"/>
                <w:b/>
                <w:bCs/>
                <w:color w:val="000000"/>
                <w:szCs w:val="24"/>
                <w:lang w:val="en-GB"/>
              </w:rPr>
              <w:t>2023</w:t>
            </w:r>
          </w:p>
        </w:tc>
        <w:tc>
          <w:tcPr>
            <w:tcW w:w="705" w:type="pct"/>
            <w:tcBorders>
              <w:top w:val="nil"/>
              <w:left w:val="nil"/>
              <w:bottom w:val="single" w:sz="4" w:space="0" w:color="auto"/>
              <w:right w:val="single" w:sz="4" w:space="0" w:color="auto"/>
            </w:tcBorders>
            <w:noWrap/>
            <w:vAlign w:val="bottom"/>
            <w:hideMark/>
          </w:tcPr>
          <w:p w14:paraId="1AB42565" w14:textId="77777777" w:rsidR="00983EC8" w:rsidRPr="00095284" w:rsidRDefault="00983EC8" w:rsidP="00983EC8">
            <w:pPr>
              <w:spacing w:after="0"/>
              <w:jc w:val="right"/>
              <w:rPr>
                <w:rFonts w:eastAsia="Times New Roman" w:cs="Arial"/>
                <w:b/>
                <w:bCs/>
                <w:color w:val="000000"/>
                <w:szCs w:val="24"/>
                <w:lang w:val="en-GB"/>
              </w:rPr>
            </w:pPr>
            <w:r w:rsidRPr="00095284">
              <w:rPr>
                <w:rFonts w:eastAsia="Times New Roman" w:cs="Arial"/>
                <w:b/>
                <w:bCs/>
                <w:color w:val="000000"/>
                <w:szCs w:val="24"/>
                <w:lang w:val="en-GB"/>
              </w:rPr>
              <w:t>2022</w:t>
            </w:r>
          </w:p>
        </w:tc>
        <w:tc>
          <w:tcPr>
            <w:tcW w:w="705" w:type="pct"/>
            <w:tcBorders>
              <w:top w:val="nil"/>
              <w:left w:val="nil"/>
              <w:bottom w:val="single" w:sz="4" w:space="0" w:color="auto"/>
              <w:right w:val="single" w:sz="4" w:space="0" w:color="auto"/>
            </w:tcBorders>
            <w:noWrap/>
            <w:vAlign w:val="bottom"/>
            <w:hideMark/>
          </w:tcPr>
          <w:p w14:paraId="0C0B5E40" w14:textId="77777777" w:rsidR="00983EC8" w:rsidRPr="00095284" w:rsidRDefault="00983EC8" w:rsidP="00983EC8">
            <w:pPr>
              <w:spacing w:after="0"/>
              <w:jc w:val="right"/>
              <w:rPr>
                <w:rFonts w:eastAsia="Times New Roman" w:cs="Arial"/>
                <w:b/>
                <w:bCs/>
                <w:color w:val="000000"/>
                <w:szCs w:val="24"/>
                <w:lang w:val="en-GB"/>
              </w:rPr>
            </w:pPr>
            <w:r w:rsidRPr="00095284">
              <w:rPr>
                <w:rFonts w:eastAsia="Times New Roman" w:cs="Arial"/>
                <w:b/>
                <w:bCs/>
                <w:color w:val="000000"/>
                <w:szCs w:val="24"/>
                <w:lang w:val="en-GB"/>
              </w:rPr>
              <w:t>2021</w:t>
            </w:r>
          </w:p>
        </w:tc>
        <w:tc>
          <w:tcPr>
            <w:tcW w:w="705" w:type="pct"/>
            <w:tcBorders>
              <w:top w:val="nil"/>
              <w:left w:val="nil"/>
              <w:bottom w:val="single" w:sz="4" w:space="0" w:color="auto"/>
              <w:right w:val="single" w:sz="4" w:space="0" w:color="auto"/>
            </w:tcBorders>
            <w:noWrap/>
            <w:vAlign w:val="bottom"/>
            <w:hideMark/>
          </w:tcPr>
          <w:p w14:paraId="2B2B6676" w14:textId="77777777" w:rsidR="00983EC8" w:rsidRPr="00095284" w:rsidRDefault="00983EC8" w:rsidP="00983EC8">
            <w:pPr>
              <w:spacing w:after="0"/>
              <w:jc w:val="right"/>
              <w:rPr>
                <w:rFonts w:eastAsia="Times New Roman" w:cs="Arial"/>
                <w:b/>
                <w:bCs/>
                <w:color w:val="000000"/>
                <w:szCs w:val="24"/>
                <w:lang w:val="en-GB"/>
              </w:rPr>
            </w:pPr>
            <w:r w:rsidRPr="00095284">
              <w:rPr>
                <w:rFonts w:eastAsia="Times New Roman" w:cs="Arial"/>
                <w:b/>
                <w:bCs/>
                <w:color w:val="000000"/>
                <w:szCs w:val="24"/>
                <w:lang w:val="en-GB"/>
              </w:rPr>
              <w:t>2020</w:t>
            </w:r>
          </w:p>
        </w:tc>
      </w:tr>
      <w:tr w:rsidR="00983EC8" w:rsidRPr="00095284" w14:paraId="3762111B" w14:textId="77777777" w:rsidTr="00983EC8">
        <w:trPr>
          <w:trHeight w:val="300"/>
        </w:trPr>
        <w:tc>
          <w:tcPr>
            <w:tcW w:w="417" w:type="pct"/>
            <w:tcBorders>
              <w:top w:val="nil"/>
              <w:left w:val="single" w:sz="4" w:space="0" w:color="auto"/>
              <w:bottom w:val="single" w:sz="4" w:space="0" w:color="auto"/>
              <w:right w:val="single" w:sz="4" w:space="0" w:color="auto"/>
            </w:tcBorders>
            <w:noWrap/>
            <w:vAlign w:val="bottom"/>
            <w:hideMark/>
          </w:tcPr>
          <w:p w14:paraId="0640B5E5" w14:textId="77777777" w:rsidR="00983EC8" w:rsidRPr="00095284" w:rsidRDefault="00983EC8" w:rsidP="00983EC8">
            <w:pPr>
              <w:spacing w:after="0"/>
              <w:jc w:val="left"/>
              <w:rPr>
                <w:rFonts w:eastAsia="Times New Roman" w:cs="Arial"/>
                <w:b/>
                <w:i/>
                <w:color w:val="000000"/>
                <w:szCs w:val="24"/>
                <w:lang w:val="en-GB"/>
              </w:rPr>
            </w:pPr>
            <w:r w:rsidRPr="00095284">
              <w:rPr>
                <w:rFonts w:eastAsia="Times New Roman" w:cs="Arial"/>
                <w:b/>
                <w:i/>
                <w:color w:val="000000"/>
                <w:szCs w:val="24"/>
                <w:lang w:val="en-GB"/>
              </w:rPr>
              <w:t>Debt-to-Equity</w:t>
            </w:r>
          </w:p>
        </w:tc>
        <w:tc>
          <w:tcPr>
            <w:tcW w:w="1056" w:type="pct"/>
            <w:tcBorders>
              <w:top w:val="nil"/>
              <w:left w:val="nil"/>
              <w:bottom w:val="single" w:sz="4" w:space="0" w:color="auto"/>
              <w:right w:val="single" w:sz="4" w:space="0" w:color="auto"/>
            </w:tcBorders>
            <w:noWrap/>
            <w:vAlign w:val="bottom"/>
            <w:hideMark/>
          </w:tcPr>
          <w:p w14:paraId="7B8ED373" w14:textId="77777777" w:rsidR="00983EC8" w:rsidRPr="00095284" w:rsidRDefault="00983EC8" w:rsidP="00983EC8">
            <w:pPr>
              <w:spacing w:after="0"/>
              <w:jc w:val="left"/>
              <w:rPr>
                <w:rFonts w:eastAsia="Times New Roman" w:cs="Arial"/>
                <w:color w:val="000000"/>
                <w:szCs w:val="24"/>
                <w:lang w:val="en-GB"/>
              </w:rPr>
            </w:pPr>
            <w:r w:rsidRPr="00095284">
              <w:rPr>
                <w:rFonts w:eastAsia="Times New Roman" w:cs="Arial"/>
                <w:color w:val="000000"/>
                <w:szCs w:val="24"/>
                <w:lang w:val="en-GB"/>
              </w:rPr>
              <w:t>Total Liabilities ÷ Shareholders’ Equity</w:t>
            </w:r>
          </w:p>
        </w:tc>
        <w:tc>
          <w:tcPr>
            <w:tcW w:w="705" w:type="pct"/>
            <w:tcBorders>
              <w:top w:val="nil"/>
              <w:left w:val="nil"/>
              <w:bottom w:val="single" w:sz="4" w:space="0" w:color="auto"/>
              <w:right w:val="single" w:sz="4" w:space="0" w:color="auto"/>
            </w:tcBorders>
            <w:noWrap/>
            <w:vAlign w:val="bottom"/>
            <w:hideMark/>
          </w:tcPr>
          <w:p w14:paraId="3152EB00" w14:textId="77777777" w:rsidR="00983EC8" w:rsidRPr="00095284" w:rsidRDefault="00983EC8" w:rsidP="00983EC8">
            <w:pPr>
              <w:spacing w:after="0"/>
              <w:jc w:val="left"/>
              <w:rPr>
                <w:rFonts w:eastAsia="Times New Roman" w:cs="Arial"/>
                <w:color w:val="000000"/>
                <w:szCs w:val="24"/>
                <w:lang w:val="en-GB"/>
              </w:rPr>
            </w:pPr>
            <w:r w:rsidRPr="00095284">
              <w:rPr>
                <w:rFonts w:eastAsia="Times New Roman" w:cs="Arial"/>
                <w:color w:val="000000"/>
                <w:szCs w:val="24"/>
                <w:lang w:val="en-GB"/>
              </w:rPr>
              <w:t>170,249 ÷ 153,105 = 1.11</w:t>
            </w:r>
          </w:p>
        </w:tc>
        <w:tc>
          <w:tcPr>
            <w:tcW w:w="705" w:type="pct"/>
            <w:tcBorders>
              <w:top w:val="nil"/>
              <w:left w:val="nil"/>
              <w:bottom w:val="single" w:sz="4" w:space="0" w:color="auto"/>
              <w:right w:val="single" w:sz="4" w:space="0" w:color="auto"/>
            </w:tcBorders>
            <w:noWrap/>
            <w:vAlign w:val="bottom"/>
            <w:hideMark/>
          </w:tcPr>
          <w:p w14:paraId="550E1B2B" w14:textId="77777777" w:rsidR="00983EC8" w:rsidRPr="00095284" w:rsidRDefault="00983EC8" w:rsidP="00983EC8">
            <w:pPr>
              <w:spacing w:after="0"/>
              <w:jc w:val="left"/>
              <w:rPr>
                <w:rFonts w:eastAsia="Times New Roman" w:cs="Arial"/>
                <w:color w:val="000000"/>
                <w:szCs w:val="24"/>
                <w:lang w:val="en-GB"/>
              </w:rPr>
            </w:pPr>
            <w:r w:rsidRPr="00095284">
              <w:rPr>
                <w:rFonts w:eastAsia="Times New Roman" w:cs="Arial"/>
                <w:color w:val="000000"/>
                <w:szCs w:val="24"/>
                <w:lang w:val="en-GB"/>
              </w:rPr>
              <w:t>176,952 ÷ 178,920 = 0.99</w:t>
            </w:r>
          </w:p>
        </w:tc>
        <w:tc>
          <w:tcPr>
            <w:tcW w:w="705" w:type="pct"/>
            <w:tcBorders>
              <w:top w:val="nil"/>
              <w:left w:val="nil"/>
              <w:bottom w:val="single" w:sz="4" w:space="0" w:color="auto"/>
              <w:right w:val="single" w:sz="4" w:space="0" w:color="auto"/>
            </w:tcBorders>
            <w:noWrap/>
            <w:vAlign w:val="bottom"/>
            <w:hideMark/>
          </w:tcPr>
          <w:p w14:paraId="193514FE" w14:textId="77777777" w:rsidR="00983EC8" w:rsidRPr="00095284" w:rsidRDefault="00983EC8" w:rsidP="00983EC8">
            <w:pPr>
              <w:spacing w:after="0"/>
              <w:jc w:val="left"/>
              <w:rPr>
                <w:rFonts w:eastAsia="Times New Roman" w:cs="Arial"/>
                <w:color w:val="000000"/>
                <w:szCs w:val="24"/>
                <w:lang w:val="en-GB"/>
              </w:rPr>
            </w:pPr>
            <w:r w:rsidRPr="00095284">
              <w:rPr>
                <w:rFonts w:eastAsia="Times New Roman" w:cs="Arial"/>
                <w:color w:val="000000"/>
                <w:szCs w:val="24"/>
                <w:lang w:val="en-GB"/>
              </w:rPr>
              <w:t>235,757 ÷ 268,406 = 0.88</w:t>
            </w:r>
          </w:p>
        </w:tc>
        <w:tc>
          <w:tcPr>
            <w:tcW w:w="705" w:type="pct"/>
            <w:tcBorders>
              <w:top w:val="nil"/>
              <w:left w:val="nil"/>
              <w:bottom w:val="single" w:sz="4" w:space="0" w:color="auto"/>
              <w:right w:val="single" w:sz="4" w:space="0" w:color="auto"/>
            </w:tcBorders>
            <w:noWrap/>
            <w:vAlign w:val="bottom"/>
            <w:hideMark/>
          </w:tcPr>
          <w:p w14:paraId="24731BFB" w14:textId="77777777" w:rsidR="00983EC8" w:rsidRPr="00095284" w:rsidRDefault="00983EC8" w:rsidP="00983EC8">
            <w:pPr>
              <w:spacing w:after="0"/>
              <w:jc w:val="left"/>
              <w:rPr>
                <w:rFonts w:eastAsia="Times New Roman" w:cs="Arial"/>
                <w:color w:val="000000"/>
                <w:szCs w:val="24"/>
                <w:lang w:val="en-GB"/>
              </w:rPr>
            </w:pPr>
            <w:r w:rsidRPr="00095284">
              <w:rPr>
                <w:rFonts w:eastAsia="Times New Roman" w:cs="Arial"/>
                <w:color w:val="000000"/>
                <w:szCs w:val="24"/>
                <w:lang w:val="en-GB"/>
              </w:rPr>
              <w:t>234,399 ÷ 275,949 = 0.85</w:t>
            </w:r>
          </w:p>
        </w:tc>
        <w:tc>
          <w:tcPr>
            <w:tcW w:w="705" w:type="pct"/>
            <w:tcBorders>
              <w:top w:val="nil"/>
              <w:left w:val="nil"/>
              <w:bottom w:val="single" w:sz="4" w:space="0" w:color="auto"/>
              <w:right w:val="single" w:sz="4" w:space="0" w:color="auto"/>
            </w:tcBorders>
            <w:noWrap/>
            <w:vAlign w:val="bottom"/>
            <w:hideMark/>
          </w:tcPr>
          <w:p w14:paraId="6F053F80" w14:textId="77777777" w:rsidR="00983EC8" w:rsidRPr="00095284" w:rsidRDefault="00983EC8" w:rsidP="00983EC8">
            <w:pPr>
              <w:spacing w:after="0"/>
              <w:jc w:val="left"/>
              <w:rPr>
                <w:rFonts w:eastAsia="Times New Roman" w:cs="Arial"/>
                <w:color w:val="000000"/>
                <w:szCs w:val="24"/>
                <w:lang w:val="en-GB"/>
              </w:rPr>
            </w:pPr>
            <w:r w:rsidRPr="00095284">
              <w:rPr>
                <w:rFonts w:eastAsia="Times New Roman" w:cs="Arial"/>
                <w:color w:val="000000"/>
                <w:szCs w:val="24"/>
                <w:lang w:val="en-GB"/>
              </w:rPr>
              <w:t>196,989 ÷ 313,301 = 0.63</w:t>
            </w:r>
          </w:p>
        </w:tc>
      </w:tr>
      <w:tr w:rsidR="00983EC8" w:rsidRPr="00095284" w14:paraId="5F8A3AAE" w14:textId="77777777" w:rsidTr="00983EC8">
        <w:trPr>
          <w:trHeight w:val="300"/>
        </w:trPr>
        <w:tc>
          <w:tcPr>
            <w:tcW w:w="417" w:type="pct"/>
            <w:tcBorders>
              <w:top w:val="nil"/>
              <w:left w:val="single" w:sz="4" w:space="0" w:color="auto"/>
              <w:bottom w:val="single" w:sz="4" w:space="0" w:color="auto"/>
              <w:right w:val="single" w:sz="4" w:space="0" w:color="auto"/>
            </w:tcBorders>
            <w:noWrap/>
            <w:vAlign w:val="bottom"/>
            <w:hideMark/>
          </w:tcPr>
          <w:p w14:paraId="4836F92C" w14:textId="77777777" w:rsidR="00983EC8" w:rsidRPr="00095284" w:rsidRDefault="00983EC8" w:rsidP="00983EC8">
            <w:pPr>
              <w:spacing w:after="0"/>
              <w:jc w:val="left"/>
              <w:rPr>
                <w:rFonts w:eastAsia="Times New Roman" w:cs="Arial"/>
                <w:b/>
                <w:i/>
                <w:color w:val="000000"/>
                <w:szCs w:val="24"/>
                <w:lang w:val="en-GB"/>
              </w:rPr>
            </w:pPr>
            <w:r w:rsidRPr="00095284">
              <w:rPr>
                <w:rFonts w:eastAsia="Times New Roman" w:cs="Arial"/>
                <w:b/>
                <w:i/>
                <w:color w:val="000000"/>
                <w:szCs w:val="24"/>
                <w:lang w:val="en-GB"/>
              </w:rPr>
              <w:t>Debt Ratio</w:t>
            </w:r>
          </w:p>
        </w:tc>
        <w:tc>
          <w:tcPr>
            <w:tcW w:w="1056" w:type="pct"/>
            <w:tcBorders>
              <w:top w:val="nil"/>
              <w:left w:val="nil"/>
              <w:bottom w:val="single" w:sz="4" w:space="0" w:color="auto"/>
              <w:right w:val="single" w:sz="4" w:space="0" w:color="auto"/>
            </w:tcBorders>
            <w:noWrap/>
            <w:vAlign w:val="bottom"/>
            <w:hideMark/>
          </w:tcPr>
          <w:p w14:paraId="0001E7F4" w14:textId="77777777" w:rsidR="00983EC8" w:rsidRPr="00095284" w:rsidRDefault="00983EC8" w:rsidP="00983EC8">
            <w:pPr>
              <w:spacing w:after="0"/>
              <w:jc w:val="left"/>
              <w:rPr>
                <w:rFonts w:eastAsia="Times New Roman" w:cs="Arial"/>
                <w:color w:val="000000"/>
                <w:szCs w:val="24"/>
                <w:lang w:val="en-GB"/>
              </w:rPr>
            </w:pPr>
            <w:r w:rsidRPr="00095284">
              <w:rPr>
                <w:rFonts w:eastAsia="Times New Roman" w:cs="Arial"/>
                <w:color w:val="000000"/>
                <w:szCs w:val="24"/>
                <w:lang w:val="en-GB"/>
              </w:rPr>
              <w:t>Total Liabilities ÷ Total Assets</w:t>
            </w:r>
          </w:p>
        </w:tc>
        <w:tc>
          <w:tcPr>
            <w:tcW w:w="705" w:type="pct"/>
            <w:tcBorders>
              <w:top w:val="nil"/>
              <w:left w:val="nil"/>
              <w:bottom w:val="single" w:sz="4" w:space="0" w:color="auto"/>
              <w:right w:val="single" w:sz="4" w:space="0" w:color="auto"/>
            </w:tcBorders>
            <w:noWrap/>
            <w:vAlign w:val="bottom"/>
            <w:hideMark/>
          </w:tcPr>
          <w:p w14:paraId="642C1C62" w14:textId="77777777" w:rsidR="00983EC8" w:rsidRPr="00095284" w:rsidRDefault="00983EC8" w:rsidP="00983EC8">
            <w:pPr>
              <w:spacing w:after="0"/>
              <w:jc w:val="left"/>
              <w:rPr>
                <w:rFonts w:eastAsia="Times New Roman" w:cs="Arial"/>
                <w:color w:val="000000"/>
                <w:szCs w:val="24"/>
                <w:lang w:val="en-GB"/>
              </w:rPr>
            </w:pPr>
            <w:r w:rsidRPr="00095284">
              <w:rPr>
                <w:rFonts w:eastAsia="Times New Roman" w:cs="Arial"/>
                <w:color w:val="000000"/>
                <w:szCs w:val="24"/>
                <w:lang w:val="en-GB"/>
              </w:rPr>
              <w:t>170,249 ÷ 323,354 = 0.53</w:t>
            </w:r>
          </w:p>
        </w:tc>
        <w:tc>
          <w:tcPr>
            <w:tcW w:w="705" w:type="pct"/>
            <w:tcBorders>
              <w:top w:val="nil"/>
              <w:left w:val="nil"/>
              <w:bottom w:val="single" w:sz="4" w:space="0" w:color="auto"/>
              <w:right w:val="single" w:sz="4" w:space="0" w:color="auto"/>
            </w:tcBorders>
            <w:noWrap/>
            <w:vAlign w:val="bottom"/>
            <w:hideMark/>
          </w:tcPr>
          <w:p w14:paraId="0B49C3E8" w14:textId="77777777" w:rsidR="00983EC8" w:rsidRPr="00095284" w:rsidRDefault="00983EC8" w:rsidP="00983EC8">
            <w:pPr>
              <w:spacing w:after="0"/>
              <w:jc w:val="left"/>
              <w:rPr>
                <w:rFonts w:eastAsia="Times New Roman" w:cs="Arial"/>
                <w:color w:val="000000"/>
                <w:szCs w:val="24"/>
                <w:lang w:val="en-GB"/>
              </w:rPr>
            </w:pPr>
            <w:r w:rsidRPr="00095284">
              <w:rPr>
                <w:rFonts w:eastAsia="Times New Roman" w:cs="Arial"/>
                <w:color w:val="000000"/>
                <w:szCs w:val="24"/>
                <w:lang w:val="en-GB"/>
              </w:rPr>
              <w:t>176,952 ÷ 355,872 = 0.50</w:t>
            </w:r>
          </w:p>
        </w:tc>
        <w:tc>
          <w:tcPr>
            <w:tcW w:w="705" w:type="pct"/>
            <w:tcBorders>
              <w:top w:val="nil"/>
              <w:left w:val="nil"/>
              <w:bottom w:val="single" w:sz="4" w:space="0" w:color="auto"/>
              <w:right w:val="single" w:sz="4" w:space="0" w:color="auto"/>
            </w:tcBorders>
            <w:noWrap/>
            <w:vAlign w:val="bottom"/>
            <w:hideMark/>
          </w:tcPr>
          <w:p w14:paraId="27ED56A0" w14:textId="77777777" w:rsidR="00983EC8" w:rsidRPr="00095284" w:rsidRDefault="00983EC8" w:rsidP="00983EC8">
            <w:pPr>
              <w:spacing w:after="0"/>
              <w:jc w:val="left"/>
              <w:rPr>
                <w:rFonts w:eastAsia="Times New Roman" w:cs="Arial"/>
                <w:color w:val="000000"/>
                <w:szCs w:val="24"/>
                <w:lang w:val="en-GB"/>
              </w:rPr>
            </w:pPr>
            <w:r w:rsidRPr="00095284">
              <w:rPr>
                <w:rFonts w:eastAsia="Times New Roman" w:cs="Arial"/>
                <w:color w:val="000000"/>
                <w:szCs w:val="24"/>
                <w:lang w:val="en-GB"/>
              </w:rPr>
              <w:t>235,757 ÷ 504,163 = 0.47</w:t>
            </w:r>
          </w:p>
        </w:tc>
        <w:tc>
          <w:tcPr>
            <w:tcW w:w="705" w:type="pct"/>
            <w:tcBorders>
              <w:top w:val="nil"/>
              <w:left w:val="nil"/>
              <w:bottom w:val="single" w:sz="4" w:space="0" w:color="auto"/>
              <w:right w:val="single" w:sz="4" w:space="0" w:color="auto"/>
            </w:tcBorders>
            <w:noWrap/>
            <w:vAlign w:val="bottom"/>
            <w:hideMark/>
          </w:tcPr>
          <w:p w14:paraId="57210C91" w14:textId="77777777" w:rsidR="00983EC8" w:rsidRPr="00095284" w:rsidRDefault="00983EC8" w:rsidP="00983EC8">
            <w:pPr>
              <w:spacing w:after="0"/>
              <w:jc w:val="left"/>
              <w:rPr>
                <w:rFonts w:eastAsia="Times New Roman" w:cs="Arial"/>
                <w:color w:val="000000"/>
                <w:szCs w:val="24"/>
                <w:lang w:val="en-GB"/>
              </w:rPr>
            </w:pPr>
            <w:r w:rsidRPr="00095284">
              <w:rPr>
                <w:rFonts w:eastAsia="Times New Roman" w:cs="Arial"/>
                <w:color w:val="000000"/>
                <w:szCs w:val="24"/>
                <w:lang w:val="en-GB"/>
              </w:rPr>
              <w:t>234,399 ÷ 510,348 = 0.46</w:t>
            </w:r>
          </w:p>
        </w:tc>
        <w:tc>
          <w:tcPr>
            <w:tcW w:w="705" w:type="pct"/>
            <w:tcBorders>
              <w:top w:val="nil"/>
              <w:left w:val="nil"/>
              <w:bottom w:val="single" w:sz="4" w:space="0" w:color="auto"/>
              <w:right w:val="single" w:sz="4" w:space="0" w:color="auto"/>
            </w:tcBorders>
            <w:noWrap/>
            <w:vAlign w:val="bottom"/>
            <w:hideMark/>
          </w:tcPr>
          <w:p w14:paraId="29EC0BB7" w14:textId="77777777" w:rsidR="00983EC8" w:rsidRPr="00095284" w:rsidRDefault="00983EC8" w:rsidP="00983EC8">
            <w:pPr>
              <w:spacing w:after="0"/>
              <w:jc w:val="left"/>
              <w:rPr>
                <w:rFonts w:eastAsia="Times New Roman" w:cs="Arial"/>
                <w:color w:val="000000"/>
                <w:szCs w:val="24"/>
                <w:lang w:val="en-GB"/>
              </w:rPr>
            </w:pPr>
            <w:r w:rsidRPr="00095284">
              <w:rPr>
                <w:rFonts w:eastAsia="Times New Roman" w:cs="Arial"/>
                <w:color w:val="000000"/>
                <w:szCs w:val="24"/>
                <w:lang w:val="en-GB"/>
              </w:rPr>
              <w:t>196,989 ÷ 510,290 = 0.39</w:t>
            </w:r>
          </w:p>
        </w:tc>
      </w:tr>
    </w:tbl>
    <w:p w14:paraId="54F9FED3" w14:textId="77777777" w:rsidR="00F26A59" w:rsidRPr="00095284" w:rsidRDefault="00983EC8" w:rsidP="00095284">
      <w:pPr>
        <w:pStyle w:val="Heading4"/>
        <w:rPr>
          <w:lang w:val="en-GB"/>
        </w:rPr>
      </w:pPr>
      <w:bookmarkStart w:id="11" w:name="_Toc216868171"/>
      <w:bookmarkStart w:id="12" w:name="_Toc216891980"/>
      <w:r w:rsidRPr="00095284">
        <w:rPr>
          <w:lang w:val="en-GB"/>
        </w:rPr>
        <w:t xml:space="preserve">Table </w:t>
      </w:r>
      <w:r w:rsidRPr="00095284">
        <w:rPr>
          <w:lang w:val="en-GB"/>
        </w:rPr>
        <w:fldChar w:fldCharType="begin"/>
      </w:r>
      <w:r w:rsidRPr="00095284">
        <w:rPr>
          <w:lang w:val="en-GB"/>
        </w:rPr>
        <w:instrText xml:space="preserve"> SEQ Table \* ARABIC </w:instrText>
      </w:r>
      <w:r w:rsidRPr="00095284">
        <w:rPr>
          <w:lang w:val="en-GB"/>
        </w:rPr>
        <w:fldChar w:fldCharType="separate"/>
      </w:r>
      <w:r w:rsidR="00634152" w:rsidRPr="00095284">
        <w:rPr>
          <w:lang w:val="en-GB"/>
        </w:rPr>
        <w:t>4</w:t>
      </w:r>
      <w:r w:rsidRPr="00095284">
        <w:rPr>
          <w:lang w:val="en-GB"/>
        </w:rPr>
        <w:fldChar w:fldCharType="end"/>
      </w:r>
      <w:r w:rsidRPr="00095284">
        <w:rPr>
          <w:lang w:val="en-GB"/>
        </w:rPr>
        <w:t>: Gearing / Leverage Ratios</w:t>
      </w:r>
      <w:bookmarkEnd w:id="11"/>
      <w:bookmarkEnd w:id="12"/>
    </w:p>
    <w:p w14:paraId="15B1C7C9" w14:textId="6ADB6195" w:rsidR="00983EC8" w:rsidRPr="00095284" w:rsidRDefault="00983EC8" w:rsidP="00983EC8">
      <w:pPr>
        <w:jc w:val="center"/>
        <w:rPr>
          <w:rFonts w:cs="Arial"/>
          <w:szCs w:val="24"/>
          <w:lang w:val="en-GB"/>
        </w:rPr>
      </w:pPr>
    </w:p>
    <w:tbl>
      <w:tblPr>
        <w:tblW w:w="5000" w:type="pct"/>
        <w:tblLook w:val="04A0" w:firstRow="1" w:lastRow="0" w:firstColumn="1" w:lastColumn="0" w:noHBand="0" w:noVBand="1"/>
      </w:tblPr>
      <w:tblGrid>
        <w:gridCol w:w="1287"/>
        <w:gridCol w:w="1843"/>
        <w:gridCol w:w="1186"/>
        <w:gridCol w:w="1186"/>
        <w:gridCol w:w="1186"/>
        <w:gridCol w:w="1186"/>
        <w:gridCol w:w="1186"/>
      </w:tblGrid>
      <w:tr w:rsidR="002434D9" w:rsidRPr="00095284" w14:paraId="18236E40" w14:textId="77777777" w:rsidTr="002434D9">
        <w:trPr>
          <w:trHeight w:val="300"/>
        </w:trPr>
        <w:tc>
          <w:tcPr>
            <w:tcW w:w="5000" w:type="pct"/>
            <w:gridSpan w:val="7"/>
            <w:tcBorders>
              <w:top w:val="single" w:sz="4" w:space="0" w:color="auto"/>
              <w:left w:val="single" w:sz="4" w:space="0" w:color="auto"/>
              <w:bottom w:val="single" w:sz="4" w:space="0" w:color="auto"/>
              <w:right w:val="single" w:sz="4" w:space="0" w:color="000000"/>
            </w:tcBorders>
            <w:noWrap/>
            <w:vAlign w:val="bottom"/>
            <w:hideMark/>
          </w:tcPr>
          <w:p w14:paraId="604A2968" w14:textId="77777777" w:rsidR="002434D9" w:rsidRPr="00095284" w:rsidRDefault="002434D9" w:rsidP="002434D9">
            <w:pPr>
              <w:spacing w:after="0"/>
              <w:jc w:val="center"/>
              <w:rPr>
                <w:rFonts w:eastAsia="Times New Roman" w:cs="Arial"/>
                <w:b/>
                <w:bCs/>
                <w:color w:val="000000"/>
                <w:szCs w:val="24"/>
                <w:lang w:val="en-GB"/>
              </w:rPr>
            </w:pPr>
            <w:r w:rsidRPr="00095284">
              <w:rPr>
                <w:rFonts w:eastAsia="Times New Roman" w:cs="Arial"/>
                <w:b/>
                <w:bCs/>
                <w:color w:val="000000"/>
                <w:szCs w:val="24"/>
                <w:lang w:val="en-GB"/>
              </w:rPr>
              <w:t>Cash Flow Ratios</w:t>
            </w:r>
          </w:p>
        </w:tc>
      </w:tr>
      <w:tr w:rsidR="002434D9" w:rsidRPr="00095284" w14:paraId="314CD204" w14:textId="77777777" w:rsidTr="002434D9">
        <w:trPr>
          <w:trHeight w:val="300"/>
        </w:trPr>
        <w:tc>
          <w:tcPr>
            <w:tcW w:w="706" w:type="pct"/>
            <w:tcBorders>
              <w:top w:val="nil"/>
              <w:left w:val="single" w:sz="4" w:space="0" w:color="auto"/>
              <w:bottom w:val="single" w:sz="4" w:space="0" w:color="auto"/>
              <w:right w:val="single" w:sz="4" w:space="0" w:color="auto"/>
            </w:tcBorders>
            <w:noWrap/>
            <w:vAlign w:val="bottom"/>
            <w:hideMark/>
          </w:tcPr>
          <w:p w14:paraId="22493D35" w14:textId="77777777" w:rsidR="002434D9" w:rsidRPr="00095284" w:rsidRDefault="002434D9" w:rsidP="002434D9">
            <w:pPr>
              <w:spacing w:after="0"/>
              <w:jc w:val="left"/>
              <w:rPr>
                <w:rFonts w:eastAsia="Times New Roman" w:cs="Arial"/>
                <w:b/>
                <w:bCs/>
                <w:color w:val="000000"/>
                <w:szCs w:val="24"/>
                <w:lang w:val="en-GB"/>
              </w:rPr>
            </w:pPr>
            <w:r w:rsidRPr="00095284">
              <w:rPr>
                <w:rFonts w:eastAsia="Times New Roman" w:cs="Arial"/>
                <w:b/>
                <w:bCs/>
                <w:color w:val="000000"/>
                <w:szCs w:val="24"/>
                <w:lang w:val="en-GB"/>
              </w:rPr>
              <w:t>Ratio</w:t>
            </w:r>
          </w:p>
        </w:tc>
        <w:tc>
          <w:tcPr>
            <w:tcW w:w="1080" w:type="pct"/>
            <w:tcBorders>
              <w:top w:val="nil"/>
              <w:left w:val="nil"/>
              <w:bottom w:val="single" w:sz="4" w:space="0" w:color="auto"/>
              <w:right w:val="single" w:sz="4" w:space="0" w:color="auto"/>
            </w:tcBorders>
            <w:noWrap/>
            <w:vAlign w:val="bottom"/>
            <w:hideMark/>
          </w:tcPr>
          <w:p w14:paraId="6EBDD751" w14:textId="77777777" w:rsidR="002434D9" w:rsidRPr="00095284" w:rsidRDefault="002434D9" w:rsidP="002434D9">
            <w:pPr>
              <w:spacing w:after="0"/>
              <w:jc w:val="left"/>
              <w:rPr>
                <w:rFonts w:eastAsia="Times New Roman" w:cs="Arial"/>
                <w:b/>
                <w:bCs/>
                <w:color w:val="000000"/>
                <w:szCs w:val="24"/>
                <w:lang w:val="en-GB"/>
              </w:rPr>
            </w:pPr>
            <w:r w:rsidRPr="00095284">
              <w:rPr>
                <w:rFonts w:eastAsia="Times New Roman" w:cs="Arial"/>
                <w:b/>
                <w:bCs/>
                <w:color w:val="000000"/>
                <w:szCs w:val="24"/>
                <w:lang w:val="en-GB"/>
              </w:rPr>
              <w:t>Formula</w:t>
            </w:r>
          </w:p>
        </w:tc>
        <w:tc>
          <w:tcPr>
            <w:tcW w:w="643" w:type="pct"/>
            <w:tcBorders>
              <w:top w:val="nil"/>
              <w:left w:val="nil"/>
              <w:bottom w:val="single" w:sz="4" w:space="0" w:color="auto"/>
              <w:right w:val="single" w:sz="4" w:space="0" w:color="auto"/>
            </w:tcBorders>
            <w:noWrap/>
            <w:vAlign w:val="bottom"/>
            <w:hideMark/>
          </w:tcPr>
          <w:p w14:paraId="03FA400E" w14:textId="77777777" w:rsidR="002434D9" w:rsidRPr="00095284" w:rsidRDefault="002434D9" w:rsidP="002434D9">
            <w:pPr>
              <w:spacing w:after="0"/>
              <w:jc w:val="right"/>
              <w:rPr>
                <w:rFonts w:eastAsia="Times New Roman" w:cs="Arial"/>
                <w:b/>
                <w:bCs/>
                <w:color w:val="000000"/>
                <w:szCs w:val="24"/>
                <w:lang w:val="en-GB"/>
              </w:rPr>
            </w:pPr>
            <w:r w:rsidRPr="00095284">
              <w:rPr>
                <w:rFonts w:eastAsia="Times New Roman" w:cs="Arial"/>
                <w:b/>
                <w:bCs/>
                <w:color w:val="000000"/>
                <w:szCs w:val="24"/>
                <w:lang w:val="en-GB"/>
              </w:rPr>
              <w:t>2024</w:t>
            </w:r>
          </w:p>
        </w:tc>
        <w:tc>
          <w:tcPr>
            <w:tcW w:w="643" w:type="pct"/>
            <w:tcBorders>
              <w:top w:val="nil"/>
              <w:left w:val="nil"/>
              <w:bottom w:val="single" w:sz="4" w:space="0" w:color="auto"/>
              <w:right w:val="single" w:sz="4" w:space="0" w:color="auto"/>
            </w:tcBorders>
            <w:noWrap/>
            <w:vAlign w:val="bottom"/>
            <w:hideMark/>
          </w:tcPr>
          <w:p w14:paraId="327815DB" w14:textId="77777777" w:rsidR="002434D9" w:rsidRPr="00095284" w:rsidRDefault="002434D9" w:rsidP="002434D9">
            <w:pPr>
              <w:spacing w:after="0"/>
              <w:jc w:val="right"/>
              <w:rPr>
                <w:rFonts w:eastAsia="Times New Roman" w:cs="Arial"/>
                <w:b/>
                <w:bCs/>
                <w:color w:val="000000"/>
                <w:szCs w:val="24"/>
                <w:lang w:val="en-GB"/>
              </w:rPr>
            </w:pPr>
            <w:r w:rsidRPr="00095284">
              <w:rPr>
                <w:rFonts w:eastAsia="Times New Roman" w:cs="Arial"/>
                <w:b/>
                <w:bCs/>
                <w:color w:val="000000"/>
                <w:szCs w:val="24"/>
                <w:lang w:val="en-GB"/>
              </w:rPr>
              <w:t>2023</w:t>
            </w:r>
          </w:p>
        </w:tc>
        <w:tc>
          <w:tcPr>
            <w:tcW w:w="643" w:type="pct"/>
            <w:tcBorders>
              <w:top w:val="nil"/>
              <w:left w:val="nil"/>
              <w:bottom w:val="single" w:sz="4" w:space="0" w:color="auto"/>
              <w:right w:val="single" w:sz="4" w:space="0" w:color="auto"/>
            </w:tcBorders>
            <w:noWrap/>
            <w:vAlign w:val="bottom"/>
            <w:hideMark/>
          </w:tcPr>
          <w:p w14:paraId="43EB31F3" w14:textId="77777777" w:rsidR="002434D9" w:rsidRPr="00095284" w:rsidRDefault="002434D9" w:rsidP="002434D9">
            <w:pPr>
              <w:spacing w:after="0"/>
              <w:jc w:val="right"/>
              <w:rPr>
                <w:rFonts w:eastAsia="Times New Roman" w:cs="Arial"/>
                <w:b/>
                <w:bCs/>
                <w:color w:val="000000"/>
                <w:szCs w:val="24"/>
                <w:lang w:val="en-GB"/>
              </w:rPr>
            </w:pPr>
            <w:r w:rsidRPr="00095284">
              <w:rPr>
                <w:rFonts w:eastAsia="Times New Roman" w:cs="Arial"/>
                <w:b/>
                <w:bCs/>
                <w:color w:val="000000"/>
                <w:szCs w:val="24"/>
                <w:lang w:val="en-GB"/>
              </w:rPr>
              <w:t>2022</w:t>
            </w:r>
          </w:p>
        </w:tc>
        <w:tc>
          <w:tcPr>
            <w:tcW w:w="643" w:type="pct"/>
            <w:tcBorders>
              <w:top w:val="nil"/>
              <w:left w:val="nil"/>
              <w:bottom w:val="single" w:sz="4" w:space="0" w:color="auto"/>
              <w:right w:val="single" w:sz="4" w:space="0" w:color="auto"/>
            </w:tcBorders>
            <w:noWrap/>
            <w:vAlign w:val="bottom"/>
            <w:hideMark/>
          </w:tcPr>
          <w:p w14:paraId="30E80461" w14:textId="77777777" w:rsidR="002434D9" w:rsidRPr="00095284" w:rsidRDefault="002434D9" w:rsidP="002434D9">
            <w:pPr>
              <w:spacing w:after="0"/>
              <w:jc w:val="right"/>
              <w:rPr>
                <w:rFonts w:eastAsia="Times New Roman" w:cs="Arial"/>
                <w:b/>
                <w:bCs/>
                <w:color w:val="000000"/>
                <w:szCs w:val="24"/>
                <w:lang w:val="en-GB"/>
              </w:rPr>
            </w:pPr>
            <w:r w:rsidRPr="00095284">
              <w:rPr>
                <w:rFonts w:eastAsia="Times New Roman" w:cs="Arial"/>
                <w:b/>
                <w:bCs/>
                <w:color w:val="000000"/>
                <w:szCs w:val="24"/>
                <w:lang w:val="en-GB"/>
              </w:rPr>
              <w:t>2021</w:t>
            </w:r>
          </w:p>
        </w:tc>
        <w:tc>
          <w:tcPr>
            <w:tcW w:w="643" w:type="pct"/>
            <w:tcBorders>
              <w:top w:val="nil"/>
              <w:left w:val="nil"/>
              <w:bottom w:val="single" w:sz="4" w:space="0" w:color="auto"/>
              <w:right w:val="single" w:sz="4" w:space="0" w:color="auto"/>
            </w:tcBorders>
            <w:noWrap/>
            <w:vAlign w:val="bottom"/>
            <w:hideMark/>
          </w:tcPr>
          <w:p w14:paraId="4FFCD38E" w14:textId="77777777" w:rsidR="002434D9" w:rsidRPr="00095284" w:rsidRDefault="002434D9" w:rsidP="002434D9">
            <w:pPr>
              <w:spacing w:after="0"/>
              <w:jc w:val="right"/>
              <w:rPr>
                <w:rFonts w:eastAsia="Times New Roman" w:cs="Arial"/>
                <w:b/>
                <w:bCs/>
                <w:color w:val="000000"/>
                <w:szCs w:val="24"/>
                <w:lang w:val="en-GB"/>
              </w:rPr>
            </w:pPr>
            <w:r w:rsidRPr="00095284">
              <w:rPr>
                <w:rFonts w:eastAsia="Times New Roman" w:cs="Arial"/>
                <w:b/>
                <w:bCs/>
                <w:color w:val="000000"/>
                <w:szCs w:val="24"/>
                <w:lang w:val="en-GB"/>
              </w:rPr>
              <w:t>2020</w:t>
            </w:r>
          </w:p>
        </w:tc>
      </w:tr>
      <w:tr w:rsidR="002434D9" w:rsidRPr="00095284" w14:paraId="1034B1C0" w14:textId="77777777" w:rsidTr="002434D9">
        <w:trPr>
          <w:trHeight w:val="300"/>
        </w:trPr>
        <w:tc>
          <w:tcPr>
            <w:tcW w:w="706" w:type="pct"/>
            <w:tcBorders>
              <w:top w:val="nil"/>
              <w:left w:val="single" w:sz="4" w:space="0" w:color="auto"/>
              <w:bottom w:val="single" w:sz="4" w:space="0" w:color="auto"/>
              <w:right w:val="single" w:sz="4" w:space="0" w:color="auto"/>
            </w:tcBorders>
            <w:noWrap/>
            <w:vAlign w:val="bottom"/>
            <w:hideMark/>
          </w:tcPr>
          <w:p w14:paraId="6B21BEB7" w14:textId="77777777" w:rsidR="002434D9" w:rsidRPr="00095284" w:rsidRDefault="002434D9" w:rsidP="002434D9">
            <w:pPr>
              <w:spacing w:after="0"/>
              <w:jc w:val="left"/>
              <w:rPr>
                <w:rFonts w:eastAsia="Times New Roman" w:cs="Arial"/>
                <w:color w:val="000000"/>
                <w:szCs w:val="24"/>
                <w:lang w:val="en-GB"/>
              </w:rPr>
            </w:pPr>
            <w:r w:rsidRPr="00095284">
              <w:rPr>
                <w:rFonts w:eastAsia="Times New Roman" w:cs="Arial"/>
                <w:color w:val="000000"/>
                <w:szCs w:val="24"/>
                <w:lang w:val="en-GB"/>
              </w:rPr>
              <w:t>Operating Cash Flow Ratio</w:t>
            </w:r>
          </w:p>
        </w:tc>
        <w:tc>
          <w:tcPr>
            <w:tcW w:w="1080" w:type="pct"/>
            <w:tcBorders>
              <w:top w:val="nil"/>
              <w:left w:val="nil"/>
              <w:bottom w:val="single" w:sz="4" w:space="0" w:color="auto"/>
              <w:right w:val="single" w:sz="4" w:space="0" w:color="auto"/>
            </w:tcBorders>
            <w:noWrap/>
            <w:vAlign w:val="bottom"/>
            <w:hideMark/>
          </w:tcPr>
          <w:p w14:paraId="089E5577" w14:textId="77777777" w:rsidR="002434D9" w:rsidRPr="00095284" w:rsidRDefault="002434D9" w:rsidP="002434D9">
            <w:pPr>
              <w:spacing w:after="0"/>
              <w:jc w:val="left"/>
              <w:rPr>
                <w:rFonts w:eastAsia="Times New Roman" w:cs="Arial"/>
                <w:color w:val="000000"/>
                <w:szCs w:val="24"/>
                <w:lang w:val="en-GB"/>
              </w:rPr>
            </w:pPr>
            <w:r w:rsidRPr="00095284">
              <w:rPr>
                <w:rFonts w:eastAsia="Times New Roman" w:cs="Arial"/>
                <w:color w:val="000000"/>
                <w:szCs w:val="24"/>
                <w:lang w:val="en-GB"/>
              </w:rPr>
              <w:t>Operating Cash Flow ÷ Current Liabilities</w:t>
            </w:r>
          </w:p>
        </w:tc>
        <w:tc>
          <w:tcPr>
            <w:tcW w:w="643" w:type="pct"/>
            <w:tcBorders>
              <w:top w:val="nil"/>
              <w:left w:val="nil"/>
              <w:bottom w:val="single" w:sz="4" w:space="0" w:color="auto"/>
              <w:right w:val="single" w:sz="4" w:space="0" w:color="auto"/>
            </w:tcBorders>
            <w:noWrap/>
            <w:vAlign w:val="bottom"/>
            <w:hideMark/>
          </w:tcPr>
          <w:p w14:paraId="3D4167C2" w14:textId="77777777" w:rsidR="002434D9" w:rsidRPr="00095284" w:rsidRDefault="002434D9" w:rsidP="002434D9">
            <w:pPr>
              <w:spacing w:after="0"/>
              <w:jc w:val="left"/>
              <w:rPr>
                <w:rFonts w:eastAsia="Times New Roman" w:cs="Arial"/>
                <w:color w:val="000000"/>
                <w:szCs w:val="24"/>
                <w:lang w:val="en-GB"/>
              </w:rPr>
            </w:pPr>
            <w:r w:rsidRPr="00095284">
              <w:rPr>
                <w:rFonts w:eastAsia="Times New Roman" w:cs="Arial"/>
                <w:color w:val="000000"/>
                <w:szCs w:val="24"/>
                <w:lang w:val="en-GB"/>
              </w:rPr>
              <w:t>14,822 ÷ 158,291 = 0.09</w:t>
            </w:r>
          </w:p>
        </w:tc>
        <w:tc>
          <w:tcPr>
            <w:tcW w:w="643" w:type="pct"/>
            <w:tcBorders>
              <w:top w:val="nil"/>
              <w:left w:val="nil"/>
              <w:bottom w:val="single" w:sz="4" w:space="0" w:color="auto"/>
              <w:right w:val="single" w:sz="4" w:space="0" w:color="auto"/>
            </w:tcBorders>
            <w:noWrap/>
            <w:vAlign w:val="bottom"/>
            <w:hideMark/>
          </w:tcPr>
          <w:p w14:paraId="113659CB" w14:textId="77777777" w:rsidR="002434D9" w:rsidRPr="00095284" w:rsidRDefault="002434D9" w:rsidP="002434D9">
            <w:pPr>
              <w:spacing w:after="0"/>
              <w:jc w:val="left"/>
              <w:rPr>
                <w:rFonts w:eastAsia="Times New Roman" w:cs="Arial"/>
                <w:color w:val="000000"/>
                <w:szCs w:val="24"/>
                <w:lang w:val="en-GB"/>
              </w:rPr>
            </w:pPr>
            <w:r w:rsidRPr="00095284">
              <w:rPr>
                <w:rFonts w:eastAsia="Times New Roman" w:cs="Arial"/>
                <w:color w:val="000000"/>
                <w:szCs w:val="24"/>
                <w:lang w:val="en-GB"/>
              </w:rPr>
              <w:t>25,190 ÷ 161,148 = 0.16</w:t>
            </w:r>
          </w:p>
        </w:tc>
        <w:tc>
          <w:tcPr>
            <w:tcW w:w="643" w:type="pct"/>
            <w:tcBorders>
              <w:top w:val="nil"/>
              <w:left w:val="nil"/>
              <w:bottom w:val="single" w:sz="4" w:space="0" w:color="auto"/>
              <w:right w:val="single" w:sz="4" w:space="0" w:color="auto"/>
            </w:tcBorders>
            <w:noWrap/>
            <w:vAlign w:val="bottom"/>
            <w:hideMark/>
          </w:tcPr>
          <w:p w14:paraId="6D1F6BD4" w14:textId="77777777" w:rsidR="002434D9" w:rsidRPr="00095284" w:rsidRDefault="002434D9" w:rsidP="002434D9">
            <w:pPr>
              <w:spacing w:after="0"/>
              <w:jc w:val="left"/>
              <w:rPr>
                <w:rFonts w:eastAsia="Times New Roman" w:cs="Arial"/>
                <w:color w:val="000000"/>
                <w:szCs w:val="24"/>
                <w:lang w:val="en-GB"/>
              </w:rPr>
            </w:pPr>
            <w:r w:rsidRPr="00095284">
              <w:rPr>
                <w:rFonts w:eastAsia="Times New Roman" w:cs="Arial"/>
                <w:color w:val="000000"/>
                <w:szCs w:val="24"/>
                <w:lang w:val="en-GB"/>
              </w:rPr>
              <w:t>10,926 ÷ 216,473 = 0.05</w:t>
            </w:r>
          </w:p>
        </w:tc>
        <w:tc>
          <w:tcPr>
            <w:tcW w:w="643" w:type="pct"/>
            <w:tcBorders>
              <w:top w:val="nil"/>
              <w:left w:val="nil"/>
              <w:bottom w:val="single" w:sz="4" w:space="0" w:color="auto"/>
              <w:right w:val="single" w:sz="4" w:space="0" w:color="auto"/>
            </w:tcBorders>
            <w:noWrap/>
            <w:vAlign w:val="bottom"/>
            <w:hideMark/>
          </w:tcPr>
          <w:p w14:paraId="69788EDC" w14:textId="77777777" w:rsidR="002434D9" w:rsidRPr="00095284" w:rsidRDefault="002434D9" w:rsidP="002434D9">
            <w:pPr>
              <w:spacing w:after="0"/>
              <w:jc w:val="left"/>
              <w:rPr>
                <w:rFonts w:eastAsia="Times New Roman" w:cs="Arial"/>
                <w:color w:val="000000"/>
                <w:szCs w:val="24"/>
                <w:lang w:val="en-GB"/>
              </w:rPr>
            </w:pPr>
            <w:r w:rsidRPr="00095284">
              <w:rPr>
                <w:rFonts w:eastAsia="Times New Roman" w:cs="Arial"/>
                <w:color w:val="000000"/>
                <w:szCs w:val="24"/>
                <w:lang w:val="en-GB"/>
              </w:rPr>
              <w:t>40,283 ÷ 216,787 = 0.19</w:t>
            </w:r>
          </w:p>
        </w:tc>
        <w:tc>
          <w:tcPr>
            <w:tcW w:w="643" w:type="pct"/>
            <w:tcBorders>
              <w:top w:val="nil"/>
              <w:left w:val="nil"/>
              <w:bottom w:val="single" w:sz="4" w:space="0" w:color="auto"/>
              <w:right w:val="single" w:sz="4" w:space="0" w:color="auto"/>
            </w:tcBorders>
            <w:noWrap/>
            <w:vAlign w:val="bottom"/>
            <w:hideMark/>
          </w:tcPr>
          <w:p w14:paraId="510D8F06" w14:textId="77777777" w:rsidR="002434D9" w:rsidRPr="00095284" w:rsidRDefault="002434D9" w:rsidP="002434D9">
            <w:pPr>
              <w:spacing w:after="0"/>
              <w:jc w:val="left"/>
              <w:rPr>
                <w:rFonts w:eastAsia="Times New Roman" w:cs="Arial"/>
                <w:color w:val="000000"/>
                <w:szCs w:val="24"/>
                <w:lang w:val="en-GB"/>
              </w:rPr>
            </w:pPr>
            <w:r w:rsidRPr="00095284">
              <w:rPr>
                <w:rFonts w:eastAsia="Times New Roman" w:cs="Arial"/>
                <w:color w:val="000000"/>
                <w:szCs w:val="24"/>
                <w:lang w:val="en-GB"/>
              </w:rPr>
              <w:t>73,392 ÷ 179,510 = 0.41</w:t>
            </w:r>
          </w:p>
        </w:tc>
      </w:tr>
    </w:tbl>
    <w:p w14:paraId="5093BAB0" w14:textId="77777777" w:rsidR="00983EC8" w:rsidRPr="00095284" w:rsidRDefault="002434D9" w:rsidP="00095284">
      <w:pPr>
        <w:pStyle w:val="Heading4"/>
        <w:rPr>
          <w:lang w:val="en-GB"/>
        </w:rPr>
      </w:pPr>
      <w:bookmarkStart w:id="13" w:name="_Toc216868172"/>
      <w:bookmarkStart w:id="14" w:name="_Toc216891981"/>
      <w:r w:rsidRPr="00095284">
        <w:rPr>
          <w:lang w:val="en-GB"/>
        </w:rPr>
        <w:t xml:space="preserve">Table </w:t>
      </w:r>
      <w:r w:rsidRPr="00095284">
        <w:rPr>
          <w:lang w:val="en-GB"/>
        </w:rPr>
        <w:fldChar w:fldCharType="begin"/>
      </w:r>
      <w:r w:rsidRPr="00095284">
        <w:rPr>
          <w:lang w:val="en-GB"/>
        </w:rPr>
        <w:instrText xml:space="preserve"> SEQ Table \* ARABIC </w:instrText>
      </w:r>
      <w:r w:rsidRPr="00095284">
        <w:rPr>
          <w:lang w:val="en-GB"/>
        </w:rPr>
        <w:fldChar w:fldCharType="separate"/>
      </w:r>
      <w:r w:rsidR="00634152" w:rsidRPr="00095284">
        <w:rPr>
          <w:lang w:val="en-GB"/>
        </w:rPr>
        <w:t>5</w:t>
      </w:r>
      <w:r w:rsidRPr="00095284">
        <w:rPr>
          <w:lang w:val="en-GB"/>
        </w:rPr>
        <w:fldChar w:fldCharType="end"/>
      </w:r>
      <w:r w:rsidRPr="00095284">
        <w:rPr>
          <w:lang w:val="en-GB"/>
        </w:rPr>
        <w:t>: Cash Flow Ratios</w:t>
      </w:r>
      <w:bookmarkEnd w:id="13"/>
      <w:bookmarkEnd w:id="14"/>
    </w:p>
    <w:p w14:paraId="4E6DC4A8" w14:textId="7D3B78FA" w:rsidR="002434D9" w:rsidRPr="00095284" w:rsidRDefault="002434D9" w:rsidP="002434D9">
      <w:pPr>
        <w:jc w:val="center"/>
        <w:rPr>
          <w:rFonts w:cs="Arial"/>
          <w:szCs w:val="24"/>
          <w:lang w:val="en-GB"/>
        </w:rPr>
      </w:pPr>
    </w:p>
    <w:tbl>
      <w:tblPr>
        <w:tblW w:w="5000" w:type="pct"/>
        <w:tblLook w:val="04A0" w:firstRow="1" w:lastRow="0" w:firstColumn="1" w:lastColumn="0" w:noHBand="0" w:noVBand="1"/>
      </w:tblPr>
      <w:tblGrid>
        <w:gridCol w:w="1326"/>
        <w:gridCol w:w="1752"/>
        <w:gridCol w:w="1290"/>
        <w:gridCol w:w="1290"/>
        <w:gridCol w:w="1064"/>
        <w:gridCol w:w="1143"/>
        <w:gridCol w:w="1195"/>
      </w:tblGrid>
      <w:tr w:rsidR="00634152" w:rsidRPr="00095284" w14:paraId="79D32B81" w14:textId="77777777" w:rsidTr="00634152">
        <w:trPr>
          <w:trHeight w:val="300"/>
        </w:trPr>
        <w:tc>
          <w:tcPr>
            <w:tcW w:w="5000" w:type="pct"/>
            <w:gridSpan w:val="7"/>
            <w:tcBorders>
              <w:top w:val="single" w:sz="4" w:space="0" w:color="auto"/>
              <w:left w:val="single" w:sz="4" w:space="0" w:color="auto"/>
              <w:bottom w:val="single" w:sz="4" w:space="0" w:color="auto"/>
              <w:right w:val="single" w:sz="4" w:space="0" w:color="000000"/>
            </w:tcBorders>
            <w:noWrap/>
            <w:vAlign w:val="bottom"/>
            <w:hideMark/>
          </w:tcPr>
          <w:p w14:paraId="641E4F40" w14:textId="77777777" w:rsidR="00634152" w:rsidRPr="00095284" w:rsidRDefault="00634152" w:rsidP="00634152">
            <w:pPr>
              <w:spacing w:after="0"/>
              <w:jc w:val="center"/>
              <w:rPr>
                <w:rFonts w:eastAsia="Times New Roman" w:cs="Arial"/>
                <w:b/>
                <w:bCs/>
                <w:color w:val="000000"/>
                <w:szCs w:val="24"/>
                <w:lang w:val="en-GB"/>
              </w:rPr>
            </w:pPr>
            <w:r w:rsidRPr="00095284">
              <w:rPr>
                <w:rFonts w:eastAsia="Times New Roman" w:cs="Arial"/>
                <w:b/>
                <w:bCs/>
                <w:color w:val="000000"/>
                <w:szCs w:val="24"/>
                <w:lang w:val="en-GB"/>
              </w:rPr>
              <w:t>Investment Ratios</w:t>
            </w:r>
          </w:p>
        </w:tc>
      </w:tr>
      <w:tr w:rsidR="00634152" w:rsidRPr="00095284" w14:paraId="6E487D07" w14:textId="77777777" w:rsidTr="00634152">
        <w:trPr>
          <w:trHeight w:val="300"/>
        </w:trPr>
        <w:tc>
          <w:tcPr>
            <w:tcW w:w="699" w:type="pct"/>
            <w:tcBorders>
              <w:top w:val="nil"/>
              <w:left w:val="single" w:sz="4" w:space="0" w:color="auto"/>
              <w:bottom w:val="single" w:sz="4" w:space="0" w:color="auto"/>
              <w:right w:val="single" w:sz="4" w:space="0" w:color="auto"/>
            </w:tcBorders>
            <w:noWrap/>
            <w:vAlign w:val="bottom"/>
            <w:hideMark/>
          </w:tcPr>
          <w:p w14:paraId="3538EB3A" w14:textId="77777777" w:rsidR="00634152" w:rsidRPr="00095284" w:rsidRDefault="00634152" w:rsidP="00634152">
            <w:pPr>
              <w:spacing w:after="0"/>
              <w:jc w:val="left"/>
              <w:rPr>
                <w:rFonts w:eastAsia="Times New Roman" w:cs="Arial"/>
                <w:b/>
                <w:bCs/>
                <w:color w:val="000000"/>
                <w:szCs w:val="24"/>
                <w:lang w:val="en-GB"/>
              </w:rPr>
            </w:pPr>
            <w:r w:rsidRPr="00095284">
              <w:rPr>
                <w:rFonts w:eastAsia="Times New Roman" w:cs="Arial"/>
                <w:b/>
                <w:bCs/>
                <w:color w:val="000000"/>
                <w:szCs w:val="24"/>
                <w:lang w:val="en-GB"/>
              </w:rPr>
              <w:lastRenderedPageBreak/>
              <w:t>Ratio</w:t>
            </w:r>
          </w:p>
        </w:tc>
        <w:tc>
          <w:tcPr>
            <w:tcW w:w="1025" w:type="pct"/>
            <w:tcBorders>
              <w:top w:val="nil"/>
              <w:left w:val="nil"/>
              <w:bottom w:val="single" w:sz="4" w:space="0" w:color="auto"/>
              <w:right w:val="single" w:sz="4" w:space="0" w:color="auto"/>
            </w:tcBorders>
            <w:noWrap/>
            <w:vAlign w:val="bottom"/>
            <w:hideMark/>
          </w:tcPr>
          <w:p w14:paraId="63A4D12E" w14:textId="77777777" w:rsidR="00634152" w:rsidRPr="00095284" w:rsidRDefault="00634152" w:rsidP="00634152">
            <w:pPr>
              <w:spacing w:after="0"/>
              <w:jc w:val="left"/>
              <w:rPr>
                <w:rFonts w:eastAsia="Times New Roman" w:cs="Arial"/>
                <w:b/>
                <w:bCs/>
                <w:color w:val="000000"/>
                <w:szCs w:val="24"/>
                <w:lang w:val="en-GB"/>
              </w:rPr>
            </w:pPr>
            <w:r w:rsidRPr="00095284">
              <w:rPr>
                <w:rFonts w:eastAsia="Times New Roman" w:cs="Arial"/>
                <w:b/>
                <w:bCs/>
                <w:color w:val="000000"/>
                <w:szCs w:val="24"/>
                <w:lang w:val="en-GB"/>
              </w:rPr>
              <w:t>Formula</w:t>
            </w:r>
          </w:p>
        </w:tc>
        <w:tc>
          <w:tcPr>
            <w:tcW w:w="718" w:type="pct"/>
            <w:tcBorders>
              <w:top w:val="nil"/>
              <w:left w:val="nil"/>
              <w:bottom w:val="single" w:sz="4" w:space="0" w:color="auto"/>
              <w:right w:val="single" w:sz="4" w:space="0" w:color="auto"/>
            </w:tcBorders>
            <w:noWrap/>
            <w:vAlign w:val="bottom"/>
            <w:hideMark/>
          </w:tcPr>
          <w:p w14:paraId="44F9CBFE" w14:textId="77777777" w:rsidR="00634152" w:rsidRPr="00095284" w:rsidRDefault="00634152" w:rsidP="00634152">
            <w:pPr>
              <w:spacing w:after="0"/>
              <w:jc w:val="right"/>
              <w:rPr>
                <w:rFonts w:eastAsia="Times New Roman" w:cs="Arial"/>
                <w:b/>
                <w:bCs/>
                <w:color w:val="000000"/>
                <w:szCs w:val="24"/>
                <w:lang w:val="en-GB"/>
              </w:rPr>
            </w:pPr>
            <w:r w:rsidRPr="00095284">
              <w:rPr>
                <w:rFonts w:eastAsia="Times New Roman" w:cs="Arial"/>
                <w:b/>
                <w:bCs/>
                <w:color w:val="000000"/>
                <w:szCs w:val="24"/>
                <w:lang w:val="en-GB"/>
              </w:rPr>
              <w:t>2024</w:t>
            </w:r>
          </w:p>
        </w:tc>
        <w:tc>
          <w:tcPr>
            <w:tcW w:w="718" w:type="pct"/>
            <w:tcBorders>
              <w:top w:val="nil"/>
              <w:left w:val="nil"/>
              <w:bottom w:val="single" w:sz="4" w:space="0" w:color="auto"/>
              <w:right w:val="single" w:sz="4" w:space="0" w:color="auto"/>
            </w:tcBorders>
            <w:noWrap/>
            <w:vAlign w:val="bottom"/>
            <w:hideMark/>
          </w:tcPr>
          <w:p w14:paraId="3E13B9E6" w14:textId="77777777" w:rsidR="00634152" w:rsidRPr="00095284" w:rsidRDefault="00634152" w:rsidP="00634152">
            <w:pPr>
              <w:spacing w:after="0"/>
              <w:jc w:val="right"/>
              <w:rPr>
                <w:rFonts w:eastAsia="Times New Roman" w:cs="Arial"/>
                <w:b/>
                <w:bCs/>
                <w:color w:val="000000"/>
                <w:szCs w:val="24"/>
                <w:lang w:val="en-GB"/>
              </w:rPr>
            </w:pPr>
            <w:r w:rsidRPr="00095284">
              <w:rPr>
                <w:rFonts w:eastAsia="Times New Roman" w:cs="Arial"/>
                <w:b/>
                <w:bCs/>
                <w:color w:val="000000"/>
                <w:szCs w:val="24"/>
                <w:lang w:val="en-GB"/>
              </w:rPr>
              <w:t>2023</w:t>
            </w:r>
          </w:p>
        </w:tc>
        <w:tc>
          <w:tcPr>
            <w:tcW w:w="566" w:type="pct"/>
            <w:tcBorders>
              <w:top w:val="nil"/>
              <w:left w:val="nil"/>
              <w:bottom w:val="single" w:sz="4" w:space="0" w:color="auto"/>
              <w:right w:val="single" w:sz="4" w:space="0" w:color="auto"/>
            </w:tcBorders>
            <w:noWrap/>
            <w:vAlign w:val="bottom"/>
            <w:hideMark/>
          </w:tcPr>
          <w:p w14:paraId="15CF723E" w14:textId="77777777" w:rsidR="00634152" w:rsidRPr="00095284" w:rsidRDefault="00634152" w:rsidP="00634152">
            <w:pPr>
              <w:spacing w:after="0"/>
              <w:jc w:val="right"/>
              <w:rPr>
                <w:rFonts w:eastAsia="Times New Roman" w:cs="Arial"/>
                <w:b/>
                <w:bCs/>
                <w:color w:val="000000"/>
                <w:szCs w:val="24"/>
                <w:lang w:val="en-GB"/>
              </w:rPr>
            </w:pPr>
            <w:r w:rsidRPr="00095284">
              <w:rPr>
                <w:rFonts w:eastAsia="Times New Roman" w:cs="Arial"/>
                <w:b/>
                <w:bCs/>
                <w:color w:val="000000"/>
                <w:szCs w:val="24"/>
                <w:lang w:val="en-GB"/>
              </w:rPr>
              <w:t>2022</w:t>
            </w:r>
          </w:p>
        </w:tc>
        <w:tc>
          <w:tcPr>
            <w:tcW w:w="619" w:type="pct"/>
            <w:tcBorders>
              <w:top w:val="nil"/>
              <w:left w:val="nil"/>
              <w:bottom w:val="single" w:sz="4" w:space="0" w:color="auto"/>
              <w:right w:val="single" w:sz="4" w:space="0" w:color="auto"/>
            </w:tcBorders>
            <w:noWrap/>
            <w:vAlign w:val="bottom"/>
            <w:hideMark/>
          </w:tcPr>
          <w:p w14:paraId="525E6527" w14:textId="77777777" w:rsidR="00634152" w:rsidRPr="00095284" w:rsidRDefault="00634152" w:rsidP="00634152">
            <w:pPr>
              <w:spacing w:after="0"/>
              <w:jc w:val="right"/>
              <w:rPr>
                <w:rFonts w:eastAsia="Times New Roman" w:cs="Arial"/>
                <w:b/>
                <w:bCs/>
                <w:color w:val="000000"/>
                <w:szCs w:val="24"/>
                <w:lang w:val="en-GB"/>
              </w:rPr>
            </w:pPr>
            <w:r w:rsidRPr="00095284">
              <w:rPr>
                <w:rFonts w:eastAsia="Times New Roman" w:cs="Arial"/>
                <w:b/>
                <w:bCs/>
                <w:color w:val="000000"/>
                <w:szCs w:val="24"/>
                <w:lang w:val="en-GB"/>
              </w:rPr>
              <w:t>2021</w:t>
            </w:r>
          </w:p>
        </w:tc>
        <w:tc>
          <w:tcPr>
            <w:tcW w:w="654" w:type="pct"/>
            <w:tcBorders>
              <w:top w:val="nil"/>
              <w:left w:val="nil"/>
              <w:bottom w:val="single" w:sz="4" w:space="0" w:color="auto"/>
              <w:right w:val="single" w:sz="4" w:space="0" w:color="auto"/>
            </w:tcBorders>
            <w:noWrap/>
            <w:vAlign w:val="bottom"/>
            <w:hideMark/>
          </w:tcPr>
          <w:p w14:paraId="0A5B5E97" w14:textId="77777777" w:rsidR="00634152" w:rsidRPr="00095284" w:rsidRDefault="00634152" w:rsidP="00634152">
            <w:pPr>
              <w:spacing w:after="0"/>
              <w:jc w:val="right"/>
              <w:rPr>
                <w:rFonts w:eastAsia="Times New Roman" w:cs="Arial"/>
                <w:b/>
                <w:bCs/>
                <w:color w:val="000000"/>
                <w:szCs w:val="24"/>
                <w:lang w:val="en-GB"/>
              </w:rPr>
            </w:pPr>
            <w:r w:rsidRPr="00095284">
              <w:rPr>
                <w:rFonts w:eastAsia="Times New Roman" w:cs="Arial"/>
                <w:b/>
                <w:bCs/>
                <w:color w:val="000000"/>
                <w:szCs w:val="24"/>
                <w:lang w:val="en-GB"/>
              </w:rPr>
              <w:t>2020</w:t>
            </w:r>
          </w:p>
        </w:tc>
      </w:tr>
      <w:tr w:rsidR="00634152" w:rsidRPr="00095284" w14:paraId="6F047FE4" w14:textId="77777777" w:rsidTr="00634152">
        <w:trPr>
          <w:trHeight w:val="300"/>
        </w:trPr>
        <w:tc>
          <w:tcPr>
            <w:tcW w:w="699" w:type="pct"/>
            <w:tcBorders>
              <w:top w:val="nil"/>
              <w:left w:val="single" w:sz="4" w:space="0" w:color="auto"/>
              <w:bottom w:val="single" w:sz="4" w:space="0" w:color="auto"/>
              <w:right w:val="single" w:sz="4" w:space="0" w:color="auto"/>
            </w:tcBorders>
            <w:noWrap/>
            <w:vAlign w:val="bottom"/>
            <w:hideMark/>
          </w:tcPr>
          <w:p w14:paraId="6DF15BE4" w14:textId="77777777" w:rsidR="00634152" w:rsidRPr="00095284" w:rsidRDefault="00634152" w:rsidP="00634152">
            <w:pPr>
              <w:spacing w:after="0"/>
              <w:jc w:val="left"/>
              <w:rPr>
                <w:rFonts w:eastAsia="Times New Roman" w:cs="Arial"/>
                <w:color w:val="000000"/>
                <w:szCs w:val="24"/>
                <w:lang w:val="en-GB"/>
              </w:rPr>
            </w:pPr>
            <w:r w:rsidRPr="00095284">
              <w:rPr>
                <w:rFonts w:eastAsia="Times New Roman" w:cs="Arial"/>
                <w:color w:val="000000"/>
                <w:szCs w:val="24"/>
                <w:lang w:val="en-GB"/>
              </w:rPr>
              <w:t>Earnings Per Share (EPS)</w:t>
            </w:r>
          </w:p>
        </w:tc>
        <w:tc>
          <w:tcPr>
            <w:tcW w:w="1025" w:type="pct"/>
            <w:tcBorders>
              <w:top w:val="nil"/>
              <w:left w:val="nil"/>
              <w:bottom w:val="single" w:sz="4" w:space="0" w:color="auto"/>
              <w:right w:val="single" w:sz="4" w:space="0" w:color="auto"/>
            </w:tcBorders>
            <w:noWrap/>
            <w:vAlign w:val="bottom"/>
            <w:hideMark/>
          </w:tcPr>
          <w:p w14:paraId="5F5F3ED3" w14:textId="77777777" w:rsidR="00634152" w:rsidRPr="00095284" w:rsidRDefault="00634152" w:rsidP="00634152">
            <w:pPr>
              <w:spacing w:after="0"/>
              <w:jc w:val="left"/>
              <w:rPr>
                <w:rFonts w:eastAsia="Times New Roman" w:cs="Arial"/>
                <w:color w:val="000000"/>
                <w:szCs w:val="24"/>
                <w:lang w:val="en-GB"/>
              </w:rPr>
            </w:pPr>
            <w:r w:rsidRPr="00095284">
              <w:rPr>
                <w:rFonts w:eastAsia="Times New Roman" w:cs="Arial"/>
                <w:color w:val="000000"/>
                <w:szCs w:val="24"/>
                <w:lang w:val="en-GB"/>
              </w:rPr>
              <w:t>Net Income ÷ Weighted Avg. Shares</w:t>
            </w:r>
          </w:p>
        </w:tc>
        <w:tc>
          <w:tcPr>
            <w:tcW w:w="718" w:type="pct"/>
            <w:tcBorders>
              <w:top w:val="nil"/>
              <w:left w:val="nil"/>
              <w:bottom w:val="single" w:sz="4" w:space="0" w:color="auto"/>
              <w:right w:val="single" w:sz="4" w:space="0" w:color="auto"/>
            </w:tcBorders>
            <w:noWrap/>
            <w:vAlign w:val="bottom"/>
            <w:hideMark/>
          </w:tcPr>
          <w:p w14:paraId="63FA0E60" w14:textId="77777777" w:rsidR="00634152" w:rsidRPr="00095284" w:rsidRDefault="00634152" w:rsidP="00634152">
            <w:pPr>
              <w:spacing w:after="0"/>
              <w:jc w:val="left"/>
              <w:rPr>
                <w:rFonts w:eastAsia="Times New Roman" w:cs="Arial"/>
                <w:color w:val="000000"/>
                <w:szCs w:val="24"/>
                <w:lang w:val="en-GB"/>
              </w:rPr>
            </w:pPr>
            <w:r w:rsidRPr="00095284">
              <w:rPr>
                <w:rFonts w:eastAsia="Times New Roman" w:cs="Arial"/>
                <w:color w:val="000000"/>
                <w:szCs w:val="24"/>
                <w:lang w:val="en-GB"/>
              </w:rPr>
              <w:t>(24,029) ÷ 12,959 = -1.85</w:t>
            </w:r>
          </w:p>
        </w:tc>
        <w:tc>
          <w:tcPr>
            <w:tcW w:w="718" w:type="pct"/>
            <w:tcBorders>
              <w:top w:val="nil"/>
              <w:left w:val="nil"/>
              <w:bottom w:val="single" w:sz="4" w:space="0" w:color="auto"/>
              <w:right w:val="single" w:sz="4" w:space="0" w:color="auto"/>
            </w:tcBorders>
            <w:noWrap/>
            <w:vAlign w:val="bottom"/>
            <w:hideMark/>
          </w:tcPr>
          <w:p w14:paraId="0B065E08" w14:textId="77777777" w:rsidR="00634152" w:rsidRPr="00095284" w:rsidRDefault="00634152" w:rsidP="00634152">
            <w:pPr>
              <w:spacing w:after="0"/>
              <w:jc w:val="left"/>
              <w:rPr>
                <w:rFonts w:eastAsia="Times New Roman" w:cs="Arial"/>
                <w:color w:val="000000"/>
                <w:szCs w:val="24"/>
                <w:lang w:val="en-GB"/>
              </w:rPr>
            </w:pPr>
            <w:r w:rsidRPr="00095284">
              <w:rPr>
                <w:rFonts w:eastAsia="Times New Roman" w:cs="Arial"/>
                <w:color w:val="000000"/>
                <w:szCs w:val="24"/>
                <w:lang w:val="en-GB"/>
              </w:rPr>
              <w:t>(98,238) ÷ 12,855 = -7.64</w:t>
            </w:r>
          </w:p>
        </w:tc>
        <w:tc>
          <w:tcPr>
            <w:tcW w:w="566" w:type="pct"/>
            <w:tcBorders>
              <w:top w:val="nil"/>
              <w:left w:val="nil"/>
              <w:bottom w:val="single" w:sz="4" w:space="0" w:color="auto"/>
              <w:right w:val="single" w:sz="4" w:space="0" w:color="auto"/>
            </w:tcBorders>
            <w:noWrap/>
            <w:vAlign w:val="bottom"/>
            <w:hideMark/>
          </w:tcPr>
          <w:p w14:paraId="0E5214A1" w14:textId="77777777" w:rsidR="00634152" w:rsidRPr="00095284" w:rsidRDefault="00634152" w:rsidP="00634152">
            <w:pPr>
              <w:spacing w:after="0"/>
              <w:jc w:val="left"/>
              <w:rPr>
                <w:rFonts w:eastAsia="Times New Roman" w:cs="Arial"/>
                <w:color w:val="000000"/>
                <w:szCs w:val="24"/>
                <w:lang w:val="en-GB"/>
              </w:rPr>
            </w:pPr>
            <w:r w:rsidRPr="00095284">
              <w:rPr>
                <w:rFonts w:eastAsia="Times New Roman" w:cs="Arial"/>
                <w:color w:val="000000"/>
                <w:szCs w:val="24"/>
                <w:lang w:val="en-GB"/>
              </w:rPr>
              <w:t>407 ÷ 12,703 = 0.03</w:t>
            </w:r>
          </w:p>
        </w:tc>
        <w:tc>
          <w:tcPr>
            <w:tcW w:w="619" w:type="pct"/>
            <w:tcBorders>
              <w:top w:val="nil"/>
              <w:left w:val="nil"/>
              <w:bottom w:val="single" w:sz="4" w:space="0" w:color="auto"/>
              <w:right w:val="single" w:sz="4" w:space="0" w:color="auto"/>
            </w:tcBorders>
            <w:noWrap/>
            <w:vAlign w:val="bottom"/>
            <w:hideMark/>
          </w:tcPr>
          <w:p w14:paraId="7DEE0F0B" w14:textId="77777777" w:rsidR="00634152" w:rsidRPr="00095284" w:rsidRDefault="00634152" w:rsidP="00634152">
            <w:pPr>
              <w:spacing w:after="0"/>
              <w:jc w:val="left"/>
              <w:rPr>
                <w:rFonts w:eastAsia="Times New Roman" w:cs="Arial"/>
                <w:color w:val="000000"/>
                <w:szCs w:val="24"/>
                <w:lang w:val="en-GB"/>
              </w:rPr>
            </w:pPr>
            <w:r w:rsidRPr="00095284">
              <w:rPr>
                <w:rFonts w:eastAsia="Times New Roman" w:cs="Arial"/>
                <w:color w:val="000000"/>
                <w:szCs w:val="24"/>
                <w:lang w:val="en-GB"/>
              </w:rPr>
              <w:t>5,301 ÷ 13,465 = 0.39</w:t>
            </w:r>
          </w:p>
        </w:tc>
        <w:tc>
          <w:tcPr>
            <w:tcW w:w="654" w:type="pct"/>
            <w:tcBorders>
              <w:top w:val="nil"/>
              <w:left w:val="nil"/>
              <w:bottom w:val="single" w:sz="4" w:space="0" w:color="auto"/>
              <w:right w:val="single" w:sz="4" w:space="0" w:color="auto"/>
            </w:tcBorders>
            <w:noWrap/>
            <w:vAlign w:val="bottom"/>
            <w:hideMark/>
          </w:tcPr>
          <w:p w14:paraId="30C41FCB" w14:textId="77777777" w:rsidR="00634152" w:rsidRPr="00095284" w:rsidRDefault="00634152" w:rsidP="00634152">
            <w:pPr>
              <w:spacing w:after="0"/>
              <w:jc w:val="left"/>
              <w:rPr>
                <w:rFonts w:eastAsia="Times New Roman" w:cs="Arial"/>
                <w:color w:val="000000"/>
                <w:szCs w:val="24"/>
                <w:lang w:val="en-GB"/>
              </w:rPr>
            </w:pPr>
            <w:r w:rsidRPr="00095284">
              <w:rPr>
                <w:rFonts w:eastAsia="Times New Roman" w:cs="Arial"/>
                <w:color w:val="000000"/>
                <w:szCs w:val="24"/>
                <w:lang w:val="en-GB"/>
              </w:rPr>
              <w:t>38,572 ÷ 13,893 = 2.78</w:t>
            </w:r>
          </w:p>
        </w:tc>
      </w:tr>
    </w:tbl>
    <w:p w14:paraId="1AAB432B" w14:textId="77777777" w:rsidR="002434D9" w:rsidRPr="00095284" w:rsidRDefault="00634152" w:rsidP="00095284">
      <w:pPr>
        <w:pStyle w:val="Heading4"/>
        <w:rPr>
          <w:lang w:val="en-GB"/>
        </w:rPr>
      </w:pPr>
      <w:bookmarkStart w:id="15" w:name="_Toc216868173"/>
      <w:bookmarkStart w:id="16" w:name="_Toc216891982"/>
      <w:r w:rsidRPr="00095284">
        <w:rPr>
          <w:lang w:val="en-GB"/>
        </w:rPr>
        <w:t xml:space="preserve">Table </w:t>
      </w:r>
      <w:r w:rsidRPr="00095284">
        <w:rPr>
          <w:lang w:val="en-GB"/>
        </w:rPr>
        <w:fldChar w:fldCharType="begin"/>
      </w:r>
      <w:r w:rsidRPr="00095284">
        <w:rPr>
          <w:lang w:val="en-GB"/>
        </w:rPr>
        <w:instrText xml:space="preserve"> SEQ Table \* ARABIC </w:instrText>
      </w:r>
      <w:r w:rsidRPr="00095284">
        <w:rPr>
          <w:lang w:val="en-GB"/>
        </w:rPr>
        <w:fldChar w:fldCharType="separate"/>
      </w:r>
      <w:r w:rsidRPr="00095284">
        <w:rPr>
          <w:lang w:val="en-GB"/>
        </w:rPr>
        <w:t>6</w:t>
      </w:r>
      <w:r w:rsidRPr="00095284">
        <w:rPr>
          <w:lang w:val="en-GB"/>
        </w:rPr>
        <w:fldChar w:fldCharType="end"/>
      </w:r>
      <w:r w:rsidRPr="00095284">
        <w:rPr>
          <w:lang w:val="en-GB"/>
        </w:rPr>
        <w:t>: Investment Ratios</w:t>
      </w:r>
      <w:bookmarkEnd w:id="15"/>
      <w:bookmarkEnd w:id="16"/>
    </w:p>
    <w:p w14:paraId="290C7EC1" w14:textId="4E90541A" w:rsidR="008267D2" w:rsidRPr="00095284" w:rsidRDefault="00095284" w:rsidP="00095284">
      <w:pPr>
        <w:pStyle w:val="Heading2"/>
        <w:rPr>
          <w:lang w:val="en-GB"/>
        </w:rPr>
      </w:pPr>
      <w:bookmarkStart w:id="17" w:name="_Toc216894585"/>
      <w:r w:rsidRPr="00095284">
        <w:rPr>
          <w:lang w:val="en-GB"/>
        </w:rPr>
        <w:t>2</w:t>
      </w:r>
      <w:r w:rsidR="00B9270B" w:rsidRPr="00095284">
        <w:rPr>
          <w:lang w:val="en-GB"/>
        </w:rPr>
        <w:t>.3 Identification of Trends, Strengths, and Threats</w:t>
      </w:r>
      <w:bookmarkEnd w:id="17"/>
    </w:p>
    <w:p w14:paraId="5F676823" w14:textId="77777777" w:rsidR="00B9270B" w:rsidRPr="00095284" w:rsidRDefault="00222265" w:rsidP="008267D2">
      <w:pPr>
        <w:rPr>
          <w:rFonts w:cs="Arial"/>
          <w:b/>
          <w:i/>
          <w:szCs w:val="24"/>
          <w:lang w:val="en-GB"/>
        </w:rPr>
      </w:pPr>
      <w:r w:rsidRPr="00095284">
        <w:rPr>
          <w:rFonts w:cs="Arial"/>
          <w:b/>
          <w:i/>
          <w:szCs w:val="24"/>
          <w:lang w:val="en-GB"/>
        </w:rPr>
        <w:t xml:space="preserve">Key trends </w:t>
      </w:r>
    </w:p>
    <w:p w14:paraId="1D12DF22" w14:textId="77777777" w:rsidR="00930298" w:rsidRPr="00095284" w:rsidRDefault="00B60521" w:rsidP="008267D2">
      <w:pPr>
        <w:rPr>
          <w:rFonts w:cs="Arial"/>
          <w:szCs w:val="24"/>
          <w:lang w:val="en-GB"/>
        </w:rPr>
      </w:pPr>
      <w:r w:rsidRPr="00095284">
        <w:rPr>
          <w:rFonts w:cs="Arial"/>
          <w:szCs w:val="24"/>
          <w:lang w:val="en-GB"/>
        </w:rPr>
        <w:t xml:space="preserve">The general electronics reflects persistent downward revenue trend, with having net sales is declining from being £614,680m (2020) to £394,879m (2024). This can be noted as a cumulative fall of more than </w:t>
      </w:r>
      <w:r w:rsidR="00A21FCD" w:rsidRPr="00095284">
        <w:rPr>
          <w:rFonts w:cs="Arial"/>
          <w:szCs w:val="24"/>
          <w:lang w:val="en-GB"/>
        </w:rPr>
        <w:t xml:space="preserve">36%. The profitability has deteriorated sharply, while the operating income has moved from £37,267m (2020) to the operating loss of £15,297m (2024). In this case, the net income has been declined from </w:t>
      </w:r>
      <w:r w:rsidR="00D57A3A" w:rsidRPr="00095284">
        <w:rPr>
          <w:rFonts w:cs="Arial"/>
          <w:szCs w:val="24"/>
          <w:lang w:val="en-GB"/>
        </w:rPr>
        <w:t>being £38,572m profit to £24,029m loss</w:t>
      </w:r>
      <w:r w:rsidR="00893276" w:rsidRPr="00095284">
        <w:rPr>
          <w:rFonts w:cs="Arial"/>
          <w:szCs w:val="24"/>
          <w:lang w:val="en-GB"/>
        </w:rPr>
        <w:t xml:space="preserve"> (refer to annual statement)</w:t>
      </w:r>
      <w:r w:rsidR="00D57A3A" w:rsidRPr="00095284">
        <w:rPr>
          <w:rFonts w:cs="Arial"/>
          <w:szCs w:val="24"/>
          <w:lang w:val="en-GB"/>
        </w:rPr>
        <w:t>.</w:t>
      </w:r>
      <w:r w:rsidR="00403AF1" w:rsidRPr="00095284">
        <w:rPr>
          <w:rFonts w:cs="Arial"/>
          <w:szCs w:val="24"/>
          <w:lang w:val="en-GB"/>
        </w:rPr>
        <w:t xml:space="preserve"> The gross margin process has weakened from being 28.7% in 2020 to 28.9% by the end of 2024, but this has marked real issues. The operating expenses of the business has remained disproportionately higher, and it exceeded the gross profit in both FY2023 and FY2024. The asset contradiction is highly evident, with having total assets are shrinking from £510,290m to £323,354m. This has addressed divestment and impairment besides being organic gain of efficiencies.</w:t>
      </w:r>
    </w:p>
    <w:p w14:paraId="7806DBB6" w14:textId="77777777" w:rsidR="00930298" w:rsidRPr="00095284" w:rsidRDefault="00930298" w:rsidP="008267D2">
      <w:pPr>
        <w:rPr>
          <w:rFonts w:cs="Arial"/>
          <w:b/>
          <w:i/>
          <w:szCs w:val="24"/>
          <w:lang w:val="en-GB"/>
        </w:rPr>
      </w:pPr>
      <w:r w:rsidRPr="00095284">
        <w:rPr>
          <w:rFonts w:cs="Arial"/>
          <w:b/>
          <w:i/>
          <w:szCs w:val="24"/>
          <w:lang w:val="en-GB"/>
        </w:rPr>
        <w:t>Strengths</w:t>
      </w:r>
    </w:p>
    <w:p w14:paraId="3A27D672" w14:textId="2933090D" w:rsidR="00B21010" w:rsidRPr="00095284" w:rsidRDefault="005F5F1D" w:rsidP="008267D2">
      <w:pPr>
        <w:rPr>
          <w:rFonts w:cs="Arial"/>
          <w:szCs w:val="24"/>
          <w:lang w:val="en-GB"/>
        </w:rPr>
      </w:pPr>
      <w:r w:rsidRPr="00095284">
        <w:rPr>
          <w:rFonts w:cs="Arial"/>
          <w:szCs w:val="24"/>
          <w:lang w:val="en-GB"/>
        </w:rPr>
        <w:t xml:space="preserve">One of the major strength lies in </w:t>
      </w:r>
      <w:r w:rsidRPr="00095284">
        <w:rPr>
          <w:rFonts w:cs="Arial"/>
          <w:i/>
          <w:szCs w:val="24"/>
          <w:lang w:val="en-GB"/>
        </w:rPr>
        <w:t xml:space="preserve">positive </w:t>
      </w:r>
      <w:r w:rsidR="00601627" w:rsidRPr="00095284">
        <w:rPr>
          <w:rFonts w:cs="Arial"/>
          <w:i/>
          <w:szCs w:val="24"/>
          <w:lang w:val="en-GB"/>
        </w:rPr>
        <w:t>operating cash flows that</w:t>
      </w:r>
      <w:r w:rsidR="00601627" w:rsidRPr="00095284">
        <w:rPr>
          <w:rFonts w:cs="Arial"/>
          <w:szCs w:val="24"/>
          <w:lang w:val="en-GB"/>
        </w:rPr>
        <w:t xml:space="preserve"> has consistently remained positive (£14,822m in 2024). This has addressed the fact that core </w:t>
      </w:r>
      <w:r w:rsidR="00B21010" w:rsidRPr="00095284">
        <w:rPr>
          <w:rFonts w:cs="Arial"/>
          <w:szCs w:val="24"/>
          <w:lang w:val="en-GB"/>
        </w:rPr>
        <w:t xml:space="preserve">operations </w:t>
      </w:r>
      <w:r w:rsidR="00460E42" w:rsidRPr="00095284">
        <w:rPr>
          <w:rFonts w:cs="Arial"/>
          <w:szCs w:val="24"/>
          <w:lang w:val="en-GB"/>
        </w:rPr>
        <w:t>generate</w:t>
      </w:r>
      <w:r w:rsidR="00B21010" w:rsidRPr="00095284">
        <w:rPr>
          <w:rFonts w:cs="Arial"/>
          <w:szCs w:val="24"/>
          <w:lang w:val="en-GB"/>
        </w:rPr>
        <w:t xml:space="preserve"> cash, and inventory levels have reduced in a significant manner of £140,181m in 2022 to £79,355m in 2024. This has reflected the improvement of working capital control. In this case, reduction of the PP&amp;E suggests strategic move towards the leaner asset base</w:t>
      </w:r>
      <w:r w:rsidR="00DA4DD9" w:rsidRPr="00095284">
        <w:rPr>
          <w:rFonts w:cs="Arial"/>
          <w:szCs w:val="24"/>
          <w:lang w:val="en-GB"/>
        </w:rPr>
        <w:t xml:space="preserve"> (</w:t>
      </w:r>
      <w:proofErr w:type="spellStart"/>
      <w:r w:rsidR="00DA4DD9" w:rsidRPr="00095284">
        <w:rPr>
          <w:rFonts w:cs="Arial"/>
          <w:szCs w:val="24"/>
          <w:lang w:val="en-GB"/>
        </w:rPr>
        <w:t>AbasiIta</w:t>
      </w:r>
      <w:proofErr w:type="spellEnd"/>
      <w:r w:rsidR="00DA4DD9" w:rsidRPr="00095284">
        <w:rPr>
          <w:rFonts w:cs="Arial"/>
          <w:szCs w:val="24"/>
          <w:lang w:val="en-GB"/>
        </w:rPr>
        <w:t>, 2025)</w:t>
      </w:r>
      <w:r w:rsidR="00B21010" w:rsidRPr="00095284">
        <w:rPr>
          <w:rFonts w:cs="Arial"/>
          <w:szCs w:val="24"/>
          <w:lang w:val="en-GB"/>
        </w:rPr>
        <w:t>.</w:t>
      </w:r>
    </w:p>
    <w:p w14:paraId="255A9AAC" w14:textId="77777777" w:rsidR="00B21010" w:rsidRPr="00095284" w:rsidRDefault="00B21010" w:rsidP="008267D2">
      <w:pPr>
        <w:rPr>
          <w:rFonts w:cs="Arial"/>
          <w:b/>
          <w:i/>
          <w:szCs w:val="24"/>
          <w:lang w:val="en-GB"/>
        </w:rPr>
      </w:pPr>
      <w:r w:rsidRPr="00095284">
        <w:rPr>
          <w:rFonts w:cs="Arial"/>
          <w:b/>
          <w:i/>
          <w:szCs w:val="24"/>
          <w:lang w:val="en-GB"/>
        </w:rPr>
        <w:t>Threats</w:t>
      </w:r>
    </w:p>
    <w:p w14:paraId="1FEC885C" w14:textId="6A773FB3" w:rsidR="005B6D82" w:rsidRPr="00095284" w:rsidRDefault="00BC7B10" w:rsidP="008267D2">
      <w:pPr>
        <w:rPr>
          <w:rFonts w:cs="Arial"/>
          <w:szCs w:val="24"/>
          <w:lang w:val="en-GB"/>
        </w:rPr>
      </w:pPr>
      <w:r w:rsidRPr="00095284">
        <w:rPr>
          <w:rFonts w:cs="Arial"/>
          <w:szCs w:val="24"/>
          <w:lang w:val="en-GB"/>
        </w:rPr>
        <w:t>Some major threats include recurring losses, declining equity, which has become do</w:t>
      </w:r>
      <w:r w:rsidR="00674F11" w:rsidRPr="00095284">
        <w:rPr>
          <w:rFonts w:cs="Arial"/>
          <w:szCs w:val="24"/>
          <w:lang w:val="en-GB"/>
        </w:rPr>
        <w:t xml:space="preserve">wn from being £153.105millon in FY2024, and </w:t>
      </w:r>
      <w:r w:rsidR="005B6D82" w:rsidRPr="00095284">
        <w:rPr>
          <w:rFonts w:cs="Arial"/>
          <w:szCs w:val="24"/>
          <w:lang w:val="en-GB"/>
        </w:rPr>
        <w:t xml:space="preserve">a heavier reliance on </w:t>
      </w:r>
      <w:r w:rsidR="005B6D82" w:rsidRPr="00095284">
        <w:rPr>
          <w:rFonts w:cs="Arial"/>
          <w:i/>
          <w:szCs w:val="24"/>
          <w:lang w:val="en-GB"/>
        </w:rPr>
        <w:t xml:space="preserve">short-term credit lines. </w:t>
      </w:r>
      <w:r w:rsidR="005B6D82" w:rsidRPr="00095284">
        <w:rPr>
          <w:rFonts w:cs="Arial"/>
          <w:szCs w:val="24"/>
          <w:lang w:val="en-GB"/>
        </w:rPr>
        <w:t xml:space="preserve">This has increased the liquidity and refining risks, where the continued foreign </w:t>
      </w:r>
      <w:r w:rsidR="005B6D82" w:rsidRPr="00095284">
        <w:rPr>
          <w:rFonts w:cs="Arial"/>
          <w:szCs w:val="24"/>
          <w:lang w:val="en-GB"/>
        </w:rPr>
        <w:lastRenderedPageBreak/>
        <w:t xml:space="preserve">exchange losses and goodwill impairment has </w:t>
      </w:r>
      <w:r w:rsidR="00395B4A" w:rsidRPr="00095284">
        <w:rPr>
          <w:rFonts w:cs="Arial"/>
          <w:szCs w:val="24"/>
          <w:lang w:val="en-GB"/>
        </w:rPr>
        <w:t>threatened</w:t>
      </w:r>
      <w:r w:rsidR="005B6D82" w:rsidRPr="00095284">
        <w:rPr>
          <w:rFonts w:cs="Arial"/>
          <w:szCs w:val="24"/>
          <w:lang w:val="en-GB"/>
        </w:rPr>
        <w:t xml:space="preserve"> the long-term sustainability, if it is not being properly addressed. </w:t>
      </w:r>
    </w:p>
    <w:p w14:paraId="5037FD06" w14:textId="54A98707" w:rsidR="004F4522" w:rsidRPr="00095284" w:rsidRDefault="00095284" w:rsidP="00095284">
      <w:pPr>
        <w:pStyle w:val="Heading2"/>
        <w:rPr>
          <w:lang w:val="en-GB"/>
        </w:rPr>
      </w:pPr>
      <w:bookmarkStart w:id="18" w:name="_Toc216894586"/>
      <w:r w:rsidRPr="00095284">
        <w:rPr>
          <w:lang w:val="en-GB"/>
        </w:rPr>
        <w:t>2</w:t>
      </w:r>
      <w:r w:rsidR="00BA0A28" w:rsidRPr="00095284">
        <w:rPr>
          <w:lang w:val="en-GB"/>
        </w:rPr>
        <w:t xml:space="preserve">.4 </w:t>
      </w:r>
      <w:r w:rsidR="00A0013E" w:rsidRPr="00095284">
        <w:rPr>
          <w:lang w:val="en-GB"/>
        </w:rPr>
        <w:t xml:space="preserve">Application of Altman Z-score for assessing </w:t>
      </w:r>
      <w:r w:rsidR="004F4522" w:rsidRPr="00095284">
        <w:rPr>
          <w:lang w:val="en-GB"/>
        </w:rPr>
        <w:t>default risk</w:t>
      </w:r>
      <w:bookmarkEnd w:id="18"/>
      <w:r w:rsidR="004F4522" w:rsidRPr="00095284">
        <w:rPr>
          <w:lang w:val="en-GB"/>
        </w:rPr>
        <w:t xml:space="preserve"> </w:t>
      </w:r>
    </w:p>
    <w:p w14:paraId="0EF2B396" w14:textId="77777777" w:rsidR="00BA0A28" w:rsidRPr="00095284" w:rsidRDefault="00524B2E">
      <w:pPr>
        <w:rPr>
          <w:rFonts w:cs="Arial"/>
          <w:b/>
          <w:szCs w:val="24"/>
          <w:lang w:val="en-GB"/>
        </w:rPr>
      </w:pPr>
      <w:r w:rsidRPr="00095284">
        <w:rPr>
          <w:rFonts w:cs="Arial"/>
          <w:szCs w:val="24"/>
          <w:lang w:val="en-GB"/>
        </w:rPr>
        <w:t xml:space="preserve">For assessing the General Electronics risk, the Altman Z-Score can be applied by using the 2024’s data, from the consolidated financial statements.   </w:t>
      </w:r>
      <w:r w:rsidR="00A0013E" w:rsidRPr="00095284">
        <w:rPr>
          <w:rFonts w:cs="Arial"/>
          <w:b/>
          <w:szCs w:val="24"/>
          <w:lang w:val="en-GB"/>
        </w:rPr>
        <w:t xml:space="preserve">  </w:t>
      </w:r>
    </w:p>
    <w:p w14:paraId="0FE04442" w14:textId="77777777" w:rsidR="00524B2E" w:rsidRPr="00095284" w:rsidRDefault="00D22597">
      <w:pPr>
        <w:rPr>
          <w:rFonts w:cs="Arial"/>
          <w:b/>
          <w:i/>
          <w:szCs w:val="24"/>
          <w:lang w:val="en-GB"/>
        </w:rPr>
      </w:pPr>
      <w:r w:rsidRPr="00095284">
        <w:rPr>
          <w:rFonts w:cs="Arial"/>
          <w:b/>
          <w:i/>
          <w:szCs w:val="24"/>
          <w:lang w:val="en-GB"/>
        </w:rPr>
        <w:t>Altman Z-Score Formula</w:t>
      </w:r>
    </w:p>
    <w:p w14:paraId="29A74563" w14:textId="77777777" w:rsidR="00BA0A28" w:rsidRPr="00042DBC" w:rsidRDefault="00D22597" w:rsidP="00042DBC">
      <w:pPr>
        <w:rPr>
          <w:rFonts w:cs="Arial"/>
          <w:lang w:val="en-GB"/>
        </w:rPr>
      </w:pPr>
      <w:r w:rsidRPr="00042DBC">
        <w:rPr>
          <w:rFonts w:cs="Arial"/>
          <w:lang w:val="en-GB"/>
        </w:rPr>
        <w:t>Z = 1.2X</w:t>
      </w:r>
      <w:r w:rsidRPr="00042DBC">
        <w:rPr>
          <w:rFonts w:ascii="Cambria Math" w:hAnsi="Cambria Math" w:cs="Cambria Math"/>
          <w:lang w:val="en-GB"/>
        </w:rPr>
        <w:t>₁</w:t>
      </w:r>
      <w:r w:rsidRPr="00042DBC">
        <w:rPr>
          <w:rFonts w:cs="Arial"/>
          <w:lang w:val="en-GB"/>
        </w:rPr>
        <w:t xml:space="preserve"> + 1.4X</w:t>
      </w:r>
      <w:r w:rsidRPr="00042DBC">
        <w:rPr>
          <w:rFonts w:ascii="Cambria Math" w:hAnsi="Cambria Math" w:cs="Cambria Math"/>
          <w:lang w:val="en-GB"/>
        </w:rPr>
        <w:t>₂</w:t>
      </w:r>
      <w:r w:rsidRPr="00042DBC">
        <w:rPr>
          <w:rFonts w:cs="Arial"/>
          <w:lang w:val="en-GB"/>
        </w:rPr>
        <w:t xml:space="preserve"> + 3.3X</w:t>
      </w:r>
      <w:r w:rsidRPr="00042DBC">
        <w:rPr>
          <w:rFonts w:ascii="Cambria Math" w:hAnsi="Cambria Math" w:cs="Cambria Math"/>
          <w:lang w:val="en-GB"/>
        </w:rPr>
        <w:t>₃</w:t>
      </w:r>
      <w:r w:rsidRPr="00042DBC">
        <w:rPr>
          <w:rFonts w:cs="Arial"/>
          <w:lang w:val="en-GB"/>
        </w:rPr>
        <w:t xml:space="preserve"> + 0.6X</w:t>
      </w:r>
      <w:r w:rsidRPr="00042DBC">
        <w:rPr>
          <w:rFonts w:ascii="Cambria Math" w:hAnsi="Cambria Math" w:cs="Cambria Math"/>
          <w:lang w:val="en-GB"/>
        </w:rPr>
        <w:t>₄</w:t>
      </w:r>
      <w:r w:rsidRPr="00042DBC">
        <w:rPr>
          <w:rFonts w:cs="Arial"/>
          <w:lang w:val="en-GB"/>
        </w:rPr>
        <w:t xml:space="preserve"> + 1.0X</w:t>
      </w:r>
      <w:r w:rsidRPr="00042DBC">
        <w:rPr>
          <w:rFonts w:ascii="Cambria Math" w:hAnsi="Cambria Math" w:cs="Cambria Math"/>
          <w:lang w:val="en-GB"/>
        </w:rPr>
        <w:t>₅</w:t>
      </w:r>
    </w:p>
    <w:p w14:paraId="111D9D4B" w14:textId="77777777" w:rsidR="00D22597" w:rsidRPr="00095284" w:rsidRDefault="00D22597">
      <w:pPr>
        <w:rPr>
          <w:rFonts w:cs="Arial"/>
          <w:szCs w:val="24"/>
          <w:lang w:val="en-GB"/>
        </w:rPr>
      </w:pPr>
      <w:r w:rsidRPr="00095284">
        <w:rPr>
          <w:rFonts w:cs="Arial"/>
          <w:szCs w:val="24"/>
          <w:lang w:val="en-GB"/>
        </w:rPr>
        <w:t>Here, following can be taken into considerations:</w:t>
      </w:r>
    </w:p>
    <w:p w14:paraId="3827EDCF" w14:textId="77777777" w:rsidR="005C3AEA" w:rsidRPr="00042DBC" w:rsidRDefault="005C3AEA" w:rsidP="00042DBC">
      <w:pPr>
        <w:pStyle w:val="ListParagraph"/>
        <w:numPr>
          <w:ilvl w:val="0"/>
          <w:numId w:val="6"/>
        </w:numPr>
        <w:rPr>
          <w:b/>
          <w:lang w:val="en-GB"/>
        </w:rPr>
      </w:pPr>
      <w:r w:rsidRPr="00042DBC">
        <w:rPr>
          <w:rStyle w:val="Strong"/>
          <w:rFonts w:cs="Arial"/>
          <w:b w:val="0"/>
          <w:lang w:val="en-GB"/>
        </w:rPr>
        <w:t>X</w:t>
      </w:r>
      <w:r w:rsidRPr="00042DBC">
        <w:rPr>
          <w:rStyle w:val="Strong"/>
          <w:rFonts w:ascii="Cambria Math" w:hAnsi="Cambria Math" w:cs="Cambria Math"/>
          <w:b w:val="0"/>
          <w:lang w:val="en-GB"/>
        </w:rPr>
        <w:t>₁</w:t>
      </w:r>
      <w:r w:rsidRPr="00042DBC">
        <w:rPr>
          <w:rStyle w:val="Strong"/>
          <w:rFonts w:cs="Arial"/>
          <w:b w:val="0"/>
          <w:lang w:val="en-GB"/>
        </w:rPr>
        <w:t xml:space="preserve"> = Working Capital / Total Assets</w:t>
      </w:r>
    </w:p>
    <w:p w14:paraId="6EDAF470" w14:textId="77777777" w:rsidR="005C3AEA" w:rsidRPr="00042DBC" w:rsidRDefault="005C3AEA" w:rsidP="00042DBC">
      <w:pPr>
        <w:pStyle w:val="ListParagraph"/>
        <w:numPr>
          <w:ilvl w:val="0"/>
          <w:numId w:val="6"/>
        </w:numPr>
        <w:rPr>
          <w:b/>
          <w:lang w:val="en-GB"/>
        </w:rPr>
      </w:pPr>
      <w:r w:rsidRPr="00042DBC">
        <w:rPr>
          <w:rStyle w:val="Strong"/>
          <w:rFonts w:cs="Arial"/>
          <w:b w:val="0"/>
          <w:lang w:val="en-GB"/>
        </w:rPr>
        <w:t>X</w:t>
      </w:r>
      <w:r w:rsidRPr="00042DBC">
        <w:rPr>
          <w:rStyle w:val="Strong"/>
          <w:rFonts w:ascii="Cambria Math" w:hAnsi="Cambria Math" w:cs="Cambria Math"/>
          <w:b w:val="0"/>
          <w:lang w:val="en-GB"/>
        </w:rPr>
        <w:t>₂</w:t>
      </w:r>
      <w:r w:rsidRPr="00042DBC">
        <w:rPr>
          <w:rStyle w:val="Strong"/>
          <w:rFonts w:cs="Arial"/>
          <w:b w:val="0"/>
          <w:lang w:val="en-GB"/>
        </w:rPr>
        <w:t xml:space="preserve"> = Retained Earnings / Total Assets</w:t>
      </w:r>
    </w:p>
    <w:p w14:paraId="60E06F83" w14:textId="77777777" w:rsidR="005C3AEA" w:rsidRPr="00042DBC" w:rsidRDefault="005C3AEA" w:rsidP="00042DBC">
      <w:pPr>
        <w:pStyle w:val="ListParagraph"/>
        <w:numPr>
          <w:ilvl w:val="0"/>
          <w:numId w:val="6"/>
        </w:numPr>
        <w:rPr>
          <w:b/>
          <w:lang w:val="en-GB"/>
        </w:rPr>
      </w:pPr>
      <w:r w:rsidRPr="00042DBC">
        <w:rPr>
          <w:rStyle w:val="Strong"/>
          <w:rFonts w:cs="Arial"/>
          <w:b w:val="0"/>
          <w:lang w:val="en-GB"/>
        </w:rPr>
        <w:t>X</w:t>
      </w:r>
      <w:r w:rsidRPr="00042DBC">
        <w:rPr>
          <w:rStyle w:val="Strong"/>
          <w:rFonts w:ascii="Cambria Math" w:hAnsi="Cambria Math" w:cs="Cambria Math"/>
          <w:b w:val="0"/>
          <w:lang w:val="en-GB"/>
        </w:rPr>
        <w:t>₃</w:t>
      </w:r>
      <w:r w:rsidRPr="00042DBC">
        <w:rPr>
          <w:rStyle w:val="Strong"/>
          <w:rFonts w:cs="Arial"/>
          <w:b w:val="0"/>
          <w:lang w:val="en-GB"/>
        </w:rPr>
        <w:t xml:space="preserve"> = EBIT / Total Assets</w:t>
      </w:r>
    </w:p>
    <w:p w14:paraId="1D22D420" w14:textId="77777777" w:rsidR="005C3AEA" w:rsidRPr="00042DBC" w:rsidRDefault="005C3AEA" w:rsidP="00042DBC">
      <w:pPr>
        <w:pStyle w:val="ListParagraph"/>
        <w:numPr>
          <w:ilvl w:val="0"/>
          <w:numId w:val="6"/>
        </w:numPr>
        <w:rPr>
          <w:b/>
          <w:lang w:val="en-GB"/>
        </w:rPr>
      </w:pPr>
      <w:r w:rsidRPr="00042DBC">
        <w:rPr>
          <w:rStyle w:val="Strong"/>
          <w:rFonts w:cs="Arial"/>
          <w:b w:val="0"/>
          <w:lang w:val="en-GB"/>
        </w:rPr>
        <w:t>X</w:t>
      </w:r>
      <w:r w:rsidRPr="00042DBC">
        <w:rPr>
          <w:rStyle w:val="Strong"/>
          <w:rFonts w:ascii="Cambria Math" w:hAnsi="Cambria Math" w:cs="Cambria Math"/>
          <w:b w:val="0"/>
          <w:lang w:val="en-GB"/>
        </w:rPr>
        <w:t>₄</w:t>
      </w:r>
      <w:r w:rsidRPr="00042DBC">
        <w:rPr>
          <w:rStyle w:val="Strong"/>
          <w:rFonts w:cs="Arial"/>
          <w:b w:val="0"/>
          <w:lang w:val="en-GB"/>
        </w:rPr>
        <w:t xml:space="preserve"> = Equity / Total Liabilities</w:t>
      </w:r>
    </w:p>
    <w:p w14:paraId="5C3099CD" w14:textId="77777777" w:rsidR="005C3AEA" w:rsidRPr="00042DBC" w:rsidRDefault="005C3AEA" w:rsidP="00042DBC">
      <w:pPr>
        <w:pStyle w:val="ListParagraph"/>
        <w:numPr>
          <w:ilvl w:val="0"/>
          <w:numId w:val="6"/>
        </w:numPr>
        <w:rPr>
          <w:b/>
          <w:lang w:val="en-GB"/>
        </w:rPr>
      </w:pPr>
      <w:r w:rsidRPr="00042DBC">
        <w:rPr>
          <w:rStyle w:val="Strong"/>
          <w:rFonts w:cs="Arial"/>
          <w:b w:val="0"/>
          <w:lang w:val="en-GB"/>
        </w:rPr>
        <w:t>X</w:t>
      </w:r>
      <w:r w:rsidRPr="00042DBC">
        <w:rPr>
          <w:rStyle w:val="Strong"/>
          <w:rFonts w:ascii="Cambria Math" w:hAnsi="Cambria Math" w:cs="Cambria Math"/>
          <w:b w:val="0"/>
          <w:lang w:val="en-GB"/>
        </w:rPr>
        <w:t>₅</w:t>
      </w:r>
      <w:r w:rsidRPr="00042DBC">
        <w:rPr>
          <w:rStyle w:val="Strong"/>
          <w:rFonts w:cs="Arial"/>
          <w:b w:val="0"/>
          <w:lang w:val="en-GB"/>
        </w:rPr>
        <w:t xml:space="preserve"> = Sales / Total Assets</w:t>
      </w:r>
    </w:p>
    <w:p w14:paraId="4F8946EE" w14:textId="77777777" w:rsidR="00D22597" w:rsidRPr="00095284" w:rsidRDefault="005C3AEA">
      <w:pPr>
        <w:rPr>
          <w:rFonts w:cs="Arial"/>
          <w:i/>
          <w:szCs w:val="24"/>
          <w:lang w:val="en-GB"/>
        </w:rPr>
      </w:pPr>
      <w:r w:rsidRPr="00095284">
        <w:rPr>
          <w:rFonts w:cs="Arial"/>
          <w:i/>
          <w:szCs w:val="24"/>
          <w:lang w:val="en-GB"/>
        </w:rPr>
        <w:t xml:space="preserve">The key ratio calculations for 2024 </w:t>
      </w:r>
    </w:p>
    <w:p w14:paraId="60730328" w14:textId="77777777" w:rsidR="005C3AEA" w:rsidRPr="00095284" w:rsidRDefault="00F60C6E">
      <w:pPr>
        <w:rPr>
          <w:rFonts w:cs="Arial"/>
          <w:szCs w:val="24"/>
          <w:lang w:val="en-GB"/>
        </w:rPr>
      </w:pPr>
      <w:r w:rsidRPr="00095284">
        <w:rPr>
          <w:rFonts w:cs="Arial"/>
          <w:szCs w:val="24"/>
          <w:lang w:val="en-GB"/>
        </w:rPr>
        <w:t>Working capital: 242,494 − 158,291 = 84,203</w:t>
      </w:r>
    </w:p>
    <w:p w14:paraId="374D088C" w14:textId="77777777" w:rsidR="00F60C6E" w:rsidRPr="001D5BF9" w:rsidRDefault="00DC59F4" w:rsidP="001D5BF9">
      <w:pPr>
        <w:rPr>
          <w:rStyle w:val="Strong"/>
          <w:rFonts w:cs="Arial"/>
          <w:szCs w:val="24"/>
          <w:lang w:val="en-GB"/>
        </w:rPr>
      </w:pPr>
      <w:r w:rsidRPr="001D5BF9">
        <w:rPr>
          <w:rFonts w:cs="Arial"/>
          <w:lang w:val="en-GB"/>
        </w:rPr>
        <w:t>X</w:t>
      </w:r>
      <w:r w:rsidRPr="001D5BF9">
        <w:rPr>
          <w:rFonts w:ascii="Cambria Math" w:hAnsi="Cambria Math" w:cs="Cambria Math"/>
          <w:lang w:val="en-GB"/>
        </w:rPr>
        <w:t>₁</w:t>
      </w:r>
      <w:r w:rsidRPr="001D5BF9">
        <w:rPr>
          <w:rFonts w:cs="Arial"/>
          <w:lang w:val="en-GB"/>
        </w:rPr>
        <w:t xml:space="preserve"> = 84,203 / 323,354 = </w:t>
      </w:r>
      <w:r w:rsidRPr="001D5BF9">
        <w:rPr>
          <w:rStyle w:val="Strong"/>
          <w:rFonts w:cs="Arial"/>
          <w:szCs w:val="24"/>
          <w:lang w:val="en-GB"/>
        </w:rPr>
        <w:t>0.26</w:t>
      </w:r>
    </w:p>
    <w:p w14:paraId="214DB5BB" w14:textId="77777777" w:rsidR="00DC59F4" w:rsidRPr="001D5BF9" w:rsidRDefault="00DC59F4" w:rsidP="001D5BF9">
      <w:pPr>
        <w:rPr>
          <w:rStyle w:val="Strong"/>
          <w:rFonts w:cs="Arial"/>
          <w:szCs w:val="24"/>
          <w:lang w:val="en-GB"/>
        </w:rPr>
      </w:pPr>
      <w:r w:rsidRPr="001D5BF9">
        <w:rPr>
          <w:rFonts w:cs="Arial"/>
          <w:lang w:val="en-GB"/>
        </w:rPr>
        <w:t>X</w:t>
      </w:r>
      <w:r w:rsidRPr="001D5BF9">
        <w:rPr>
          <w:rFonts w:ascii="Cambria Math" w:hAnsi="Cambria Math" w:cs="Cambria Math"/>
          <w:lang w:val="en-GB"/>
        </w:rPr>
        <w:t>₂</w:t>
      </w:r>
      <w:r w:rsidRPr="001D5BF9">
        <w:rPr>
          <w:rFonts w:cs="Arial"/>
          <w:lang w:val="en-GB"/>
        </w:rPr>
        <w:t xml:space="preserve"> = 208,431 / 323,354 = </w:t>
      </w:r>
      <w:r w:rsidRPr="001D5BF9">
        <w:rPr>
          <w:rStyle w:val="Strong"/>
          <w:rFonts w:cs="Arial"/>
          <w:szCs w:val="24"/>
          <w:lang w:val="en-GB"/>
        </w:rPr>
        <w:t>0.64</w:t>
      </w:r>
    </w:p>
    <w:p w14:paraId="3D419CBA" w14:textId="77777777" w:rsidR="00DC59F4" w:rsidRPr="001D5BF9" w:rsidRDefault="00DC59F4" w:rsidP="001D5BF9">
      <w:pPr>
        <w:rPr>
          <w:rStyle w:val="Strong"/>
          <w:rFonts w:cs="Arial"/>
          <w:szCs w:val="24"/>
          <w:lang w:val="en-GB"/>
        </w:rPr>
      </w:pPr>
      <w:r w:rsidRPr="001D5BF9">
        <w:rPr>
          <w:rFonts w:cs="Arial"/>
          <w:lang w:val="en-GB"/>
        </w:rPr>
        <w:t xml:space="preserve">EBIT = Operating loss = </w:t>
      </w:r>
      <w:r w:rsidRPr="001D5BF9">
        <w:rPr>
          <w:rStyle w:val="Strong"/>
          <w:rFonts w:cs="Arial"/>
          <w:szCs w:val="24"/>
          <w:lang w:val="en-GB"/>
        </w:rPr>
        <w:t>−15,297</w:t>
      </w:r>
    </w:p>
    <w:p w14:paraId="19266496" w14:textId="77777777" w:rsidR="00DC59F4" w:rsidRPr="001D5BF9" w:rsidRDefault="00DC59F4" w:rsidP="001D5BF9">
      <w:pPr>
        <w:rPr>
          <w:rStyle w:val="Strong"/>
          <w:rFonts w:cs="Arial"/>
          <w:szCs w:val="24"/>
          <w:lang w:val="en-GB"/>
        </w:rPr>
      </w:pPr>
      <w:r w:rsidRPr="001D5BF9">
        <w:rPr>
          <w:rFonts w:cs="Arial"/>
          <w:lang w:val="en-GB"/>
        </w:rPr>
        <w:t>X</w:t>
      </w:r>
      <w:r w:rsidRPr="001D5BF9">
        <w:rPr>
          <w:rFonts w:ascii="Cambria Math" w:hAnsi="Cambria Math" w:cs="Cambria Math"/>
          <w:lang w:val="en-GB"/>
        </w:rPr>
        <w:t>₃</w:t>
      </w:r>
      <w:r w:rsidRPr="001D5BF9">
        <w:rPr>
          <w:rFonts w:cs="Arial"/>
          <w:lang w:val="en-GB"/>
        </w:rPr>
        <w:t xml:space="preserve"> = −15,297 / 323,354 = </w:t>
      </w:r>
      <w:r w:rsidRPr="001D5BF9">
        <w:rPr>
          <w:rStyle w:val="Strong"/>
          <w:rFonts w:cs="Arial"/>
          <w:szCs w:val="24"/>
          <w:lang w:val="en-GB"/>
        </w:rPr>
        <w:t>−0.05</w:t>
      </w:r>
    </w:p>
    <w:p w14:paraId="70EDA03C" w14:textId="77777777" w:rsidR="00DC59F4" w:rsidRPr="001D5BF9" w:rsidRDefault="00DC59F4" w:rsidP="001D5BF9">
      <w:pPr>
        <w:rPr>
          <w:rStyle w:val="Strong"/>
          <w:rFonts w:cs="Arial"/>
          <w:szCs w:val="24"/>
          <w:lang w:val="en-GB"/>
        </w:rPr>
      </w:pPr>
      <w:r w:rsidRPr="001D5BF9">
        <w:rPr>
          <w:rFonts w:cs="Arial"/>
          <w:lang w:val="en-GB"/>
        </w:rPr>
        <w:t>X</w:t>
      </w:r>
      <w:r w:rsidRPr="001D5BF9">
        <w:rPr>
          <w:rFonts w:ascii="Cambria Math" w:hAnsi="Cambria Math" w:cs="Cambria Math"/>
          <w:lang w:val="en-GB"/>
        </w:rPr>
        <w:t>₄</w:t>
      </w:r>
      <w:r w:rsidRPr="001D5BF9">
        <w:rPr>
          <w:rFonts w:cs="Arial"/>
          <w:lang w:val="en-GB"/>
        </w:rPr>
        <w:t xml:space="preserve"> = 153,105 / 170,249 = </w:t>
      </w:r>
      <w:r w:rsidRPr="001D5BF9">
        <w:rPr>
          <w:rStyle w:val="Strong"/>
          <w:rFonts w:cs="Arial"/>
          <w:szCs w:val="24"/>
          <w:lang w:val="en-GB"/>
        </w:rPr>
        <w:t>0.90</w:t>
      </w:r>
    </w:p>
    <w:p w14:paraId="67292484" w14:textId="77777777" w:rsidR="00DC59F4" w:rsidRPr="001D5BF9" w:rsidRDefault="00DC59F4" w:rsidP="001D5BF9">
      <w:pPr>
        <w:rPr>
          <w:rStyle w:val="Strong"/>
          <w:rFonts w:cs="Arial"/>
          <w:szCs w:val="24"/>
          <w:lang w:val="en-GB"/>
        </w:rPr>
      </w:pPr>
      <w:r w:rsidRPr="001D5BF9">
        <w:rPr>
          <w:rFonts w:cs="Arial"/>
          <w:lang w:val="en-GB"/>
        </w:rPr>
        <w:t>X</w:t>
      </w:r>
      <w:r w:rsidRPr="001D5BF9">
        <w:rPr>
          <w:rFonts w:ascii="Cambria Math" w:hAnsi="Cambria Math" w:cs="Cambria Math"/>
          <w:lang w:val="en-GB"/>
        </w:rPr>
        <w:t>₅</w:t>
      </w:r>
      <w:r w:rsidRPr="001D5BF9">
        <w:rPr>
          <w:rFonts w:cs="Arial"/>
          <w:lang w:val="en-GB"/>
        </w:rPr>
        <w:t xml:space="preserve"> = 394,879 / 323,354 = </w:t>
      </w:r>
      <w:r w:rsidRPr="001D5BF9">
        <w:rPr>
          <w:rStyle w:val="Strong"/>
          <w:rFonts w:cs="Arial"/>
          <w:szCs w:val="24"/>
          <w:lang w:val="en-GB"/>
        </w:rPr>
        <w:t>1.22</w:t>
      </w:r>
    </w:p>
    <w:p w14:paraId="306ACC92" w14:textId="77777777" w:rsidR="00DC59F4" w:rsidRPr="00095284" w:rsidRDefault="00DC59F4" w:rsidP="001D5BF9">
      <w:pPr>
        <w:rPr>
          <w:rStyle w:val="Strong"/>
          <w:rFonts w:cs="Arial"/>
          <w:b w:val="0"/>
          <w:szCs w:val="24"/>
          <w:lang w:val="en-GB"/>
        </w:rPr>
      </w:pPr>
      <w:r w:rsidRPr="00095284">
        <w:rPr>
          <w:rStyle w:val="Strong"/>
          <w:rFonts w:cs="Arial"/>
          <w:b w:val="0"/>
          <w:szCs w:val="24"/>
          <w:lang w:val="en-GB"/>
        </w:rPr>
        <w:t>Now Z-Score calculation will be as below:</w:t>
      </w:r>
    </w:p>
    <w:p w14:paraId="0C36D71B" w14:textId="77777777" w:rsidR="00DC59F4" w:rsidRPr="00095284" w:rsidRDefault="00572F34">
      <w:pPr>
        <w:rPr>
          <w:rFonts w:cs="Arial"/>
          <w:szCs w:val="24"/>
          <w:lang w:val="en-GB"/>
        </w:rPr>
      </w:pPr>
      <w:r w:rsidRPr="00095284">
        <w:rPr>
          <w:rFonts w:cs="Arial"/>
          <w:szCs w:val="24"/>
          <w:lang w:val="en-GB"/>
        </w:rPr>
        <w:t>Z = (1.2×0.26) + (1.4×0.64) + (3.3×−0.05) + (0.6×0.90) + (1.0×1.22)</w:t>
      </w:r>
    </w:p>
    <w:p w14:paraId="2EE6E706" w14:textId="77777777" w:rsidR="00572F34" w:rsidRPr="00095284" w:rsidRDefault="00572F34">
      <w:pPr>
        <w:rPr>
          <w:rFonts w:cs="Arial"/>
          <w:szCs w:val="24"/>
          <w:lang w:val="en-GB"/>
        </w:rPr>
      </w:pPr>
      <w:r w:rsidRPr="00095284">
        <w:rPr>
          <w:rFonts w:cs="Arial"/>
          <w:szCs w:val="24"/>
          <w:lang w:val="en-GB"/>
        </w:rPr>
        <w:t>Or, 2.81</w:t>
      </w:r>
    </w:p>
    <w:p w14:paraId="6B399E34" w14:textId="77777777" w:rsidR="00572F34" w:rsidRPr="00095284" w:rsidRDefault="00572F34">
      <w:pPr>
        <w:rPr>
          <w:rFonts w:cs="Arial"/>
          <w:b/>
          <w:i/>
          <w:szCs w:val="24"/>
          <w:lang w:val="en-GB"/>
        </w:rPr>
      </w:pPr>
      <w:r w:rsidRPr="00095284">
        <w:rPr>
          <w:rFonts w:cs="Arial"/>
          <w:b/>
          <w:i/>
          <w:szCs w:val="24"/>
          <w:lang w:val="en-GB"/>
        </w:rPr>
        <w:t xml:space="preserve">Interpretations: </w:t>
      </w:r>
    </w:p>
    <w:p w14:paraId="1C77269B" w14:textId="77777777" w:rsidR="003302FA" w:rsidRPr="00CA523C" w:rsidRDefault="003302FA" w:rsidP="00CA523C">
      <w:pPr>
        <w:pStyle w:val="ListParagraph"/>
        <w:numPr>
          <w:ilvl w:val="0"/>
          <w:numId w:val="7"/>
        </w:numPr>
        <w:rPr>
          <w:b/>
          <w:lang w:val="en-GB"/>
        </w:rPr>
      </w:pPr>
      <w:r w:rsidRPr="00CA523C">
        <w:rPr>
          <w:rStyle w:val="Strong"/>
          <w:rFonts w:cs="Arial"/>
          <w:b w:val="0"/>
          <w:lang w:val="en-GB"/>
        </w:rPr>
        <w:t>Z &gt; 2.99</w:t>
      </w:r>
      <w:r w:rsidRPr="00CA523C">
        <w:rPr>
          <w:b/>
          <w:lang w:val="en-GB"/>
        </w:rPr>
        <w:t xml:space="preserve"> → Safe </w:t>
      </w:r>
      <w:r w:rsidRPr="00CA523C">
        <w:rPr>
          <w:lang w:val="en-GB"/>
        </w:rPr>
        <w:t>zone</w:t>
      </w:r>
    </w:p>
    <w:p w14:paraId="2210C993" w14:textId="77777777" w:rsidR="003302FA" w:rsidRPr="00CA523C" w:rsidRDefault="003302FA" w:rsidP="00CA523C">
      <w:pPr>
        <w:pStyle w:val="ListParagraph"/>
        <w:numPr>
          <w:ilvl w:val="0"/>
          <w:numId w:val="7"/>
        </w:numPr>
        <w:rPr>
          <w:b/>
          <w:lang w:val="en-GB"/>
        </w:rPr>
      </w:pPr>
      <w:r w:rsidRPr="00CA523C">
        <w:rPr>
          <w:rStyle w:val="Strong"/>
          <w:rFonts w:cs="Arial"/>
          <w:b w:val="0"/>
          <w:lang w:val="en-GB"/>
        </w:rPr>
        <w:t>1.81 &lt; Z &lt; 2.99</w:t>
      </w:r>
      <w:r w:rsidRPr="00CA523C">
        <w:rPr>
          <w:b/>
          <w:lang w:val="en-GB"/>
        </w:rPr>
        <w:t xml:space="preserve"> → </w:t>
      </w:r>
      <w:r w:rsidRPr="00CA523C">
        <w:rPr>
          <w:lang w:val="en-GB"/>
        </w:rPr>
        <w:t>Grey zone</w:t>
      </w:r>
    </w:p>
    <w:p w14:paraId="7911C7E4" w14:textId="77777777" w:rsidR="003302FA" w:rsidRPr="00CA523C" w:rsidRDefault="003302FA" w:rsidP="00CA523C">
      <w:pPr>
        <w:pStyle w:val="ListParagraph"/>
        <w:numPr>
          <w:ilvl w:val="0"/>
          <w:numId w:val="7"/>
        </w:numPr>
        <w:rPr>
          <w:lang w:val="en-GB"/>
        </w:rPr>
      </w:pPr>
      <w:r w:rsidRPr="00CA523C">
        <w:rPr>
          <w:rStyle w:val="Strong"/>
          <w:rFonts w:cs="Arial"/>
          <w:b w:val="0"/>
          <w:lang w:val="en-GB"/>
        </w:rPr>
        <w:t>Z &lt; 1.81</w:t>
      </w:r>
      <w:r w:rsidRPr="00CA523C">
        <w:rPr>
          <w:b/>
          <w:lang w:val="en-GB"/>
        </w:rPr>
        <w:t xml:space="preserve"> → </w:t>
      </w:r>
      <w:r w:rsidRPr="00CA523C">
        <w:rPr>
          <w:lang w:val="en-GB"/>
        </w:rPr>
        <w:t>Distress zone</w:t>
      </w:r>
    </w:p>
    <w:p w14:paraId="3A2E7E93" w14:textId="77777777" w:rsidR="00572F34" w:rsidRPr="00095284" w:rsidRDefault="003302FA" w:rsidP="00CA523C">
      <w:pPr>
        <w:rPr>
          <w:lang w:val="en-GB"/>
        </w:rPr>
      </w:pPr>
      <w:r w:rsidRPr="00095284">
        <w:rPr>
          <w:lang w:val="en-GB"/>
        </w:rPr>
        <w:lastRenderedPageBreak/>
        <w:t xml:space="preserve">With having the Z-Score of 2.81, General Electronics is positioned close to the upper boundary of the grey zone, while addressing moderate default risks. As the liquidity and equity remained relatively stronger, the negative operating profitability and declining sales weakness </w:t>
      </w:r>
      <w:r w:rsidR="00FF2DB5" w:rsidRPr="00095284">
        <w:rPr>
          <w:lang w:val="en-GB"/>
        </w:rPr>
        <w:t>firms</w:t>
      </w:r>
      <w:r w:rsidRPr="00095284">
        <w:rPr>
          <w:lang w:val="en-GB"/>
        </w:rPr>
        <w:t xml:space="preserve"> credit profile.   </w:t>
      </w:r>
    </w:p>
    <w:p w14:paraId="24BA93E9" w14:textId="5CD80E54" w:rsidR="009B05A2" w:rsidRPr="00095284" w:rsidRDefault="00095284" w:rsidP="00095284">
      <w:pPr>
        <w:pStyle w:val="Heading1"/>
        <w:rPr>
          <w:lang w:val="en-GB"/>
        </w:rPr>
      </w:pPr>
      <w:bookmarkStart w:id="19" w:name="_Toc216894587"/>
      <w:r w:rsidRPr="00095284">
        <w:rPr>
          <w:lang w:val="en-GB"/>
        </w:rPr>
        <w:t>3</w:t>
      </w:r>
      <w:r w:rsidR="00023AD7" w:rsidRPr="00095284">
        <w:rPr>
          <w:lang w:val="en-GB"/>
        </w:rPr>
        <w:t>. Working Capital Management Analysis</w:t>
      </w:r>
      <w:bookmarkEnd w:id="19"/>
      <w:r w:rsidR="00023AD7" w:rsidRPr="00095284">
        <w:rPr>
          <w:lang w:val="en-GB"/>
        </w:rPr>
        <w:t xml:space="preserve"> </w:t>
      </w:r>
    </w:p>
    <w:p w14:paraId="1FE1A8D0" w14:textId="77777777" w:rsidR="00095284" w:rsidRPr="00095284" w:rsidRDefault="00095284" w:rsidP="00095284">
      <w:pPr>
        <w:pStyle w:val="Heading2"/>
        <w:rPr>
          <w:lang w:val="en-GB"/>
        </w:rPr>
      </w:pPr>
      <w:bookmarkStart w:id="20" w:name="_Toc216894588"/>
      <w:r w:rsidRPr="00095284">
        <w:rPr>
          <w:lang w:val="en-GB"/>
        </w:rPr>
        <w:t>3.1 Cash Operating Cycle</w:t>
      </w:r>
      <w:bookmarkEnd w:id="20"/>
    </w:p>
    <w:p w14:paraId="2F1607C9" w14:textId="49D8376F" w:rsidR="00095284" w:rsidRPr="00095284" w:rsidRDefault="00095284" w:rsidP="00095284">
      <w:pPr>
        <w:rPr>
          <w:rFonts w:cs="Arial"/>
          <w:szCs w:val="24"/>
          <w:lang w:val="en-GB"/>
        </w:rPr>
      </w:pPr>
      <w:r w:rsidRPr="00095284">
        <w:rPr>
          <w:rFonts w:cs="Arial"/>
          <w:szCs w:val="24"/>
          <w:lang w:val="en-GB"/>
        </w:rPr>
        <w:t xml:space="preserve">Cash operating cycle indicates the number of days in which an organization spends cash and the number of days in which it receives revenues from the sales (Ojha </w:t>
      </w:r>
      <w:r w:rsidRPr="00095284">
        <w:rPr>
          <w:rFonts w:cs="Arial"/>
          <w:i/>
          <w:iCs/>
          <w:szCs w:val="24"/>
          <w:lang w:val="en-GB"/>
        </w:rPr>
        <w:t>et al.</w:t>
      </w:r>
      <w:r w:rsidRPr="00095284">
        <w:rPr>
          <w:rFonts w:cs="Arial"/>
          <w:szCs w:val="24"/>
          <w:lang w:val="en-GB"/>
        </w:rPr>
        <w:t xml:space="preserve"> 2021). </w:t>
      </w:r>
      <w:r w:rsidR="007F14AF" w:rsidRPr="007F14AF">
        <w:rPr>
          <w:rFonts w:cs="Arial"/>
          <w:szCs w:val="24"/>
          <w:lang w:val="en-GB"/>
        </w:rPr>
        <w:t>This measure is essential in determining the efficiency or liquidity of the company. A long cycle implies that capital will remain in the form of non-cash assets and may result in insolvency. Management can identify certain issues in ordering, production, or payment collections by examining how many days are taken to convert the resources into cash.</w:t>
      </w:r>
      <w:r w:rsidR="007F14AF">
        <w:rPr>
          <w:rFonts w:cs="Arial"/>
          <w:szCs w:val="24"/>
          <w:lang w:val="en-GB"/>
        </w:rPr>
        <w:t xml:space="preserve"> </w:t>
      </w:r>
    </w:p>
    <w:p w14:paraId="7B3563C9" w14:textId="77777777" w:rsidR="00095284" w:rsidRPr="00095284" w:rsidRDefault="00095284" w:rsidP="00095284">
      <w:pPr>
        <w:rPr>
          <w:rFonts w:cs="Arial"/>
          <w:b/>
          <w:bCs/>
          <w:i/>
          <w:iCs/>
          <w:szCs w:val="24"/>
          <w:lang w:val="en-GB"/>
        </w:rPr>
      </w:pPr>
      <w:r w:rsidRPr="00095284">
        <w:rPr>
          <w:rFonts w:cs="Arial"/>
          <w:b/>
          <w:bCs/>
          <w:i/>
          <w:iCs/>
          <w:szCs w:val="24"/>
          <w:lang w:val="en-GB"/>
        </w:rPr>
        <w:t>Formula,</w:t>
      </w:r>
    </w:p>
    <w:p w14:paraId="4A4217F2" w14:textId="77777777" w:rsidR="00095284" w:rsidRPr="00095284" w:rsidRDefault="00095284" w:rsidP="00095284">
      <w:pPr>
        <w:rPr>
          <w:rFonts w:cs="Arial"/>
          <w:szCs w:val="24"/>
          <w:lang w:val="en-GB"/>
        </w:rPr>
      </w:pPr>
      <w:r w:rsidRPr="00095284">
        <w:rPr>
          <w:rFonts w:cs="Arial"/>
          <w:szCs w:val="24"/>
          <w:lang w:val="en-GB"/>
        </w:rPr>
        <w:t xml:space="preserve">Cash Operating Cycle = Days Inventory Outstanding (DIO) + Days Sales Outstanding (DSO) - Days Payables Outstanding (DPO) </w:t>
      </w:r>
    </w:p>
    <w:p w14:paraId="649D778D" w14:textId="77777777" w:rsidR="00095284" w:rsidRPr="00095284" w:rsidRDefault="00095284" w:rsidP="00095284">
      <w:pPr>
        <w:rPr>
          <w:rFonts w:cs="Arial"/>
          <w:szCs w:val="24"/>
          <w:lang w:val="en-GB"/>
        </w:rPr>
      </w:pPr>
      <w:r w:rsidRPr="00095284">
        <w:rPr>
          <w:rFonts w:cs="Arial"/>
          <w:b/>
          <w:bCs/>
          <w:szCs w:val="24"/>
          <w:lang w:val="en-GB"/>
        </w:rPr>
        <w:t>DIO</w:t>
      </w:r>
      <w:r w:rsidRPr="00095284">
        <w:rPr>
          <w:rFonts w:cs="Arial"/>
          <w:szCs w:val="24"/>
          <w:lang w:val="en-GB"/>
        </w:rPr>
        <w:t xml:space="preserve">= (Average inventory ÷ Cost of sales) × 365 Days </w:t>
      </w:r>
    </w:p>
    <w:p w14:paraId="080057DC" w14:textId="77777777" w:rsidR="00095284" w:rsidRPr="00095284" w:rsidRDefault="00095284" w:rsidP="00095284">
      <w:pPr>
        <w:rPr>
          <w:rFonts w:cs="Arial"/>
          <w:szCs w:val="24"/>
          <w:lang w:val="en-GB"/>
        </w:rPr>
      </w:pPr>
      <w:r w:rsidRPr="00095284">
        <w:rPr>
          <w:rFonts w:cs="Arial"/>
          <w:szCs w:val="24"/>
          <w:lang w:val="en-GB"/>
        </w:rPr>
        <w:t xml:space="preserve">= [{(88,273 + 79,355)/2} ÷ 280,885] × 365 </w:t>
      </w:r>
    </w:p>
    <w:p w14:paraId="10373B29" w14:textId="77777777" w:rsidR="00095284" w:rsidRPr="00095284" w:rsidRDefault="00095284" w:rsidP="00095284">
      <w:pPr>
        <w:rPr>
          <w:rFonts w:cs="Arial"/>
          <w:szCs w:val="24"/>
          <w:lang w:val="en-GB"/>
        </w:rPr>
      </w:pPr>
      <w:r w:rsidRPr="00095284">
        <w:rPr>
          <w:rFonts w:cs="Arial"/>
          <w:szCs w:val="24"/>
          <w:lang w:val="en-GB"/>
        </w:rPr>
        <w:t>= (83,814÷ 280,885) × 365</w:t>
      </w:r>
    </w:p>
    <w:p w14:paraId="31E55C20" w14:textId="77777777" w:rsidR="00095284" w:rsidRPr="00095284" w:rsidRDefault="00095284" w:rsidP="00095284">
      <w:pPr>
        <w:rPr>
          <w:rFonts w:cs="Arial"/>
          <w:szCs w:val="24"/>
          <w:lang w:val="en-GB"/>
        </w:rPr>
      </w:pPr>
      <w:r w:rsidRPr="00095284">
        <w:rPr>
          <w:rFonts w:cs="Arial"/>
          <w:szCs w:val="24"/>
          <w:lang w:val="en-GB"/>
        </w:rPr>
        <w:t xml:space="preserve">= 108.91 </w:t>
      </w:r>
    </w:p>
    <w:p w14:paraId="470C155C" w14:textId="77777777" w:rsidR="00095284" w:rsidRPr="00095284" w:rsidRDefault="00095284" w:rsidP="00095284">
      <w:pPr>
        <w:rPr>
          <w:rFonts w:cs="Arial"/>
          <w:szCs w:val="24"/>
          <w:lang w:val="en-GB"/>
        </w:rPr>
      </w:pPr>
      <w:r w:rsidRPr="00095284">
        <w:rPr>
          <w:rFonts w:cs="Arial"/>
          <w:b/>
          <w:bCs/>
          <w:szCs w:val="24"/>
          <w:lang w:val="en-GB"/>
        </w:rPr>
        <w:t>DSO</w:t>
      </w:r>
      <w:r w:rsidRPr="00095284">
        <w:rPr>
          <w:rFonts w:cs="Arial"/>
          <w:szCs w:val="24"/>
          <w:lang w:val="en-GB"/>
        </w:rPr>
        <w:t xml:space="preserve">= (Trade Receivables ÷ Revenue) × 365 Days </w:t>
      </w:r>
    </w:p>
    <w:p w14:paraId="359C4D2E" w14:textId="77777777" w:rsidR="00095284" w:rsidRPr="00095284" w:rsidRDefault="00095284" w:rsidP="00095284">
      <w:pPr>
        <w:rPr>
          <w:rFonts w:cs="Arial"/>
          <w:szCs w:val="24"/>
          <w:lang w:val="en-GB"/>
        </w:rPr>
      </w:pPr>
      <w:r w:rsidRPr="00095284">
        <w:rPr>
          <w:rFonts w:cs="Arial"/>
          <w:szCs w:val="24"/>
          <w:lang w:val="en-GB"/>
        </w:rPr>
        <w:t xml:space="preserve">= (114,182 ÷ 394,879) × 365 </w:t>
      </w:r>
    </w:p>
    <w:p w14:paraId="4849A09F" w14:textId="77777777" w:rsidR="00095284" w:rsidRPr="00095284" w:rsidRDefault="00095284" w:rsidP="00095284">
      <w:pPr>
        <w:rPr>
          <w:rFonts w:cs="Arial"/>
          <w:szCs w:val="24"/>
          <w:lang w:val="en-GB"/>
        </w:rPr>
      </w:pPr>
      <w:r w:rsidRPr="00095284">
        <w:rPr>
          <w:rFonts w:cs="Arial"/>
          <w:szCs w:val="24"/>
          <w:lang w:val="en-GB"/>
        </w:rPr>
        <w:t>= 105.54</w:t>
      </w:r>
    </w:p>
    <w:p w14:paraId="4BA3D578" w14:textId="77777777" w:rsidR="00095284" w:rsidRPr="00095284" w:rsidRDefault="00095284" w:rsidP="00095284">
      <w:pPr>
        <w:rPr>
          <w:rFonts w:cs="Arial"/>
          <w:szCs w:val="24"/>
          <w:lang w:val="en-GB"/>
        </w:rPr>
      </w:pPr>
      <w:r w:rsidRPr="00095284">
        <w:rPr>
          <w:rFonts w:cs="Arial"/>
          <w:b/>
          <w:bCs/>
          <w:szCs w:val="24"/>
          <w:lang w:val="en-GB"/>
        </w:rPr>
        <w:t>DPO</w:t>
      </w:r>
      <w:r w:rsidRPr="00095284">
        <w:rPr>
          <w:rFonts w:cs="Arial"/>
          <w:szCs w:val="24"/>
          <w:lang w:val="en-GB"/>
        </w:rPr>
        <w:t xml:space="preserve">= (Trade Payables ÷ Cost of Sales) × 365 Days </w:t>
      </w:r>
    </w:p>
    <w:p w14:paraId="67413109" w14:textId="77777777" w:rsidR="00095284" w:rsidRPr="00095284" w:rsidRDefault="00095284" w:rsidP="00095284">
      <w:pPr>
        <w:rPr>
          <w:rFonts w:cs="Arial"/>
          <w:szCs w:val="24"/>
          <w:lang w:val="en-GB"/>
        </w:rPr>
      </w:pPr>
      <w:r w:rsidRPr="00095284">
        <w:rPr>
          <w:rFonts w:cs="Arial"/>
          <w:szCs w:val="24"/>
          <w:lang w:val="en-GB"/>
        </w:rPr>
        <w:t xml:space="preserve">= (72,031÷ 280,885) × 365  </w:t>
      </w:r>
    </w:p>
    <w:p w14:paraId="4B031B4F" w14:textId="77777777" w:rsidR="00095284" w:rsidRPr="00095284" w:rsidRDefault="00095284" w:rsidP="00095284">
      <w:pPr>
        <w:rPr>
          <w:rFonts w:cs="Arial"/>
          <w:szCs w:val="24"/>
          <w:lang w:val="en-GB"/>
        </w:rPr>
      </w:pPr>
      <w:r w:rsidRPr="00095284">
        <w:rPr>
          <w:rFonts w:cs="Arial"/>
          <w:szCs w:val="24"/>
          <w:lang w:val="en-GB"/>
        </w:rPr>
        <w:t xml:space="preserve">= 93.60 </w:t>
      </w:r>
    </w:p>
    <w:p w14:paraId="513B74E6" w14:textId="77777777" w:rsidR="00095284" w:rsidRPr="00095284" w:rsidRDefault="00095284" w:rsidP="00095284">
      <w:pPr>
        <w:rPr>
          <w:rFonts w:cs="Arial"/>
          <w:b/>
          <w:bCs/>
          <w:i/>
          <w:iCs/>
          <w:szCs w:val="24"/>
          <w:lang w:val="en-GB"/>
        </w:rPr>
      </w:pPr>
      <w:r w:rsidRPr="00095284">
        <w:rPr>
          <w:rFonts w:cs="Arial"/>
          <w:b/>
          <w:bCs/>
          <w:i/>
          <w:iCs/>
          <w:szCs w:val="24"/>
          <w:lang w:val="en-GB"/>
        </w:rPr>
        <w:t xml:space="preserve">So, Cash Operating Cycle  </w:t>
      </w:r>
    </w:p>
    <w:p w14:paraId="7100752B" w14:textId="77777777" w:rsidR="00095284" w:rsidRPr="00095284" w:rsidRDefault="00095284" w:rsidP="00095284">
      <w:pPr>
        <w:rPr>
          <w:rFonts w:cs="Arial"/>
          <w:szCs w:val="24"/>
          <w:lang w:val="en-GB"/>
        </w:rPr>
      </w:pPr>
      <w:r w:rsidRPr="00095284">
        <w:rPr>
          <w:rFonts w:cs="Arial"/>
          <w:szCs w:val="24"/>
          <w:lang w:val="en-GB"/>
        </w:rPr>
        <w:t>= DSO + DIO – DPO</w:t>
      </w:r>
    </w:p>
    <w:p w14:paraId="399BD5C0" w14:textId="77777777" w:rsidR="00095284" w:rsidRPr="00095284" w:rsidRDefault="00095284" w:rsidP="00095284">
      <w:pPr>
        <w:rPr>
          <w:rFonts w:cs="Arial"/>
          <w:szCs w:val="24"/>
          <w:lang w:val="en-GB"/>
        </w:rPr>
      </w:pPr>
      <w:r w:rsidRPr="00095284">
        <w:rPr>
          <w:rFonts w:cs="Arial"/>
          <w:szCs w:val="24"/>
          <w:lang w:val="en-GB"/>
        </w:rPr>
        <w:lastRenderedPageBreak/>
        <w:t xml:space="preserve">= (108.91 + 105.54) - 93.60  </w:t>
      </w:r>
    </w:p>
    <w:p w14:paraId="2A640C94" w14:textId="77777777" w:rsidR="00095284" w:rsidRPr="00095284" w:rsidRDefault="00095284" w:rsidP="00095284">
      <w:pPr>
        <w:rPr>
          <w:rFonts w:cs="Arial"/>
          <w:szCs w:val="24"/>
          <w:lang w:val="en-GB"/>
        </w:rPr>
      </w:pPr>
      <w:r w:rsidRPr="00095284">
        <w:rPr>
          <w:rFonts w:cs="Arial"/>
          <w:szCs w:val="24"/>
          <w:lang w:val="en-GB"/>
        </w:rPr>
        <w:t xml:space="preserve">= 120.85 </w:t>
      </w:r>
    </w:p>
    <w:p w14:paraId="5B435DD5" w14:textId="77777777" w:rsidR="00095284" w:rsidRPr="00095284" w:rsidRDefault="00095284" w:rsidP="00095284">
      <w:pPr>
        <w:rPr>
          <w:rFonts w:cs="Arial"/>
          <w:szCs w:val="24"/>
          <w:lang w:val="en-GB"/>
        </w:rPr>
      </w:pPr>
      <w:r w:rsidRPr="00095284">
        <w:rPr>
          <w:rFonts w:cs="Arial"/>
          <w:szCs w:val="24"/>
          <w:lang w:val="en-GB"/>
        </w:rPr>
        <w:t xml:space="preserve">General Electronics has liquidity issues as the cycle stands at 120.85 days. The company maintains an inventory of almost 109 days, and its outstanding days receivable is almost 106 days, which forms almost a four-month gap. Due to this delay issue, the company needs to depend on external funding, whereby credits need to be frequently used to cover the working capital deficit. </w:t>
      </w:r>
    </w:p>
    <w:p w14:paraId="72BDDED2" w14:textId="20D8098A" w:rsidR="0001270F" w:rsidRPr="00095284" w:rsidRDefault="00095284" w:rsidP="00095284">
      <w:pPr>
        <w:pStyle w:val="Heading2"/>
        <w:rPr>
          <w:lang w:val="en-GB"/>
        </w:rPr>
      </w:pPr>
      <w:bookmarkStart w:id="21" w:name="_Toc216894589"/>
      <w:r w:rsidRPr="00095284">
        <w:rPr>
          <w:lang w:val="en-GB"/>
        </w:rPr>
        <w:t>3</w:t>
      </w:r>
      <w:r w:rsidR="0082127A" w:rsidRPr="00095284">
        <w:rPr>
          <w:lang w:val="en-GB"/>
        </w:rPr>
        <w:t>.2 Recommending strategies to improve liquidity through working capital reforms</w:t>
      </w:r>
      <w:bookmarkEnd w:id="21"/>
      <w:r w:rsidR="0082127A" w:rsidRPr="00095284">
        <w:rPr>
          <w:lang w:val="en-GB"/>
        </w:rPr>
        <w:t xml:space="preserve">  </w:t>
      </w:r>
    </w:p>
    <w:p w14:paraId="791A1BB7" w14:textId="77777777" w:rsidR="00C3527E" w:rsidRPr="00095284" w:rsidRDefault="00863C37" w:rsidP="0001270F">
      <w:pPr>
        <w:rPr>
          <w:rFonts w:cs="Arial"/>
          <w:szCs w:val="24"/>
          <w:lang w:val="en-GB"/>
        </w:rPr>
      </w:pPr>
      <w:r w:rsidRPr="00095284">
        <w:rPr>
          <w:rFonts w:cs="Arial"/>
          <w:szCs w:val="24"/>
          <w:lang w:val="en-GB"/>
        </w:rPr>
        <w:t xml:space="preserve">As being newly appointed as the CFO of the General electronics, the improvement of the liquidity needs to be treated as an immediate survival priority besides long-term optimization goals. The businesses’ financial statement can address tightening cash positions, while the declining operating profitability and inefficient working capital utilizations. </w:t>
      </w:r>
    </w:p>
    <w:p w14:paraId="79A63E61" w14:textId="77777777" w:rsidR="00C3527E" w:rsidRPr="00095284" w:rsidRDefault="00C3527E" w:rsidP="0001270F">
      <w:pPr>
        <w:rPr>
          <w:rFonts w:cs="Arial"/>
          <w:b/>
          <w:i/>
          <w:szCs w:val="24"/>
          <w:lang w:val="en-GB"/>
        </w:rPr>
      </w:pPr>
      <w:r w:rsidRPr="00095284">
        <w:rPr>
          <w:rFonts w:cs="Arial"/>
          <w:b/>
          <w:i/>
          <w:szCs w:val="24"/>
          <w:lang w:val="en-GB"/>
        </w:rPr>
        <w:t>Strengthening receivables management</w:t>
      </w:r>
    </w:p>
    <w:p w14:paraId="79B3F5A9" w14:textId="77777777" w:rsidR="00DA7CBF" w:rsidRPr="00095284" w:rsidRDefault="00843B7C" w:rsidP="0001270F">
      <w:pPr>
        <w:rPr>
          <w:rFonts w:cs="Arial"/>
          <w:szCs w:val="24"/>
          <w:lang w:val="en-GB"/>
        </w:rPr>
      </w:pPr>
      <w:r w:rsidRPr="00095284">
        <w:rPr>
          <w:rFonts w:cs="Arial"/>
          <w:szCs w:val="24"/>
          <w:lang w:val="en-GB"/>
        </w:rPr>
        <w:t xml:space="preserve">The accounts receivables remained disproportionately higher (which is </w:t>
      </w:r>
      <w:r w:rsidR="004A120F" w:rsidRPr="00095284">
        <w:rPr>
          <w:rFonts w:cs="Arial"/>
          <w:szCs w:val="24"/>
          <w:lang w:val="en-GB"/>
        </w:rPr>
        <w:t>£114.2bn in 2024</w:t>
      </w:r>
      <w:r w:rsidRPr="00095284">
        <w:rPr>
          <w:rFonts w:cs="Arial"/>
          <w:szCs w:val="24"/>
          <w:lang w:val="en-GB"/>
        </w:rPr>
        <w:t>)</w:t>
      </w:r>
      <w:r w:rsidR="004A120F" w:rsidRPr="00095284">
        <w:rPr>
          <w:rFonts w:cs="Arial"/>
          <w:szCs w:val="24"/>
          <w:lang w:val="en-GB"/>
        </w:rPr>
        <w:t xml:space="preserve"> despite of the failing sales, that addresses weaker credit control and slowed collections. The organization need to introduce strict customer credit policies, including the credit scoring, revised payment terms by regions and </w:t>
      </w:r>
      <w:r w:rsidR="00E55E61" w:rsidRPr="00095284">
        <w:rPr>
          <w:rFonts w:cs="Arial"/>
          <w:szCs w:val="24"/>
          <w:lang w:val="en-GB"/>
        </w:rPr>
        <w:t xml:space="preserve">tighter approval </w:t>
      </w:r>
      <w:r w:rsidR="008A412A" w:rsidRPr="00095284">
        <w:rPr>
          <w:rFonts w:cs="Arial"/>
          <w:szCs w:val="24"/>
          <w:lang w:val="en-GB"/>
        </w:rPr>
        <w:t>of the thresholds for the high-risk international distributors</w:t>
      </w:r>
      <w:r w:rsidR="00DA4DD9" w:rsidRPr="00095284">
        <w:rPr>
          <w:rFonts w:cs="Arial"/>
          <w:szCs w:val="24"/>
          <w:lang w:val="en-GB"/>
        </w:rPr>
        <w:t xml:space="preserve"> (Deloitte, 2024)</w:t>
      </w:r>
      <w:r w:rsidR="008A412A" w:rsidRPr="00095284">
        <w:rPr>
          <w:rFonts w:cs="Arial"/>
          <w:szCs w:val="24"/>
          <w:lang w:val="en-GB"/>
        </w:rPr>
        <w:t xml:space="preserve">. At the same time, early-payment incentives and expanded use of the factoring and receivables financing accords the emerging markets can accelerate the cash inflows without </w:t>
      </w:r>
      <w:r w:rsidR="00201F34" w:rsidRPr="00095284">
        <w:rPr>
          <w:rFonts w:cs="Arial"/>
          <w:szCs w:val="24"/>
          <w:lang w:val="en-GB"/>
        </w:rPr>
        <w:t xml:space="preserve">increasing the leverage. </w:t>
      </w:r>
    </w:p>
    <w:p w14:paraId="07E4604A" w14:textId="77777777" w:rsidR="0082127A" w:rsidRPr="00095284" w:rsidRDefault="006F4B66" w:rsidP="0001270F">
      <w:pPr>
        <w:rPr>
          <w:rFonts w:cs="Arial"/>
          <w:b/>
          <w:i/>
          <w:szCs w:val="24"/>
          <w:lang w:val="en-GB"/>
        </w:rPr>
      </w:pPr>
      <w:r w:rsidRPr="00095284">
        <w:rPr>
          <w:rFonts w:cs="Arial"/>
          <w:b/>
          <w:i/>
          <w:szCs w:val="24"/>
          <w:lang w:val="en-GB"/>
        </w:rPr>
        <w:t>Optimizing the payables without causing damage to the supplier relations</w:t>
      </w:r>
    </w:p>
    <w:p w14:paraId="5F4EAF27" w14:textId="77777777" w:rsidR="00683515" w:rsidRPr="00095284" w:rsidRDefault="003C039E" w:rsidP="0001270F">
      <w:pPr>
        <w:rPr>
          <w:rFonts w:cs="Arial"/>
          <w:szCs w:val="24"/>
          <w:lang w:val="en-GB"/>
        </w:rPr>
      </w:pPr>
      <w:r w:rsidRPr="00095284">
        <w:rPr>
          <w:rFonts w:cs="Arial"/>
          <w:szCs w:val="24"/>
          <w:lang w:val="en-GB"/>
        </w:rPr>
        <w:t xml:space="preserve">The accounts payable has declined the relatively to the earlier years, while reducing the natural financing benefit from the suppliers. The general electronics need to renegotiate the longer terms of payment with having strategic suppliers, specially focusing on the large </w:t>
      </w:r>
      <w:r w:rsidR="00CF498B" w:rsidRPr="00095284">
        <w:rPr>
          <w:rFonts w:cs="Arial"/>
          <w:szCs w:val="24"/>
          <w:lang w:val="en-GB"/>
        </w:rPr>
        <w:t xml:space="preserve">payment terms with stronger balance sheets. At the same time, </w:t>
      </w:r>
      <w:r w:rsidR="00683515" w:rsidRPr="00095284">
        <w:rPr>
          <w:rFonts w:cs="Arial"/>
          <w:szCs w:val="24"/>
          <w:lang w:val="en-GB"/>
        </w:rPr>
        <w:t>supply-chain finance programmes can be introduced which can allow the suppliers to receive the early payment through firm-perceived cash flows</w:t>
      </w:r>
      <w:r w:rsidR="00DA4DD9" w:rsidRPr="00095284">
        <w:rPr>
          <w:rFonts w:cs="Arial"/>
          <w:szCs w:val="24"/>
          <w:lang w:val="en-GB"/>
        </w:rPr>
        <w:t xml:space="preserve"> (Gopalan, 2025)</w:t>
      </w:r>
      <w:r w:rsidR="00683515" w:rsidRPr="00095284">
        <w:rPr>
          <w:rFonts w:cs="Arial"/>
          <w:szCs w:val="24"/>
          <w:lang w:val="en-GB"/>
        </w:rPr>
        <w:t xml:space="preserve">. </w:t>
      </w:r>
    </w:p>
    <w:p w14:paraId="68A254D1" w14:textId="77777777" w:rsidR="005F28A6" w:rsidRPr="00095284" w:rsidRDefault="005F28A6" w:rsidP="0001270F">
      <w:pPr>
        <w:rPr>
          <w:rFonts w:cs="Arial"/>
          <w:b/>
          <w:i/>
          <w:szCs w:val="24"/>
          <w:lang w:val="en-GB"/>
        </w:rPr>
      </w:pPr>
      <w:r w:rsidRPr="00095284">
        <w:rPr>
          <w:rFonts w:cs="Arial"/>
          <w:b/>
          <w:i/>
          <w:szCs w:val="24"/>
          <w:lang w:val="en-GB"/>
        </w:rPr>
        <w:t>Enforcing cash disciplines and centralized treasury controls</w:t>
      </w:r>
    </w:p>
    <w:p w14:paraId="369CB41D" w14:textId="17F8FE8F" w:rsidR="006F4B66" w:rsidRPr="00095284" w:rsidRDefault="005C6A9D" w:rsidP="0001270F">
      <w:pPr>
        <w:rPr>
          <w:rFonts w:cs="Arial"/>
          <w:szCs w:val="24"/>
          <w:lang w:val="en-GB"/>
        </w:rPr>
      </w:pPr>
      <w:r w:rsidRPr="00095284">
        <w:rPr>
          <w:rFonts w:cs="Arial"/>
          <w:szCs w:val="24"/>
          <w:lang w:val="en-GB"/>
        </w:rPr>
        <w:lastRenderedPageBreak/>
        <w:t xml:space="preserve">The liquidity erosion has been compounded by the inconsistent and regional cash practices. The business </w:t>
      </w:r>
      <w:r w:rsidR="00240FA4" w:rsidRPr="00095284">
        <w:rPr>
          <w:rFonts w:cs="Arial"/>
          <w:szCs w:val="24"/>
          <w:lang w:val="en-GB"/>
        </w:rPr>
        <w:t>needs</w:t>
      </w:r>
      <w:r w:rsidRPr="00095284">
        <w:rPr>
          <w:rFonts w:cs="Arial"/>
          <w:szCs w:val="24"/>
          <w:lang w:val="en-GB"/>
        </w:rPr>
        <w:t xml:space="preserve"> to apply centralized global treasury functions, while consolidating the cash visibility across subsidiaries.    </w:t>
      </w:r>
      <w:r w:rsidR="00683515" w:rsidRPr="00095284">
        <w:rPr>
          <w:rFonts w:cs="Arial"/>
          <w:szCs w:val="24"/>
          <w:lang w:val="en-GB"/>
        </w:rPr>
        <w:t xml:space="preserve">     </w:t>
      </w:r>
    </w:p>
    <w:p w14:paraId="34B67C60" w14:textId="6BFC88AD" w:rsidR="00E85E75" w:rsidRPr="00095284" w:rsidRDefault="00095284" w:rsidP="00095284">
      <w:pPr>
        <w:pStyle w:val="Heading2"/>
        <w:rPr>
          <w:lang w:val="en-GB"/>
        </w:rPr>
      </w:pPr>
      <w:bookmarkStart w:id="22" w:name="_Toc216894590"/>
      <w:r w:rsidRPr="00095284">
        <w:rPr>
          <w:lang w:val="en-GB"/>
        </w:rPr>
        <w:t>3</w:t>
      </w:r>
      <w:r w:rsidR="00E85E75" w:rsidRPr="00095284">
        <w:rPr>
          <w:lang w:val="en-GB"/>
        </w:rPr>
        <w:t>.3 Comparing short-term Vs long-term financing options</w:t>
      </w:r>
      <w:bookmarkEnd w:id="22"/>
      <w:r w:rsidR="00E85E75" w:rsidRPr="00095284">
        <w:rPr>
          <w:lang w:val="en-GB"/>
        </w:rPr>
        <w:t xml:space="preserve"> </w:t>
      </w:r>
    </w:p>
    <w:p w14:paraId="57CE3F6C" w14:textId="77777777" w:rsidR="000E21D8" w:rsidRPr="00095284" w:rsidRDefault="00A10C8A" w:rsidP="0001270F">
      <w:pPr>
        <w:rPr>
          <w:rFonts w:cs="Arial"/>
          <w:szCs w:val="24"/>
          <w:lang w:val="en-GB"/>
        </w:rPr>
      </w:pPr>
      <w:r w:rsidRPr="00095284">
        <w:rPr>
          <w:rFonts w:cs="Arial"/>
          <w:szCs w:val="24"/>
          <w:lang w:val="en-GB"/>
        </w:rPr>
        <w:t xml:space="preserve">For the general electronics, </w:t>
      </w:r>
      <w:r w:rsidR="00C65447" w:rsidRPr="00095284">
        <w:rPr>
          <w:rFonts w:cs="Arial"/>
          <w:szCs w:val="24"/>
          <w:lang w:val="en-GB"/>
        </w:rPr>
        <w:t>both</w:t>
      </w:r>
      <w:r w:rsidRPr="00095284">
        <w:rPr>
          <w:rFonts w:cs="Arial"/>
          <w:szCs w:val="24"/>
          <w:lang w:val="en-GB"/>
        </w:rPr>
        <w:t xml:space="preserve"> the </w:t>
      </w:r>
      <w:r w:rsidR="00C65447" w:rsidRPr="00095284">
        <w:rPr>
          <w:rFonts w:cs="Arial"/>
          <w:szCs w:val="24"/>
          <w:lang w:val="en-GB"/>
        </w:rPr>
        <w:t xml:space="preserve">short-term and long-term financing options plays a distinct role </w:t>
      </w:r>
      <w:r w:rsidR="000E21D8" w:rsidRPr="00095284">
        <w:rPr>
          <w:rFonts w:cs="Arial"/>
          <w:szCs w:val="24"/>
          <w:lang w:val="en-GB"/>
        </w:rPr>
        <w:t>in terms of stabilizing the liquidity and supporting turnaround objectives:</w:t>
      </w:r>
    </w:p>
    <w:p w14:paraId="1E63F631" w14:textId="77777777" w:rsidR="00E85E75" w:rsidRPr="00095284" w:rsidRDefault="00336952" w:rsidP="0001270F">
      <w:pPr>
        <w:rPr>
          <w:rFonts w:cs="Arial"/>
          <w:szCs w:val="24"/>
          <w:lang w:val="en-GB"/>
        </w:rPr>
      </w:pPr>
      <w:r w:rsidRPr="00095284">
        <w:rPr>
          <w:rFonts w:cs="Arial"/>
          <w:szCs w:val="24"/>
          <w:lang w:val="en-GB"/>
        </w:rPr>
        <w:t xml:space="preserve">The short-term financing such as; lines of credit, overdrafts, trade credit is used for funding the working capital needs, including; inventory purchases and receivables gaps. This firm has relied heavily on the sources, with having the lines of credit is at £36.96m in 2024. Flexible and </w:t>
      </w:r>
      <w:r w:rsidR="00857972" w:rsidRPr="00095284">
        <w:rPr>
          <w:rFonts w:cs="Arial"/>
          <w:szCs w:val="24"/>
          <w:lang w:val="en-GB"/>
        </w:rPr>
        <w:t>relatively quicker access, including; short-term finance carriers the higher refinancing risk exposures to volatility of interest rates</w:t>
      </w:r>
      <w:r w:rsidR="00DA4DD9" w:rsidRPr="00095284">
        <w:rPr>
          <w:rFonts w:cs="Arial"/>
          <w:szCs w:val="24"/>
          <w:lang w:val="en-GB"/>
        </w:rPr>
        <w:t xml:space="preserve"> (</w:t>
      </w:r>
      <w:proofErr w:type="spellStart"/>
      <w:r w:rsidR="00DA4DD9" w:rsidRPr="00095284">
        <w:rPr>
          <w:rFonts w:cs="Arial"/>
          <w:szCs w:val="24"/>
          <w:lang w:val="en-GB"/>
        </w:rPr>
        <w:t>Totuka</w:t>
      </w:r>
      <w:proofErr w:type="spellEnd"/>
      <w:r w:rsidR="00DA4DD9" w:rsidRPr="00095284">
        <w:rPr>
          <w:rFonts w:cs="Arial"/>
          <w:szCs w:val="24"/>
          <w:lang w:val="en-GB"/>
        </w:rPr>
        <w:t>, 2025)</w:t>
      </w:r>
      <w:r w:rsidR="00857972" w:rsidRPr="00095284">
        <w:rPr>
          <w:rFonts w:cs="Arial"/>
          <w:szCs w:val="24"/>
          <w:lang w:val="en-GB"/>
        </w:rPr>
        <w:t xml:space="preserve">. </w:t>
      </w:r>
      <w:r w:rsidRPr="00095284">
        <w:rPr>
          <w:rFonts w:cs="Arial"/>
          <w:szCs w:val="24"/>
          <w:lang w:val="en-GB"/>
        </w:rPr>
        <w:t xml:space="preserve">   </w:t>
      </w:r>
      <w:r w:rsidR="000E21D8" w:rsidRPr="00095284">
        <w:rPr>
          <w:rFonts w:cs="Arial"/>
          <w:szCs w:val="24"/>
          <w:lang w:val="en-GB"/>
        </w:rPr>
        <w:t xml:space="preserve">  </w:t>
      </w:r>
      <w:r w:rsidR="00C65447" w:rsidRPr="00095284">
        <w:rPr>
          <w:rFonts w:cs="Arial"/>
          <w:szCs w:val="24"/>
          <w:lang w:val="en-GB"/>
        </w:rPr>
        <w:t xml:space="preserve">   </w:t>
      </w:r>
    </w:p>
    <w:p w14:paraId="7BE8751D" w14:textId="5E7611F1" w:rsidR="007215B7" w:rsidRPr="00095284" w:rsidRDefault="00E57FF7" w:rsidP="0001270F">
      <w:pPr>
        <w:rPr>
          <w:rFonts w:cs="Arial"/>
          <w:szCs w:val="24"/>
          <w:lang w:val="en-GB"/>
        </w:rPr>
      </w:pPr>
      <w:r w:rsidRPr="00095284">
        <w:rPr>
          <w:rFonts w:cs="Arial"/>
          <w:szCs w:val="24"/>
          <w:lang w:val="en-GB"/>
        </w:rPr>
        <w:t>In contrast to that, long-term financing options such as; term loans, bonds, lease obligations, equity issuance supports the structural recovery and capital investment. Regarding the General Electronics, refinancing a specific part of the short-term debt into the long-term instruments can make an alignment with asset lives, improvement of liquidity ratios and reduction of the default risks during turnaround phases.</w:t>
      </w:r>
    </w:p>
    <w:p w14:paraId="6607024A" w14:textId="77777777" w:rsidR="00095284" w:rsidRPr="00095284" w:rsidRDefault="00095284" w:rsidP="00095284">
      <w:pPr>
        <w:pStyle w:val="Heading1"/>
        <w:rPr>
          <w:lang w:val="en-GB"/>
        </w:rPr>
      </w:pPr>
      <w:bookmarkStart w:id="23" w:name="_Toc216894591"/>
      <w:r w:rsidRPr="00095284">
        <w:rPr>
          <w:lang w:val="en-GB"/>
        </w:rPr>
        <w:t>4. Strategic Financial Restructuring Plan</w:t>
      </w:r>
      <w:bookmarkEnd w:id="23"/>
      <w:r w:rsidRPr="00095284">
        <w:rPr>
          <w:lang w:val="en-GB"/>
        </w:rPr>
        <w:t xml:space="preserve"> </w:t>
      </w:r>
    </w:p>
    <w:p w14:paraId="35EFBF41" w14:textId="77777777" w:rsidR="00095284" w:rsidRPr="00095284" w:rsidRDefault="00095284" w:rsidP="00095284">
      <w:pPr>
        <w:pStyle w:val="Heading2"/>
        <w:rPr>
          <w:lang w:val="en-GB"/>
        </w:rPr>
      </w:pPr>
      <w:bookmarkStart w:id="24" w:name="_iq0hrlfsin6w" w:colFirst="0" w:colLast="0"/>
      <w:bookmarkStart w:id="25" w:name="_Toc216894592"/>
      <w:bookmarkEnd w:id="24"/>
      <w:r w:rsidRPr="00095284">
        <w:rPr>
          <w:lang w:val="en-GB"/>
        </w:rPr>
        <w:t>4.1 Recommendation of Financial Restructuring Options</w:t>
      </w:r>
      <w:bookmarkEnd w:id="25"/>
    </w:p>
    <w:p w14:paraId="4988E971" w14:textId="77777777" w:rsidR="00095284" w:rsidRPr="00095284" w:rsidRDefault="00095284" w:rsidP="00095284">
      <w:pPr>
        <w:rPr>
          <w:rFonts w:cs="Arial"/>
          <w:szCs w:val="24"/>
          <w:lang w:val="en-GB"/>
        </w:rPr>
      </w:pPr>
      <w:r w:rsidRPr="00095284">
        <w:rPr>
          <w:rFonts w:cs="Arial"/>
          <w:szCs w:val="24"/>
          <w:lang w:val="en-GB"/>
        </w:rPr>
        <w:t xml:space="preserve">General Electronics suffers from poor performance, and to heal the declining revenue under financial scrutiny, there is a need for an extensive reorganisation strategy. The goal is to stabilise the balance sheet, reduce debt and focus attention on the most profitable aspects of the business. </w:t>
      </w:r>
    </w:p>
    <w:p w14:paraId="2470832C" w14:textId="77777777" w:rsidR="00095284" w:rsidRPr="00095284" w:rsidRDefault="00095284" w:rsidP="00095284">
      <w:pPr>
        <w:rPr>
          <w:rFonts w:cs="Arial"/>
          <w:szCs w:val="24"/>
          <w:lang w:val="en-GB"/>
        </w:rPr>
      </w:pPr>
      <w:r w:rsidRPr="00095284">
        <w:rPr>
          <w:rFonts w:cs="Arial"/>
          <w:b/>
          <w:bCs/>
          <w:i/>
          <w:iCs/>
          <w:szCs w:val="24"/>
          <w:lang w:val="en-GB"/>
        </w:rPr>
        <w:t xml:space="preserve">Divestiture: </w:t>
      </w:r>
      <w:r w:rsidRPr="00095284">
        <w:rPr>
          <w:rFonts w:cs="Arial"/>
          <w:szCs w:val="24"/>
          <w:lang w:val="en-GB"/>
        </w:rPr>
        <w:t xml:space="preserve">Divestitures are changes of a company that reduce the company's size by dividing it by selling or disposing of one or more businesses, subsidiaries, or divisions (Feldman, 2021).  In the case of General Electronics, the primary aim of divestiture is to release cash that is linked to underperforming units. It will also enable the company to solve its liquidity issue by selling non-core assets to get cash within a short period instead of raising debt. Such an action of asset stripping allows the management to streamline the company structure and focus on the divisions that achieve the highest growth rates. Also, the net effect of selling these assets is </w:t>
      </w:r>
      <w:r w:rsidRPr="00095284">
        <w:rPr>
          <w:rFonts w:cs="Arial"/>
          <w:szCs w:val="24"/>
          <w:lang w:val="en-GB"/>
        </w:rPr>
        <w:lastRenderedPageBreak/>
        <w:t>decreasing the operating costs and depreciation of the assets, which can immediately increase the net profit margin. The money may also be used to pay off existing debts that have caused the cash cycle of the company to extend.</w:t>
      </w:r>
    </w:p>
    <w:p w14:paraId="0B64F0C6" w14:textId="77777777" w:rsidR="00095284" w:rsidRPr="00095284" w:rsidRDefault="00095284" w:rsidP="00095284">
      <w:pPr>
        <w:rPr>
          <w:rFonts w:cs="Arial"/>
          <w:szCs w:val="24"/>
          <w:lang w:val="en-GB"/>
        </w:rPr>
      </w:pPr>
      <w:r w:rsidRPr="00095284">
        <w:rPr>
          <w:rFonts w:cs="Arial"/>
          <w:b/>
          <w:bCs/>
          <w:i/>
          <w:iCs/>
          <w:szCs w:val="24"/>
          <w:lang w:val="en-GB"/>
        </w:rPr>
        <w:t>Merger:</w:t>
      </w:r>
      <w:r w:rsidRPr="00095284">
        <w:rPr>
          <w:rFonts w:cs="Arial"/>
          <w:szCs w:val="24"/>
          <w:lang w:val="en-GB"/>
        </w:rPr>
        <w:t xml:space="preserve"> Mergers and acquisitions occur when two or more companies combine, through one of them acquiring the other one, merging, or forming a third company (Umar, 2023). A merger may be the saviour of a struggling firm. Through collaborating with a more powerful company, General Electronics can attain economies of scale, reducing the cost per unit by producing more goods. A merger also provides the availability of new markets or customer groups that would be unreachable due to a small marketing budget. Mergers also assist one company in becoming innovative and embark on the process of becoming an active innovator (Rogova, Kirichenko and Lebedeva, 2023). Combining R&amp;D in the electronics sector may accelerate product development and reduce expenses since innovation occurs at a low rate. Collaboration will restore the market trust and provide the firm with a technology edge that it has lost over the past five years. </w:t>
      </w:r>
    </w:p>
    <w:p w14:paraId="3A75A1D7" w14:textId="77777777" w:rsidR="00095284" w:rsidRDefault="00095284" w:rsidP="00095284">
      <w:pPr>
        <w:rPr>
          <w:rFonts w:cs="Arial"/>
          <w:szCs w:val="24"/>
          <w:lang w:val="en-GB"/>
        </w:rPr>
      </w:pPr>
      <w:r w:rsidRPr="00095284">
        <w:rPr>
          <w:rFonts w:cs="Arial"/>
          <w:b/>
          <w:bCs/>
          <w:i/>
          <w:iCs/>
          <w:szCs w:val="24"/>
          <w:lang w:val="en-GB"/>
        </w:rPr>
        <w:t xml:space="preserve">Equity Injection: </w:t>
      </w:r>
      <w:r w:rsidRPr="00095284">
        <w:rPr>
          <w:rFonts w:cs="Arial"/>
          <w:szCs w:val="24"/>
          <w:lang w:val="en-GB"/>
        </w:rPr>
        <w:t>Equity injection implies the raising of funds by offering new stocks to existing shareholders or acquiring them through the presence of private equity firms. In equity issuances, lenders tend to scrutinise them less thoroughly (Wall Street Prep, 2024).</w:t>
      </w:r>
      <w:r w:rsidRPr="00095284">
        <w:rPr>
          <w:rFonts w:cs="Arial"/>
          <w:color w:val="FF0000"/>
          <w:szCs w:val="24"/>
          <w:lang w:val="en-GB"/>
        </w:rPr>
        <w:t xml:space="preserve"> </w:t>
      </w:r>
      <w:r w:rsidRPr="00095284">
        <w:rPr>
          <w:rFonts w:cs="Arial"/>
          <w:szCs w:val="24"/>
          <w:lang w:val="en-GB"/>
        </w:rPr>
        <w:t xml:space="preserve">Equity does not require frequent interest payments compared to a loan, and this is of extreme importance to a company such as General Electronics, where cash flow is an issue. An increased level of equity in the capital of the firm reduces the level of gearing, hence creating an impression to the lenders and credit rating agencies that the firm is less risky. A high amount of equity injection provides a permanent capital base which help the company to investment in projects. </w:t>
      </w:r>
    </w:p>
    <w:p w14:paraId="788AAEC6" w14:textId="464A8146" w:rsidR="00240FA4" w:rsidRPr="00095284" w:rsidRDefault="00240FA4" w:rsidP="00095284">
      <w:pPr>
        <w:rPr>
          <w:rFonts w:cs="Arial"/>
          <w:szCs w:val="24"/>
          <w:lang w:val="en-GB"/>
        </w:rPr>
      </w:pPr>
      <w:r w:rsidRPr="00240FA4">
        <w:rPr>
          <w:rFonts w:cs="Arial"/>
          <w:szCs w:val="24"/>
          <w:lang w:val="en-GB"/>
        </w:rPr>
        <w:t xml:space="preserve">General Electronics should restructure its business through selling parts that are not performing well, merging with the stronger companies, and bringing in more equity. </w:t>
      </w:r>
    </w:p>
    <w:p w14:paraId="4DCE7AA3" w14:textId="77777777" w:rsidR="00095284" w:rsidRPr="00095284" w:rsidRDefault="00095284" w:rsidP="00095284">
      <w:pPr>
        <w:pStyle w:val="Heading2"/>
        <w:rPr>
          <w:lang w:val="en-GB"/>
        </w:rPr>
      </w:pPr>
      <w:bookmarkStart w:id="26" w:name="_vyr865uq0t5y" w:colFirst="0" w:colLast="0"/>
      <w:bookmarkStart w:id="27" w:name="_Toc216894593"/>
      <w:bookmarkEnd w:id="26"/>
      <w:r w:rsidRPr="00095284">
        <w:rPr>
          <w:lang w:val="en-GB"/>
        </w:rPr>
        <w:t>4.2 Impact of restructuring on shareholder value, debt structure, and operational flexibility</w:t>
      </w:r>
      <w:bookmarkEnd w:id="27"/>
    </w:p>
    <w:p w14:paraId="0543AEA3" w14:textId="77777777" w:rsidR="00095284" w:rsidRPr="00095284" w:rsidRDefault="00095284" w:rsidP="00095284">
      <w:pPr>
        <w:rPr>
          <w:rFonts w:cs="Arial"/>
          <w:szCs w:val="24"/>
          <w:lang w:val="en-GB"/>
        </w:rPr>
      </w:pPr>
      <w:r w:rsidRPr="00095284">
        <w:rPr>
          <w:rFonts w:cs="Arial"/>
          <w:szCs w:val="24"/>
          <w:lang w:val="en-GB"/>
        </w:rPr>
        <w:t xml:space="preserve">The future reorganisation will alter the financial outlook of General Electronics, impacting numerous stakeholders and internal processes. </w:t>
      </w:r>
    </w:p>
    <w:p w14:paraId="108F5A84" w14:textId="77777777" w:rsidR="00095284" w:rsidRPr="00095284" w:rsidRDefault="00095284" w:rsidP="00095284">
      <w:pPr>
        <w:rPr>
          <w:rFonts w:cs="Arial"/>
          <w:szCs w:val="24"/>
          <w:lang w:val="en-GB"/>
        </w:rPr>
      </w:pPr>
      <w:r w:rsidRPr="00095284">
        <w:rPr>
          <w:rFonts w:cs="Arial"/>
          <w:b/>
          <w:bCs/>
          <w:i/>
          <w:iCs/>
          <w:szCs w:val="24"/>
          <w:lang w:val="en-GB"/>
        </w:rPr>
        <w:t xml:space="preserve">Impact on Shareholders: </w:t>
      </w:r>
      <w:r w:rsidRPr="00095284">
        <w:rPr>
          <w:rFonts w:cs="Arial"/>
          <w:szCs w:val="24"/>
          <w:lang w:val="en-GB"/>
        </w:rPr>
        <w:t xml:space="preserve">Dilution may occur in the short run, as new shares may be issued, and this would reduce the earnings per share in the short term. Existing </w:t>
      </w:r>
      <w:r w:rsidRPr="00095284">
        <w:rPr>
          <w:rFonts w:cs="Arial"/>
          <w:szCs w:val="24"/>
          <w:lang w:val="en-GB"/>
        </w:rPr>
        <w:lastRenderedPageBreak/>
        <w:t xml:space="preserve">shareholders may even experience a decrease in the share of their ownership, yet the new capital may still prove beneficial (Wall Street Prep, 2024). However, the primary purpose of restructuring is to ensure that the company pulls out of bankruptcy before all its value has disappeared. The plan is expected to re-establish the company as a going concern, on which its stock price can be re-established. With an increase in profits as a result of selling the portions of the business and accruing synergies, the company's market value is expected to be higher. </w:t>
      </w:r>
    </w:p>
    <w:p w14:paraId="66902F60" w14:textId="77777777" w:rsidR="00095284" w:rsidRPr="00095284" w:rsidRDefault="00095284" w:rsidP="00095284">
      <w:pPr>
        <w:rPr>
          <w:rFonts w:cs="Arial"/>
          <w:szCs w:val="24"/>
          <w:lang w:val="en-GB"/>
        </w:rPr>
      </w:pPr>
      <w:r w:rsidRPr="00095284">
        <w:rPr>
          <w:rFonts w:cs="Arial"/>
          <w:b/>
          <w:bCs/>
          <w:i/>
          <w:iCs/>
          <w:szCs w:val="24"/>
          <w:lang w:val="en-GB"/>
        </w:rPr>
        <w:t>Debt Structure:</w:t>
      </w:r>
      <w:r w:rsidRPr="00095284">
        <w:rPr>
          <w:rFonts w:cs="Arial"/>
          <w:szCs w:val="24"/>
          <w:lang w:val="en-GB"/>
        </w:rPr>
        <w:t xml:space="preserve"> Financial restructuring refers to altering the monetary component of a balance sheet, which can include settling of debt and repurchasing shares (Singhal, 2023). General Electronics now encumbers itself with an enormous burden of debt, which consumes cash in interest payments. The strategy will minimise debt in the balance sheet. The transition to a less debt-intensive, more equity-based structure reduces the likelihood of a financial crisis. A better debt-to-equity ratio also allows the company to receive better terms when it requires returning to borrowing, since lenders are less likely to see it as a high-risk default. </w:t>
      </w:r>
    </w:p>
    <w:p w14:paraId="44766345" w14:textId="77777777" w:rsidR="00095284" w:rsidRPr="00095284" w:rsidRDefault="00095284" w:rsidP="00095284">
      <w:pPr>
        <w:jc w:val="center"/>
        <w:rPr>
          <w:rFonts w:cs="Arial"/>
          <w:szCs w:val="24"/>
          <w:lang w:val="en-GB"/>
        </w:rPr>
      </w:pPr>
      <w:r w:rsidRPr="00095284">
        <w:rPr>
          <w:rFonts w:cs="Arial"/>
          <w:noProof/>
          <w:szCs w:val="24"/>
          <w:lang w:val="en-GB"/>
        </w:rPr>
        <w:drawing>
          <wp:inline distT="114300" distB="114300" distL="114300" distR="114300" wp14:anchorId="302C139C" wp14:editId="221A7E66">
            <wp:extent cx="3877190" cy="4405313"/>
            <wp:effectExtent l="76200" t="76200" r="142875" b="128905"/>
            <wp:docPr id="297738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877190" cy="44053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CB2F67" w14:textId="77777777" w:rsidR="00095284" w:rsidRPr="00095284" w:rsidRDefault="00095284" w:rsidP="00095284">
      <w:pPr>
        <w:pStyle w:val="Heading5"/>
      </w:pPr>
      <w:bookmarkStart w:id="28" w:name="_Toc216892003"/>
      <w:r w:rsidRPr="00095284">
        <w:lastRenderedPageBreak/>
        <w:t>Figure 1: Business Restructuring Model</w:t>
      </w:r>
      <w:bookmarkEnd w:id="28"/>
    </w:p>
    <w:p w14:paraId="69E63405" w14:textId="77777777" w:rsidR="00095284" w:rsidRPr="00095284" w:rsidRDefault="00095284" w:rsidP="00095284">
      <w:pPr>
        <w:jc w:val="center"/>
        <w:rPr>
          <w:rFonts w:cs="Arial"/>
          <w:szCs w:val="24"/>
          <w:lang w:val="en-GB"/>
        </w:rPr>
      </w:pPr>
      <w:r w:rsidRPr="00095284">
        <w:rPr>
          <w:rFonts w:cs="Arial"/>
          <w:szCs w:val="24"/>
          <w:lang w:val="en-GB"/>
        </w:rPr>
        <w:t xml:space="preserve"> (Source: </w:t>
      </w:r>
      <w:proofErr w:type="spellStart"/>
      <w:r w:rsidRPr="00095284">
        <w:rPr>
          <w:rFonts w:cs="Arial"/>
          <w:szCs w:val="24"/>
          <w:lang w:val="en-GB"/>
        </w:rPr>
        <w:t>Mavlutova</w:t>
      </w:r>
      <w:proofErr w:type="spellEnd"/>
      <w:r w:rsidRPr="00095284">
        <w:rPr>
          <w:rFonts w:cs="Arial"/>
          <w:szCs w:val="24"/>
          <w:lang w:val="en-GB"/>
        </w:rPr>
        <w:t xml:space="preserve"> </w:t>
      </w:r>
      <w:r w:rsidRPr="00095284">
        <w:rPr>
          <w:rFonts w:cs="Arial"/>
          <w:i/>
          <w:iCs/>
          <w:szCs w:val="24"/>
          <w:lang w:val="en-GB"/>
        </w:rPr>
        <w:t xml:space="preserve">et al. </w:t>
      </w:r>
      <w:r w:rsidRPr="00095284">
        <w:rPr>
          <w:rFonts w:cs="Arial"/>
          <w:szCs w:val="24"/>
          <w:lang w:val="en-GB"/>
        </w:rPr>
        <w:t>2021)</w:t>
      </w:r>
    </w:p>
    <w:p w14:paraId="3F668719" w14:textId="77777777" w:rsidR="00095284" w:rsidRDefault="00095284" w:rsidP="00095284">
      <w:pPr>
        <w:rPr>
          <w:rFonts w:cs="Arial"/>
          <w:szCs w:val="24"/>
          <w:lang w:val="en-GB"/>
        </w:rPr>
      </w:pPr>
      <w:r w:rsidRPr="00095284">
        <w:rPr>
          <w:rFonts w:cs="Arial"/>
          <w:b/>
          <w:bCs/>
          <w:i/>
          <w:iCs/>
          <w:szCs w:val="24"/>
          <w:lang w:val="en-GB"/>
        </w:rPr>
        <w:t>Operational Flexibility</w:t>
      </w:r>
      <w:r w:rsidRPr="00095284">
        <w:rPr>
          <w:rFonts w:cs="Arial"/>
          <w:szCs w:val="24"/>
          <w:lang w:val="en-GB"/>
        </w:rPr>
        <w:t>: Restructuring may enhance the finances and improve day-to-day operations of a company, and the identification of synergies is one of the major purposes of such operations (</w:t>
      </w:r>
      <w:proofErr w:type="spellStart"/>
      <w:r w:rsidRPr="00095284">
        <w:rPr>
          <w:rFonts w:cs="Arial"/>
          <w:szCs w:val="24"/>
          <w:lang w:val="en-GB"/>
        </w:rPr>
        <w:t>Mavlutova</w:t>
      </w:r>
      <w:proofErr w:type="spellEnd"/>
      <w:r w:rsidRPr="00095284">
        <w:rPr>
          <w:rFonts w:cs="Arial"/>
          <w:szCs w:val="24"/>
          <w:lang w:val="en-GB"/>
        </w:rPr>
        <w:t xml:space="preserve"> </w:t>
      </w:r>
      <w:r w:rsidRPr="006F76CA">
        <w:rPr>
          <w:rFonts w:cs="Arial"/>
          <w:i/>
          <w:iCs/>
          <w:szCs w:val="24"/>
          <w:lang w:val="en-GB"/>
        </w:rPr>
        <w:t>et al.</w:t>
      </w:r>
      <w:r w:rsidRPr="00095284">
        <w:rPr>
          <w:rFonts w:cs="Arial"/>
          <w:szCs w:val="24"/>
          <w:lang w:val="en-GB"/>
        </w:rPr>
        <w:t xml:space="preserve"> 2021).</w:t>
      </w:r>
      <w:r w:rsidRPr="00095284">
        <w:rPr>
          <w:rFonts w:cs="Arial"/>
          <w:color w:val="FF0000"/>
          <w:szCs w:val="24"/>
          <w:lang w:val="en-GB"/>
        </w:rPr>
        <w:t xml:space="preserve"> </w:t>
      </w:r>
      <w:r w:rsidRPr="00095284">
        <w:rPr>
          <w:rFonts w:cs="Arial"/>
          <w:szCs w:val="24"/>
          <w:lang w:val="en-GB"/>
        </w:rPr>
        <w:t xml:space="preserve">Management can alter strategy, venture into new markets, or invest in new technology by putting cash in and reducing debt limits. Increased flexibility of operation also allows the company to maintain a larger safety stock or provide better credit to the clients, which might resolve issues identified in the cash flow. </w:t>
      </w:r>
    </w:p>
    <w:p w14:paraId="7997F78A" w14:textId="4E133347" w:rsidR="007F14AF" w:rsidRPr="00095284" w:rsidRDefault="007F14AF" w:rsidP="00095284">
      <w:pPr>
        <w:rPr>
          <w:rFonts w:cs="Arial"/>
          <w:szCs w:val="24"/>
          <w:lang w:val="en-GB"/>
        </w:rPr>
      </w:pPr>
      <w:r w:rsidRPr="007F14AF">
        <w:rPr>
          <w:rFonts w:cs="Arial"/>
          <w:szCs w:val="24"/>
          <w:lang w:val="en-GB"/>
        </w:rPr>
        <w:t>Restructuring of the company will stabilize the General Electronics by reducing debt and enhancing debt to equity ratio. Dilution may cause</w:t>
      </w:r>
      <w:r>
        <w:rPr>
          <w:rFonts w:cs="Arial"/>
          <w:szCs w:val="24"/>
          <w:lang w:val="en-GB"/>
        </w:rPr>
        <w:t xml:space="preserve"> issues in</w:t>
      </w:r>
      <w:r w:rsidRPr="007F14AF">
        <w:rPr>
          <w:rFonts w:cs="Arial"/>
          <w:szCs w:val="24"/>
          <w:lang w:val="en-GB"/>
        </w:rPr>
        <w:t xml:space="preserve"> shareholders </w:t>
      </w:r>
      <w:r>
        <w:rPr>
          <w:rFonts w:cs="Arial"/>
          <w:szCs w:val="24"/>
          <w:lang w:val="en-GB"/>
        </w:rPr>
        <w:t>ownership</w:t>
      </w:r>
      <w:r w:rsidRPr="007F14AF">
        <w:rPr>
          <w:rFonts w:cs="Arial"/>
          <w:szCs w:val="24"/>
          <w:lang w:val="en-GB"/>
        </w:rPr>
        <w:t xml:space="preserve">, but the transition </w:t>
      </w:r>
      <w:r>
        <w:rPr>
          <w:rFonts w:cs="Arial"/>
          <w:szCs w:val="24"/>
          <w:lang w:val="en-GB"/>
        </w:rPr>
        <w:t xml:space="preserve">will </w:t>
      </w:r>
      <w:r w:rsidR="00240FA4" w:rsidRPr="007F14AF">
        <w:rPr>
          <w:rFonts w:cs="Arial"/>
          <w:szCs w:val="24"/>
          <w:lang w:val="en-GB"/>
        </w:rPr>
        <w:t>safeguard</w:t>
      </w:r>
      <w:r w:rsidRPr="007F14AF">
        <w:rPr>
          <w:rFonts w:cs="Arial"/>
          <w:szCs w:val="24"/>
          <w:lang w:val="en-GB"/>
        </w:rPr>
        <w:t xml:space="preserve"> long-term market values.</w:t>
      </w:r>
      <w:r w:rsidR="00240FA4">
        <w:rPr>
          <w:rFonts w:cs="Arial"/>
          <w:szCs w:val="24"/>
          <w:lang w:val="en-GB"/>
        </w:rPr>
        <w:t xml:space="preserve"> </w:t>
      </w:r>
      <w:r w:rsidR="00240FA4" w:rsidRPr="00240FA4">
        <w:rPr>
          <w:rFonts w:cs="Arial"/>
          <w:szCs w:val="24"/>
          <w:lang w:val="en-GB"/>
        </w:rPr>
        <w:t>Increased liquidity also allows the management to be more flexible in investing in new technology and getting larger credit conditions, which in turn will resolve the cash flow issues of the company.</w:t>
      </w:r>
      <w:r w:rsidR="00240FA4">
        <w:rPr>
          <w:rFonts w:cs="Arial"/>
          <w:szCs w:val="24"/>
          <w:lang w:val="en-GB"/>
        </w:rPr>
        <w:t xml:space="preserve"> </w:t>
      </w:r>
    </w:p>
    <w:p w14:paraId="5B599768" w14:textId="77777777" w:rsidR="00095284" w:rsidRPr="00095284" w:rsidRDefault="00095284" w:rsidP="00095284">
      <w:pPr>
        <w:pStyle w:val="Heading2"/>
        <w:rPr>
          <w:lang w:val="en-GB"/>
        </w:rPr>
      </w:pPr>
      <w:bookmarkStart w:id="29" w:name="_umpxfl40vv1u" w:colFirst="0" w:colLast="0"/>
      <w:bookmarkEnd w:id="29"/>
      <w:r w:rsidRPr="00095284">
        <w:rPr>
          <w:lang w:val="en-GB"/>
        </w:rPr>
        <w:t xml:space="preserve"> </w:t>
      </w:r>
      <w:bookmarkStart w:id="30" w:name="_Toc216894594"/>
      <w:r w:rsidRPr="00095284">
        <w:rPr>
          <w:lang w:val="en-GB"/>
        </w:rPr>
        <w:t>4.3 International and Ethical Considerations</w:t>
      </w:r>
      <w:bookmarkEnd w:id="30"/>
      <w:r w:rsidRPr="00095284">
        <w:rPr>
          <w:lang w:val="en-GB"/>
        </w:rPr>
        <w:t xml:space="preserve"> </w:t>
      </w:r>
    </w:p>
    <w:p w14:paraId="17125C02" w14:textId="77777777" w:rsidR="00095284" w:rsidRPr="00095284" w:rsidRDefault="00095284" w:rsidP="00095284">
      <w:pPr>
        <w:rPr>
          <w:rFonts w:cs="Arial"/>
          <w:szCs w:val="24"/>
          <w:lang w:val="en-GB"/>
        </w:rPr>
      </w:pPr>
      <w:r w:rsidRPr="00095284">
        <w:rPr>
          <w:rFonts w:cs="Arial"/>
          <w:szCs w:val="24"/>
          <w:lang w:val="en-GB"/>
        </w:rPr>
        <w:t xml:space="preserve">General Electronics, being an international firm, should ensure that all restructuring initiatives comply legally and maintain ethical standards across all nations. </w:t>
      </w:r>
    </w:p>
    <w:p w14:paraId="3660696E" w14:textId="77777777" w:rsidR="00095284" w:rsidRPr="00095284" w:rsidRDefault="00095284" w:rsidP="00095284">
      <w:pPr>
        <w:rPr>
          <w:rFonts w:cs="Arial"/>
          <w:szCs w:val="24"/>
          <w:lang w:val="en-GB"/>
        </w:rPr>
      </w:pPr>
      <w:r w:rsidRPr="00095284">
        <w:rPr>
          <w:rFonts w:cs="Arial"/>
          <w:b/>
          <w:bCs/>
          <w:i/>
          <w:iCs/>
          <w:szCs w:val="24"/>
          <w:lang w:val="en-GB"/>
        </w:rPr>
        <w:t>International Considerations</w:t>
      </w:r>
      <w:r w:rsidRPr="00095284">
        <w:rPr>
          <w:rFonts w:cs="Arial"/>
          <w:szCs w:val="24"/>
          <w:lang w:val="en-GB"/>
        </w:rPr>
        <w:t xml:space="preserve"> </w:t>
      </w:r>
    </w:p>
    <w:p w14:paraId="2BB97D59" w14:textId="77777777" w:rsidR="00095284" w:rsidRPr="00095284" w:rsidRDefault="00095284" w:rsidP="00095284">
      <w:pPr>
        <w:rPr>
          <w:rFonts w:cs="Arial"/>
          <w:szCs w:val="24"/>
          <w:lang w:val="en-GB"/>
        </w:rPr>
      </w:pPr>
      <w:r w:rsidRPr="00095284">
        <w:rPr>
          <w:rFonts w:cs="Arial"/>
          <w:szCs w:val="24"/>
          <w:lang w:val="en-GB"/>
        </w:rPr>
        <w:t xml:space="preserve">The restructuring also involves moves across borders. Such as when a subsidiary located in Europe is sold, the funds have to be converted back to the home currency. Exchange rate fluctuations can damage the innovation and productivity of a firm when companies involve various combinations of parts of global supply chains (Alfaro, Calani and Varela, 2024). Capital-gain taxes grow is an important tax regulation when selling assets (Gov.UK, 2025). The business ought to adhere to the regulations to ensure things are effective during the restructuring process. </w:t>
      </w:r>
    </w:p>
    <w:p w14:paraId="060A97C0" w14:textId="77777777" w:rsidR="00095284" w:rsidRPr="00095284" w:rsidRDefault="00095284" w:rsidP="00095284">
      <w:pPr>
        <w:rPr>
          <w:rFonts w:cs="Arial"/>
          <w:szCs w:val="24"/>
          <w:lang w:val="en-GB"/>
        </w:rPr>
      </w:pPr>
      <w:r w:rsidRPr="00095284">
        <w:rPr>
          <w:rFonts w:cs="Arial"/>
          <w:b/>
          <w:bCs/>
          <w:i/>
          <w:iCs/>
          <w:szCs w:val="24"/>
          <w:lang w:val="en-GB"/>
        </w:rPr>
        <w:t>Ethical Considerations</w:t>
      </w:r>
    </w:p>
    <w:p w14:paraId="5F6C611D" w14:textId="77777777" w:rsidR="00095284" w:rsidRPr="00095284" w:rsidRDefault="00095284" w:rsidP="00095284">
      <w:pPr>
        <w:rPr>
          <w:rFonts w:cs="Arial"/>
          <w:color w:val="EE0000"/>
          <w:szCs w:val="24"/>
          <w:lang w:val="en-GB"/>
        </w:rPr>
      </w:pPr>
      <w:r w:rsidRPr="00095284">
        <w:rPr>
          <w:rFonts w:cs="Arial"/>
          <w:szCs w:val="24"/>
          <w:lang w:val="en-GB"/>
        </w:rPr>
        <w:t xml:space="preserve">Downsizing may be as a result of restructuring. Downsizing implies that the workforce need be reduced to operate more efficiently (Mwangi and </w:t>
      </w:r>
      <w:proofErr w:type="spellStart"/>
      <w:r w:rsidRPr="00095284">
        <w:rPr>
          <w:rFonts w:cs="Arial"/>
          <w:szCs w:val="24"/>
          <w:lang w:val="en-GB"/>
        </w:rPr>
        <w:t>Jagongo</w:t>
      </w:r>
      <w:proofErr w:type="spellEnd"/>
      <w:r w:rsidRPr="00095284">
        <w:rPr>
          <w:rFonts w:cs="Arial"/>
          <w:szCs w:val="24"/>
          <w:lang w:val="en-GB"/>
        </w:rPr>
        <w:t>, 2021).</w:t>
      </w:r>
      <w:r w:rsidRPr="00095284">
        <w:rPr>
          <w:rFonts w:cs="Arial"/>
          <w:color w:val="EE0000"/>
          <w:szCs w:val="24"/>
          <w:lang w:val="en-GB"/>
        </w:rPr>
        <w:t xml:space="preserve"> </w:t>
      </w:r>
      <w:r w:rsidRPr="00095284">
        <w:rPr>
          <w:rFonts w:cs="Arial"/>
          <w:szCs w:val="24"/>
          <w:lang w:val="en-GB"/>
        </w:rPr>
        <w:t xml:space="preserve">company has some ethical obligations to its employees. This will include the provision of reasonable packages, outplacement services and effective communication. ESG </w:t>
      </w:r>
      <w:r w:rsidRPr="00095284">
        <w:rPr>
          <w:rFonts w:cs="Arial"/>
          <w:szCs w:val="24"/>
          <w:lang w:val="en-GB"/>
        </w:rPr>
        <w:lastRenderedPageBreak/>
        <w:t>reporting refers to the disclosure of the performance of the company on environmental, social, and governance issues (</w:t>
      </w:r>
      <w:proofErr w:type="spellStart"/>
      <w:r w:rsidRPr="00095284">
        <w:rPr>
          <w:rFonts w:cs="Arial"/>
          <w:szCs w:val="24"/>
          <w:lang w:val="en-GB"/>
        </w:rPr>
        <w:t>Agbakwuru</w:t>
      </w:r>
      <w:proofErr w:type="spellEnd"/>
      <w:r w:rsidRPr="00095284">
        <w:rPr>
          <w:rFonts w:cs="Arial"/>
          <w:szCs w:val="24"/>
          <w:lang w:val="en-GB"/>
        </w:rPr>
        <w:t xml:space="preserve"> </w:t>
      </w:r>
      <w:r w:rsidRPr="00095284">
        <w:rPr>
          <w:rFonts w:cs="Arial"/>
          <w:i/>
          <w:iCs/>
          <w:szCs w:val="24"/>
          <w:lang w:val="en-GB"/>
        </w:rPr>
        <w:t>et al</w:t>
      </w:r>
      <w:r w:rsidRPr="00095284">
        <w:rPr>
          <w:rFonts w:cs="Arial"/>
          <w:szCs w:val="24"/>
          <w:lang w:val="en-GB"/>
        </w:rPr>
        <w:t xml:space="preserve">. 2024). Failure to abide by such rules may attract fines, damage the image of the company, and influence investors to lose confidence. In addition, financial reporting in this period needs to be transparent to restore trust that was previously lost in the declining times. The company must ensure that the restructuring plan is not only good to the shareholders but also to other groups. </w:t>
      </w:r>
    </w:p>
    <w:p w14:paraId="4570DAC2" w14:textId="3D64D91A" w:rsidR="00095284" w:rsidRPr="00095284" w:rsidRDefault="00095284" w:rsidP="0001270F">
      <w:pPr>
        <w:rPr>
          <w:rFonts w:cs="Arial"/>
          <w:szCs w:val="24"/>
          <w:lang w:val="en-GB"/>
        </w:rPr>
      </w:pPr>
      <w:r w:rsidRPr="00095284">
        <w:rPr>
          <w:rFonts w:cs="Arial"/>
          <w:szCs w:val="24"/>
          <w:lang w:val="en-GB"/>
        </w:rPr>
        <w:t xml:space="preserve">General Electronics should change its strategy significantly to stop its decline in financial performance. Selling a portion of the firm, merging with other firms, and attracting new investment may also help in maintaining the finances straight. These measures need to be addressed thoughtfully to cushion owners and manage international risks, yet this offers the organisation the freedom to expand. Lastly, concentrating on these financial developments, maintaining ethicality and being transparent with disclosures will make the company thrive as a viable business, win trust again and make the company sustainable within the harsh global market. </w:t>
      </w:r>
    </w:p>
    <w:p w14:paraId="4E0173AC" w14:textId="77777777" w:rsidR="00095284" w:rsidRPr="00095284" w:rsidRDefault="00095284" w:rsidP="00095284">
      <w:pPr>
        <w:pStyle w:val="Heading1"/>
        <w:rPr>
          <w:lang w:val="en-GB"/>
        </w:rPr>
      </w:pPr>
      <w:bookmarkStart w:id="31" w:name="_9i4skiyikm2b" w:colFirst="0" w:colLast="0"/>
      <w:bookmarkStart w:id="32" w:name="_Toc216894595"/>
      <w:bookmarkEnd w:id="31"/>
      <w:r w:rsidRPr="00095284">
        <w:rPr>
          <w:lang w:val="en-GB"/>
        </w:rPr>
        <w:t>5. Investment Appraisal and Capital Budgeting</w:t>
      </w:r>
      <w:bookmarkEnd w:id="32"/>
      <w:r w:rsidRPr="00095284">
        <w:rPr>
          <w:lang w:val="en-GB"/>
        </w:rPr>
        <w:t xml:space="preserve"> </w:t>
      </w:r>
    </w:p>
    <w:p w14:paraId="28BF66BA" w14:textId="77777777" w:rsidR="00095284" w:rsidRPr="00095284" w:rsidRDefault="00095284" w:rsidP="00095284">
      <w:pPr>
        <w:pStyle w:val="Heading2"/>
        <w:rPr>
          <w:lang w:val="en-GB"/>
        </w:rPr>
      </w:pPr>
      <w:bookmarkStart w:id="33" w:name="_5nj9g6q0e0uc" w:colFirst="0" w:colLast="0"/>
      <w:bookmarkStart w:id="34" w:name="_Toc216894596"/>
      <w:bookmarkEnd w:id="33"/>
      <w:r w:rsidRPr="00095284">
        <w:rPr>
          <w:lang w:val="en-GB"/>
        </w:rPr>
        <w:t>5.1 Analysis of PBP, ARR, NPV, PI, and IRR of Projects</w:t>
      </w:r>
      <w:bookmarkEnd w:id="34"/>
    </w:p>
    <w:p w14:paraId="51D4ADDC" w14:textId="77777777" w:rsidR="00095284" w:rsidRPr="00095284" w:rsidRDefault="00095284" w:rsidP="00095284">
      <w:pPr>
        <w:rPr>
          <w:rFonts w:cs="Arial"/>
          <w:szCs w:val="24"/>
          <w:lang w:val="en-GB"/>
        </w:rPr>
      </w:pPr>
      <w:r w:rsidRPr="00095284">
        <w:rPr>
          <w:rFonts w:cs="Arial"/>
          <w:szCs w:val="24"/>
          <w:lang w:val="en-GB"/>
        </w:rPr>
        <w:t xml:space="preserve">The capital investment appraisal techniques or capital budgeting practices assist individuals in determining how they can use the funds so as to invest them in the projects (Afonso and Cunha, 2009). The good investments help to develop and improve the finances of a company. </w:t>
      </w:r>
    </w:p>
    <w:p w14:paraId="671EA4EA" w14:textId="77777777" w:rsidR="00095284" w:rsidRPr="00095284" w:rsidRDefault="00095284" w:rsidP="00095284">
      <w:pPr>
        <w:rPr>
          <w:rFonts w:cs="Arial"/>
          <w:b/>
          <w:bCs/>
          <w:i/>
          <w:iCs/>
          <w:szCs w:val="24"/>
          <w:lang w:val="en-GB"/>
        </w:rPr>
      </w:pPr>
      <w:r w:rsidRPr="00095284">
        <w:rPr>
          <w:rFonts w:cs="Arial"/>
          <w:b/>
          <w:bCs/>
          <w:i/>
          <w:iCs/>
          <w:szCs w:val="24"/>
          <w:lang w:val="en-GB"/>
        </w:rPr>
        <w:t>Project A</w:t>
      </w:r>
    </w:p>
    <w:p w14:paraId="1DA9969A" w14:textId="77777777" w:rsidR="00095284" w:rsidRPr="00095284" w:rsidRDefault="00095284" w:rsidP="00095284">
      <w:pPr>
        <w:rPr>
          <w:rFonts w:cs="Arial"/>
          <w:szCs w:val="24"/>
          <w:lang w:val="en-GB"/>
        </w:rPr>
      </w:pPr>
      <w:r w:rsidRPr="00095284">
        <w:rPr>
          <w:rFonts w:cs="Arial"/>
          <w:szCs w:val="24"/>
          <w:lang w:val="en-GB"/>
        </w:rPr>
        <w:t xml:space="preserve">Project A is able to recover its cash in 3.4 years due to its income, which is 36 million at the end of the 3rd year, and therefore the 4 million additional during year 4. This shows a </w:t>
      </w:r>
      <w:r w:rsidRPr="00095284">
        <w:rPr>
          <w:rFonts w:cs="Arial"/>
          <w:b/>
          <w:bCs/>
          <w:i/>
          <w:iCs/>
          <w:szCs w:val="24"/>
          <w:lang w:val="en-GB"/>
        </w:rPr>
        <w:t>payback period</w:t>
      </w:r>
      <w:r w:rsidRPr="00095284">
        <w:rPr>
          <w:rFonts w:cs="Arial"/>
          <w:szCs w:val="24"/>
          <w:lang w:val="en-GB"/>
        </w:rPr>
        <w:t xml:space="preserve"> that is shorter than the 5-year life of the investment and a relatively shorter payback period than any other long-term investment venture. </w:t>
      </w:r>
      <w:r w:rsidRPr="00095284">
        <w:rPr>
          <w:rFonts w:cs="Arial"/>
          <w:b/>
          <w:bCs/>
          <w:i/>
          <w:iCs/>
          <w:szCs w:val="24"/>
          <w:lang w:val="en-GB"/>
        </w:rPr>
        <w:t>Accounting rate of return</w:t>
      </w:r>
      <w:r w:rsidRPr="00095284">
        <w:rPr>
          <w:rFonts w:cs="Arial"/>
          <w:szCs w:val="24"/>
          <w:lang w:val="en-GB"/>
        </w:rPr>
        <w:t xml:space="preserve"> is represented as 14% based on the average annual profit of 2.8 million and an average investment of 20 million, which represents a fairly good accounting perspective on profitability. </w:t>
      </w:r>
    </w:p>
    <w:p w14:paraId="0E035383" w14:textId="77777777" w:rsidR="00095284" w:rsidRPr="00095284" w:rsidRDefault="00095284" w:rsidP="00095284">
      <w:pPr>
        <w:rPr>
          <w:rFonts w:cs="Arial"/>
          <w:szCs w:val="24"/>
          <w:lang w:val="en-GB"/>
        </w:rPr>
      </w:pPr>
      <w:r w:rsidRPr="00095284">
        <w:rPr>
          <w:rFonts w:cs="Arial"/>
          <w:szCs w:val="24"/>
          <w:lang w:val="en-GB"/>
        </w:rPr>
        <w:t xml:space="preserve">At a discount of 10%, the Present Value of inflows is approximately 41.32 million. Also, the </w:t>
      </w:r>
      <w:r w:rsidRPr="00095284">
        <w:rPr>
          <w:rFonts w:cs="Arial"/>
          <w:b/>
          <w:bCs/>
          <w:i/>
          <w:iCs/>
          <w:szCs w:val="24"/>
          <w:lang w:val="en-GB"/>
        </w:rPr>
        <w:t xml:space="preserve">net present value </w:t>
      </w:r>
      <w:r w:rsidRPr="00095284">
        <w:rPr>
          <w:rFonts w:cs="Arial"/>
          <w:szCs w:val="24"/>
          <w:lang w:val="en-GB"/>
        </w:rPr>
        <w:t xml:space="preserve">is 1.32 million, resulting in a </w:t>
      </w:r>
      <w:r w:rsidRPr="00095284">
        <w:rPr>
          <w:rFonts w:cs="Arial"/>
          <w:b/>
          <w:bCs/>
          <w:i/>
          <w:iCs/>
          <w:szCs w:val="24"/>
          <w:lang w:val="en-GB"/>
        </w:rPr>
        <w:t>profitability index</w:t>
      </w:r>
      <w:r w:rsidRPr="00095284">
        <w:rPr>
          <w:rFonts w:cs="Arial"/>
          <w:szCs w:val="24"/>
          <w:lang w:val="en-GB"/>
        </w:rPr>
        <w:t xml:space="preserve"> of 1.03, making the project simply add value to the shareholders at the required 10%. It is in line with </w:t>
      </w:r>
      <w:r w:rsidRPr="00095284">
        <w:rPr>
          <w:rFonts w:cs="Arial"/>
          <w:szCs w:val="24"/>
          <w:lang w:val="en-GB"/>
        </w:rPr>
        <w:lastRenderedPageBreak/>
        <w:t xml:space="preserve">the study of Abdurofi, Ismail and Ismail (2021), where they say that when the profitability index (PI) lies above 1, it is believed that the project is profitable. The 11.55% </w:t>
      </w:r>
      <w:r w:rsidRPr="00095284">
        <w:rPr>
          <w:rFonts w:cs="Arial"/>
          <w:b/>
          <w:bCs/>
          <w:i/>
          <w:iCs/>
          <w:szCs w:val="24"/>
          <w:lang w:val="en-GB"/>
        </w:rPr>
        <w:t>internal rate of return</w:t>
      </w:r>
      <w:r w:rsidRPr="00095284">
        <w:rPr>
          <w:rFonts w:cs="Arial"/>
          <w:szCs w:val="24"/>
          <w:lang w:val="en-GB"/>
        </w:rPr>
        <w:t xml:space="preserve"> is relatively higher than the 10% cost of capital, indicating that, whereas Project A would be considered to be a good project at 10%, it only gives it a very slim safety margin against a fluctuation in the discount rate or the risk involved in the project.</w:t>
      </w:r>
    </w:p>
    <w:p w14:paraId="30A77998" w14:textId="77777777" w:rsidR="00095284" w:rsidRPr="00095284" w:rsidRDefault="00095284" w:rsidP="00095284">
      <w:pPr>
        <w:rPr>
          <w:rFonts w:cs="Arial"/>
          <w:b/>
          <w:bCs/>
          <w:i/>
          <w:iCs/>
          <w:szCs w:val="24"/>
          <w:lang w:val="en-GB"/>
        </w:rPr>
      </w:pPr>
      <w:r w:rsidRPr="00095284">
        <w:rPr>
          <w:rFonts w:cs="Arial"/>
          <w:b/>
          <w:bCs/>
          <w:i/>
          <w:iCs/>
          <w:szCs w:val="24"/>
          <w:lang w:val="en-GB"/>
        </w:rPr>
        <w:t>Project B</w:t>
      </w:r>
    </w:p>
    <w:p w14:paraId="23F08E1E" w14:textId="77777777" w:rsidR="00095284" w:rsidRPr="00095284" w:rsidRDefault="00095284" w:rsidP="00095284">
      <w:pPr>
        <w:rPr>
          <w:rFonts w:cs="Arial"/>
          <w:szCs w:val="24"/>
          <w:lang w:val="en-GB"/>
        </w:rPr>
      </w:pPr>
      <w:r w:rsidRPr="00095284">
        <w:rPr>
          <w:rFonts w:cs="Arial"/>
          <w:szCs w:val="24"/>
          <w:lang w:val="en-GB"/>
        </w:rPr>
        <w:t xml:space="preserve">Project B will give a five-year annual income of 6 million following an investment of 30 million. The </w:t>
      </w:r>
      <w:r w:rsidRPr="00095284">
        <w:rPr>
          <w:rFonts w:cs="Arial"/>
          <w:b/>
          <w:bCs/>
          <w:i/>
          <w:iCs/>
          <w:szCs w:val="24"/>
          <w:lang w:val="en-GB"/>
        </w:rPr>
        <w:t xml:space="preserve">payback period </w:t>
      </w:r>
      <w:r w:rsidRPr="00095284">
        <w:rPr>
          <w:rFonts w:cs="Arial"/>
          <w:szCs w:val="24"/>
          <w:lang w:val="en-GB"/>
        </w:rPr>
        <w:t xml:space="preserve">of 5 years is too long to recover the 30 million invested in the five-year project. The average profit is 0, because they go up at the same rate as the straight-line depreciation of $6 million. The average investment is 15 million, with the </w:t>
      </w:r>
      <w:r w:rsidRPr="00095284">
        <w:rPr>
          <w:rFonts w:cs="Arial"/>
          <w:b/>
          <w:bCs/>
          <w:i/>
          <w:iCs/>
          <w:szCs w:val="24"/>
          <w:lang w:val="en-GB"/>
        </w:rPr>
        <w:t>accounting rate of return</w:t>
      </w:r>
      <w:r w:rsidRPr="00095284">
        <w:rPr>
          <w:rFonts w:cs="Arial"/>
          <w:szCs w:val="24"/>
          <w:lang w:val="en-GB"/>
        </w:rPr>
        <w:t xml:space="preserve"> being 0, indicating that the project is not profitable on the accounting basis. </w:t>
      </w:r>
    </w:p>
    <w:p w14:paraId="5E88DCD4" w14:textId="77777777" w:rsidR="00095284" w:rsidRPr="00095284" w:rsidRDefault="00095284" w:rsidP="00095284">
      <w:pPr>
        <w:rPr>
          <w:rFonts w:cs="Arial"/>
          <w:szCs w:val="24"/>
          <w:lang w:val="en-GB"/>
        </w:rPr>
      </w:pPr>
      <w:r w:rsidRPr="00095284">
        <w:rPr>
          <w:rFonts w:cs="Arial"/>
          <w:szCs w:val="24"/>
          <w:lang w:val="en-GB"/>
        </w:rPr>
        <w:t xml:space="preserve">Present value of the five equal inflows after discounting cash flow by 10% shows that they amount to approximately 22.74 million. This is less than the outlay of $30 million, and therefore the </w:t>
      </w:r>
      <w:r w:rsidRPr="00095284">
        <w:rPr>
          <w:rFonts w:cs="Arial"/>
          <w:b/>
          <w:bCs/>
          <w:i/>
          <w:iCs/>
          <w:szCs w:val="24"/>
          <w:lang w:val="en-GB"/>
        </w:rPr>
        <w:t>net present value</w:t>
      </w:r>
      <w:r w:rsidRPr="00095284">
        <w:rPr>
          <w:rFonts w:cs="Arial"/>
          <w:szCs w:val="24"/>
          <w:lang w:val="en-GB"/>
        </w:rPr>
        <w:t xml:space="preserve"> is approximately -7.26 million and the</w:t>
      </w:r>
      <w:r w:rsidRPr="00095284">
        <w:rPr>
          <w:rFonts w:cs="Arial"/>
          <w:b/>
          <w:bCs/>
          <w:i/>
          <w:iCs/>
          <w:szCs w:val="24"/>
          <w:lang w:val="en-GB"/>
        </w:rPr>
        <w:t xml:space="preserve"> profitability index</w:t>
      </w:r>
      <w:r w:rsidRPr="00095284">
        <w:rPr>
          <w:rFonts w:cs="Arial"/>
          <w:szCs w:val="24"/>
          <w:lang w:val="en-GB"/>
        </w:rPr>
        <w:t xml:space="preserve"> is approximately 0.76. The PI is less than 1, implying that the project will destroy the value, and the company should not proceed with it (Corporate Finance Institute, 2025). The present value of the inflows will be close to the initial investment, and the NPV will be zero when the discount rate is reduced to 1. This, however, is only possible at an extremely low required return, so the </w:t>
      </w:r>
      <w:r w:rsidRPr="00095284">
        <w:rPr>
          <w:rFonts w:cs="Arial"/>
          <w:b/>
          <w:bCs/>
          <w:i/>
          <w:iCs/>
          <w:szCs w:val="24"/>
          <w:lang w:val="en-GB"/>
        </w:rPr>
        <w:t xml:space="preserve">internal rate of return </w:t>
      </w:r>
      <w:r w:rsidRPr="00095284">
        <w:rPr>
          <w:rFonts w:cs="Arial"/>
          <w:szCs w:val="24"/>
          <w:lang w:val="en-GB"/>
        </w:rPr>
        <w:t xml:space="preserve">is actually 0%, which is well below the usual cost of capital of a risky investment. Simply put, Project B cannot pass any significant appraisal criteria. The payback period is long, the ARR is 0%, the NPV is negative at a 10% discount, the PI is less than one, and the IRR is significantly less than any realistic cost of capital. </w:t>
      </w:r>
    </w:p>
    <w:p w14:paraId="438C993E" w14:textId="77777777" w:rsidR="00095284" w:rsidRPr="00095284" w:rsidRDefault="00095284" w:rsidP="00095284">
      <w:pPr>
        <w:rPr>
          <w:rFonts w:cs="Arial"/>
          <w:b/>
          <w:bCs/>
          <w:i/>
          <w:iCs/>
          <w:szCs w:val="24"/>
          <w:lang w:val="en-GB"/>
        </w:rPr>
      </w:pPr>
      <w:r w:rsidRPr="00095284">
        <w:rPr>
          <w:rFonts w:cs="Arial"/>
          <w:b/>
          <w:bCs/>
          <w:i/>
          <w:iCs/>
          <w:szCs w:val="24"/>
          <w:lang w:val="en-GB"/>
        </w:rPr>
        <w:t>Project C</w:t>
      </w:r>
    </w:p>
    <w:p w14:paraId="03DFAC67" w14:textId="77777777" w:rsidR="00095284" w:rsidRPr="00095284" w:rsidRDefault="00095284" w:rsidP="00095284">
      <w:pPr>
        <w:rPr>
          <w:rFonts w:cs="Arial"/>
          <w:szCs w:val="24"/>
          <w:lang w:val="en-GB"/>
        </w:rPr>
      </w:pPr>
      <w:r w:rsidRPr="00095284">
        <w:rPr>
          <w:rFonts w:cs="Arial"/>
          <w:szCs w:val="24"/>
          <w:lang w:val="en-GB"/>
        </w:rPr>
        <w:t>Project C will have a starting investment of 50 million. Then it brings in cash of 5, 10, 20, 25 and 15 million within five years. The analysis shows that the</w:t>
      </w:r>
      <w:r w:rsidRPr="00095284">
        <w:rPr>
          <w:rFonts w:cs="Arial"/>
          <w:b/>
          <w:bCs/>
          <w:i/>
          <w:iCs/>
          <w:szCs w:val="24"/>
          <w:lang w:val="en-GB"/>
        </w:rPr>
        <w:t xml:space="preserve"> payback period </w:t>
      </w:r>
      <w:r w:rsidRPr="00095284">
        <w:rPr>
          <w:rFonts w:cs="Arial"/>
          <w:szCs w:val="24"/>
          <w:lang w:val="en-GB"/>
        </w:rPr>
        <w:t xml:space="preserve">will be approximately 3.6 years, which is quite a short time. The </w:t>
      </w:r>
      <w:r w:rsidRPr="00095284">
        <w:rPr>
          <w:rFonts w:cs="Arial"/>
          <w:b/>
          <w:bCs/>
          <w:i/>
          <w:iCs/>
          <w:szCs w:val="24"/>
          <w:lang w:val="en-GB"/>
        </w:rPr>
        <w:t>accounting rate of return</w:t>
      </w:r>
      <w:r w:rsidRPr="00095284">
        <w:rPr>
          <w:rFonts w:cs="Arial"/>
          <w:b/>
          <w:bCs/>
          <w:szCs w:val="24"/>
          <w:lang w:val="en-GB"/>
        </w:rPr>
        <w:t xml:space="preserve"> </w:t>
      </w:r>
      <w:r w:rsidRPr="00095284">
        <w:rPr>
          <w:rFonts w:cs="Arial"/>
          <w:szCs w:val="24"/>
          <w:lang w:val="en-GB"/>
        </w:rPr>
        <w:t>of 20% is based on an average profit of 5 million on an average investment of 25 million. That reflects the project to be profitable in terms of accounting.</w:t>
      </w:r>
    </w:p>
    <w:p w14:paraId="36E5ACD5" w14:textId="77777777" w:rsidR="00095284" w:rsidRPr="00095284" w:rsidRDefault="00095284" w:rsidP="00095284">
      <w:pPr>
        <w:rPr>
          <w:rFonts w:cs="Arial"/>
          <w:szCs w:val="24"/>
          <w:lang w:val="en-GB"/>
        </w:rPr>
      </w:pPr>
      <w:r w:rsidRPr="00095284">
        <w:rPr>
          <w:rFonts w:cs="Arial"/>
          <w:szCs w:val="24"/>
          <w:lang w:val="en-GB"/>
        </w:rPr>
        <w:lastRenderedPageBreak/>
        <w:t xml:space="preserve">The discount rate of 10% will give a present value of the cash inflows at 54.23 million, and hence the </w:t>
      </w:r>
      <w:r w:rsidRPr="00095284">
        <w:rPr>
          <w:rFonts w:cs="Arial"/>
          <w:b/>
          <w:bCs/>
          <w:i/>
          <w:iCs/>
          <w:szCs w:val="24"/>
          <w:lang w:val="en-GB"/>
        </w:rPr>
        <w:t xml:space="preserve">net present value </w:t>
      </w:r>
      <w:r w:rsidRPr="00095284">
        <w:rPr>
          <w:rFonts w:cs="Arial"/>
          <w:szCs w:val="24"/>
          <w:lang w:val="en-GB"/>
        </w:rPr>
        <w:t xml:space="preserve">will be approximately 4.23 million. The </w:t>
      </w:r>
      <w:r w:rsidRPr="00095284">
        <w:rPr>
          <w:rFonts w:cs="Arial"/>
          <w:b/>
          <w:bCs/>
          <w:i/>
          <w:iCs/>
          <w:szCs w:val="24"/>
          <w:lang w:val="en-GB"/>
        </w:rPr>
        <w:t>profitability index</w:t>
      </w:r>
      <w:r w:rsidRPr="00095284">
        <w:rPr>
          <w:rFonts w:cs="Arial"/>
          <w:szCs w:val="24"/>
          <w:lang w:val="en-GB"/>
        </w:rPr>
        <w:t xml:space="preserve"> will be approximately 1.08. It means that each dollar of investment generates additional value, and this project is acceptable. Assuming the discount rate increases to 20%, the present value of the inflows will decrease to approximately 40.77 million, with the NPV of the project becoming -9.23 million, which makes the project unattractive. Its </w:t>
      </w:r>
      <w:r w:rsidRPr="00095284">
        <w:rPr>
          <w:rFonts w:cs="Arial"/>
          <w:b/>
          <w:bCs/>
          <w:i/>
          <w:iCs/>
          <w:szCs w:val="24"/>
          <w:lang w:val="en-GB"/>
        </w:rPr>
        <w:t>internal rate of return (IRR)</w:t>
      </w:r>
      <w:r w:rsidRPr="00095284">
        <w:rPr>
          <w:rFonts w:cs="Arial"/>
          <w:szCs w:val="24"/>
          <w:lang w:val="en-GB"/>
        </w:rPr>
        <w:t xml:space="preserve"> is approximately 13.14%, well above the cost of capital of 10%. As the IRR is greater than the cost of capital, the organisation can accept the project as a good investment (Vipond, 2025a). In summary, Project C provides a short payback, a large accounting payoff, a positive NPV, and a good IRR. These make project C a good financial option. </w:t>
      </w:r>
    </w:p>
    <w:p w14:paraId="242430D0" w14:textId="77777777" w:rsidR="00095284" w:rsidRPr="00095284" w:rsidRDefault="00095284" w:rsidP="00095284">
      <w:pPr>
        <w:pStyle w:val="Heading2"/>
        <w:rPr>
          <w:lang w:val="en-GB"/>
        </w:rPr>
      </w:pPr>
      <w:bookmarkStart w:id="35" w:name="_j10hb1xx0i20" w:colFirst="0" w:colLast="0"/>
      <w:bookmarkStart w:id="36" w:name="_Toc216894597"/>
      <w:bookmarkEnd w:id="35"/>
      <w:r w:rsidRPr="00095284">
        <w:rPr>
          <w:lang w:val="en-GB"/>
        </w:rPr>
        <w:t>5.2 Final Investment Recommendation</w:t>
      </w:r>
      <w:bookmarkEnd w:id="36"/>
      <w:r w:rsidRPr="00095284">
        <w:rPr>
          <w:lang w:val="en-GB"/>
        </w:rPr>
        <w:t xml:space="preserve"> </w:t>
      </w:r>
    </w:p>
    <w:p w14:paraId="1B714F57" w14:textId="77777777" w:rsidR="00095284" w:rsidRPr="00095284" w:rsidRDefault="00095284" w:rsidP="00095284">
      <w:pPr>
        <w:rPr>
          <w:rFonts w:cs="Arial"/>
          <w:szCs w:val="24"/>
          <w:lang w:val="en-GB"/>
        </w:rPr>
      </w:pPr>
      <w:r w:rsidRPr="00095284">
        <w:rPr>
          <w:rFonts w:cs="Arial"/>
          <w:szCs w:val="24"/>
          <w:lang w:val="en-GB"/>
        </w:rPr>
        <w:t xml:space="preserve">New projects have a limit of 60 million by the organisation. So, there is a need to select projects which will produce the best value for shareholders. Project B cannot make it as there is 0% accounting return, and the net present value of it is negative. </w:t>
      </w:r>
      <w:r w:rsidRPr="00095284">
        <w:rPr>
          <w:rFonts w:cs="Arial"/>
          <w:color w:val="FF0000"/>
          <w:szCs w:val="24"/>
          <w:lang w:val="en-GB"/>
        </w:rPr>
        <w:t xml:space="preserve"> </w:t>
      </w:r>
      <w:r w:rsidRPr="00095284">
        <w:rPr>
          <w:rFonts w:cs="Arial"/>
          <w:szCs w:val="24"/>
          <w:lang w:val="en-GB"/>
        </w:rPr>
        <w:t>When the net present value (NPV) is negative, it implies that the proposal will decrease the value of the firm, and it should be rejected (Singhal, 2024).</w:t>
      </w:r>
      <w:r w:rsidRPr="00095284">
        <w:rPr>
          <w:rFonts w:cs="Arial"/>
          <w:color w:val="FF0000"/>
          <w:szCs w:val="24"/>
          <w:lang w:val="en-GB"/>
        </w:rPr>
        <w:t xml:space="preserve">  </w:t>
      </w:r>
      <w:r w:rsidRPr="00095284">
        <w:rPr>
          <w:rFonts w:cs="Arial"/>
          <w:szCs w:val="24"/>
          <w:lang w:val="en-GB"/>
        </w:rPr>
        <w:t xml:space="preserve">It would be depriving the company of value. Project A has a cost of 40 million, and Project C has a cost of 50 million. As project B already been cancelled, now it needs to choose between project A and C. The collective expenses of that would be 90 million, and 60 million maximum is surpassed, so both projects cannot be done together. </w:t>
      </w:r>
    </w:p>
    <w:p w14:paraId="64FD83C9" w14:textId="77777777" w:rsidR="00095284" w:rsidRPr="00095284" w:rsidRDefault="00095284" w:rsidP="00095284">
      <w:pPr>
        <w:rPr>
          <w:rFonts w:cs="Arial"/>
          <w:szCs w:val="24"/>
          <w:lang w:val="en-GB"/>
        </w:rPr>
      </w:pPr>
      <w:r w:rsidRPr="00095284">
        <w:rPr>
          <w:rFonts w:cs="Arial"/>
          <w:szCs w:val="24"/>
          <w:lang w:val="en-GB"/>
        </w:rPr>
        <w:t>The profitability index (PI) aids in the determination of the extent to which a unit of investment is valuable and allows companies to compare and rank projects (Indeed, 2025)</w:t>
      </w:r>
      <w:r w:rsidRPr="00095284">
        <w:rPr>
          <w:rFonts w:cs="Arial"/>
          <w:color w:val="FF0000"/>
          <w:szCs w:val="24"/>
          <w:lang w:val="en-GB"/>
        </w:rPr>
        <w:t xml:space="preserve">. </w:t>
      </w:r>
      <w:r w:rsidRPr="00095284">
        <w:rPr>
          <w:rFonts w:cs="Arial"/>
          <w:szCs w:val="24"/>
          <w:lang w:val="en-GB"/>
        </w:rPr>
        <w:t xml:space="preserve"> Project C has a value of 1.08, whereas Project A has 1.03. The net present value of Project C is also higher at 4.23 million, compared to 1.32 million with Project A. </w:t>
      </w:r>
      <w:proofErr w:type="gramStart"/>
      <w:r w:rsidRPr="00095284">
        <w:rPr>
          <w:rFonts w:cs="Arial"/>
          <w:szCs w:val="24"/>
          <w:lang w:val="en-GB"/>
        </w:rPr>
        <w:t>So</w:t>
      </w:r>
      <w:proofErr w:type="gramEnd"/>
      <w:r w:rsidRPr="00095284">
        <w:rPr>
          <w:rFonts w:cs="Arial"/>
          <w:szCs w:val="24"/>
          <w:lang w:val="en-GB"/>
        </w:rPr>
        <w:t xml:space="preserve"> the only project that can be invested in will be Project C. Although Project A has a positive net present value, Project C contributes additional value, and its internal rate of return is 13.14, higher than Project A. The remaining 10 million may remain as cash or be utilised to cover the short-term debts, which will enhance the cash position of the company. Selecting Project C allows the company to invest wisely and contribute to a more successful recovery and the improved future of shareholders. </w:t>
      </w:r>
    </w:p>
    <w:p w14:paraId="6CB5A549" w14:textId="77777777" w:rsidR="00095284" w:rsidRPr="00095284" w:rsidRDefault="00095284" w:rsidP="00095284">
      <w:pPr>
        <w:pStyle w:val="Heading2"/>
        <w:rPr>
          <w:lang w:val="en-GB"/>
        </w:rPr>
      </w:pPr>
      <w:bookmarkStart w:id="37" w:name="_c2z3i47s31tx" w:colFirst="0" w:colLast="0"/>
      <w:bookmarkStart w:id="38" w:name="_Toc216894598"/>
      <w:bookmarkEnd w:id="37"/>
      <w:r w:rsidRPr="00095284">
        <w:rPr>
          <w:lang w:val="en-GB"/>
        </w:rPr>
        <w:t>5.3 Justification</w:t>
      </w:r>
      <w:bookmarkEnd w:id="38"/>
    </w:p>
    <w:p w14:paraId="0F92D79C" w14:textId="77777777" w:rsidR="00095284" w:rsidRPr="00095284" w:rsidRDefault="00095284" w:rsidP="00095284">
      <w:pPr>
        <w:rPr>
          <w:rFonts w:cs="Arial"/>
          <w:szCs w:val="24"/>
          <w:lang w:val="en-GB"/>
        </w:rPr>
      </w:pPr>
      <w:r w:rsidRPr="00095284">
        <w:rPr>
          <w:rFonts w:cs="Arial"/>
          <w:szCs w:val="24"/>
          <w:lang w:val="en-GB"/>
        </w:rPr>
        <w:lastRenderedPageBreak/>
        <w:t xml:space="preserve">Project C and its investment are strongly recommended, as the current financial performance of General Electronics demonstrates that it is required. The enterprise is in a bad state and has lost a significant amount of revenue and profit. Project C offers a good net present value and a high accounting return of 20%. The company experiences a long cash cycle, and the Z score reflects that the company is financially at risk. Project C will be appealing since it can pay back within 3.6 years only. The cash flows of Project C are initially low but become significantly high during years three and four. Project C is a superior choice over Project A because of the risks involved. Accounting rate of return applies in cases where the firms are looking into the possibility of investing by determining the possible future expected net earnings against the cost of capital (Vipond, 2025b). Project A is good, but it has an ARR of 11.55% which is slightly more than the 10% cost of capital. The slight increase in rates or slight decrease in performance might harm the company. The higher return on project C is 13.14% which provides the project with better support against cash-flow fluctuations and risks in the market. Since the company is in a dangerous position, the most responsible action would be to select the project with the most favourable financial indicators and risk-adjusted rate of return in the long-term perspective. </w:t>
      </w:r>
    </w:p>
    <w:p w14:paraId="0F663957" w14:textId="77777777" w:rsidR="00095284" w:rsidRPr="00095284" w:rsidRDefault="00095284" w:rsidP="00095284">
      <w:pPr>
        <w:pStyle w:val="Heading1"/>
        <w:rPr>
          <w:lang w:val="en-GB"/>
        </w:rPr>
      </w:pPr>
      <w:bookmarkStart w:id="39" w:name="_5skvelvjez7o" w:colFirst="0" w:colLast="0"/>
      <w:bookmarkStart w:id="40" w:name="_Toc216894599"/>
      <w:bookmarkEnd w:id="39"/>
      <w:r w:rsidRPr="00095284">
        <w:rPr>
          <w:lang w:val="en-GB"/>
        </w:rPr>
        <w:t>6. Conclusion</w:t>
      </w:r>
      <w:bookmarkEnd w:id="40"/>
    </w:p>
    <w:p w14:paraId="79D3DE3E" w14:textId="2AD9E4E2" w:rsidR="00095284" w:rsidRPr="00095284" w:rsidRDefault="00095284" w:rsidP="0001270F">
      <w:pPr>
        <w:rPr>
          <w:rFonts w:cs="Arial"/>
          <w:szCs w:val="24"/>
          <w:lang w:val="en-GB"/>
        </w:rPr>
      </w:pPr>
      <w:r w:rsidRPr="00095284">
        <w:rPr>
          <w:rFonts w:cs="Arial"/>
          <w:szCs w:val="24"/>
          <w:lang w:val="en-GB"/>
        </w:rPr>
        <w:t>In summary, the financial analysis of General Electronics indicates that the company is facing issues, but it can emerge successfully with a strategy. The company has experienced massive revenue and cash issue reduction over the past five years, as indicated by a long cash cycle. In addition, through restructuring alternatives such as selling unwanted parts of the business, merging, and introducing new equity, there is an easy approach to stabilising the balance sheet. The company can become healthier and shift to safer financial grounds by reducing big debt and concentrating on its core businesses. The turnaround will be based on smart utilisation of the limited resources to high value growth. Project C appears to be the most appropriate investment as it provides the highest net present value and a high internal rate of return, given that it exceeds capital limits. This initiative provides the required safety margin and fast cash flow recovery to fund the bigger restructuring objectives. With a combination of robust financial transformation, ethics, and management of global risk, General Electronics can restore trust in stakeholders and prevent crisis transformation into long-term global profitability and sustainability.</w:t>
      </w:r>
    </w:p>
    <w:p w14:paraId="1FE1C609" w14:textId="77777777" w:rsidR="00321C26" w:rsidRPr="00095284" w:rsidRDefault="00321C26">
      <w:pPr>
        <w:spacing w:line="259" w:lineRule="auto"/>
        <w:jc w:val="left"/>
        <w:rPr>
          <w:rFonts w:cs="Arial"/>
          <w:b/>
          <w:bCs/>
          <w:szCs w:val="24"/>
          <w:lang w:val="en-GB"/>
        </w:rPr>
      </w:pPr>
      <w:r w:rsidRPr="00095284">
        <w:rPr>
          <w:rFonts w:cs="Arial"/>
          <w:b/>
          <w:bCs/>
          <w:szCs w:val="24"/>
          <w:lang w:val="en-GB"/>
        </w:rPr>
        <w:lastRenderedPageBreak/>
        <w:br w:type="page"/>
      </w:r>
    </w:p>
    <w:p w14:paraId="3376FB59" w14:textId="77777777" w:rsidR="002C3DB3" w:rsidRPr="00095284" w:rsidRDefault="002C3DB3" w:rsidP="00095284">
      <w:pPr>
        <w:pStyle w:val="Heading1"/>
        <w:rPr>
          <w:lang w:val="en-GB"/>
        </w:rPr>
      </w:pPr>
      <w:bookmarkStart w:id="41" w:name="_Toc216894600"/>
      <w:r w:rsidRPr="00095284">
        <w:rPr>
          <w:lang w:val="en-GB"/>
        </w:rPr>
        <w:lastRenderedPageBreak/>
        <w:t>References</w:t>
      </w:r>
      <w:bookmarkEnd w:id="41"/>
    </w:p>
    <w:p w14:paraId="09E129FA" w14:textId="6FB84EFB" w:rsidR="00095284" w:rsidRPr="00095284" w:rsidRDefault="00095284" w:rsidP="00B55832">
      <w:pPr>
        <w:rPr>
          <w:rFonts w:cs="Arial"/>
          <w:szCs w:val="24"/>
          <w:lang w:val="en-GB"/>
        </w:rPr>
      </w:pPr>
      <w:proofErr w:type="spellStart"/>
      <w:r w:rsidRPr="00095284">
        <w:rPr>
          <w:rFonts w:cs="Arial"/>
          <w:szCs w:val="24"/>
          <w:lang w:val="en-GB"/>
        </w:rPr>
        <w:t>AbasiIta</w:t>
      </w:r>
      <w:proofErr w:type="spellEnd"/>
      <w:r w:rsidRPr="00095284">
        <w:rPr>
          <w:rFonts w:cs="Arial"/>
          <w:szCs w:val="24"/>
          <w:lang w:val="en-GB"/>
        </w:rPr>
        <w:t>, D.</w:t>
      </w:r>
      <w:r w:rsidR="00C47204">
        <w:rPr>
          <w:rFonts w:cs="Arial"/>
          <w:szCs w:val="24"/>
          <w:lang w:val="en-GB"/>
        </w:rPr>
        <w:t xml:space="preserve"> </w:t>
      </w:r>
      <w:r w:rsidRPr="00095284">
        <w:rPr>
          <w:rFonts w:cs="Arial"/>
          <w:szCs w:val="24"/>
          <w:lang w:val="en-GB"/>
        </w:rPr>
        <w:t xml:space="preserve">(2025). </w:t>
      </w:r>
      <w:r w:rsidRPr="00095284">
        <w:rPr>
          <w:rFonts w:cs="Arial"/>
          <w:i/>
          <w:szCs w:val="24"/>
          <w:lang w:val="en-GB"/>
        </w:rPr>
        <w:t>What Is Operating Cash Flow (OCF)?</w:t>
      </w:r>
      <w:r w:rsidRPr="00095284">
        <w:rPr>
          <w:rFonts w:cs="Arial"/>
          <w:szCs w:val="24"/>
          <w:lang w:val="en-GB"/>
        </w:rPr>
        <w:t xml:space="preserve"> Available at: </w:t>
      </w:r>
      <w:hyperlink r:id="rId10" w:history="1">
        <w:r w:rsidRPr="00095284">
          <w:rPr>
            <w:rStyle w:val="Hyperlink"/>
            <w:rFonts w:cs="Arial"/>
            <w:szCs w:val="24"/>
            <w:lang w:val="en-GB"/>
          </w:rPr>
          <w:t>https://www.investopedia.com/terms/o/operatingcashflow.asp</w:t>
        </w:r>
      </w:hyperlink>
      <w:r w:rsidRPr="00095284">
        <w:rPr>
          <w:rFonts w:cs="Arial"/>
          <w:szCs w:val="24"/>
          <w:lang w:val="en-GB"/>
        </w:rPr>
        <w:t xml:space="preserve"> (Accessed on 15th Dec 2025)</w:t>
      </w:r>
    </w:p>
    <w:p w14:paraId="1E140F39" w14:textId="77777777" w:rsidR="00095284" w:rsidRPr="00095284" w:rsidRDefault="00095284" w:rsidP="0023090D">
      <w:pPr>
        <w:rPr>
          <w:rFonts w:cs="Arial"/>
          <w:szCs w:val="24"/>
          <w:lang w:val="en-GB"/>
        </w:rPr>
      </w:pPr>
      <w:r w:rsidRPr="00095284">
        <w:rPr>
          <w:rFonts w:cs="Arial"/>
          <w:szCs w:val="24"/>
          <w:lang w:val="en-GB"/>
        </w:rPr>
        <w:t>Abdurofi, I., Ismail, M.M. and Ismail, N.W. (2021). The application of risk analysis to the project appraisal of stingless bee farming in Malaysia for sustainability. </w:t>
      </w:r>
      <w:r w:rsidRPr="00095284">
        <w:rPr>
          <w:rFonts w:cs="Arial"/>
          <w:i/>
          <w:iCs/>
          <w:szCs w:val="24"/>
          <w:lang w:val="en-GB"/>
        </w:rPr>
        <w:t>Journal of Sustainability Science and Management</w:t>
      </w:r>
      <w:r w:rsidRPr="00095284">
        <w:rPr>
          <w:rFonts w:cs="Arial"/>
          <w:szCs w:val="24"/>
          <w:lang w:val="en-GB"/>
        </w:rPr>
        <w:t>, </w:t>
      </w:r>
      <w:r w:rsidRPr="00095284">
        <w:rPr>
          <w:rFonts w:cs="Arial"/>
          <w:i/>
          <w:iCs/>
          <w:szCs w:val="24"/>
          <w:lang w:val="en-GB"/>
        </w:rPr>
        <w:t>16</w:t>
      </w:r>
      <w:r w:rsidRPr="00095284">
        <w:rPr>
          <w:rFonts w:cs="Arial"/>
          <w:szCs w:val="24"/>
          <w:lang w:val="en-GB"/>
        </w:rPr>
        <w:t xml:space="preserve">(6), pp.109-122. </w:t>
      </w:r>
      <w:hyperlink r:id="rId11" w:history="1">
        <w:r w:rsidRPr="00095284">
          <w:rPr>
            <w:rStyle w:val="Hyperlink"/>
            <w:rFonts w:cs="Arial"/>
            <w:szCs w:val="24"/>
            <w:lang w:val="en-GB"/>
          </w:rPr>
          <w:t>http://doi.org/10.46754/jssm.2021.08.009</w:t>
        </w:r>
      </w:hyperlink>
      <w:r w:rsidRPr="00095284">
        <w:rPr>
          <w:rFonts w:cs="Arial"/>
          <w:szCs w:val="24"/>
          <w:lang w:val="en-GB"/>
        </w:rPr>
        <w:t xml:space="preserve"> </w:t>
      </w:r>
    </w:p>
    <w:p w14:paraId="0298C86A" w14:textId="77777777" w:rsidR="00095284" w:rsidRPr="00095284" w:rsidRDefault="00095284" w:rsidP="0023090D">
      <w:pPr>
        <w:rPr>
          <w:rFonts w:cs="Arial"/>
          <w:szCs w:val="24"/>
          <w:lang w:val="en-GB"/>
        </w:rPr>
      </w:pPr>
      <w:r w:rsidRPr="00095284">
        <w:rPr>
          <w:rFonts w:cs="Arial"/>
          <w:szCs w:val="24"/>
          <w:lang w:val="en-GB"/>
        </w:rPr>
        <w:t xml:space="preserve">Afonso, P. and Cunha, J. (2009). Determinants of the use of capital investment appraisal methods: evidence from the field. </w:t>
      </w:r>
    </w:p>
    <w:p w14:paraId="3A4D41A8" w14:textId="77777777" w:rsidR="00095284" w:rsidRPr="00095284" w:rsidRDefault="00095284" w:rsidP="0023090D">
      <w:pPr>
        <w:rPr>
          <w:rFonts w:cs="Arial"/>
          <w:szCs w:val="24"/>
          <w:lang w:val="en-GB"/>
        </w:rPr>
      </w:pPr>
      <w:proofErr w:type="spellStart"/>
      <w:r w:rsidRPr="00095284">
        <w:rPr>
          <w:rFonts w:cs="Arial"/>
          <w:szCs w:val="24"/>
          <w:lang w:val="en-GB"/>
        </w:rPr>
        <w:t>Agbakwuru</w:t>
      </w:r>
      <w:proofErr w:type="spellEnd"/>
      <w:r w:rsidRPr="00095284">
        <w:rPr>
          <w:rFonts w:cs="Arial"/>
          <w:szCs w:val="24"/>
          <w:lang w:val="en-GB"/>
        </w:rPr>
        <w:t xml:space="preserve">, V., Onyenahazi, O.B., Antwi, B.O. and </w:t>
      </w:r>
      <w:proofErr w:type="spellStart"/>
      <w:r w:rsidRPr="00095284">
        <w:rPr>
          <w:rFonts w:cs="Arial"/>
          <w:szCs w:val="24"/>
          <w:lang w:val="en-GB"/>
        </w:rPr>
        <w:t>Oyewale</w:t>
      </w:r>
      <w:proofErr w:type="spellEnd"/>
      <w:r w:rsidRPr="00095284">
        <w:rPr>
          <w:rFonts w:cs="Arial"/>
          <w:szCs w:val="24"/>
          <w:lang w:val="en-GB"/>
        </w:rPr>
        <w:t>, K. (2024). The impact of environmental, social, and governance (ESG) reporting on corporate financial performance. </w:t>
      </w:r>
      <w:r w:rsidRPr="00095284">
        <w:rPr>
          <w:rFonts w:cs="Arial"/>
          <w:i/>
          <w:iCs/>
          <w:szCs w:val="24"/>
          <w:lang w:val="en-GB"/>
        </w:rPr>
        <w:t>International Journal of Research Publication and Reviews</w:t>
      </w:r>
      <w:r w:rsidRPr="00095284">
        <w:rPr>
          <w:rFonts w:cs="Arial"/>
          <w:szCs w:val="24"/>
          <w:lang w:val="en-GB"/>
        </w:rPr>
        <w:t>, </w:t>
      </w:r>
      <w:r w:rsidRPr="00095284">
        <w:rPr>
          <w:rFonts w:cs="Arial"/>
          <w:i/>
          <w:iCs/>
          <w:szCs w:val="24"/>
          <w:lang w:val="en-GB"/>
        </w:rPr>
        <w:t>5</w:t>
      </w:r>
      <w:r w:rsidRPr="00095284">
        <w:rPr>
          <w:rFonts w:cs="Arial"/>
          <w:szCs w:val="24"/>
          <w:lang w:val="en-GB"/>
        </w:rPr>
        <w:t xml:space="preserve">(9), pp.3629-3644. </w:t>
      </w:r>
      <w:hyperlink r:id="rId12" w:history="1">
        <w:r w:rsidRPr="00095284">
          <w:rPr>
            <w:rStyle w:val="Hyperlink"/>
            <w:rFonts w:cs="Arial"/>
            <w:szCs w:val="24"/>
            <w:lang w:val="en-GB"/>
          </w:rPr>
          <w:t>https://www.researchgate.net/profile/Victoria-Agbakwuru/publication/384533952_The_Impact_of_Environmental_Social_and_Governance_ESG_Reporting_on_Corporate_Financial_Performance/links/66fc4427b753fa724d561989/The-Impact-of-Environmental-Social-and-Governance-ESG-Reporting-on-Corporate-Financial-Performance.pdf</w:t>
        </w:r>
      </w:hyperlink>
      <w:r w:rsidRPr="00095284">
        <w:rPr>
          <w:rFonts w:cs="Arial"/>
          <w:szCs w:val="24"/>
          <w:lang w:val="en-GB"/>
        </w:rPr>
        <w:t xml:space="preserve"> </w:t>
      </w:r>
    </w:p>
    <w:p w14:paraId="40DC97E2" w14:textId="77777777" w:rsidR="00095284" w:rsidRPr="00095284" w:rsidRDefault="00095284" w:rsidP="0023090D">
      <w:pPr>
        <w:rPr>
          <w:rFonts w:cs="Arial"/>
          <w:szCs w:val="24"/>
          <w:lang w:val="en-GB"/>
        </w:rPr>
      </w:pPr>
      <w:r w:rsidRPr="00095284">
        <w:rPr>
          <w:rFonts w:cs="Arial"/>
          <w:szCs w:val="24"/>
          <w:lang w:val="en-GB"/>
        </w:rPr>
        <w:t>Alfaro, L., Calani, M. and Varela, L. (2024). Firms, currency hedging, and financial derivatives. In </w:t>
      </w:r>
      <w:r w:rsidRPr="00095284">
        <w:rPr>
          <w:rFonts w:cs="Arial"/>
          <w:i/>
          <w:iCs/>
          <w:szCs w:val="24"/>
          <w:lang w:val="en-GB"/>
        </w:rPr>
        <w:t>Handbook of Financial Integration</w:t>
      </w:r>
      <w:r w:rsidRPr="00095284">
        <w:rPr>
          <w:rFonts w:cs="Arial"/>
          <w:szCs w:val="24"/>
          <w:lang w:val="en-GB"/>
        </w:rPr>
        <w:t xml:space="preserve"> (pp. 340-370). Edward Elgar Publishing. </w:t>
      </w:r>
    </w:p>
    <w:p w14:paraId="69BB9F60" w14:textId="77777777" w:rsidR="00095284" w:rsidRPr="00095284" w:rsidRDefault="00095284" w:rsidP="0023090D">
      <w:pPr>
        <w:rPr>
          <w:rFonts w:cs="Arial"/>
          <w:szCs w:val="24"/>
          <w:lang w:val="en-GB"/>
        </w:rPr>
      </w:pPr>
      <w:r w:rsidRPr="00095284">
        <w:rPr>
          <w:rFonts w:cs="Arial"/>
          <w:szCs w:val="24"/>
          <w:lang w:val="en-GB"/>
        </w:rPr>
        <w:t xml:space="preserve">Corporate Finance Institute (2025). </w:t>
      </w:r>
      <w:r w:rsidRPr="00095284">
        <w:rPr>
          <w:rFonts w:cs="Arial"/>
          <w:i/>
          <w:iCs/>
          <w:szCs w:val="24"/>
          <w:lang w:val="en-GB"/>
        </w:rPr>
        <w:t>Profitability Index</w:t>
      </w:r>
      <w:r w:rsidRPr="00095284">
        <w:rPr>
          <w:rFonts w:cs="Arial"/>
          <w:szCs w:val="24"/>
          <w:lang w:val="en-GB"/>
        </w:rPr>
        <w:t xml:space="preserve">. Available at: </w:t>
      </w:r>
      <w:hyperlink r:id="rId13" w:history="1">
        <w:r w:rsidRPr="00095284">
          <w:rPr>
            <w:rStyle w:val="Hyperlink"/>
            <w:rFonts w:cs="Arial"/>
            <w:szCs w:val="24"/>
            <w:lang w:val="en-GB"/>
          </w:rPr>
          <w:t>https://corporatefinanceinstitute.com/resources/accounting/profitability-index/</w:t>
        </w:r>
      </w:hyperlink>
      <w:r w:rsidRPr="00095284">
        <w:rPr>
          <w:rFonts w:cs="Arial"/>
          <w:szCs w:val="24"/>
          <w:lang w:val="en-GB"/>
        </w:rPr>
        <w:t xml:space="preserve"> (Accessed on 17th Dec 2025) </w:t>
      </w:r>
    </w:p>
    <w:p w14:paraId="5DDE23C1" w14:textId="77777777" w:rsidR="00095284" w:rsidRPr="00095284" w:rsidRDefault="00095284" w:rsidP="00B55832">
      <w:pPr>
        <w:rPr>
          <w:rFonts w:cs="Arial"/>
          <w:szCs w:val="24"/>
          <w:lang w:val="en-GB"/>
        </w:rPr>
      </w:pPr>
      <w:r w:rsidRPr="00095284">
        <w:rPr>
          <w:rFonts w:cs="Arial"/>
          <w:szCs w:val="24"/>
          <w:lang w:val="en-GB"/>
        </w:rPr>
        <w:t xml:space="preserve">Deloitte (2024). </w:t>
      </w:r>
      <w:r w:rsidRPr="00095284">
        <w:rPr>
          <w:rFonts w:cs="Arial"/>
          <w:i/>
          <w:szCs w:val="24"/>
          <w:lang w:val="en-GB"/>
        </w:rPr>
        <w:t>Managing liquidity before inflation heats up</w:t>
      </w:r>
      <w:r w:rsidRPr="00095284">
        <w:rPr>
          <w:rFonts w:cs="Arial"/>
          <w:szCs w:val="24"/>
          <w:lang w:val="en-GB"/>
        </w:rPr>
        <w:t xml:space="preserve">. Available at: </w:t>
      </w:r>
      <w:hyperlink r:id="rId14" w:history="1">
        <w:r w:rsidRPr="00095284">
          <w:rPr>
            <w:rStyle w:val="Hyperlink"/>
            <w:rFonts w:cs="Arial"/>
            <w:szCs w:val="24"/>
            <w:lang w:val="en-GB"/>
          </w:rPr>
          <w:t>https://www.deloitte.com/us/en/services/consulting/articles/working-capital-improvement.html</w:t>
        </w:r>
      </w:hyperlink>
      <w:r w:rsidRPr="00095284">
        <w:rPr>
          <w:rFonts w:cs="Arial"/>
          <w:szCs w:val="24"/>
          <w:lang w:val="en-GB"/>
        </w:rPr>
        <w:t xml:space="preserve"> (Accessed on 15th Dec 2025)</w:t>
      </w:r>
    </w:p>
    <w:p w14:paraId="2E0E82F3" w14:textId="77777777" w:rsidR="00095284" w:rsidRPr="00095284" w:rsidRDefault="00095284" w:rsidP="0023090D">
      <w:pPr>
        <w:rPr>
          <w:rFonts w:cs="Arial"/>
          <w:szCs w:val="24"/>
          <w:lang w:val="en-GB"/>
        </w:rPr>
      </w:pPr>
      <w:r w:rsidRPr="00095284">
        <w:rPr>
          <w:rFonts w:cs="Arial"/>
          <w:szCs w:val="24"/>
          <w:lang w:val="en-GB"/>
        </w:rPr>
        <w:t>Feldman, E.R. (2021). </w:t>
      </w:r>
      <w:r w:rsidRPr="00095284">
        <w:rPr>
          <w:rFonts w:cs="Arial"/>
          <w:i/>
          <w:iCs/>
          <w:szCs w:val="24"/>
          <w:lang w:val="en-GB"/>
        </w:rPr>
        <w:t>Restructuring and divestitures</w:t>
      </w:r>
      <w:r w:rsidRPr="00095284">
        <w:rPr>
          <w:rFonts w:cs="Arial"/>
          <w:szCs w:val="24"/>
          <w:lang w:val="en-GB"/>
        </w:rPr>
        <w:t xml:space="preserve"> (pp. 153-166). New York, NY: Oxford University Press. </w:t>
      </w:r>
      <w:hyperlink r:id="rId15" w:history="1">
        <w:r w:rsidRPr="00095284">
          <w:rPr>
            <w:rStyle w:val="Hyperlink"/>
            <w:rFonts w:cs="Arial"/>
            <w:szCs w:val="24"/>
            <w:lang w:val="en-GB"/>
          </w:rPr>
          <w:t>https://faculty.wharton.upenn.edu/wp-content/uploads/2016/11/Restructuring-and-Divestitures.pdf</w:t>
        </w:r>
      </w:hyperlink>
      <w:r w:rsidRPr="00095284">
        <w:rPr>
          <w:rFonts w:cs="Arial"/>
          <w:szCs w:val="24"/>
          <w:lang w:val="en-GB"/>
        </w:rPr>
        <w:t xml:space="preserve"> </w:t>
      </w:r>
    </w:p>
    <w:p w14:paraId="7DC263F7" w14:textId="262EAD84" w:rsidR="00095284" w:rsidRPr="00095284" w:rsidRDefault="00095284" w:rsidP="00B55832">
      <w:pPr>
        <w:rPr>
          <w:rFonts w:cs="Arial"/>
          <w:szCs w:val="24"/>
          <w:lang w:val="en-GB"/>
        </w:rPr>
      </w:pPr>
      <w:r w:rsidRPr="00095284">
        <w:rPr>
          <w:rFonts w:cs="Arial"/>
          <w:szCs w:val="24"/>
          <w:lang w:val="en-GB"/>
        </w:rPr>
        <w:lastRenderedPageBreak/>
        <w:t>Gopalan, R., M.</w:t>
      </w:r>
      <w:r w:rsidR="00A700AF">
        <w:rPr>
          <w:rFonts w:cs="Arial"/>
          <w:szCs w:val="24"/>
          <w:lang w:val="en-GB"/>
        </w:rPr>
        <w:t xml:space="preserve"> </w:t>
      </w:r>
      <w:r w:rsidRPr="00095284">
        <w:rPr>
          <w:rFonts w:cs="Arial"/>
          <w:szCs w:val="24"/>
          <w:lang w:val="en-GB"/>
        </w:rPr>
        <w:t xml:space="preserve">(2025). Optimizing Accounts Payable: Best Practices for Efficiency and Cost Savings. </w:t>
      </w:r>
      <w:r w:rsidRPr="00095284">
        <w:rPr>
          <w:rFonts w:cs="Arial"/>
          <w:i/>
          <w:szCs w:val="24"/>
          <w:lang w:val="en-GB"/>
        </w:rPr>
        <w:t>Drip</w:t>
      </w:r>
      <w:r w:rsidR="00A700AF">
        <w:rPr>
          <w:rFonts w:cs="Arial"/>
          <w:i/>
          <w:szCs w:val="24"/>
          <w:lang w:val="en-GB"/>
        </w:rPr>
        <w:t xml:space="preserve"> </w:t>
      </w:r>
      <w:r w:rsidRPr="00095284">
        <w:rPr>
          <w:rFonts w:cs="Arial"/>
          <w:i/>
          <w:szCs w:val="24"/>
          <w:lang w:val="en-GB"/>
        </w:rPr>
        <w:t>capital</w:t>
      </w:r>
      <w:r w:rsidRPr="00095284">
        <w:rPr>
          <w:rFonts w:cs="Arial"/>
          <w:szCs w:val="24"/>
          <w:lang w:val="en-GB"/>
        </w:rPr>
        <w:t xml:space="preserve">. Available at: </w:t>
      </w:r>
      <w:hyperlink r:id="rId16" w:history="1">
        <w:r w:rsidRPr="00095284">
          <w:rPr>
            <w:rStyle w:val="Hyperlink"/>
            <w:rFonts w:cs="Arial"/>
            <w:szCs w:val="24"/>
            <w:lang w:val="en-GB"/>
          </w:rPr>
          <w:t>https://www.dripcapital.com/en-us/resources/blog/accounts-payable-optimization-tips</w:t>
        </w:r>
      </w:hyperlink>
      <w:r w:rsidRPr="00095284">
        <w:rPr>
          <w:rFonts w:cs="Arial"/>
          <w:szCs w:val="24"/>
          <w:lang w:val="en-GB"/>
        </w:rPr>
        <w:t xml:space="preserve"> (Accessed on 15th Dec 2025)</w:t>
      </w:r>
    </w:p>
    <w:p w14:paraId="2581E3B5" w14:textId="77777777" w:rsidR="00095284" w:rsidRPr="00095284" w:rsidRDefault="00095284" w:rsidP="0023090D">
      <w:pPr>
        <w:rPr>
          <w:rFonts w:cs="Arial"/>
          <w:szCs w:val="24"/>
          <w:lang w:val="en-GB"/>
        </w:rPr>
      </w:pPr>
      <w:r w:rsidRPr="00095284">
        <w:rPr>
          <w:rFonts w:cs="Arial"/>
          <w:szCs w:val="24"/>
          <w:lang w:val="en-GB"/>
        </w:rPr>
        <w:t xml:space="preserve">Gov.UK (2025). </w:t>
      </w:r>
      <w:r w:rsidRPr="00095284">
        <w:rPr>
          <w:rFonts w:cs="Arial"/>
          <w:i/>
          <w:iCs/>
          <w:szCs w:val="24"/>
          <w:lang w:val="en-GB"/>
        </w:rPr>
        <w:t>Capital Gains Tax: what you pay it on, rates and allowances</w:t>
      </w:r>
      <w:r w:rsidRPr="00095284">
        <w:rPr>
          <w:rFonts w:cs="Arial"/>
          <w:szCs w:val="24"/>
          <w:lang w:val="en-GB"/>
        </w:rPr>
        <w:t xml:space="preserve">. Available at: </w:t>
      </w:r>
      <w:hyperlink r:id="rId17" w:history="1">
        <w:r w:rsidRPr="00095284">
          <w:rPr>
            <w:rStyle w:val="Hyperlink"/>
            <w:rFonts w:cs="Arial"/>
            <w:szCs w:val="24"/>
            <w:lang w:val="en-GB"/>
          </w:rPr>
          <w:t>https://www.gov.uk/capital-gains-tax</w:t>
        </w:r>
      </w:hyperlink>
      <w:r w:rsidRPr="00095284">
        <w:rPr>
          <w:rFonts w:cs="Arial"/>
          <w:szCs w:val="24"/>
          <w:lang w:val="en-GB"/>
        </w:rPr>
        <w:t xml:space="preserve"> (Accessed on 16th Dec 2025) </w:t>
      </w:r>
    </w:p>
    <w:p w14:paraId="03095CAB" w14:textId="77777777" w:rsidR="00095284" w:rsidRPr="00095284" w:rsidRDefault="00095284" w:rsidP="0023090D">
      <w:pPr>
        <w:rPr>
          <w:rFonts w:cs="Arial"/>
          <w:szCs w:val="24"/>
          <w:lang w:val="en-GB"/>
        </w:rPr>
      </w:pPr>
      <w:r w:rsidRPr="00095284">
        <w:rPr>
          <w:rFonts w:cs="Arial"/>
          <w:szCs w:val="24"/>
          <w:lang w:val="en-GB"/>
        </w:rPr>
        <w:t xml:space="preserve">Indeed (2025). </w:t>
      </w:r>
      <w:r w:rsidRPr="00095284">
        <w:rPr>
          <w:rFonts w:cs="Arial"/>
          <w:i/>
          <w:iCs/>
          <w:szCs w:val="24"/>
          <w:lang w:val="en-GB"/>
        </w:rPr>
        <w:t xml:space="preserve">What Is </w:t>
      </w:r>
      <w:proofErr w:type="gramStart"/>
      <w:r w:rsidRPr="00095284">
        <w:rPr>
          <w:rFonts w:cs="Arial"/>
          <w:i/>
          <w:iCs/>
          <w:szCs w:val="24"/>
          <w:lang w:val="en-GB"/>
        </w:rPr>
        <w:t>The</w:t>
      </w:r>
      <w:proofErr w:type="gramEnd"/>
      <w:r w:rsidRPr="00095284">
        <w:rPr>
          <w:rFonts w:cs="Arial"/>
          <w:i/>
          <w:iCs/>
          <w:szCs w:val="24"/>
          <w:lang w:val="en-GB"/>
        </w:rPr>
        <w:t xml:space="preserve"> Profitability Index? (And How </w:t>
      </w:r>
      <w:proofErr w:type="gramStart"/>
      <w:r w:rsidRPr="00095284">
        <w:rPr>
          <w:rFonts w:cs="Arial"/>
          <w:i/>
          <w:iCs/>
          <w:szCs w:val="24"/>
          <w:lang w:val="en-GB"/>
        </w:rPr>
        <w:t>To</w:t>
      </w:r>
      <w:proofErr w:type="gramEnd"/>
      <w:r w:rsidRPr="00095284">
        <w:rPr>
          <w:rFonts w:cs="Arial"/>
          <w:i/>
          <w:iCs/>
          <w:szCs w:val="24"/>
          <w:lang w:val="en-GB"/>
        </w:rPr>
        <w:t xml:space="preserve"> Calculate It)</w:t>
      </w:r>
      <w:r w:rsidRPr="00095284">
        <w:rPr>
          <w:rFonts w:cs="Arial"/>
          <w:szCs w:val="24"/>
          <w:lang w:val="en-GB"/>
        </w:rPr>
        <w:t xml:space="preserve">. Available at: </w:t>
      </w:r>
      <w:hyperlink r:id="rId18" w:history="1">
        <w:r w:rsidRPr="00095284">
          <w:rPr>
            <w:rStyle w:val="Hyperlink"/>
            <w:rFonts w:cs="Arial"/>
            <w:szCs w:val="24"/>
            <w:lang w:val="en-GB"/>
          </w:rPr>
          <w:t>https://in.indeed.com/career-advice/career-development/profitability-index</w:t>
        </w:r>
      </w:hyperlink>
      <w:r w:rsidRPr="00095284">
        <w:rPr>
          <w:rFonts w:cs="Arial"/>
          <w:szCs w:val="24"/>
          <w:lang w:val="en-GB"/>
        </w:rPr>
        <w:t xml:space="preserve"> (Accessed on 17th Dec 2025) </w:t>
      </w:r>
    </w:p>
    <w:p w14:paraId="1934AB4B" w14:textId="77777777" w:rsidR="00095284" w:rsidRPr="00095284" w:rsidRDefault="00095284" w:rsidP="0023090D">
      <w:pPr>
        <w:rPr>
          <w:rFonts w:cs="Arial"/>
          <w:szCs w:val="24"/>
          <w:lang w:val="en-GB"/>
        </w:rPr>
      </w:pPr>
      <w:proofErr w:type="spellStart"/>
      <w:r w:rsidRPr="00095284">
        <w:rPr>
          <w:rFonts w:cs="Arial"/>
          <w:szCs w:val="24"/>
          <w:lang w:val="en-GB"/>
        </w:rPr>
        <w:t>Mavlutova</w:t>
      </w:r>
      <w:proofErr w:type="spellEnd"/>
      <w:r w:rsidRPr="00095284">
        <w:rPr>
          <w:rFonts w:cs="Arial"/>
          <w:szCs w:val="24"/>
          <w:lang w:val="en-GB"/>
        </w:rPr>
        <w:t xml:space="preserve">, I., Babenko, V., Dykan, V., Prokopenko, N., </w:t>
      </w:r>
      <w:proofErr w:type="spellStart"/>
      <w:r w:rsidRPr="00095284">
        <w:rPr>
          <w:rFonts w:cs="Arial"/>
          <w:szCs w:val="24"/>
          <w:lang w:val="en-GB"/>
        </w:rPr>
        <w:t>Kalinichenko</w:t>
      </w:r>
      <w:proofErr w:type="spellEnd"/>
      <w:r w:rsidRPr="00095284">
        <w:rPr>
          <w:rFonts w:cs="Arial"/>
          <w:szCs w:val="24"/>
          <w:lang w:val="en-GB"/>
        </w:rPr>
        <w:t xml:space="preserve">, S. and </w:t>
      </w:r>
      <w:proofErr w:type="spellStart"/>
      <w:r w:rsidRPr="00095284">
        <w:rPr>
          <w:rFonts w:cs="Arial"/>
          <w:szCs w:val="24"/>
          <w:lang w:val="en-GB"/>
        </w:rPr>
        <w:t>Tokmakova</w:t>
      </w:r>
      <w:proofErr w:type="spellEnd"/>
      <w:r w:rsidRPr="00095284">
        <w:rPr>
          <w:rFonts w:cs="Arial"/>
          <w:szCs w:val="24"/>
          <w:lang w:val="en-GB"/>
        </w:rPr>
        <w:t xml:space="preserve">, I. (2021). Business restructuring as a method of </w:t>
      </w:r>
      <w:proofErr w:type="spellStart"/>
      <w:r w:rsidRPr="00095284">
        <w:rPr>
          <w:rFonts w:cs="Arial"/>
          <w:szCs w:val="24"/>
          <w:lang w:val="en-GB"/>
        </w:rPr>
        <w:t>strengtening</w:t>
      </w:r>
      <w:proofErr w:type="spellEnd"/>
      <w:r w:rsidRPr="00095284">
        <w:rPr>
          <w:rFonts w:cs="Arial"/>
          <w:szCs w:val="24"/>
          <w:lang w:val="en-GB"/>
        </w:rPr>
        <w:t xml:space="preserve"> company’s financial position. </w:t>
      </w:r>
      <w:r w:rsidRPr="00095284">
        <w:rPr>
          <w:rFonts w:cs="Arial"/>
          <w:i/>
          <w:iCs/>
          <w:szCs w:val="24"/>
          <w:lang w:val="en-GB"/>
        </w:rPr>
        <w:t>Journal of Optimization in Industrial Engineering</w:t>
      </w:r>
      <w:r w:rsidRPr="00095284">
        <w:rPr>
          <w:rFonts w:cs="Arial"/>
          <w:szCs w:val="24"/>
          <w:lang w:val="en-GB"/>
        </w:rPr>
        <w:t>, </w:t>
      </w:r>
      <w:r w:rsidRPr="00095284">
        <w:rPr>
          <w:rFonts w:cs="Arial"/>
          <w:i/>
          <w:iCs/>
          <w:szCs w:val="24"/>
          <w:lang w:val="en-GB"/>
        </w:rPr>
        <w:t>14</w:t>
      </w:r>
      <w:r w:rsidRPr="00095284">
        <w:rPr>
          <w:rFonts w:cs="Arial"/>
          <w:szCs w:val="24"/>
          <w:lang w:val="en-GB"/>
        </w:rPr>
        <w:t xml:space="preserve">(1), pp.129-139. DOI: 10.22094/JOIE.2020.677839  </w:t>
      </w:r>
    </w:p>
    <w:p w14:paraId="149C254E" w14:textId="1E40FECA" w:rsidR="00095284" w:rsidRPr="00095284" w:rsidRDefault="00095284" w:rsidP="00B55832">
      <w:pPr>
        <w:rPr>
          <w:rFonts w:cs="Arial"/>
          <w:szCs w:val="24"/>
          <w:lang w:val="en-GB"/>
        </w:rPr>
      </w:pPr>
      <w:proofErr w:type="spellStart"/>
      <w:r w:rsidRPr="00095284">
        <w:rPr>
          <w:rFonts w:cs="Arial"/>
          <w:szCs w:val="24"/>
          <w:lang w:val="en-GB"/>
        </w:rPr>
        <w:t>Mcclure</w:t>
      </w:r>
      <w:proofErr w:type="spellEnd"/>
      <w:r w:rsidRPr="00095284">
        <w:rPr>
          <w:rFonts w:cs="Arial"/>
          <w:szCs w:val="24"/>
          <w:lang w:val="en-GB"/>
        </w:rPr>
        <w:t xml:space="preserve">, B. (2025). </w:t>
      </w:r>
      <w:r w:rsidRPr="00095284">
        <w:rPr>
          <w:rFonts w:cs="Arial"/>
          <w:i/>
          <w:szCs w:val="24"/>
          <w:lang w:val="en-GB"/>
        </w:rPr>
        <w:t>How to Analyze a Company's Financial Position</w:t>
      </w:r>
      <w:r w:rsidRPr="00095284">
        <w:rPr>
          <w:rFonts w:cs="Arial"/>
          <w:szCs w:val="24"/>
          <w:lang w:val="en-GB"/>
        </w:rPr>
        <w:t xml:space="preserve">. Available at: </w:t>
      </w:r>
      <w:hyperlink r:id="rId19" w:history="1">
        <w:r w:rsidRPr="00095284">
          <w:rPr>
            <w:rStyle w:val="Hyperlink"/>
            <w:rFonts w:cs="Arial"/>
            <w:szCs w:val="24"/>
            <w:lang w:val="en-GB"/>
          </w:rPr>
          <w:t>https://www.investopedia.com/articles/fundamental/04/063004.asp</w:t>
        </w:r>
      </w:hyperlink>
      <w:r w:rsidRPr="00095284">
        <w:rPr>
          <w:rFonts w:cs="Arial"/>
          <w:szCs w:val="24"/>
          <w:lang w:val="en-GB"/>
        </w:rPr>
        <w:t xml:space="preserve"> (Accessed on 15th Dec 2025)</w:t>
      </w:r>
    </w:p>
    <w:p w14:paraId="454FEFA3" w14:textId="77777777" w:rsidR="00095284" w:rsidRPr="00095284" w:rsidRDefault="00095284" w:rsidP="0023090D">
      <w:pPr>
        <w:rPr>
          <w:rFonts w:cs="Arial"/>
          <w:szCs w:val="24"/>
          <w:lang w:val="en-GB"/>
        </w:rPr>
      </w:pPr>
      <w:r w:rsidRPr="00095284">
        <w:rPr>
          <w:rFonts w:cs="Arial"/>
          <w:szCs w:val="24"/>
          <w:lang w:val="en-GB"/>
        </w:rPr>
        <w:t xml:space="preserve">Mwangi, B.M. and </w:t>
      </w:r>
      <w:proofErr w:type="spellStart"/>
      <w:r w:rsidRPr="00095284">
        <w:rPr>
          <w:rFonts w:cs="Arial"/>
          <w:szCs w:val="24"/>
          <w:lang w:val="en-GB"/>
        </w:rPr>
        <w:t>Jagongo</w:t>
      </w:r>
      <w:proofErr w:type="spellEnd"/>
      <w:r w:rsidRPr="00095284">
        <w:rPr>
          <w:rFonts w:cs="Arial"/>
          <w:szCs w:val="24"/>
          <w:lang w:val="en-GB"/>
        </w:rPr>
        <w:t>, A.O. (2021). Effect of Organization Redesign Strategy on Performance of Commercial Banks in Nairobi County, Kenya. </w:t>
      </w:r>
      <w:r w:rsidRPr="00095284">
        <w:rPr>
          <w:rFonts w:cs="Arial"/>
          <w:i/>
          <w:iCs/>
          <w:szCs w:val="24"/>
          <w:lang w:val="en-GB"/>
        </w:rPr>
        <w:t>Journal of Finance and Accounting</w:t>
      </w:r>
      <w:r w:rsidRPr="00095284">
        <w:rPr>
          <w:rFonts w:cs="Arial"/>
          <w:szCs w:val="24"/>
          <w:lang w:val="en-GB"/>
        </w:rPr>
        <w:t>, </w:t>
      </w:r>
      <w:r w:rsidRPr="00095284">
        <w:rPr>
          <w:rFonts w:cs="Arial"/>
          <w:i/>
          <w:iCs/>
          <w:szCs w:val="24"/>
          <w:lang w:val="en-GB"/>
        </w:rPr>
        <w:t>1</w:t>
      </w:r>
      <w:r w:rsidRPr="00095284">
        <w:rPr>
          <w:rFonts w:cs="Arial"/>
          <w:szCs w:val="24"/>
          <w:lang w:val="en-GB"/>
        </w:rPr>
        <w:t xml:space="preserve">(2), pp.23-33. </w:t>
      </w:r>
      <w:hyperlink r:id="rId20" w:history="1">
        <w:r w:rsidRPr="00095284">
          <w:rPr>
            <w:rStyle w:val="Hyperlink"/>
            <w:rFonts w:cs="Arial"/>
            <w:szCs w:val="24"/>
            <w:lang w:val="en-GB"/>
          </w:rPr>
          <w:t>https://doi.org/10.70619/vol1iss2pp23-33</w:t>
        </w:r>
      </w:hyperlink>
      <w:r w:rsidRPr="00095284">
        <w:rPr>
          <w:rFonts w:cs="Arial"/>
          <w:szCs w:val="24"/>
          <w:lang w:val="en-GB"/>
        </w:rPr>
        <w:t xml:space="preserve"> </w:t>
      </w:r>
    </w:p>
    <w:p w14:paraId="26A912F0" w14:textId="77777777" w:rsidR="00095284" w:rsidRPr="00095284" w:rsidRDefault="00095284" w:rsidP="00B55832">
      <w:pPr>
        <w:rPr>
          <w:rFonts w:cs="Arial"/>
          <w:szCs w:val="24"/>
          <w:lang w:val="en-GB"/>
        </w:rPr>
      </w:pPr>
      <w:r w:rsidRPr="00095284">
        <w:rPr>
          <w:rFonts w:cs="Arial"/>
          <w:szCs w:val="24"/>
          <w:lang w:val="en-GB"/>
        </w:rPr>
        <w:t xml:space="preserve">Ojha, M.K., Sharma, C.P., Saluja, S. and Kumar, D.R. (2021). Impact Of Working Capital Management </w:t>
      </w:r>
      <w:proofErr w:type="gramStart"/>
      <w:r w:rsidRPr="00095284">
        <w:rPr>
          <w:rFonts w:cs="Arial"/>
          <w:szCs w:val="24"/>
          <w:lang w:val="en-GB"/>
        </w:rPr>
        <w:t>On</w:t>
      </w:r>
      <w:proofErr w:type="gramEnd"/>
      <w:r w:rsidRPr="00095284">
        <w:rPr>
          <w:rFonts w:cs="Arial"/>
          <w:szCs w:val="24"/>
          <w:lang w:val="en-GB"/>
        </w:rPr>
        <w:t xml:space="preserve"> Firms’ Profitability </w:t>
      </w:r>
      <w:proofErr w:type="gramStart"/>
      <w:r w:rsidRPr="00095284">
        <w:rPr>
          <w:rFonts w:cs="Arial"/>
          <w:szCs w:val="24"/>
          <w:lang w:val="en-GB"/>
        </w:rPr>
        <w:t>And</w:t>
      </w:r>
      <w:proofErr w:type="gramEnd"/>
      <w:r w:rsidRPr="00095284">
        <w:rPr>
          <w:rFonts w:cs="Arial"/>
          <w:szCs w:val="24"/>
          <w:lang w:val="en-GB"/>
        </w:rPr>
        <w:t xml:space="preserve"> Liquidity: A Critical Assessment. </w:t>
      </w:r>
      <w:proofErr w:type="spellStart"/>
      <w:r w:rsidRPr="00095284">
        <w:rPr>
          <w:rFonts w:cs="Arial"/>
          <w:i/>
          <w:iCs/>
          <w:szCs w:val="24"/>
          <w:lang w:val="en-GB"/>
        </w:rPr>
        <w:t>Ilkogretim</w:t>
      </w:r>
      <w:proofErr w:type="spellEnd"/>
      <w:r w:rsidRPr="00095284">
        <w:rPr>
          <w:rFonts w:cs="Arial"/>
          <w:i/>
          <w:iCs/>
          <w:szCs w:val="24"/>
          <w:lang w:val="en-GB"/>
        </w:rPr>
        <w:t xml:space="preserve"> Online</w:t>
      </w:r>
      <w:r w:rsidRPr="00095284">
        <w:rPr>
          <w:rFonts w:cs="Arial"/>
          <w:szCs w:val="24"/>
          <w:lang w:val="en-GB"/>
        </w:rPr>
        <w:t>, </w:t>
      </w:r>
      <w:r w:rsidRPr="00095284">
        <w:rPr>
          <w:rFonts w:cs="Arial"/>
          <w:i/>
          <w:iCs/>
          <w:szCs w:val="24"/>
          <w:lang w:val="en-GB"/>
        </w:rPr>
        <w:t>20</w:t>
      </w:r>
      <w:r w:rsidRPr="00095284">
        <w:rPr>
          <w:rFonts w:cs="Arial"/>
          <w:szCs w:val="24"/>
          <w:lang w:val="en-GB"/>
        </w:rPr>
        <w:t xml:space="preserve">(2), pp.2572-2584. </w:t>
      </w:r>
      <w:proofErr w:type="spellStart"/>
      <w:r w:rsidRPr="00095284">
        <w:rPr>
          <w:rFonts w:cs="Arial"/>
          <w:szCs w:val="24"/>
          <w:lang w:val="en-GB"/>
        </w:rPr>
        <w:t>doi</w:t>
      </w:r>
      <w:proofErr w:type="spellEnd"/>
      <w:r w:rsidRPr="00095284">
        <w:rPr>
          <w:rFonts w:cs="Arial"/>
          <w:szCs w:val="24"/>
          <w:lang w:val="en-GB"/>
        </w:rPr>
        <w:t xml:space="preserve">: 10.17051/ilkonline.2021.02.274 </w:t>
      </w:r>
    </w:p>
    <w:p w14:paraId="53270C41" w14:textId="77777777" w:rsidR="00095284" w:rsidRPr="00095284" w:rsidRDefault="00095284" w:rsidP="0023090D">
      <w:pPr>
        <w:rPr>
          <w:rFonts w:cs="Arial"/>
          <w:szCs w:val="24"/>
          <w:lang w:val="en-GB"/>
        </w:rPr>
      </w:pPr>
      <w:r w:rsidRPr="00095284">
        <w:rPr>
          <w:rFonts w:cs="Arial"/>
          <w:szCs w:val="24"/>
          <w:lang w:val="en-GB"/>
        </w:rPr>
        <w:t>Rogova, E., Kirichenko, M. and Lebedeva, D. (2023). Do Mergers and Acquisitions Promote R&amp;D? The Case of European Innovation and Technology sector. </w:t>
      </w:r>
      <w:proofErr w:type="spellStart"/>
      <w:r w:rsidRPr="00095284">
        <w:rPr>
          <w:rFonts w:cs="Arial"/>
          <w:i/>
          <w:iCs/>
          <w:szCs w:val="24"/>
          <w:lang w:val="en-GB"/>
        </w:rPr>
        <w:t>Корпоративные</w:t>
      </w:r>
      <w:proofErr w:type="spellEnd"/>
      <w:r w:rsidRPr="00095284">
        <w:rPr>
          <w:rFonts w:cs="Arial"/>
          <w:i/>
          <w:iCs/>
          <w:szCs w:val="24"/>
          <w:lang w:val="en-GB"/>
        </w:rPr>
        <w:t xml:space="preserve"> </w:t>
      </w:r>
      <w:proofErr w:type="spellStart"/>
      <w:r w:rsidRPr="00095284">
        <w:rPr>
          <w:rFonts w:cs="Arial"/>
          <w:i/>
          <w:iCs/>
          <w:szCs w:val="24"/>
          <w:lang w:val="en-GB"/>
        </w:rPr>
        <w:t>финансы</w:t>
      </w:r>
      <w:proofErr w:type="spellEnd"/>
      <w:r w:rsidRPr="00095284">
        <w:rPr>
          <w:rFonts w:cs="Arial"/>
          <w:szCs w:val="24"/>
          <w:lang w:val="en-GB"/>
        </w:rPr>
        <w:t>, </w:t>
      </w:r>
      <w:r w:rsidRPr="00095284">
        <w:rPr>
          <w:rFonts w:cs="Arial"/>
          <w:i/>
          <w:iCs/>
          <w:szCs w:val="24"/>
          <w:lang w:val="en-GB"/>
        </w:rPr>
        <w:t>17</w:t>
      </w:r>
      <w:r w:rsidRPr="00095284">
        <w:rPr>
          <w:rFonts w:cs="Arial"/>
          <w:szCs w:val="24"/>
          <w:lang w:val="en-GB"/>
        </w:rPr>
        <w:t xml:space="preserve">(4), pp.5-18. </w:t>
      </w:r>
      <w:hyperlink r:id="rId21" w:history="1">
        <w:r w:rsidRPr="00095284">
          <w:rPr>
            <w:rStyle w:val="Hyperlink"/>
            <w:rFonts w:cs="Arial"/>
            <w:szCs w:val="24"/>
            <w:lang w:val="en-GB"/>
          </w:rPr>
          <w:t>https://doi.org/10.17323/j. jcfr.2073-0438.17.4.2023.5-18</w:t>
        </w:r>
      </w:hyperlink>
      <w:r w:rsidRPr="00095284">
        <w:rPr>
          <w:rFonts w:cs="Arial"/>
          <w:szCs w:val="24"/>
          <w:lang w:val="en-GB"/>
        </w:rPr>
        <w:t xml:space="preserve"> </w:t>
      </w:r>
    </w:p>
    <w:p w14:paraId="1C0DEA9D" w14:textId="77777777" w:rsidR="00095284" w:rsidRPr="00095284" w:rsidRDefault="00095284" w:rsidP="0023090D">
      <w:pPr>
        <w:rPr>
          <w:rFonts w:cs="Arial"/>
          <w:szCs w:val="24"/>
          <w:lang w:val="en-GB"/>
        </w:rPr>
      </w:pPr>
      <w:r w:rsidRPr="00095284">
        <w:rPr>
          <w:rFonts w:cs="Arial"/>
          <w:szCs w:val="24"/>
          <w:lang w:val="en-GB"/>
        </w:rPr>
        <w:t xml:space="preserve">Singhal, B. (2023). </w:t>
      </w:r>
      <w:r w:rsidRPr="00095284">
        <w:rPr>
          <w:rFonts w:cs="Arial"/>
          <w:i/>
          <w:iCs/>
          <w:szCs w:val="24"/>
          <w:lang w:val="en-GB"/>
        </w:rPr>
        <w:t>Different Types of Corporate Restructuring</w:t>
      </w:r>
      <w:r w:rsidRPr="00095284">
        <w:rPr>
          <w:rFonts w:cs="Arial"/>
          <w:szCs w:val="24"/>
          <w:lang w:val="en-GB"/>
        </w:rPr>
        <w:t xml:space="preserve">. Available at: </w:t>
      </w:r>
      <w:hyperlink r:id="rId22" w:history="1">
        <w:r w:rsidRPr="00095284">
          <w:rPr>
            <w:rStyle w:val="Hyperlink"/>
            <w:rFonts w:cs="Arial"/>
            <w:szCs w:val="24"/>
            <w:lang w:val="en-GB"/>
          </w:rPr>
          <w:t>https://www.fe.training/free-resources/restructuring/different-types-of-corporate-restructuring/</w:t>
        </w:r>
      </w:hyperlink>
      <w:r w:rsidRPr="00095284">
        <w:rPr>
          <w:rFonts w:cs="Arial"/>
          <w:szCs w:val="24"/>
          <w:lang w:val="en-GB"/>
        </w:rPr>
        <w:t xml:space="preserve"> (Accessed on 16th Dec 2025) </w:t>
      </w:r>
    </w:p>
    <w:p w14:paraId="5CEE4A12" w14:textId="77777777" w:rsidR="00095284" w:rsidRPr="00095284" w:rsidRDefault="00095284" w:rsidP="0023090D">
      <w:pPr>
        <w:rPr>
          <w:rFonts w:cs="Arial"/>
          <w:szCs w:val="24"/>
          <w:lang w:val="en-GB"/>
        </w:rPr>
      </w:pPr>
      <w:r w:rsidRPr="00095284">
        <w:rPr>
          <w:rFonts w:cs="Arial"/>
          <w:szCs w:val="24"/>
          <w:lang w:val="en-GB"/>
        </w:rPr>
        <w:lastRenderedPageBreak/>
        <w:t xml:space="preserve">Singhal, B. (2024). </w:t>
      </w:r>
      <w:r w:rsidRPr="00095284">
        <w:rPr>
          <w:rFonts w:cs="Arial"/>
          <w:i/>
          <w:iCs/>
          <w:szCs w:val="24"/>
          <w:lang w:val="en-GB"/>
        </w:rPr>
        <w:t>Net Present Value vs Internal Rate of Return</w:t>
      </w:r>
      <w:r w:rsidRPr="00095284">
        <w:rPr>
          <w:rFonts w:cs="Arial"/>
          <w:szCs w:val="24"/>
          <w:lang w:val="en-GB"/>
        </w:rPr>
        <w:t xml:space="preserve">. Available at:  </w:t>
      </w:r>
      <w:hyperlink r:id="rId23" w:history="1">
        <w:r w:rsidRPr="00095284">
          <w:rPr>
            <w:rStyle w:val="Hyperlink"/>
            <w:rFonts w:cs="Arial"/>
            <w:szCs w:val="24"/>
            <w:lang w:val="en-GB"/>
          </w:rPr>
          <w:t>https://www.fe.training/free-resources/valuation/net-present-value-vs-internal-rate-of-return/</w:t>
        </w:r>
      </w:hyperlink>
      <w:r w:rsidRPr="00095284">
        <w:rPr>
          <w:rFonts w:cs="Arial"/>
          <w:szCs w:val="24"/>
          <w:lang w:val="en-GB"/>
        </w:rPr>
        <w:t xml:space="preserve"> (Accessed on 17th Dec 2025)  </w:t>
      </w:r>
    </w:p>
    <w:p w14:paraId="3C9C87DB" w14:textId="610FF7C4" w:rsidR="00095284" w:rsidRPr="00095284" w:rsidRDefault="00095284" w:rsidP="00B55832">
      <w:pPr>
        <w:rPr>
          <w:rFonts w:cs="Arial"/>
          <w:szCs w:val="24"/>
          <w:lang w:val="en-GB"/>
        </w:rPr>
      </w:pPr>
      <w:r w:rsidRPr="00095284">
        <w:rPr>
          <w:rFonts w:cs="Arial"/>
          <w:szCs w:val="24"/>
          <w:lang w:val="en-GB"/>
        </w:rPr>
        <w:t xml:space="preserve">Stobierski, T. (2020). How to Read &amp; Understand an Income Statement. </w:t>
      </w:r>
      <w:proofErr w:type="spellStart"/>
      <w:r w:rsidRPr="00095284">
        <w:rPr>
          <w:rFonts w:cs="Arial"/>
          <w:i/>
          <w:szCs w:val="24"/>
          <w:lang w:val="en-GB"/>
        </w:rPr>
        <w:t>Hbs</w:t>
      </w:r>
      <w:proofErr w:type="spellEnd"/>
      <w:r w:rsidRPr="00095284">
        <w:rPr>
          <w:rFonts w:cs="Arial"/>
          <w:i/>
          <w:szCs w:val="24"/>
          <w:lang w:val="en-GB"/>
        </w:rPr>
        <w:t xml:space="preserve">. </w:t>
      </w:r>
      <w:r w:rsidRPr="00095284">
        <w:rPr>
          <w:rFonts w:cs="Arial"/>
          <w:szCs w:val="24"/>
          <w:lang w:val="en-GB"/>
        </w:rPr>
        <w:t xml:space="preserve">Available at: </w:t>
      </w:r>
      <w:hyperlink r:id="rId24" w:history="1">
        <w:r w:rsidRPr="00095284">
          <w:rPr>
            <w:rStyle w:val="Hyperlink"/>
            <w:rFonts w:cs="Arial"/>
            <w:szCs w:val="24"/>
            <w:lang w:val="en-GB"/>
          </w:rPr>
          <w:t>https://online.hbs.edu/blog/post/income-statement-analysis</w:t>
        </w:r>
      </w:hyperlink>
      <w:r w:rsidRPr="00095284">
        <w:rPr>
          <w:rFonts w:cs="Arial"/>
          <w:szCs w:val="24"/>
          <w:lang w:val="en-GB"/>
        </w:rPr>
        <w:t xml:space="preserve"> (Accessed on 15th Dec 2025)</w:t>
      </w:r>
    </w:p>
    <w:p w14:paraId="5C14A4F0" w14:textId="641F692E" w:rsidR="00095284" w:rsidRPr="00095284" w:rsidRDefault="00095284" w:rsidP="00B55832">
      <w:pPr>
        <w:rPr>
          <w:rFonts w:cs="Arial"/>
          <w:szCs w:val="24"/>
          <w:lang w:val="en-GB"/>
        </w:rPr>
      </w:pPr>
      <w:proofErr w:type="spellStart"/>
      <w:r w:rsidRPr="00095284">
        <w:rPr>
          <w:rFonts w:cs="Arial"/>
          <w:szCs w:val="24"/>
          <w:lang w:val="en-GB"/>
        </w:rPr>
        <w:t>Totuka</w:t>
      </w:r>
      <w:proofErr w:type="spellEnd"/>
      <w:r w:rsidRPr="00095284">
        <w:rPr>
          <w:rFonts w:cs="Arial"/>
          <w:szCs w:val="24"/>
          <w:lang w:val="en-GB"/>
        </w:rPr>
        <w:t>, V.</w:t>
      </w:r>
      <w:r w:rsidR="008B63D6">
        <w:rPr>
          <w:rFonts w:cs="Arial"/>
          <w:szCs w:val="24"/>
          <w:lang w:val="en-GB"/>
        </w:rPr>
        <w:t xml:space="preserve"> </w:t>
      </w:r>
      <w:r w:rsidRPr="00095284">
        <w:rPr>
          <w:rFonts w:cs="Arial"/>
          <w:szCs w:val="24"/>
          <w:lang w:val="en-GB"/>
        </w:rPr>
        <w:t xml:space="preserve">(2025). Short-Term vs. Long-Term Financing Options: What’s Best for Your Business? </w:t>
      </w:r>
      <w:proofErr w:type="spellStart"/>
      <w:r w:rsidRPr="00095284">
        <w:rPr>
          <w:rFonts w:cs="Arial"/>
          <w:i/>
          <w:szCs w:val="24"/>
          <w:lang w:val="en-GB"/>
        </w:rPr>
        <w:t>Qubit.capital</w:t>
      </w:r>
      <w:proofErr w:type="spellEnd"/>
      <w:r w:rsidRPr="00095284">
        <w:rPr>
          <w:rFonts w:cs="Arial"/>
          <w:i/>
          <w:szCs w:val="24"/>
          <w:lang w:val="en-GB"/>
        </w:rPr>
        <w:t>.</w:t>
      </w:r>
      <w:r w:rsidRPr="00095284">
        <w:rPr>
          <w:rFonts w:cs="Arial"/>
          <w:szCs w:val="24"/>
          <w:lang w:val="en-GB"/>
        </w:rPr>
        <w:t xml:space="preserve"> Available at: </w:t>
      </w:r>
      <w:hyperlink r:id="rId25" w:history="1">
        <w:r w:rsidRPr="00095284">
          <w:rPr>
            <w:rStyle w:val="Hyperlink"/>
            <w:rFonts w:cs="Arial"/>
            <w:szCs w:val="24"/>
            <w:lang w:val="en-GB"/>
          </w:rPr>
          <w:t>https://qubit.capital/blog/short-term-vs-long-term-financing</w:t>
        </w:r>
      </w:hyperlink>
      <w:r w:rsidRPr="00095284">
        <w:rPr>
          <w:rFonts w:cs="Arial"/>
          <w:szCs w:val="24"/>
          <w:lang w:val="en-GB"/>
        </w:rPr>
        <w:t xml:space="preserve"> (Accessed on 15th Dec 2025)</w:t>
      </w:r>
    </w:p>
    <w:p w14:paraId="1F0876DD" w14:textId="77777777" w:rsidR="00095284" w:rsidRPr="00095284" w:rsidRDefault="00095284" w:rsidP="0023090D">
      <w:pPr>
        <w:rPr>
          <w:rFonts w:cs="Arial"/>
          <w:szCs w:val="24"/>
          <w:lang w:val="en-GB"/>
        </w:rPr>
      </w:pPr>
      <w:r w:rsidRPr="00095284">
        <w:rPr>
          <w:rFonts w:cs="Arial"/>
          <w:szCs w:val="24"/>
          <w:lang w:val="en-GB"/>
        </w:rPr>
        <w:t>Umar, M.A. (2023). Corporate Restructuring: A strategy for improving organizational performance. </w:t>
      </w:r>
      <w:r w:rsidRPr="00095284">
        <w:rPr>
          <w:rFonts w:cs="Arial"/>
          <w:i/>
          <w:iCs/>
          <w:szCs w:val="24"/>
          <w:lang w:val="en-GB"/>
        </w:rPr>
        <w:t>International Journal of Strategic Decision Sciences (IJSDS)</w:t>
      </w:r>
      <w:r w:rsidRPr="00095284">
        <w:rPr>
          <w:rFonts w:cs="Arial"/>
          <w:szCs w:val="24"/>
          <w:lang w:val="en-GB"/>
        </w:rPr>
        <w:t>, </w:t>
      </w:r>
      <w:r w:rsidRPr="00095284">
        <w:rPr>
          <w:rFonts w:cs="Arial"/>
          <w:i/>
          <w:iCs/>
          <w:szCs w:val="24"/>
          <w:lang w:val="en-GB"/>
        </w:rPr>
        <w:t>14</w:t>
      </w:r>
      <w:r w:rsidRPr="00095284">
        <w:rPr>
          <w:rFonts w:cs="Arial"/>
          <w:szCs w:val="24"/>
          <w:lang w:val="en-GB"/>
        </w:rPr>
        <w:t xml:space="preserve">(1), pp.1-11. DOI: 10.4018/IJSDS.319974 </w:t>
      </w:r>
    </w:p>
    <w:p w14:paraId="22C4B070" w14:textId="77777777" w:rsidR="00095284" w:rsidRPr="00095284" w:rsidRDefault="00095284" w:rsidP="0023090D">
      <w:pPr>
        <w:rPr>
          <w:rFonts w:cs="Arial"/>
          <w:szCs w:val="24"/>
          <w:lang w:val="en-GB"/>
        </w:rPr>
      </w:pPr>
      <w:r w:rsidRPr="00095284">
        <w:rPr>
          <w:rFonts w:cs="Arial"/>
          <w:szCs w:val="24"/>
          <w:lang w:val="en-GB"/>
        </w:rPr>
        <w:t xml:space="preserve">Vipond, T. (2025a). </w:t>
      </w:r>
      <w:r w:rsidRPr="00095284">
        <w:rPr>
          <w:rFonts w:cs="Arial"/>
          <w:i/>
          <w:iCs/>
          <w:szCs w:val="24"/>
          <w:lang w:val="en-GB"/>
        </w:rPr>
        <w:t>Internal Rate of Return (IRR)</w:t>
      </w:r>
      <w:r w:rsidRPr="00095284">
        <w:rPr>
          <w:rFonts w:cs="Arial"/>
          <w:szCs w:val="24"/>
          <w:lang w:val="en-GB"/>
        </w:rPr>
        <w:t xml:space="preserve">. Available at: </w:t>
      </w:r>
      <w:hyperlink r:id="rId26" w:history="1">
        <w:r w:rsidRPr="00095284">
          <w:rPr>
            <w:rStyle w:val="Hyperlink"/>
            <w:rFonts w:cs="Arial"/>
            <w:szCs w:val="24"/>
            <w:lang w:val="en-GB"/>
          </w:rPr>
          <w:t>https://corporatefinanceinstitute.com/resources/valuation/internal-rate-return-irr/</w:t>
        </w:r>
      </w:hyperlink>
      <w:r w:rsidRPr="00095284">
        <w:rPr>
          <w:rFonts w:cs="Arial"/>
          <w:szCs w:val="24"/>
          <w:lang w:val="en-GB"/>
        </w:rPr>
        <w:t xml:space="preserve"> (Accessed on 17th Dec 2025) </w:t>
      </w:r>
    </w:p>
    <w:p w14:paraId="6EB17C58" w14:textId="77777777" w:rsidR="00095284" w:rsidRPr="00095284" w:rsidRDefault="00095284" w:rsidP="00B55832">
      <w:pPr>
        <w:rPr>
          <w:rFonts w:cs="Arial"/>
          <w:szCs w:val="24"/>
          <w:lang w:val="en-GB"/>
        </w:rPr>
      </w:pPr>
      <w:r w:rsidRPr="00095284">
        <w:rPr>
          <w:rFonts w:cs="Arial"/>
          <w:szCs w:val="24"/>
          <w:lang w:val="en-GB"/>
        </w:rPr>
        <w:t xml:space="preserve">Vipond, T. (2025b). </w:t>
      </w:r>
      <w:r w:rsidRPr="00095284">
        <w:rPr>
          <w:rFonts w:cs="Arial"/>
          <w:i/>
          <w:iCs/>
          <w:szCs w:val="24"/>
          <w:lang w:val="en-GB"/>
        </w:rPr>
        <w:t>Accounting Rate of Return</w:t>
      </w:r>
      <w:r w:rsidRPr="00095284">
        <w:rPr>
          <w:rFonts w:cs="Arial"/>
          <w:szCs w:val="24"/>
          <w:lang w:val="en-GB"/>
        </w:rPr>
        <w:t xml:space="preserve">. Available at: </w:t>
      </w:r>
      <w:hyperlink r:id="rId27" w:history="1">
        <w:r w:rsidRPr="00095284">
          <w:rPr>
            <w:rStyle w:val="Hyperlink"/>
            <w:rFonts w:cs="Arial"/>
            <w:szCs w:val="24"/>
            <w:lang w:val="en-GB"/>
          </w:rPr>
          <w:t>https://corporatefinanceinstitute.com/resources/accounting/arr-accounting-rate-of-return/</w:t>
        </w:r>
      </w:hyperlink>
      <w:r w:rsidRPr="00095284">
        <w:rPr>
          <w:rFonts w:cs="Arial"/>
          <w:szCs w:val="24"/>
          <w:lang w:val="en-GB"/>
        </w:rPr>
        <w:t xml:space="preserve"> (Accessed on 17th Dec 2025) </w:t>
      </w:r>
    </w:p>
    <w:p w14:paraId="29FC3CFF" w14:textId="77777777" w:rsidR="00095284" w:rsidRPr="00095284" w:rsidRDefault="00095284" w:rsidP="0023090D">
      <w:pPr>
        <w:rPr>
          <w:rFonts w:cs="Arial"/>
          <w:szCs w:val="24"/>
          <w:lang w:val="en-GB"/>
        </w:rPr>
      </w:pPr>
      <w:r w:rsidRPr="00095284">
        <w:rPr>
          <w:rFonts w:cs="Arial"/>
          <w:szCs w:val="24"/>
          <w:lang w:val="en-GB"/>
        </w:rPr>
        <w:t xml:space="preserve">Wall Street Prep (2024). </w:t>
      </w:r>
      <w:r w:rsidRPr="00095284">
        <w:rPr>
          <w:rFonts w:cs="Arial"/>
          <w:i/>
          <w:iCs/>
          <w:szCs w:val="24"/>
          <w:lang w:val="en-GB"/>
        </w:rPr>
        <w:t>Corporate Restructuring Primer</w:t>
      </w:r>
      <w:r w:rsidRPr="00095284">
        <w:rPr>
          <w:rFonts w:cs="Arial"/>
          <w:szCs w:val="24"/>
          <w:lang w:val="en-GB"/>
        </w:rPr>
        <w:t xml:space="preserve">. Available at: </w:t>
      </w:r>
      <w:hyperlink r:id="rId28" w:history="1">
        <w:r w:rsidRPr="00095284">
          <w:rPr>
            <w:rStyle w:val="Hyperlink"/>
            <w:rFonts w:cs="Arial"/>
            <w:szCs w:val="24"/>
            <w:lang w:val="en-GB"/>
          </w:rPr>
          <w:t>https://www.wallstreetprep.com/knowledge/restructuring/</w:t>
        </w:r>
      </w:hyperlink>
      <w:r w:rsidRPr="00095284">
        <w:rPr>
          <w:rFonts w:cs="Arial"/>
          <w:szCs w:val="24"/>
          <w:lang w:val="en-GB"/>
        </w:rPr>
        <w:t xml:space="preserve"> (Accessed on 16th Dec 2025) </w:t>
      </w:r>
    </w:p>
    <w:p w14:paraId="44A8905A" w14:textId="67D38A3B" w:rsidR="00023AD7" w:rsidRPr="00970B9D" w:rsidRDefault="008217B7" w:rsidP="00970B9D">
      <w:pPr>
        <w:spacing w:line="259" w:lineRule="auto"/>
        <w:jc w:val="left"/>
        <w:rPr>
          <w:rFonts w:cs="Arial"/>
          <w:b/>
          <w:szCs w:val="24"/>
          <w:lang w:val="en-GB"/>
        </w:rPr>
      </w:pPr>
      <w:r w:rsidRPr="00095284">
        <w:rPr>
          <w:rFonts w:cs="Arial"/>
          <w:b/>
          <w:szCs w:val="24"/>
          <w:lang w:val="en-GB"/>
        </w:rPr>
        <w:br w:type="page"/>
      </w:r>
    </w:p>
    <w:p w14:paraId="11B6B034" w14:textId="77777777" w:rsidR="00023AD7" w:rsidRPr="00095284" w:rsidRDefault="00023AD7" w:rsidP="00023AD7">
      <w:pPr>
        <w:rPr>
          <w:rFonts w:cs="Arial"/>
          <w:szCs w:val="24"/>
          <w:lang w:val="en-GB"/>
        </w:rPr>
      </w:pPr>
    </w:p>
    <w:p w14:paraId="1B28B5B4" w14:textId="5EFA1EDB" w:rsidR="0023090D" w:rsidRPr="00095284" w:rsidRDefault="0023090D" w:rsidP="00095284">
      <w:pPr>
        <w:pStyle w:val="Heading2"/>
        <w:rPr>
          <w:lang w:val="en-GB"/>
        </w:rPr>
      </w:pPr>
      <w:bookmarkStart w:id="42" w:name="_Toc216894603"/>
      <w:proofErr w:type="gramStart"/>
      <w:r w:rsidRPr="00095284">
        <w:rPr>
          <w:lang w:val="en-GB"/>
        </w:rPr>
        <w:t>Appendix :</w:t>
      </w:r>
      <w:proofErr w:type="gramEnd"/>
      <w:r w:rsidRPr="00095284">
        <w:rPr>
          <w:lang w:val="en-GB"/>
        </w:rPr>
        <w:t xml:space="preserve"> Investment Appraisal</w:t>
      </w:r>
      <w:bookmarkEnd w:id="42"/>
      <w:r w:rsidRPr="00095284">
        <w:rPr>
          <w:lang w:val="en-GB"/>
        </w:rPr>
        <w:t xml:space="preserve"> </w:t>
      </w:r>
    </w:p>
    <w:p w14:paraId="03CF701E" w14:textId="77777777" w:rsidR="0023090D" w:rsidRPr="00095284" w:rsidRDefault="0023090D" w:rsidP="0023090D">
      <w:pPr>
        <w:pStyle w:val="Heading3"/>
        <w:rPr>
          <w:lang w:val="en-GB"/>
        </w:rPr>
      </w:pPr>
      <w:bookmarkStart w:id="43" w:name="_Toc216894604"/>
      <w:r w:rsidRPr="00095284">
        <w:rPr>
          <w:lang w:val="en-GB"/>
        </w:rPr>
        <w:t>Project A</w:t>
      </w:r>
      <w:bookmarkEnd w:id="43"/>
    </w:p>
    <w:tbl>
      <w:tblPr>
        <w:tblW w:w="9347" w:type="dxa"/>
        <w:jc w:val="center"/>
        <w:tblLook w:val="04A0" w:firstRow="1" w:lastRow="0" w:firstColumn="1" w:lastColumn="0" w:noHBand="0" w:noVBand="1"/>
      </w:tblPr>
      <w:tblGrid>
        <w:gridCol w:w="3899"/>
        <w:gridCol w:w="1750"/>
        <w:gridCol w:w="3698"/>
      </w:tblGrid>
      <w:tr w:rsidR="0023090D" w:rsidRPr="00541040" w14:paraId="32B11EE6" w14:textId="77777777" w:rsidTr="000915FE">
        <w:trPr>
          <w:trHeight w:val="396"/>
          <w:jc w:val="center"/>
        </w:trPr>
        <w:tc>
          <w:tcPr>
            <w:tcW w:w="9347" w:type="dxa"/>
            <w:gridSpan w:val="3"/>
            <w:tcBorders>
              <w:top w:val="nil"/>
              <w:left w:val="nil"/>
              <w:bottom w:val="nil"/>
              <w:right w:val="nil"/>
            </w:tcBorders>
            <w:shd w:val="clear" w:color="000000" w:fill="FF66FF"/>
            <w:noWrap/>
            <w:vAlign w:val="bottom"/>
            <w:hideMark/>
          </w:tcPr>
          <w:p w14:paraId="480CEB71" w14:textId="77777777" w:rsidR="0023090D" w:rsidRPr="00541040" w:rsidRDefault="0023090D" w:rsidP="000915FE">
            <w:pPr>
              <w:spacing w:after="0" w:line="240" w:lineRule="auto"/>
              <w:jc w:val="center"/>
              <w:rPr>
                <w:rFonts w:cs="Arial"/>
                <w:b/>
                <w:bCs/>
                <w:color w:val="000000"/>
                <w:szCs w:val="24"/>
                <w:lang w:val="en-GB"/>
              </w:rPr>
            </w:pPr>
            <w:r w:rsidRPr="00541040">
              <w:rPr>
                <w:rFonts w:cs="Arial"/>
                <w:b/>
                <w:bCs/>
                <w:color w:val="000000"/>
                <w:szCs w:val="24"/>
                <w:lang w:val="en-GB"/>
              </w:rPr>
              <w:t>PBP</w:t>
            </w:r>
          </w:p>
        </w:tc>
      </w:tr>
      <w:tr w:rsidR="0023090D" w:rsidRPr="00541040" w14:paraId="7D1DA78E" w14:textId="77777777" w:rsidTr="000915FE">
        <w:trPr>
          <w:trHeight w:val="396"/>
          <w:jc w:val="center"/>
        </w:trPr>
        <w:tc>
          <w:tcPr>
            <w:tcW w:w="3899" w:type="dxa"/>
            <w:tcBorders>
              <w:top w:val="single" w:sz="4" w:space="0" w:color="auto"/>
              <w:left w:val="single" w:sz="4" w:space="0" w:color="auto"/>
              <w:bottom w:val="single" w:sz="4" w:space="0" w:color="auto"/>
              <w:right w:val="single" w:sz="4" w:space="0" w:color="auto"/>
            </w:tcBorders>
            <w:shd w:val="clear" w:color="000000" w:fill="F3D4F8"/>
            <w:noWrap/>
            <w:vAlign w:val="bottom"/>
            <w:hideMark/>
          </w:tcPr>
          <w:p w14:paraId="4FFB3705" w14:textId="77777777" w:rsidR="0023090D" w:rsidRPr="00541040" w:rsidRDefault="0023090D" w:rsidP="000915FE">
            <w:pPr>
              <w:spacing w:after="0" w:line="240" w:lineRule="auto"/>
              <w:jc w:val="center"/>
              <w:rPr>
                <w:rFonts w:cs="Arial"/>
                <w:b/>
                <w:bCs/>
                <w:color w:val="000000"/>
                <w:szCs w:val="24"/>
                <w:lang w:val="en-GB"/>
              </w:rPr>
            </w:pPr>
            <w:r w:rsidRPr="00541040">
              <w:rPr>
                <w:rFonts w:cs="Arial"/>
                <w:b/>
                <w:bCs/>
                <w:color w:val="000000"/>
                <w:szCs w:val="24"/>
                <w:lang w:val="en-GB"/>
              </w:rPr>
              <w:t>Year</w:t>
            </w:r>
          </w:p>
        </w:tc>
        <w:tc>
          <w:tcPr>
            <w:tcW w:w="1750" w:type="dxa"/>
            <w:tcBorders>
              <w:top w:val="single" w:sz="4" w:space="0" w:color="auto"/>
              <w:left w:val="nil"/>
              <w:bottom w:val="single" w:sz="4" w:space="0" w:color="auto"/>
              <w:right w:val="single" w:sz="4" w:space="0" w:color="auto"/>
            </w:tcBorders>
            <w:shd w:val="clear" w:color="000000" w:fill="F3D4F8"/>
            <w:noWrap/>
            <w:vAlign w:val="bottom"/>
            <w:hideMark/>
          </w:tcPr>
          <w:p w14:paraId="737A9002" w14:textId="77777777" w:rsidR="0023090D" w:rsidRPr="00541040" w:rsidRDefault="0023090D" w:rsidP="000915FE">
            <w:pPr>
              <w:spacing w:after="0" w:line="240" w:lineRule="auto"/>
              <w:jc w:val="center"/>
              <w:rPr>
                <w:rFonts w:cs="Arial"/>
                <w:b/>
                <w:bCs/>
                <w:color w:val="000000"/>
                <w:szCs w:val="24"/>
                <w:lang w:val="en-GB"/>
              </w:rPr>
            </w:pPr>
            <w:r w:rsidRPr="00095284">
              <w:rPr>
                <w:rFonts w:cs="Arial"/>
                <w:b/>
                <w:bCs/>
                <w:color w:val="000000"/>
                <w:szCs w:val="24"/>
                <w:lang w:val="en-GB"/>
              </w:rPr>
              <w:t>Cashflow</w:t>
            </w:r>
            <w:r w:rsidRPr="00541040">
              <w:rPr>
                <w:rFonts w:cs="Arial"/>
                <w:b/>
                <w:bCs/>
                <w:color w:val="000000"/>
                <w:szCs w:val="24"/>
                <w:lang w:val="en-GB"/>
              </w:rPr>
              <w:t xml:space="preserve"> </w:t>
            </w:r>
          </w:p>
        </w:tc>
        <w:tc>
          <w:tcPr>
            <w:tcW w:w="3697" w:type="dxa"/>
            <w:tcBorders>
              <w:top w:val="single" w:sz="4" w:space="0" w:color="auto"/>
              <w:left w:val="nil"/>
              <w:bottom w:val="single" w:sz="4" w:space="0" w:color="auto"/>
              <w:right w:val="single" w:sz="4" w:space="0" w:color="auto"/>
            </w:tcBorders>
            <w:shd w:val="clear" w:color="000000" w:fill="F3D4F8"/>
            <w:noWrap/>
            <w:vAlign w:val="bottom"/>
            <w:hideMark/>
          </w:tcPr>
          <w:p w14:paraId="3FF38AB9" w14:textId="77777777" w:rsidR="0023090D" w:rsidRPr="00541040" w:rsidRDefault="0023090D" w:rsidP="000915FE">
            <w:pPr>
              <w:spacing w:after="0" w:line="240" w:lineRule="auto"/>
              <w:jc w:val="center"/>
              <w:rPr>
                <w:rFonts w:cs="Arial"/>
                <w:b/>
                <w:bCs/>
                <w:color w:val="000000"/>
                <w:szCs w:val="24"/>
                <w:lang w:val="en-GB"/>
              </w:rPr>
            </w:pPr>
            <w:r w:rsidRPr="00541040">
              <w:rPr>
                <w:rFonts w:cs="Arial"/>
                <w:b/>
                <w:bCs/>
                <w:color w:val="000000"/>
                <w:szCs w:val="24"/>
                <w:lang w:val="en-GB"/>
              </w:rPr>
              <w:t>Cumulative Cashflow</w:t>
            </w:r>
          </w:p>
        </w:tc>
      </w:tr>
      <w:tr w:rsidR="0023090D" w:rsidRPr="00541040" w14:paraId="346536BB" w14:textId="77777777" w:rsidTr="000915FE">
        <w:trPr>
          <w:trHeight w:val="396"/>
          <w:jc w:val="center"/>
        </w:trPr>
        <w:tc>
          <w:tcPr>
            <w:tcW w:w="3899" w:type="dxa"/>
            <w:tcBorders>
              <w:top w:val="nil"/>
              <w:left w:val="single" w:sz="4" w:space="0" w:color="auto"/>
              <w:bottom w:val="single" w:sz="4" w:space="0" w:color="auto"/>
              <w:right w:val="single" w:sz="4" w:space="0" w:color="auto"/>
            </w:tcBorders>
            <w:shd w:val="clear" w:color="000000" w:fill="F3D4F8"/>
            <w:noWrap/>
            <w:vAlign w:val="bottom"/>
            <w:hideMark/>
          </w:tcPr>
          <w:p w14:paraId="75B1F64F"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w:t>
            </w:r>
          </w:p>
        </w:tc>
        <w:tc>
          <w:tcPr>
            <w:tcW w:w="1750" w:type="dxa"/>
            <w:tcBorders>
              <w:top w:val="nil"/>
              <w:left w:val="nil"/>
              <w:bottom w:val="single" w:sz="4" w:space="0" w:color="auto"/>
              <w:right w:val="single" w:sz="4" w:space="0" w:color="auto"/>
            </w:tcBorders>
            <w:shd w:val="clear" w:color="000000" w:fill="F3D4F8"/>
            <w:noWrap/>
            <w:vAlign w:val="bottom"/>
            <w:hideMark/>
          </w:tcPr>
          <w:p w14:paraId="47431B20"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10</w:t>
            </w:r>
          </w:p>
        </w:tc>
        <w:tc>
          <w:tcPr>
            <w:tcW w:w="3697" w:type="dxa"/>
            <w:tcBorders>
              <w:top w:val="nil"/>
              <w:left w:val="nil"/>
              <w:bottom w:val="single" w:sz="4" w:space="0" w:color="auto"/>
              <w:right w:val="single" w:sz="4" w:space="0" w:color="auto"/>
            </w:tcBorders>
            <w:shd w:val="clear" w:color="000000" w:fill="F3D4F8"/>
            <w:noWrap/>
            <w:vAlign w:val="bottom"/>
            <w:hideMark/>
          </w:tcPr>
          <w:p w14:paraId="74748026"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10</w:t>
            </w:r>
          </w:p>
        </w:tc>
      </w:tr>
      <w:tr w:rsidR="0023090D" w:rsidRPr="00541040" w14:paraId="377E90FC" w14:textId="77777777" w:rsidTr="000915FE">
        <w:trPr>
          <w:trHeight w:val="396"/>
          <w:jc w:val="center"/>
        </w:trPr>
        <w:tc>
          <w:tcPr>
            <w:tcW w:w="3899" w:type="dxa"/>
            <w:tcBorders>
              <w:top w:val="nil"/>
              <w:left w:val="single" w:sz="4" w:space="0" w:color="auto"/>
              <w:bottom w:val="single" w:sz="4" w:space="0" w:color="auto"/>
              <w:right w:val="single" w:sz="4" w:space="0" w:color="auto"/>
            </w:tcBorders>
            <w:shd w:val="clear" w:color="000000" w:fill="F3D4F8"/>
            <w:noWrap/>
            <w:vAlign w:val="bottom"/>
            <w:hideMark/>
          </w:tcPr>
          <w:p w14:paraId="29F16067"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2</w:t>
            </w:r>
          </w:p>
        </w:tc>
        <w:tc>
          <w:tcPr>
            <w:tcW w:w="1750" w:type="dxa"/>
            <w:tcBorders>
              <w:top w:val="nil"/>
              <w:left w:val="nil"/>
              <w:bottom w:val="single" w:sz="4" w:space="0" w:color="auto"/>
              <w:right w:val="single" w:sz="4" w:space="0" w:color="auto"/>
            </w:tcBorders>
            <w:shd w:val="clear" w:color="000000" w:fill="F3D4F8"/>
            <w:noWrap/>
            <w:vAlign w:val="bottom"/>
            <w:hideMark/>
          </w:tcPr>
          <w:p w14:paraId="2C0C194C"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12</w:t>
            </w:r>
          </w:p>
        </w:tc>
        <w:tc>
          <w:tcPr>
            <w:tcW w:w="3697" w:type="dxa"/>
            <w:tcBorders>
              <w:top w:val="nil"/>
              <w:left w:val="nil"/>
              <w:bottom w:val="single" w:sz="4" w:space="0" w:color="auto"/>
              <w:right w:val="single" w:sz="4" w:space="0" w:color="auto"/>
            </w:tcBorders>
            <w:shd w:val="clear" w:color="000000" w:fill="F3D4F8"/>
            <w:noWrap/>
            <w:vAlign w:val="bottom"/>
            <w:hideMark/>
          </w:tcPr>
          <w:p w14:paraId="67335631"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22</w:t>
            </w:r>
          </w:p>
        </w:tc>
      </w:tr>
      <w:tr w:rsidR="0023090D" w:rsidRPr="00541040" w14:paraId="798ECEDD" w14:textId="77777777" w:rsidTr="000915FE">
        <w:trPr>
          <w:trHeight w:val="396"/>
          <w:jc w:val="center"/>
        </w:trPr>
        <w:tc>
          <w:tcPr>
            <w:tcW w:w="3899" w:type="dxa"/>
            <w:tcBorders>
              <w:top w:val="nil"/>
              <w:left w:val="single" w:sz="4" w:space="0" w:color="auto"/>
              <w:bottom w:val="single" w:sz="4" w:space="0" w:color="auto"/>
              <w:right w:val="single" w:sz="4" w:space="0" w:color="auto"/>
            </w:tcBorders>
            <w:shd w:val="clear" w:color="000000" w:fill="F3D4F8"/>
            <w:noWrap/>
            <w:vAlign w:val="bottom"/>
            <w:hideMark/>
          </w:tcPr>
          <w:p w14:paraId="0D8CDEB4"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3</w:t>
            </w:r>
          </w:p>
        </w:tc>
        <w:tc>
          <w:tcPr>
            <w:tcW w:w="1750" w:type="dxa"/>
            <w:tcBorders>
              <w:top w:val="nil"/>
              <w:left w:val="nil"/>
              <w:bottom w:val="single" w:sz="4" w:space="0" w:color="auto"/>
              <w:right w:val="single" w:sz="4" w:space="0" w:color="auto"/>
            </w:tcBorders>
            <w:shd w:val="clear" w:color="000000" w:fill="F3D4F8"/>
            <w:noWrap/>
            <w:vAlign w:val="bottom"/>
            <w:hideMark/>
          </w:tcPr>
          <w:p w14:paraId="704859FB"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14</w:t>
            </w:r>
          </w:p>
        </w:tc>
        <w:tc>
          <w:tcPr>
            <w:tcW w:w="3697" w:type="dxa"/>
            <w:tcBorders>
              <w:top w:val="nil"/>
              <w:left w:val="nil"/>
              <w:bottom w:val="single" w:sz="4" w:space="0" w:color="auto"/>
              <w:right w:val="single" w:sz="4" w:space="0" w:color="auto"/>
            </w:tcBorders>
            <w:shd w:val="clear" w:color="000000" w:fill="F3D4F8"/>
            <w:noWrap/>
            <w:vAlign w:val="bottom"/>
            <w:hideMark/>
          </w:tcPr>
          <w:p w14:paraId="22B0F409"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36</w:t>
            </w:r>
          </w:p>
        </w:tc>
      </w:tr>
      <w:tr w:rsidR="0023090D" w:rsidRPr="00541040" w14:paraId="0EE485D7" w14:textId="77777777" w:rsidTr="000915FE">
        <w:trPr>
          <w:trHeight w:val="396"/>
          <w:jc w:val="center"/>
        </w:trPr>
        <w:tc>
          <w:tcPr>
            <w:tcW w:w="3899" w:type="dxa"/>
            <w:tcBorders>
              <w:top w:val="nil"/>
              <w:left w:val="single" w:sz="4" w:space="0" w:color="auto"/>
              <w:bottom w:val="single" w:sz="4" w:space="0" w:color="auto"/>
              <w:right w:val="single" w:sz="4" w:space="0" w:color="auto"/>
            </w:tcBorders>
            <w:shd w:val="clear" w:color="000000" w:fill="F3D4F8"/>
            <w:noWrap/>
            <w:vAlign w:val="bottom"/>
            <w:hideMark/>
          </w:tcPr>
          <w:p w14:paraId="76A2ED11"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4</w:t>
            </w:r>
          </w:p>
        </w:tc>
        <w:tc>
          <w:tcPr>
            <w:tcW w:w="1750" w:type="dxa"/>
            <w:tcBorders>
              <w:top w:val="nil"/>
              <w:left w:val="nil"/>
              <w:bottom w:val="single" w:sz="4" w:space="0" w:color="auto"/>
              <w:right w:val="single" w:sz="4" w:space="0" w:color="auto"/>
            </w:tcBorders>
            <w:shd w:val="clear" w:color="000000" w:fill="F3D4F8"/>
            <w:noWrap/>
            <w:vAlign w:val="bottom"/>
            <w:hideMark/>
          </w:tcPr>
          <w:p w14:paraId="636D9DE2"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10</w:t>
            </w:r>
          </w:p>
        </w:tc>
        <w:tc>
          <w:tcPr>
            <w:tcW w:w="3697" w:type="dxa"/>
            <w:tcBorders>
              <w:top w:val="nil"/>
              <w:left w:val="nil"/>
              <w:bottom w:val="single" w:sz="4" w:space="0" w:color="auto"/>
              <w:right w:val="single" w:sz="4" w:space="0" w:color="auto"/>
            </w:tcBorders>
            <w:shd w:val="clear" w:color="000000" w:fill="F3D4F8"/>
            <w:noWrap/>
            <w:vAlign w:val="bottom"/>
            <w:hideMark/>
          </w:tcPr>
          <w:p w14:paraId="7F4ED8EA"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46</w:t>
            </w:r>
          </w:p>
        </w:tc>
      </w:tr>
      <w:tr w:rsidR="0023090D" w:rsidRPr="00541040" w14:paraId="6A359253" w14:textId="77777777" w:rsidTr="000915FE">
        <w:trPr>
          <w:trHeight w:val="396"/>
          <w:jc w:val="center"/>
        </w:trPr>
        <w:tc>
          <w:tcPr>
            <w:tcW w:w="3899" w:type="dxa"/>
            <w:tcBorders>
              <w:top w:val="nil"/>
              <w:left w:val="single" w:sz="4" w:space="0" w:color="auto"/>
              <w:bottom w:val="single" w:sz="4" w:space="0" w:color="auto"/>
              <w:right w:val="single" w:sz="4" w:space="0" w:color="auto"/>
            </w:tcBorders>
            <w:shd w:val="clear" w:color="000000" w:fill="F3D4F8"/>
            <w:noWrap/>
            <w:vAlign w:val="bottom"/>
            <w:hideMark/>
          </w:tcPr>
          <w:p w14:paraId="6FEF5442"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5</w:t>
            </w:r>
          </w:p>
        </w:tc>
        <w:tc>
          <w:tcPr>
            <w:tcW w:w="1750" w:type="dxa"/>
            <w:tcBorders>
              <w:top w:val="nil"/>
              <w:left w:val="nil"/>
              <w:bottom w:val="single" w:sz="4" w:space="0" w:color="auto"/>
              <w:right w:val="single" w:sz="4" w:space="0" w:color="auto"/>
            </w:tcBorders>
            <w:shd w:val="clear" w:color="000000" w:fill="F3D4F8"/>
            <w:noWrap/>
            <w:vAlign w:val="bottom"/>
            <w:hideMark/>
          </w:tcPr>
          <w:p w14:paraId="4B8048EF"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8</w:t>
            </w:r>
          </w:p>
        </w:tc>
        <w:tc>
          <w:tcPr>
            <w:tcW w:w="3697" w:type="dxa"/>
            <w:tcBorders>
              <w:top w:val="nil"/>
              <w:left w:val="nil"/>
              <w:bottom w:val="single" w:sz="4" w:space="0" w:color="auto"/>
              <w:right w:val="single" w:sz="4" w:space="0" w:color="auto"/>
            </w:tcBorders>
            <w:shd w:val="clear" w:color="000000" w:fill="F3D4F8"/>
            <w:noWrap/>
            <w:vAlign w:val="bottom"/>
            <w:hideMark/>
          </w:tcPr>
          <w:p w14:paraId="137AD477"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54</w:t>
            </w:r>
          </w:p>
        </w:tc>
      </w:tr>
      <w:tr w:rsidR="0023090D" w:rsidRPr="00541040" w14:paraId="3BE81A25" w14:textId="77777777" w:rsidTr="000915FE">
        <w:trPr>
          <w:trHeight w:val="396"/>
          <w:jc w:val="center"/>
        </w:trPr>
        <w:tc>
          <w:tcPr>
            <w:tcW w:w="3899" w:type="dxa"/>
            <w:tcBorders>
              <w:top w:val="nil"/>
              <w:left w:val="single" w:sz="4" w:space="0" w:color="auto"/>
              <w:bottom w:val="single" w:sz="4" w:space="0" w:color="auto"/>
              <w:right w:val="single" w:sz="4" w:space="0" w:color="auto"/>
            </w:tcBorders>
            <w:shd w:val="clear" w:color="000000" w:fill="F3D4F8"/>
            <w:noWrap/>
            <w:vAlign w:val="bottom"/>
            <w:hideMark/>
          </w:tcPr>
          <w:p w14:paraId="243B63BA" w14:textId="77777777" w:rsidR="0023090D" w:rsidRPr="00541040" w:rsidRDefault="0023090D" w:rsidP="000915FE">
            <w:pPr>
              <w:spacing w:after="0" w:line="240" w:lineRule="auto"/>
              <w:jc w:val="left"/>
              <w:rPr>
                <w:rFonts w:cs="Arial"/>
                <w:color w:val="000000"/>
                <w:szCs w:val="24"/>
                <w:lang w:val="en-GB"/>
              </w:rPr>
            </w:pPr>
            <w:r w:rsidRPr="00541040">
              <w:rPr>
                <w:rFonts w:cs="Arial"/>
                <w:color w:val="000000"/>
                <w:szCs w:val="24"/>
                <w:lang w:val="en-GB"/>
              </w:rPr>
              <w:t>Investment to recover</w:t>
            </w:r>
          </w:p>
        </w:tc>
        <w:tc>
          <w:tcPr>
            <w:tcW w:w="1750" w:type="dxa"/>
            <w:tcBorders>
              <w:top w:val="nil"/>
              <w:left w:val="nil"/>
              <w:bottom w:val="single" w:sz="4" w:space="0" w:color="auto"/>
              <w:right w:val="single" w:sz="4" w:space="0" w:color="auto"/>
            </w:tcBorders>
            <w:shd w:val="clear" w:color="000000" w:fill="F3D4F8"/>
            <w:noWrap/>
            <w:vAlign w:val="bottom"/>
            <w:hideMark/>
          </w:tcPr>
          <w:p w14:paraId="156DADCA"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40</w:t>
            </w:r>
          </w:p>
        </w:tc>
        <w:tc>
          <w:tcPr>
            <w:tcW w:w="3697" w:type="dxa"/>
            <w:tcBorders>
              <w:top w:val="nil"/>
              <w:left w:val="nil"/>
              <w:bottom w:val="nil"/>
              <w:right w:val="nil"/>
            </w:tcBorders>
            <w:noWrap/>
            <w:vAlign w:val="bottom"/>
            <w:hideMark/>
          </w:tcPr>
          <w:p w14:paraId="2BB0E258" w14:textId="77777777" w:rsidR="0023090D" w:rsidRPr="00541040" w:rsidRDefault="0023090D" w:rsidP="000915FE">
            <w:pPr>
              <w:spacing w:after="0" w:line="240" w:lineRule="auto"/>
              <w:jc w:val="right"/>
              <w:rPr>
                <w:rFonts w:cs="Arial"/>
                <w:color w:val="000000"/>
                <w:szCs w:val="24"/>
                <w:lang w:val="en-GB"/>
              </w:rPr>
            </w:pPr>
          </w:p>
        </w:tc>
      </w:tr>
      <w:tr w:rsidR="0023090D" w:rsidRPr="00541040" w14:paraId="61954D2B" w14:textId="77777777" w:rsidTr="000915FE">
        <w:trPr>
          <w:trHeight w:val="396"/>
          <w:jc w:val="center"/>
        </w:trPr>
        <w:tc>
          <w:tcPr>
            <w:tcW w:w="3899" w:type="dxa"/>
            <w:tcBorders>
              <w:top w:val="nil"/>
              <w:left w:val="single" w:sz="4" w:space="0" w:color="auto"/>
              <w:bottom w:val="single" w:sz="4" w:space="0" w:color="auto"/>
              <w:right w:val="single" w:sz="4" w:space="0" w:color="auto"/>
            </w:tcBorders>
            <w:shd w:val="clear" w:color="000000" w:fill="F3D4F8"/>
            <w:noWrap/>
            <w:vAlign w:val="bottom"/>
            <w:hideMark/>
          </w:tcPr>
          <w:p w14:paraId="523FBE8E" w14:textId="77777777" w:rsidR="0023090D" w:rsidRPr="00541040" w:rsidRDefault="0023090D" w:rsidP="000915FE">
            <w:pPr>
              <w:spacing w:after="0" w:line="240" w:lineRule="auto"/>
              <w:jc w:val="left"/>
              <w:rPr>
                <w:rFonts w:cs="Arial"/>
                <w:color w:val="000000"/>
                <w:szCs w:val="24"/>
                <w:lang w:val="en-GB"/>
              </w:rPr>
            </w:pPr>
            <w:r w:rsidRPr="00541040">
              <w:rPr>
                <w:rFonts w:cs="Arial"/>
                <w:color w:val="000000"/>
                <w:szCs w:val="24"/>
                <w:lang w:val="en-GB"/>
              </w:rPr>
              <w:t>After 3 years, recovered</w:t>
            </w:r>
          </w:p>
        </w:tc>
        <w:tc>
          <w:tcPr>
            <w:tcW w:w="1750" w:type="dxa"/>
            <w:tcBorders>
              <w:top w:val="nil"/>
              <w:left w:val="nil"/>
              <w:bottom w:val="single" w:sz="4" w:space="0" w:color="auto"/>
              <w:right w:val="single" w:sz="4" w:space="0" w:color="auto"/>
            </w:tcBorders>
            <w:shd w:val="clear" w:color="000000" w:fill="F3D4F8"/>
            <w:noWrap/>
            <w:vAlign w:val="bottom"/>
            <w:hideMark/>
          </w:tcPr>
          <w:p w14:paraId="727E2181"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36</w:t>
            </w:r>
          </w:p>
        </w:tc>
        <w:tc>
          <w:tcPr>
            <w:tcW w:w="3697" w:type="dxa"/>
            <w:tcBorders>
              <w:top w:val="nil"/>
              <w:left w:val="nil"/>
              <w:bottom w:val="nil"/>
              <w:right w:val="nil"/>
            </w:tcBorders>
            <w:noWrap/>
            <w:vAlign w:val="bottom"/>
            <w:hideMark/>
          </w:tcPr>
          <w:p w14:paraId="6BD83C7C" w14:textId="77777777" w:rsidR="0023090D" w:rsidRPr="00541040" w:rsidRDefault="0023090D" w:rsidP="000915FE">
            <w:pPr>
              <w:spacing w:after="0" w:line="240" w:lineRule="auto"/>
              <w:jc w:val="right"/>
              <w:rPr>
                <w:rFonts w:cs="Arial"/>
                <w:color w:val="000000"/>
                <w:szCs w:val="24"/>
                <w:lang w:val="en-GB"/>
              </w:rPr>
            </w:pPr>
          </w:p>
        </w:tc>
      </w:tr>
      <w:tr w:rsidR="0023090D" w:rsidRPr="00541040" w14:paraId="40544D43" w14:textId="77777777" w:rsidTr="000915FE">
        <w:trPr>
          <w:trHeight w:val="396"/>
          <w:jc w:val="center"/>
        </w:trPr>
        <w:tc>
          <w:tcPr>
            <w:tcW w:w="3899" w:type="dxa"/>
            <w:tcBorders>
              <w:top w:val="nil"/>
              <w:left w:val="single" w:sz="4" w:space="0" w:color="auto"/>
              <w:bottom w:val="single" w:sz="4" w:space="0" w:color="auto"/>
              <w:right w:val="single" w:sz="4" w:space="0" w:color="auto"/>
            </w:tcBorders>
            <w:shd w:val="clear" w:color="000000" w:fill="F3D4F8"/>
            <w:noWrap/>
            <w:vAlign w:val="bottom"/>
            <w:hideMark/>
          </w:tcPr>
          <w:p w14:paraId="37BE48A8" w14:textId="77777777" w:rsidR="0023090D" w:rsidRPr="00541040" w:rsidRDefault="0023090D" w:rsidP="000915FE">
            <w:pPr>
              <w:spacing w:after="0" w:line="240" w:lineRule="auto"/>
              <w:jc w:val="left"/>
              <w:rPr>
                <w:rFonts w:cs="Arial"/>
                <w:color w:val="000000"/>
                <w:szCs w:val="24"/>
                <w:lang w:val="en-GB"/>
              </w:rPr>
            </w:pPr>
            <w:r w:rsidRPr="00541040">
              <w:rPr>
                <w:rFonts w:cs="Arial"/>
                <w:color w:val="000000"/>
                <w:szCs w:val="24"/>
                <w:lang w:val="en-GB"/>
              </w:rPr>
              <w:t xml:space="preserve">Amount remaining </w:t>
            </w:r>
          </w:p>
        </w:tc>
        <w:tc>
          <w:tcPr>
            <w:tcW w:w="1750" w:type="dxa"/>
            <w:tcBorders>
              <w:top w:val="nil"/>
              <w:left w:val="nil"/>
              <w:bottom w:val="single" w:sz="4" w:space="0" w:color="auto"/>
              <w:right w:val="single" w:sz="4" w:space="0" w:color="auto"/>
            </w:tcBorders>
            <w:shd w:val="clear" w:color="000000" w:fill="F3D4F8"/>
            <w:noWrap/>
            <w:vAlign w:val="bottom"/>
            <w:hideMark/>
          </w:tcPr>
          <w:p w14:paraId="19F62D4D"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4</w:t>
            </w:r>
          </w:p>
        </w:tc>
        <w:tc>
          <w:tcPr>
            <w:tcW w:w="3697" w:type="dxa"/>
            <w:tcBorders>
              <w:top w:val="nil"/>
              <w:left w:val="nil"/>
              <w:bottom w:val="nil"/>
              <w:right w:val="nil"/>
            </w:tcBorders>
            <w:noWrap/>
            <w:vAlign w:val="bottom"/>
            <w:hideMark/>
          </w:tcPr>
          <w:p w14:paraId="14349567" w14:textId="77777777" w:rsidR="0023090D" w:rsidRPr="00541040" w:rsidRDefault="0023090D" w:rsidP="000915FE">
            <w:pPr>
              <w:spacing w:after="0" w:line="240" w:lineRule="auto"/>
              <w:jc w:val="right"/>
              <w:rPr>
                <w:rFonts w:cs="Arial"/>
                <w:color w:val="000000"/>
                <w:szCs w:val="24"/>
                <w:lang w:val="en-GB"/>
              </w:rPr>
            </w:pPr>
          </w:p>
        </w:tc>
      </w:tr>
      <w:tr w:rsidR="0023090D" w:rsidRPr="00541040" w14:paraId="301FC886" w14:textId="77777777" w:rsidTr="000915FE">
        <w:trPr>
          <w:trHeight w:val="396"/>
          <w:jc w:val="center"/>
        </w:trPr>
        <w:tc>
          <w:tcPr>
            <w:tcW w:w="3899" w:type="dxa"/>
            <w:tcBorders>
              <w:top w:val="nil"/>
              <w:left w:val="single" w:sz="4" w:space="0" w:color="auto"/>
              <w:bottom w:val="single" w:sz="4" w:space="0" w:color="auto"/>
              <w:right w:val="single" w:sz="4" w:space="0" w:color="auto"/>
            </w:tcBorders>
            <w:shd w:val="clear" w:color="000000" w:fill="F3D4F8"/>
            <w:noWrap/>
            <w:vAlign w:val="bottom"/>
            <w:hideMark/>
          </w:tcPr>
          <w:p w14:paraId="7D24C9B2" w14:textId="77777777" w:rsidR="0023090D" w:rsidRPr="00541040" w:rsidRDefault="0023090D" w:rsidP="000915FE">
            <w:pPr>
              <w:spacing w:after="0" w:line="240" w:lineRule="auto"/>
              <w:jc w:val="left"/>
              <w:rPr>
                <w:rFonts w:cs="Arial"/>
                <w:color w:val="000000"/>
                <w:szCs w:val="24"/>
                <w:lang w:val="en-GB"/>
              </w:rPr>
            </w:pPr>
            <w:r w:rsidRPr="00541040">
              <w:rPr>
                <w:rFonts w:cs="Arial"/>
                <w:color w:val="000000"/>
                <w:szCs w:val="24"/>
                <w:lang w:val="en-GB"/>
              </w:rPr>
              <w:t>Year 4 Inflow</w:t>
            </w:r>
          </w:p>
        </w:tc>
        <w:tc>
          <w:tcPr>
            <w:tcW w:w="1750" w:type="dxa"/>
            <w:tcBorders>
              <w:top w:val="nil"/>
              <w:left w:val="nil"/>
              <w:bottom w:val="single" w:sz="4" w:space="0" w:color="auto"/>
              <w:right w:val="single" w:sz="4" w:space="0" w:color="auto"/>
            </w:tcBorders>
            <w:shd w:val="clear" w:color="000000" w:fill="F3D4F8"/>
            <w:noWrap/>
            <w:vAlign w:val="bottom"/>
            <w:hideMark/>
          </w:tcPr>
          <w:p w14:paraId="075AA103"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10</w:t>
            </w:r>
          </w:p>
        </w:tc>
        <w:tc>
          <w:tcPr>
            <w:tcW w:w="3697" w:type="dxa"/>
            <w:tcBorders>
              <w:top w:val="nil"/>
              <w:left w:val="nil"/>
              <w:bottom w:val="nil"/>
              <w:right w:val="nil"/>
            </w:tcBorders>
            <w:noWrap/>
            <w:vAlign w:val="bottom"/>
            <w:hideMark/>
          </w:tcPr>
          <w:p w14:paraId="3ADFA092" w14:textId="77777777" w:rsidR="0023090D" w:rsidRPr="00541040" w:rsidRDefault="0023090D" w:rsidP="000915FE">
            <w:pPr>
              <w:spacing w:after="0" w:line="240" w:lineRule="auto"/>
              <w:jc w:val="right"/>
              <w:rPr>
                <w:rFonts w:cs="Arial"/>
                <w:color w:val="000000"/>
                <w:szCs w:val="24"/>
                <w:lang w:val="en-GB"/>
              </w:rPr>
            </w:pPr>
          </w:p>
        </w:tc>
      </w:tr>
      <w:tr w:rsidR="0023090D" w:rsidRPr="00541040" w14:paraId="481869FC" w14:textId="77777777" w:rsidTr="000915FE">
        <w:trPr>
          <w:trHeight w:val="396"/>
          <w:jc w:val="center"/>
        </w:trPr>
        <w:tc>
          <w:tcPr>
            <w:tcW w:w="3899" w:type="dxa"/>
            <w:tcBorders>
              <w:top w:val="nil"/>
              <w:left w:val="single" w:sz="4" w:space="0" w:color="auto"/>
              <w:bottom w:val="single" w:sz="4" w:space="0" w:color="auto"/>
              <w:right w:val="single" w:sz="4" w:space="0" w:color="auto"/>
            </w:tcBorders>
            <w:shd w:val="clear" w:color="000000" w:fill="F3D4F8"/>
            <w:noWrap/>
            <w:vAlign w:val="bottom"/>
            <w:hideMark/>
          </w:tcPr>
          <w:p w14:paraId="4E5C7B18" w14:textId="77777777" w:rsidR="0023090D" w:rsidRPr="00541040" w:rsidRDefault="0023090D" w:rsidP="000915FE">
            <w:pPr>
              <w:spacing w:after="0" w:line="240" w:lineRule="auto"/>
              <w:jc w:val="left"/>
              <w:rPr>
                <w:rFonts w:cs="Arial"/>
                <w:color w:val="000000"/>
                <w:szCs w:val="24"/>
                <w:lang w:val="en-GB"/>
              </w:rPr>
            </w:pPr>
            <w:r w:rsidRPr="00541040">
              <w:rPr>
                <w:rFonts w:cs="Arial"/>
                <w:color w:val="000000"/>
                <w:szCs w:val="24"/>
                <w:lang w:val="en-GB"/>
              </w:rPr>
              <w:t> </w:t>
            </w:r>
          </w:p>
        </w:tc>
        <w:tc>
          <w:tcPr>
            <w:tcW w:w="1750" w:type="dxa"/>
            <w:tcBorders>
              <w:top w:val="nil"/>
              <w:left w:val="nil"/>
              <w:bottom w:val="single" w:sz="4" w:space="0" w:color="auto"/>
              <w:right w:val="single" w:sz="4" w:space="0" w:color="auto"/>
            </w:tcBorders>
            <w:shd w:val="clear" w:color="000000" w:fill="F3D4F8"/>
            <w:noWrap/>
            <w:vAlign w:val="bottom"/>
            <w:hideMark/>
          </w:tcPr>
          <w:p w14:paraId="4CEB2D52" w14:textId="77777777" w:rsidR="0023090D" w:rsidRPr="00541040" w:rsidRDefault="0023090D" w:rsidP="000915FE">
            <w:pPr>
              <w:spacing w:after="0" w:line="240" w:lineRule="auto"/>
              <w:jc w:val="left"/>
              <w:rPr>
                <w:rFonts w:cs="Arial"/>
                <w:color w:val="000000"/>
                <w:szCs w:val="24"/>
                <w:lang w:val="en-GB"/>
              </w:rPr>
            </w:pPr>
            <w:r w:rsidRPr="00541040">
              <w:rPr>
                <w:rFonts w:cs="Arial"/>
                <w:color w:val="000000"/>
                <w:szCs w:val="24"/>
                <w:lang w:val="en-GB"/>
              </w:rPr>
              <w:t> </w:t>
            </w:r>
          </w:p>
        </w:tc>
        <w:tc>
          <w:tcPr>
            <w:tcW w:w="3697" w:type="dxa"/>
            <w:tcBorders>
              <w:top w:val="nil"/>
              <w:left w:val="nil"/>
              <w:bottom w:val="nil"/>
              <w:right w:val="nil"/>
            </w:tcBorders>
            <w:noWrap/>
            <w:vAlign w:val="bottom"/>
            <w:hideMark/>
          </w:tcPr>
          <w:p w14:paraId="75368850" w14:textId="77777777" w:rsidR="0023090D" w:rsidRPr="00541040" w:rsidRDefault="0023090D" w:rsidP="000915FE">
            <w:pPr>
              <w:spacing w:after="0" w:line="240" w:lineRule="auto"/>
              <w:jc w:val="left"/>
              <w:rPr>
                <w:rFonts w:cs="Arial"/>
                <w:color w:val="000000"/>
                <w:szCs w:val="24"/>
                <w:lang w:val="en-GB"/>
              </w:rPr>
            </w:pPr>
          </w:p>
        </w:tc>
      </w:tr>
      <w:tr w:rsidR="0023090D" w:rsidRPr="00541040" w14:paraId="1FB0B7AF" w14:textId="77777777" w:rsidTr="000915FE">
        <w:trPr>
          <w:trHeight w:val="396"/>
          <w:jc w:val="center"/>
        </w:trPr>
        <w:tc>
          <w:tcPr>
            <w:tcW w:w="3899" w:type="dxa"/>
            <w:tcBorders>
              <w:top w:val="nil"/>
              <w:left w:val="single" w:sz="4" w:space="0" w:color="auto"/>
              <w:bottom w:val="single" w:sz="4" w:space="0" w:color="auto"/>
              <w:right w:val="single" w:sz="4" w:space="0" w:color="auto"/>
            </w:tcBorders>
            <w:shd w:val="clear" w:color="000000" w:fill="F3D4F8"/>
            <w:noWrap/>
            <w:vAlign w:val="bottom"/>
            <w:hideMark/>
          </w:tcPr>
          <w:p w14:paraId="6BA6CB60"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PBP</w:t>
            </w:r>
          </w:p>
        </w:tc>
        <w:tc>
          <w:tcPr>
            <w:tcW w:w="1750" w:type="dxa"/>
            <w:tcBorders>
              <w:top w:val="nil"/>
              <w:left w:val="nil"/>
              <w:bottom w:val="single" w:sz="4" w:space="0" w:color="auto"/>
              <w:right w:val="single" w:sz="4" w:space="0" w:color="auto"/>
            </w:tcBorders>
            <w:shd w:val="clear" w:color="000000" w:fill="F3D4F8"/>
            <w:noWrap/>
            <w:vAlign w:val="bottom"/>
            <w:hideMark/>
          </w:tcPr>
          <w:p w14:paraId="78D5121D" w14:textId="77777777" w:rsidR="0023090D" w:rsidRPr="00541040" w:rsidRDefault="0023090D" w:rsidP="000915FE">
            <w:pPr>
              <w:spacing w:after="0" w:line="240" w:lineRule="auto"/>
              <w:jc w:val="right"/>
              <w:rPr>
                <w:rFonts w:cs="Arial"/>
                <w:b/>
                <w:bCs/>
                <w:color w:val="000000"/>
                <w:szCs w:val="24"/>
                <w:lang w:val="en-GB"/>
              </w:rPr>
            </w:pPr>
            <w:r w:rsidRPr="00541040">
              <w:rPr>
                <w:rFonts w:cs="Arial"/>
                <w:b/>
                <w:bCs/>
                <w:color w:val="000000"/>
                <w:szCs w:val="24"/>
                <w:lang w:val="en-GB"/>
              </w:rPr>
              <w:t>3.4</w:t>
            </w:r>
          </w:p>
        </w:tc>
        <w:tc>
          <w:tcPr>
            <w:tcW w:w="3697" w:type="dxa"/>
            <w:tcBorders>
              <w:top w:val="nil"/>
              <w:left w:val="nil"/>
              <w:bottom w:val="nil"/>
              <w:right w:val="nil"/>
            </w:tcBorders>
            <w:noWrap/>
            <w:vAlign w:val="bottom"/>
            <w:hideMark/>
          </w:tcPr>
          <w:p w14:paraId="2124E6A3" w14:textId="77777777" w:rsidR="0023090D" w:rsidRPr="00541040" w:rsidRDefault="0023090D" w:rsidP="000915FE">
            <w:pPr>
              <w:spacing w:after="0" w:line="240" w:lineRule="auto"/>
              <w:jc w:val="right"/>
              <w:rPr>
                <w:rFonts w:cs="Arial"/>
                <w:b/>
                <w:bCs/>
                <w:color w:val="000000"/>
                <w:szCs w:val="24"/>
                <w:lang w:val="en-GB"/>
              </w:rPr>
            </w:pPr>
          </w:p>
        </w:tc>
      </w:tr>
    </w:tbl>
    <w:p w14:paraId="59837E74" w14:textId="77777777" w:rsidR="0023090D" w:rsidRPr="00095284" w:rsidRDefault="0023090D" w:rsidP="0023090D">
      <w:pPr>
        <w:rPr>
          <w:rFonts w:cs="Arial"/>
          <w:szCs w:val="24"/>
          <w:lang w:val="en-GB"/>
        </w:rPr>
      </w:pPr>
    </w:p>
    <w:tbl>
      <w:tblPr>
        <w:tblW w:w="9620" w:type="dxa"/>
        <w:jc w:val="center"/>
        <w:tblLook w:val="04A0" w:firstRow="1" w:lastRow="0" w:firstColumn="1" w:lastColumn="0" w:noHBand="0" w:noVBand="1"/>
      </w:tblPr>
      <w:tblGrid>
        <w:gridCol w:w="3474"/>
        <w:gridCol w:w="3968"/>
        <w:gridCol w:w="2178"/>
      </w:tblGrid>
      <w:tr w:rsidR="0023090D" w:rsidRPr="00541040" w14:paraId="50C38563" w14:textId="77777777" w:rsidTr="000915FE">
        <w:trPr>
          <w:trHeight w:val="384"/>
          <w:jc w:val="center"/>
        </w:trPr>
        <w:tc>
          <w:tcPr>
            <w:tcW w:w="9620" w:type="dxa"/>
            <w:gridSpan w:val="3"/>
            <w:tcBorders>
              <w:top w:val="nil"/>
              <w:left w:val="nil"/>
              <w:bottom w:val="nil"/>
              <w:right w:val="nil"/>
            </w:tcBorders>
            <w:shd w:val="clear" w:color="000000" w:fill="FF66FF"/>
            <w:noWrap/>
            <w:vAlign w:val="bottom"/>
            <w:hideMark/>
          </w:tcPr>
          <w:p w14:paraId="249705BA" w14:textId="77777777" w:rsidR="0023090D" w:rsidRPr="00541040" w:rsidRDefault="0023090D" w:rsidP="000915FE">
            <w:pPr>
              <w:spacing w:after="0" w:line="240" w:lineRule="auto"/>
              <w:jc w:val="center"/>
              <w:rPr>
                <w:rFonts w:cs="Arial"/>
                <w:b/>
                <w:bCs/>
                <w:color w:val="000000"/>
                <w:szCs w:val="24"/>
                <w:lang w:val="en-GB"/>
              </w:rPr>
            </w:pPr>
            <w:r w:rsidRPr="00541040">
              <w:rPr>
                <w:rFonts w:cs="Arial"/>
                <w:b/>
                <w:bCs/>
                <w:color w:val="000000"/>
                <w:szCs w:val="24"/>
                <w:lang w:val="en-GB"/>
              </w:rPr>
              <w:t>ARR</w:t>
            </w:r>
          </w:p>
        </w:tc>
      </w:tr>
      <w:tr w:rsidR="0023090D" w:rsidRPr="00541040" w14:paraId="5A35EF70" w14:textId="77777777" w:rsidTr="000915FE">
        <w:trPr>
          <w:trHeight w:val="384"/>
          <w:jc w:val="center"/>
        </w:trPr>
        <w:tc>
          <w:tcPr>
            <w:tcW w:w="3474" w:type="dxa"/>
            <w:tcBorders>
              <w:top w:val="single" w:sz="4" w:space="0" w:color="auto"/>
              <w:left w:val="single" w:sz="4" w:space="0" w:color="auto"/>
              <w:bottom w:val="single" w:sz="4" w:space="0" w:color="auto"/>
              <w:right w:val="single" w:sz="4" w:space="0" w:color="auto"/>
            </w:tcBorders>
            <w:shd w:val="clear" w:color="000000" w:fill="F3D4F8"/>
            <w:noWrap/>
            <w:vAlign w:val="bottom"/>
            <w:hideMark/>
          </w:tcPr>
          <w:p w14:paraId="77E1187A"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depreciation</w:t>
            </w:r>
          </w:p>
        </w:tc>
        <w:tc>
          <w:tcPr>
            <w:tcW w:w="3968" w:type="dxa"/>
            <w:tcBorders>
              <w:top w:val="single" w:sz="4" w:space="0" w:color="auto"/>
              <w:left w:val="nil"/>
              <w:bottom w:val="single" w:sz="4" w:space="0" w:color="auto"/>
              <w:right w:val="single" w:sz="4" w:space="0" w:color="auto"/>
            </w:tcBorders>
            <w:shd w:val="clear" w:color="000000" w:fill="F3D4F8"/>
            <w:vAlign w:val="bottom"/>
            <w:hideMark/>
          </w:tcPr>
          <w:p w14:paraId="117507A5"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straight-line depreciation to zero</w:t>
            </w:r>
          </w:p>
        </w:tc>
        <w:tc>
          <w:tcPr>
            <w:tcW w:w="2178" w:type="dxa"/>
            <w:tcBorders>
              <w:top w:val="nil"/>
              <w:left w:val="nil"/>
              <w:bottom w:val="nil"/>
              <w:right w:val="nil"/>
            </w:tcBorders>
            <w:noWrap/>
            <w:vAlign w:val="bottom"/>
            <w:hideMark/>
          </w:tcPr>
          <w:p w14:paraId="51B2FA37" w14:textId="77777777" w:rsidR="0023090D" w:rsidRPr="00541040" w:rsidRDefault="0023090D" w:rsidP="000915FE">
            <w:pPr>
              <w:spacing w:after="0" w:line="240" w:lineRule="auto"/>
              <w:jc w:val="left"/>
              <w:rPr>
                <w:rFonts w:cs="Arial"/>
                <w:b/>
                <w:bCs/>
                <w:color w:val="000000"/>
                <w:szCs w:val="24"/>
                <w:lang w:val="en-GB"/>
              </w:rPr>
            </w:pPr>
          </w:p>
        </w:tc>
      </w:tr>
      <w:tr w:rsidR="0023090D" w:rsidRPr="00541040" w14:paraId="3BCAC9D2" w14:textId="77777777" w:rsidTr="000915FE">
        <w:trPr>
          <w:trHeight w:val="384"/>
          <w:jc w:val="center"/>
        </w:trPr>
        <w:tc>
          <w:tcPr>
            <w:tcW w:w="3474" w:type="dxa"/>
            <w:tcBorders>
              <w:top w:val="nil"/>
              <w:left w:val="single" w:sz="4" w:space="0" w:color="auto"/>
              <w:bottom w:val="single" w:sz="4" w:space="0" w:color="auto"/>
              <w:right w:val="single" w:sz="4" w:space="0" w:color="auto"/>
            </w:tcBorders>
            <w:shd w:val="clear" w:color="000000" w:fill="F3D4F8"/>
            <w:noWrap/>
            <w:vAlign w:val="bottom"/>
            <w:hideMark/>
          </w:tcPr>
          <w:p w14:paraId="622F8542"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Initial investment £m</w:t>
            </w:r>
          </w:p>
        </w:tc>
        <w:tc>
          <w:tcPr>
            <w:tcW w:w="3968" w:type="dxa"/>
            <w:tcBorders>
              <w:top w:val="nil"/>
              <w:left w:val="nil"/>
              <w:bottom w:val="single" w:sz="4" w:space="0" w:color="auto"/>
              <w:right w:val="single" w:sz="4" w:space="0" w:color="auto"/>
            </w:tcBorders>
            <w:shd w:val="clear" w:color="000000" w:fill="F3D4F8"/>
            <w:noWrap/>
            <w:vAlign w:val="bottom"/>
            <w:hideMark/>
          </w:tcPr>
          <w:p w14:paraId="5418328E"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40</w:t>
            </w:r>
          </w:p>
        </w:tc>
        <w:tc>
          <w:tcPr>
            <w:tcW w:w="2178" w:type="dxa"/>
            <w:tcBorders>
              <w:top w:val="nil"/>
              <w:left w:val="nil"/>
              <w:bottom w:val="nil"/>
              <w:right w:val="nil"/>
            </w:tcBorders>
            <w:noWrap/>
            <w:vAlign w:val="bottom"/>
            <w:hideMark/>
          </w:tcPr>
          <w:p w14:paraId="3F585BE9" w14:textId="77777777" w:rsidR="0023090D" w:rsidRPr="00541040" w:rsidRDefault="0023090D" w:rsidP="000915FE">
            <w:pPr>
              <w:spacing w:after="0" w:line="240" w:lineRule="auto"/>
              <w:jc w:val="right"/>
              <w:rPr>
                <w:rFonts w:cs="Arial"/>
                <w:color w:val="000000"/>
                <w:szCs w:val="24"/>
                <w:lang w:val="en-GB"/>
              </w:rPr>
            </w:pPr>
          </w:p>
        </w:tc>
      </w:tr>
      <w:tr w:rsidR="0023090D" w:rsidRPr="00541040" w14:paraId="02755456" w14:textId="77777777" w:rsidTr="000915FE">
        <w:trPr>
          <w:trHeight w:val="384"/>
          <w:jc w:val="center"/>
        </w:trPr>
        <w:tc>
          <w:tcPr>
            <w:tcW w:w="3474" w:type="dxa"/>
            <w:tcBorders>
              <w:top w:val="nil"/>
              <w:left w:val="single" w:sz="4" w:space="0" w:color="auto"/>
              <w:bottom w:val="single" w:sz="4" w:space="0" w:color="auto"/>
              <w:right w:val="single" w:sz="4" w:space="0" w:color="auto"/>
            </w:tcBorders>
            <w:shd w:val="clear" w:color="000000" w:fill="F3D4F8"/>
            <w:noWrap/>
            <w:vAlign w:val="bottom"/>
            <w:hideMark/>
          </w:tcPr>
          <w:p w14:paraId="6DAD3E66"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Years</w:t>
            </w:r>
          </w:p>
        </w:tc>
        <w:tc>
          <w:tcPr>
            <w:tcW w:w="3968" w:type="dxa"/>
            <w:tcBorders>
              <w:top w:val="nil"/>
              <w:left w:val="nil"/>
              <w:bottom w:val="single" w:sz="4" w:space="0" w:color="auto"/>
              <w:right w:val="single" w:sz="4" w:space="0" w:color="auto"/>
            </w:tcBorders>
            <w:shd w:val="clear" w:color="000000" w:fill="F3D4F8"/>
            <w:noWrap/>
            <w:vAlign w:val="bottom"/>
            <w:hideMark/>
          </w:tcPr>
          <w:p w14:paraId="2A3FC957"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5</w:t>
            </w:r>
          </w:p>
        </w:tc>
        <w:tc>
          <w:tcPr>
            <w:tcW w:w="2178" w:type="dxa"/>
            <w:tcBorders>
              <w:top w:val="nil"/>
              <w:left w:val="nil"/>
              <w:bottom w:val="nil"/>
              <w:right w:val="nil"/>
            </w:tcBorders>
            <w:noWrap/>
            <w:vAlign w:val="bottom"/>
            <w:hideMark/>
          </w:tcPr>
          <w:p w14:paraId="6C1BD2DD" w14:textId="77777777" w:rsidR="0023090D" w:rsidRPr="00541040" w:rsidRDefault="0023090D" w:rsidP="000915FE">
            <w:pPr>
              <w:spacing w:after="0" w:line="240" w:lineRule="auto"/>
              <w:jc w:val="right"/>
              <w:rPr>
                <w:rFonts w:cs="Arial"/>
                <w:color w:val="000000"/>
                <w:szCs w:val="24"/>
                <w:lang w:val="en-GB"/>
              </w:rPr>
            </w:pPr>
          </w:p>
        </w:tc>
      </w:tr>
      <w:tr w:rsidR="0023090D" w:rsidRPr="00541040" w14:paraId="7861B230" w14:textId="77777777" w:rsidTr="000915FE">
        <w:trPr>
          <w:trHeight w:val="384"/>
          <w:jc w:val="center"/>
        </w:trPr>
        <w:tc>
          <w:tcPr>
            <w:tcW w:w="3474" w:type="dxa"/>
            <w:tcBorders>
              <w:top w:val="nil"/>
              <w:left w:val="single" w:sz="4" w:space="0" w:color="auto"/>
              <w:bottom w:val="single" w:sz="4" w:space="0" w:color="auto"/>
              <w:right w:val="single" w:sz="4" w:space="0" w:color="auto"/>
            </w:tcBorders>
            <w:shd w:val="clear" w:color="000000" w:fill="F3D4F8"/>
            <w:noWrap/>
            <w:vAlign w:val="bottom"/>
            <w:hideMark/>
          </w:tcPr>
          <w:p w14:paraId="6A311805"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Annual depreciation</w:t>
            </w:r>
          </w:p>
        </w:tc>
        <w:tc>
          <w:tcPr>
            <w:tcW w:w="3968" w:type="dxa"/>
            <w:tcBorders>
              <w:top w:val="nil"/>
              <w:left w:val="nil"/>
              <w:bottom w:val="single" w:sz="4" w:space="0" w:color="auto"/>
              <w:right w:val="single" w:sz="4" w:space="0" w:color="auto"/>
            </w:tcBorders>
            <w:shd w:val="clear" w:color="000000" w:fill="F3D4F8"/>
            <w:noWrap/>
            <w:vAlign w:val="bottom"/>
            <w:hideMark/>
          </w:tcPr>
          <w:p w14:paraId="78735B2C"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8</w:t>
            </w:r>
          </w:p>
        </w:tc>
        <w:tc>
          <w:tcPr>
            <w:tcW w:w="2178" w:type="dxa"/>
            <w:tcBorders>
              <w:top w:val="nil"/>
              <w:left w:val="nil"/>
              <w:bottom w:val="nil"/>
              <w:right w:val="nil"/>
            </w:tcBorders>
            <w:noWrap/>
            <w:vAlign w:val="bottom"/>
            <w:hideMark/>
          </w:tcPr>
          <w:p w14:paraId="7C7D9247" w14:textId="77777777" w:rsidR="0023090D" w:rsidRPr="00541040" w:rsidRDefault="0023090D" w:rsidP="000915FE">
            <w:pPr>
              <w:spacing w:after="0" w:line="240" w:lineRule="auto"/>
              <w:jc w:val="right"/>
              <w:rPr>
                <w:rFonts w:cs="Arial"/>
                <w:color w:val="000000"/>
                <w:szCs w:val="24"/>
                <w:lang w:val="en-GB"/>
              </w:rPr>
            </w:pPr>
          </w:p>
        </w:tc>
      </w:tr>
      <w:tr w:rsidR="0023090D" w:rsidRPr="00541040" w14:paraId="4136CBA4" w14:textId="77777777" w:rsidTr="000915FE">
        <w:trPr>
          <w:trHeight w:val="384"/>
          <w:jc w:val="center"/>
        </w:trPr>
        <w:tc>
          <w:tcPr>
            <w:tcW w:w="3474" w:type="dxa"/>
            <w:tcBorders>
              <w:top w:val="nil"/>
              <w:left w:val="single" w:sz="4" w:space="0" w:color="auto"/>
              <w:bottom w:val="single" w:sz="4" w:space="0" w:color="auto"/>
              <w:right w:val="single" w:sz="4" w:space="0" w:color="auto"/>
            </w:tcBorders>
            <w:shd w:val="clear" w:color="000000" w:fill="F3D4F8"/>
            <w:noWrap/>
            <w:vAlign w:val="bottom"/>
            <w:hideMark/>
          </w:tcPr>
          <w:p w14:paraId="56FDDA24" w14:textId="77777777" w:rsidR="0023090D" w:rsidRPr="00541040" w:rsidRDefault="0023090D" w:rsidP="000915FE">
            <w:pPr>
              <w:spacing w:after="0" w:line="240" w:lineRule="auto"/>
              <w:jc w:val="center"/>
              <w:rPr>
                <w:rFonts w:cs="Arial"/>
                <w:b/>
                <w:bCs/>
                <w:color w:val="000000"/>
                <w:szCs w:val="24"/>
                <w:lang w:val="en-GB"/>
              </w:rPr>
            </w:pPr>
            <w:r w:rsidRPr="00541040">
              <w:rPr>
                <w:rFonts w:cs="Arial"/>
                <w:b/>
                <w:bCs/>
                <w:color w:val="000000"/>
                <w:szCs w:val="24"/>
                <w:lang w:val="en-GB"/>
              </w:rPr>
              <w:t>Year</w:t>
            </w:r>
          </w:p>
        </w:tc>
        <w:tc>
          <w:tcPr>
            <w:tcW w:w="3968" w:type="dxa"/>
            <w:tcBorders>
              <w:top w:val="nil"/>
              <w:left w:val="nil"/>
              <w:bottom w:val="single" w:sz="4" w:space="0" w:color="auto"/>
              <w:right w:val="single" w:sz="4" w:space="0" w:color="auto"/>
            </w:tcBorders>
            <w:shd w:val="clear" w:color="000000" w:fill="F3D4F8"/>
            <w:noWrap/>
            <w:vAlign w:val="bottom"/>
            <w:hideMark/>
          </w:tcPr>
          <w:p w14:paraId="63A676E9" w14:textId="77777777" w:rsidR="0023090D" w:rsidRPr="00541040" w:rsidRDefault="0023090D" w:rsidP="000915FE">
            <w:pPr>
              <w:spacing w:after="0" w:line="240" w:lineRule="auto"/>
              <w:jc w:val="center"/>
              <w:rPr>
                <w:rFonts w:cs="Arial"/>
                <w:b/>
                <w:bCs/>
                <w:color w:val="000000"/>
                <w:szCs w:val="24"/>
                <w:lang w:val="en-GB"/>
              </w:rPr>
            </w:pPr>
            <w:r w:rsidRPr="00095284">
              <w:rPr>
                <w:rFonts w:cs="Arial"/>
                <w:b/>
                <w:bCs/>
                <w:color w:val="000000"/>
                <w:szCs w:val="24"/>
                <w:lang w:val="en-GB"/>
              </w:rPr>
              <w:t>Cashflow</w:t>
            </w:r>
            <w:r w:rsidRPr="00541040">
              <w:rPr>
                <w:rFonts w:cs="Arial"/>
                <w:b/>
                <w:bCs/>
                <w:color w:val="000000"/>
                <w:szCs w:val="24"/>
                <w:lang w:val="en-GB"/>
              </w:rPr>
              <w:t xml:space="preserve"> </w:t>
            </w:r>
          </w:p>
        </w:tc>
        <w:tc>
          <w:tcPr>
            <w:tcW w:w="2178" w:type="dxa"/>
            <w:tcBorders>
              <w:top w:val="single" w:sz="4" w:space="0" w:color="auto"/>
              <w:left w:val="nil"/>
              <w:bottom w:val="single" w:sz="4" w:space="0" w:color="auto"/>
              <w:right w:val="single" w:sz="4" w:space="0" w:color="auto"/>
            </w:tcBorders>
            <w:shd w:val="clear" w:color="000000" w:fill="F3D4F8"/>
            <w:noWrap/>
            <w:vAlign w:val="bottom"/>
            <w:hideMark/>
          </w:tcPr>
          <w:p w14:paraId="042CAEB3" w14:textId="77777777" w:rsidR="0023090D" w:rsidRPr="00541040" w:rsidRDefault="0023090D" w:rsidP="000915FE">
            <w:pPr>
              <w:spacing w:after="0" w:line="240" w:lineRule="auto"/>
              <w:jc w:val="center"/>
              <w:rPr>
                <w:rFonts w:cs="Arial"/>
                <w:b/>
                <w:bCs/>
                <w:color w:val="000000"/>
                <w:szCs w:val="24"/>
                <w:lang w:val="en-GB"/>
              </w:rPr>
            </w:pPr>
            <w:r w:rsidRPr="00541040">
              <w:rPr>
                <w:rFonts w:cs="Arial"/>
                <w:b/>
                <w:bCs/>
                <w:color w:val="000000"/>
                <w:szCs w:val="24"/>
                <w:lang w:val="en-GB"/>
              </w:rPr>
              <w:t>Profit</w:t>
            </w:r>
          </w:p>
        </w:tc>
      </w:tr>
      <w:tr w:rsidR="0023090D" w:rsidRPr="00541040" w14:paraId="0768EB6D" w14:textId="77777777" w:rsidTr="000915FE">
        <w:trPr>
          <w:trHeight w:val="384"/>
          <w:jc w:val="center"/>
        </w:trPr>
        <w:tc>
          <w:tcPr>
            <w:tcW w:w="3474" w:type="dxa"/>
            <w:tcBorders>
              <w:top w:val="nil"/>
              <w:left w:val="single" w:sz="4" w:space="0" w:color="auto"/>
              <w:bottom w:val="single" w:sz="4" w:space="0" w:color="auto"/>
              <w:right w:val="single" w:sz="4" w:space="0" w:color="auto"/>
            </w:tcBorders>
            <w:shd w:val="clear" w:color="000000" w:fill="F3D4F8"/>
            <w:noWrap/>
            <w:vAlign w:val="bottom"/>
            <w:hideMark/>
          </w:tcPr>
          <w:p w14:paraId="6E2F1869"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w:t>
            </w:r>
          </w:p>
        </w:tc>
        <w:tc>
          <w:tcPr>
            <w:tcW w:w="3968" w:type="dxa"/>
            <w:tcBorders>
              <w:top w:val="nil"/>
              <w:left w:val="nil"/>
              <w:bottom w:val="single" w:sz="4" w:space="0" w:color="auto"/>
              <w:right w:val="single" w:sz="4" w:space="0" w:color="auto"/>
            </w:tcBorders>
            <w:shd w:val="clear" w:color="000000" w:fill="F3D4F8"/>
            <w:noWrap/>
            <w:vAlign w:val="bottom"/>
            <w:hideMark/>
          </w:tcPr>
          <w:p w14:paraId="1FC85913"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10</w:t>
            </w:r>
          </w:p>
        </w:tc>
        <w:tc>
          <w:tcPr>
            <w:tcW w:w="2178" w:type="dxa"/>
            <w:tcBorders>
              <w:top w:val="nil"/>
              <w:left w:val="nil"/>
              <w:bottom w:val="single" w:sz="4" w:space="0" w:color="auto"/>
              <w:right w:val="single" w:sz="4" w:space="0" w:color="auto"/>
            </w:tcBorders>
            <w:shd w:val="clear" w:color="000000" w:fill="F3D4F8"/>
            <w:noWrap/>
            <w:vAlign w:val="bottom"/>
            <w:hideMark/>
          </w:tcPr>
          <w:p w14:paraId="640DFB27"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2</w:t>
            </w:r>
          </w:p>
        </w:tc>
      </w:tr>
      <w:tr w:rsidR="0023090D" w:rsidRPr="00541040" w14:paraId="4A10BF9F" w14:textId="77777777" w:rsidTr="000915FE">
        <w:trPr>
          <w:trHeight w:val="384"/>
          <w:jc w:val="center"/>
        </w:trPr>
        <w:tc>
          <w:tcPr>
            <w:tcW w:w="3474" w:type="dxa"/>
            <w:tcBorders>
              <w:top w:val="nil"/>
              <w:left w:val="single" w:sz="4" w:space="0" w:color="auto"/>
              <w:bottom w:val="single" w:sz="4" w:space="0" w:color="auto"/>
              <w:right w:val="single" w:sz="4" w:space="0" w:color="auto"/>
            </w:tcBorders>
            <w:shd w:val="clear" w:color="000000" w:fill="F3D4F8"/>
            <w:noWrap/>
            <w:vAlign w:val="bottom"/>
            <w:hideMark/>
          </w:tcPr>
          <w:p w14:paraId="5F1C696C"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2</w:t>
            </w:r>
          </w:p>
        </w:tc>
        <w:tc>
          <w:tcPr>
            <w:tcW w:w="3968" w:type="dxa"/>
            <w:tcBorders>
              <w:top w:val="nil"/>
              <w:left w:val="nil"/>
              <w:bottom w:val="single" w:sz="4" w:space="0" w:color="auto"/>
              <w:right w:val="single" w:sz="4" w:space="0" w:color="auto"/>
            </w:tcBorders>
            <w:shd w:val="clear" w:color="000000" w:fill="F3D4F8"/>
            <w:noWrap/>
            <w:vAlign w:val="bottom"/>
            <w:hideMark/>
          </w:tcPr>
          <w:p w14:paraId="6005303F"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12</w:t>
            </w:r>
          </w:p>
        </w:tc>
        <w:tc>
          <w:tcPr>
            <w:tcW w:w="2178" w:type="dxa"/>
            <w:tcBorders>
              <w:top w:val="nil"/>
              <w:left w:val="nil"/>
              <w:bottom w:val="single" w:sz="4" w:space="0" w:color="auto"/>
              <w:right w:val="single" w:sz="4" w:space="0" w:color="auto"/>
            </w:tcBorders>
            <w:shd w:val="clear" w:color="000000" w:fill="F3D4F8"/>
            <w:noWrap/>
            <w:vAlign w:val="bottom"/>
            <w:hideMark/>
          </w:tcPr>
          <w:p w14:paraId="4218BCD3"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4</w:t>
            </w:r>
          </w:p>
        </w:tc>
      </w:tr>
      <w:tr w:rsidR="0023090D" w:rsidRPr="00541040" w14:paraId="46FCBCA8" w14:textId="77777777" w:rsidTr="000915FE">
        <w:trPr>
          <w:trHeight w:val="384"/>
          <w:jc w:val="center"/>
        </w:trPr>
        <w:tc>
          <w:tcPr>
            <w:tcW w:w="3474" w:type="dxa"/>
            <w:tcBorders>
              <w:top w:val="nil"/>
              <w:left w:val="single" w:sz="4" w:space="0" w:color="auto"/>
              <w:bottom w:val="single" w:sz="4" w:space="0" w:color="auto"/>
              <w:right w:val="single" w:sz="4" w:space="0" w:color="auto"/>
            </w:tcBorders>
            <w:shd w:val="clear" w:color="000000" w:fill="F3D4F8"/>
            <w:noWrap/>
            <w:vAlign w:val="bottom"/>
            <w:hideMark/>
          </w:tcPr>
          <w:p w14:paraId="7F940FD9"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3</w:t>
            </w:r>
          </w:p>
        </w:tc>
        <w:tc>
          <w:tcPr>
            <w:tcW w:w="3968" w:type="dxa"/>
            <w:tcBorders>
              <w:top w:val="nil"/>
              <w:left w:val="nil"/>
              <w:bottom w:val="single" w:sz="4" w:space="0" w:color="auto"/>
              <w:right w:val="single" w:sz="4" w:space="0" w:color="auto"/>
            </w:tcBorders>
            <w:shd w:val="clear" w:color="000000" w:fill="F3D4F8"/>
            <w:noWrap/>
            <w:vAlign w:val="bottom"/>
            <w:hideMark/>
          </w:tcPr>
          <w:p w14:paraId="6E30F6E8"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14</w:t>
            </w:r>
          </w:p>
        </w:tc>
        <w:tc>
          <w:tcPr>
            <w:tcW w:w="2178" w:type="dxa"/>
            <w:tcBorders>
              <w:top w:val="nil"/>
              <w:left w:val="nil"/>
              <w:bottom w:val="single" w:sz="4" w:space="0" w:color="auto"/>
              <w:right w:val="single" w:sz="4" w:space="0" w:color="auto"/>
            </w:tcBorders>
            <w:shd w:val="clear" w:color="000000" w:fill="F3D4F8"/>
            <w:noWrap/>
            <w:vAlign w:val="bottom"/>
            <w:hideMark/>
          </w:tcPr>
          <w:p w14:paraId="677D24E1"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6</w:t>
            </w:r>
          </w:p>
        </w:tc>
      </w:tr>
      <w:tr w:rsidR="0023090D" w:rsidRPr="00541040" w14:paraId="1139262E" w14:textId="77777777" w:rsidTr="000915FE">
        <w:trPr>
          <w:trHeight w:val="384"/>
          <w:jc w:val="center"/>
        </w:trPr>
        <w:tc>
          <w:tcPr>
            <w:tcW w:w="3474" w:type="dxa"/>
            <w:tcBorders>
              <w:top w:val="nil"/>
              <w:left w:val="single" w:sz="4" w:space="0" w:color="auto"/>
              <w:bottom w:val="single" w:sz="4" w:space="0" w:color="auto"/>
              <w:right w:val="single" w:sz="4" w:space="0" w:color="auto"/>
            </w:tcBorders>
            <w:shd w:val="clear" w:color="000000" w:fill="F3D4F8"/>
            <w:noWrap/>
            <w:vAlign w:val="bottom"/>
            <w:hideMark/>
          </w:tcPr>
          <w:p w14:paraId="68DE489A"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4</w:t>
            </w:r>
          </w:p>
        </w:tc>
        <w:tc>
          <w:tcPr>
            <w:tcW w:w="3968" w:type="dxa"/>
            <w:tcBorders>
              <w:top w:val="nil"/>
              <w:left w:val="nil"/>
              <w:bottom w:val="single" w:sz="4" w:space="0" w:color="auto"/>
              <w:right w:val="single" w:sz="4" w:space="0" w:color="auto"/>
            </w:tcBorders>
            <w:shd w:val="clear" w:color="000000" w:fill="F3D4F8"/>
            <w:noWrap/>
            <w:vAlign w:val="bottom"/>
            <w:hideMark/>
          </w:tcPr>
          <w:p w14:paraId="32943867"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10</w:t>
            </w:r>
          </w:p>
        </w:tc>
        <w:tc>
          <w:tcPr>
            <w:tcW w:w="2178" w:type="dxa"/>
            <w:tcBorders>
              <w:top w:val="nil"/>
              <w:left w:val="nil"/>
              <w:bottom w:val="single" w:sz="4" w:space="0" w:color="auto"/>
              <w:right w:val="single" w:sz="4" w:space="0" w:color="auto"/>
            </w:tcBorders>
            <w:shd w:val="clear" w:color="000000" w:fill="F3D4F8"/>
            <w:noWrap/>
            <w:vAlign w:val="bottom"/>
            <w:hideMark/>
          </w:tcPr>
          <w:p w14:paraId="7B4495F1"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2</w:t>
            </w:r>
          </w:p>
        </w:tc>
      </w:tr>
      <w:tr w:rsidR="0023090D" w:rsidRPr="00541040" w14:paraId="0E289084" w14:textId="77777777" w:rsidTr="000915FE">
        <w:trPr>
          <w:trHeight w:val="384"/>
          <w:jc w:val="center"/>
        </w:trPr>
        <w:tc>
          <w:tcPr>
            <w:tcW w:w="3474" w:type="dxa"/>
            <w:tcBorders>
              <w:top w:val="nil"/>
              <w:left w:val="single" w:sz="4" w:space="0" w:color="auto"/>
              <w:bottom w:val="single" w:sz="4" w:space="0" w:color="auto"/>
              <w:right w:val="single" w:sz="4" w:space="0" w:color="auto"/>
            </w:tcBorders>
            <w:shd w:val="clear" w:color="000000" w:fill="F3D4F8"/>
            <w:noWrap/>
            <w:vAlign w:val="bottom"/>
            <w:hideMark/>
          </w:tcPr>
          <w:p w14:paraId="587A6E47"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5</w:t>
            </w:r>
          </w:p>
        </w:tc>
        <w:tc>
          <w:tcPr>
            <w:tcW w:w="3968" w:type="dxa"/>
            <w:tcBorders>
              <w:top w:val="nil"/>
              <w:left w:val="nil"/>
              <w:bottom w:val="single" w:sz="4" w:space="0" w:color="auto"/>
              <w:right w:val="single" w:sz="4" w:space="0" w:color="auto"/>
            </w:tcBorders>
            <w:shd w:val="clear" w:color="000000" w:fill="F3D4F8"/>
            <w:noWrap/>
            <w:vAlign w:val="bottom"/>
            <w:hideMark/>
          </w:tcPr>
          <w:p w14:paraId="6BE58324"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8</w:t>
            </w:r>
          </w:p>
        </w:tc>
        <w:tc>
          <w:tcPr>
            <w:tcW w:w="2178" w:type="dxa"/>
            <w:tcBorders>
              <w:top w:val="nil"/>
              <w:left w:val="nil"/>
              <w:bottom w:val="single" w:sz="4" w:space="0" w:color="auto"/>
              <w:right w:val="single" w:sz="4" w:space="0" w:color="auto"/>
            </w:tcBorders>
            <w:shd w:val="clear" w:color="000000" w:fill="F3D4F8"/>
            <w:noWrap/>
            <w:vAlign w:val="bottom"/>
            <w:hideMark/>
          </w:tcPr>
          <w:p w14:paraId="5EE4E4C0"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0</w:t>
            </w:r>
          </w:p>
        </w:tc>
      </w:tr>
      <w:tr w:rsidR="0023090D" w:rsidRPr="00541040" w14:paraId="5AC12A68" w14:textId="77777777" w:rsidTr="000915FE">
        <w:trPr>
          <w:trHeight w:val="384"/>
          <w:jc w:val="center"/>
        </w:trPr>
        <w:tc>
          <w:tcPr>
            <w:tcW w:w="3474" w:type="dxa"/>
            <w:tcBorders>
              <w:top w:val="nil"/>
              <w:left w:val="single" w:sz="4" w:space="0" w:color="auto"/>
              <w:bottom w:val="single" w:sz="4" w:space="0" w:color="auto"/>
              <w:right w:val="single" w:sz="4" w:space="0" w:color="auto"/>
            </w:tcBorders>
            <w:shd w:val="clear" w:color="000000" w:fill="F3D4F8"/>
            <w:noWrap/>
            <w:vAlign w:val="bottom"/>
            <w:hideMark/>
          </w:tcPr>
          <w:p w14:paraId="453CC79C" w14:textId="77777777" w:rsidR="0023090D" w:rsidRPr="00541040" w:rsidRDefault="0023090D" w:rsidP="000915FE">
            <w:pPr>
              <w:spacing w:after="0" w:line="240" w:lineRule="auto"/>
              <w:jc w:val="left"/>
              <w:rPr>
                <w:rFonts w:cs="Arial"/>
                <w:b/>
                <w:bCs/>
                <w:color w:val="000000"/>
                <w:szCs w:val="24"/>
                <w:lang w:val="en-GB"/>
              </w:rPr>
            </w:pPr>
            <w:r w:rsidRPr="00095284">
              <w:rPr>
                <w:rFonts w:cs="Arial"/>
                <w:b/>
                <w:bCs/>
                <w:color w:val="000000"/>
                <w:szCs w:val="24"/>
                <w:lang w:val="en-GB"/>
              </w:rPr>
              <w:t>Average</w:t>
            </w:r>
            <w:r w:rsidRPr="00541040">
              <w:rPr>
                <w:rFonts w:cs="Arial"/>
                <w:b/>
                <w:bCs/>
                <w:color w:val="000000"/>
                <w:szCs w:val="24"/>
                <w:lang w:val="en-GB"/>
              </w:rPr>
              <w:t xml:space="preserve"> Annual profit </w:t>
            </w:r>
          </w:p>
        </w:tc>
        <w:tc>
          <w:tcPr>
            <w:tcW w:w="3968" w:type="dxa"/>
            <w:tcBorders>
              <w:top w:val="nil"/>
              <w:left w:val="nil"/>
              <w:bottom w:val="single" w:sz="4" w:space="0" w:color="auto"/>
              <w:right w:val="single" w:sz="4" w:space="0" w:color="auto"/>
            </w:tcBorders>
            <w:shd w:val="clear" w:color="000000" w:fill="F3D4F8"/>
            <w:noWrap/>
            <w:vAlign w:val="bottom"/>
            <w:hideMark/>
          </w:tcPr>
          <w:p w14:paraId="47C2733A"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2.8</w:t>
            </w:r>
          </w:p>
        </w:tc>
        <w:tc>
          <w:tcPr>
            <w:tcW w:w="2178" w:type="dxa"/>
            <w:tcBorders>
              <w:top w:val="nil"/>
              <w:left w:val="nil"/>
              <w:bottom w:val="single" w:sz="4" w:space="0" w:color="auto"/>
              <w:right w:val="single" w:sz="4" w:space="0" w:color="auto"/>
            </w:tcBorders>
            <w:shd w:val="clear" w:color="000000" w:fill="F3D4F8"/>
            <w:noWrap/>
            <w:vAlign w:val="bottom"/>
            <w:hideMark/>
          </w:tcPr>
          <w:p w14:paraId="09CB63D2" w14:textId="77777777" w:rsidR="0023090D" w:rsidRPr="00541040" w:rsidRDefault="0023090D" w:rsidP="000915FE">
            <w:pPr>
              <w:spacing w:after="0" w:line="240" w:lineRule="auto"/>
              <w:jc w:val="left"/>
              <w:rPr>
                <w:rFonts w:cs="Arial"/>
                <w:color w:val="000000"/>
                <w:szCs w:val="24"/>
                <w:lang w:val="en-GB"/>
              </w:rPr>
            </w:pPr>
            <w:r w:rsidRPr="00541040">
              <w:rPr>
                <w:rFonts w:cs="Arial"/>
                <w:color w:val="000000"/>
                <w:szCs w:val="24"/>
                <w:lang w:val="en-GB"/>
              </w:rPr>
              <w:t> </w:t>
            </w:r>
          </w:p>
        </w:tc>
      </w:tr>
      <w:tr w:rsidR="0023090D" w:rsidRPr="00541040" w14:paraId="2B945C5A" w14:textId="77777777" w:rsidTr="000915FE">
        <w:trPr>
          <w:trHeight w:val="384"/>
          <w:jc w:val="center"/>
        </w:trPr>
        <w:tc>
          <w:tcPr>
            <w:tcW w:w="3474" w:type="dxa"/>
            <w:tcBorders>
              <w:top w:val="nil"/>
              <w:left w:val="single" w:sz="4" w:space="0" w:color="auto"/>
              <w:bottom w:val="single" w:sz="4" w:space="0" w:color="auto"/>
              <w:right w:val="single" w:sz="4" w:space="0" w:color="auto"/>
            </w:tcBorders>
            <w:shd w:val="clear" w:color="000000" w:fill="F3D4F8"/>
            <w:noWrap/>
            <w:vAlign w:val="bottom"/>
            <w:hideMark/>
          </w:tcPr>
          <w:p w14:paraId="3F84BDAF"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Average Investment</w:t>
            </w:r>
          </w:p>
        </w:tc>
        <w:tc>
          <w:tcPr>
            <w:tcW w:w="3968" w:type="dxa"/>
            <w:tcBorders>
              <w:top w:val="nil"/>
              <w:left w:val="nil"/>
              <w:bottom w:val="single" w:sz="4" w:space="0" w:color="auto"/>
              <w:right w:val="single" w:sz="4" w:space="0" w:color="auto"/>
            </w:tcBorders>
            <w:shd w:val="clear" w:color="000000" w:fill="F3D4F8"/>
            <w:noWrap/>
            <w:vAlign w:val="bottom"/>
            <w:hideMark/>
          </w:tcPr>
          <w:p w14:paraId="626DBD9C"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20</w:t>
            </w:r>
          </w:p>
        </w:tc>
        <w:tc>
          <w:tcPr>
            <w:tcW w:w="2178" w:type="dxa"/>
            <w:tcBorders>
              <w:top w:val="nil"/>
              <w:left w:val="nil"/>
              <w:bottom w:val="single" w:sz="4" w:space="0" w:color="auto"/>
              <w:right w:val="single" w:sz="4" w:space="0" w:color="auto"/>
            </w:tcBorders>
            <w:shd w:val="clear" w:color="000000" w:fill="F3D4F8"/>
            <w:noWrap/>
            <w:vAlign w:val="bottom"/>
            <w:hideMark/>
          </w:tcPr>
          <w:p w14:paraId="270FFE1D" w14:textId="77777777" w:rsidR="0023090D" w:rsidRPr="00541040" w:rsidRDefault="0023090D" w:rsidP="000915FE">
            <w:pPr>
              <w:spacing w:after="0" w:line="240" w:lineRule="auto"/>
              <w:jc w:val="left"/>
              <w:rPr>
                <w:rFonts w:cs="Arial"/>
                <w:color w:val="000000"/>
                <w:szCs w:val="24"/>
                <w:lang w:val="en-GB"/>
              </w:rPr>
            </w:pPr>
            <w:r w:rsidRPr="00541040">
              <w:rPr>
                <w:rFonts w:cs="Arial"/>
                <w:color w:val="000000"/>
                <w:szCs w:val="24"/>
                <w:lang w:val="en-GB"/>
              </w:rPr>
              <w:t> </w:t>
            </w:r>
          </w:p>
        </w:tc>
      </w:tr>
      <w:tr w:rsidR="0023090D" w:rsidRPr="00541040" w14:paraId="7E0170F0" w14:textId="77777777" w:rsidTr="000915FE">
        <w:trPr>
          <w:trHeight w:val="384"/>
          <w:jc w:val="center"/>
        </w:trPr>
        <w:tc>
          <w:tcPr>
            <w:tcW w:w="3474" w:type="dxa"/>
            <w:tcBorders>
              <w:top w:val="nil"/>
              <w:left w:val="single" w:sz="4" w:space="0" w:color="auto"/>
              <w:bottom w:val="single" w:sz="4" w:space="0" w:color="auto"/>
              <w:right w:val="single" w:sz="4" w:space="0" w:color="auto"/>
            </w:tcBorders>
            <w:shd w:val="clear" w:color="000000" w:fill="F3D4F8"/>
            <w:noWrap/>
            <w:vAlign w:val="bottom"/>
            <w:hideMark/>
          </w:tcPr>
          <w:p w14:paraId="75A7BCE9"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ARR</w:t>
            </w:r>
          </w:p>
        </w:tc>
        <w:tc>
          <w:tcPr>
            <w:tcW w:w="3968" w:type="dxa"/>
            <w:tcBorders>
              <w:top w:val="nil"/>
              <w:left w:val="nil"/>
              <w:bottom w:val="single" w:sz="4" w:space="0" w:color="auto"/>
              <w:right w:val="single" w:sz="4" w:space="0" w:color="auto"/>
            </w:tcBorders>
            <w:shd w:val="clear" w:color="000000" w:fill="F3D4F8"/>
            <w:noWrap/>
            <w:vAlign w:val="bottom"/>
            <w:hideMark/>
          </w:tcPr>
          <w:p w14:paraId="3F073D24"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14</w:t>
            </w:r>
          </w:p>
        </w:tc>
        <w:tc>
          <w:tcPr>
            <w:tcW w:w="2178" w:type="dxa"/>
            <w:tcBorders>
              <w:top w:val="nil"/>
              <w:left w:val="nil"/>
              <w:bottom w:val="single" w:sz="4" w:space="0" w:color="auto"/>
              <w:right w:val="single" w:sz="4" w:space="0" w:color="auto"/>
            </w:tcBorders>
            <w:shd w:val="clear" w:color="000000" w:fill="F3D4F8"/>
            <w:noWrap/>
            <w:vAlign w:val="bottom"/>
            <w:hideMark/>
          </w:tcPr>
          <w:p w14:paraId="13C169B8"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 xml:space="preserve">In percentage </w:t>
            </w:r>
          </w:p>
        </w:tc>
      </w:tr>
    </w:tbl>
    <w:p w14:paraId="185690C4" w14:textId="77777777" w:rsidR="0023090D" w:rsidRPr="00095284" w:rsidRDefault="0023090D" w:rsidP="0023090D">
      <w:pPr>
        <w:rPr>
          <w:rFonts w:cs="Arial"/>
          <w:szCs w:val="24"/>
          <w:lang w:val="en-GB"/>
        </w:rPr>
      </w:pPr>
    </w:p>
    <w:tbl>
      <w:tblPr>
        <w:tblW w:w="10721" w:type="dxa"/>
        <w:jc w:val="center"/>
        <w:tblLook w:val="04A0" w:firstRow="1" w:lastRow="0" w:firstColumn="1" w:lastColumn="0" w:noHBand="0" w:noVBand="1"/>
      </w:tblPr>
      <w:tblGrid>
        <w:gridCol w:w="3153"/>
        <w:gridCol w:w="2923"/>
        <w:gridCol w:w="3435"/>
        <w:gridCol w:w="1210"/>
      </w:tblGrid>
      <w:tr w:rsidR="0023090D" w:rsidRPr="00541040" w14:paraId="2C00C348" w14:textId="77777777" w:rsidTr="000915FE">
        <w:trPr>
          <w:trHeight w:val="384"/>
          <w:jc w:val="center"/>
        </w:trPr>
        <w:tc>
          <w:tcPr>
            <w:tcW w:w="10721" w:type="dxa"/>
            <w:gridSpan w:val="4"/>
            <w:tcBorders>
              <w:top w:val="nil"/>
              <w:left w:val="nil"/>
              <w:bottom w:val="nil"/>
              <w:right w:val="nil"/>
            </w:tcBorders>
            <w:shd w:val="clear" w:color="000000" w:fill="FF66FF"/>
            <w:noWrap/>
            <w:vAlign w:val="bottom"/>
            <w:hideMark/>
          </w:tcPr>
          <w:p w14:paraId="4BFC6022" w14:textId="77777777" w:rsidR="0023090D" w:rsidRPr="00541040" w:rsidRDefault="0023090D" w:rsidP="000915FE">
            <w:pPr>
              <w:spacing w:after="0" w:line="240" w:lineRule="auto"/>
              <w:jc w:val="center"/>
              <w:rPr>
                <w:rFonts w:cs="Arial"/>
                <w:b/>
                <w:bCs/>
                <w:color w:val="000000"/>
                <w:szCs w:val="24"/>
                <w:lang w:val="en-GB"/>
              </w:rPr>
            </w:pPr>
            <w:r w:rsidRPr="00541040">
              <w:rPr>
                <w:rFonts w:cs="Arial"/>
                <w:b/>
                <w:bCs/>
                <w:color w:val="000000"/>
                <w:szCs w:val="24"/>
                <w:lang w:val="en-GB"/>
              </w:rPr>
              <w:lastRenderedPageBreak/>
              <w:t>NPV</w:t>
            </w:r>
          </w:p>
        </w:tc>
      </w:tr>
      <w:tr w:rsidR="0023090D" w:rsidRPr="00541040" w14:paraId="3B4A85FD" w14:textId="77777777" w:rsidTr="000915FE">
        <w:trPr>
          <w:trHeight w:val="384"/>
          <w:jc w:val="center"/>
        </w:trPr>
        <w:tc>
          <w:tcPr>
            <w:tcW w:w="3153" w:type="dxa"/>
            <w:tcBorders>
              <w:top w:val="single" w:sz="4" w:space="0" w:color="auto"/>
              <w:left w:val="single" w:sz="4" w:space="0" w:color="auto"/>
              <w:bottom w:val="single" w:sz="4" w:space="0" w:color="auto"/>
              <w:right w:val="single" w:sz="4" w:space="0" w:color="auto"/>
            </w:tcBorders>
            <w:shd w:val="clear" w:color="000000" w:fill="F3D4F8"/>
            <w:noWrap/>
            <w:vAlign w:val="bottom"/>
            <w:hideMark/>
          </w:tcPr>
          <w:p w14:paraId="34506D36"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Discount Rate</w:t>
            </w:r>
          </w:p>
        </w:tc>
        <w:tc>
          <w:tcPr>
            <w:tcW w:w="2923" w:type="dxa"/>
            <w:tcBorders>
              <w:top w:val="single" w:sz="4" w:space="0" w:color="auto"/>
              <w:left w:val="nil"/>
              <w:bottom w:val="single" w:sz="4" w:space="0" w:color="auto"/>
              <w:right w:val="single" w:sz="4" w:space="0" w:color="auto"/>
            </w:tcBorders>
            <w:shd w:val="clear" w:color="000000" w:fill="F3D4F8"/>
            <w:noWrap/>
            <w:vAlign w:val="bottom"/>
            <w:hideMark/>
          </w:tcPr>
          <w:p w14:paraId="0C7A721C"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10%</w:t>
            </w:r>
          </w:p>
        </w:tc>
        <w:tc>
          <w:tcPr>
            <w:tcW w:w="3435" w:type="dxa"/>
            <w:tcBorders>
              <w:top w:val="nil"/>
              <w:left w:val="nil"/>
              <w:bottom w:val="nil"/>
              <w:right w:val="nil"/>
            </w:tcBorders>
            <w:shd w:val="clear" w:color="000000" w:fill="F3D4F8"/>
            <w:noWrap/>
            <w:vAlign w:val="bottom"/>
            <w:hideMark/>
          </w:tcPr>
          <w:p w14:paraId="50784635" w14:textId="77777777" w:rsidR="0023090D" w:rsidRPr="00541040" w:rsidRDefault="0023090D" w:rsidP="000915FE">
            <w:pPr>
              <w:spacing w:after="0" w:line="240" w:lineRule="auto"/>
              <w:jc w:val="left"/>
              <w:rPr>
                <w:rFonts w:cs="Arial"/>
                <w:color w:val="000000"/>
                <w:szCs w:val="24"/>
                <w:lang w:val="en-GB"/>
              </w:rPr>
            </w:pPr>
            <w:r w:rsidRPr="00541040">
              <w:rPr>
                <w:rFonts w:cs="Arial"/>
                <w:color w:val="000000"/>
                <w:szCs w:val="24"/>
                <w:lang w:val="en-GB"/>
              </w:rPr>
              <w:t> </w:t>
            </w:r>
          </w:p>
        </w:tc>
        <w:tc>
          <w:tcPr>
            <w:tcW w:w="1210" w:type="dxa"/>
            <w:tcBorders>
              <w:top w:val="nil"/>
              <w:left w:val="nil"/>
              <w:bottom w:val="nil"/>
              <w:right w:val="nil"/>
            </w:tcBorders>
            <w:shd w:val="clear" w:color="000000" w:fill="F3D4F8"/>
            <w:noWrap/>
            <w:vAlign w:val="bottom"/>
            <w:hideMark/>
          </w:tcPr>
          <w:p w14:paraId="312A3546" w14:textId="77777777" w:rsidR="0023090D" w:rsidRPr="00541040" w:rsidRDefault="0023090D" w:rsidP="000915FE">
            <w:pPr>
              <w:spacing w:after="0" w:line="240" w:lineRule="auto"/>
              <w:jc w:val="left"/>
              <w:rPr>
                <w:rFonts w:cs="Arial"/>
                <w:color w:val="000000"/>
                <w:szCs w:val="24"/>
                <w:lang w:val="en-GB"/>
              </w:rPr>
            </w:pPr>
            <w:r w:rsidRPr="00541040">
              <w:rPr>
                <w:rFonts w:cs="Arial"/>
                <w:color w:val="000000"/>
                <w:szCs w:val="24"/>
                <w:lang w:val="en-GB"/>
              </w:rPr>
              <w:t> </w:t>
            </w:r>
          </w:p>
        </w:tc>
      </w:tr>
      <w:tr w:rsidR="0023090D" w:rsidRPr="00541040" w14:paraId="0BABD3B7" w14:textId="77777777" w:rsidTr="000915FE">
        <w:trPr>
          <w:trHeight w:val="384"/>
          <w:jc w:val="center"/>
        </w:trPr>
        <w:tc>
          <w:tcPr>
            <w:tcW w:w="3153" w:type="dxa"/>
            <w:tcBorders>
              <w:top w:val="nil"/>
              <w:left w:val="single" w:sz="4" w:space="0" w:color="auto"/>
              <w:bottom w:val="single" w:sz="4" w:space="0" w:color="auto"/>
              <w:right w:val="single" w:sz="4" w:space="0" w:color="auto"/>
            </w:tcBorders>
            <w:shd w:val="clear" w:color="000000" w:fill="F3D4F8"/>
            <w:noWrap/>
            <w:vAlign w:val="bottom"/>
            <w:hideMark/>
          </w:tcPr>
          <w:p w14:paraId="3503004B"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Year</w:t>
            </w:r>
          </w:p>
        </w:tc>
        <w:tc>
          <w:tcPr>
            <w:tcW w:w="2923" w:type="dxa"/>
            <w:tcBorders>
              <w:top w:val="nil"/>
              <w:left w:val="nil"/>
              <w:bottom w:val="single" w:sz="4" w:space="0" w:color="auto"/>
              <w:right w:val="single" w:sz="4" w:space="0" w:color="auto"/>
            </w:tcBorders>
            <w:shd w:val="clear" w:color="000000" w:fill="F3D4F8"/>
            <w:noWrap/>
            <w:vAlign w:val="bottom"/>
            <w:hideMark/>
          </w:tcPr>
          <w:p w14:paraId="4F2F1EBA"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Formula</w:t>
            </w:r>
          </w:p>
        </w:tc>
        <w:tc>
          <w:tcPr>
            <w:tcW w:w="3435" w:type="dxa"/>
            <w:tcBorders>
              <w:top w:val="single" w:sz="4" w:space="0" w:color="auto"/>
              <w:left w:val="nil"/>
              <w:bottom w:val="single" w:sz="4" w:space="0" w:color="auto"/>
              <w:right w:val="single" w:sz="4" w:space="0" w:color="auto"/>
            </w:tcBorders>
            <w:shd w:val="clear" w:color="000000" w:fill="F3D4F8"/>
            <w:noWrap/>
            <w:vAlign w:val="bottom"/>
            <w:hideMark/>
          </w:tcPr>
          <w:p w14:paraId="5DBAAB79"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Discount factor</w:t>
            </w:r>
          </w:p>
        </w:tc>
        <w:tc>
          <w:tcPr>
            <w:tcW w:w="1210" w:type="dxa"/>
            <w:tcBorders>
              <w:top w:val="nil"/>
              <w:left w:val="nil"/>
              <w:bottom w:val="single" w:sz="4" w:space="0" w:color="auto"/>
              <w:right w:val="single" w:sz="4" w:space="0" w:color="auto"/>
            </w:tcBorders>
            <w:shd w:val="clear" w:color="000000" w:fill="F3D4F8"/>
            <w:noWrap/>
            <w:vAlign w:val="bottom"/>
            <w:hideMark/>
          </w:tcPr>
          <w:p w14:paraId="5D511BFE"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PV</w:t>
            </w:r>
          </w:p>
        </w:tc>
      </w:tr>
      <w:tr w:rsidR="0023090D" w:rsidRPr="00541040" w14:paraId="5BCC68A3" w14:textId="77777777" w:rsidTr="000915FE">
        <w:trPr>
          <w:trHeight w:val="384"/>
          <w:jc w:val="center"/>
        </w:trPr>
        <w:tc>
          <w:tcPr>
            <w:tcW w:w="3153" w:type="dxa"/>
            <w:tcBorders>
              <w:top w:val="nil"/>
              <w:left w:val="single" w:sz="4" w:space="0" w:color="auto"/>
              <w:bottom w:val="single" w:sz="4" w:space="0" w:color="auto"/>
              <w:right w:val="single" w:sz="4" w:space="0" w:color="auto"/>
            </w:tcBorders>
            <w:shd w:val="clear" w:color="000000" w:fill="F3D4F8"/>
            <w:noWrap/>
            <w:vAlign w:val="bottom"/>
            <w:hideMark/>
          </w:tcPr>
          <w:p w14:paraId="59E5D14C"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w:t>
            </w:r>
          </w:p>
        </w:tc>
        <w:tc>
          <w:tcPr>
            <w:tcW w:w="2923" w:type="dxa"/>
            <w:tcBorders>
              <w:top w:val="nil"/>
              <w:left w:val="nil"/>
              <w:bottom w:val="single" w:sz="4" w:space="0" w:color="auto"/>
              <w:right w:val="single" w:sz="4" w:space="0" w:color="auto"/>
            </w:tcBorders>
            <w:shd w:val="clear" w:color="000000" w:fill="F3D4F8"/>
            <w:noWrap/>
            <w:vAlign w:val="bottom"/>
            <w:hideMark/>
          </w:tcPr>
          <w:p w14:paraId="609B24D4" w14:textId="77777777" w:rsidR="0023090D" w:rsidRPr="00541040" w:rsidRDefault="0023090D" w:rsidP="000915FE">
            <w:pPr>
              <w:spacing w:after="0" w:line="240" w:lineRule="auto"/>
              <w:jc w:val="center"/>
              <w:rPr>
                <w:rFonts w:cs="Arial"/>
                <w:color w:val="000000"/>
                <w:szCs w:val="24"/>
                <w:lang w:val="en-GB"/>
              </w:rPr>
            </w:pPr>
            <w:r w:rsidRPr="00541040">
              <w:rPr>
                <w:rFonts w:cs="Arial"/>
                <w:color w:val="000000"/>
                <w:szCs w:val="24"/>
                <w:lang w:val="en-GB"/>
              </w:rPr>
              <w:t>[1</w:t>
            </w:r>
            <w:proofErr w:type="gramStart"/>
            <w:r w:rsidRPr="00541040">
              <w:rPr>
                <w:rFonts w:cs="Arial"/>
                <w:color w:val="000000"/>
                <w:szCs w:val="24"/>
                <w:lang w:val="en-GB"/>
              </w:rPr>
              <w:t>/(</w:t>
            </w:r>
            <w:proofErr w:type="gramEnd"/>
            <w:r w:rsidRPr="00541040">
              <w:rPr>
                <w:rFonts w:cs="Arial"/>
                <w:color w:val="000000"/>
                <w:szCs w:val="24"/>
                <w:lang w:val="en-GB"/>
              </w:rPr>
              <w:t>1+10%</w:t>
            </w:r>
            <w:proofErr w:type="gramStart"/>
            <w:r w:rsidRPr="00541040">
              <w:rPr>
                <w:rFonts w:cs="Arial"/>
                <w:color w:val="000000"/>
                <w:szCs w:val="24"/>
                <w:lang w:val="en-GB"/>
              </w:rPr>
              <w:t>)]^</w:t>
            </w:r>
            <w:proofErr w:type="gramEnd"/>
            <w:r w:rsidRPr="00541040">
              <w:rPr>
                <w:rFonts w:cs="Arial"/>
                <w:color w:val="000000"/>
                <w:szCs w:val="24"/>
                <w:lang w:val="en-GB"/>
              </w:rPr>
              <w:t>1</w:t>
            </w:r>
          </w:p>
        </w:tc>
        <w:tc>
          <w:tcPr>
            <w:tcW w:w="3435" w:type="dxa"/>
            <w:tcBorders>
              <w:top w:val="nil"/>
              <w:left w:val="nil"/>
              <w:bottom w:val="single" w:sz="4" w:space="0" w:color="auto"/>
              <w:right w:val="single" w:sz="4" w:space="0" w:color="auto"/>
            </w:tcBorders>
            <w:shd w:val="clear" w:color="000000" w:fill="F3D4F8"/>
            <w:noWrap/>
            <w:vAlign w:val="bottom"/>
            <w:hideMark/>
          </w:tcPr>
          <w:p w14:paraId="3AE0B926"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0.91</w:t>
            </w:r>
          </w:p>
        </w:tc>
        <w:tc>
          <w:tcPr>
            <w:tcW w:w="1210" w:type="dxa"/>
            <w:tcBorders>
              <w:top w:val="nil"/>
              <w:left w:val="nil"/>
              <w:bottom w:val="single" w:sz="4" w:space="0" w:color="auto"/>
              <w:right w:val="single" w:sz="4" w:space="0" w:color="auto"/>
            </w:tcBorders>
            <w:shd w:val="clear" w:color="000000" w:fill="F3D4F8"/>
            <w:noWrap/>
            <w:vAlign w:val="bottom"/>
            <w:hideMark/>
          </w:tcPr>
          <w:p w14:paraId="5A2BC25E"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9.09</w:t>
            </w:r>
          </w:p>
        </w:tc>
      </w:tr>
      <w:tr w:rsidR="0023090D" w:rsidRPr="00541040" w14:paraId="27352BEA" w14:textId="77777777" w:rsidTr="000915FE">
        <w:trPr>
          <w:trHeight w:val="384"/>
          <w:jc w:val="center"/>
        </w:trPr>
        <w:tc>
          <w:tcPr>
            <w:tcW w:w="3153" w:type="dxa"/>
            <w:tcBorders>
              <w:top w:val="nil"/>
              <w:left w:val="single" w:sz="4" w:space="0" w:color="auto"/>
              <w:bottom w:val="single" w:sz="4" w:space="0" w:color="auto"/>
              <w:right w:val="single" w:sz="4" w:space="0" w:color="auto"/>
            </w:tcBorders>
            <w:shd w:val="clear" w:color="000000" w:fill="F3D4F8"/>
            <w:noWrap/>
            <w:vAlign w:val="bottom"/>
            <w:hideMark/>
          </w:tcPr>
          <w:p w14:paraId="4BD722E9"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2</w:t>
            </w:r>
          </w:p>
        </w:tc>
        <w:tc>
          <w:tcPr>
            <w:tcW w:w="2923" w:type="dxa"/>
            <w:tcBorders>
              <w:top w:val="nil"/>
              <w:left w:val="nil"/>
              <w:bottom w:val="single" w:sz="4" w:space="0" w:color="auto"/>
              <w:right w:val="single" w:sz="4" w:space="0" w:color="auto"/>
            </w:tcBorders>
            <w:shd w:val="clear" w:color="000000" w:fill="F3D4F8"/>
            <w:noWrap/>
            <w:vAlign w:val="bottom"/>
            <w:hideMark/>
          </w:tcPr>
          <w:p w14:paraId="17631B7D" w14:textId="77777777" w:rsidR="0023090D" w:rsidRPr="00541040" w:rsidRDefault="0023090D" w:rsidP="000915FE">
            <w:pPr>
              <w:spacing w:after="0" w:line="240" w:lineRule="auto"/>
              <w:jc w:val="center"/>
              <w:rPr>
                <w:rFonts w:cs="Arial"/>
                <w:color w:val="000000"/>
                <w:szCs w:val="24"/>
                <w:lang w:val="en-GB"/>
              </w:rPr>
            </w:pPr>
            <w:r w:rsidRPr="00541040">
              <w:rPr>
                <w:rFonts w:cs="Arial"/>
                <w:color w:val="000000"/>
                <w:szCs w:val="24"/>
                <w:lang w:val="en-GB"/>
              </w:rPr>
              <w:t>[1</w:t>
            </w:r>
            <w:proofErr w:type="gramStart"/>
            <w:r w:rsidRPr="00541040">
              <w:rPr>
                <w:rFonts w:cs="Arial"/>
                <w:color w:val="000000"/>
                <w:szCs w:val="24"/>
                <w:lang w:val="en-GB"/>
              </w:rPr>
              <w:t>/(</w:t>
            </w:r>
            <w:proofErr w:type="gramEnd"/>
            <w:r w:rsidRPr="00541040">
              <w:rPr>
                <w:rFonts w:cs="Arial"/>
                <w:color w:val="000000"/>
                <w:szCs w:val="24"/>
                <w:lang w:val="en-GB"/>
              </w:rPr>
              <w:t>1+10%</w:t>
            </w:r>
            <w:proofErr w:type="gramStart"/>
            <w:r w:rsidRPr="00541040">
              <w:rPr>
                <w:rFonts w:cs="Arial"/>
                <w:color w:val="000000"/>
                <w:szCs w:val="24"/>
                <w:lang w:val="en-GB"/>
              </w:rPr>
              <w:t>)]^</w:t>
            </w:r>
            <w:proofErr w:type="gramEnd"/>
            <w:r w:rsidRPr="00541040">
              <w:rPr>
                <w:rFonts w:cs="Arial"/>
                <w:color w:val="000000"/>
                <w:szCs w:val="24"/>
                <w:lang w:val="en-GB"/>
              </w:rPr>
              <w:t>2</w:t>
            </w:r>
          </w:p>
        </w:tc>
        <w:tc>
          <w:tcPr>
            <w:tcW w:w="3435" w:type="dxa"/>
            <w:tcBorders>
              <w:top w:val="nil"/>
              <w:left w:val="nil"/>
              <w:bottom w:val="single" w:sz="4" w:space="0" w:color="auto"/>
              <w:right w:val="single" w:sz="4" w:space="0" w:color="auto"/>
            </w:tcBorders>
            <w:shd w:val="clear" w:color="000000" w:fill="F3D4F8"/>
            <w:noWrap/>
            <w:vAlign w:val="bottom"/>
            <w:hideMark/>
          </w:tcPr>
          <w:p w14:paraId="502251E4"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0.83</w:t>
            </w:r>
          </w:p>
        </w:tc>
        <w:tc>
          <w:tcPr>
            <w:tcW w:w="1210" w:type="dxa"/>
            <w:tcBorders>
              <w:top w:val="nil"/>
              <w:left w:val="nil"/>
              <w:bottom w:val="single" w:sz="4" w:space="0" w:color="auto"/>
              <w:right w:val="single" w:sz="4" w:space="0" w:color="auto"/>
            </w:tcBorders>
            <w:shd w:val="clear" w:color="000000" w:fill="F3D4F8"/>
            <w:noWrap/>
            <w:vAlign w:val="bottom"/>
            <w:hideMark/>
          </w:tcPr>
          <w:p w14:paraId="4FAC7C9B"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9.92</w:t>
            </w:r>
          </w:p>
        </w:tc>
      </w:tr>
      <w:tr w:rsidR="0023090D" w:rsidRPr="00541040" w14:paraId="13B1A880" w14:textId="77777777" w:rsidTr="000915FE">
        <w:trPr>
          <w:trHeight w:val="384"/>
          <w:jc w:val="center"/>
        </w:trPr>
        <w:tc>
          <w:tcPr>
            <w:tcW w:w="3153" w:type="dxa"/>
            <w:tcBorders>
              <w:top w:val="nil"/>
              <w:left w:val="single" w:sz="4" w:space="0" w:color="auto"/>
              <w:bottom w:val="single" w:sz="4" w:space="0" w:color="auto"/>
              <w:right w:val="single" w:sz="4" w:space="0" w:color="auto"/>
            </w:tcBorders>
            <w:shd w:val="clear" w:color="000000" w:fill="F3D4F8"/>
            <w:noWrap/>
            <w:vAlign w:val="bottom"/>
            <w:hideMark/>
          </w:tcPr>
          <w:p w14:paraId="3DE26F2C"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3</w:t>
            </w:r>
          </w:p>
        </w:tc>
        <w:tc>
          <w:tcPr>
            <w:tcW w:w="2923" w:type="dxa"/>
            <w:tcBorders>
              <w:top w:val="nil"/>
              <w:left w:val="nil"/>
              <w:bottom w:val="single" w:sz="4" w:space="0" w:color="auto"/>
              <w:right w:val="single" w:sz="4" w:space="0" w:color="auto"/>
            </w:tcBorders>
            <w:shd w:val="clear" w:color="000000" w:fill="F3D4F8"/>
            <w:noWrap/>
            <w:vAlign w:val="bottom"/>
            <w:hideMark/>
          </w:tcPr>
          <w:p w14:paraId="32CFC98C" w14:textId="77777777" w:rsidR="0023090D" w:rsidRPr="00541040" w:rsidRDefault="0023090D" w:rsidP="000915FE">
            <w:pPr>
              <w:spacing w:after="0" w:line="240" w:lineRule="auto"/>
              <w:jc w:val="center"/>
              <w:rPr>
                <w:rFonts w:cs="Arial"/>
                <w:color w:val="000000"/>
                <w:szCs w:val="24"/>
                <w:lang w:val="en-GB"/>
              </w:rPr>
            </w:pPr>
            <w:r w:rsidRPr="00541040">
              <w:rPr>
                <w:rFonts w:cs="Arial"/>
                <w:color w:val="000000"/>
                <w:szCs w:val="24"/>
                <w:lang w:val="en-GB"/>
              </w:rPr>
              <w:t>[1</w:t>
            </w:r>
            <w:proofErr w:type="gramStart"/>
            <w:r w:rsidRPr="00541040">
              <w:rPr>
                <w:rFonts w:cs="Arial"/>
                <w:color w:val="000000"/>
                <w:szCs w:val="24"/>
                <w:lang w:val="en-GB"/>
              </w:rPr>
              <w:t>/(</w:t>
            </w:r>
            <w:proofErr w:type="gramEnd"/>
            <w:r w:rsidRPr="00541040">
              <w:rPr>
                <w:rFonts w:cs="Arial"/>
                <w:color w:val="000000"/>
                <w:szCs w:val="24"/>
                <w:lang w:val="en-GB"/>
              </w:rPr>
              <w:t>1+10%</w:t>
            </w:r>
            <w:proofErr w:type="gramStart"/>
            <w:r w:rsidRPr="00541040">
              <w:rPr>
                <w:rFonts w:cs="Arial"/>
                <w:color w:val="000000"/>
                <w:szCs w:val="24"/>
                <w:lang w:val="en-GB"/>
              </w:rPr>
              <w:t>)]^</w:t>
            </w:r>
            <w:proofErr w:type="gramEnd"/>
            <w:r w:rsidRPr="00541040">
              <w:rPr>
                <w:rFonts w:cs="Arial"/>
                <w:color w:val="000000"/>
                <w:szCs w:val="24"/>
                <w:lang w:val="en-GB"/>
              </w:rPr>
              <w:t>3</w:t>
            </w:r>
          </w:p>
        </w:tc>
        <w:tc>
          <w:tcPr>
            <w:tcW w:w="3435" w:type="dxa"/>
            <w:tcBorders>
              <w:top w:val="nil"/>
              <w:left w:val="nil"/>
              <w:bottom w:val="single" w:sz="4" w:space="0" w:color="auto"/>
              <w:right w:val="single" w:sz="4" w:space="0" w:color="auto"/>
            </w:tcBorders>
            <w:shd w:val="clear" w:color="000000" w:fill="F3D4F8"/>
            <w:noWrap/>
            <w:vAlign w:val="bottom"/>
            <w:hideMark/>
          </w:tcPr>
          <w:p w14:paraId="6873BC2D"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0.75</w:t>
            </w:r>
          </w:p>
        </w:tc>
        <w:tc>
          <w:tcPr>
            <w:tcW w:w="1210" w:type="dxa"/>
            <w:tcBorders>
              <w:top w:val="nil"/>
              <w:left w:val="nil"/>
              <w:bottom w:val="single" w:sz="4" w:space="0" w:color="auto"/>
              <w:right w:val="single" w:sz="4" w:space="0" w:color="auto"/>
            </w:tcBorders>
            <w:shd w:val="clear" w:color="000000" w:fill="F3D4F8"/>
            <w:noWrap/>
            <w:vAlign w:val="bottom"/>
            <w:hideMark/>
          </w:tcPr>
          <w:p w14:paraId="3B06ECA7"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10.52</w:t>
            </w:r>
          </w:p>
        </w:tc>
      </w:tr>
      <w:tr w:rsidR="0023090D" w:rsidRPr="00541040" w14:paraId="29FF2263" w14:textId="77777777" w:rsidTr="000915FE">
        <w:trPr>
          <w:trHeight w:val="384"/>
          <w:jc w:val="center"/>
        </w:trPr>
        <w:tc>
          <w:tcPr>
            <w:tcW w:w="3153" w:type="dxa"/>
            <w:tcBorders>
              <w:top w:val="nil"/>
              <w:left w:val="single" w:sz="4" w:space="0" w:color="auto"/>
              <w:bottom w:val="single" w:sz="4" w:space="0" w:color="auto"/>
              <w:right w:val="single" w:sz="4" w:space="0" w:color="auto"/>
            </w:tcBorders>
            <w:shd w:val="clear" w:color="000000" w:fill="F3D4F8"/>
            <w:noWrap/>
            <w:vAlign w:val="bottom"/>
            <w:hideMark/>
          </w:tcPr>
          <w:p w14:paraId="2199E435"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4</w:t>
            </w:r>
          </w:p>
        </w:tc>
        <w:tc>
          <w:tcPr>
            <w:tcW w:w="2923" w:type="dxa"/>
            <w:tcBorders>
              <w:top w:val="nil"/>
              <w:left w:val="nil"/>
              <w:bottom w:val="single" w:sz="4" w:space="0" w:color="auto"/>
              <w:right w:val="single" w:sz="4" w:space="0" w:color="auto"/>
            </w:tcBorders>
            <w:shd w:val="clear" w:color="000000" w:fill="F3D4F8"/>
            <w:noWrap/>
            <w:vAlign w:val="bottom"/>
            <w:hideMark/>
          </w:tcPr>
          <w:p w14:paraId="27D49774" w14:textId="77777777" w:rsidR="0023090D" w:rsidRPr="00541040" w:rsidRDefault="0023090D" w:rsidP="000915FE">
            <w:pPr>
              <w:spacing w:after="0" w:line="240" w:lineRule="auto"/>
              <w:jc w:val="center"/>
              <w:rPr>
                <w:rFonts w:cs="Arial"/>
                <w:color w:val="000000"/>
                <w:szCs w:val="24"/>
                <w:lang w:val="en-GB"/>
              </w:rPr>
            </w:pPr>
            <w:r w:rsidRPr="00541040">
              <w:rPr>
                <w:rFonts w:cs="Arial"/>
                <w:color w:val="000000"/>
                <w:szCs w:val="24"/>
                <w:lang w:val="en-GB"/>
              </w:rPr>
              <w:t>[1</w:t>
            </w:r>
            <w:proofErr w:type="gramStart"/>
            <w:r w:rsidRPr="00541040">
              <w:rPr>
                <w:rFonts w:cs="Arial"/>
                <w:color w:val="000000"/>
                <w:szCs w:val="24"/>
                <w:lang w:val="en-GB"/>
              </w:rPr>
              <w:t>/(</w:t>
            </w:r>
            <w:proofErr w:type="gramEnd"/>
            <w:r w:rsidRPr="00541040">
              <w:rPr>
                <w:rFonts w:cs="Arial"/>
                <w:color w:val="000000"/>
                <w:szCs w:val="24"/>
                <w:lang w:val="en-GB"/>
              </w:rPr>
              <w:t>1+10%</w:t>
            </w:r>
            <w:proofErr w:type="gramStart"/>
            <w:r w:rsidRPr="00541040">
              <w:rPr>
                <w:rFonts w:cs="Arial"/>
                <w:color w:val="000000"/>
                <w:szCs w:val="24"/>
                <w:lang w:val="en-GB"/>
              </w:rPr>
              <w:t>)]^</w:t>
            </w:r>
            <w:proofErr w:type="gramEnd"/>
            <w:r w:rsidRPr="00541040">
              <w:rPr>
                <w:rFonts w:cs="Arial"/>
                <w:color w:val="000000"/>
                <w:szCs w:val="24"/>
                <w:lang w:val="en-GB"/>
              </w:rPr>
              <w:t>4</w:t>
            </w:r>
          </w:p>
        </w:tc>
        <w:tc>
          <w:tcPr>
            <w:tcW w:w="3435" w:type="dxa"/>
            <w:tcBorders>
              <w:top w:val="nil"/>
              <w:left w:val="nil"/>
              <w:bottom w:val="single" w:sz="4" w:space="0" w:color="auto"/>
              <w:right w:val="single" w:sz="4" w:space="0" w:color="auto"/>
            </w:tcBorders>
            <w:shd w:val="clear" w:color="000000" w:fill="F3D4F8"/>
            <w:noWrap/>
            <w:vAlign w:val="bottom"/>
            <w:hideMark/>
          </w:tcPr>
          <w:p w14:paraId="21C2FA96"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0.68</w:t>
            </w:r>
          </w:p>
        </w:tc>
        <w:tc>
          <w:tcPr>
            <w:tcW w:w="1210" w:type="dxa"/>
            <w:tcBorders>
              <w:top w:val="nil"/>
              <w:left w:val="nil"/>
              <w:bottom w:val="single" w:sz="4" w:space="0" w:color="auto"/>
              <w:right w:val="single" w:sz="4" w:space="0" w:color="auto"/>
            </w:tcBorders>
            <w:shd w:val="clear" w:color="000000" w:fill="F3D4F8"/>
            <w:noWrap/>
            <w:vAlign w:val="bottom"/>
            <w:hideMark/>
          </w:tcPr>
          <w:p w14:paraId="5013FDDF"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6.83</w:t>
            </w:r>
          </w:p>
        </w:tc>
      </w:tr>
      <w:tr w:rsidR="0023090D" w:rsidRPr="00541040" w14:paraId="63538323" w14:textId="77777777" w:rsidTr="000915FE">
        <w:trPr>
          <w:trHeight w:val="384"/>
          <w:jc w:val="center"/>
        </w:trPr>
        <w:tc>
          <w:tcPr>
            <w:tcW w:w="3153" w:type="dxa"/>
            <w:tcBorders>
              <w:top w:val="nil"/>
              <w:left w:val="single" w:sz="4" w:space="0" w:color="auto"/>
              <w:bottom w:val="single" w:sz="4" w:space="0" w:color="auto"/>
              <w:right w:val="single" w:sz="4" w:space="0" w:color="auto"/>
            </w:tcBorders>
            <w:shd w:val="clear" w:color="000000" w:fill="F3D4F8"/>
            <w:noWrap/>
            <w:vAlign w:val="bottom"/>
            <w:hideMark/>
          </w:tcPr>
          <w:p w14:paraId="3BD709A8"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5</w:t>
            </w:r>
          </w:p>
        </w:tc>
        <w:tc>
          <w:tcPr>
            <w:tcW w:w="2923" w:type="dxa"/>
            <w:tcBorders>
              <w:top w:val="nil"/>
              <w:left w:val="nil"/>
              <w:bottom w:val="single" w:sz="4" w:space="0" w:color="auto"/>
              <w:right w:val="single" w:sz="4" w:space="0" w:color="auto"/>
            </w:tcBorders>
            <w:shd w:val="clear" w:color="000000" w:fill="F3D4F8"/>
            <w:noWrap/>
            <w:vAlign w:val="bottom"/>
            <w:hideMark/>
          </w:tcPr>
          <w:p w14:paraId="439A35C4" w14:textId="77777777" w:rsidR="0023090D" w:rsidRPr="00541040" w:rsidRDefault="0023090D" w:rsidP="000915FE">
            <w:pPr>
              <w:spacing w:after="0" w:line="240" w:lineRule="auto"/>
              <w:jc w:val="center"/>
              <w:rPr>
                <w:rFonts w:cs="Arial"/>
                <w:color w:val="000000"/>
                <w:szCs w:val="24"/>
                <w:lang w:val="en-GB"/>
              </w:rPr>
            </w:pPr>
            <w:r w:rsidRPr="00541040">
              <w:rPr>
                <w:rFonts w:cs="Arial"/>
                <w:color w:val="000000"/>
                <w:szCs w:val="24"/>
                <w:lang w:val="en-GB"/>
              </w:rPr>
              <w:t>[1</w:t>
            </w:r>
            <w:proofErr w:type="gramStart"/>
            <w:r w:rsidRPr="00541040">
              <w:rPr>
                <w:rFonts w:cs="Arial"/>
                <w:color w:val="000000"/>
                <w:szCs w:val="24"/>
                <w:lang w:val="en-GB"/>
              </w:rPr>
              <w:t>/(</w:t>
            </w:r>
            <w:proofErr w:type="gramEnd"/>
            <w:r w:rsidRPr="00541040">
              <w:rPr>
                <w:rFonts w:cs="Arial"/>
                <w:color w:val="000000"/>
                <w:szCs w:val="24"/>
                <w:lang w:val="en-GB"/>
              </w:rPr>
              <w:t>1+10%</w:t>
            </w:r>
            <w:proofErr w:type="gramStart"/>
            <w:r w:rsidRPr="00541040">
              <w:rPr>
                <w:rFonts w:cs="Arial"/>
                <w:color w:val="000000"/>
                <w:szCs w:val="24"/>
                <w:lang w:val="en-GB"/>
              </w:rPr>
              <w:t>)]^</w:t>
            </w:r>
            <w:proofErr w:type="gramEnd"/>
            <w:r w:rsidRPr="00541040">
              <w:rPr>
                <w:rFonts w:cs="Arial"/>
                <w:color w:val="000000"/>
                <w:szCs w:val="24"/>
                <w:lang w:val="en-GB"/>
              </w:rPr>
              <w:t>5</w:t>
            </w:r>
          </w:p>
        </w:tc>
        <w:tc>
          <w:tcPr>
            <w:tcW w:w="3435" w:type="dxa"/>
            <w:tcBorders>
              <w:top w:val="nil"/>
              <w:left w:val="nil"/>
              <w:bottom w:val="single" w:sz="4" w:space="0" w:color="auto"/>
              <w:right w:val="single" w:sz="4" w:space="0" w:color="auto"/>
            </w:tcBorders>
            <w:shd w:val="clear" w:color="000000" w:fill="F3D4F8"/>
            <w:noWrap/>
            <w:vAlign w:val="bottom"/>
            <w:hideMark/>
          </w:tcPr>
          <w:p w14:paraId="0E0D81D7"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0.62</w:t>
            </w:r>
          </w:p>
        </w:tc>
        <w:tc>
          <w:tcPr>
            <w:tcW w:w="1210" w:type="dxa"/>
            <w:tcBorders>
              <w:top w:val="nil"/>
              <w:left w:val="nil"/>
              <w:bottom w:val="single" w:sz="4" w:space="0" w:color="auto"/>
              <w:right w:val="single" w:sz="4" w:space="0" w:color="auto"/>
            </w:tcBorders>
            <w:shd w:val="clear" w:color="000000" w:fill="F3D4F8"/>
            <w:noWrap/>
            <w:vAlign w:val="bottom"/>
            <w:hideMark/>
          </w:tcPr>
          <w:p w14:paraId="373ABC38"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4.97</w:t>
            </w:r>
          </w:p>
        </w:tc>
      </w:tr>
      <w:tr w:rsidR="0023090D" w:rsidRPr="00541040" w14:paraId="7092D562" w14:textId="77777777" w:rsidTr="000915FE">
        <w:trPr>
          <w:trHeight w:val="384"/>
          <w:jc w:val="center"/>
        </w:trPr>
        <w:tc>
          <w:tcPr>
            <w:tcW w:w="3153" w:type="dxa"/>
            <w:tcBorders>
              <w:top w:val="nil"/>
              <w:left w:val="single" w:sz="4" w:space="0" w:color="auto"/>
              <w:bottom w:val="single" w:sz="4" w:space="0" w:color="auto"/>
              <w:right w:val="single" w:sz="4" w:space="0" w:color="auto"/>
            </w:tcBorders>
            <w:shd w:val="clear" w:color="000000" w:fill="F3D4F8"/>
            <w:noWrap/>
            <w:vAlign w:val="bottom"/>
            <w:hideMark/>
          </w:tcPr>
          <w:p w14:paraId="15DACAE8"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 </w:t>
            </w:r>
          </w:p>
        </w:tc>
        <w:tc>
          <w:tcPr>
            <w:tcW w:w="2923" w:type="dxa"/>
            <w:tcBorders>
              <w:top w:val="nil"/>
              <w:left w:val="nil"/>
              <w:bottom w:val="single" w:sz="4" w:space="0" w:color="auto"/>
              <w:right w:val="single" w:sz="4" w:space="0" w:color="auto"/>
            </w:tcBorders>
            <w:shd w:val="clear" w:color="000000" w:fill="F3D4F8"/>
            <w:noWrap/>
            <w:vAlign w:val="bottom"/>
            <w:hideMark/>
          </w:tcPr>
          <w:p w14:paraId="05A6DD0F" w14:textId="77777777" w:rsidR="0023090D" w:rsidRPr="00541040" w:rsidRDefault="0023090D" w:rsidP="000915FE">
            <w:pPr>
              <w:spacing w:after="0" w:line="240" w:lineRule="auto"/>
              <w:jc w:val="center"/>
              <w:rPr>
                <w:rFonts w:cs="Arial"/>
                <w:b/>
                <w:bCs/>
                <w:color w:val="000000"/>
                <w:szCs w:val="24"/>
                <w:lang w:val="en-GB"/>
              </w:rPr>
            </w:pPr>
            <w:r w:rsidRPr="00541040">
              <w:rPr>
                <w:rFonts w:cs="Arial"/>
                <w:b/>
                <w:bCs/>
                <w:color w:val="000000"/>
                <w:szCs w:val="24"/>
                <w:lang w:val="en-GB"/>
              </w:rPr>
              <w:t> </w:t>
            </w:r>
          </w:p>
        </w:tc>
        <w:tc>
          <w:tcPr>
            <w:tcW w:w="3435" w:type="dxa"/>
            <w:tcBorders>
              <w:top w:val="nil"/>
              <w:left w:val="nil"/>
              <w:bottom w:val="single" w:sz="4" w:space="0" w:color="auto"/>
              <w:right w:val="single" w:sz="4" w:space="0" w:color="auto"/>
            </w:tcBorders>
            <w:shd w:val="clear" w:color="000000" w:fill="F3D4F8"/>
            <w:noWrap/>
            <w:vAlign w:val="bottom"/>
            <w:hideMark/>
          </w:tcPr>
          <w:p w14:paraId="6D7B3375"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 </w:t>
            </w:r>
          </w:p>
        </w:tc>
        <w:tc>
          <w:tcPr>
            <w:tcW w:w="1210" w:type="dxa"/>
            <w:tcBorders>
              <w:top w:val="nil"/>
              <w:left w:val="nil"/>
              <w:bottom w:val="single" w:sz="4" w:space="0" w:color="auto"/>
              <w:right w:val="single" w:sz="4" w:space="0" w:color="auto"/>
            </w:tcBorders>
            <w:shd w:val="clear" w:color="000000" w:fill="F3D4F8"/>
            <w:noWrap/>
            <w:vAlign w:val="bottom"/>
            <w:hideMark/>
          </w:tcPr>
          <w:p w14:paraId="2A71F363" w14:textId="77777777" w:rsidR="0023090D" w:rsidRPr="00541040" w:rsidRDefault="0023090D" w:rsidP="000915FE">
            <w:pPr>
              <w:spacing w:after="0" w:line="240" w:lineRule="auto"/>
              <w:jc w:val="right"/>
              <w:rPr>
                <w:rFonts w:cs="Arial"/>
                <w:b/>
                <w:bCs/>
                <w:color w:val="000000"/>
                <w:szCs w:val="24"/>
                <w:lang w:val="en-GB"/>
              </w:rPr>
            </w:pPr>
            <w:r w:rsidRPr="00541040">
              <w:rPr>
                <w:rFonts w:cs="Arial"/>
                <w:b/>
                <w:bCs/>
                <w:color w:val="000000"/>
                <w:szCs w:val="24"/>
                <w:lang w:val="en-GB"/>
              </w:rPr>
              <w:t>41.32</w:t>
            </w:r>
          </w:p>
        </w:tc>
      </w:tr>
      <w:tr w:rsidR="0023090D" w:rsidRPr="00541040" w14:paraId="6E852971" w14:textId="77777777" w:rsidTr="000915FE">
        <w:trPr>
          <w:trHeight w:val="384"/>
          <w:jc w:val="center"/>
        </w:trPr>
        <w:tc>
          <w:tcPr>
            <w:tcW w:w="3153" w:type="dxa"/>
            <w:tcBorders>
              <w:top w:val="nil"/>
              <w:left w:val="single" w:sz="4" w:space="0" w:color="auto"/>
              <w:bottom w:val="single" w:sz="4" w:space="0" w:color="auto"/>
              <w:right w:val="single" w:sz="4" w:space="0" w:color="auto"/>
            </w:tcBorders>
            <w:shd w:val="clear" w:color="000000" w:fill="F3D4F8"/>
            <w:noWrap/>
            <w:vAlign w:val="bottom"/>
            <w:hideMark/>
          </w:tcPr>
          <w:p w14:paraId="4C110830"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NPV</w:t>
            </w:r>
          </w:p>
        </w:tc>
        <w:tc>
          <w:tcPr>
            <w:tcW w:w="2923" w:type="dxa"/>
            <w:tcBorders>
              <w:top w:val="nil"/>
              <w:left w:val="nil"/>
              <w:bottom w:val="single" w:sz="4" w:space="0" w:color="auto"/>
              <w:right w:val="single" w:sz="4" w:space="0" w:color="auto"/>
            </w:tcBorders>
            <w:shd w:val="clear" w:color="000000" w:fill="F3D4F8"/>
            <w:noWrap/>
            <w:vAlign w:val="bottom"/>
            <w:hideMark/>
          </w:tcPr>
          <w:p w14:paraId="4473EF61" w14:textId="77777777" w:rsidR="0023090D" w:rsidRPr="00541040" w:rsidRDefault="0023090D" w:rsidP="000915FE">
            <w:pPr>
              <w:spacing w:after="0" w:line="240" w:lineRule="auto"/>
              <w:jc w:val="right"/>
              <w:rPr>
                <w:rFonts w:cs="Arial"/>
                <w:b/>
                <w:bCs/>
                <w:color w:val="000000"/>
                <w:szCs w:val="24"/>
                <w:lang w:val="en-GB"/>
              </w:rPr>
            </w:pPr>
            <w:r w:rsidRPr="00541040">
              <w:rPr>
                <w:rFonts w:cs="Arial"/>
                <w:b/>
                <w:bCs/>
                <w:color w:val="000000"/>
                <w:szCs w:val="24"/>
                <w:lang w:val="en-GB"/>
              </w:rPr>
              <w:t>1.32</w:t>
            </w:r>
          </w:p>
        </w:tc>
        <w:tc>
          <w:tcPr>
            <w:tcW w:w="3435" w:type="dxa"/>
            <w:tcBorders>
              <w:top w:val="nil"/>
              <w:left w:val="nil"/>
              <w:bottom w:val="single" w:sz="4" w:space="0" w:color="auto"/>
              <w:right w:val="single" w:sz="4" w:space="0" w:color="auto"/>
            </w:tcBorders>
            <w:shd w:val="clear" w:color="000000" w:fill="F3D4F8"/>
            <w:noWrap/>
            <w:vAlign w:val="bottom"/>
            <w:hideMark/>
          </w:tcPr>
          <w:p w14:paraId="2EB34331"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 </w:t>
            </w:r>
          </w:p>
        </w:tc>
        <w:tc>
          <w:tcPr>
            <w:tcW w:w="1210" w:type="dxa"/>
            <w:tcBorders>
              <w:top w:val="nil"/>
              <w:left w:val="nil"/>
              <w:bottom w:val="single" w:sz="4" w:space="0" w:color="auto"/>
              <w:right w:val="single" w:sz="4" w:space="0" w:color="auto"/>
            </w:tcBorders>
            <w:shd w:val="clear" w:color="000000" w:fill="F3D4F8"/>
            <w:noWrap/>
            <w:vAlign w:val="bottom"/>
            <w:hideMark/>
          </w:tcPr>
          <w:p w14:paraId="2E25784F"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 </w:t>
            </w:r>
          </w:p>
        </w:tc>
      </w:tr>
      <w:tr w:rsidR="0023090D" w:rsidRPr="00541040" w14:paraId="0D574ECC" w14:textId="77777777" w:rsidTr="000915FE">
        <w:trPr>
          <w:trHeight w:val="384"/>
          <w:jc w:val="center"/>
        </w:trPr>
        <w:tc>
          <w:tcPr>
            <w:tcW w:w="3153" w:type="dxa"/>
            <w:tcBorders>
              <w:top w:val="nil"/>
              <w:left w:val="nil"/>
              <w:bottom w:val="nil"/>
              <w:right w:val="nil"/>
            </w:tcBorders>
            <w:noWrap/>
            <w:vAlign w:val="bottom"/>
            <w:hideMark/>
          </w:tcPr>
          <w:p w14:paraId="0593BD7B" w14:textId="77777777" w:rsidR="0023090D" w:rsidRPr="00541040" w:rsidRDefault="0023090D" w:rsidP="000915FE">
            <w:pPr>
              <w:spacing w:after="0" w:line="240" w:lineRule="auto"/>
              <w:jc w:val="left"/>
              <w:rPr>
                <w:rFonts w:cs="Arial"/>
                <w:b/>
                <w:bCs/>
                <w:color w:val="000000"/>
                <w:szCs w:val="24"/>
                <w:lang w:val="en-GB"/>
              </w:rPr>
            </w:pPr>
          </w:p>
        </w:tc>
        <w:tc>
          <w:tcPr>
            <w:tcW w:w="2923" w:type="dxa"/>
            <w:tcBorders>
              <w:top w:val="nil"/>
              <w:left w:val="nil"/>
              <w:bottom w:val="nil"/>
              <w:right w:val="nil"/>
            </w:tcBorders>
            <w:noWrap/>
            <w:vAlign w:val="bottom"/>
            <w:hideMark/>
          </w:tcPr>
          <w:p w14:paraId="0FD8BAAE" w14:textId="77777777" w:rsidR="0023090D" w:rsidRPr="00541040" w:rsidRDefault="0023090D" w:rsidP="000915FE">
            <w:pPr>
              <w:spacing w:after="0" w:line="240" w:lineRule="auto"/>
              <w:jc w:val="left"/>
              <w:rPr>
                <w:rFonts w:cs="Arial"/>
                <w:szCs w:val="24"/>
                <w:lang w:val="en-GB"/>
              </w:rPr>
            </w:pPr>
          </w:p>
        </w:tc>
        <w:tc>
          <w:tcPr>
            <w:tcW w:w="3435" w:type="dxa"/>
            <w:tcBorders>
              <w:top w:val="nil"/>
              <w:left w:val="nil"/>
              <w:bottom w:val="nil"/>
              <w:right w:val="nil"/>
            </w:tcBorders>
            <w:noWrap/>
            <w:vAlign w:val="bottom"/>
            <w:hideMark/>
          </w:tcPr>
          <w:p w14:paraId="087E5206" w14:textId="77777777" w:rsidR="0023090D" w:rsidRPr="00541040" w:rsidRDefault="0023090D" w:rsidP="000915FE">
            <w:pPr>
              <w:spacing w:after="0" w:line="240" w:lineRule="auto"/>
              <w:jc w:val="left"/>
              <w:rPr>
                <w:rFonts w:cs="Arial"/>
                <w:szCs w:val="24"/>
                <w:lang w:val="en-GB"/>
              </w:rPr>
            </w:pPr>
          </w:p>
        </w:tc>
        <w:tc>
          <w:tcPr>
            <w:tcW w:w="1210" w:type="dxa"/>
            <w:tcBorders>
              <w:top w:val="nil"/>
              <w:left w:val="nil"/>
              <w:bottom w:val="nil"/>
              <w:right w:val="nil"/>
            </w:tcBorders>
            <w:noWrap/>
            <w:vAlign w:val="bottom"/>
            <w:hideMark/>
          </w:tcPr>
          <w:p w14:paraId="711D551E" w14:textId="77777777" w:rsidR="0023090D" w:rsidRPr="00541040" w:rsidRDefault="0023090D" w:rsidP="000915FE">
            <w:pPr>
              <w:spacing w:after="0" w:line="240" w:lineRule="auto"/>
              <w:jc w:val="left"/>
              <w:rPr>
                <w:rFonts w:cs="Arial"/>
                <w:szCs w:val="24"/>
                <w:lang w:val="en-GB"/>
              </w:rPr>
            </w:pPr>
          </w:p>
        </w:tc>
      </w:tr>
      <w:tr w:rsidR="0023090D" w:rsidRPr="00541040" w14:paraId="053EA68C" w14:textId="77777777" w:rsidTr="000915FE">
        <w:trPr>
          <w:trHeight w:val="384"/>
          <w:jc w:val="center"/>
        </w:trPr>
        <w:tc>
          <w:tcPr>
            <w:tcW w:w="10721" w:type="dxa"/>
            <w:gridSpan w:val="4"/>
            <w:tcBorders>
              <w:top w:val="nil"/>
              <w:left w:val="nil"/>
              <w:bottom w:val="nil"/>
              <w:right w:val="nil"/>
            </w:tcBorders>
            <w:shd w:val="clear" w:color="000000" w:fill="FF66FF"/>
            <w:noWrap/>
            <w:vAlign w:val="bottom"/>
            <w:hideMark/>
          </w:tcPr>
          <w:p w14:paraId="697694FD" w14:textId="77777777" w:rsidR="0023090D" w:rsidRPr="00541040" w:rsidRDefault="0023090D" w:rsidP="000915FE">
            <w:pPr>
              <w:spacing w:after="0" w:line="240" w:lineRule="auto"/>
              <w:jc w:val="center"/>
              <w:rPr>
                <w:rFonts w:cs="Arial"/>
                <w:b/>
                <w:bCs/>
                <w:color w:val="000000"/>
                <w:szCs w:val="24"/>
                <w:lang w:val="en-GB"/>
              </w:rPr>
            </w:pPr>
            <w:r w:rsidRPr="00541040">
              <w:rPr>
                <w:rFonts w:cs="Arial"/>
                <w:b/>
                <w:bCs/>
                <w:color w:val="000000"/>
                <w:szCs w:val="24"/>
                <w:lang w:val="en-GB"/>
              </w:rPr>
              <w:t>PI</w:t>
            </w:r>
          </w:p>
        </w:tc>
      </w:tr>
      <w:tr w:rsidR="0023090D" w:rsidRPr="00541040" w14:paraId="649E0C73" w14:textId="77777777" w:rsidTr="000915FE">
        <w:trPr>
          <w:trHeight w:val="384"/>
          <w:jc w:val="center"/>
        </w:trPr>
        <w:tc>
          <w:tcPr>
            <w:tcW w:w="3153" w:type="dxa"/>
            <w:tcBorders>
              <w:top w:val="single" w:sz="4" w:space="0" w:color="auto"/>
              <w:left w:val="single" w:sz="4" w:space="0" w:color="auto"/>
              <w:bottom w:val="single" w:sz="4" w:space="0" w:color="auto"/>
              <w:right w:val="single" w:sz="4" w:space="0" w:color="auto"/>
            </w:tcBorders>
            <w:shd w:val="clear" w:color="000000" w:fill="F3D4F8"/>
            <w:noWrap/>
            <w:vAlign w:val="bottom"/>
            <w:hideMark/>
          </w:tcPr>
          <w:p w14:paraId="4F880D45"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PI</w:t>
            </w:r>
          </w:p>
        </w:tc>
        <w:tc>
          <w:tcPr>
            <w:tcW w:w="2923" w:type="dxa"/>
            <w:tcBorders>
              <w:top w:val="single" w:sz="4" w:space="0" w:color="auto"/>
              <w:left w:val="nil"/>
              <w:bottom w:val="single" w:sz="4" w:space="0" w:color="auto"/>
              <w:right w:val="single" w:sz="4" w:space="0" w:color="auto"/>
            </w:tcBorders>
            <w:shd w:val="clear" w:color="000000" w:fill="F3D4F8"/>
            <w:noWrap/>
            <w:vAlign w:val="bottom"/>
            <w:hideMark/>
          </w:tcPr>
          <w:p w14:paraId="3171E3B0"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1.03</w:t>
            </w:r>
          </w:p>
        </w:tc>
        <w:tc>
          <w:tcPr>
            <w:tcW w:w="3435" w:type="dxa"/>
            <w:tcBorders>
              <w:top w:val="nil"/>
              <w:left w:val="nil"/>
              <w:bottom w:val="nil"/>
              <w:right w:val="nil"/>
            </w:tcBorders>
            <w:noWrap/>
            <w:vAlign w:val="bottom"/>
            <w:hideMark/>
          </w:tcPr>
          <w:p w14:paraId="7938A5AF" w14:textId="77777777" w:rsidR="0023090D" w:rsidRPr="00541040" w:rsidRDefault="0023090D" w:rsidP="000915FE">
            <w:pPr>
              <w:spacing w:after="0" w:line="240" w:lineRule="auto"/>
              <w:jc w:val="right"/>
              <w:rPr>
                <w:rFonts w:cs="Arial"/>
                <w:color w:val="000000"/>
                <w:szCs w:val="24"/>
                <w:lang w:val="en-GB"/>
              </w:rPr>
            </w:pPr>
          </w:p>
        </w:tc>
        <w:tc>
          <w:tcPr>
            <w:tcW w:w="1210" w:type="dxa"/>
            <w:tcBorders>
              <w:top w:val="nil"/>
              <w:left w:val="nil"/>
              <w:bottom w:val="nil"/>
              <w:right w:val="nil"/>
            </w:tcBorders>
            <w:noWrap/>
            <w:vAlign w:val="bottom"/>
            <w:hideMark/>
          </w:tcPr>
          <w:p w14:paraId="0D39271C" w14:textId="77777777" w:rsidR="0023090D" w:rsidRPr="00541040" w:rsidRDefault="0023090D" w:rsidP="000915FE">
            <w:pPr>
              <w:spacing w:after="0" w:line="240" w:lineRule="auto"/>
              <w:jc w:val="left"/>
              <w:rPr>
                <w:rFonts w:cs="Arial"/>
                <w:szCs w:val="24"/>
                <w:lang w:val="en-GB"/>
              </w:rPr>
            </w:pPr>
          </w:p>
        </w:tc>
      </w:tr>
    </w:tbl>
    <w:p w14:paraId="1E508939" w14:textId="77777777" w:rsidR="0023090D" w:rsidRPr="00095284" w:rsidRDefault="0023090D" w:rsidP="0023090D">
      <w:pPr>
        <w:rPr>
          <w:rFonts w:cs="Arial"/>
          <w:szCs w:val="24"/>
          <w:lang w:val="en-GB"/>
        </w:rPr>
      </w:pPr>
    </w:p>
    <w:tbl>
      <w:tblPr>
        <w:tblW w:w="10720" w:type="dxa"/>
        <w:jc w:val="center"/>
        <w:tblLook w:val="04A0" w:firstRow="1" w:lastRow="0" w:firstColumn="1" w:lastColumn="0" w:noHBand="0" w:noVBand="1"/>
      </w:tblPr>
      <w:tblGrid>
        <w:gridCol w:w="3134"/>
        <w:gridCol w:w="3054"/>
        <w:gridCol w:w="3268"/>
        <w:gridCol w:w="1264"/>
      </w:tblGrid>
      <w:tr w:rsidR="0023090D" w:rsidRPr="00541040" w14:paraId="1265B37E" w14:textId="77777777" w:rsidTr="000915FE">
        <w:trPr>
          <w:trHeight w:val="384"/>
          <w:jc w:val="center"/>
        </w:trPr>
        <w:tc>
          <w:tcPr>
            <w:tcW w:w="10720" w:type="dxa"/>
            <w:gridSpan w:val="4"/>
            <w:tcBorders>
              <w:top w:val="nil"/>
              <w:left w:val="nil"/>
              <w:bottom w:val="nil"/>
              <w:right w:val="nil"/>
            </w:tcBorders>
            <w:shd w:val="clear" w:color="000000" w:fill="FF66FF"/>
            <w:noWrap/>
            <w:vAlign w:val="bottom"/>
            <w:hideMark/>
          </w:tcPr>
          <w:p w14:paraId="12AD0356" w14:textId="77777777" w:rsidR="0023090D" w:rsidRPr="00541040" w:rsidRDefault="0023090D" w:rsidP="000915FE">
            <w:pPr>
              <w:spacing w:after="0" w:line="240" w:lineRule="auto"/>
              <w:jc w:val="center"/>
              <w:rPr>
                <w:rFonts w:cs="Arial"/>
                <w:b/>
                <w:bCs/>
                <w:color w:val="000000"/>
                <w:szCs w:val="24"/>
                <w:lang w:val="en-GB"/>
              </w:rPr>
            </w:pPr>
            <w:r w:rsidRPr="00541040">
              <w:rPr>
                <w:rFonts w:cs="Arial"/>
                <w:b/>
                <w:bCs/>
                <w:color w:val="000000"/>
                <w:szCs w:val="24"/>
                <w:lang w:val="en-GB"/>
              </w:rPr>
              <w:t>IRR</w:t>
            </w:r>
          </w:p>
        </w:tc>
      </w:tr>
      <w:tr w:rsidR="0023090D" w:rsidRPr="00541040" w14:paraId="22E30825" w14:textId="77777777" w:rsidTr="000915FE">
        <w:trPr>
          <w:trHeight w:val="384"/>
          <w:jc w:val="center"/>
        </w:trPr>
        <w:tc>
          <w:tcPr>
            <w:tcW w:w="3134" w:type="dxa"/>
            <w:tcBorders>
              <w:top w:val="single" w:sz="4" w:space="0" w:color="auto"/>
              <w:left w:val="single" w:sz="4" w:space="0" w:color="auto"/>
              <w:bottom w:val="single" w:sz="4" w:space="0" w:color="auto"/>
              <w:right w:val="single" w:sz="4" w:space="0" w:color="auto"/>
            </w:tcBorders>
            <w:shd w:val="clear" w:color="000000" w:fill="F3D4F8"/>
            <w:noWrap/>
            <w:vAlign w:val="bottom"/>
            <w:hideMark/>
          </w:tcPr>
          <w:p w14:paraId="62A3938E"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Discount Rate</w:t>
            </w:r>
          </w:p>
        </w:tc>
        <w:tc>
          <w:tcPr>
            <w:tcW w:w="3054" w:type="dxa"/>
            <w:tcBorders>
              <w:top w:val="single" w:sz="4" w:space="0" w:color="auto"/>
              <w:left w:val="nil"/>
              <w:bottom w:val="single" w:sz="4" w:space="0" w:color="auto"/>
              <w:right w:val="single" w:sz="4" w:space="0" w:color="auto"/>
            </w:tcBorders>
            <w:shd w:val="clear" w:color="000000" w:fill="F3D4F8"/>
            <w:noWrap/>
            <w:vAlign w:val="bottom"/>
            <w:hideMark/>
          </w:tcPr>
          <w:p w14:paraId="3860A3ED"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20%</w:t>
            </w:r>
          </w:p>
        </w:tc>
        <w:tc>
          <w:tcPr>
            <w:tcW w:w="3268" w:type="dxa"/>
            <w:tcBorders>
              <w:top w:val="nil"/>
              <w:left w:val="nil"/>
              <w:bottom w:val="nil"/>
              <w:right w:val="nil"/>
            </w:tcBorders>
            <w:shd w:val="clear" w:color="000000" w:fill="F3D4F8"/>
            <w:noWrap/>
            <w:vAlign w:val="bottom"/>
            <w:hideMark/>
          </w:tcPr>
          <w:p w14:paraId="6E7D7FCE" w14:textId="77777777" w:rsidR="0023090D" w:rsidRPr="00541040" w:rsidRDefault="0023090D" w:rsidP="000915FE">
            <w:pPr>
              <w:spacing w:after="0" w:line="240" w:lineRule="auto"/>
              <w:jc w:val="left"/>
              <w:rPr>
                <w:rFonts w:cs="Arial"/>
                <w:color w:val="000000"/>
                <w:szCs w:val="24"/>
                <w:lang w:val="en-GB"/>
              </w:rPr>
            </w:pPr>
            <w:r w:rsidRPr="00541040">
              <w:rPr>
                <w:rFonts w:cs="Arial"/>
                <w:color w:val="000000"/>
                <w:szCs w:val="24"/>
                <w:lang w:val="en-GB"/>
              </w:rPr>
              <w:t> </w:t>
            </w:r>
          </w:p>
        </w:tc>
        <w:tc>
          <w:tcPr>
            <w:tcW w:w="1264" w:type="dxa"/>
            <w:tcBorders>
              <w:top w:val="nil"/>
              <w:left w:val="nil"/>
              <w:bottom w:val="nil"/>
              <w:right w:val="nil"/>
            </w:tcBorders>
            <w:shd w:val="clear" w:color="000000" w:fill="F3D4F8"/>
            <w:noWrap/>
            <w:vAlign w:val="bottom"/>
            <w:hideMark/>
          </w:tcPr>
          <w:p w14:paraId="5F9CF154" w14:textId="77777777" w:rsidR="0023090D" w:rsidRPr="00541040" w:rsidRDefault="0023090D" w:rsidP="000915FE">
            <w:pPr>
              <w:spacing w:after="0" w:line="240" w:lineRule="auto"/>
              <w:jc w:val="left"/>
              <w:rPr>
                <w:rFonts w:cs="Arial"/>
                <w:color w:val="000000"/>
                <w:szCs w:val="24"/>
                <w:lang w:val="en-GB"/>
              </w:rPr>
            </w:pPr>
            <w:r w:rsidRPr="00541040">
              <w:rPr>
                <w:rFonts w:cs="Arial"/>
                <w:color w:val="000000"/>
                <w:szCs w:val="24"/>
                <w:lang w:val="en-GB"/>
              </w:rPr>
              <w:t> </w:t>
            </w:r>
          </w:p>
        </w:tc>
      </w:tr>
      <w:tr w:rsidR="0023090D" w:rsidRPr="00541040" w14:paraId="523562AB" w14:textId="77777777" w:rsidTr="000915FE">
        <w:trPr>
          <w:trHeight w:val="384"/>
          <w:jc w:val="center"/>
        </w:trPr>
        <w:tc>
          <w:tcPr>
            <w:tcW w:w="3134" w:type="dxa"/>
            <w:tcBorders>
              <w:top w:val="nil"/>
              <w:left w:val="single" w:sz="4" w:space="0" w:color="auto"/>
              <w:bottom w:val="single" w:sz="4" w:space="0" w:color="auto"/>
              <w:right w:val="single" w:sz="4" w:space="0" w:color="auto"/>
            </w:tcBorders>
            <w:shd w:val="clear" w:color="000000" w:fill="F3D4F8"/>
            <w:noWrap/>
            <w:vAlign w:val="bottom"/>
            <w:hideMark/>
          </w:tcPr>
          <w:p w14:paraId="7ABC4B1B"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Year</w:t>
            </w:r>
          </w:p>
        </w:tc>
        <w:tc>
          <w:tcPr>
            <w:tcW w:w="3054" w:type="dxa"/>
            <w:tcBorders>
              <w:top w:val="nil"/>
              <w:left w:val="nil"/>
              <w:bottom w:val="single" w:sz="4" w:space="0" w:color="auto"/>
              <w:right w:val="single" w:sz="4" w:space="0" w:color="auto"/>
            </w:tcBorders>
            <w:shd w:val="clear" w:color="000000" w:fill="F3D4F8"/>
            <w:noWrap/>
            <w:vAlign w:val="bottom"/>
            <w:hideMark/>
          </w:tcPr>
          <w:p w14:paraId="249A3895" w14:textId="77777777" w:rsidR="0023090D" w:rsidRPr="00541040" w:rsidRDefault="0023090D" w:rsidP="000915FE">
            <w:pPr>
              <w:spacing w:after="0" w:line="240" w:lineRule="auto"/>
              <w:jc w:val="left"/>
              <w:rPr>
                <w:rFonts w:cs="Arial"/>
                <w:b/>
                <w:bCs/>
                <w:color w:val="000000"/>
                <w:szCs w:val="24"/>
                <w:lang w:val="en-GB"/>
              </w:rPr>
            </w:pPr>
            <w:r w:rsidRPr="00095284">
              <w:rPr>
                <w:rFonts w:cs="Arial"/>
                <w:b/>
                <w:bCs/>
                <w:color w:val="000000"/>
                <w:szCs w:val="24"/>
                <w:lang w:val="en-GB"/>
              </w:rPr>
              <w:t>Formula</w:t>
            </w:r>
          </w:p>
        </w:tc>
        <w:tc>
          <w:tcPr>
            <w:tcW w:w="3268" w:type="dxa"/>
            <w:tcBorders>
              <w:top w:val="single" w:sz="4" w:space="0" w:color="auto"/>
              <w:left w:val="nil"/>
              <w:bottom w:val="single" w:sz="4" w:space="0" w:color="auto"/>
              <w:right w:val="single" w:sz="4" w:space="0" w:color="auto"/>
            </w:tcBorders>
            <w:shd w:val="clear" w:color="000000" w:fill="F3D4F8"/>
            <w:noWrap/>
            <w:vAlign w:val="bottom"/>
            <w:hideMark/>
          </w:tcPr>
          <w:p w14:paraId="4B7963A7"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Discount factor</w:t>
            </w:r>
          </w:p>
        </w:tc>
        <w:tc>
          <w:tcPr>
            <w:tcW w:w="1264" w:type="dxa"/>
            <w:tcBorders>
              <w:top w:val="single" w:sz="4" w:space="0" w:color="auto"/>
              <w:left w:val="nil"/>
              <w:bottom w:val="single" w:sz="4" w:space="0" w:color="auto"/>
              <w:right w:val="single" w:sz="4" w:space="0" w:color="auto"/>
            </w:tcBorders>
            <w:shd w:val="clear" w:color="000000" w:fill="F3D4F8"/>
            <w:noWrap/>
            <w:vAlign w:val="bottom"/>
            <w:hideMark/>
          </w:tcPr>
          <w:p w14:paraId="0AF0C800"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PV</w:t>
            </w:r>
          </w:p>
        </w:tc>
      </w:tr>
      <w:tr w:rsidR="0023090D" w:rsidRPr="00541040" w14:paraId="7534540A" w14:textId="77777777" w:rsidTr="000915FE">
        <w:trPr>
          <w:trHeight w:val="384"/>
          <w:jc w:val="center"/>
        </w:trPr>
        <w:tc>
          <w:tcPr>
            <w:tcW w:w="3134" w:type="dxa"/>
            <w:tcBorders>
              <w:top w:val="nil"/>
              <w:left w:val="single" w:sz="4" w:space="0" w:color="auto"/>
              <w:bottom w:val="single" w:sz="4" w:space="0" w:color="auto"/>
              <w:right w:val="single" w:sz="4" w:space="0" w:color="auto"/>
            </w:tcBorders>
            <w:shd w:val="clear" w:color="000000" w:fill="F3D4F8"/>
            <w:noWrap/>
            <w:vAlign w:val="bottom"/>
            <w:hideMark/>
          </w:tcPr>
          <w:p w14:paraId="65171C93"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w:t>
            </w:r>
          </w:p>
        </w:tc>
        <w:tc>
          <w:tcPr>
            <w:tcW w:w="3054" w:type="dxa"/>
            <w:tcBorders>
              <w:top w:val="nil"/>
              <w:left w:val="nil"/>
              <w:bottom w:val="single" w:sz="4" w:space="0" w:color="auto"/>
              <w:right w:val="single" w:sz="4" w:space="0" w:color="auto"/>
            </w:tcBorders>
            <w:shd w:val="clear" w:color="000000" w:fill="F3D4F8"/>
            <w:noWrap/>
            <w:vAlign w:val="bottom"/>
            <w:hideMark/>
          </w:tcPr>
          <w:p w14:paraId="42B0272B" w14:textId="77777777" w:rsidR="0023090D" w:rsidRPr="00541040" w:rsidRDefault="0023090D" w:rsidP="000915FE">
            <w:pPr>
              <w:spacing w:after="0" w:line="240" w:lineRule="auto"/>
              <w:jc w:val="center"/>
              <w:rPr>
                <w:rFonts w:cs="Arial"/>
                <w:color w:val="000000"/>
                <w:szCs w:val="24"/>
                <w:lang w:val="en-GB"/>
              </w:rPr>
            </w:pPr>
            <w:r w:rsidRPr="00541040">
              <w:rPr>
                <w:rFonts w:cs="Arial"/>
                <w:color w:val="000000"/>
                <w:szCs w:val="24"/>
                <w:lang w:val="en-GB"/>
              </w:rPr>
              <w:t>[1</w:t>
            </w:r>
            <w:proofErr w:type="gramStart"/>
            <w:r w:rsidRPr="00541040">
              <w:rPr>
                <w:rFonts w:cs="Arial"/>
                <w:color w:val="000000"/>
                <w:szCs w:val="24"/>
                <w:lang w:val="en-GB"/>
              </w:rPr>
              <w:t>/(</w:t>
            </w:r>
            <w:proofErr w:type="gramEnd"/>
            <w:r w:rsidRPr="00541040">
              <w:rPr>
                <w:rFonts w:cs="Arial"/>
                <w:color w:val="000000"/>
                <w:szCs w:val="24"/>
                <w:lang w:val="en-GB"/>
              </w:rPr>
              <w:t>1+20%</w:t>
            </w:r>
            <w:proofErr w:type="gramStart"/>
            <w:r w:rsidRPr="00541040">
              <w:rPr>
                <w:rFonts w:cs="Arial"/>
                <w:color w:val="000000"/>
                <w:szCs w:val="24"/>
                <w:lang w:val="en-GB"/>
              </w:rPr>
              <w:t>)]^</w:t>
            </w:r>
            <w:proofErr w:type="gramEnd"/>
            <w:r w:rsidRPr="00541040">
              <w:rPr>
                <w:rFonts w:cs="Arial"/>
                <w:color w:val="000000"/>
                <w:szCs w:val="24"/>
                <w:lang w:val="en-GB"/>
              </w:rPr>
              <w:t>1</w:t>
            </w:r>
          </w:p>
        </w:tc>
        <w:tc>
          <w:tcPr>
            <w:tcW w:w="3268" w:type="dxa"/>
            <w:tcBorders>
              <w:top w:val="nil"/>
              <w:left w:val="nil"/>
              <w:bottom w:val="single" w:sz="4" w:space="0" w:color="auto"/>
              <w:right w:val="single" w:sz="4" w:space="0" w:color="auto"/>
            </w:tcBorders>
            <w:shd w:val="clear" w:color="000000" w:fill="F3D4F8"/>
            <w:noWrap/>
            <w:vAlign w:val="bottom"/>
            <w:hideMark/>
          </w:tcPr>
          <w:p w14:paraId="7ADB6872"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0.83</w:t>
            </w:r>
          </w:p>
        </w:tc>
        <w:tc>
          <w:tcPr>
            <w:tcW w:w="1264" w:type="dxa"/>
            <w:tcBorders>
              <w:top w:val="nil"/>
              <w:left w:val="nil"/>
              <w:bottom w:val="single" w:sz="4" w:space="0" w:color="auto"/>
              <w:right w:val="single" w:sz="4" w:space="0" w:color="auto"/>
            </w:tcBorders>
            <w:shd w:val="clear" w:color="000000" w:fill="F3D4F8"/>
            <w:noWrap/>
            <w:vAlign w:val="bottom"/>
            <w:hideMark/>
          </w:tcPr>
          <w:p w14:paraId="4E42D6B9"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8.33</w:t>
            </w:r>
          </w:p>
        </w:tc>
      </w:tr>
      <w:tr w:rsidR="0023090D" w:rsidRPr="00541040" w14:paraId="31514BAB" w14:textId="77777777" w:rsidTr="000915FE">
        <w:trPr>
          <w:trHeight w:val="384"/>
          <w:jc w:val="center"/>
        </w:trPr>
        <w:tc>
          <w:tcPr>
            <w:tcW w:w="3134" w:type="dxa"/>
            <w:tcBorders>
              <w:top w:val="nil"/>
              <w:left w:val="single" w:sz="4" w:space="0" w:color="auto"/>
              <w:bottom w:val="single" w:sz="4" w:space="0" w:color="auto"/>
              <w:right w:val="single" w:sz="4" w:space="0" w:color="auto"/>
            </w:tcBorders>
            <w:shd w:val="clear" w:color="000000" w:fill="F3D4F8"/>
            <w:noWrap/>
            <w:vAlign w:val="bottom"/>
            <w:hideMark/>
          </w:tcPr>
          <w:p w14:paraId="738905DB"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2</w:t>
            </w:r>
          </w:p>
        </w:tc>
        <w:tc>
          <w:tcPr>
            <w:tcW w:w="3054" w:type="dxa"/>
            <w:tcBorders>
              <w:top w:val="nil"/>
              <w:left w:val="nil"/>
              <w:bottom w:val="single" w:sz="4" w:space="0" w:color="auto"/>
              <w:right w:val="single" w:sz="4" w:space="0" w:color="auto"/>
            </w:tcBorders>
            <w:shd w:val="clear" w:color="000000" w:fill="F3D4F8"/>
            <w:noWrap/>
            <w:vAlign w:val="bottom"/>
            <w:hideMark/>
          </w:tcPr>
          <w:p w14:paraId="6AB29712" w14:textId="77777777" w:rsidR="0023090D" w:rsidRPr="00541040" w:rsidRDefault="0023090D" w:rsidP="000915FE">
            <w:pPr>
              <w:spacing w:after="0" w:line="240" w:lineRule="auto"/>
              <w:jc w:val="center"/>
              <w:rPr>
                <w:rFonts w:cs="Arial"/>
                <w:color w:val="000000"/>
                <w:szCs w:val="24"/>
                <w:lang w:val="en-GB"/>
              </w:rPr>
            </w:pPr>
            <w:r w:rsidRPr="00541040">
              <w:rPr>
                <w:rFonts w:cs="Arial"/>
                <w:color w:val="000000"/>
                <w:szCs w:val="24"/>
                <w:lang w:val="en-GB"/>
              </w:rPr>
              <w:t>[1</w:t>
            </w:r>
            <w:proofErr w:type="gramStart"/>
            <w:r w:rsidRPr="00541040">
              <w:rPr>
                <w:rFonts w:cs="Arial"/>
                <w:color w:val="000000"/>
                <w:szCs w:val="24"/>
                <w:lang w:val="en-GB"/>
              </w:rPr>
              <w:t>/(</w:t>
            </w:r>
            <w:proofErr w:type="gramEnd"/>
            <w:r w:rsidRPr="00541040">
              <w:rPr>
                <w:rFonts w:cs="Arial"/>
                <w:color w:val="000000"/>
                <w:szCs w:val="24"/>
                <w:lang w:val="en-GB"/>
              </w:rPr>
              <w:t>1+20%</w:t>
            </w:r>
            <w:proofErr w:type="gramStart"/>
            <w:r w:rsidRPr="00541040">
              <w:rPr>
                <w:rFonts w:cs="Arial"/>
                <w:color w:val="000000"/>
                <w:szCs w:val="24"/>
                <w:lang w:val="en-GB"/>
              </w:rPr>
              <w:t>)]^</w:t>
            </w:r>
            <w:proofErr w:type="gramEnd"/>
            <w:r w:rsidRPr="00541040">
              <w:rPr>
                <w:rFonts w:cs="Arial"/>
                <w:color w:val="000000"/>
                <w:szCs w:val="24"/>
                <w:lang w:val="en-GB"/>
              </w:rPr>
              <w:t>2</w:t>
            </w:r>
          </w:p>
        </w:tc>
        <w:tc>
          <w:tcPr>
            <w:tcW w:w="3268" w:type="dxa"/>
            <w:tcBorders>
              <w:top w:val="nil"/>
              <w:left w:val="nil"/>
              <w:bottom w:val="single" w:sz="4" w:space="0" w:color="auto"/>
              <w:right w:val="single" w:sz="4" w:space="0" w:color="auto"/>
            </w:tcBorders>
            <w:shd w:val="clear" w:color="000000" w:fill="F3D4F8"/>
            <w:noWrap/>
            <w:vAlign w:val="bottom"/>
            <w:hideMark/>
          </w:tcPr>
          <w:p w14:paraId="605A78C3"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0.69</w:t>
            </w:r>
          </w:p>
        </w:tc>
        <w:tc>
          <w:tcPr>
            <w:tcW w:w="1264" w:type="dxa"/>
            <w:tcBorders>
              <w:top w:val="nil"/>
              <w:left w:val="nil"/>
              <w:bottom w:val="single" w:sz="4" w:space="0" w:color="auto"/>
              <w:right w:val="single" w:sz="4" w:space="0" w:color="auto"/>
            </w:tcBorders>
            <w:shd w:val="clear" w:color="000000" w:fill="F3D4F8"/>
            <w:noWrap/>
            <w:vAlign w:val="bottom"/>
            <w:hideMark/>
          </w:tcPr>
          <w:p w14:paraId="09D7A7E9"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8.33</w:t>
            </w:r>
          </w:p>
        </w:tc>
      </w:tr>
      <w:tr w:rsidR="0023090D" w:rsidRPr="00541040" w14:paraId="66F64D99" w14:textId="77777777" w:rsidTr="000915FE">
        <w:trPr>
          <w:trHeight w:val="384"/>
          <w:jc w:val="center"/>
        </w:trPr>
        <w:tc>
          <w:tcPr>
            <w:tcW w:w="3134" w:type="dxa"/>
            <w:tcBorders>
              <w:top w:val="nil"/>
              <w:left w:val="single" w:sz="4" w:space="0" w:color="auto"/>
              <w:bottom w:val="single" w:sz="4" w:space="0" w:color="auto"/>
              <w:right w:val="single" w:sz="4" w:space="0" w:color="auto"/>
            </w:tcBorders>
            <w:shd w:val="clear" w:color="000000" w:fill="F3D4F8"/>
            <w:noWrap/>
            <w:vAlign w:val="bottom"/>
            <w:hideMark/>
          </w:tcPr>
          <w:p w14:paraId="16D0B78A"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3</w:t>
            </w:r>
          </w:p>
        </w:tc>
        <w:tc>
          <w:tcPr>
            <w:tcW w:w="3054" w:type="dxa"/>
            <w:tcBorders>
              <w:top w:val="nil"/>
              <w:left w:val="nil"/>
              <w:bottom w:val="single" w:sz="4" w:space="0" w:color="auto"/>
              <w:right w:val="single" w:sz="4" w:space="0" w:color="auto"/>
            </w:tcBorders>
            <w:shd w:val="clear" w:color="000000" w:fill="F3D4F8"/>
            <w:noWrap/>
            <w:vAlign w:val="bottom"/>
            <w:hideMark/>
          </w:tcPr>
          <w:p w14:paraId="601DE97F" w14:textId="77777777" w:rsidR="0023090D" w:rsidRPr="00541040" w:rsidRDefault="0023090D" w:rsidP="000915FE">
            <w:pPr>
              <w:spacing w:after="0" w:line="240" w:lineRule="auto"/>
              <w:jc w:val="center"/>
              <w:rPr>
                <w:rFonts w:cs="Arial"/>
                <w:color w:val="000000"/>
                <w:szCs w:val="24"/>
                <w:lang w:val="en-GB"/>
              </w:rPr>
            </w:pPr>
            <w:r w:rsidRPr="00541040">
              <w:rPr>
                <w:rFonts w:cs="Arial"/>
                <w:color w:val="000000"/>
                <w:szCs w:val="24"/>
                <w:lang w:val="en-GB"/>
              </w:rPr>
              <w:t>[1</w:t>
            </w:r>
            <w:proofErr w:type="gramStart"/>
            <w:r w:rsidRPr="00541040">
              <w:rPr>
                <w:rFonts w:cs="Arial"/>
                <w:color w:val="000000"/>
                <w:szCs w:val="24"/>
                <w:lang w:val="en-GB"/>
              </w:rPr>
              <w:t>/(</w:t>
            </w:r>
            <w:proofErr w:type="gramEnd"/>
            <w:r w:rsidRPr="00541040">
              <w:rPr>
                <w:rFonts w:cs="Arial"/>
                <w:color w:val="000000"/>
                <w:szCs w:val="24"/>
                <w:lang w:val="en-GB"/>
              </w:rPr>
              <w:t>1+20%</w:t>
            </w:r>
            <w:proofErr w:type="gramStart"/>
            <w:r w:rsidRPr="00541040">
              <w:rPr>
                <w:rFonts w:cs="Arial"/>
                <w:color w:val="000000"/>
                <w:szCs w:val="24"/>
                <w:lang w:val="en-GB"/>
              </w:rPr>
              <w:t>)]^</w:t>
            </w:r>
            <w:proofErr w:type="gramEnd"/>
            <w:r w:rsidRPr="00541040">
              <w:rPr>
                <w:rFonts w:cs="Arial"/>
                <w:color w:val="000000"/>
                <w:szCs w:val="24"/>
                <w:lang w:val="en-GB"/>
              </w:rPr>
              <w:t>3</w:t>
            </w:r>
          </w:p>
        </w:tc>
        <w:tc>
          <w:tcPr>
            <w:tcW w:w="3268" w:type="dxa"/>
            <w:tcBorders>
              <w:top w:val="nil"/>
              <w:left w:val="nil"/>
              <w:bottom w:val="single" w:sz="4" w:space="0" w:color="auto"/>
              <w:right w:val="single" w:sz="4" w:space="0" w:color="auto"/>
            </w:tcBorders>
            <w:shd w:val="clear" w:color="000000" w:fill="F3D4F8"/>
            <w:noWrap/>
            <w:vAlign w:val="bottom"/>
            <w:hideMark/>
          </w:tcPr>
          <w:p w14:paraId="76938819"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0.58</w:t>
            </w:r>
          </w:p>
        </w:tc>
        <w:tc>
          <w:tcPr>
            <w:tcW w:w="1264" w:type="dxa"/>
            <w:tcBorders>
              <w:top w:val="nil"/>
              <w:left w:val="nil"/>
              <w:bottom w:val="single" w:sz="4" w:space="0" w:color="auto"/>
              <w:right w:val="single" w:sz="4" w:space="0" w:color="auto"/>
            </w:tcBorders>
            <w:shd w:val="clear" w:color="000000" w:fill="F3D4F8"/>
            <w:noWrap/>
            <w:vAlign w:val="bottom"/>
            <w:hideMark/>
          </w:tcPr>
          <w:p w14:paraId="14D9148E"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8.10</w:t>
            </w:r>
          </w:p>
        </w:tc>
      </w:tr>
      <w:tr w:rsidR="0023090D" w:rsidRPr="00541040" w14:paraId="5002CABE" w14:textId="77777777" w:rsidTr="000915FE">
        <w:trPr>
          <w:trHeight w:val="384"/>
          <w:jc w:val="center"/>
        </w:trPr>
        <w:tc>
          <w:tcPr>
            <w:tcW w:w="3134" w:type="dxa"/>
            <w:tcBorders>
              <w:top w:val="nil"/>
              <w:left w:val="single" w:sz="4" w:space="0" w:color="auto"/>
              <w:bottom w:val="single" w:sz="4" w:space="0" w:color="auto"/>
              <w:right w:val="single" w:sz="4" w:space="0" w:color="auto"/>
            </w:tcBorders>
            <w:shd w:val="clear" w:color="000000" w:fill="F3D4F8"/>
            <w:noWrap/>
            <w:vAlign w:val="bottom"/>
            <w:hideMark/>
          </w:tcPr>
          <w:p w14:paraId="120BC166"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4</w:t>
            </w:r>
          </w:p>
        </w:tc>
        <w:tc>
          <w:tcPr>
            <w:tcW w:w="3054" w:type="dxa"/>
            <w:tcBorders>
              <w:top w:val="nil"/>
              <w:left w:val="nil"/>
              <w:bottom w:val="single" w:sz="4" w:space="0" w:color="auto"/>
              <w:right w:val="single" w:sz="4" w:space="0" w:color="auto"/>
            </w:tcBorders>
            <w:shd w:val="clear" w:color="000000" w:fill="F3D4F8"/>
            <w:noWrap/>
            <w:vAlign w:val="bottom"/>
            <w:hideMark/>
          </w:tcPr>
          <w:p w14:paraId="68071F39" w14:textId="77777777" w:rsidR="0023090D" w:rsidRPr="00541040" w:rsidRDefault="0023090D" w:rsidP="000915FE">
            <w:pPr>
              <w:spacing w:after="0" w:line="240" w:lineRule="auto"/>
              <w:jc w:val="center"/>
              <w:rPr>
                <w:rFonts w:cs="Arial"/>
                <w:color w:val="000000"/>
                <w:szCs w:val="24"/>
                <w:lang w:val="en-GB"/>
              </w:rPr>
            </w:pPr>
            <w:r w:rsidRPr="00541040">
              <w:rPr>
                <w:rFonts w:cs="Arial"/>
                <w:color w:val="000000"/>
                <w:szCs w:val="24"/>
                <w:lang w:val="en-GB"/>
              </w:rPr>
              <w:t>[1</w:t>
            </w:r>
            <w:proofErr w:type="gramStart"/>
            <w:r w:rsidRPr="00541040">
              <w:rPr>
                <w:rFonts w:cs="Arial"/>
                <w:color w:val="000000"/>
                <w:szCs w:val="24"/>
                <w:lang w:val="en-GB"/>
              </w:rPr>
              <w:t>/(</w:t>
            </w:r>
            <w:proofErr w:type="gramEnd"/>
            <w:r w:rsidRPr="00541040">
              <w:rPr>
                <w:rFonts w:cs="Arial"/>
                <w:color w:val="000000"/>
                <w:szCs w:val="24"/>
                <w:lang w:val="en-GB"/>
              </w:rPr>
              <w:t>1+20%</w:t>
            </w:r>
            <w:proofErr w:type="gramStart"/>
            <w:r w:rsidRPr="00541040">
              <w:rPr>
                <w:rFonts w:cs="Arial"/>
                <w:color w:val="000000"/>
                <w:szCs w:val="24"/>
                <w:lang w:val="en-GB"/>
              </w:rPr>
              <w:t>)]^</w:t>
            </w:r>
            <w:proofErr w:type="gramEnd"/>
            <w:r w:rsidRPr="00541040">
              <w:rPr>
                <w:rFonts w:cs="Arial"/>
                <w:color w:val="000000"/>
                <w:szCs w:val="24"/>
                <w:lang w:val="en-GB"/>
              </w:rPr>
              <w:t>4</w:t>
            </w:r>
          </w:p>
        </w:tc>
        <w:tc>
          <w:tcPr>
            <w:tcW w:w="3268" w:type="dxa"/>
            <w:tcBorders>
              <w:top w:val="nil"/>
              <w:left w:val="nil"/>
              <w:bottom w:val="single" w:sz="4" w:space="0" w:color="auto"/>
              <w:right w:val="single" w:sz="4" w:space="0" w:color="auto"/>
            </w:tcBorders>
            <w:shd w:val="clear" w:color="000000" w:fill="F3D4F8"/>
            <w:noWrap/>
            <w:vAlign w:val="bottom"/>
            <w:hideMark/>
          </w:tcPr>
          <w:p w14:paraId="7445BE3F"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0.48</w:t>
            </w:r>
          </w:p>
        </w:tc>
        <w:tc>
          <w:tcPr>
            <w:tcW w:w="1264" w:type="dxa"/>
            <w:tcBorders>
              <w:top w:val="nil"/>
              <w:left w:val="nil"/>
              <w:bottom w:val="single" w:sz="4" w:space="0" w:color="auto"/>
              <w:right w:val="single" w:sz="4" w:space="0" w:color="auto"/>
            </w:tcBorders>
            <w:shd w:val="clear" w:color="000000" w:fill="F3D4F8"/>
            <w:noWrap/>
            <w:vAlign w:val="bottom"/>
            <w:hideMark/>
          </w:tcPr>
          <w:p w14:paraId="32A07059"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4.82</w:t>
            </w:r>
          </w:p>
        </w:tc>
      </w:tr>
      <w:tr w:rsidR="0023090D" w:rsidRPr="00541040" w14:paraId="344F0E7F" w14:textId="77777777" w:rsidTr="000915FE">
        <w:trPr>
          <w:trHeight w:val="384"/>
          <w:jc w:val="center"/>
        </w:trPr>
        <w:tc>
          <w:tcPr>
            <w:tcW w:w="3134" w:type="dxa"/>
            <w:tcBorders>
              <w:top w:val="nil"/>
              <w:left w:val="single" w:sz="4" w:space="0" w:color="auto"/>
              <w:bottom w:val="single" w:sz="4" w:space="0" w:color="auto"/>
              <w:right w:val="single" w:sz="4" w:space="0" w:color="auto"/>
            </w:tcBorders>
            <w:shd w:val="clear" w:color="000000" w:fill="F3D4F8"/>
            <w:noWrap/>
            <w:vAlign w:val="bottom"/>
            <w:hideMark/>
          </w:tcPr>
          <w:p w14:paraId="1628AEA5"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5</w:t>
            </w:r>
          </w:p>
        </w:tc>
        <w:tc>
          <w:tcPr>
            <w:tcW w:w="3054" w:type="dxa"/>
            <w:tcBorders>
              <w:top w:val="nil"/>
              <w:left w:val="nil"/>
              <w:bottom w:val="single" w:sz="4" w:space="0" w:color="auto"/>
              <w:right w:val="single" w:sz="4" w:space="0" w:color="auto"/>
            </w:tcBorders>
            <w:shd w:val="clear" w:color="000000" w:fill="F3D4F8"/>
            <w:noWrap/>
            <w:vAlign w:val="bottom"/>
            <w:hideMark/>
          </w:tcPr>
          <w:p w14:paraId="31C0BEB1" w14:textId="77777777" w:rsidR="0023090D" w:rsidRPr="00541040" w:rsidRDefault="0023090D" w:rsidP="000915FE">
            <w:pPr>
              <w:spacing w:after="0" w:line="240" w:lineRule="auto"/>
              <w:jc w:val="center"/>
              <w:rPr>
                <w:rFonts w:cs="Arial"/>
                <w:color w:val="000000"/>
                <w:szCs w:val="24"/>
                <w:lang w:val="en-GB"/>
              </w:rPr>
            </w:pPr>
            <w:r w:rsidRPr="00541040">
              <w:rPr>
                <w:rFonts w:cs="Arial"/>
                <w:color w:val="000000"/>
                <w:szCs w:val="24"/>
                <w:lang w:val="en-GB"/>
              </w:rPr>
              <w:t>[1</w:t>
            </w:r>
            <w:proofErr w:type="gramStart"/>
            <w:r w:rsidRPr="00541040">
              <w:rPr>
                <w:rFonts w:cs="Arial"/>
                <w:color w:val="000000"/>
                <w:szCs w:val="24"/>
                <w:lang w:val="en-GB"/>
              </w:rPr>
              <w:t>/(</w:t>
            </w:r>
            <w:proofErr w:type="gramEnd"/>
            <w:r w:rsidRPr="00541040">
              <w:rPr>
                <w:rFonts w:cs="Arial"/>
                <w:color w:val="000000"/>
                <w:szCs w:val="24"/>
                <w:lang w:val="en-GB"/>
              </w:rPr>
              <w:t>1+20%</w:t>
            </w:r>
            <w:proofErr w:type="gramStart"/>
            <w:r w:rsidRPr="00541040">
              <w:rPr>
                <w:rFonts w:cs="Arial"/>
                <w:color w:val="000000"/>
                <w:szCs w:val="24"/>
                <w:lang w:val="en-GB"/>
              </w:rPr>
              <w:t>)]^</w:t>
            </w:r>
            <w:proofErr w:type="gramEnd"/>
            <w:r w:rsidRPr="00541040">
              <w:rPr>
                <w:rFonts w:cs="Arial"/>
                <w:color w:val="000000"/>
                <w:szCs w:val="24"/>
                <w:lang w:val="en-GB"/>
              </w:rPr>
              <w:t>5</w:t>
            </w:r>
          </w:p>
        </w:tc>
        <w:tc>
          <w:tcPr>
            <w:tcW w:w="3268" w:type="dxa"/>
            <w:tcBorders>
              <w:top w:val="nil"/>
              <w:left w:val="nil"/>
              <w:bottom w:val="single" w:sz="4" w:space="0" w:color="auto"/>
              <w:right w:val="single" w:sz="4" w:space="0" w:color="auto"/>
            </w:tcBorders>
            <w:shd w:val="clear" w:color="000000" w:fill="F3D4F8"/>
            <w:noWrap/>
            <w:vAlign w:val="bottom"/>
            <w:hideMark/>
          </w:tcPr>
          <w:p w14:paraId="4A606278"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0.40</w:t>
            </w:r>
          </w:p>
        </w:tc>
        <w:tc>
          <w:tcPr>
            <w:tcW w:w="1264" w:type="dxa"/>
            <w:tcBorders>
              <w:top w:val="nil"/>
              <w:left w:val="nil"/>
              <w:bottom w:val="single" w:sz="4" w:space="0" w:color="auto"/>
              <w:right w:val="single" w:sz="4" w:space="0" w:color="auto"/>
            </w:tcBorders>
            <w:shd w:val="clear" w:color="000000" w:fill="F3D4F8"/>
            <w:noWrap/>
            <w:vAlign w:val="bottom"/>
            <w:hideMark/>
          </w:tcPr>
          <w:p w14:paraId="6EAE6B16"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3.22</w:t>
            </w:r>
          </w:p>
        </w:tc>
      </w:tr>
      <w:tr w:rsidR="0023090D" w:rsidRPr="00541040" w14:paraId="2B5D9121" w14:textId="77777777" w:rsidTr="000915FE">
        <w:trPr>
          <w:trHeight w:val="384"/>
          <w:jc w:val="center"/>
        </w:trPr>
        <w:tc>
          <w:tcPr>
            <w:tcW w:w="3134" w:type="dxa"/>
            <w:tcBorders>
              <w:top w:val="nil"/>
              <w:left w:val="single" w:sz="4" w:space="0" w:color="auto"/>
              <w:bottom w:val="single" w:sz="4" w:space="0" w:color="auto"/>
              <w:right w:val="single" w:sz="4" w:space="0" w:color="auto"/>
            </w:tcBorders>
            <w:shd w:val="clear" w:color="000000" w:fill="F3D4F8"/>
            <w:noWrap/>
            <w:vAlign w:val="bottom"/>
            <w:hideMark/>
          </w:tcPr>
          <w:p w14:paraId="57EC005E"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 </w:t>
            </w:r>
          </w:p>
        </w:tc>
        <w:tc>
          <w:tcPr>
            <w:tcW w:w="3054" w:type="dxa"/>
            <w:tcBorders>
              <w:top w:val="nil"/>
              <w:left w:val="nil"/>
              <w:bottom w:val="single" w:sz="4" w:space="0" w:color="auto"/>
              <w:right w:val="single" w:sz="4" w:space="0" w:color="auto"/>
            </w:tcBorders>
            <w:shd w:val="clear" w:color="000000" w:fill="F3D4F8"/>
            <w:noWrap/>
            <w:vAlign w:val="bottom"/>
            <w:hideMark/>
          </w:tcPr>
          <w:p w14:paraId="13D6F503" w14:textId="77777777" w:rsidR="0023090D" w:rsidRPr="00541040" w:rsidRDefault="0023090D" w:rsidP="000915FE">
            <w:pPr>
              <w:spacing w:after="0" w:line="240" w:lineRule="auto"/>
              <w:jc w:val="center"/>
              <w:rPr>
                <w:rFonts w:cs="Arial"/>
                <w:b/>
                <w:bCs/>
                <w:color w:val="000000"/>
                <w:szCs w:val="24"/>
                <w:lang w:val="en-GB"/>
              </w:rPr>
            </w:pPr>
            <w:r w:rsidRPr="00541040">
              <w:rPr>
                <w:rFonts w:cs="Arial"/>
                <w:b/>
                <w:bCs/>
                <w:color w:val="000000"/>
                <w:szCs w:val="24"/>
                <w:lang w:val="en-GB"/>
              </w:rPr>
              <w:t> </w:t>
            </w:r>
          </w:p>
        </w:tc>
        <w:tc>
          <w:tcPr>
            <w:tcW w:w="3268" w:type="dxa"/>
            <w:tcBorders>
              <w:top w:val="nil"/>
              <w:left w:val="nil"/>
              <w:bottom w:val="single" w:sz="4" w:space="0" w:color="auto"/>
              <w:right w:val="single" w:sz="4" w:space="0" w:color="auto"/>
            </w:tcBorders>
            <w:shd w:val="clear" w:color="000000" w:fill="F3D4F8"/>
            <w:noWrap/>
            <w:vAlign w:val="bottom"/>
            <w:hideMark/>
          </w:tcPr>
          <w:p w14:paraId="388225EB"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 </w:t>
            </w:r>
          </w:p>
        </w:tc>
        <w:tc>
          <w:tcPr>
            <w:tcW w:w="1264" w:type="dxa"/>
            <w:tcBorders>
              <w:top w:val="nil"/>
              <w:left w:val="nil"/>
              <w:bottom w:val="single" w:sz="4" w:space="0" w:color="auto"/>
              <w:right w:val="single" w:sz="4" w:space="0" w:color="auto"/>
            </w:tcBorders>
            <w:shd w:val="clear" w:color="000000" w:fill="F3D4F8"/>
            <w:noWrap/>
            <w:vAlign w:val="bottom"/>
            <w:hideMark/>
          </w:tcPr>
          <w:p w14:paraId="73F57A31" w14:textId="77777777" w:rsidR="0023090D" w:rsidRPr="00541040" w:rsidRDefault="0023090D" w:rsidP="000915FE">
            <w:pPr>
              <w:spacing w:after="0" w:line="240" w:lineRule="auto"/>
              <w:jc w:val="right"/>
              <w:rPr>
                <w:rFonts w:cs="Arial"/>
                <w:b/>
                <w:bCs/>
                <w:color w:val="000000"/>
                <w:szCs w:val="24"/>
                <w:lang w:val="en-GB"/>
              </w:rPr>
            </w:pPr>
            <w:r w:rsidRPr="00541040">
              <w:rPr>
                <w:rFonts w:cs="Arial"/>
                <w:b/>
                <w:bCs/>
                <w:color w:val="000000"/>
                <w:szCs w:val="24"/>
                <w:lang w:val="en-GB"/>
              </w:rPr>
              <w:t>32.81</w:t>
            </w:r>
          </w:p>
        </w:tc>
      </w:tr>
      <w:tr w:rsidR="0023090D" w:rsidRPr="00541040" w14:paraId="3B9B265D" w14:textId="77777777" w:rsidTr="000915FE">
        <w:trPr>
          <w:trHeight w:val="384"/>
          <w:jc w:val="center"/>
        </w:trPr>
        <w:tc>
          <w:tcPr>
            <w:tcW w:w="3134" w:type="dxa"/>
            <w:tcBorders>
              <w:top w:val="nil"/>
              <w:left w:val="single" w:sz="4" w:space="0" w:color="auto"/>
              <w:bottom w:val="single" w:sz="4" w:space="0" w:color="auto"/>
              <w:right w:val="single" w:sz="4" w:space="0" w:color="auto"/>
            </w:tcBorders>
            <w:shd w:val="clear" w:color="000000" w:fill="F3D4F8"/>
            <w:noWrap/>
            <w:vAlign w:val="bottom"/>
            <w:hideMark/>
          </w:tcPr>
          <w:p w14:paraId="3F95650C"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NPV</w:t>
            </w:r>
          </w:p>
        </w:tc>
        <w:tc>
          <w:tcPr>
            <w:tcW w:w="3054" w:type="dxa"/>
            <w:tcBorders>
              <w:top w:val="nil"/>
              <w:left w:val="nil"/>
              <w:bottom w:val="single" w:sz="4" w:space="0" w:color="auto"/>
              <w:right w:val="single" w:sz="4" w:space="0" w:color="auto"/>
            </w:tcBorders>
            <w:shd w:val="clear" w:color="000000" w:fill="F3D4F8"/>
            <w:noWrap/>
            <w:vAlign w:val="bottom"/>
            <w:hideMark/>
          </w:tcPr>
          <w:p w14:paraId="615250D4" w14:textId="77777777" w:rsidR="0023090D" w:rsidRPr="00541040" w:rsidRDefault="0023090D" w:rsidP="000915FE">
            <w:pPr>
              <w:spacing w:after="0" w:line="240" w:lineRule="auto"/>
              <w:jc w:val="right"/>
              <w:rPr>
                <w:rFonts w:cs="Arial"/>
                <w:b/>
                <w:bCs/>
                <w:color w:val="000000"/>
                <w:szCs w:val="24"/>
                <w:lang w:val="en-GB"/>
              </w:rPr>
            </w:pPr>
            <w:r w:rsidRPr="00541040">
              <w:rPr>
                <w:rFonts w:cs="Arial"/>
                <w:b/>
                <w:bCs/>
                <w:color w:val="000000"/>
                <w:szCs w:val="24"/>
                <w:lang w:val="en-GB"/>
              </w:rPr>
              <w:t>-7.19</w:t>
            </w:r>
          </w:p>
        </w:tc>
        <w:tc>
          <w:tcPr>
            <w:tcW w:w="3268" w:type="dxa"/>
            <w:tcBorders>
              <w:top w:val="nil"/>
              <w:left w:val="nil"/>
              <w:bottom w:val="single" w:sz="4" w:space="0" w:color="auto"/>
              <w:right w:val="single" w:sz="4" w:space="0" w:color="auto"/>
            </w:tcBorders>
            <w:shd w:val="clear" w:color="000000" w:fill="F3D4F8"/>
            <w:noWrap/>
            <w:vAlign w:val="bottom"/>
            <w:hideMark/>
          </w:tcPr>
          <w:p w14:paraId="2DF3BC31"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 </w:t>
            </w:r>
          </w:p>
        </w:tc>
        <w:tc>
          <w:tcPr>
            <w:tcW w:w="1264" w:type="dxa"/>
            <w:tcBorders>
              <w:top w:val="nil"/>
              <w:left w:val="nil"/>
              <w:bottom w:val="single" w:sz="4" w:space="0" w:color="auto"/>
              <w:right w:val="single" w:sz="4" w:space="0" w:color="auto"/>
            </w:tcBorders>
            <w:shd w:val="clear" w:color="000000" w:fill="F3D4F8"/>
            <w:noWrap/>
            <w:vAlign w:val="bottom"/>
            <w:hideMark/>
          </w:tcPr>
          <w:p w14:paraId="7A878235"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 </w:t>
            </w:r>
          </w:p>
        </w:tc>
      </w:tr>
      <w:tr w:rsidR="0023090D" w:rsidRPr="00541040" w14:paraId="09EA2E0E" w14:textId="77777777" w:rsidTr="000915FE">
        <w:trPr>
          <w:trHeight w:val="384"/>
          <w:jc w:val="center"/>
        </w:trPr>
        <w:tc>
          <w:tcPr>
            <w:tcW w:w="3134" w:type="dxa"/>
            <w:tcBorders>
              <w:top w:val="nil"/>
              <w:left w:val="single" w:sz="4" w:space="0" w:color="auto"/>
              <w:bottom w:val="single" w:sz="4" w:space="0" w:color="auto"/>
              <w:right w:val="single" w:sz="4" w:space="0" w:color="auto"/>
            </w:tcBorders>
            <w:shd w:val="clear" w:color="000000" w:fill="F3D4F8"/>
            <w:noWrap/>
            <w:vAlign w:val="bottom"/>
            <w:hideMark/>
          </w:tcPr>
          <w:p w14:paraId="4A1B820B"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Discount rate</w:t>
            </w:r>
          </w:p>
        </w:tc>
        <w:tc>
          <w:tcPr>
            <w:tcW w:w="3054" w:type="dxa"/>
            <w:tcBorders>
              <w:top w:val="nil"/>
              <w:left w:val="nil"/>
              <w:bottom w:val="single" w:sz="4" w:space="0" w:color="auto"/>
              <w:right w:val="single" w:sz="4" w:space="0" w:color="auto"/>
            </w:tcBorders>
            <w:shd w:val="clear" w:color="000000" w:fill="F3D4F8"/>
            <w:noWrap/>
            <w:vAlign w:val="bottom"/>
            <w:hideMark/>
          </w:tcPr>
          <w:p w14:paraId="1C58CC0C"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10%</w:t>
            </w:r>
          </w:p>
        </w:tc>
        <w:tc>
          <w:tcPr>
            <w:tcW w:w="3268" w:type="dxa"/>
            <w:tcBorders>
              <w:top w:val="nil"/>
              <w:left w:val="nil"/>
              <w:bottom w:val="single" w:sz="4" w:space="0" w:color="auto"/>
              <w:right w:val="single" w:sz="4" w:space="0" w:color="auto"/>
            </w:tcBorders>
            <w:shd w:val="clear" w:color="000000" w:fill="F3D4F8"/>
            <w:noWrap/>
            <w:vAlign w:val="bottom"/>
            <w:hideMark/>
          </w:tcPr>
          <w:p w14:paraId="159898FE"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20%</w:t>
            </w:r>
          </w:p>
        </w:tc>
        <w:tc>
          <w:tcPr>
            <w:tcW w:w="1264" w:type="dxa"/>
            <w:tcBorders>
              <w:top w:val="nil"/>
              <w:left w:val="nil"/>
              <w:bottom w:val="nil"/>
              <w:right w:val="nil"/>
            </w:tcBorders>
            <w:noWrap/>
            <w:vAlign w:val="bottom"/>
            <w:hideMark/>
          </w:tcPr>
          <w:p w14:paraId="1A31F755" w14:textId="77777777" w:rsidR="0023090D" w:rsidRPr="00541040" w:rsidRDefault="0023090D" w:rsidP="000915FE">
            <w:pPr>
              <w:spacing w:after="0" w:line="240" w:lineRule="auto"/>
              <w:jc w:val="right"/>
              <w:rPr>
                <w:rFonts w:cs="Arial"/>
                <w:color w:val="000000"/>
                <w:szCs w:val="24"/>
                <w:lang w:val="en-GB"/>
              </w:rPr>
            </w:pPr>
          </w:p>
        </w:tc>
      </w:tr>
      <w:tr w:rsidR="0023090D" w:rsidRPr="00541040" w14:paraId="327EBEC6" w14:textId="77777777" w:rsidTr="000915FE">
        <w:trPr>
          <w:trHeight w:val="384"/>
          <w:jc w:val="center"/>
        </w:trPr>
        <w:tc>
          <w:tcPr>
            <w:tcW w:w="3134" w:type="dxa"/>
            <w:tcBorders>
              <w:top w:val="nil"/>
              <w:left w:val="single" w:sz="4" w:space="0" w:color="auto"/>
              <w:bottom w:val="single" w:sz="4" w:space="0" w:color="auto"/>
              <w:right w:val="single" w:sz="4" w:space="0" w:color="auto"/>
            </w:tcBorders>
            <w:shd w:val="clear" w:color="000000" w:fill="F3D4F8"/>
            <w:noWrap/>
            <w:vAlign w:val="bottom"/>
            <w:hideMark/>
          </w:tcPr>
          <w:p w14:paraId="77F58F12" w14:textId="77777777" w:rsidR="0023090D" w:rsidRPr="00541040" w:rsidRDefault="0023090D" w:rsidP="000915FE">
            <w:pPr>
              <w:spacing w:after="0" w:line="240" w:lineRule="auto"/>
              <w:jc w:val="left"/>
              <w:rPr>
                <w:rFonts w:cs="Arial"/>
                <w:b/>
                <w:bCs/>
                <w:color w:val="000000"/>
                <w:szCs w:val="24"/>
                <w:lang w:val="en-GB"/>
              </w:rPr>
            </w:pPr>
            <w:r w:rsidRPr="00541040">
              <w:rPr>
                <w:rFonts w:cs="Arial"/>
                <w:b/>
                <w:bCs/>
                <w:color w:val="000000"/>
                <w:szCs w:val="24"/>
                <w:lang w:val="en-GB"/>
              </w:rPr>
              <w:t>NPV</w:t>
            </w:r>
          </w:p>
        </w:tc>
        <w:tc>
          <w:tcPr>
            <w:tcW w:w="3054" w:type="dxa"/>
            <w:tcBorders>
              <w:top w:val="nil"/>
              <w:left w:val="nil"/>
              <w:bottom w:val="single" w:sz="4" w:space="0" w:color="auto"/>
              <w:right w:val="single" w:sz="4" w:space="0" w:color="auto"/>
            </w:tcBorders>
            <w:shd w:val="clear" w:color="000000" w:fill="F3D4F8"/>
            <w:noWrap/>
            <w:vAlign w:val="bottom"/>
            <w:hideMark/>
          </w:tcPr>
          <w:p w14:paraId="227EAA64"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1.32</w:t>
            </w:r>
          </w:p>
        </w:tc>
        <w:tc>
          <w:tcPr>
            <w:tcW w:w="3268" w:type="dxa"/>
            <w:tcBorders>
              <w:top w:val="nil"/>
              <w:left w:val="nil"/>
              <w:bottom w:val="single" w:sz="4" w:space="0" w:color="auto"/>
              <w:right w:val="single" w:sz="4" w:space="0" w:color="auto"/>
            </w:tcBorders>
            <w:shd w:val="clear" w:color="000000" w:fill="F3D4F8"/>
            <w:noWrap/>
            <w:vAlign w:val="bottom"/>
            <w:hideMark/>
          </w:tcPr>
          <w:p w14:paraId="705B73C0"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-7.19</w:t>
            </w:r>
          </w:p>
        </w:tc>
        <w:tc>
          <w:tcPr>
            <w:tcW w:w="1264" w:type="dxa"/>
            <w:tcBorders>
              <w:top w:val="nil"/>
              <w:left w:val="nil"/>
              <w:bottom w:val="nil"/>
              <w:right w:val="nil"/>
            </w:tcBorders>
            <w:noWrap/>
            <w:vAlign w:val="bottom"/>
            <w:hideMark/>
          </w:tcPr>
          <w:p w14:paraId="7F747A24" w14:textId="77777777" w:rsidR="0023090D" w:rsidRPr="00541040" w:rsidRDefault="0023090D" w:rsidP="000915FE">
            <w:pPr>
              <w:spacing w:after="0" w:line="240" w:lineRule="auto"/>
              <w:jc w:val="right"/>
              <w:rPr>
                <w:rFonts w:cs="Arial"/>
                <w:color w:val="000000"/>
                <w:szCs w:val="24"/>
                <w:lang w:val="en-GB"/>
              </w:rPr>
            </w:pPr>
          </w:p>
        </w:tc>
      </w:tr>
      <w:tr w:rsidR="0023090D" w:rsidRPr="00541040" w14:paraId="54C77CAC" w14:textId="77777777" w:rsidTr="000915FE">
        <w:trPr>
          <w:trHeight w:val="384"/>
          <w:jc w:val="center"/>
        </w:trPr>
        <w:tc>
          <w:tcPr>
            <w:tcW w:w="3134" w:type="dxa"/>
            <w:vMerge w:val="restart"/>
            <w:tcBorders>
              <w:top w:val="nil"/>
              <w:left w:val="single" w:sz="4" w:space="0" w:color="auto"/>
              <w:bottom w:val="single" w:sz="4" w:space="0" w:color="000000"/>
              <w:right w:val="single" w:sz="4" w:space="0" w:color="auto"/>
            </w:tcBorders>
            <w:shd w:val="clear" w:color="000000" w:fill="F3D4F8"/>
            <w:noWrap/>
            <w:vAlign w:val="center"/>
            <w:hideMark/>
          </w:tcPr>
          <w:p w14:paraId="436989F8" w14:textId="77777777" w:rsidR="0023090D" w:rsidRPr="00541040" w:rsidRDefault="0023090D" w:rsidP="000915FE">
            <w:pPr>
              <w:spacing w:after="0" w:line="240" w:lineRule="auto"/>
              <w:jc w:val="center"/>
              <w:rPr>
                <w:rFonts w:cs="Arial"/>
                <w:b/>
                <w:bCs/>
                <w:color w:val="000000"/>
                <w:szCs w:val="24"/>
                <w:lang w:val="en-GB"/>
              </w:rPr>
            </w:pPr>
            <w:r w:rsidRPr="00541040">
              <w:rPr>
                <w:rFonts w:cs="Arial"/>
                <w:b/>
                <w:bCs/>
                <w:color w:val="000000"/>
                <w:szCs w:val="24"/>
                <w:lang w:val="en-GB"/>
              </w:rPr>
              <w:t>IRR</w:t>
            </w:r>
          </w:p>
        </w:tc>
        <w:tc>
          <w:tcPr>
            <w:tcW w:w="3054" w:type="dxa"/>
            <w:tcBorders>
              <w:top w:val="nil"/>
              <w:left w:val="nil"/>
              <w:bottom w:val="single" w:sz="4" w:space="0" w:color="auto"/>
              <w:right w:val="single" w:sz="4" w:space="0" w:color="auto"/>
            </w:tcBorders>
            <w:shd w:val="clear" w:color="000000" w:fill="F3D4F8"/>
            <w:noWrap/>
            <w:vAlign w:val="bottom"/>
            <w:hideMark/>
          </w:tcPr>
          <w:p w14:paraId="42DED958" w14:textId="77777777" w:rsidR="0023090D" w:rsidRPr="00541040" w:rsidRDefault="0023090D" w:rsidP="000915FE">
            <w:pPr>
              <w:spacing w:after="0" w:line="240" w:lineRule="auto"/>
              <w:jc w:val="right"/>
              <w:rPr>
                <w:rFonts w:cs="Arial"/>
                <w:color w:val="000000"/>
                <w:szCs w:val="24"/>
                <w:lang w:val="en-GB"/>
              </w:rPr>
            </w:pPr>
            <w:r w:rsidRPr="00541040">
              <w:rPr>
                <w:rFonts w:cs="Arial"/>
                <w:color w:val="000000"/>
                <w:szCs w:val="24"/>
                <w:lang w:val="en-GB"/>
              </w:rPr>
              <w:t>0.12</w:t>
            </w:r>
          </w:p>
        </w:tc>
        <w:tc>
          <w:tcPr>
            <w:tcW w:w="3268" w:type="dxa"/>
            <w:tcBorders>
              <w:top w:val="nil"/>
              <w:left w:val="nil"/>
              <w:bottom w:val="nil"/>
              <w:right w:val="nil"/>
            </w:tcBorders>
            <w:noWrap/>
            <w:vAlign w:val="bottom"/>
            <w:hideMark/>
          </w:tcPr>
          <w:p w14:paraId="7A44CE2C" w14:textId="77777777" w:rsidR="0023090D" w:rsidRPr="00541040" w:rsidRDefault="0023090D" w:rsidP="000915FE">
            <w:pPr>
              <w:spacing w:after="0" w:line="240" w:lineRule="auto"/>
              <w:jc w:val="right"/>
              <w:rPr>
                <w:rFonts w:cs="Arial"/>
                <w:color w:val="000000"/>
                <w:szCs w:val="24"/>
                <w:lang w:val="en-GB"/>
              </w:rPr>
            </w:pPr>
          </w:p>
        </w:tc>
        <w:tc>
          <w:tcPr>
            <w:tcW w:w="1264" w:type="dxa"/>
            <w:tcBorders>
              <w:top w:val="nil"/>
              <w:left w:val="nil"/>
              <w:bottom w:val="nil"/>
              <w:right w:val="nil"/>
            </w:tcBorders>
            <w:noWrap/>
            <w:vAlign w:val="bottom"/>
            <w:hideMark/>
          </w:tcPr>
          <w:p w14:paraId="3CA65995" w14:textId="77777777" w:rsidR="0023090D" w:rsidRPr="00541040" w:rsidRDefault="0023090D" w:rsidP="000915FE">
            <w:pPr>
              <w:spacing w:after="0" w:line="240" w:lineRule="auto"/>
              <w:jc w:val="left"/>
              <w:rPr>
                <w:rFonts w:cs="Arial"/>
                <w:szCs w:val="24"/>
                <w:lang w:val="en-GB"/>
              </w:rPr>
            </w:pPr>
          </w:p>
        </w:tc>
      </w:tr>
      <w:tr w:rsidR="0023090D" w:rsidRPr="00541040" w14:paraId="19406076" w14:textId="77777777" w:rsidTr="000915FE">
        <w:trPr>
          <w:trHeight w:val="384"/>
          <w:jc w:val="center"/>
        </w:trPr>
        <w:tc>
          <w:tcPr>
            <w:tcW w:w="3134" w:type="dxa"/>
            <w:vMerge/>
            <w:tcBorders>
              <w:top w:val="nil"/>
              <w:left w:val="single" w:sz="4" w:space="0" w:color="auto"/>
              <w:bottom w:val="single" w:sz="4" w:space="0" w:color="000000"/>
              <w:right w:val="single" w:sz="4" w:space="0" w:color="auto"/>
            </w:tcBorders>
            <w:vAlign w:val="center"/>
            <w:hideMark/>
          </w:tcPr>
          <w:p w14:paraId="0406C0A2" w14:textId="77777777" w:rsidR="0023090D" w:rsidRPr="00541040" w:rsidRDefault="0023090D" w:rsidP="000915FE">
            <w:pPr>
              <w:spacing w:after="0" w:line="240" w:lineRule="auto"/>
              <w:jc w:val="left"/>
              <w:rPr>
                <w:rFonts w:cs="Arial"/>
                <w:b/>
                <w:bCs/>
                <w:color w:val="000000"/>
                <w:szCs w:val="24"/>
                <w:lang w:val="en-GB"/>
              </w:rPr>
            </w:pPr>
          </w:p>
        </w:tc>
        <w:tc>
          <w:tcPr>
            <w:tcW w:w="3054" w:type="dxa"/>
            <w:tcBorders>
              <w:top w:val="nil"/>
              <w:left w:val="nil"/>
              <w:bottom w:val="single" w:sz="4" w:space="0" w:color="auto"/>
              <w:right w:val="single" w:sz="4" w:space="0" w:color="auto"/>
            </w:tcBorders>
            <w:shd w:val="clear" w:color="000000" w:fill="F3D4F8"/>
            <w:noWrap/>
            <w:vAlign w:val="bottom"/>
            <w:hideMark/>
          </w:tcPr>
          <w:p w14:paraId="1218BAC8" w14:textId="77777777" w:rsidR="0023090D" w:rsidRPr="00541040" w:rsidRDefault="0023090D" w:rsidP="000915FE">
            <w:pPr>
              <w:spacing w:after="0" w:line="240" w:lineRule="auto"/>
              <w:jc w:val="right"/>
              <w:rPr>
                <w:rFonts w:cs="Arial"/>
                <w:b/>
                <w:bCs/>
                <w:color w:val="000000"/>
                <w:szCs w:val="24"/>
                <w:lang w:val="en-GB"/>
              </w:rPr>
            </w:pPr>
            <w:r w:rsidRPr="00541040">
              <w:rPr>
                <w:rFonts w:cs="Arial"/>
                <w:b/>
                <w:bCs/>
                <w:color w:val="000000"/>
                <w:szCs w:val="24"/>
                <w:lang w:val="en-GB"/>
              </w:rPr>
              <w:t>11.55</w:t>
            </w:r>
          </w:p>
        </w:tc>
        <w:tc>
          <w:tcPr>
            <w:tcW w:w="3268" w:type="dxa"/>
            <w:tcBorders>
              <w:top w:val="nil"/>
              <w:left w:val="nil"/>
              <w:bottom w:val="nil"/>
              <w:right w:val="nil"/>
            </w:tcBorders>
            <w:noWrap/>
            <w:vAlign w:val="bottom"/>
            <w:hideMark/>
          </w:tcPr>
          <w:p w14:paraId="59C23969" w14:textId="77777777" w:rsidR="0023090D" w:rsidRPr="00541040" w:rsidRDefault="0023090D" w:rsidP="000915FE">
            <w:pPr>
              <w:spacing w:after="0" w:line="240" w:lineRule="auto"/>
              <w:jc w:val="right"/>
              <w:rPr>
                <w:rFonts w:cs="Arial"/>
                <w:b/>
                <w:bCs/>
                <w:color w:val="000000"/>
                <w:szCs w:val="24"/>
                <w:lang w:val="en-GB"/>
              </w:rPr>
            </w:pPr>
          </w:p>
        </w:tc>
        <w:tc>
          <w:tcPr>
            <w:tcW w:w="1264" w:type="dxa"/>
            <w:tcBorders>
              <w:top w:val="nil"/>
              <w:left w:val="nil"/>
              <w:bottom w:val="nil"/>
              <w:right w:val="nil"/>
            </w:tcBorders>
            <w:noWrap/>
            <w:vAlign w:val="bottom"/>
            <w:hideMark/>
          </w:tcPr>
          <w:p w14:paraId="0B21582D" w14:textId="77777777" w:rsidR="0023090D" w:rsidRPr="00541040" w:rsidRDefault="0023090D" w:rsidP="000915FE">
            <w:pPr>
              <w:spacing w:after="0" w:line="240" w:lineRule="auto"/>
              <w:jc w:val="left"/>
              <w:rPr>
                <w:rFonts w:cs="Arial"/>
                <w:szCs w:val="24"/>
                <w:lang w:val="en-GB"/>
              </w:rPr>
            </w:pPr>
          </w:p>
        </w:tc>
      </w:tr>
    </w:tbl>
    <w:p w14:paraId="55C1457D" w14:textId="77777777" w:rsidR="0023090D" w:rsidRPr="00095284" w:rsidRDefault="0023090D" w:rsidP="0023090D">
      <w:pPr>
        <w:rPr>
          <w:rFonts w:cs="Arial"/>
          <w:szCs w:val="24"/>
          <w:lang w:val="en-GB"/>
        </w:rPr>
      </w:pPr>
    </w:p>
    <w:p w14:paraId="7293B635" w14:textId="77777777" w:rsidR="0023090D" w:rsidRPr="00095284" w:rsidRDefault="0023090D" w:rsidP="0023090D">
      <w:pPr>
        <w:pStyle w:val="Heading3"/>
        <w:rPr>
          <w:lang w:val="en-GB"/>
        </w:rPr>
      </w:pPr>
      <w:bookmarkStart w:id="44" w:name="_Toc216894605"/>
      <w:r w:rsidRPr="00095284">
        <w:rPr>
          <w:lang w:val="en-GB"/>
        </w:rPr>
        <w:t>Project B</w:t>
      </w:r>
      <w:bookmarkEnd w:id="44"/>
    </w:p>
    <w:tbl>
      <w:tblPr>
        <w:tblW w:w="10816" w:type="dxa"/>
        <w:jc w:val="center"/>
        <w:tblLook w:val="04A0" w:firstRow="1" w:lastRow="0" w:firstColumn="1" w:lastColumn="0" w:noHBand="0" w:noVBand="1"/>
      </w:tblPr>
      <w:tblGrid>
        <w:gridCol w:w="6337"/>
        <w:gridCol w:w="1439"/>
        <w:gridCol w:w="3040"/>
      </w:tblGrid>
      <w:tr w:rsidR="0023090D" w:rsidRPr="00135D7B" w14:paraId="57D56FE9" w14:textId="77777777" w:rsidTr="000915FE">
        <w:trPr>
          <w:trHeight w:val="108"/>
          <w:jc w:val="center"/>
        </w:trPr>
        <w:tc>
          <w:tcPr>
            <w:tcW w:w="10816" w:type="dxa"/>
            <w:gridSpan w:val="3"/>
            <w:tcBorders>
              <w:top w:val="nil"/>
              <w:left w:val="nil"/>
              <w:bottom w:val="nil"/>
              <w:right w:val="nil"/>
            </w:tcBorders>
            <w:shd w:val="clear" w:color="000000" w:fill="62ECEC"/>
            <w:noWrap/>
            <w:vAlign w:val="bottom"/>
            <w:hideMark/>
          </w:tcPr>
          <w:p w14:paraId="27C1FB61"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PBP</w:t>
            </w:r>
          </w:p>
        </w:tc>
      </w:tr>
      <w:tr w:rsidR="0023090D" w:rsidRPr="00135D7B" w14:paraId="2176FCC4" w14:textId="77777777" w:rsidTr="000915FE">
        <w:trPr>
          <w:trHeight w:val="108"/>
          <w:jc w:val="center"/>
        </w:trPr>
        <w:tc>
          <w:tcPr>
            <w:tcW w:w="6337" w:type="dxa"/>
            <w:tcBorders>
              <w:top w:val="single" w:sz="4" w:space="0" w:color="auto"/>
              <w:left w:val="single" w:sz="4" w:space="0" w:color="auto"/>
              <w:bottom w:val="single" w:sz="4" w:space="0" w:color="auto"/>
              <w:right w:val="single" w:sz="4" w:space="0" w:color="auto"/>
            </w:tcBorders>
            <w:shd w:val="clear" w:color="000000" w:fill="D4EEF6"/>
            <w:noWrap/>
            <w:vAlign w:val="bottom"/>
            <w:hideMark/>
          </w:tcPr>
          <w:p w14:paraId="323315E9"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Year</w:t>
            </w:r>
          </w:p>
        </w:tc>
        <w:tc>
          <w:tcPr>
            <w:tcW w:w="1439" w:type="dxa"/>
            <w:tcBorders>
              <w:top w:val="single" w:sz="4" w:space="0" w:color="auto"/>
              <w:left w:val="nil"/>
              <w:bottom w:val="single" w:sz="4" w:space="0" w:color="auto"/>
              <w:right w:val="single" w:sz="4" w:space="0" w:color="auto"/>
            </w:tcBorders>
            <w:shd w:val="clear" w:color="000000" w:fill="D4EEF6"/>
            <w:noWrap/>
            <w:vAlign w:val="bottom"/>
            <w:hideMark/>
          </w:tcPr>
          <w:p w14:paraId="6CDC646F" w14:textId="77777777" w:rsidR="0023090D" w:rsidRPr="00135D7B" w:rsidRDefault="0023090D" w:rsidP="000915FE">
            <w:pPr>
              <w:spacing w:after="0" w:line="240" w:lineRule="auto"/>
              <w:jc w:val="center"/>
              <w:rPr>
                <w:rFonts w:cs="Arial"/>
                <w:b/>
                <w:bCs/>
                <w:color w:val="000000"/>
                <w:szCs w:val="24"/>
                <w:lang w:val="en-GB"/>
              </w:rPr>
            </w:pPr>
            <w:r w:rsidRPr="00095284">
              <w:rPr>
                <w:rFonts w:cs="Arial"/>
                <w:b/>
                <w:bCs/>
                <w:color w:val="000000"/>
                <w:szCs w:val="24"/>
                <w:lang w:val="en-GB"/>
              </w:rPr>
              <w:t>Cashflow</w:t>
            </w:r>
            <w:r w:rsidRPr="00135D7B">
              <w:rPr>
                <w:rFonts w:cs="Arial"/>
                <w:b/>
                <w:bCs/>
                <w:color w:val="000000"/>
                <w:szCs w:val="24"/>
                <w:lang w:val="en-GB"/>
              </w:rPr>
              <w:t xml:space="preserve"> </w:t>
            </w:r>
          </w:p>
        </w:tc>
        <w:tc>
          <w:tcPr>
            <w:tcW w:w="3039" w:type="dxa"/>
            <w:tcBorders>
              <w:top w:val="single" w:sz="4" w:space="0" w:color="auto"/>
              <w:left w:val="nil"/>
              <w:bottom w:val="single" w:sz="4" w:space="0" w:color="auto"/>
              <w:right w:val="single" w:sz="4" w:space="0" w:color="auto"/>
            </w:tcBorders>
            <w:shd w:val="clear" w:color="000000" w:fill="D4EEF6"/>
            <w:noWrap/>
            <w:vAlign w:val="bottom"/>
            <w:hideMark/>
          </w:tcPr>
          <w:p w14:paraId="5E05D987"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Cumulative Cashflow</w:t>
            </w:r>
          </w:p>
        </w:tc>
      </w:tr>
      <w:tr w:rsidR="0023090D" w:rsidRPr="00135D7B" w14:paraId="2E1A0F11" w14:textId="77777777" w:rsidTr="000915FE">
        <w:trPr>
          <w:trHeight w:val="108"/>
          <w:jc w:val="center"/>
        </w:trPr>
        <w:tc>
          <w:tcPr>
            <w:tcW w:w="6337" w:type="dxa"/>
            <w:tcBorders>
              <w:top w:val="nil"/>
              <w:left w:val="single" w:sz="4" w:space="0" w:color="auto"/>
              <w:bottom w:val="single" w:sz="4" w:space="0" w:color="auto"/>
              <w:right w:val="single" w:sz="4" w:space="0" w:color="auto"/>
            </w:tcBorders>
            <w:shd w:val="clear" w:color="000000" w:fill="D4EEF6"/>
            <w:noWrap/>
            <w:vAlign w:val="bottom"/>
            <w:hideMark/>
          </w:tcPr>
          <w:p w14:paraId="6CCBB42E"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w:t>
            </w:r>
          </w:p>
        </w:tc>
        <w:tc>
          <w:tcPr>
            <w:tcW w:w="1439" w:type="dxa"/>
            <w:tcBorders>
              <w:top w:val="nil"/>
              <w:left w:val="nil"/>
              <w:bottom w:val="single" w:sz="4" w:space="0" w:color="auto"/>
              <w:right w:val="single" w:sz="4" w:space="0" w:color="auto"/>
            </w:tcBorders>
            <w:shd w:val="clear" w:color="000000" w:fill="D4EEF6"/>
            <w:noWrap/>
            <w:vAlign w:val="bottom"/>
            <w:hideMark/>
          </w:tcPr>
          <w:p w14:paraId="5DCC45C4"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w:t>
            </w:r>
          </w:p>
        </w:tc>
        <w:tc>
          <w:tcPr>
            <w:tcW w:w="3039" w:type="dxa"/>
            <w:tcBorders>
              <w:top w:val="nil"/>
              <w:left w:val="nil"/>
              <w:bottom w:val="single" w:sz="4" w:space="0" w:color="auto"/>
              <w:right w:val="single" w:sz="4" w:space="0" w:color="auto"/>
            </w:tcBorders>
            <w:shd w:val="clear" w:color="000000" w:fill="D4EEF6"/>
            <w:noWrap/>
            <w:vAlign w:val="bottom"/>
            <w:hideMark/>
          </w:tcPr>
          <w:p w14:paraId="009D5031"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w:t>
            </w:r>
          </w:p>
        </w:tc>
      </w:tr>
      <w:tr w:rsidR="0023090D" w:rsidRPr="00135D7B" w14:paraId="5FCC11CC" w14:textId="77777777" w:rsidTr="000915FE">
        <w:trPr>
          <w:trHeight w:val="108"/>
          <w:jc w:val="center"/>
        </w:trPr>
        <w:tc>
          <w:tcPr>
            <w:tcW w:w="6337" w:type="dxa"/>
            <w:tcBorders>
              <w:top w:val="nil"/>
              <w:left w:val="single" w:sz="4" w:space="0" w:color="auto"/>
              <w:bottom w:val="single" w:sz="4" w:space="0" w:color="auto"/>
              <w:right w:val="single" w:sz="4" w:space="0" w:color="auto"/>
            </w:tcBorders>
            <w:shd w:val="clear" w:color="000000" w:fill="D4EEF6"/>
            <w:noWrap/>
            <w:vAlign w:val="bottom"/>
            <w:hideMark/>
          </w:tcPr>
          <w:p w14:paraId="38C0B98C"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lastRenderedPageBreak/>
              <w:t>2</w:t>
            </w:r>
          </w:p>
        </w:tc>
        <w:tc>
          <w:tcPr>
            <w:tcW w:w="1439" w:type="dxa"/>
            <w:tcBorders>
              <w:top w:val="nil"/>
              <w:left w:val="nil"/>
              <w:bottom w:val="single" w:sz="4" w:space="0" w:color="auto"/>
              <w:right w:val="single" w:sz="4" w:space="0" w:color="auto"/>
            </w:tcBorders>
            <w:shd w:val="clear" w:color="000000" w:fill="D4EEF6"/>
            <w:noWrap/>
            <w:vAlign w:val="bottom"/>
            <w:hideMark/>
          </w:tcPr>
          <w:p w14:paraId="549B01F1"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w:t>
            </w:r>
          </w:p>
        </w:tc>
        <w:tc>
          <w:tcPr>
            <w:tcW w:w="3039" w:type="dxa"/>
            <w:tcBorders>
              <w:top w:val="nil"/>
              <w:left w:val="nil"/>
              <w:bottom w:val="single" w:sz="4" w:space="0" w:color="auto"/>
              <w:right w:val="single" w:sz="4" w:space="0" w:color="auto"/>
            </w:tcBorders>
            <w:shd w:val="clear" w:color="000000" w:fill="D4EEF6"/>
            <w:noWrap/>
            <w:vAlign w:val="bottom"/>
            <w:hideMark/>
          </w:tcPr>
          <w:p w14:paraId="59A6670C"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12</w:t>
            </w:r>
          </w:p>
        </w:tc>
      </w:tr>
      <w:tr w:rsidR="0023090D" w:rsidRPr="00135D7B" w14:paraId="2DC0994A" w14:textId="77777777" w:rsidTr="000915FE">
        <w:trPr>
          <w:trHeight w:val="108"/>
          <w:jc w:val="center"/>
        </w:trPr>
        <w:tc>
          <w:tcPr>
            <w:tcW w:w="6337" w:type="dxa"/>
            <w:tcBorders>
              <w:top w:val="nil"/>
              <w:left w:val="single" w:sz="4" w:space="0" w:color="auto"/>
              <w:bottom w:val="single" w:sz="4" w:space="0" w:color="auto"/>
              <w:right w:val="single" w:sz="4" w:space="0" w:color="auto"/>
            </w:tcBorders>
            <w:shd w:val="clear" w:color="000000" w:fill="D4EEF6"/>
            <w:noWrap/>
            <w:vAlign w:val="bottom"/>
            <w:hideMark/>
          </w:tcPr>
          <w:p w14:paraId="32D3A22A"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3</w:t>
            </w:r>
          </w:p>
        </w:tc>
        <w:tc>
          <w:tcPr>
            <w:tcW w:w="1439" w:type="dxa"/>
            <w:tcBorders>
              <w:top w:val="nil"/>
              <w:left w:val="nil"/>
              <w:bottom w:val="single" w:sz="4" w:space="0" w:color="auto"/>
              <w:right w:val="single" w:sz="4" w:space="0" w:color="auto"/>
            </w:tcBorders>
            <w:shd w:val="clear" w:color="000000" w:fill="D4EEF6"/>
            <w:noWrap/>
            <w:vAlign w:val="bottom"/>
            <w:hideMark/>
          </w:tcPr>
          <w:p w14:paraId="7C01040A"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w:t>
            </w:r>
          </w:p>
        </w:tc>
        <w:tc>
          <w:tcPr>
            <w:tcW w:w="3039" w:type="dxa"/>
            <w:tcBorders>
              <w:top w:val="nil"/>
              <w:left w:val="nil"/>
              <w:bottom w:val="single" w:sz="4" w:space="0" w:color="auto"/>
              <w:right w:val="single" w:sz="4" w:space="0" w:color="auto"/>
            </w:tcBorders>
            <w:shd w:val="clear" w:color="000000" w:fill="D4EEF6"/>
            <w:noWrap/>
            <w:vAlign w:val="bottom"/>
            <w:hideMark/>
          </w:tcPr>
          <w:p w14:paraId="4E04EB38"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18</w:t>
            </w:r>
          </w:p>
        </w:tc>
      </w:tr>
      <w:tr w:rsidR="0023090D" w:rsidRPr="00135D7B" w14:paraId="4686CBE2" w14:textId="77777777" w:rsidTr="000915FE">
        <w:trPr>
          <w:trHeight w:val="108"/>
          <w:jc w:val="center"/>
        </w:trPr>
        <w:tc>
          <w:tcPr>
            <w:tcW w:w="6337" w:type="dxa"/>
            <w:tcBorders>
              <w:top w:val="nil"/>
              <w:left w:val="single" w:sz="4" w:space="0" w:color="auto"/>
              <w:bottom w:val="single" w:sz="4" w:space="0" w:color="auto"/>
              <w:right w:val="single" w:sz="4" w:space="0" w:color="auto"/>
            </w:tcBorders>
            <w:shd w:val="clear" w:color="000000" w:fill="D4EEF6"/>
            <w:noWrap/>
            <w:vAlign w:val="bottom"/>
            <w:hideMark/>
          </w:tcPr>
          <w:p w14:paraId="50C56C78"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4</w:t>
            </w:r>
          </w:p>
        </w:tc>
        <w:tc>
          <w:tcPr>
            <w:tcW w:w="1439" w:type="dxa"/>
            <w:tcBorders>
              <w:top w:val="nil"/>
              <w:left w:val="nil"/>
              <w:bottom w:val="single" w:sz="4" w:space="0" w:color="auto"/>
              <w:right w:val="single" w:sz="4" w:space="0" w:color="auto"/>
            </w:tcBorders>
            <w:shd w:val="clear" w:color="000000" w:fill="D4EEF6"/>
            <w:noWrap/>
            <w:vAlign w:val="bottom"/>
            <w:hideMark/>
          </w:tcPr>
          <w:p w14:paraId="40DF2776"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w:t>
            </w:r>
          </w:p>
        </w:tc>
        <w:tc>
          <w:tcPr>
            <w:tcW w:w="3039" w:type="dxa"/>
            <w:tcBorders>
              <w:top w:val="nil"/>
              <w:left w:val="nil"/>
              <w:bottom w:val="single" w:sz="4" w:space="0" w:color="auto"/>
              <w:right w:val="single" w:sz="4" w:space="0" w:color="auto"/>
            </w:tcBorders>
            <w:shd w:val="clear" w:color="000000" w:fill="D4EEF6"/>
            <w:noWrap/>
            <w:vAlign w:val="bottom"/>
            <w:hideMark/>
          </w:tcPr>
          <w:p w14:paraId="4BF9BAF9"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24</w:t>
            </w:r>
          </w:p>
        </w:tc>
      </w:tr>
      <w:tr w:rsidR="0023090D" w:rsidRPr="00135D7B" w14:paraId="1C459980" w14:textId="77777777" w:rsidTr="000915FE">
        <w:trPr>
          <w:trHeight w:val="108"/>
          <w:jc w:val="center"/>
        </w:trPr>
        <w:tc>
          <w:tcPr>
            <w:tcW w:w="6337" w:type="dxa"/>
            <w:tcBorders>
              <w:top w:val="nil"/>
              <w:left w:val="single" w:sz="4" w:space="0" w:color="auto"/>
              <w:bottom w:val="single" w:sz="4" w:space="0" w:color="auto"/>
              <w:right w:val="single" w:sz="4" w:space="0" w:color="auto"/>
            </w:tcBorders>
            <w:shd w:val="clear" w:color="000000" w:fill="D4EEF6"/>
            <w:noWrap/>
            <w:vAlign w:val="bottom"/>
            <w:hideMark/>
          </w:tcPr>
          <w:p w14:paraId="3C486662"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w:t>
            </w:r>
          </w:p>
        </w:tc>
        <w:tc>
          <w:tcPr>
            <w:tcW w:w="1439" w:type="dxa"/>
            <w:tcBorders>
              <w:top w:val="nil"/>
              <w:left w:val="nil"/>
              <w:bottom w:val="single" w:sz="4" w:space="0" w:color="auto"/>
              <w:right w:val="single" w:sz="4" w:space="0" w:color="auto"/>
            </w:tcBorders>
            <w:shd w:val="clear" w:color="000000" w:fill="D4EEF6"/>
            <w:noWrap/>
            <w:vAlign w:val="bottom"/>
            <w:hideMark/>
          </w:tcPr>
          <w:p w14:paraId="408C89CE"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w:t>
            </w:r>
          </w:p>
        </w:tc>
        <w:tc>
          <w:tcPr>
            <w:tcW w:w="3039" w:type="dxa"/>
            <w:tcBorders>
              <w:top w:val="nil"/>
              <w:left w:val="nil"/>
              <w:bottom w:val="single" w:sz="4" w:space="0" w:color="auto"/>
              <w:right w:val="single" w:sz="4" w:space="0" w:color="auto"/>
            </w:tcBorders>
            <w:shd w:val="clear" w:color="000000" w:fill="D4EEF6"/>
            <w:noWrap/>
            <w:vAlign w:val="bottom"/>
            <w:hideMark/>
          </w:tcPr>
          <w:p w14:paraId="6A8F7342"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30</w:t>
            </w:r>
          </w:p>
        </w:tc>
      </w:tr>
      <w:tr w:rsidR="0023090D" w:rsidRPr="00135D7B" w14:paraId="6D8E062B" w14:textId="77777777" w:rsidTr="000915FE">
        <w:trPr>
          <w:trHeight w:val="108"/>
          <w:jc w:val="center"/>
        </w:trPr>
        <w:tc>
          <w:tcPr>
            <w:tcW w:w="6337" w:type="dxa"/>
            <w:tcBorders>
              <w:top w:val="nil"/>
              <w:left w:val="single" w:sz="4" w:space="0" w:color="auto"/>
              <w:bottom w:val="single" w:sz="4" w:space="0" w:color="auto"/>
              <w:right w:val="single" w:sz="4" w:space="0" w:color="auto"/>
            </w:tcBorders>
            <w:shd w:val="clear" w:color="000000" w:fill="D4EEF6"/>
            <w:noWrap/>
            <w:vAlign w:val="bottom"/>
            <w:hideMark/>
          </w:tcPr>
          <w:p w14:paraId="351E73E8"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Investment to recover</w:t>
            </w:r>
          </w:p>
        </w:tc>
        <w:tc>
          <w:tcPr>
            <w:tcW w:w="1439" w:type="dxa"/>
            <w:tcBorders>
              <w:top w:val="nil"/>
              <w:left w:val="nil"/>
              <w:bottom w:val="single" w:sz="4" w:space="0" w:color="auto"/>
              <w:right w:val="single" w:sz="4" w:space="0" w:color="auto"/>
            </w:tcBorders>
            <w:shd w:val="clear" w:color="000000" w:fill="D4EEF6"/>
            <w:noWrap/>
            <w:vAlign w:val="bottom"/>
            <w:hideMark/>
          </w:tcPr>
          <w:p w14:paraId="6C514BCB"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30</w:t>
            </w:r>
          </w:p>
        </w:tc>
        <w:tc>
          <w:tcPr>
            <w:tcW w:w="3039" w:type="dxa"/>
            <w:tcBorders>
              <w:top w:val="nil"/>
              <w:left w:val="nil"/>
              <w:bottom w:val="nil"/>
              <w:right w:val="nil"/>
            </w:tcBorders>
            <w:noWrap/>
            <w:vAlign w:val="bottom"/>
            <w:hideMark/>
          </w:tcPr>
          <w:p w14:paraId="05D593A6" w14:textId="77777777" w:rsidR="0023090D" w:rsidRPr="00135D7B" w:rsidRDefault="0023090D" w:rsidP="000915FE">
            <w:pPr>
              <w:spacing w:after="0" w:line="240" w:lineRule="auto"/>
              <w:jc w:val="right"/>
              <w:rPr>
                <w:rFonts w:cs="Arial"/>
                <w:color w:val="000000"/>
                <w:szCs w:val="24"/>
                <w:lang w:val="en-GB"/>
              </w:rPr>
            </w:pPr>
          </w:p>
        </w:tc>
      </w:tr>
      <w:tr w:rsidR="0023090D" w:rsidRPr="00135D7B" w14:paraId="7A3417B7" w14:textId="77777777" w:rsidTr="000915FE">
        <w:trPr>
          <w:trHeight w:val="108"/>
          <w:jc w:val="center"/>
        </w:trPr>
        <w:tc>
          <w:tcPr>
            <w:tcW w:w="6337" w:type="dxa"/>
            <w:tcBorders>
              <w:top w:val="nil"/>
              <w:left w:val="single" w:sz="4" w:space="0" w:color="auto"/>
              <w:bottom w:val="single" w:sz="4" w:space="0" w:color="auto"/>
              <w:right w:val="single" w:sz="4" w:space="0" w:color="auto"/>
            </w:tcBorders>
            <w:shd w:val="clear" w:color="000000" w:fill="D4EEF6"/>
            <w:noWrap/>
            <w:vAlign w:val="bottom"/>
            <w:hideMark/>
          </w:tcPr>
          <w:p w14:paraId="7C8F88AB"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 xml:space="preserve">In the 5th year, the </w:t>
            </w:r>
            <w:r w:rsidRPr="00095284">
              <w:rPr>
                <w:rFonts w:cs="Arial"/>
                <w:b/>
                <w:bCs/>
                <w:color w:val="000000"/>
                <w:szCs w:val="24"/>
                <w:lang w:val="en-GB"/>
              </w:rPr>
              <w:t>investment</w:t>
            </w:r>
            <w:r w:rsidRPr="00135D7B">
              <w:rPr>
                <w:rFonts w:cs="Arial"/>
                <w:b/>
                <w:bCs/>
                <w:color w:val="000000"/>
                <w:szCs w:val="24"/>
                <w:lang w:val="en-GB"/>
              </w:rPr>
              <w:t xml:space="preserve"> fully recovered</w:t>
            </w:r>
          </w:p>
        </w:tc>
        <w:tc>
          <w:tcPr>
            <w:tcW w:w="1439" w:type="dxa"/>
            <w:tcBorders>
              <w:top w:val="nil"/>
              <w:left w:val="nil"/>
              <w:bottom w:val="single" w:sz="4" w:space="0" w:color="auto"/>
              <w:right w:val="single" w:sz="4" w:space="0" w:color="auto"/>
            </w:tcBorders>
            <w:shd w:val="clear" w:color="000000" w:fill="D4EEF6"/>
            <w:noWrap/>
            <w:vAlign w:val="bottom"/>
            <w:hideMark/>
          </w:tcPr>
          <w:p w14:paraId="297AFB70"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c>
          <w:tcPr>
            <w:tcW w:w="3039" w:type="dxa"/>
            <w:tcBorders>
              <w:top w:val="nil"/>
              <w:left w:val="nil"/>
              <w:bottom w:val="nil"/>
              <w:right w:val="nil"/>
            </w:tcBorders>
            <w:noWrap/>
            <w:vAlign w:val="bottom"/>
            <w:hideMark/>
          </w:tcPr>
          <w:p w14:paraId="6E0CC024" w14:textId="77777777" w:rsidR="0023090D" w:rsidRPr="00135D7B" w:rsidRDefault="0023090D" w:rsidP="000915FE">
            <w:pPr>
              <w:spacing w:after="0" w:line="240" w:lineRule="auto"/>
              <w:jc w:val="left"/>
              <w:rPr>
                <w:rFonts w:cs="Arial"/>
                <w:color w:val="000000"/>
                <w:szCs w:val="24"/>
                <w:lang w:val="en-GB"/>
              </w:rPr>
            </w:pPr>
          </w:p>
        </w:tc>
      </w:tr>
      <w:tr w:rsidR="0023090D" w:rsidRPr="00135D7B" w14:paraId="320D7AFD" w14:textId="77777777" w:rsidTr="000915FE">
        <w:trPr>
          <w:trHeight w:val="108"/>
          <w:jc w:val="center"/>
        </w:trPr>
        <w:tc>
          <w:tcPr>
            <w:tcW w:w="6337" w:type="dxa"/>
            <w:tcBorders>
              <w:top w:val="nil"/>
              <w:left w:val="single" w:sz="4" w:space="0" w:color="auto"/>
              <w:bottom w:val="single" w:sz="4" w:space="0" w:color="auto"/>
              <w:right w:val="single" w:sz="4" w:space="0" w:color="auto"/>
            </w:tcBorders>
            <w:shd w:val="clear" w:color="000000" w:fill="D4EEF6"/>
            <w:noWrap/>
            <w:vAlign w:val="bottom"/>
            <w:hideMark/>
          </w:tcPr>
          <w:p w14:paraId="3B7EC463"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PBP</w:t>
            </w:r>
          </w:p>
        </w:tc>
        <w:tc>
          <w:tcPr>
            <w:tcW w:w="1439" w:type="dxa"/>
            <w:tcBorders>
              <w:top w:val="nil"/>
              <w:left w:val="nil"/>
              <w:bottom w:val="single" w:sz="4" w:space="0" w:color="auto"/>
              <w:right w:val="single" w:sz="4" w:space="0" w:color="auto"/>
            </w:tcBorders>
            <w:shd w:val="clear" w:color="000000" w:fill="D4EEF6"/>
            <w:noWrap/>
            <w:vAlign w:val="bottom"/>
            <w:hideMark/>
          </w:tcPr>
          <w:p w14:paraId="0940DC04"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w:t>
            </w:r>
          </w:p>
        </w:tc>
        <w:tc>
          <w:tcPr>
            <w:tcW w:w="3039" w:type="dxa"/>
            <w:tcBorders>
              <w:top w:val="nil"/>
              <w:left w:val="nil"/>
              <w:bottom w:val="nil"/>
              <w:right w:val="nil"/>
            </w:tcBorders>
            <w:noWrap/>
            <w:vAlign w:val="bottom"/>
            <w:hideMark/>
          </w:tcPr>
          <w:p w14:paraId="184534F6" w14:textId="77777777" w:rsidR="0023090D" w:rsidRPr="00135D7B" w:rsidRDefault="0023090D" w:rsidP="000915FE">
            <w:pPr>
              <w:spacing w:after="0" w:line="240" w:lineRule="auto"/>
              <w:jc w:val="right"/>
              <w:rPr>
                <w:rFonts w:cs="Arial"/>
                <w:color w:val="000000"/>
                <w:szCs w:val="24"/>
                <w:lang w:val="en-GB"/>
              </w:rPr>
            </w:pPr>
          </w:p>
        </w:tc>
      </w:tr>
    </w:tbl>
    <w:p w14:paraId="4A340989" w14:textId="77777777" w:rsidR="0023090D" w:rsidRPr="00095284" w:rsidRDefault="0023090D" w:rsidP="0023090D">
      <w:pPr>
        <w:rPr>
          <w:rFonts w:cs="Arial"/>
          <w:szCs w:val="24"/>
          <w:lang w:val="en-GB"/>
        </w:rPr>
      </w:pPr>
    </w:p>
    <w:tbl>
      <w:tblPr>
        <w:tblW w:w="11155" w:type="dxa"/>
        <w:jc w:val="center"/>
        <w:tblLook w:val="04A0" w:firstRow="1" w:lastRow="0" w:firstColumn="1" w:lastColumn="0" w:noHBand="0" w:noVBand="1"/>
      </w:tblPr>
      <w:tblGrid>
        <w:gridCol w:w="3927"/>
        <w:gridCol w:w="4765"/>
        <w:gridCol w:w="2463"/>
      </w:tblGrid>
      <w:tr w:rsidR="0023090D" w:rsidRPr="00135D7B" w14:paraId="5032F472" w14:textId="77777777" w:rsidTr="000915FE">
        <w:trPr>
          <w:trHeight w:val="407"/>
          <w:jc w:val="center"/>
        </w:trPr>
        <w:tc>
          <w:tcPr>
            <w:tcW w:w="11155" w:type="dxa"/>
            <w:gridSpan w:val="3"/>
            <w:tcBorders>
              <w:top w:val="nil"/>
              <w:left w:val="nil"/>
              <w:bottom w:val="nil"/>
              <w:right w:val="nil"/>
            </w:tcBorders>
            <w:shd w:val="clear" w:color="000000" w:fill="62ECEC"/>
            <w:noWrap/>
            <w:vAlign w:val="bottom"/>
            <w:hideMark/>
          </w:tcPr>
          <w:p w14:paraId="495EAD80"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ARR</w:t>
            </w:r>
          </w:p>
        </w:tc>
      </w:tr>
      <w:tr w:rsidR="0023090D" w:rsidRPr="00135D7B" w14:paraId="2B1ECED2" w14:textId="77777777" w:rsidTr="000915FE">
        <w:trPr>
          <w:trHeight w:val="407"/>
          <w:jc w:val="center"/>
        </w:trPr>
        <w:tc>
          <w:tcPr>
            <w:tcW w:w="3927" w:type="dxa"/>
            <w:tcBorders>
              <w:top w:val="single" w:sz="4" w:space="0" w:color="auto"/>
              <w:left w:val="single" w:sz="4" w:space="0" w:color="auto"/>
              <w:bottom w:val="single" w:sz="4" w:space="0" w:color="auto"/>
              <w:right w:val="single" w:sz="4" w:space="0" w:color="auto"/>
            </w:tcBorders>
            <w:shd w:val="clear" w:color="000000" w:fill="D4EEF6"/>
            <w:noWrap/>
            <w:vAlign w:val="bottom"/>
            <w:hideMark/>
          </w:tcPr>
          <w:p w14:paraId="4DD8974C"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depreciation</w:t>
            </w:r>
          </w:p>
        </w:tc>
        <w:tc>
          <w:tcPr>
            <w:tcW w:w="4765" w:type="dxa"/>
            <w:tcBorders>
              <w:top w:val="single" w:sz="4" w:space="0" w:color="auto"/>
              <w:left w:val="nil"/>
              <w:bottom w:val="single" w:sz="4" w:space="0" w:color="auto"/>
              <w:right w:val="single" w:sz="4" w:space="0" w:color="auto"/>
            </w:tcBorders>
            <w:shd w:val="clear" w:color="000000" w:fill="D4EEF6"/>
            <w:vAlign w:val="bottom"/>
            <w:hideMark/>
          </w:tcPr>
          <w:p w14:paraId="09312F4E"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straight-line depreciation to zero</w:t>
            </w:r>
          </w:p>
        </w:tc>
        <w:tc>
          <w:tcPr>
            <w:tcW w:w="2462" w:type="dxa"/>
            <w:tcBorders>
              <w:top w:val="nil"/>
              <w:left w:val="nil"/>
              <w:bottom w:val="nil"/>
              <w:right w:val="nil"/>
            </w:tcBorders>
            <w:noWrap/>
            <w:vAlign w:val="bottom"/>
            <w:hideMark/>
          </w:tcPr>
          <w:p w14:paraId="3EF07E01" w14:textId="77777777" w:rsidR="0023090D" w:rsidRPr="00135D7B" w:rsidRDefault="0023090D" w:rsidP="000915FE">
            <w:pPr>
              <w:spacing w:after="0" w:line="240" w:lineRule="auto"/>
              <w:jc w:val="left"/>
              <w:rPr>
                <w:rFonts w:cs="Arial"/>
                <w:b/>
                <w:bCs/>
                <w:color w:val="000000"/>
                <w:szCs w:val="24"/>
                <w:lang w:val="en-GB"/>
              </w:rPr>
            </w:pPr>
          </w:p>
        </w:tc>
      </w:tr>
      <w:tr w:rsidR="0023090D" w:rsidRPr="00135D7B" w14:paraId="70F3CA95" w14:textId="77777777" w:rsidTr="000915FE">
        <w:trPr>
          <w:trHeight w:val="407"/>
          <w:jc w:val="center"/>
        </w:trPr>
        <w:tc>
          <w:tcPr>
            <w:tcW w:w="3927" w:type="dxa"/>
            <w:tcBorders>
              <w:top w:val="nil"/>
              <w:left w:val="single" w:sz="4" w:space="0" w:color="auto"/>
              <w:bottom w:val="single" w:sz="4" w:space="0" w:color="auto"/>
              <w:right w:val="single" w:sz="4" w:space="0" w:color="auto"/>
            </w:tcBorders>
            <w:shd w:val="clear" w:color="000000" w:fill="D4EEF6"/>
            <w:noWrap/>
            <w:vAlign w:val="bottom"/>
            <w:hideMark/>
          </w:tcPr>
          <w:p w14:paraId="57F11BB0"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Initial investment £m</w:t>
            </w:r>
          </w:p>
        </w:tc>
        <w:tc>
          <w:tcPr>
            <w:tcW w:w="4765" w:type="dxa"/>
            <w:tcBorders>
              <w:top w:val="nil"/>
              <w:left w:val="nil"/>
              <w:bottom w:val="single" w:sz="4" w:space="0" w:color="auto"/>
              <w:right w:val="single" w:sz="4" w:space="0" w:color="auto"/>
            </w:tcBorders>
            <w:shd w:val="clear" w:color="000000" w:fill="D4EEF6"/>
            <w:noWrap/>
            <w:vAlign w:val="bottom"/>
            <w:hideMark/>
          </w:tcPr>
          <w:p w14:paraId="57C02121"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30</w:t>
            </w:r>
          </w:p>
        </w:tc>
        <w:tc>
          <w:tcPr>
            <w:tcW w:w="2462" w:type="dxa"/>
            <w:tcBorders>
              <w:top w:val="nil"/>
              <w:left w:val="nil"/>
              <w:bottom w:val="nil"/>
              <w:right w:val="nil"/>
            </w:tcBorders>
            <w:noWrap/>
            <w:vAlign w:val="bottom"/>
            <w:hideMark/>
          </w:tcPr>
          <w:p w14:paraId="00C3C1F0" w14:textId="77777777" w:rsidR="0023090D" w:rsidRPr="00135D7B" w:rsidRDefault="0023090D" w:rsidP="000915FE">
            <w:pPr>
              <w:spacing w:after="0" w:line="240" w:lineRule="auto"/>
              <w:jc w:val="right"/>
              <w:rPr>
                <w:rFonts w:cs="Arial"/>
                <w:color w:val="000000"/>
                <w:szCs w:val="24"/>
                <w:lang w:val="en-GB"/>
              </w:rPr>
            </w:pPr>
          </w:p>
        </w:tc>
      </w:tr>
      <w:tr w:rsidR="0023090D" w:rsidRPr="00135D7B" w14:paraId="6E12A2EE" w14:textId="77777777" w:rsidTr="000915FE">
        <w:trPr>
          <w:trHeight w:val="407"/>
          <w:jc w:val="center"/>
        </w:trPr>
        <w:tc>
          <w:tcPr>
            <w:tcW w:w="3927" w:type="dxa"/>
            <w:tcBorders>
              <w:top w:val="nil"/>
              <w:left w:val="single" w:sz="4" w:space="0" w:color="auto"/>
              <w:bottom w:val="single" w:sz="4" w:space="0" w:color="auto"/>
              <w:right w:val="single" w:sz="4" w:space="0" w:color="auto"/>
            </w:tcBorders>
            <w:shd w:val="clear" w:color="000000" w:fill="D4EEF6"/>
            <w:noWrap/>
            <w:vAlign w:val="bottom"/>
            <w:hideMark/>
          </w:tcPr>
          <w:p w14:paraId="53AFB163"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Years</w:t>
            </w:r>
          </w:p>
        </w:tc>
        <w:tc>
          <w:tcPr>
            <w:tcW w:w="4765" w:type="dxa"/>
            <w:tcBorders>
              <w:top w:val="nil"/>
              <w:left w:val="nil"/>
              <w:bottom w:val="single" w:sz="4" w:space="0" w:color="auto"/>
              <w:right w:val="single" w:sz="4" w:space="0" w:color="auto"/>
            </w:tcBorders>
            <w:shd w:val="clear" w:color="000000" w:fill="D4EEF6"/>
            <w:noWrap/>
            <w:vAlign w:val="bottom"/>
            <w:hideMark/>
          </w:tcPr>
          <w:p w14:paraId="163500B4"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w:t>
            </w:r>
          </w:p>
        </w:tc>
        <w:tc>
          <w:tcPr>
            <w:tcW w:w="2462" w:type="dxa"/>
            <w:tcBorders>
              <w:top w:val="nil"/>
              <w:left w:val="nil"/>
              <w:bottom w:val="nil"/>
              <w:right w:val="nil"/>
            </w:tcBorders>
            <w:noWrap/>
            <w:vAlign w:val="bottom"/>
            <w:hideMark/>
          </w:tcPr>
          <w:p w14:paraId="0A68B5C9" w14:textId="77777777" w:rsidR="0023090D" w:rsidRPr="00135D7B" w:rsidRDefault="0023090D" w:rsidP="000915FE">
            <w:pPr>
              <w:spacing w:after="0" w:line="240" w:lineRule="auto"/>
              <w:jc w:val="right"/>
              <w:rPr>
                <w:rFonts w:cs="Arial"/>
                <w:color w:val="000000"/>
                <w:szCs w:val="24"/>
                <w:lang w:val="en-GB"/>
              </w:rPr>
            </w:pPr>
          </w:p>
        </w:tc>
      </w:tr>
      <w:tr w:rsidR="0023090D" w:rsidRPr="00135D7B" w14:paraId="63A42065" w14:textId="77777777" w:rsidTr="000915FE">
        <w:trPr>
          <w:trHeight w:val="407"/>
          <w:jc w:val="center"/>
        </w:trPr>
        <w:tc>
          <w:tcPr>
            <w:tcW w:w="3927" w:type="dxa"/>
            <w:tcBorders>
              <w:top w:val="nil"/>
              <w:left w:val="single" w:sz="4" w:space="0" w:color="auto"/>
              <w:bottom w:val="single" w:sz="4" w:space="0" w:color="auto"/>
              <w:right w:val="single" w:sz="4" w:space="0" w:color="auto"/>
            </w:tcBorders>
            <w:shd w:val="clear" w:color="000000" w:fill="D4EEF6"/>
            <w:noWrap/>
            <w:vAlign w:val="bottom"/>
            <w:hideMark/>
          </w:tcPr>
          <w:p w14:paraId="5C01662B"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Annual depreciation</w:t>
            </w:r>
          </w:p>
        </w:tc>
        <w:tc>
          <w:tcPr>
            <w:tcW w:w="4765" w:type="dxa"/>
            <w:tcBorders>
              <w:top w:val="nil"/>
              <w:left w:val="nil"/>
              <w:bottom w:val="single" w:sz="4" w:space="0" w:color="auto"/>
              <w:right w:val="single" w:sz="4" w:space="0" w:color="auto"/>
            </w:tcBorders>
            <w:shd w:val="clear" w:color="000000" w:fill="D4EEF6"/>
            <w:noWrap/>
            <w:vAlign w:val="bottom"/>
            <w:hideMark/>
          </w:tcPr>
          <w:p w14:paraId="3CB95411"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w:t>
            </w:r>
          </w:p>
        </w:tc>
        <w:tc>
          <w:tcPr>
            <w:tcW w:w="2462" w:type="dxa"/>
            <w:tcBorders>
              <w:top w:val="nil"/>
              <w:left w:val="nil"/>
              <w:bottom w:val="nil"/>
              <w:right w:val="nil"/>
            </w:tcBorders>
            <w:noWrap/>
            <w:vAlign w:val="bottom"/>
            <w:hideMark/>
          </w:tcPr>
          <w:p w14:paraId="2CDADEDA" w14:textId="77777777" w:rsidR="0023090D" w:rsidRPr="00135D7B" w:rsidRDefault="0023090D" w:rsidP="000915FE">
            <w:pPr>
              <w:spacing w:after="0" w:line="240" w:lineRule="auto"/>
              <w:jc w:val="right"/>
              <w:rPr>
                <w:rFonts w:cs="Arial"/>
                <w:color w:val="000000"/>
                <w:szCs w:val="24"/>
                <w:lang w:val="en-GB"/>
              </w:rPr>
            </w:pPr>
          </w:p>
        </w:tc>
      </w:tr>
      <w:tr w:rsidR="0023090D" w:rsidRPr="00135D7B" w14:paraId="171499A7" w14:textId="77777777" w:rsidTr="000915FE">
        <w:trPr>
          <w:trHeight w:val="407"/>
          <w:jc w:val="center"/>
        </w:trPr>
        <w:tc>
          <w:tcPr>
            <w:tcW w:w="3927" w:type="dxa"/>
            <w:tcBorders>
              <w:top w:val="nil"/>
              <w:left w:val="single" w:sz="4" w:space="0" w:color="auto"/>
              <w:bottom w:val="single" w:sz="4" w:space="0" w:color="auto"/>
              <w:right w:val="single" w:sz="4" w:space="0" w:color="auto"/>
            </w:tcBorders>
            <w:shd w:val="clear" w:color="000000" w:fill="D4EEF6"/>
            <w:noWrap/>
            <w:vAlign w:val="bottom"/>
            <w:hideMark/>
          </w:tcPr>
          <w:p w14:paraId="2A7B9C4F"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Year</w:t>
            </w:r>
          </w:p>
        </w:tc>
        <w:tc>
          <w:tcPr>
            <w:tcW w:w="4765" w:type="dxa"/>
            <w:tcBorders>
              <w:top w:val="nil"/>
              <w:left w:val="nil"/>
              <w:bottom w:val="single" w:sz="4" w:space="0" w:color="auto"/>
              <w:right w:val="single" w:sz="4" w:space="0" w:color="auto"/>
            </w:tcBorders>
            <w:shd w:val="clear" w:color="000000" w:fill="D4EEF6"/>
            <w:noWrap/>
            <w:vAlign w:val="bottom"/>
            <w:hideMark/>
          </w:tcPr>
          <w:p w14:paraId="63283F77"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 xml:space="preserve">Cashflow </w:t>
            </w:r>
          </w:p>
        </w:tc>
        <w:tc>
          <w:tcPr>
            <w:tcW w:w="2462" w:type="dxa"/>
            <w:tcBorders>
              <w:top w:val="single" w:sz="4" w:space="0" w:color="auto"/>
              <w:left w:val="nil"/>
              <w:bottom w:val="single" w:sz="4" w:space="0" w:color="auto"/>
              <w:right w:val="single" w:sz="4" w:space="0" w:color="auto"/>
            </w:tcBorders>
            <w:shd w:val="clear" w:color="000000" w:fill="D4EEF6"/>
            <w:noWrap/>
            <w:vAlign w:val="bottom"/>
            <w:hideMark/>
          </w:tcPr>
          <w:p w14:paraId="1A179DFC"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Profit</w:t>
            </w:r>
          </w:p>
        </w:tc>
      </w:tr>
      <w:tr w:rsidR="0023090D" w:rsidRPr="00135D7B" w14:paraId="2632F5CB" w14:textId="77777777" w:rsidTr="000915FE">
        <w:trPr>
          <w:trHeight w:val="407"/>
          <w:jc w:val="center"/>
        </w:trPr>
        <w:tc>
          <w:tcPr>
            <w:tcW w:w="3927" w:type="dxa"/>
            <w:tcBorders>
              <w:top w:val="nil"/>
              <w:left w:val="single" w:sz="4" w:space="0" w:color="auto"/>
              <w:bottom w:val="single" w:sz="4" w:space="0" w:color="auto"/>
              <w:right w:val="single" w:sz="4" w:space="0" w:color="auto"/>
            </w:tcBorders>
            <w:shd w:val="clear" w:color="000000" w:fill="D4EEF6"/>
            <w:noWrap/>
            <w:vAlign w:val="bottom"/>
            <w:hideMark/>
          </w:tcPr>
          <w:p w14:paraId="0C574BA0"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w:t>
            </w:r>
          </w:p>
        </w:tc>
        <w:tc>
          <w:tcPr>
            <w:tcW w:w="4765" w:type="dxa"/>
            <w:tcBorders>
              <w:top w:val="nil"/>
              <w:left w:val="nil"/>
              <w:bottom w:val="single" w:sz="4" w:space="0" w:color="auto"/>
              <w:right w:val="single" w:sz="4" w:space="0" w:color="auto"/>
            </w:tcBorders>
            <w:shd w:val="clear" w:color="000000" w:fill="D4EEF6"/>
            <w:noWrap/>
            <w:vAlign w:val="bottom"/>
            <w:hideMark/>
          </w:tcPr>
          <w:p w14:paraId="0BFCF632"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w:t>
            </w:r>
          </w:p>
        </w:tc>
        <w:tc>
          <w:tcPr>
            <w:tcW w:w="2462" w:type="dxa"/>
            <w:tcBorders>
              <w:top w:val="nil"/>
              <w:left w:val="nil"/>
              <w:bottom w:val="single" w:sz="4" w:space="0" w:color="auto"/>
              <w:right w:val="single" w:sz="4" w:space="0" w:color="auto"/>
            </w:tcBorders>
            <w:shd w:val="clear" w:color="000000" w:fill="D4EEF6"/>
            <w:noWrap/>
            <w:vAlign w:val="bottom"/>
            <w:hideMark/>
          </w:tcPr>
          <w:p w14:paraId="027D9111"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w:t>
            </w:r>
          </w:p>
        </w:tc>
      </w:tr>
      <w:tr w:rsidR="0023090D" w:rsidRPr="00135D7B" w14:paraId="4496537D" w14:textId="77777777" w:rsidTr="000915FE">
        <w:trPr>
          <w:trHeight w:val="407"/>
          <w:jc w:val="center"/>
        </w:trPr>
        <w:tc>
          <w:tcPr>
            <w:tcW w:w="3927" w:type="dxa"/>
            <w:tcBorders>
              <w:top w:val="nil"/>
              <w:left w:val="single" w:sz="4" w:space="0" w:color="auto"/>
              <w:bottom w:val="single" w:sz="4" w:space="0" w:color="auto"/>
              <w:right w:val="single" w:sz="4" w:space="0" w:color="auto"/>
            </w:tcBorders>
            <w:shd w:val="clear" w:color="000000" w:fill="D4EEF6"/>
            <w:noWrap/>
            <w:vAlign w:val="bottom"/>
            <w:hideMark/>
          </w:tcPr>
          <w:p w14:paraId="0C0C4491"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2</w:t>
            </w:r>
          </w:p>
        </w:tc>
        <w:tc>
          <w:tcPr>
            <w:tcW w:w="4765" w:type="dxa"/>
            <w:tcBorders>
              <w:top w:val="nil"/>
              <w:left w:val="nil"/>
              <w:bottom w:val="single" w:sz="4" w:space="0" w:color="auto"/>
              <w:right w:val="single" w:sz="4" w:space="0" w:color="auto"/>
            </w:tcBorders>
            <w:shd w:val="clear" w:color="000000" w:fill="D4EEF6"/>
            <w:noWrap/>
            <w:vAlign w:val="bottom"/>
            <w:hideMark/>
          </w:tcPr>
          <w:p w14:paraId="4DAF34A9"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w:t>
            </w:r>
          </w:p>
        </w:tc>
        <w:tc>
          <w:tcPr>
            <w:tcW w:w="2462" w:type="dxa"/>
            <w:tcBorders>
              <w:top w:val="nil"/>
              <w:left w:val="nil"/>
              <w:bottom w:val="single" w:sz="4" w:space="0" w:color="auto"/>
              <w:right w:val="single" w:sz="4" w:space="0" w:color="auto"/>
            </w:tcBorders>
            <w:shd w:val="clear" w:color="000000" w:fill="D4EEF6"/>
            <w:noWrap/>
            <w:vAlign w:val="bottom"/>
            <w:hideMark/>
          </w:tcPr>
          <w:p w14:paraId="558403E5"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w:t>
            </w:r>
          </w:p>
        </w:tc>
      </w:tr>
      <w:tr w:rsidR="0023090D" w:rsidRPr="00135D7B" w14:paraId="20F57435" w14:textId="77777777" w:rsidTr="000915FE">
        <w:trPr>
          <w:trHeight w:val="407"/>
          <w:jc w:val="center"/>
        </w:trPr>
        <w:tc>
          <w:tcPr>
            <w:tcW w:w="3927" w:type="dxa"/>
            <w:tcBorders>
              <w:top w:val="nil"/>
              <w:left w:val="single" w:sz="4" w:space="0" w:color="auto"/>
              <w:bottom w:val="single" w:sz="4" w:space="0" w:color="auto"/>
              <w:right w:val="single" w:sz="4" w:space="0" w:color="auto"/>
            </w:tcBorders>
            <w:shd w:val="clear" w:color="000000" w:fill="D4EEF6"/>
            <w:noWrap/>
            <w:vAlign w:val="bottom"/>
            <w:hideMark/>
          </w:tcPr>
          <w:p w14:paraId="560DC072"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3</w:t>
            </w:r>
          </w:p>
        </w:tc>
        <w:tc>
          <w:tcPr>
            <w:tcW w:w="4765" w:type="dxa"/>
            <w:tcBorders>
              <w:top w:val="nil"/>
              <w:left w:val="nil"/>
              <w:bottom w:val="single" w:sz="4" w:space="0" w:color="auto"/>
              <w:right w:val="single" w:sz="4" w:space="0" w:color="auto"/>
            </w:tcBorders>
            <w:shd w:val="clear" w:color="000000" w:fill="D4EEF6"/>
            <w:noWrap/>
            <w:vAlign w:val="bottom"/>
            <w:hideMark/>
          </w:tcPr>
          <w:p w14:paraId="689CADAD"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w:t>
            </w:r>
          </w:p>
        </w:tc>
        <w:tc>
          <w:tcPr>
            <w:tcW w:w="2462" w:type="dxa"/>
            <w:tcBorders>
              <w:top w:val="nil"/>
              <w:left w:val="nil"/>
              <w:bottom w:val="single" w:sz="4" w:space="0" w:color="auto"/>
              <w:right w:val="single" w:sz="4" w:space="0" w:color="auto"/>
            </w:tcBorders>
            <w:shd w:val="clear" w:color="000000" w:fill="D4EEF6"/>
            <w:noWrap/>
            <w:vAlign w:val="bottom"/>
            <w:hideMark/>
          </w:tcPr>
          <w:p w14:paraId="5DBFC500"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w:t>
            </w:r>
          </w:p>
        </w:tc>
      </w:tr>
      <w:tr w:rsidR="0023090D" w:rsidRPr="00135D7B" w14:paraId="71963259" w14:textId="77777777" w:rsidTr="000915FE">
        <w:trPr>
          <w:trHeight w:val="407"/>
          <w:jc w:val="center"/>
        </w:trPr>
        <w:tc>
          <w:tcPr>
            <w:tcW w:w="3927" w:type="dxa"/>
            <w:tcBorders>
              <w:top w:val="nil"/>
              <w:left w:val="single" w:sz="4" w:space="0" w:color="auto"/>
              <w:bottom w:val="single" w:sz="4" w:space="0" w:color="auto"/>
              <w:right w:val="single" w:sz="4" w:space="0" w:color="auto"/>
            </w:tcBorders>
            <w:shd w:val="clear" w:color="000000" w:fill="D4EEF6"/>
            <w:noWrap/>
            <w:vAlign w:val="bottom"/>
            <w:hideMark/>
          </w:tcPr>
          <w:p w14:paraId="0377DB9E"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4</w:t>
            </w:r>
          </w:p>
        </w:tc>
        <w:tc>
          <w:tcPr>
            <w:tcW w:w="4765" w:type="dxa"/>
            <w:tcBorders>
              <w:top w:val="nil"/>
              <w:left w:val="nil"/>
              <w:bottom w:val="single" w:sz="4" w:space="0" w:color="auto"/>
              <w:right w:val="single" w:sz="4" w:space="0" w:color="auto"/>
            </w:tcBorders>
            <w:shd w:val="clear" w:color="000000" w:fill="D4EEF6"/>
            <w:noWrap/>
            <w:vAlign w:val="bottom"/>
            <w:hideMark/>
          </w:tcPr>
          <w:p w14:paraId="2830DF04"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w:t>
            </w:r>
          </w:p>
        </w:tc>
        <w:tc>
          <w:tcPr>
            <w:tcW w:w="2462" w:type="dxa"/>
            <w:tcBorders>
              <w:top w:val="nil"/>
              <w:left w:val="nil"/>
              <w:bottom w:val="single" w:sz="4" w:space="0" w:color="auto"/>
              <w:right w:val="single" w:sz="4" w:space="0" w:color="auto"/>
            </w:tcBorders>
            <w:shd w:val="clear" w:color="000000" w:fill="D4EEF6"/>
            <w:noWrap/>
            <w:vAlign w:val="bottom"/>
            <w:hideMark/>
          </w:tcPr>
          <w:p w14:paraId="75E87324"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w:t>
            </w:r>
          </w:p>
        </w:tc>
      </w:tr>
      <w:tr w:rsidR="0023090D" w:rsidRPr="00135D7B" w14:paraId="3BE9FC42" w14:textId="77777777" w:rsidTr="000915FE">
        <w:trPr>
          <w:trHeight w:val="407"/>
          <w:jc w:val="center"/>
        </w:trPr>
        <w:tc>
          <w:tcPr>
            <w:tcW w:w="3927" w:type="dxa"/>
            <w:tcBorders>
              <w:top w:val="nil"/>
              <w:left w:val="single" w:sz="4" w:space="0" w:color="auto"/>
              <w:bottom w:val="single" w:sz="4" w:space="0" w:color="auto"/>
              <w:right w:val="single" w:sz="4" w:space="0" w:color="auto"/>
            </w:tcBorders>
            <w:shd w:val="clear" w:color="000000" w:fill="D4EEF6"/>
            <w:noWrap/>
            <w:vAlign w:val="bottom"/>
            <w:hideMark/>
          </w:tcPr>
          <w:p w14:paraId="2A166D5B"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w:t>
            </w:r>
          </w:p>
        </w:tc>
        <w:tc>
          <w:tcPr>
            <w:tcW w:w="4765" w:type="dxa"/>
            <w:tcBorders>
              <w:top w:val="nil"/>
              <w:left w:val="nil"/>
              <w:bottom w:val="single" w:sz="4" w:space="0" w:color="auto"/>
              <w:right w:val="single" w:sz="4" w:space="0" w:color="auto"/>
            </w:tcBorders>
            <w:shd w:val="clear" w:color="000000" w:fill="D4EEF6"/>
            <w:noWrap/>
            <w:vAlign w:val="bottom"/>
            <w:hideMark/>
          </w:tcPr>
          <w:p w14:paraId="396DFAA0"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w:t>
            </w:r>
          </w:p>
        </w:tc>
        <w:tc>
          <w:tcPr>
            <w:tcW w:w="2462" w:type="dxa"/>
            <w:tcBorders>
              <w:top w:val="nil"/>
              <w:left w:val="nil"/>
              <w:bottom w:val="single" w:sz="4" w:space="0" w:color="auto"/>
              <w:right w:val="single" w:sz="4" w:space="0" w:color="auto"/>
            </w:tcBorders>
            <w:shd w:val="clear" w:color="000000" w:fill="D4EEF6"/>
            <w:noWrap/>
            <w:vAlign w:val="bottom"/>
            <w:hideMark/>
          </w:tcPr>
          <w:p w14:paraId="4B34994D"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w:t>
            </w:r>
          </w:p>
        </w:tc>
      </w:tr>
      <w:tr w:rsidR="0023090D" w:rsidRPr="00135D7B" w14:paraId="605AD37C" w14:textId="77777777" w:rsidTr="000915FE">
        <w:trPr>
          <w:trHeight w:val="407"/>
          <w:jc w:val="center"/>
        </w:trPr>
        <w:tc>
          <w:tcPr>
            <w:tcW w:w="3927" w:type="dxa"/>
            <w:tcBorders>
              <w:top w:val="nil"/>
              <w:left w:val="single" w:sz="4" w:space="0" w:color="auto"/>
              <w:bottom w:val="single" w:sz="4" w:space="0" w:color="auto"/>
              <w:right w:val="single" w:sz="4" w:space="0" w:color="auto"/>
            </w:tcBorders>
            <w:shd w:val="clear" w:color="000000" w:fill="D4EEF6"/>
            <w:noWrap/>
            <w:vAlign w:val="bottom"/>
            <w:hideMark/>
          </w:tcPr>
          <w:p w14:paraId="1A7F4F4A" w14:textId="77777777" w:rsidR="0023090D" w:rsidRPr="00135D7B" w:rsidRDefault="0023090D" w:rsidP="000915FE">
            <w:pPr>
              <w:spacing w:after="0" w:line="240" w:lineRule="auto"/>
              <w:jc w:val="left"/>
              <w:rPr>
                <w:rFonts w:cs="Arial"/>
                <w:b/>
                <w:bCs/>
                <w:color w:val="000000"/>
                <w:szCs w:val="24"/>
                <w:lang w:val="en-GB"/>
              </w:rPr>
            </w:pPr>
            <w:r w:rsidRPr="00095284">
              <w:rPr>
                <w:rFonts w:cs="Arial"/>
                <w:b/>
                <w:bCs/>
                <w:color w:val="000000"/>
                <w:szCs w:val="24"/>
                <w:lang w:val="en-GB"/>
              </w:rPr>
              <w:t>Average</w:t>
            </w:r>
            <w:r w:rsidRPr="00135D7B">
              <w:rPr>
                <w:rFonts w:cs="Arial"/>
                <w:b/>
                <w:bCs/>
                <w:color w:val="000000"/>
                <w:szCs w:val="24"/>
                <w:lang w:val="en-GB"/>
              </w:rPr>
              <w:t xml:space="preserve"> Annual profit </w:t>
            </w:r>
          </w:p>
        </w:tc>
        <w:tc>
          <w:tcPr>
            <w:tcW w:w="4765" w:type="dxa"/>
            <w:tcBorders>
              <w:top w:val="nil"/>
              <w:left w:val="nil"/>
              <w:bottom w:val="single" w:sz="4" w:space="0" w:color="auto"/>
              <w:right w:val="single" w:sz="4" w:space="0" w:color="auto"/>
            </w:tcBorders>
            <w:shd w:val="clear" w:color="000000" w:fill="D4EEF6"/>
            <w:noWrap/>
            <w:vAlign w:val="bottom"/>
            <w:hideMark/>
          </w:tcPr>
          <w:p w14:paraId="21117F29"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w:t>
            </w:r>
          </w:p>
        </w:tc>
        <w:tc>
          <w:tcPr>
            <w:tcW w:w="2462" w:type="dxa"/>
            <w:tcBorders>
              <w:top w:val="nil"/>
              <w:left w:val="nil"/>
              <w:bottom w:val="single" w:sz="4" w:space="0" w:color="auto"/>
              <w:right w:val="single" w:sz="4" w:space="0" w:color="auto"/>
            </w:tcBorders>
            <w:shd w:val="clear" w:color="000000" w:fill="D4EEF6"/>
            <w:noWrap/>
            <w:vAlign w:val="bottom"/>
            <w:hideMark/>
          </w:tcPr>
          <w:p w14:paraId="374800FE"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r>
      <w:tr w:rsidR="0023090D" w:rsidRPr="00135D7B" w14:paraId="172109F1" w14:textId="77777777" w:rsidTr="000915FE">
        <w:trPr>
          <w:trHeight w:val="407"/>
          <w:jc w:val="center"/>
        </w:trPr>
        <w:tc>
          <w:tcPr>
            <w:tcW w:w="3927" w:type="dxa"/>
            <w:tcBorders>
              <w:top w:val="nil"/>
              <w:left w:val="single" w:sz="4" w:space="0" w:color="auto"/>
              <w:bottom w:val="single" w:sz="4" w:space="0" w:color="auto"/>
              <w:right w:val="single" w:sz="4" w:space="0" w:color="auto"/>
            </w:tcBorders>
            <w:shd w:val="clear" w:color="000000" w:fill="D4EEF6"/>
            <w:noWrap/>
            <w:vAlign w:val="bottom"/>
            <w:hideMark/>
          </w:tcPr>
          <w:p w14:paraId="17701344"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 xml:space="preserve">Average investment </w:t>
            </w:r>
          </w:p>
        </w:tc>
        <w:tc>
          <w:tcPr>
            <w:tcW w:w="4765" w:type="dxa"/>
            <w:tcBorders>
              <w:top w:val="nil"/>
              <w:left w:val="nil"/>
              <w:bottom w:val="single" w:sz="4" w:space="0" w:color="auto"/>
              <w:right w:val="single" w:sz="4" w:space="0" w:color="auto"/>
            </w:tcBorders>
            <w:shd w:val="clear" w:color="000000" w:fill="D4EEF6"/>
            <w:noWrap/>
            <w:vAlign w:val="bottom"/>
            <w:hideMark/>
          </w:tcPr>
          <w:p w14:paraId="419FDBAA"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15</w:t>
            </w:r>
          </w:p>
        </w:tc>
        <w:tc>
          <w:tcPr>
            <w:tcW w:w="2462" w:type="dxa"/>
            <w:tcBorders>
              <w:top w:val="nil"/>
              <w:left w:val="nil"/>
              <w:bottom w:val="single" w:sz="4" w:space="0" w:color="auto"/>
              <w:right w:val="single" w:sz="4" w:space="0" w:color="auto"/>
            </w:tcBorders>
            <w:shd w:val="clear" w:color="000000" w:fill="D4EEF6"/>
            <w:noWrap/>
            <w:vAlign w:val="bottom"/>
            <w:hideMark/>
          </w:tcPr>
          <w:p w14:paraId="2CBAD8EF"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r>
      <w:tr w:rsidR="0023090D" w:rsidRPr="00135D7B" w14:paraId="663E61DE" w14:textId="77777777" w:rsidTr="000915FE">
        <w:trPr>
          <w:trHeight w:val="407"/>
          <w:jc w:val="center"/>
        </w:trPr>
        <w:tc>
          <w:tcPr>
            <w:tcW w:w="3927" w:type="dxa"/>
            <w:tcBorders>
              <w:top w:val="nil"/>
              <w:left w:val="single" w:sz="4" w:space="0" w:color="auto"/>
              <w:bottom w:val="single" w:sz="4" w:space="0" w:color="auto"/>
              <w:right w:val="single" w:sz="4" w:space="0" w:color="auto"/>
            </w:tcBorders>
            <w:shd w:val="clear" w:color="000000" w:fill="D4EEF6"/>
            <w:noWrap/>
            <w:vAlign w:val="bottom"/>
            <w:hideMark/>
          </w:tcPr>
          <w:p w14:paraId="6987101B"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ARR</w:t>
            </w:r>
          </w:p>
        </w:tc>
        <w:tc>
          <w:tcPr>
            <w:tcW w:w="4765" w:type="dxa"/>
            <w:tcBorders>
              <w:top w:val="nil"/>
              <w:left w:val="nil"/>
              <w:bottom w:val="single" w:sz="4" w:space="0" w:color="auto"/>
              <w:right w:val="single" w:sz="4" w:space="0" w:color="auto"/>
            </w:tcBorders>
            <w:shd w:val="clear" w:color="000000" w:fill="D4EEF6"/>
            <w:noWrap/>
            <w:vAlign w:val="bottom"/>
            <w:hideMark/>
          </w:tcPr>
          <w:p w14:paraId="7D81C66E"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w:t>
            </w:r>
          </w:p>
        </w:tc>
        <w:tc>
          <w:tcPr>
            <w:tcW w:w="2462" w:type="dxa"/>
            <w:tcBorders>
              <w:top w:val="nil"/>
              <w:left w:val="nil"/>
              <w:bottom w:val="single" w:sz="4" w:space="0" w:color="auto"/>
              <w:right w:val="single" w:sz="4" w:space="0" w:color="auto"/>
            </w:tcBorders>
            <w:shd w:val="clear" w:color="000000" w:fill="D4EEF6"/>
            <w:noWrap/>
            <w:vAlign w:val="bottom"/>
            <w:hideMark/>
          </w:tcPr>
          <w:p w14:paraId="76A65601"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 xml:space="preserve">In percentage </w:t>
            </w:r>
          </w:p>
        </w:tc>
      </w:tr>
    </w:tbl>
    <w:p w14:paraId="023D6515" w14:textId="77777777" w:rsidR="0023090D" w:rsidRPr="00095284" w:rsidRDefault="0023090D" w:rsidP="0023090D">
      <w:pPr>
        <w:rPr>
          <w:rFonts w:cs="Arial"/>
          <w:szCs w:val="24"/>
          <w:lang w:val="en-GB"/>
        </w:rPr>
      </w:pPr>
    </w:p>
    <w:tbl>
      <w:tblPr>
        <w:tblW w:w="10247" w:type="dxa"/>
        <w:tblLook w:val="04A0" w:firstRow="1" w:lastRow="0" w:firstColumn="1" w:lastColumn="0" w:noHBand="0" w:noVBand="1"/>
      </w:tblPr>
      <w:tblGrid>
        <w:gridCol w:w="2352"/>
        <w:gridCol w:w="832"/>
        <w:gridCol w:w="1349"/>
        <w:gridCol w:w="2562"/>
        <w:gridCol w:w="906"/>
        <w:gridCol w:w="1353"/>
        <w:gridCol w:w="445"/>
        <w:gridCol w:w="448"/>
      </w:tblGrid>
      <w:tr w:rsidR="0023090D" w:rsidRPr="00135D7B" w14:paraId="3B049D07" w14:textId="77777777" w:rsidTr="000915FE">
        <w:trPr>
          <w:gridAfter w:val="3"/>
          <w:wAfter w:w="2246" w:type="dxa"/>
          <w:trHeight w:val="574"/>
        </w:trPr>
        <w:tc>
          <w:tcPr>
            <w:tcW w:w="8001" w:type="dxa"/>
            <w:gridSpan w:val="5"/>
            <w:tcBorders>
              <w:top w:val="nil"/>
              <w:left w:val="nil"/>
              <w:bottom w:val="nil"/>
              <w:right w:val="nil"/>
            </w:tcBorders>
            <w:shd w:val="clear" w:color="000000" w:fill="62ECEC"/>
            <w:noWrap/>
            <w:vAlign w:val="bottom"/>
            <w:hideMark/>
          </w:tcPr>
          <w:p w14:paraId="085B8B88"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NPV</w:t>
            </w:r>
          </w:p>
        </w:tc>
      </w:tr>
      <w:tr w:rsidR="0023090D" w:rsidRPr="00095284" w14:paraId="645C4519" w14:textId="77777777" w:rsidTr="000915FE">
        <w:trPr>
          <w:gridAfter w:val="3"/>
          <w:wAfter w:w="2247" w:type="dxa"/>
          <w:trHeight w:val="574"/>
        </w:trPr>
        <w:tc>
          <w:tcPr>
            <w:tcW w:w="2352" w:type="dxa"/>
            <w:tcBorders>
              <w:top w:val="single" w:sz="4" w:space="0" w:color="auto"/>
              <w:left w:val="single" w:sz="4" w:space="0" w:color="auto"/>
              <w:bottom w:val="nil"/>
              <w:right w:val="single" w:sz="4" w:space="0" w:color="auto"/>
            </w:tcBorders>
            <w:shd w:val="clear" w:color="000000" w:fill="D4EEF6"/>
            <w:noWrap/>
            <w:vAlign w:val="bottom"/>
            <w:hideMark/>
          </w:tcPr>
          <w:p w14:paraId="3B08DDFD"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Discount Rate</w:t>
            </w:r>
          </w:p>
        </w:tc>
        <w:tc>
          <w:tcPr>
            <w:tcW w:w="2181" w:type="dxa"/>
            <w:gridSpan w:val="2"/>
            <w:tcBorders>
              <w:top w:val="single" w:sz="4" w:space="0" w:color="auto"/>
              <w:left w:val="nil"/>
              <w:bottom w:val="nil"/>
              <w:right w:val="single" w:sz="4" w:space="0" w:color="auto"/>
            </w:tcBorders>
            <w:shd w:val="clear" w:color="000000" w:fill="D4EEF6"/>
            <w:noWrap/>
            <w:vAlign w:val="bottom"/>
            <w:hideMark/>
          </w:tcPr>
          <w:p w14:paraId="5E391643"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10%</w:t>
            </w:r>
          </w:p>
        </w:tc>
        <w:tc>
          <w:tcPr>
            <w:tcW w:w="2562" w:type="dxa"/>
            <w:tcBorders>
              <w:top w:val="nil"/>
              <w:left w:val="nil"/>
              <w:bottom w:val="nil"/>
              <w:right w:val="nil"/>
            </w:tcBorders>
            <w:noWrap/>
            <w:vAlign w:val="bottom"/>
            <w:hideMark/>
          </w:tcPr>
          <w:p w14:paraId="4F1802FF" w14:textId="77777777" w:rsidR="0023090D" w:rsidRPr="00135D7B" w:rsidRDefault="0023090D" w:rsidP="000915FE">
            <w:pPr>
              <w:spacing w:after="0" w:line="240" w:lineRule="auto"/>
              <w:jc w:val="right"/>
              <w:rPr>
                <w:rFonts w:cs="Arial"/>
                <w:color w:val="000000"/>
                <w:szCs w:val="24"/>
                <w:lang w:val="en-GB"/>
              </w:rPr>
            </w:pPr>
          </w:p>
        </w:tc>
        <w:tc>
          <w:tcPr>
            <w:tcW w:w="905" w:type="dxa"/>
            <w:tcBorders>
              <w:top w:val="nil"/>
              <w:left w:val="nil"/>
              <w:bottom w:val="nil"/>
              <w:right w:val="nil"/>
            </w:tcBorders>
            <w:noWrap/>
            <w:vAlign w:val="bottom"/>
            <w:hideMark/>
          </w:tcPr>
          <w:p w14:paraId="6737D7BC" w14:textId="77777777" w:rsidR="0023090D" w:rsidRPr="00135D7B" w:rsidRDefault="0023090D" w:rsidP="000915FE">
            <w:pPr>
              <w:spacing w:after="0" w:line="240" w:lineRule="auto"/>
              <w:jc w:val="left"/>
              <w:rPr>
                <w:rFonts w:cs="Arial"/>
                <w:szCs w:val="24"/>
                <w:lang w:val="en-GB"/>
              </w:rPr>
            </w:pPr>
          </w:p>
        </w:tc>
      </w:tr>
      <w:tr w:rsidR="0023090D" w:rsidRPr="00095284" w14:paraId="1783C980" w14:textId="77777777" w:rsidTr="000915FE">
        <w:trPr>
          <w:gridAfter w:val="3"/>
          <w:wAfter w:w="2247" w:type="dxa"/>
          <w:trHeight w:val="574"/>
        </w:trPr>
        <w:tc>
          <w:tcPr>
            <w:tcW w:w="2352" w:type="dxa"/>
            <w:tcBorders>
              <w:top w:val="single" w:sz="4" w:space="0" w:color="auto"/>
              <w:left w:val="single" w:sz="4" w:space="0" w:color="auto"/>
              <w:bottom w:val="single" w:sz="4" w:space="0" w:color="auto"/>
              <w:right w:val="single" w:sz="4" w:space="0" w:color="auto"/>
            </w:tcBorders>
            <w:shd w:val="clear" w:color="000000" w:fill="D4EEF6"/>
            <w:noWrap/>
            <w:vAlign w:val="bottom"/>
            <w:hideMark/>
          </w:tcPr>
          <w:p w14:paraId="42D3CF4F"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Year</w:t>
            </w:r>
          </w:p>
        </w:tc>
        <w:tc>
          <w:tcPr>
            <w:tcW w:w="2181" w:type="dxa"/>
            <w:gridSpan w:val="2"/>
            <w:tcBorders>
              <w:top w:val="single" w:sz="4" w:space="0" w:color="auto"/>
              <w:left w:val="nil"/>
              <w:bottom w:val="single" w:sz="4" w:space="0" w:color="auto"/>
              <w:right w:val="single" w:sz="4" w:space="0" w:color="auto"/>
            </w:tcBorders>
            <w:shd w:val="clear" w:color="000000" w:fill="D4EEF6"/>
            <w:noWrap/>
            <w:vAlign w:val="bottom"/>
            <w:hideMark/>
          </w:tcPr>
          <w:p w14:paraId="52C4F3DF" w14:textId="77777777" w:rsidR="0023090D" w:rsidRPr="00135D7B" w:rsidRDefault="0023090D" w:rsidP="000915FE">
            <w:pPr>
              <w:spacing w:after="0" w:line="240" w:lineRule="auto"/>
              <w:jc w:val="left"/>
              <w:rPr>
                <w:rFonts w:cs="Arial"/>
                <w:b/>
                <w:bCs/>
                <w:color w:val="000000"/>
                <w:szCs w:val="24"/>
                <w:lang w:val="en-GB"/>
              </w:rPr>
            </w:pPr>
            <w:r w:rsidRPr="00095284">
              <w:rPr>
                <w:rFonts w:cs="Arial"/>
                <w:b/>
                <w:bCs/>
                <w:color w:val="000000"/>
                <w:szCs w:val="24"/>
                <w:lang w:val="en-GB"/>
              </w:rPr>
              <w:t>Formula</w:t>
            </w:r>
          </w:p>
        </w:tc>
        <w:tc>
          <w:tcPr>
            <w:tcW w:w="2562" w:type="dxa"/>
            <w:tcBorders>
              <w:top w:val="single" w:sz="4" w:space="0" w:color="auto"/>
              <w:left w:val="nil"/>
              <w:bottom w:val="single" w:sz="4" w:space="0" w:color="auto"/>
              <w:right w:val="single" w:sz="4" w:space="0" w:color="auto"/>
            </w:tcBorders>
            <w:shd w:val="clear" w:color="000000" w:fill="D4EEF6"/>
            <w:noWrap/>
            <w:vAlign w:val="bottom"/>
            <w:hideMark/>
          </w:tcPr>
          <w:p w14:paraId="68CC9A9C"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Discount factor</w:t>
            </w:r>
          </w:p>
        </w:tc>
        <w:tc>
          <w:tcPr>
            <w:tcW w:w="905" w:type="dxa"/>
            <w:tcBorders>
              <w:top w:val="single" w:sz="4" w:space="0" w:color="auto"/>
              <w:left w:val="nil"/>
              <w:bottom w:val="single" w:sz="4" w:space="0" w:color="auto"/>
              <w:right w:val="single" w:sz="4" w:space="0" w:color="auto"/>
            </w:tcBorders>
            <w:shd w:val="clear" w:color="000000" w:fill="D4EEF6"/>
            <w:noWrap/>
            <w:vAlign w:val="bottom"/>
            <w:hideMark/>
          </w:tcPr>
          <w:p w14:paraId="0C544265"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PV</w:t>
            </w:r>
          </w:p>
        </w:tc>
      </w:tr>
      <w:tr w:rsidR="0023090D" w:rsidRPr="00095284" w14:paraId="2BF2DE03" w14:textId="77777777" w:rsidTr="000915FE">
        <w:trPr>
          <w:gridAfter w:val="3"/>
          <w:wAfter w:w="2247" w:type="dxa"/>
          <w:trHeight w:val="574"/>
        </w:trPr>
        <w:tc>
          <w:tcPr>
            <w:tcW w:w="2352" w:type="dxa"/>
            <w:tcBorders>
              <w:top w:val="nil"/>
              <w:left w:val="single" w:sz="4" w:space="0" w:color="auto"/>
              <w:bottom w:val="single" w:sz="4" w:space="0" w:color="auto"/>
              <w:right w:val="single" w:sz="4" w:space="0" w:color="auto"/>
            </w:tcBorders>
            <w:shd w:val="clear" w:color="000000" w:fill="D4EEF6"/>
            <w:noWrap/>
            <w:vAlign w:val="bottom"/>
            <w:hideMark/>
          </w:tcPr>
          <w:p w14:paraId="35D5FECE"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w:t>
            </w:r>
          </w:p>
        </w:tc>
        <w:tc>
          <w:tcPr>
            <w:tcW w:w="2181" w:type="dxa"/>
            <w:gridSpan w:val="2"/>
            <w:tcBorders>
              <w:top w:val="nil"/>
              <w:left w:val="nil"/>
              <w:bottom w:val="single" w:sz="4" w:space="0" w:color="auto"/>
              <w:right w:val="single" w:sz="4" w:space="0" w:color="auto"/>
            </w:tcBorders>
            <w:shd w:val="clear" w:color="000000" w:fill="D4EEF6"/>
            <w:noWrap/>
            <w:vAlign w:val="bottom"/>
            <w:hideMark/>
          </w:tcPr>
          <w:p w14:paraId="6D9CED5D"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1+10%</w:t>
            </w:r>
            <w:proofErr w:type="gramStart"/>
            <w:r w:rsidRPr="00135D7B">
              <w:rPr>
                <w:rFonts w:cs="Arial"/>
                <w:color w:val="000000"/>
                <w:szCs w:val="24"/>
                <w:lang w:val="en-GB"/>
              </w:rPr>
              <w:t>)]^</w:t>
            </w:r>
            <w:proofErr w:type="gramEnd"/>
            <w:r w:rsidRPr="00135D7B">
              <w:rPr>
                <w:rFonts w:cs="Arial"/>
                <w:color w:val="000000"/>
                <w:szCs w:val="24"/>
                <w:lang w:val="en-GB"/>
              </w:rPr>
              <w:t>1</w:t>
            </w:r>
          </w:p>
        </w:tc>
        <w:tc>
          <w:tcPr>
            <w:tcW w:w="2562" w:type="dxa"/>
            <w:tcBorders>
              <w:top w:val="nil"/>
              <w:left w:val="nil"/>
              <w:bottom w:val="single" w:sz="4" w:space="0" w:color="auto"/>
              <w:right w:val="single" w:sz="4" w:space="0" w:color="auto"/>
            </w:tcBorders>
            <w:shd w:val="clear" w:color="000000" w:fill="D4EEF6"/>
            <w:noWrap/>
            <w:vAlign w:val="bottom"/>
            <w:hideMark/>
          </w:tcPr>
          <w:p w14:paraId="384B0265"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0.91</w:t>
            </w:r>
          </w:p>
        </w:tc>
        <w:tc>
          <w:tcPr>
            <w:tcW w:w="905" w:type="dxa"/>
            <w:tcBorders>
              <w:top w:val="nil"/>
              <w:left w:val="nil"/>
              <w:bottom w:val="single" w:sz="4" w:space="0" w:color="auto"/>
              <w:right w:val="single" w:sz="4" w:space="0" w:color="auto"/>
            </w:tcBorders>
            <w:shd w:val="clear" w:color="000000" w:fill="D4EEF6"/>
            <w:noWrap/>
            <w:vAlign w:val="bottom"/>
            <w:hideMark/>
          </w:tcPr>
          <w:p w14:paraId="30A7AF0A"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5.45</w:t>
            </w:r>
          </w:p>
        </w:tc>
      </w:tr>
      <w:tr w:rsidR="0023090D" w:rsidRPr="00095284" w14:paraId="510F4C15" w14:textId="77777777" w:rsidTr="000915FE">
        <w:trPr>
          <w:gridAfter w:val="3"/>
          <w:wAfter w:w="2247" w:type="dxa"/>
          <w:trHeight w:val="574"/>
        </w:trPr>
        <w:tc>
          <w:tcPr>
            <w:tcW w:w="2352" w:type="dxa"/>
            <w:tcBorders>
              <w:top w:val="nil"/>
              <w:left w:val="single" w:sz="4" w:space="0" w:color="auto"/>
              <w:bottom w:val="single" w:sz="4" w:space="0" w:color="auto"/>
              <w:right w:val="single" w:sz="4" w:space="0" w:color="auto"/>
            </w:tcBorders>
            <w:shd w:val="clear" w:color="000000" w:fill="D4EEF6"/>
            <w:noWrap/>
            <w:vAlign w:val="bottom"/>
            <w:hideMark/>
          </w:tcPr>
          <w:p w14:paraId="1F3BE897"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2</w:t>
            </w:r>
          </w:p>
        </w:tc>
        <w:tc>
          <w:tcPr>
            <w:tcW w:w="2181" w:type="dxa"/>
            <w:gridSpan w:val="2"/>
            <w:tcBorders>
              <w:top w:val="nil"/>
              <w:left w:val="nil"/>
              <w:bottom w:val="single" w:sz="4" w:space="0" w:color="auto"/>
              <w:right w:val="single" w:sz="4" w:space="0" w:color="auto"/>
            </w:tcBorders>
            <w:shd w:val="clear" w:color="000000" w:fill="D4EEF6"/>
            <w:noWrap/>
            <w:vAlign w:val="bottom"/>
            <w:hideMark/>
          </w:tcPr>
          <w:p w14:paraId="5856B7FB"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1+10%</w:t>
            </w:r>
            <w:proofErr w:type="gramStart"/>
            <w:r w:rsidRPr="00135D7B">
              <w:rPr>
                <w:rFonts w:cs="Arial"/>
                <w:color w:val="000000"/>
                <w:szCs w:val="24"/>
                <w:lang w:val="en-GB"/>
              </w:rPr>
              <w:t>)]^</w:t>
            </w:r>
            <w:proofErr w:type="gramEnd"/>
            <w:r w:rsidRPr="00135D7B">
              <w:rPr>
                <w:rFonts w:cs="Arial"/>
                <w:color w:val="000000"/>
                <w:szCs w:val="24"/>
                <w:lang w:val="en-GB"/>
              </w:rPr>
              <w:t>2</w:t>
            </w:r>
          </w:p>
        </w:tc>
        <w:tc>
          <w:tcPr>
            <w:tcW w:w="2562" w:type="dxa"/>
            <w:tcBorders>
              <w:top w:val="nil"/>
              <w:left w:val="nil"/>
              <w:bottom w:val="single" w:sz="4" w:space="0" w:color="auto"/>
              <w:right w:val="single" w:sz="4" w:space="0" w:color="auto"/>
            </w:tcBorders>
            <w:shd w:val="clear" w:color="000000" w:fill="D4EEF6"/>
            <w:noWrap/>
            <w:vAlign w:val="bottom"/>
            <w:hideMark/>
          </w:tcPr>
          <w:p w14:paraId="11DCEAD5"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0.83</w:t>
            </w:r>
          </w:p>
        </w:tc>
        <w:tc>
          <w:tcPr>
            <w:tcW w:w="905" w:type="dxa"/>
            <w:tcBorders>
              <w:top w:val="nil"/>
              <w:left w:val="nil"/>
              <w:bottom w:val="single" w:sz="4" w:space="0" w:color="auto"/>
              <w:right w:val="single" w:sz="4" w:space="0" w:color="auto"/>
            </w:tcBorders>
            <w:shd w:val="clear" w:color="000000" w:fill="D4EEF6"/>
            <w:noWrap/>
            <w:vAlign w:val="bottom"/>
            <w:hideMark/>
          </w:tcPr>
          <w:p w14:paraId="6329AE44"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4.96</w:t>
            </w:r>
          </w:p>
        </w:tc>
      </w:tr>
      <w:tr w:rsidR="0023090D" w:rsidRPr="00095284" w14:paraId="52E4C905" w14:textId="77777777" w:rsidTr="000915FE">
        <w:trPr>
          <w:gridAfter w:val="3"/>
          <w:wAfter w:w="2247" w:type="dxa"/>
          <w:trHeight w:val="574"/>
        </w:trPr>
        <w:tc>
          <w:tcPr>
            <w:tcW w:w="2352" w:type="dxa"/>
            <w:tcBorders>
              <w:top w:val="nil"/>
              <w:left w:val="single" w:sz="4" w:space="0" w:color="auto"/>
              <w:bottom w:val="single" w:sz="4" w:space="0" w:color="auto"/>
              <w:right w:val="single" w:sz="4" w:space="0" w:color="auto"/>
            </w:tcBorders>
            <w:shd w:val="clear" w:color="000000" w:fill="D4EEF6"/>
            <w:noWrap/>
            <w:vAlign w:val="bottom"/>
            <w:hideMark/>
          </w:tcPr>
          <w:p w14:paraId="52E69240"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3</w:t>
            </w:r>
          </w:p>
        </w:tc>
        <w:tc>
          <w:tcPr>
            <w:tcW w:w="2181" w:type="dxa"/>
            <w:gridSpan w:val="2"/>
            <w:tcBorders>
              <w:top w:val="nil"/>
              <w:left w:val="nil"/>
              <w:bottom w:val="single" w:sz="4" w:space="0" w:color="auto"/>
              <w:right w:val="single" w:sz="4" w:space="0" w:color="auto"/>
            </w:tcBorders>
            <w:shd w:val="clear" w:color="000000" w:fill="D4EEF6"/>
            <w:noWrap/>
            <w:vAlign w:val="bottom"/>
            <w:hideMark/>
          </w:tcPr>
          <w:p w14:paraId="72858C2B"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1+10%</w:t>
            </w:r>
            <w:proofErr w:type="gramStart"/>
            <w:r w:rsidRPr="00135D7B">
              <w:rPr>
                <w:rFonts w:cs="Arial"/>
                <w:color w:val="000000"/>
                <w:szCs w:val="24"/>
                <w:lang w:val="en-GB"/>
              </w:rPr>
              <w:t>)]^</w:t>
            </w:r>
            <w:proofErr w:type="gramEnd"/>
            <w:r w:rsidRPr="00135D7B">
              <w:rPr>
                <w:rFonts w:cs="Arial"/>
                <w:color w:val="000000"/>
                <w:szCs w:val="24"/>
                <w:lang w:val="en-GB"/>
              </w:rPr>
              <w:t>3</w:t>
            </w:r>
          </w:p>
        </w:tc>
        <w:tc>
          <w:tcPr>
            <w:tcW w:w="2562" w:type="dxa"/>
            <w:tcBorders>
              <w:top w:val="nil"/>
              <w:left w:val="nil"/>
              <w:bottom w:val="single" w:sz="4" w:space="0" w:color="auto"/>
              <w:right w:val="single" w:sz="4" w:space="0" w:color="auto"/>
            </w:tcBorders>
            <w:shd w:val="clear" w:color="000000" w:fill="D4EEF6"/>
            <w:noWrap/>
            <w:vAlign w:val="bottom"/>
            <w:hideMark/>
          </w:tcPr>
          <w:p w14:paraId="085F558B"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0.75</w:t>
            </w:r>
          </w:p>
        </w:tc>
        <w:tc>
          <w:tcPr>
            <w:tcW w:w="905" w:type="dxa"/>
            <w:tcBorders>
              <w:top w:val="nil"/>
              <w:left w:val="nil"/>
              <w:bottom w:val="single" w:sz="4" w:space="0" w:color="auto"/>
              <w:right w:val="single" w:sz="4" w:space="0" w:color="auto"/>
            </w:tcBorders>
            <w:shd w:val="clear" w:color="000000" w:fill="D4EEF6"/>
            <w:noWrap/>
            <w:vAlign w:val="bottom"/>
            <w:hideMark/>
          </w:tcPr>
          <w:p w14:paraId="4C617C27"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4.51</w:t>
            </w:r>
          </w:p>
        </w:tc>
      </w:tr>
      <w:tr w:rsidR="0023090D" w:rsidRPr="00095284" w14:paraId="50C09FF9" w14:textId="77777777" w:rsidTr="000915FE">
        <w:trPr>
          <w:gridAfter w:val="3"/>
          <w:wAfter w:w="2247" w:type="dxa"/>
          <w:trHeight w:val="574"/>
        </w:trPr>
        <w:tc>
          <w:tcPr>
            <w:tcW w:w="2352" w:type="dxa"/>
            <w:tcBorders>
              <w:top w:val="nil"/>
              <w:left w:val="single" w:sz="4" w:space="0" w:color="auto"/>
              <w:bottom w:val="single" w:sz="4" w:space="0" w:color="auto"/>
              <w:right w:val="single" w:sz="4" w:space="0" w:color="auto"/>
            </w:tcBorders>
            <w:shd w:val="clear" w:color="000000" w:fill="D4EEF6"/>
            <w:noWrap/>
            <w:vAlign w:val="bottom"/>
            <w:hideMark/>
          </w:tcPr>
          <w:p w14:paraId="2E00B164"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lastRenderedPageBreak/>
              <w:t>4</w:t>
            </w:r>
          </w:p>
        </w:tc>
        <w:tc>
          <w:tcPr>
            <w:tcW w:w="2181" w:type="dxa"/>
            <w:gridSpan w:val="2"/>
            <w:tcBorders>
              <w:top w:val="nil"/>
              <w:left w:val="nil"/>
              <w:bottom w:val="single" w:sz="4" w:space="0" w:color="auto"/>
              <w:right w:val="single" w:sz="4" w:space="0" w:color="auto"/>
            </w:tcBorders>
            <w:shd w:val="clear" w:color="000000" w:fill="D4EEF6"/>
            <w:noWrap/>
            <w:vAlign w:val="bottom"/>
            <w:hideMark/>
          </w:tcPr>
          <w:p w14:paraId="6BA2045F"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1+10%</w:t>
            </w:r>
            <w:proofErr w:type="gramStart"/>
            <w:r w:rsidRPr="00135D7B">
              <w:rPr>
                <w:rFonts w:cs="Arial"/>
                <w:color w:val="000000"/>
                <w:szCs w:val="24"/>
                <w:lang w:val="en-GB"/>
              </w:rPr>
              <w:t>)]^</w:t>
            </w:r>
            <w:proofErr w:type="gramEnd"/>
            <w:r w:rsidRPr="00135D7B">
              <w:rPr>
                <w:rFonts w:cs="Arial"/>
                <w:color w:val="000000"/>
                <w:szCs w:val="24"/>
                <w:lang w:val="en-GB"/>
              </w:rPr>
              <w:t>4</w:t>
            </w:r>
          </w:p>
        </w:tc>
        <w:tc>
          <w:tcPr>
            <w:tcW w:w="2562" w:type="dxa"/>
            <w:tcBorders>
              <w:top w:val="nil"/>
              <w:left w:val="nil"/>
              <w:bottom w:val="single" w:sz="4" w:space="0" w:color="auto"/>
              <w:right w:val="single" w:sz="4" w:space="0" w:color="auto"/>
            </w:tcBorders>
            <w:shd w:val="clear" w:color="000000" w:fill="D4EEF6"/>
            <w:noWrap/>
            <w:vAlign w:val="bottom"/>
            <w:hideMark/>
          </w:tcPr>
          <w:p w14:paraId="418E8F72"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0.68</w:t>
            </w:r>
          </w:p>
        </w:tc>
        <w:tc>
          <w:tcPr>
            <w:tcW w:w="905" w:type="dxa"/>
            <w:tcBorders>
              <w:top w:val="nil"/>
              <w:left w:val="nil"/>
              <w:bottom w:val="single" w:sz="4" w:space="0" w:color="auto"/>
              <w:right w:val="single" w:sz="4" w:space="0" w:color="auto"/>
            </w:tcBorders>
            <w:shd w:val="clear" w:color="000000" w:fill="D4EEF6"/>
            <w:noWrap/>
            <w:vAlign w:val="bottom"/>
            <w:hideMark/>
          </w:tcPr>
          <w:p w14:paraId="1521E7A7"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4.10</w:t>
            </w:r>
          </w:p>
        </w:tc>
      </w:tr>
      <w:tr w:rsidR="0023090D" w:rsidRPr="00095284" w14:paraId="3991FBB7" w14:textId="77777777" w:rsidTr="000915FE">
        <w:trPr>
          <w:gridAfter w:val="3"/>
          <w:wAfter w:w="2247" w:type="dxa"/>
          <w:trHeight w:val="574"/>
        </w:trPr>
        <w:tc>
          <w:tcPr>
            <w:tcW w:w="2352" w:type="dxa"/>
            <w:tcBorders>
              <w:top w:val="nil"/>
              <w:left w:val="single" w:sz="4" w:space="0" w:color="auto"/>
              <w:bottom w:val="single" w:sz="4" w:space="0" w:color="auto"/>
              <w:right w:val="single" w:sz="4" w:space="0" w:color="auto"/>
            </w:tcBorders>
            <w:shd w:val="clear" w:color="000000" w:fill="D4EEF6"/>
            <w:noWrap/>
            <w:vAlign w:val="bottom"/>
            <w:hideMark/>
          </w:tcPr>
          <w:p w14:paraId="08C5F70A"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w:t>
            </w:r>
          </w:p>
        </w:tc>
        <w:tc>
          <w:tcPr>
            <w:tcW w:w="2181" w:type="dxa"/>
            <w:gridSpan w:val="2"/>
            <w:tcBorders>
              <w:top w:val="nil"/>
              <w:left w:val="nil"/>
              <w:bottom w:val="single" w:sz="4" w:space="0" w:color="auto"/>
              <w:right w:val="single" w:sz="4" w:space="0" w:color="auto"/>
            </w:tcBorders>
            <w:shd w:val="clear" w:color="000000" w:fill="D4EEF6"/>
            <w:noWrap/>
            <w:vAlign w:val="bottom"/>
            <w:hideMark/>
          </w:tcPr>
          <w:p w14:paraId="2DA2FD78"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1+10%</w:t>
            </w:r>
            <w:proofErr w:type="gramStart"/>
            <w:r w:rsidRPr="00135D7B">
              <w:rPr>
                <w:rFonts w:cs="Arial"/>
                <w:color w:val="000000"/>
                <w:szCs w:val="24"/>
                <w:lang w:val="en-GB"/>
              </w:rPr>
              <w:t>)]^</w:t>
            </w:r>
            <w:proofErr w:type="gramEnd"/>
            <w:r w:rsidRPr="00135D7B">
              <w:rPr>
                <w:rFonts w:cs="Arial"/>
                <w:color w:val="000000"/>
                <w:szCs w:val="24"/>
                <w:lang w:val="en-GB"/>
              </w:rPr>
              <w:t>5</w:t>
            </w:r>
          </w:p>
        </w:tc>
        <w:tc>
          <w:tcPr>
            <w:tcW w:w="2562" w:type="dxa"/>
            <w:tcBorders>
              <w:top w:val="nil"/>
              <w:left w:val="nil"/>
              <w:bottom w:val="single" w:sz="4" w:space="0" w:color="auto"/>
              <w:right w:val="single" w:sz="4" w:space="0" w:color="auto"/>
            </w:tcBorders>
            <w:shd w:val="clear" w:color="000000" w:fill="D4EEF6"/>
            <w:noWrap/>
            <w:vAlign w:val="bottom"/>
            <w:hideMark/>
          </w:tcPr>
          <w:p w14:paraId="60E2BF55"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0.62</w:t>
            </w:r>
          </w:p>
        </w:tc>
        <w:tc>
          <w:tcPr>
            <w:tcW w:w="905" w:type="dxa"/>
            <w:tcBorders>
              <w:top w:val="nil"/>
              <w:left w:val="nil"/>
              <w:bottom w:val="single" w:sz="4" w:space="0" w:color="auto"/>
              <w:right w:val="single" w:sz="4" w:space="0" w:color="auto"/>
            </w:tcBorders>
            <w:shd w:val="clear" w:color="000000" w:fill="D4EEF6"/>
            <w:noWrap/>
            <w:vAlign w:val="bottom"/>
            <w:hideMark/>
          </w:tcPr>
          <w:p w14:paraId="75D2F871"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3.73</w:t>
            </w:r>
          </w:p>
        </w:tc>
      </w:tr>
      <w:tr w:rsidR="0023090D" w:rsidRPr="00095284" w14:paraId="4F2AFFF5" w14:textId="77777777" w:rsidTr="000915FE">
        <w:trPr>
          <w:gridAfter w:val="3"/>
          <w:wAfter w:w="2247" w:type="dxa"/>
          <w:trHeight w:val="574"/>
        </w:trPr>
        <w:tc>
          <w:tcPr>
            <w:tcW w:w="2352" w:type="dxa"/>
            <w:tcBorders>
              <w:top w:val="nil"/>
              <w:left w:val="single" w:sz="4" w:space="0" w:color="auto"/>
              <w:bottom w:val="single" w:sz="4" w:space="0" w:color="auto"/>
              <w:right w:val="single" w:sz="4" w:space="0" w:color="auto"/>
            </w:tcBorders>
            <w:shd w:val="clear" w:color="000000" w:fill="D4EEF6"/>
            <w:noWrap/>
            <w:vAlign w:val="bottom"/>
            <w:hideMark/>
          </w:tcPr>
          <w:p w14:paraId="30726E47"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 </w:t>
            </w:r>
          </w:p>
        </w:tc>
        <w:tc>
          <w:tcPr>
            <w:tcW w:w="2181" w:type="dxa"/>
            <w:gridSpan w:val="2"/>
            <w:tcBorders>
              <w:top w:val="nil"/>
              <w:left w:val="nil"/>
              <w:bottom w:val="single" w:sz="4" w:space="0" w:color="auto"/>
              <w:right w:val="single" w:sz="4" w:space="0" w:color="auto"/>
            </w:tcBorders>
            <w:shd w:val="clear" w:color="000000" w:fill="D4EEF6"/>
            <w:noWrap/>
            <w:vAlign w:val="bottom"/>
            <w:hideMark/>
          </w:tcPr>
          <w:p w14:paraId="30FD689E"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 </w:t>
            </w:r>
          </w:p>
        </w:tc>
        <w:tc>
          <w:tcPr>
            <w:tcW w:w="2562" w:type="dxa"/>
            <w:tcBorders>
              <w:top w:val="nil"/>
              <w:left w:val="nil"/>
              <w:bottom w:val="single" w:sz="4" w:space="0" w:color="auto"/>
              <w:right w:val="single" w:sz="4" w:space="0" w:color="auto"/>
            </w:tcBorders>
            <w:shd w:val="clear" w:color="000000" w:fill="D4EEF6"/>
            <w:noWrap/>
            <w:vAlign w:val="bottom"/>
            <w:hideMark/>
          </w:tcPr>
          <w:p w14:paraId="04A3528A"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 </w:t>
            </w:r>
          </w:p>
        </w:tc>
        <w:tc>
          <w:tcPr>
            <w:tcW w:w="905" w:type="dxa"/>
            <w:tcBorders>
              <w:top w:val="nil"/>
              <w:left w:val="nil"/>
              <w:bottom w:val="single" w:sz="4" w:space="0" w:color="auto"/>
              <w:right w:val="single" w:sz="4" w:space="0" w:color="auto"/>
            </w:tcBorders>
            <w:shd w:val="clear" w:color="000000" w:fill="D4EEF6"/>
            <w:noWrap/>
            <w:vAlign w:val="bottom"/>
            <w:hideMark/>
          </w:tcPr>
          <w:p w14:paraId="08A22325" w14:textId="77777777" w:rsidR="0023090D" w:rsidRPr="00135D7B" w:rsidRDefault="0023090D" w:rsidP="000915FE">
            <w:pPr>
              <w:spacing w:after="0" w:line="240" w:lineRule="auto"/>
              <w:jc w:val="right"/>
              <w:rPr>
                <w:rFonts w:cs="Arial"/>
                <w:b/>
                <w:bCs/>
                <w:color w:val="000000"/>
                <w:szCs w:val="24"/>
                <w:lang w:val="en-GB"/>
              </w:rPr>
            </w:pPr>
            <w:r w:rsidRPr="00135D7B">
              <w:rPr>
                <w:rFonts w:cs="Arial"/>
                <w:b/>
                <w:bCs/>
                <w:color w:val="000000"/>
                <w:szCs w:val="24"/>
                <w:lang w:val="en-GB"/>
              </w:rPr>
              <w:t>22.74</w:t>
            </w:r>
          </w:p>
        </w:tc>
      </w:tr>
      <w:tr w:rsidR="0023090D" w:rsidRPr="00095284" w14:paraId="6AFB4769" w14:textId="77777777" w:rsidTr="000915FE">
        <w:trPr>
          <w:gridAfter w:val="3"/>
          <w:wAfter w:w="2247" w:type="dxa"/>
          <w:trHeight w:val="574"/>
        </w:trPr>
        <w:tc>
          <w:tcPr>
            <w:tcW w:w="2352" w:type="dxa"/>
            <w:tcBorders>
              <w:top w:val="nil"/>
              <w:left w:val="single" w:sz="4" w:space="0" w:color="auto"/>
              <w:bottom w:val="single" w:sz="4" w:space="0" w:color="auto"/>
              <w:right w:val="single" w:sz="4" w:space="0" w:color="auto"/>
            </w:tcBorders>
            <w:shd w:val="clear" w:color="000000" w:fill="D4EEF6"/>
            <w:noWrap/>
            <w:vAlign w:val="bottom"/>
            <w:hideMark/>
          </w:tcPr>
          <w:p w14:paraId="3FAA38B7"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NPV</w:t>
            </w:r>
          </w:p>
        </w:tc>
        <w:tc>
          <w:tcPr>
            <w:tcW w:w="2181" w:type="dxa"/>
            <w:gridSpan w:val="2"/>
            <w:tcBorders>
              <w:top w:val="nil"/>
              <w:left w:val="nil"/>
              <w:bottom w:val="single" w:sz="4" w:space="0" w:color="auto"/>
              <w:right w:val="single" w:sz="4" w:space="0" w:color="auto"/>
            </w:tcBorders>
            <w:shd w:val="clear" w:color="000000" w:fill="D4EEF6"/>
            <w:noWrap/>
            <w:vAlign w:val="bottom"/>
            <w:hideMark/>
          </w:tcPr>
          <w:p w14:paraId="004E8EBD" w14:textId="77777777" w:rsidR="0023090D" w:rsidRPr="00135D7B" w:rsidRDefault="0023090D" w:rsidP="000915FE">
            <w:pPr>
              <w:spacing w:after="0" w:line="240" w:lineRule="auto"/>
              <w:jc w:val="right"/>
              <w:rPr>
                <w:rFonts w:cs="Arial"/>
                <w:b/>
                <w:bCs/>
                <w:color w:val="000000"/>
                <w:szCs w:val="24"/>
                <w:lang w:val="en-GB"/>
              </w:rPr>
            </w:pPr>
            <w:r w:rsidRPr="00135D7B">
              <w:rPr>
                <w:rFonts w:cs="Arial"/>
                <w:b/>
                <w:bCs/>
                <w:color w:val="000000"/>
                <w:szCs w:val="24"/>
                <w:lang w:val="en-GB"/>
              </w:rPr>
              <w:t>-7.26</w:t>
            </w:r>
          </w:p>
        </w:tc>
        <w:tc>
          <w:tcPr>
            <w:tcW w:w="2562" w:type="dxa"/>
            <w:tcBorders>
              <w:top w:val="nil"/>
              <w:left w:val="nil"/>
              <w:bottom w:val="single" w:sz="4" w:space="0" w:color="auto"/>
              <w:right w:val="single" w:sz="4" w:space="0" w:color="auto"/>
            </w:tcBorders>
            <w:shd w:val="clear" w:color="000000" w:fill="D4EEF6"/>
            <w:noWrap/>
            <w:vAlign w:val="bottom"/>
            <w:hideMark/>
          </w:tcPr>
          <w:p w14:paraId="60C69C5C"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 </w:t>
            </w:r>
          </w:p>
        </w:tc>
        <w:tc>
          <w:tcPr>
            <w:tcW w:w="905" w:type="dxa"/>
            <w:tcBorders>
              <w:top w:val="nil"/>
              <w:left w:val="nil"/>
              <w:bottom w:val="single" w:sz="4" w:space="0" w:color="auto"/>
              <w:right w:val="single" w:sz="4" w:space="0" w:color="auto"/>
            </w:tcBorders>
            <w:shd w:val="clear" w:color="000000" w:fill="D4EEF6"/>
            <w:noWrap/>
            <w:vAlign w:val="bottom"/>
            <w:hideMark/>
          </w:tcPr>
          <w:p w14:paraId="3E695C00"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 </w:t>
            </w:r>
          </w:p>
        </w:tc>
      </w:tr>
      <w:tr w:rsidR="0023090D" w:rsidRPr="00135D7B" w14:paraId="31DDCD76" w14:textId="77777777" w:rsidTr="000915FE">
        <w:trPr>
          <w:trHeight w:val="425"/>
        </w:trPr>
        <w:tc>
          <w:tcPr>
            <w:tcW w:w="10247" w:type="dxa"/>
            <w:gridSpan w:val="8"/>
            <w:tcBorders>
              <w:top w:val="nil"/>
              <w:left w:val="nil"/>
              <w:bottom w:val="nil"/>
              <w:right w:val="nil"/>
            </w:tcBorders>
            <w:shd w:val="clear" w:color="000000" w:fill="62ECEC"/>
            <w:noWrap/>
            <w:vAlign w:val="bottom"/>
            <w:hideMark/>
          </w:tcPr>
          <w:p w14:paraId="44EF7810"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PI</w:t>
            </w:r>
          </w:p>
        </w:tc>
      </w:tr>
      <w:tr w:rsidR="0023090D" w:rsidRPr="00135D7B" w14:paraId="7649B368" w14:textId="77777777" w:rsidTr="000915FE">
        <w:trPr>
          <w:trHeight w:val="425"/>
        </w:trPr>
        <w:tc>
          <w:tcPr>
            <w:tcW w:w="3184" w:type="dxa"/>
            <w:gridSpan w:val="2"/>
            <w:tcBorders>
              <w:top w:val="single" w:sz="4" w:space="0" w:color="auto"/>
              <w:left w:val="single" w:sz="4" w:space="0" w:color="auto"/>
              <w:bottom w:val="single" w:sz="4" w:space="0" w:color="auto"/>
              <w:right w:val="single" w:sz="4" w:space="0" w:color="auto"/>
            </w:tcBorders>
            <w:shd w:val="clear" w:color="000000" w:fill="D4EEF6"/>
            <w:noWrap/>
            <w:vAlign w:val="bottom"/>
            <w:hideMark/>
          </w:tcPr>
          <w:p w14:paraId="252004EE"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PI</w:t>
            </w:r>
          </w:p>
        </w:tc>
        <w:tc>
          <w:tcPr>
            <w:tcW w:w="6170" w:type="dxa"/>
            <w:gridSpan w:val="4"/>
            <w:tcBorders>
              <w:top w:val="single" w:sz="4" w:space="0" w:color="auto"/>
              <w:left w:val="nil"/>
              <w:bottom w:val="single" w:sz="4" w:space="0" w:color="auto"/>
              <w:right w:val="single" w:sz="4" w:space="0" w:color="auto"/>
            </w:tcBorders>
            <w:shd w:val="clear" w:color="000000" w:fill="D4EEF6"/>
            <w:noWrap/>
            <w:vAlign w:val="bottom"/>
            <w:hideMark/>
          </w:tcPr>
          <w:p w14:paraId="5869E8DD"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0.76</w:t>
            </w:r>
          </w:p>
        </w:tc>
        <w:tc>
          <w:tcPr>
            <w:tcW w:w="445" w:type="dxa"/>
            <w:tcBorders>
              <w:top w:val="nil"/>
              <w:left w:val="nil"/>
              <w:bottom w:val="nil"/>
              <w:right w:val="nil"/>
            </w:tcBorders>
            <w:noWrap/>
            <w:vAlign w:val="bottom"/>
            <w:hideMark/>
          </w:tcPr>
          <w:p w14:paraId="72174E48" w14:textId="77777777" w:rsidR="0023090D" w:rsidRPr="00135D7B" w:rsidRDefault="0023090D" w:rsidP="000915FE">
            <w:pPr>
              <w:spacing w:after="0" w:line="240" w:lineRule="auto"/>
              <w:jc w:val="right"/>
              <w:rPr>
                <w:rFonts w:cs="Arial"/>
                <w:color w:val="000000"/>
                <w:szCs w:val="24"/>
                <w:lang w:val="en-GB"/>
              </w:rPr>
            </w:pPr>
          </w:p>
        </w:tc>
        <w:tc>
          <w:tcPr>
            <w:tcW w:w="445" w:type="dxa"/>
            <w:tcBorders>
              <w:top w:val="nil"/>
              <w:left w:val="nil"/>
              <w:bottom w:val="nil"/>
              <w:right w:val="nil"/>
            </w:tcBorders>
            <w:noWrap/>
            <w:vAlign w:val="bottom"/>
            <w:hideMark/>
          </w:tcPr>
          <w:p w14:paraId="032324DC" w14:textId="77777777" w:rsidR="0023090D" w:rsidRPr="00135D7B" w:rsidRDefault="0023090D" w:rsidP="000915FE">
            <w:pPr>
              <w:spacing w:after="0" w:line="240" w:lineRule="auto"/>
              <w:jc w:val="left"/>
              <w:rPr>
                <w:rFonts w:cs="Arial"/>
                <w:szCs w:val="24"/>
                <w:lang w:val="en-GB"/>
              </w:rPr>
            </w:pPr>
          </w:p>
        </w:tc>
      </w:tr>
    </w:tbl>
    <w:p w14:paraId="0474926D" w14:textId="77777777" w:rsidR="0023090D" w:rsidRPr="00095284" w:rsidRDefault="0023090D" w:rsidP="0023090D">
      <w:pPr>
        <w:rPr>
          <w:rFonts w:cs="Arial"/>
          <w:szCs w:val="24"/>
          <w:lang w:val="en-GB"/>
        </w:rPr>
      </w:pPr>
    </w:p>
    <w:tbl>
      <w:tblPr>
        <w:tblW w:w="9288" w:type="dxa"/>
        <w:tblLook w:val="04A0" w:firstRow="1" w:lastRow="0" w:firstColumn="1" w:lastColumn="0" w:noHBand="0" w:noVBand="1"/>
      </w:tblPr>
      <w:tblGrid>
        <w:gridCol w:w="1840"/>
        <w:gridCol w:w="5077"/>
        <w:gridCol w:w="1950"/>
        <w:gridCol w:w="537"/>
      </w:tblGrid>
      <w:tr w:rsidR="0023090D" w:rsidRPr="00135D7B" w14:paraId="3FFAE051" w14:textId="77777777" w:rsidTr="000915FE">
        <w:trPr>
          <w:trHeight w:val="412"/>
        </w:trPr>
        <w:tc>
          <w:tcPr>
            <w:tcW w:w="9288" w:type="dxa"/>
            <w:gridSpan w:val="4"/>
            <w:tcBorders>
              <w:top w:val="nil"/>
              <w:left w:val="nil"/>
              <w:bottom w:val="nil"/>
              <w:right w:val="nil"/>
            </w:tcBorders>
            <w:shd w:val="clear" w:color="000000" w:fill="62ECEC"/>
            <w:noWrap/>
            <w:vAlign w:val="bottom"/>
            <w:hideMark/>
          </w:tcPr>
          <w:p w14:paraId="07220A89"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IRR</w:t>
            </w:r>
          </w:p>
        </w:tc>
      </w:tr>
      <w:tr w:rsidR="0023090D" w:rsidRPr="00135D7B" w14:paraId="4B47C37E" w14:textId="77777777" w:rsidTr="000915FE">
        <w:trPr>
          <w:trHeight w:val="412"/>
        </w:trPr>
        <w:tc>
          <w:tcPr>
            <w:tcW w:w="1840" w:type="dxa"/>
            <w:tcBorders>
              <w:top w:val="single" w:sz="4" w:space="0" w:color="auto"/>
              <w:left w:val="single" w:sz="4" w:space="0" w:color="auto"/>
              <w:bottom w:val="nil"/>
              <w:right w:val="single" w:sz="4" w:space="0" w:color="auto"/>
            </w:tcBorders>
            <w:shd w:val="clear" w:color="000000" w:fill="D4EEF6"/>
            <w:noWrap/>
            <w:vAlign w:val="bottom"/>
            <w:hideMark/>
          </w:tcPr>
          <w:p w14:paraId="167C6642"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Discount Rate</w:t>
            </w:r>
          </w:p>
        </w:tc>
        <w:tc>
          <w:tcPr>
            <w:tcW w:w="5077" w:type="dxa"/>
            <w:tcBorders>
              <w:top w:val="single" w:sz="4" w:space="0" w:color="auto"/>
              <w:left w:val="nil"/>
              <w:bottom w:val="nil"/>
              <w:right w:val="single" w:sz="4" w:space="0" w:color="auto"/>
            </w:tcBorders>
            <w:shd w:val="clear" w:color="000000" w:fill="D4EEF6"/>
            <w:noWrap/>
            <w:vAlign w:val="bottom"/>
            <w:hideMark/>
          </w:tcPr>
          <w:p w14:paraId="3D6BBBDB"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w:t>
            </w:r>
          </w:p>
        </w:tc>
        <w:tc>
          <w:tcPr>
            <w:tcW w:w="1950" w:type="dxa"/>
            <w:tcBorders>
              <w:top w:val="nil"/>
              <w:left w:val="nil"/>
              <w:bottom w:val="nil"/>
              <w:right w:val="nil"/>
            </w:tcBorders>
            <w:shd w:val="clear" w:color="000000" w:fill="D4EEF6"/>
            <w:noWrap/>
            <w:vAlign w:val="bottom"/>
            <w:hideMark/>
          </w:tcPr>
          <w:p w14:paraId="69129E24"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c>
          <w:tcPr>
            <w:tcW w:w="419" w:type="dxa"/>
            <w:tcBorders>
              <w:top w:val="nil"/>
              <w:left w:val="nil"/>
              <w:bottom w:val="nil"/>
              <w:right w:val="nil"/>
            </w:tcBorders>
            <w:noWrap/>
            <w:vAlign w:val="bottom"/>
            <w:hideMark/>
          </w:tcPr>
          <w:p w14:paraId="0A49C644" w14:textId="77777777" w:rsidR="0023090D" w:rsidRPr="00135D7B" w:rsidRDefault="0023090D" w:rsidP="000915FE">
            <w:pPr>
              <w:spacing w:after="0" w:line="240" w:lineRule="auto"/>
              <w:jc w:val="left"/>
              <w:rPr>
                <w:rFonts w:cs="Arial"/>
                <w:color w:val="000000"/>
                <w:szCs w:val="24"/>
                <w:lang w:val="en-GB"/>
              </w:rPr>
            </w:pPr>
          </w:p>
        </w:tc>
      </w:tr>
      <w:tr w:rsidR="0023090D" w:rsidRPr="00135D7B" w14:paraId="682C17ED" w14:textId="77777777" w:rsidTr="000915FE">
        <w:trPr>
          <w:trHeight w:val="412"/>
        </w:trPr>
        <w:tc>
          <w:tcPr>
            <w:tcW w:w="1840" w:type="dxa"/>
            <w:tcBorders>
              <w:top w:val="single" w:sz="4" w:space="0" w:color="auto"/>
              <w:left w:val="single" w:sz="4" w:space="0" w:color="auto"/>
              <w:bottom w:val="single" w:sz="4" w:space="0" w:color="auto"/>
              <w:right w:val="single" w:sz="4" w:space="0" w:color="auto"/>
            </w:tcBorders>
            <w:shd w:val="clear" w:color="000000" w:fill="D4EEF6"/>
            <w:noWrap/>
            <w:vAlign w:val="bottom"/>
            <w:hideMark/>
          </w:tcPr>
          <w:p w14:paraId="1B2399BC"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Year</w:t>
            </w:r>
          </w:p>
        </w:tc>
        <w:tc>
          <w:tcPr>
            <w:tcW w:w="5077" w:type="dxa"/>
            <w:tcBorders>
              <w:top w:val="single" w:sz="4" w:space="0" w:color="auto"/>
              <w:left w:val="nil"/>
              <w:bottom w:val="single" w:sz="4" w:space="0" w:color="auto"/>
              <w:right w:val="single" w:sz="4" w:space="0" w:color="auto"/>
            </w:tcBorders>
            <w:shd w:val="clear" w:color="000000" w:fill="D4EEF6"/>
            <w:noWrap/>
            <w:vAlign w:val="bottom"/>
            <w:hideMark/>
          </w:tcPr>
          <w:p w14:paraId="3FCD766C" w14:textId="77777777" w:rsidR="0023090D" w:rsidRPr="00135D7B" w:rsidRDefault="0023090D" w:rsidP="000915FE">
            <w:pPr>
              <w:spacing w:after="0" w:line="240" w:lineRule="auto"/>
              <w:jc w:val="left"/>
              <w:rPr>
                <w:rFonts w:cs="Arial"/>
                <w:b/>
                <w:bCs/>
                <w:color w:val="000000"/>
                <w:szCs w:val="24"/>
                <w:lang w:val="en-GB"/>
              </w:rPr>
            </w:pPr>
            <w:r w:rsidRPr="00095284">
              <w:rPr>
                <w:rFonts w:cs="Arial"/>
                <w:b/>
                <w:bCs/>
                <w:color w:val="000000"/>
                <w:szCs w:val="24"/>
                <w:lang w:val="en-GB"/>
              </w:rPr>
              <w:t>Formula</w:t>
            </w:r>
          </w:p>
        </w:tc>
        <w:tc>
          <w:tcPr>
            <w:tcW w:w="1950" w:type="dxa"/>
            <w:tcBorders>
              <w:top w:val="single" w:sz="4" w:space="0" w:color="auto"/>
              <w:left w:val="nil"/>
              <w:bottom w:val="single" w:sz="4" w:space="0" w:color="auto"/>
              <w:right w:val="single" w:sz="4" w:space="0" w:color="auto"/>
            </w:tcBorders>
            <w:shd w:val="clear" w:color="000000" w:fill="D4EEF6"/>
            <w:noWrap/>
            <w:vAlign w:val="bottom"/>
            <w:hideMark/>
          </w:tcPr>
          <w:p w14:paraId="4844DEC2"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Discount factor</w:t>
            </w:r>
          </w:p>
        </w:tc>
        <w:tc>
          <w:tcPr>
            <w:tcW w:w="419" w:type="dxa"/>
            <w:tcBorders>
              <w:top w:val="single" w:sz="4" w:space="0" w:color="auto"/>
              <w:left w:val="nil"/>
              <w:bottom w:val="single" w:sz="4" w:space="0" w:color="auto"/>
              <w:right w:val="single" w:sz="4" w:space="0" w:color="auto"/>
            </w:tcBorders>
            <w:shd w:val="clear" w:color="000000" w:fill="D4EEF6"/>
            <w:noWrap/>
            <w:vAlign w:val="bottom"/>
            <w:hideMark/>
          </w:tcPr>
          <w:p w14:paraId="152283EF"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PV</w:t>
            </w:r>
          </w:p>
        </w:tc>
      </w:tr>
      <w:tr w:rsidR="0023090D" w:rsidRPr="00135D7B" w14:paraId="139A0481" w14:textId="77777777" w:rsidTr="000915FE">
        <w:trPr>
          <w:trHeight w:val="412"/>
        </w:trPr>
        <w:tc>
          <w:tcPr>
            <w:tcW w:w="1840" w:type="dxa"/>
            <w:tcBorders>
              <w:top w:val="nil"/>
              <w:left w:val="single" w:sz="4" w:space="0" w:color="auto"/>
              <w:bottom w:val="single" w:sz="4" w:space="0" w:color="auto"/>
              <w:right w:val="single" w:sz="4" w:space="0" w:color="auto"/>
            </w:tcBorders>
            <w:shd w:val="clear" w:color="000000" w:fill="D4EEF6"/>
            <w:noWrap/>
            <w:vAlign w:val="bottom"/>
            <w:hideMark/>
          </w:tcPr>
          <w:p w14:paraId="7E9ED076"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w:t>
            </w:r>
          </w:p>
        </w:tc>
        <w:tc>
          <w:tcPr>
            <w:tcW w:w="5077" w:type="dxa"/>
            <w:tcBorders>
              <w:top w:val="nil"/>
              <w:left w:val="nil"/>
              <w:bottom w:val="single" w:sz="4" w:space="0" w:color="auto"/>
              <w:right w:val="single" w:sz="4" w:space="0" w:color="auto"/>
            </w:tcBorders>
            <w:shd w:val="clear" w:color="000000" w:fill="D4EEF6"/>
            <w:noWrap/>
            <w:vAlign w:val="bottom"/>
            <w:hideMark/>
          </w:tcPr>
          <w:p w14:paraId="2DB03841"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1+1%</w:t>
            </w:r>
            <w:proofErr w:type="gramStart"/>
            <w:r w:rsidRPr="00135D7B">
              <w:rPr>
                <w:rFonts w:cs="Arial"/>
                <w:color w:val="000000"/>
                <w:szCs w:val="24"/>
                <w:lang w:val="en-GB"/>
              </w:rPr>
              <w:t>)]^</w:t>
            </w:r>
            <w:proofErr w:type="gramEnd"/>
            <w:r w:rsidRPr="00135D7B">
              <w:rPr>
                <w:rFonts w:cs="Arial"/>
                <w:color w:val="000000"/>
                <w:szCs w:val="24"/>
                <w:lang w:val="en-GB"/>
              </w:rPr>
              <w:t>1</w:t>
            </w:r>
          </w:p>
        </w:tc>
        <w:tc>
          <w:tcPr>
            <w:tcW w:w="1950" w:type="dxa"/>
            <w:tcBorders>
              <w:top w:val="nil"/>
              <w:left w:val="nil"/>
              <w:bottom w:val="single" w:sz="4" w:space="0" w:color="auto"/>
              <w:right w:val="single" w:sz="4" w:space="0" w:color="auto"/>
            </w:tcBorders>
            <w:shd w:val="clear" w:color="000000" w:fill="D4EEF6"/>
            <w:noWrap/>
            <w:vAlign w:val="bottom"/>
            <w:hideMark/>
          </w:tcPr>
          <w:p w14:paraId="5C6AD2FA"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w:t>
            </w:r>
          </w:p>
        </w:tc>
        <w:tc>
          <w:tcPr>
            <w:tcW w:w="419" w:type="dxa"/>
            <w:tcBorders>
              <w:top w:val="nil"/>
              <w:left w:val="nil"/>
              <w:bottom w:val="single" w:sz="4" w:space="0" w:color="auto"/>
              <w:right w:val="single" w:sz="4" w:space="0" w:color="auto"/>
            </w:tcBorders>
            <w:shd w:val="clear" w:color="000000" w:fill="D4EEF6"/>
            <w:noWrap/>
            <w:vAlign w:val="bottom"/>
            <w:hideMark/>
          </w:tcPr>
          <w:p w14:paraId="092CB7F6"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w:t>
            </w:r>
          </w:p>
        </w:tc>
      </w:tr>
      <w:tr w:rsidR="0023090D" w:rsidRPr="00135D7B" w14:paraId="5155EF24" w14:textId="77777777" w:rsidTr="000915FE">
        <w:trPr>
          <w:trHeight w:val="412"/>
        </w:trPr>
        <w:tc>
          <w:tcPr>
            <w:tcW w:w="1840" w:type="dxa"/>
            <w:tcBorders>
              <w:top w:val="nil"/>
              <w:left w:val="single" w:sz="4" w:space="0" w:color="auto"/>
              <w:bottom w:val="single" w:sz="4" w:space="0" w:color="auto"/>
              <w:right w:val="single" w:sz="4" w:space="0" w:color="auto"/>
            </w:tcBorders>
            <w:shd w:val="clear" w:color="000000" w:fill="D4EEF6"/>
            <w:noWrap/>
            <w:vAlign w:val="bottom"/>
            <w:hideMark/>
          </w:tcPr>
          <w:p w14:paraId="16AB7BD1"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2</w:t>
            </w:r>
          </w:p>
        </w:tc>
        <w:tc>
          <w:tcPr>
            <w:tcW w:w="5077" w:type="dxa"/>
            <w:tcBorders>
              <w:top w:val="nil"/>
              <w:left w:val="nil"/>
              <w:bottom w:val="single" w:sz="4" w:space="0" w:color="auto"/>
              <w:right w:val="single" w:sz="4" w:space="0" w:color="auto"/>
            </w:tcBorders>
            <w:shd w:val="clear" w:color="000000" w:fill="D4EEF6"/>
            <w:noWrap/>
            <w:vAlign w:val="bottom"/>
            <w:hideMark/>
          </w:tcPr>
          <w:p w14:paraId="4BB9C82F"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1+1%</w:t>
            </w:r>
            <w:proofErr w:type="gramStart"/>
            <w:r w:rsidRPr="00135D7B">
              <w:rPr>
                <w:rFonts w:cs="Arial"/>
                <w:color w:val="000000"/>
                <w:szCs w:val="24"/>
                <w:lang w:val="en-GB"/>
              </w:rPr>
              <w:t>)]^</w:t>
            </w:r>
            <w:proofErr w:type="gramEnd"/>
            <w:r w:rsidRPr="00135D7B">
              <w:rPr>
                <w:rFonts w:cs="Arial"/>
                <w:color w:val="000000"/>
                <w:szCs w:val="24"/>
                <w:lang w:val="en-GB"/>
              </w:rPr>
              <w:t>2</w:t>
            </w:r>
          </w:p>
        </w:tc>
        <w:tc>
          <w:tcPr>
            <w:tcW w:w="1950" w:type="dxa"/>
            <w:tcBorders>
              <w:top w:val="nil"/>
              <w:left w:val="nil"/>
              <w:bottom w:val="single" w:sz="4" w:space="0" w:color="auto"/>
              <w:right w:val="single" w:sz="4" w:space="0" w:color="auto"/>
            </w:tcBorders>
            <w:shd w:val="clear" w:color="000000" w:fill="D4EEF6"/>
            <w:noWrap/>
            <w:vAlign w:val="bottom"/>
            <w:hideMark/>
          </w:tcPr>
          <w:p w14:paraId="314182F3"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w:t>
            </w:r>
          </w:p>
        </w:tc>
        <w:tc>
          <w:tcPr>
            <w:tcW w:w="419" w:type="dxa"/>
            <w:tcBorders>
              <w:top w:val="nil"/>
              <w:left w:val="nil"/>
              <w:bottom w:val="single" w:sz="4" w:space="0" w:color="auto"/>
              <w:right w:val="single" w:sz="4" w:space="0" w:color="auto"/>
            </w:tcBorders>
            <w:shd w:val="clear" w:color="000000" w:fill="D4EEF6"/>
            <w:noWrap/>
            <w:vAlign w:val="bottom"/>
            <w:hideMark/>
          </w:tcPr>
          <w:p w14:paraId="39496FE1"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w:t>
            </w:r>
          </w:p>
        </w:tc>
      </w:tr>
      <w:tr w:rsidR="0023090D" w:rsidRPr="00135D7B" w14:paraId="0EA81BD5" w14:textId="77777777" w:rsidTr="000915FE">
        <w:trPr>
          <w:trHeight w:val="412"/>
        </w:trPr>
        <w:tc>
          <w:tcPr>
            <w:tcW w:w="1840" w:type="dxa"/>
            <w:tcBorders>
              <w:top w:val="nil"/>
              <w:left w:val="single" w:sz="4" w:space="0" w:color="auto"/>
              <w:bottom w:val="single" w:sz="4" w:space="0" w:color="auto"/>
              <w:right w:val="single" w:sz="4" w:space="0" w:color="auto"/>
            </w:tcBorders>
            <w:shd w:val="clear" w:color="000000" w:fill="D4EEF6"/>
            <w:noWrap/>
            <w:vAlign w:val="bottom"/>
            <w:hideMark/>
          </w:tcPr>
          <w:p w14:paraId="68C42133"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3</w:t>
            </w:r>
          </w:p>
        </w:tc>
        <w:tc>
          <w:tcPr>
            <w:tcW w:w="5077" w:type="dxa"/>
            <w:tcBorders>
              <w:top w:val="nil"/>
              <w:left w:val="nil"/>
              <w:bottom w:val="single" w:sz="4" w:space="0" w:color="auto"/>
              <w:right w:val="single" w:sz="4" w:space="0" w:color="auto"/>
            </w:tcBorders>
            <w:shd w:val="clear" w:color="000000" w:fill="D4EEF6"/>
            <w:noWrap/>
            <w:vAlign w:val="bottom"/>
            <w:hideMark/>
          </w:tcPr>
          <w:p w14:paraId="473A9BA9"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1+1%</w:t>
            </w:r>
            <w:proofErr w:type="gramStart"/>
            <w:r w:rsidRPr="00135D7B">
              <w:rPr>
                <w:rFonts w:cs="Arial"/>
                <w:color w:val="000000"/>
                <w:szCs w:val="24"/>
                <w:lang w:val="en-GB"/>
              </w:rPr>
              <w:t>)]^</w:t>
            </w:r>
            <w:proofErr w:type="gramEnd"/>
            <w:r w:rsidRPr="00135D7B">
              <w:rPr>
                <w:rFonts w:cs="Arial"/>
                <w:color w:val="000000"/>
                <w:szCs w:val="24"/>
                <w:lang w:val="en-GB"/>
              </w:rPr>
              <w:t>3</w:t>
            </w:r>
          </w:p>
        </w:tc>
        <w:tc>
          <w:tcPr>
            <w:tcW w:w="1950" w:type="dxa"/>
            <w:tcBorders>
              <w:top w:val="nil"/>
              <w:left w:val="nil"/>
              <w:bottom w:val="single" w:sz="4" w:space="0" w:color="auto"/>
              <w:right w:val="single" w:sz="4" w:space="0" w:color="auto"/>
            </w:tcBorders>
            <w:shd w:val="clear" w:color="000000" w:fill="D4EEF6"/>
            <w:noWrap/>
            <w:vAlign w:val="bottom"/>
            <w:hideMark/>
          </w:tcPr>
          <w:p w14:paraId="2E727F15"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w:t>
            </w:r>
          </w:p>
        </w:tc>
        <w:tc>
          <w:tcPr>
            <w:tcW w:w="419" w:type="dxa"/>
            <w:tcBorders>
              <w:top w:val="nil"/>
              <w:left w:val="nil"/>
              <w:bottom w:val="single" w:sz="4" w:space="0" w:color="auto"/>
              <w:right w:val="single" w:sz="4" w:space="0" w:color="auto"/>
            </w:tcBorders>
            <w:shd w:val="clear" w:color="000000" w:fill="D4EEF6"/>
            <w:noWrap/>
            <w:vAlign w:val="bottom"/>
            <w:hideMark/>
          </w:tcPr>
          <w:p w14:paraId="7982168D"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w:t>
            </w:r>
          </w:p>
        </w:tc>
      </w:tr>
      <w:tr w:rsidR="0023090D" w:rsidRPr="00135D7B" w14:paraId="629F64C6" w14:textId="77777777" w:rsidTr="000915FE">
        <w:trPr>
          <w:trHeight w:val="412"/>
        </w:trPr>
        <w:tc>
          <w:tcPr>
            <w:tcW w:w="1840" w:type="dxa"/>
            <w:tcBorders>
              <w:top w:val="nil"/>
              <w:left w:val="single" w:sz="4" w:space="0" w:color="auto"/>
              <w:bottom w:val="single" w:sz="4" w:space="0" w:color="auto"/>
              <w:right w:val="single" w:sz="4" w:space="0" w:color="auto"/>
            </w:tcBorders>
            <w:shd w:val="clear" w:color="000000" w:fill="D4EEF6"/>
            <w:noWrap/>
            <w:vAlign w:val="bottom"/>
            <w:hideMark/>
          </w:tcPr>
          <w:p w14:paraId="6240708D"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4</w:t>
            </w:r>
          </w:p>
        </w:tc>
        <w:tc>
          <w:tcPr>
            <w:tcW w:w="5077" w:type="dxa"/>
            <w:tcBorders>
              <w:top w:val="nil"/>
              <w:left w:val="nil"/>
              <w:bottom w:val="single" w:sz="4" w:space="0" w:color="auto"/>
              <w:right w:val="single" w:sz="4" w:space="0" w:color="auto"/>
            </w:tcBorders>
            <w:shd w:val="clear" w:color="000000" w:fill="D4EEF6"/>
            <w:noWrap/>
            <w:vAlign w:val="bottom"/>
            <w:hideMark/>
          </w:tcPr>
          <w:p w14:paraId="5D2AB793"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1+1%</w:t>
            </w:r>
            <w:proofErr w:type="gramStart"/>
            <w:r w:rsidRPr="00135D7B">
              <w:rPr>
                <w:rFonts w:cs="Arial"/>
                <w:color w:val="000000"/>
                <w:szCs w:val="24"/>
                <w:lang w:val="en-GB"/>
              </w:rPr>
              <w:t>)]^</w:t>
            </w:r>
            <w:proofErr w:type="gramEnd"/>
            <w:r w:rsidRPr="00135D7B">
              <w:rPr>
                <w:rFonts w:cs="Arial"/>
                <w:color w:val="000000"/>
                <w:szCs w:val="24"/>
                <w:lang w:val="en-GB"/>
              </w:rPr>
              <w:t>4</w:t>
            </w:r>
          </w:p>
        </w:tc>
        <w:tc>
          <w:tcPr>
            <w:tcW w:w="1950" w:type="dxa"/>
            <w:tcBorders>
              <w:top w:val="nil"/>
              <w:left w:val="nil"/>
              <w:bottom w:val="single" w:sz="4" w:space="0" w:color="auto"/>
              <w:right w:val="single" w:sz="4" w:space="0" w:color="auto"/>
            </w:tcBorders>
            <w:shd w:val="clear" w:color="000000" w:fill="D4EEF6"/>
            <w:noWrap/>
            <w:vAlign w:val="bottom"/>
            <w:hideMark/>
          </w:tcPr>
          <w:p w14:paraId="4AD160E3"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w:t>
            </w:r>
          </w:p>
        </w:tc>
        <w:tc>
          <w:tcPr>
            <w:tcW w:w="419" w:type="dxa"/>
            <w:tcBorders>
              <w:top w:val="nil"/>
              <w:left w:val="nil"/>
              <w:bottom w:val="single" w:sz="4" w:space="0" w:color="auto"/>
              <w:right w:val="single" w:sz="4" w:space="0" w:color="auto"/>
            </w:tcBorders>
            <w:shd w:val="clear" w:color="000000" w:fill="D4EEF6"/>
            <w:noWrap/>
            <w:vAlign w:val="bottom"/>
            <w:hideMark/>
          </w:tcPr>
          <w:p w14:paraId="5D7EC02D"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w:t>
            </w:r>
          </w:p>
        </w:tc>
      </w:tr>
      <w:tr w:rsidR="0023090D" w:rsidRPr="00135D7B" w14:paraId="535FD8BA" w14:textId="77777777" w:rsidTr="000915FE">
        <w:trPr>
          <w:trHeight w:val="412"/>
        </w:trPr>
        <w:tc>
          <w:tcPr>
            <w:tcW w:w="1840" w:type="dxa"/>
            <w:tcBorders>
              <w:top w:val="nil"/>
              <w:left w:val="single" w:sz="4" w:space="0" w:color="auto"/>
              <w:bottom w:val="single" w:sz="4" w:space="0" w:color="auto"/>
              <w:right w:val="single" w:sz="4" w:space="0" w:color="auto"/>
            </w:tcBorders>
            <w:shd w:val="clear" w:color="000000" w:fill="D4EEF6"/>
            <w:noWrap/>
            <w:vAlign w:val="bottom"/>
            <w:hideMark/>
          </w:tcPr>
          <w:p w14:paraId="17E9E563"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w:t>
            </w:r>
          </w:p>
        </w:tc>
        <w:tc>
          <w:tcPr>
            <w:tcW w:w="5077" w:type="dxa"/>
            <w:tcBorders>
              <w:top w:val="nil"/>
              <w:left w:val="nil"/>
              <w:bottom w:val="single" w:sz="4" w:space="0" w:color="auto"/>
              <w:right w:val="single" w:sz="4" w:space="0" w:color="auto"/>
            </w:tcBorders>
            <w:shd w:val="clear" w:color="000000" w:fill="D4EEF6"/>
            <w:noWrap/>
            <w:vAlign w:val="bottom"/>
            <w:hideMark/>
          </w:tcPr>
          <w:p w14:paraId="0311B832"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1+1%</w:t>
            </w:r>
            <w:proofErr w:type="gramStart"/>
            <w:r w:rsidRPr="00135D7B">
              <w:rPr>
                <w:rFonts w:cs="Arial"/>
                <w:color w:val="000000"/>
                <w:szCs w:val="24"/>
                <w:lang w:val="en-GB"/>
              </w:rPr>
              <w:t>)]^</w:t>
            </w:r>
            <w:proofErr w:type="gramEnd"/>
            <w:r w:rsidRPr="00135D7B">
              <w:rPr>
                <w:rFonts w:cs="Arial"/>
                <w:color w:val="000000"/>
                <w:szCs w:val="24"/>
                <w:lang w:val="en-GB"/>
              </w:rPr>
              <w:t>5</w:t>
            </w:r>
          </w:p>
        </w:tc>
        <w:tc>
          <w:tcPr>
            <w:tcW w:w="1950" w:type="dxa"/>
            <w:tcBorders>
              <w:top w:val="nil"/>
              <w:left w:val="nil"/>
              <w:bottom w:val="single" w:sz="4" w:space="0" w:color="auto"/>
              <w:right w:val="single" w:sz="4" w:space="0" w:color="auto"/>
            </w:tcBorders>
            <w:shd w:val="clear" w:color="000000" w:fill="D4EEF6"/>
            <w:noWrap/>
            <w:vAlign w:val="bottom"/>
            <w:hideMark/>
          </w:tcPr>
          <w:p w14:paraId="59D4169A"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w:t>
            </w:r>
          </w:p>
        </w:tc>
        <w:tc>
          <w:tcPr>
            <w:tcW w:w="419" w:type="dxa"/>
            <w:tcBorders>
              <w:top w:val="nil"/>
              <w:left w:val="nil"/>
              <w:bottom w:val="single" w:sz="4" w:space="0" w:color="auto"/>
              <w:right w:val="single" w:sz="4" w:space="0" w:color="auto"/>
            </w:tcBorders>
            <w:shd w:val="clear" w:color="000000" w:fill="D4EEF6"/>
            <w:noWrap/>
            <w:vAlign w:val="bottom"/>
            <w:hideMark/>
          </w:tcPr>
          <w:p w14:paraId="3873F3E1"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w:t>
            </w:r>
          </w:p>
        </w:tc>
      </w:tr>
      <w:tr w:rsidR="0023090D" w:rsidRPr="00135D7B" w14:paraId="4988ABD5" w14:textId="77777777" w:rsidTr="000915FE">
        <w:trPr>
          <w:trHeight w:val="412"/>
        </w:trPr>
        <w:tc>
          <w:tcPr>
            <w:tcW w:w="1840" w:type="dxa"/>
            <w:tcBorders>
              <w:top w:val="nil"/>
              <w:left w:val="single" w:sz="4" w:space="0" w:color="auto"/>
              <w:bottom w:val="single" w:sz="4" w:space="0" w:color="auto"/>
              <w:right w:val="single" w:sz="4" w:space="0" w:color="auto"/>
            </w:tcBorders>
            <w:shd w:val="clear" w:color="000000" w:fill="D4EEF6"/>
            <w:noWrap/>
            <w:vAlign w:val="bottom"/>
            <w:hideMark/>
          </w:tcPr>
          <w:p w14:paraId="1F0A372E"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c>
          <w:tcPr>
            <w:tcW w:w="5077" w:type="dxa"/>
            <w:tcBorders>
              <w:top w:val="nil"/>
              <w:left w:val="nil"/>
              <w:bottom w:val="single" w:sz="4" w:space="0" w:color="auto"/>
              <w:right w:val="single" w:sz="4" w:space="0" w:color="auto"/>
            </w:tcBorders>
            <w:shd w:val="clear" w:color="000000" w:fill="D4EEF6"/>
            <w:noWrap/>
            <w:vAlign w:val="bottom"/>
            <w:hideMark/>
          </w:tcPr>
          <w:p w14:paraId="65F3B0DB"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c>
          <w:tcPr>
            <w:tcW w:w="1950" w:type="dxa"/>
            <w:tcBorders>
              <w:top w:val="nil"/>
              <w:left w:val="nil"/>
              <w:bottom w:val="single" w:sz="4" w:space="0" w:color="auto"/>
              <w:right w:val="single" w:sz="4" w:space="0" w:color="auto"/>
            </w:tcBorders>
            <w:shd w:val="clear" w:color="000000" w:fill="D4EEF6"/>
            <w:noWrap/>
            <w:vAlign w:val="bottom"/>
            <w:hideMark/>
          </w:tcPr>
          <w:p w14:paraId="50D4B6E5"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c>
          <w:tcPr>
            <w:tcW w:w="419" w:type="dxa"/>
            <w:tcBorders>
              <w:top w:val="nil"/>
              <w:left w:val="nil"/>
              <w:bottom w:val="single" w:sz="4" w:space="0" w:color="auto"/>
              <w:right w:val="single" w:sz="4" w:space="0" w:color="auto"/>
            </w:tcBorders>
            <w:shd w:val="clear" w:color="000000" w:fill="D4EEF6"/>
            <w:noWrap/>
            <w:vAlign w:val="bottom"/>
            <w:hideMark/>
          </w:tcPr>
          <w:p w14:paraId="0B795A44" w14:textId="77777777" w:rsidR="0023090D" w:rsidRPr="00135D7B" w:rsidRDefault="0023090D" w:rsidP="000915FE">
            <w:pPr>
              <w:spacing w:after="0" w:line="240" w:lineRule="auto"/>
              <w:jc w:val="right"/>
              <w:rPr>
                <w:rFonts w:cs="Arial"/>
                <w:b/>
                <w:bCs/>
                <w:color w:val="000000"/>
                <w:szCs w:val="24"/>
                <w:lang w:val="en-GB"/>
              </w:rPr>
            </w:pPr>
            <w:r w:rsidRPr="00135D7B">
              <w:rPr>
                <w:rFonts w:cs="Arial"/>
                <w:b/>
                <w:bCs/>
                <w:color w:val="000000"/>
                <w:szCs w:val="24"/>
                <w:lang w:val="en-GB"/>
              </w:rPr>
              <w:t>30</w:t>
            </w:r>
          </w:p>
        </w:tc>
      </w:tr>
      <w:tr w:rsidR="0023090D" w:rsidRPr="00135D7B" w14:paraId="3BCE4D8D" w14:textId="77777777" w:rsidTr="000915FE">
        <w:trPr>
          <w:trHeight w:val="412"/>
        </w:trPr>
        <w:tc>
          <w:tcPr>
            <w:tcW w:w="1840" w:type="dxa"/>
            <w:tcBorders>
              <w:top w:val="nil"/>
              <w:left w:val="single" w:sz="4" w:space="0" w:color="auto"/>
              <w:bottom w:val="single" w:sz="4" w:space="0" w:color="auto"/>
              <w:right w:val="single" w:sz="4" w:space="0" w:color="auto"/>
            </w:tcBorders>
            <w:shd w:val="clear" w:color="000000" w:fill="D4EEF6"/>
            <w:noWrap/>
            <w:vAlign w:val="bottom"/>
            <w:hideMark/>
          </w:tcPr>
          <w:p w14:paraId="1B34EF03"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NPV</w:t>
            </w:r>
          </w:p>
        </w:tc>
        <w:tc>
          <w:tcPr>
            <w:tcW w:w="5077" w:type="dxa"/>
            <w:tcBorders>
              <w:top w:val="nil"/>
              <w:left w:val="nil"/>
              <w:bottom w:val="single" w:sz="4" w:space="0" w:color="auto"/>
              <w:right w:val="single" w:sz="4" w:space="0" w:color="auto"/>
            </w:tcBorders>
            <w:shd w:val="clear" w:color="000000" w:fill="D4EEF6"/>
            <w:noWrap/>
            <w:vAlign w:val="bottom"/>
            <w:hideMark/>
          </w:tcPr>
          <w:p w14:paraId="58C1F764" w14:textId="77777777" w:rsidR="0023090D" w:rsidRPr="00135D7B" w:rsidRDefault="0023090D" w:rsidP="000915FE">
            <w:pPr>
              <w:spacing w:after="0" w:line="240" w:lineRule="auto"/>
              <w:jc w:val="right"/>
              <w:rPr>
                <w:rFonts w:cs="Arial"/>
                <w:b/>
                <w:bCs/>
                <w:color w:val="000000"/>
                <w:szCs w:val="24"/>
                <w:lang w:val="en-GB"/>
              </w:rPr>
            </w:pPr>
            <w:r w:rsidRPr="00135D7B">
              <w:rPr>
                <w:rFonts w:cs="Arial"/>
                <w:b/>
                <w:bCs/>
                <w:color w:val="000000"/>
                <w:szCs w:val="24"/>
                <w:lang w:val="en-GB"/>
              </w:rPr>
              <w:t>0</w:t>
            </w:r>
          </w:p>
        </w:tc>
        <w:tc>
          <w:tcPr>
            <w:tcW w:w="1950" w:type="dxa"/>
            <w:tcBorders>
              <w:top w:val="nil"/>
              <w:left w:val="nil"/>
              <w:bottom w:val="single" w:sz="4" w:space="0" w:color="auto"/>
              <w:right w:val="single" w:sz="4" w:space="0" w:color="auto"/>
            </w:tcBorders>
            <w:shd w:val="clear" w:color="000000" w:fill="D4EEF6"/>
            <w:noWrap/>
            <w:vAlign w:val="bottom"/>
            <w:hideMark/>
          </w:tcPr>
          <w:p w14:paraId="243CA51A"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c>
          <w:tcPr>
            <w:tcW w:w="419" w:type="dxa"/>
            <w:tcBorders>
              <w:top w:val="nil"/>
              <w:left w:val="nil"/>
              <w:bottom w:val="single" w:sz="4" w:space="0" w:color="auto"/>
              <w:right w:val="single" w:sz="4" w:space="0" w:color="auto"/>
            </w:tcBorders>
            <w:shd w:val="clear" w:color="000000" w:fill="D4EEF6"/>
            <w:noWrap/>
            <w:vAlign w:val="bottom"/>
            <w:hideMark/>
          </w:tcPr>
          <w:p w14:paraId="45968DE4"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r>
      <w:tr w:rsidR="0023090D" w:rsidRPr="00135D7B" w14:paraId="68C4725E" w14:textId="77777777" w:rsidTr="000915FE">
        <w:trPr>
          <w:trHeight w:val="412"/>
        </w:trPr>
        <w:tc>
          <w:tcPr>
            <w:tcW w:w="1840" w:type="dxa"/>
            <w:tcBorders>
              <w:top w:val="nil"/>
              <w:left w:val="single" w:sz="4" w:space="0" w:color="auto"/>
              <w:bottom w:val="single" w:sz="4" w:space="0" w:color="auto"/>
              <w:right w:val="single" w:sz="4" w:space="0" w:color="auto"/>
            </w:tcBorders>
            <w:shd w:val="clear" w:color="000000" w:fill="D4EEF6"/>
            <w:noWrap/>
            <w:vAlign w:val="bottom"/>
            <w:hideMark/>
          </w:tcPr>
          <w:p w14:paraId="7481FF5F"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Discount rate</w:t>
            </w:r>
          </w:p>
        </w:tc>
        <w:tc>
          <w:tcPr>
            <w:tcW w:w="5077" w:type="dxa"/>
            <w:tcBorders>
              <w:top w:val="nil"/>
              <w:left w:val="nil"/>
              <w:bottom w:val="single" w:sz="4" w:space="0" w:color="auto"/>
              <w:right w:val="single" w:sz="4" w:space="0" w:color="auto"/>
            </w:tcBorders>
            <w:shd w:val="clear" w:color="000000" w:fill="D4EEF6"/>
            <w:noWrap/>
            <w:vAlign w:val="bottom"/>
            <w:hideMark/>
          </w:tcPr>
          <w:p w14:paraId="3A2EE7F5"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10%</w:t>
            </w:r>
          </w:p>
        </w:tc>
        <w:tc>
          <w:tcPr>
            <w:tcW w:w="1950" w:type="dxa"/>
            <w:tcBorders>
              <w:top w:val="nil"/>
              <w:left w:val="nil"/>
              <w:bottom w:val="single" w:sz="4" w:space="0" w:color="auto"/>
              <w:right w:val="single" w:sz="4" w:space="0" w:color="auto"/>
            </w:tcBorders>
            <w:shd w:val="clear" w:color="000000" w:fill="D4EEF6"/>
            <w:noWrap/>
            <w:vAlign w:val="bottom"/>
            <w:hideMark/>
          </w:tcPr>
          <w:p w14:paraId="34857301"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w:t>
            </w:r>
          </w:p>
        </w:tc>
        <w:tc>
          <w:tcPr>
            <w:tcW w:w="419" w:type="dxa"/>
            <w:tcBorders>
              <w:top w:val="nil"/>
              <w:left w:val="nil"/>
              <w:bottom w:val="nil"/>
              <w:right w:val="nil"/>
            </w:tcBorders>
            <w:noWrap/>
            <w:vAlign w:val="bottom"/>
            <w:hideMark/>
          </w:tcPr>
          <w:p w14:paraId="7E99AE66" w14:textId="77777777" w:rsidR="0023090D" w:rsidRPr="00135D7B" w:rsidRDefault="0023090D" w:rsidP="000915FE">
            <w:pPr>
              <w:spacing w:after="0" w:line="240" w:lineRule="auto"/>
              <w:jc w:val="right"/>
              <w:rPr>
                <w:rFonts w:cs="Arial"/>
                <w:color w:val="000000"/>
                <w:szCs w:val="24"/>
                <w:lang w:val="en-GB"/>
              </w:rPr>
            </w:pPr>
          </w:p>
        </w:tc>
      </w:tr>
      <w:tr w:rsidR="0023090D" w:rsidRPr="00135D7B" w14:paraId="4B822091" w14:textId="77777777" w:rsidTr="000915FE">
        <w:trPr>
          <w:trHeight w:val="412"/>
        </w:trPr>
        <w:tc>
          <w:tcPr>
            <w:tcW w:w="1840" w:type="dxa"/>
            <w:tcBorders>
              <w:top w:val="nil"/>
              <w:left w:val="single" w:sz="4" w:space="0" w:color="auto"/>
              <w:bottom w:val="single" w:sz="4" w:space="0" w:color="auto"/>
              <w:right w:val="single" w:sz="4" w:space="0" w:color="auto"/>
            </w:tcBorders>
            <w:shd w:val="clear" w:color="000000" w:fill="D4EEF6"/>
            <w:noWrap/>
            <w:vAlign w:val="bottom"/>
            <w:hideMark/>
          </w:tcPr>
          <w:p w14:paraId="53646EF7"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NPV</w:t>
            </w:r>
          </w:p>
        </w:tc>
        <w:tc>
          <w:tcPr>
            <w:tcW w:w="5077" w:type="dxa"/>
            <w:tcBorders>
              <w:top w:val="nil"/>
              <w:left w:val="nil"/>
              <w:bottom w:val="single" w:sz="4" w:space="0" w:color="auto"/>
              <w:right w:val="single" w:sz="4" w:space="0" w:color="auto"/>
            </w:tcBorders>
            <w:shd w:val="clear" w:color="000000" w:fill="D4EEF6"/>
            <w:noWrap/>
            <w:vAlign w:val="bottom"/>
            <w:hideMark/>
          </w:tcPr>
          <w:p w14:paraId="4F01EC5F"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xml:space="preserve">-                                                       7.26 </w:t>
            </w:r>
          </w:p>
        </w:tc>
        <w:tc>
          <w:tcPr>
            <w:tcW w:w="1950" w:type="dxa"/>
            <w:tcBorders>
              <w:top w:val="nil"/>
              <w:left w:val="nil"/>
              <w:bottom w:val="single" w:sz="4" w:space="0" w:color="auto"/>
              <w:right w:val="single" w:sz="4" w:space="0" w:color="auto"/>
            </w:tcBorders>
            <w:shd w:val="clear" w:color="000000" w:fill="D4EEF6"/>
            <w:noWrap/>
            <w:vAlign w:val="bottom"/>
            <w:hideMark/>
          </w:tcPr>
          <w:p w14:paraId="17D5CEE8"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w:t>
            </w:r>
          </w:p>
        </w:tc>
        <w:tc>
          <w:tcPr>
            <w:tcW w:w="419" w:type="dxa"/>
            <w:tcBorders>
              <w:top w:val="nil"/>
              <w:left w:val="nil"/>
              <w:bottom w:val="nil"/>
              <w:right w:val="nil"/>
            </w:tcBorders>
            <w:noWrap/>
            <w:vAlign w:val="bottom"/>
            <w:hideMark/>
          </w:tcPr>
          <w:p w14:paraId="006F5E52" w14:textId="77777777" w:rsidR="0023090D" w:rsidRPr="00135D7B" w:rsidRDefault="0023090D" w:rsidP="000915FE">
            <w:pPr>
              <w:spacing w:after="0" w:line="240" w:lineRule="auto"/>
              <w:jc w:val="right"/>
              <w:rPr>
                <w:rFonts w:cs="Arial"/>
                <w:color w:val="000000"/>
                <w:szCs w:val="24"/>
                <w:lang w:val="en-GB"/>
              </w:rPr>
            </w:pPr>
          </w:p>
        </w:tc>
      </w:tr>
      <w:tr w:rsidR="0023090D" w:rsidRPr="00135D7B" w14:paraId="5D2F1159" w14:textId="77777777" w:rsidTr="000915FE">
        <w:trPr>
          <w:trHeight w:val="412"/>
        </w:trPr>
        <w:tc>
          <w:tcPr>
            <w:tcW w:w="1840" w:type="dxa"/>
            <w:tcBorders>
              <w:top w:val="nil"/>
              <w:left w:val="single" w:sz="4" w:space="0" w:color="auto"/>
              <w:bottom w:val="single" w:sz="4" w:space="0" w:color="auto"/>
              <w:right w:val="single" w:sz="4" w:space="0" w:color="auto"/>
            </w:tcBorders>
            <w:shd w:val="clear" w:color="000000" w:fill="D4EEF6"/>
            <w:noWrap/>
            <w:vAlign w:val="bottom"/>
            <w:hideMark/>
          </w:tcPr>
          <w:p w14:paraId="5A283E08"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IRR</w:t>
            </w:r>
          </w:p>
        </w:tc>
        <w:tc>
          <w:tcPr>
            <w:tcW w:w="5077" w:type="dxa"/>
            <w:tcBorders>
              <w:top w:val="nil"/>
              <w:left w:val="nil"/>
              <w:bottom w:val="single" w:sz="4" w:space="0" w:color="auto"/>
              <w:right w:val="single" w:sz="4" w:space="0" w:color="auto"/>
            </w:tcBorders>
            <w:shd w:val="clear" w:color="000000" w:fill="D4EEF6"/>
            <w:noWrap/>
            <w:vAlign w:val="bottom"/>
            <w:hideMark/>
          </w:tcPr>
          <w:p w14:paraId="54E098AA"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w:t>
            </w:r>
          </w:p>
        </w:tc>
        <w:tc>
          <w:tcPr>
            <w:tcW w:w="1950" w:type="dxa"/>
            <w:tcBorders>
              <w:top w:val="nil"/>
              <w:left w:val="nil"/>
              <w:bottom w:val="nil"/>
              <w:right w:val="nil"/>
            </w:tcBorders>
            <w:noWrap/>
            <w:vAlign w:val="bottom"/>
            <w:hideMark/>
          </w:tcPr>
          <w:p w14:paraId="474D90D7" w14:textId="77777777" w:rsidR="0023090D" w:rsidRPr="00135D7B" w:rsidRDefault="0023090D" w:rsidP="000915FE">
            <w:pPr>
              <w:spacing w:after="0" w:line="240" w:lineRule="auto"/>
              <w:jc w:val="right"/>
              <w:rPr>
                <w:rFonts w:cs="Arial"/>
                <w:color w:val="000000"/>
                <w:szCs w:val="24"/>
                <w:lang w:val="en-GB"/>
              </w:rPr>
            </w:pPr>
          </w:p>
        </w:tc>
        <w:tc>
          <w:tcPr>
            <w:tcW w:w="419" w:type="dxa"/>
            <w:tcBorders>
              <w:top w:val="nil"/>
              <w:left w:val="nil"/>
              <w:bottom w:val="nil"/>
              <w:right w:val="nil"/>
            </w:tcBorders>
            <w:noWrap/>
            <w:vAlign w:val="bottom"/>
            <w:hideMark/>
          </w:tcPr>
          <w:p w14:paraId="05BA7534" w14:textId="77777777" w:rsidR="0023090D" w:rsidRPr="00135D7B" w:rsidRDefault="0023090D" w:rsidP="000915FE">
            <w:pPr>
              <w:spacing w:after="0" w:line="240" w:lineRule="auto"/>
              <w:jc w:val="left"/>
              <w:rPr>
                <w:rFonts w:cs="Arial"/>
                <w:szCs w:val="24"/>
                <w:lang w:val="en-GB"/>
              </w:rPr>
            </w:pPr>
          </w:p>
        </w:tc>
      </w:tr>
    </w:tbl>
    <w:p w14:paraId="71B96BC8" w14:textId="77777777" w:rsidR="0023090D" w:rsidRPr="00095284" w:rsidRDefault="0023090D" w:rsidP="0023090D">
      <w:pPr>
        <w:rPr>
          <w:rFonts w:cs="Arial"/>
          <w:szCs w:val="24"/>
          <w:lang w:val="en-GB"/>
        </w:rPr>
      </w:pPr>
    </w:p>
    <w:p w14:paraId="7168B96F" w14:textId="77777777" w:rsidR="0023090D" w:rsidRPr="00095284" w:rsidRDefault="0023090D" w:rsidP="0023090D">
      <w:pPr>
        <w:pStyle w:val="Heading3"/>
        <w:rPr>
          <w:lang w:val="en-GB"/>
        </w:rPr>
      </w:pPr>
      <w:bookmarkStart w:id="45" w:name="_Toc216894606"/>
      <w:r w:rsidRPr="00095284">
        <w:rPr>
          <w:lang w:val="en-GB"/>
        </w:rPr>
        <w:t>Project C</w:t>
      </w:r>
      <w:bookmarkEnd w:id="45"/>
    </w:p>
    <w:tbl>
      <w:tblPr>
        <w:tblW w:w="9520" w:type="dxa"/>
        <w:tblLook w:val="04A0" w:firstRow="1" w:lastRow="0" w:firstColumn="1" w:lastColumn="0" w:noHBand="0" w:noVBand="1"/>
      </w:tblPr>
      <w:tblGrid>
        <w:gridCol w:w="3971"/>
        <w:gridCol w:w="1783"/>
        <w:gridCol w:w="3766"/>
      </w:tblGrid>
      <w:tr w:rsidR="0023090D" w:rsidRPr="00135D7B" w14:paraId="3DFE64F2" w14:textId="77777777" w:rsidTr="000915FE">
        <w:trPr>
          <w:trHeight w:val="384"/>
        </w:trPr>
        <w:tc>
          <w:tcPr>
            <w:tcW w:w="9520" w:type="dxa"/>
            <w:gridSpan w:val="3"/>
            <w:tcBorders>
              <w:top w:val="nil"/>
              <w:left w:val="nil"/>
              <w:bottom w:val="nil"/>
              <w:right w:val="nil"/>
            </w:tcBorders>
            <w:shd w:val="clear" w:color="000000" w:fill="9ACAA9"/>
            <w:noWrap/>
            <w:vAlign w:val="bottom"/>
            <w:hideMark/>
          </w:tcPr>
          <w:p w14:paraId="599ED92C"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PBP</w:t>
            </w:r>
          </w:p>
        </w:tc>
      </w:tr>
      <w:tr w:rsidR="0023090D" w:rsidRPr="00135D7B" w14:paraId="7FDD384B" w14:textId="77777777" w:rsidTr="000915FE">
        <w:trPr>
          <w:trHeight w:val="384"/>
        </w:trPr>
        <w:tc>
          <w:tcPr>
            <w:tcW w:w="3971" w:type="dxa"/>
            <w:tcBorders>
              <w:top w:val="single" w:sz="4" w:space="0" w:color="auto"/>
              <w:left w:val="single" w:sz="4" w:space="0" w:color="auto"/>
              <w:bottom w:val="single" w:sz="4" w:space="0" w:color="auto"/>
              <w:right w:val="single" w:sz="4" w:space="0" w:color="auto"/>
            </w:tcBorders>
            <w:shd w:val="clear" w:color="000000" w:fill="DAFAF1"/>
            <w:noWrap/>
            <w:vAlign w:val="bottom"/>
            <w:hideMark/>
          </w:tcPr>
          <w:p w14:paraId="63736A55"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Year</w:t>
            </w:r>
          </w:p>
        </w:tc>
        <w:tc>
          <w:tcPr>
            <w:tcW w:w="1783" w:type="dxa"/>
            <w:tcBorders>
              <w:top w:val="single" w:sz="4" w:space="0" w:color="auto"/>
              <w:left w:val="nil"/>
              <w:bottom w:val="single" w:sz="4" w:space="0" w:color="auto"/>
              <w:right w:val="single" w:sz="4" w:space="0" w:color="auto"/>
            </w:tcBorders>
            <w:shd w:val="clear" w:color="000000" w:fill="DAFAF1"/>
            <w:noWrap/>
            <w:vAlign w:val="bottom"/>
            <w:hideMark/>
          </w:tcPr>
          <w:p w14:paraId="5DC33796" w14:textId="77777777" w:rsidR="0023090D" w:rsidRPr="00135D7B" w:rsidRDefault="0023090D" w:rsidP="000915FE">
            <w:pPr>
              <w:spacing w:after="0" w:line="240" w:lineRule="auto"/>
              <w:jc w:val="center"/>
              <w:rPr>
                <w:rFonts w:cs="Arial"/>
                <w:b/>
                <w:bCs/>
                <w:color w:val="000000"/>
                <w:szCs w:val="24"/>
                <w:lang w:val="en-GB"/>
              </w:rPr>
            </w:pPr>
            <w:r w:rsidRPr="00095284">
              <w:rPr>
                <w:rFonts w:cs="Arial"/>
                <w:b/>
                <w:bCs/>
                <w:color w:val="000000"/>
                <w:szCs w:val="24"/>
                <w:lang w:val="en-GB"/>
              </w:rPr>
              <w:t>Cashflow</w:t>
            </w:r>
            <w:r w:rsidRPr="00135D7B">
              <w:rPr>
                <w:rFonts w:cs="Arial"/>
                <w:b/>
                <w:bCs/>
                <w:color w:val="000000"/>
                <w:szCs w:val="24"/>
                <w:lang w:val="en-GB"/>
              </w:rPr>
              <w:t xml:space="preserve"> </w:t>
            </w:r>
          </w:p>
        </w:tc>
        <w:tc>
          <w:tcPr>
            <w:tcW w:w="3766" w:type="dxa"/>
            <w:tcBorders>
              <w:top w:val="single" w:sz="4" w:space="0" w:color="auto"/>
              <w:left w:val="nil"/>
              <w:bottom w:val="single" w:sz="4" w:space="0" w:color="auto"/>
              <w:right w:val="single" w:sz="4" w:space="0" w:color="auto"/>
            </w:tcBorders>
            <w:shd w:val="clear" w:color="000000" w:fill="DAFAF1"/>
            <w:noWrap/>
            <w:vAlign w:val="bottom"/>
            <w:hideMark/>
          </w:tcPr>
          <w:p w14:paraId="2538673C"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Cumulative Cashflow</w:t>
            </w:r>
          </w:p>
        </w:tc>
      </w:tr>
      <w:tr w:rsidR="0023090D" w:rsidRPr="00135D7B" w14:paraId="64F331D9" w14:textId="77777777" w:rsidTr="000915FE">
        <w:trPr>
          <w:trHeight w:val="384"/>
        </w:trPr>
        <w:tc>
          <w:tcPr>
            <w:tcW w:w="3971" w:type="dxa"/>
            <w:tcBorders>
              <w:top w:val="nil"/>
              <w:left w:val="single" w:sz="4" w:space="0" w:color="auto"/>
              <w:bottom w:val="single" w:sz="4" w:space="0" w:color="auto"/>
              <w:right w:val="single" w:sz="4" w:space="0" w:color="auto"/>
            </w:tcBorders>
            <w:shd w:val="clear" w:color="000000" w:fill="DAFAF1"/>
            <w:noWrap/>
            <w:vAlign w:val="bottom"/>
            <w:hideMark/>
          </w:tcPr>
          <w:p w14:paraId="64C58ABB"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w:t>
            </w:r>
          </w:p>
        </w:tc>
        <w:tc>
          <w:tcPr>
            <w:tcW w:w="1783" w:type="dxa"/>
            <w:tcBorders>
              <w:top w:val="nil"/>
              <w:left w:val="nil"/>
              <w:bottom w:val="single" w:sz="4" w:space="0" w:color="auto"/>
              <w:right w:val="single" w:sz="4" w:space="0" w:color="auto"/>
            </w:tcBorders>
            <w:shd w:val="clear" w:color="000000" w:fill="DAFAF1"/>
            <w:noWrap/>
            <w:vAlign w:val="bottom"/>
            <w:hideMark/>
          </w:tcPr>
          <w:p w14:paraId="096820F2"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w:t>
            </w:r>
          </w:p>
        </w:tc>
        <w:tc>
          <w:tcPr>
            <w:tcW w:w="3766" w:type="dxa"/>
            <w:tcBorders>
              <w:top w:val="nil"/>
              <w:left w:val="nil"/>
              <w:bottom w:val="single" w:sz="4" w:space="0" w:color="auto"/>
              <w:right w:val="single" w:sz="4" w:space="0" w:color="auto"/>
            </w:tcBorders>
            <w:shd w:val="clear" w:color="000000" w:fill="DAFAF1"/>
            <w:noWrap/>
            <w:vAlign w:val="bottom"/>
            <w:hideMark/>
          </w:tcPr>
          <w:p w14:paraId="7AC4A4CC"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w:t>
            </w:r>
          </w:p>
        </w:tc>
      </w:tr>
      <w:tr w:rsidR="0023090D" w:rsidRPr="00135D7B" w14:paraId="514EA50A" w14:textId="77777777" w:rsidTr="000915FE">
        <w:trPr>
          <w:trHeight w:val="384"/>
        </w:trPr>
        <w:tc>
          <w:tcPr>
            <w:tcW w:w="3971" w:type="dxa"/>
            <w:tcBorders>
              <w:top w:val="nil"/>
              <w:left w:val="single" w:sz="4" w:space="0" w:color="auto"/>
              <w:bottom w:val="single" w:sz="4" w:space="0" w:color="auto"/>
              <w:right w:val="single" w:sz="4" w:space="0" w:color="auto"/>
            </w:tcBorders>
            <w:shd w:val="clear" w:color="000000" w:fill="DAFAF1"/>
            <w:noWrap/>
            <w:vAlign w:val="bottom"/>
            <w:hideMark/>
          </w:tcPr>
          <w:p w14:paraId="60CC48E4"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2</w:t>
            </w:r>
          </w:p>
        </w:tc>
        <w:tc>
          <w:tcPr>
            <w:tcW w:w="1783" w:type="dxa"/>
            <w:tcBorders>
              <w:top w:val="nil"/>
              <w:left w:val="nil"/>
              <w:bottom w:val="single" w:sz="4" w:space="0" w:color="auto"/>
              <w:right w:val="single" w:sz="4" w:space="0" w:color="auto"/>
            </w:tcBorders>
            <w:shd w:val="clear" w:color="000000" w:fill="DAFAF1"/>
            <w:noWrap/>
            <w:vAlign w:val="bottom"/>
            <w:hideMark/>
          </w:tcPr>
          <w:p w14:paraId="181544B9"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10</w:t>
            </w:r>
          </w:p>
        </w:tc>
        <w:tc>
          <w:tcPr>
            <w:tcW w:w="3766" w:type="dxa"/>
            <w:tcBorders>
              <w:top w:val="nil"/>
              <w:left w:val="nil"/>
              <w:bottom w:val="single" w:sz="4" w:space="0" w:color="auto"/>
              <w:right w:val="single" w:sz="4" w:space="0" w:color="auto"/>
            </w:tcBorders>
            <w:shd w:val="clear" w:color="000000" w:fill="DAFAF1"/>
            <w:noWrap/>
            <w:vAlign w:val="bottom"/>
            <w:hideMark/>
          </w:tcPr>
          <w:p w14:paraId="02FA2449"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15</w:t>
            </w:r>
          </w:p>
        </w:tc>
      </w:tr>
      <w:tr w:rsidR="0023090D" w:rsidRPr="00135D7B" w14:paraId="467C42F6" w14:textId="77777777" w:rsidTr="000915FE">
        <w:trPr>
          <w:trHeight w:val="384"/>
        </w:trPr>
        <w:tc>
          <w:tcPr>
            <w:tcW w:w="3971" w:type="dxa"/>
            <w:tcBorders>
              <w:top w:val="nil"/>
              <w:left w:val="single" w:sz="4" w:space="0" w:color="auto"/>
              <w:bottom w:val="single" w:sz="4" w:space="0" w:color="auto"/>
              <w:right w:val="single" w:sz="4" w:space="0" w:color="auto"/>
            </w:tcBorders>
            <w:shd w:val="clear" w:color="000000" w:fill="DAFAF1"/>
            <w:noWrap/>
            <w:vAlign w:val="bottom"/>
            <w:hideMark/>
          </w:tcPr>
          <w:p w14:paraId="511E4408"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3</w:t>
            </w:r>
          </w:p>
        </w:tc>
        <w:tc>
          <w:tcPr>
            <w:tcW w:w="1783" w:type="dxa"/>
            <w:tcBorders>
              <w:top w:val="nil"/>
              <w:left w:val="nil"/>
              <w:bottom w:val="single" w:sz="4" w:space="0" w:color="auto"/>
              <w:right w:val="single" w:sz="4" w:space="0" w:color="auto"/>
            </w:tcBorders>
            <w:shd w:val="clear" w:color="000000" w:fill="DAFAF1"/>
            <w:noWrap/>
            <w:vAlign w:val="bottom"/>
            <w:hideMark/>
          </w:tcPr>
          <w:p w14:paraId="1124B7C2"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20</w:t>
            </w:r>
          </w:p>
        </w:tc>
        <w:tc>
          <w:tcPr>
            <w:tcW w:w="3766" w:type="dxa"/>
            <w:tcBorders>
              <w:top w:val="nil"/>
              <w:left w:val="nil"/>
              <w:bottom w:val="single" w:sz="4" w:space="0" w:color="auto"/>
              <w:right w:val="single" w:sz="4" w:space="0" w:color="auto"/>
            </w:tcBorders>
            <w:shd w:val="clear" w:color="000000" w:fill="DAFAF1"/>
            <w:noWrap/>
            <w:vAlign w:val="bottom"/>
            <w:hideMark/>
          </w:tcPr>
          <w:p w14:paraId="48AA4094"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35</w:t>
            </w:r>
          </w:p>
        </w:tc>
      </w:tr>
      <w:tr w:rsidR="0023090D" w:rsidRPr="00135D7B" w14:paraId="5A85F85D" w14:textId="77777777" w:rsidTr="000915FE">
        <w:trPr>
          <w:trHeight w:val="384"/>
        </w:trPr>
        <w:tc>
          <w:tcPr>
            <w:tcW w:w="3971" w:type="dxa"/>
            <w:tcBorders>
              <w:top w:val="nil"/>
              <w:left w:val="single" w:sz="4" w:space="0" w:color="auto"/>
              <w:bottom w:val="single" w:sz="4" w:space="0" w:color="auto"/>
              <w:right w:val="single" w:sz="4" w:space="0" w:color="auto"/>
            </w:tcBorders>
            <w:shd w:val="clear" w:color="000000" w:fill="DAFAF1"/>
            <w:noWrap/>
            <w:vAlign w:val="bottom"/>
            <w:hideMark/>
          </w:tcPr>
          <w:p w14:paraId="28219F00"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4</w:t>
            </w:r>
          </w:p>
        </w:tc>
        <w:tc>
          <w:tcPr>
            <w:tcW w:w="1783" w:type="dxa"/>
            <w:tcBorders>
              <w:top w:val="nil"/>
              <w:left w:val="nil"/>
              <w:bottom w:val="single" w:sz="4" w:space="0" w:color="auto"/>
              <w:right w:val="single" w:sz="4" w:space="0" w:color="auto"/>
            </w:tcBorders>
            <w:shd w:val="clear" w:color="000000" w:fill="DAFAF1"/>
            <w:noWrap/>
            <w:vAlign w:val="bottom"/>
            <w:hideMark/>
          </w:tcPr>
          <w:p w14:paraId="2CDD8F5A"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25</w:t>
            </w:r>
          </w:p>
        </w:tc>
        <w:tc>
          <w:tcPr>
            <w:tcW w:w="3766" w:type="dxa"/>
            <w:tcBorders>
              <w:top w:val="nil"/>
              <w:left w:val="nil"/>
              <w:bottom w:val="single" w:sz="4" w:space="0" w:color="auto"/>
              <w:right w:val="single" w:sz="4" w:space="0" w:color="auto"/>
            </w:tcBorders>
            <w:shd w:val="clear" w:color="000000" w:fill="DAFAF1"/>
            <w:noWrap/>
            <w:vAlign w:val="bottom"/>
            <w:hideMark/>
          </w:tcPr>
          <w:p w14:paraId="4AD14D0E"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60</w:t>
            </w:r>
          </w:p>
        </w:tc>
      </w:tr>
      <w:tr w:rsidR="0023090D" w:rsidRPr="00135D7B" w14:paraId="6201ED96" w14:textId="77777777" w:rsidTr="000915FE">
        <w:trPr>
          <w:trHeight w:val="384"/>
        </w:trPr>
        <w:tc>
          <w:tcPr>
            <w:tcW w:w="3971" w:type="dxa"/>
            <w:tcBorders>
              <w:top w:val="nil"/>
              <w:left w:val="single" w:sz="4" w:space="0" w:color="auto"/>
              <w:bottom w:val="single" w:sz="4" w:space="0" w:color="auto"/>
              <w:right w:val="single" w:sz="4" w:space="0" w:color="auto"/>
            </w:tcBorders>
            <w:shd w:val="clear" w:color="000000" w:fill="DAFAF1"/>
            <w:noWrap/>
            <w:vAlign w:val="bottom"/>
            <w:hideMark/>
          </w:tcPr>
          <w:p w14:paraId="6095DF4D"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w:t>
            </w:r>
          </w:p>
        </w:tc>
        <w:tc>
          <w:tcPr>
            <w:tcW w:w="1783" w:type="dxa"/>
            <w:tcBorders>
              <w:top w:val="nil"/>
              <w:left w:val="nil"/>
              <w:bottom w:val="single" w:sz="4" w:space="0" w:color="auto"/>
              <w:right w:val="single" w:sz="4" w:space="0" w:color="auto"/>
            </w:tcBorders>
            <w:shd w:val="clear" w:color="000000" w:fill="DAFAF1"/>
            <w:noWrap/>
            <w:vAlign w:val="bottom"/>
            <w:hideMark/>
          </w:tcPr>
          <w:p w14:paraId="70A46CCE"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15</w:t>
            </w:r>
          </w:p>
        </w:tc>
        <w:tc>
          <w:tcPr>
            <w:tcW w:w="3766" w:type="dxa"/>
            <w:tcBorders>
              <w:top w:val="nil"/>
              <w:left w:val="nil"/>
              <w:bottom w:val="single" w:sz="4" w:space="0" w:color="auto"/>
              <w:right w:val="single" w:sz="4" w:space="0" w:color="auto"/>
            </w:tcBorders>
            <w:shd w:val="clear" w:color="000000" w:fill="DAFAF1"/>
            <w:noWrap/>
            <w:vAlign w:val="bottom"/>
            <w:hideMark/>
          </w:tcPr>
          <w:p w14:paraId="6EEF00E3"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75</w:t>
            </w:r>
          </w:p>
        </w:tc>
      </w:tr>
      <w:tr w:rsidR="0023090D" w:rsidRPr="00135D7B" w14:paraId="7089DDAB" w14:textId="77777777" w:rsidTr="000915FE">
        <w:trPr>
          <w:trHeight w:val="384"/>
        </w:trPr>
        <w:tc>
          <w:tcPr>
            <w:tcW w:w="3971" w:type="dxa"/>
            <w:tcBorders>
              <w:top w:val="nil"/>
              <w:left w:val="single" w:sz="4" w:space="0" w:color="auto"/>
              <w:bottom w:val="single" w:sz="4" w:space="0" w:color="auto"/>
              <w:right w:val="single" w:sz="4" w:space="0" w:color="auto"/>
            </w:tcBorders>
            <w:shd w:val="clear" w:color="000000" w:fill="DAFAF1"/>
            <w:noWrap/>
            <w:vAlign w:val="bottom"/>
            <w:hideMark/>
          </w:tcPr>
          <w:p w14:paraId="7F048DB2"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Investment to recover</w:t>
            </w:r>
          </w:p>
        </w:tc>
        <w:tc>
          <w:tcPr>
            <w:tcW w:w="1783" w:type="dxa"/>
            <w:tcBorders>
              <w:top w:val="nil"/>
              <w:left w:val="nil"/>
              <w:bottom w:val="single" w:sz="4" w:space="0" w:color="auto"/>
              <w:right w:val="single" w:sz="4" w:space="0" w:color="auto"/>
            </w:tcBorders>
            <w:shd w:val="clear" w:color="000000" w:fill="DAFAF1"/>
            <w:noWrap/>
            <w:vAlign w:val="bottom"/>
            <w:hideMark/>
          </w:tcPr>
          <w:p w14:paraId="6CBCEFAE"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50</w:t>
            </w:r>
          </w:p>
        </w:tc>
        <w:tc>
          <w:tcPr>
            <w:tcW w:w="3766" w:type="dxa"/>
            <w:tcBorders>
              <w:top w:val="nil"/>
              <w:left w:val="nil"/>
              <w:bottom w:val="nil"/>
              <w:right w:val="nil"/>
            </w:tcBorders>
            <w:noWrap/>
            <w:vAlign w:val="bottom"/>
            <w:hideMark/>
          </w:tcPr>
          <w:p w14:paraId="2743D688" w14:textId="77777777" w:rsidR="0023090D" w:rsidRPr="00135D7B" w:rsidRDefault="0023090D" w:rsidP="000915FE">
            <w:pPr>
              <w:spacing w:after="0" w:line="240" w:lineRule="auto"/>
              <w:jc w:val="right"/>
              <w:rPr>
                <w:rFonts w:cs="Arial"/>
                <w:color w:val="000000"/>
                <w:szCs w:val="24"/>
                <w:lang w:val="en-GB"/>
              </w:rPr>
            </w:pPr>
          </w:p>
        </w:tc>
      </w:tr>
      <w:tr w:rsidR="0023090D" w:rsidRPr="00135D7B" w14:paraId="08FB3FFF" w14:textId="77777777" w:rsidTr="000915FE">
        <w:trPr>
          <w:trHeight w:val="384"/>
        </w:trPr>
        <w:tc>
          <w:tcPr>
            <w:tcW w:w="3971" w:type="dxa"/>
            <w:tcBorders>
              <w:top w:val="nil"/>
              <w:left w:val="single" w:sz="4" w:space="0" w:color="auto"/>
              <w:bottom w:val="single" w:sz="4" w:space="0" w:color="auto"/>
              <w:right w:val="single" w:sz="4" w:space="0" w:color="auto"/>
            </w:tcBorders>
            <w:shd w:val="clear" w:color="000000" w:fill="DAFAF1"/>
            <w:noWrap/>
            <w:vAlign w:val="bottom"/>
            <w:hideMark/>
          </w:tcPr>
          <w:p w14:paraId="7409E726"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lastRenderedPageBreak/>
              <w:t>After 3 years, recovered</w:t>
            </w:r>
          </w:p>
        </w:tc>
        <w:tc>
          <w:tcPr>
            <w:tcW w:w="1783" w:type="dxa"/>
            <w:tcBorders>
              <w:top w:val="nil"/>
              <w:left w:val="nil"/>
              <w:bottom w:val="single" w:sz="4" w:space="0" w:color="auto"/>
              <w:right w:val="single" w:sz="4" w:space="0" w:color="auto"/>
            </w:tcBorders>
            <w:shd w:val="clear" w:color="000000" w:fill="DAFAF1"/>
            <w:noWrap/>
            <w:vAlign w:val="bottom"/>
            <w:hideMark/>
          </w:tcPr>
          <w:p w14:paraId="3AF58ABA"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35</w:t>
            </w:r>
          </w:p>
        </w:tc>
        <w:tc>
          <w:tcPr>
            <w:tcW w:w="3766" w:type="dxa"/>
            <w:tcBorders>
              <w:top w:val="nil"/>
              <w:left w:val="nil"/>
              <w:bottom w:val="nil"/>
              <w:right w:val="nil"/>
            </w:tcBorders>
            <w:noWrap/>
            <w:vAlign w:val="bottom"/>
            <w:hideMark/>
          </w:tcPr>
          <w:p w14:paraId="78D7C707" w14:textId="77777777" w:rsidR="0023090D" w:rsidRPr="00135D7B" w:rsidRDefault="0023090D" w:rsidP="000915FE">
            <w:pPr>
              <w:spacing w:after="0" w:line="240" w:lineRule="auto"/>
              <w:jc w:val="right"/>
              <w:rPr>
                <w:rFonts w:cs="Arial"/>
                <w:color w:val="000000"/>
                <w:szCs w:val="24"/>
                <w:lang w:val="en-GB"/>
              </w:rPr>
            </w:pPr>
          </w:p>
        </w:tc>
      </w:tr>
      <w:tr w:rsidR="0023090D" w:rsidRPr="00135D7B" w14:paraId="26A2BB11" w14:textId="77777777" w:rsidTr="000915FE">
        <w:trPr>
          <w:trHeight w:val="384"/>
        </w:trPr>
        <w:tc>
          <w:tcPr>
            <w:tcW w:w="3971" w:type="dxa"/>
            <w:tcBorders>
              <w:top w:val="nil"/>
              <w:left w:val="single" w:sz="4" w:space="0" w:color="auto"/>
              <w:bottom w:val="single" w:sz="4" w:space="0" w:color="auto"/>
              <w:right w:val="single" w:sz="4" w:space="0" w:color="auto"/>
            </w:tcBorders>
            <w:shd w:val="clear" w:color="000000" w:fill="DAFAF1"/>
            <w:noWrap/>
            <w:vAlign w:val="bottom"/>
            <w:hideMark/>
          </w:tcPr>
          <w:p w14:paraId="29D2D535"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 xml:space="preserve">Amount remaining </w:t>
            </w:r>
          </w:p>
        </w:tc>
        <w:tc>
          <w:tcPr>
            <w:tcW w:w="1783" w:type="dxa"/>
            <w:tcBorders>
              <w:top w:val="nil"/>
              <w:left w:val="nil"/>
              <w:bottom w:val="single" w:sz="4" w:space="0" w:color="auto"/>
              <w:right w:val="single" w:sz="4" w:space="0" w:color="auto"/>
            </w:tcBorders>
            <w:shd w:val="clear" w:color="000000" w:fill="DAFAF1"/>
            <w:noWrap/>
            <w:vAlign w:val="bottom"/>
            <w:hideMark/>
          </w:tcPr>
          <w:p w14:paraId="184A153E"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15</w:t>
            </w:r>
          </w:p>
        </w:tc>
        <w:tc>
          <w:tcPr>
            <w:tcW w:w="3766" w:type="dxa"/>
            <w:tcBorders>
              <w:top w:val="nil"/>
              <w:left w:val="nil"/>
              <w:bottom w:val="nil"/>
              <w:right w:val="nil"/>
            </w:tcBorders>
            <w:noWrap/>
            <w:vAlign w:val="bottom"/>
            <w:hideMark/>
          </w:tcPr>
          <w:p w14:paraId="6D1DADD5" w14:textId="77777777" w:rsidR="0023090D" w:rsidRPr="00135D7B" w:rsidRDefault="0023090D" w:rsidP="000915FE">
            <w:pPr>
              <w:spacing w:after="0" w:line="240" w:lineRule="auto"/>
              <w:jc w:val="right"/>
              <w:rPr>
                <w:rFonts w:cs="Arial"/>
                <w:color w:val="000000"/>
                <w:szCs w:val="24"/>
                <w:lang w:val="en-GB"/>
              </w:rPr>
            </w:pPr>
          </w:p>
        </w:tc>
      </w:tr>
      <w:tr w:rsidR="0023090D" w:rsidRPr="00135D7B" w14:paraId="33A3E77B" w14:textId="77777777" w:rsidTr="000915FE">
        <w:trPr>
          <w:trHeight w:val="384"/>
        </w:trPr>
        <w:tc>
          <w:tcPr>
            <w:tcW w:w="3971" w:type="dxa"/>
            <w:tcBorders>
              <w:top w:val="nil"/>
              <w:left w:val="single" w:sz="4" w:space="0" w:color="auto"/>
              <w:bottom w:val="single" w:sz="4" w:space="0" w:color="auto"/>
              <w:right w:val="single" w:sz="4" w:space="0" w:color="auto"/>
            </w:tcBorders>
            <w:shd w:val="clear" w:color="000000" w:fill="DAFAF1"/>
            <w:noWrap/>
            <w:vAlign w:val="bottom"/>
            <w:hideMark/>
          </w:tcPr>
          <w:p w14:paraId="4BEF4A3A"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Year 4 Inflow</w:t>
            </w:r>
          </w:p>
        </w:tc>
        <w:tc>
          <w:tcPr>
            <w:tcW w:w="1783" w:type="dxa"/>
            <w:tcBorders>
              <w:top w:val="nil"/>
              <w:left w:val="nil"/>
              <w:bottom w:val="single" w:sz="4" w:space="0" w:color="auto"/>
              <w:right w:val="single" w:sz="4" w:space="0" w:color="auto"/>
            </w:tcBorders>
            <w:shd w:val="clear" w:color="000000" w:fill="DAFAF1"/>
            <w:noWrap/>
            <w:vAlign w:val="bottom"/>
            <w:hideMark/>
          </w:tcPr>
          <w:p w14:paraId="35FF5EC0"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25</w:t>
            </w:r>
          </w:p>
        </w:tc>
        <w:tc>
          <w:tcPr>
            <w:tcW w:w="3766" w:type="dxa"/>
            <w:tcBorders>
              <w:top w:val="nil"/>
              <w:left w:val="nil"/>
              <w:bottom w:val="nil"/>
              <w:right w:val="nil"/>
            </w:tcBorders>
            <w:noWrap/>
            <w:vAlign w:val="bottom"/>
            <w:hideMark/>
          </w:tcPr>
          <w:p w14:paraId="20E2B0C3" w14:textId="77777777" w:rsidR="0023090D" w:rsidRPr="00135D7B" w:rsidRDefault="0023090D" w:rsidP="000915FE">
            <w:pPr>
              <w:spacing w:after="0" w:line="240" w:lineRule="auto"/>
              <w:jc w:val="right"/>
              <w:rPr>
                <w:rFonts w:cs="Arial"/>
                <w:color w:val="000000"/>
                <w:szCs w:val="24"/>
                <w:lang w:val="en-GB"/>
              </w:rPr>
            </w:pPr>
          </w:p>
        </w:tc>
      </w:tr>
      <w:tr w:rsidR="0023090D" w:rsidRPr="00135D7B" w14:paraId="5CFD1DE1" w14:textId="77777777" w:rsidTr="000915FE">
        <w:trPr>
          <w:trHeight w:val="384"/>
        </w:trPr>
        <w:tc>
          <w:tcPr>
            <w:tcW w:w="3971" w:type="dxa"/>
            <w:tcBorders>
              <w:top w:val="nil"/>
              <w:left w:val="single" w:sz="4" w:space="0" w:color="auto"/>
              <w:bottom w:val="single" w:sz="4" w:space="0" w:color="auto"/>
              <w:right w:val="single" w:sz="4" w:space="0" w:color="auto"/>
            </w:tcBorders>
            <w:shd w:val="clear" w:color="000000" w:fill="DAFAF1"/>
            <w:noWrap/>
            <w:vAlign w:val="bottom"/>
            <w:hideMark/>
          </w:tcPr>
          <w:p w14:paraId="31F42DD4"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c>
          <w:tcPr>
            <w:tcW w:w="1783" w:type="dxa"/>
            <w:tcBorders>
              <w:top w:val="nil"/>
              <w:left w:val="nil"/>
              <w:bottom w:val="single" w:sz="4" w:space="0" w:color="auto"/>
              <w:right w:val="single" w:sz="4" w:space="0" w:color="auto"/>
            </w:tcBorders>
            <w:shd w:val="clear" w:color="000000" w:fill="DAFAF1"/>
            <w:noWrap/>
            <w:vAlign w:val="bottom"/>
            <w:hideMark/>
          </w:tcPr>
          <w:p w14:paraId="7F8EF72D"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c>
          <w:tcPr>
            <w:tcW w:w="3766" w:type="dxa"/>
            <w:tcBorders>
              <w:top w:val="nil"/>
              <w:left w:val="nil"/>
              <w:bottom w:val="nil"/>
              <w:right w:val="nil"/>
            </w:tcBorders>
            <w:noWrap/>
            <w:vAlign w:val="bottom"/>
            <w:hideMark/>
          </w:tcPr>
          <w:p w14:paraId="2AAD7F65" w14:textId="77777777" w:rsidR="0023090D" w:rsidRPr="00135D7B" w:rsidRDefault="0023090D" w:rsidP="000915FE">
            <w:pPr>
              <w:spacing w:after="0" w:line="240" w:lineRule="auto"/>
              <w:jc w:val="left"/>
              <w:rPr>
                <w:rFonts w:cs="Arial"/>
                <w:color w:val="000000"/>
                <w:szCs w:val="24"/>
                <w:lang w:val="en-GB"/>
              </w:rPr>
            </w:pPr>
          </w:p>
        </w:tc>
      </w:tr>
      <w:tr w:rsidR="0023090D" w:rsidRPr="00135D7B" w14:paraId="45DB228F" w14:textId="77777777" w:rsidTr="000915FE">
        <w:trPr>
          <w:trHeight w:val="384"/>
        </w:trPr>
        <w:tc>
          <w:tcPr>
            <w:tcW w:w="3971" w:type="dxa"/>
            <w:tcBorders>
              <w:top w:val="nil"/>
              <w:left w:val="single" w:sz="4" w:space="0" w:color="auto"/>
              <w:bottom w:val="single" w:sz="4" w:space="0" w:color="auto"/>
              <w:right w:val="single" w:sz="4" w:space="0" w:color="auto"/>
            </w:tcBorders>
            <w:shd w:val="clear" w:color="000000" w:fill="DAFAF1"/>
            <w:noWrap/>
            <w:vAlign w:val="bottom"/>
            <w:hideMark/>
          </w:tcPr>
          <w:p w14:paraId="757038EC"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PBP</w:t>
            </w:r>
          </w:p>
        </w:tc>
        <w:tc>
          <w:tcPr>
            <w:tcW w:w="1783" w:type="dxa"/>
            <w:tcBorders>
              <w:top w:val="nil"/>
              <w:left w:val="nil"/>
              <w:bottom w:val="single" w:sz="4" w:space="0" w:color="auto"/>
              <w:right w:val="single" w:sz="4" w:space="0" w:color="auto"/>
            </w:tcBorders>
            <w:shd w:val="clear" w:color="000000" w:fill="DAFAF1"/>
            <w:noWrap/>
            <w:vAlign w:val="bottom"/>
            <w:hideMark/>
          </w:tcPr>
          <w:p w14:paraId="6D449D0F"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3.6</w:t>
            </w:r>
          </w:p>
        </w:tc>
        <w:tc>
          <w:tcPr>
            <w:tcW w:w="3766" w:type="dxa"/>
            <w:tcBorders>
              <w:top w:val="nil"/>
              <w:left w:val="nil"/>
              <w:bottom w:val="nil"/>
              <w:right w:val="nil"/>
            </w:tcBorders>
            <w:noWrap/>
            <w:vAlign w:val="bottom"/>
            <w:hideMark/>
          </w:tcPr>
          <w:p w14:paraId="7C4A34DE" w14:textId="77777777" w:rsidR="0023090D" w:rsidRPr="00135D7B" w:rsidRDefault="0023090D" w:rsidP="000915FE">
            <w:pPr>
              <w:spacing w:after="0" w:line="240" w:lineRule="auto"/>
              <w:jc w:val="right"/>
              <w:rPr>
                <w:rFonts w:cs="Arial"/>
                <w:color w:val="000000"/>
                <w:szCs w:val="24"/>
                <w:lang w:val="en-GB"/>
              </w:rPr>
            </w:pPr>
          </w:p>
        </w:tc>
      </w:tr>
    </w:tbl>
    <w:p w14:paraId="02C98FCF" w14:textId="77777777" w:rsidR="0023090D" w:rsidRPr="00095284" w:rsidRDefault="0023090D" w:rsidP="0023090D">
      <w:pPr>
        <w:rPr>
          <w:rFonts w:cs="Arial"/>
          <w:szCs w:val="24"/>
          <w:lang w:val="en-GB"/>
        </w:rPr>
      </w:pPr>
    </w:p>
    <w:tbl>
      <w:tblPr>
        <w:tblW w:w="9520" w:type="dxa"/>
        <w:tblLook w:val="04A0" w:firstRow="1" w:lastRow="0" w:firstColumn="1" w:lastColumn="0" w:noHBand="0" w:noVBand="1"/>
      </w:tblPr>
      <w:tblGrid>
        <w:gridCol w:w="3462"/>
        <w:gridCol w:w="3887"/>
        <w:gridCol w:w="2171"/>
      </w:tblGrid>
      <w:tr w:rsidR="0023090D" w:rsidRPr="00135D7B" w14:paraId="284970B8" w14:textId="77777777" w:rsidTr="000915FE">
        <w:trPr>
          <w:trHeight w:val="384"/>
        </w:trPr>
        <w:tc>
          <w:tcPr>
            <w:tcW w:w="9520" w:type="dxa"/>
            <w:gridSpan w:val="3"/>
            <w:tcBorders>
              <w:top w:val="nil"/>
              <w:left w:val="nil"/>
              <w:bottom w:val="nil"/>
              <w:right w:val="nil"/>
            </w:tcBorders>
            <w:shd w:val="clear" w:color="000000" w:fill="9ACAA9"/>
            <w:noWrap/>
            <w:vAlign w:val="bottom"/>
            <w:hideMark/>
          </w:tcPr>
          <w:p w14:paraId="099EB319"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ARR</w:t>
            </w:r>
          </w:p>
        </w:tc>
      </w:tr>
      <w:tr w:rsidR="0023090D" w:rsidRPr="00135D7B" w14:paraId="19594154" w14:textId="77777777" w:rsidTr="000915FE">
        <w:trPr>
          <w:trHeight w:val="384"/>
        </w:trPr>
        <w:tc>
          <w:tcPr>
            <w:tcW w:w="3462" w:type="dxa"/>
            <w:tcBorders>
              <w:top w:val="single" w:sz="4" w:space="0" w:color="auto"/>
              <w:left w:val="single" w:sz="4" w:space="0" w:color="auto"/>
              <w:bottom w:val="single" w:sz="4" w:space="0" w:color="auto"/>
              <w:right w:val="single" w:sz="4" w:space="0" w:color="auto"/>
            </w:tcBorders>
            <w:shd w:val="clear" w:color="000000" w:fill="DAFAF1"/>
            <w:noWrap/>
            <w:vAlign w:val="bottom"/>
            <w:hideMark/>
          </w:tcPr>
          <w:p w14:paraId="24761AE1"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depreciation</w:t>
            </w:r>
          </w:p>
        </w:tc>
        <w:tc>
          <w:tcPr>
            <w:tcW w:w="3887" w:type="dxa"/>
            <w:tcBorders>
              <w:top w:val="single" w:sz="4" w:space="0" w:color="auto"/>
              <w:left w:val="nil"/>
              <w:bottom w:val="single" w:sz="4" w:space="0" w:color="auto"/>
              <w:right w:val="single" w:sz="4" w:space="0" w:color="auto"/>
            </w:tcBorders>
            <w:shd w:val="clear" w:color="000000" w:fill="DAFAF1"/>
            <w:vAlign w:val="bottom"/>
            <w:hideMark/>
          </w:tcPr>
          <w:p w14:paraId="61F1DE60"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straight-line depreciation to zero</w:t>
            </w:r>
          </w:p>
        </w:tc>
        <w:tc>
          <w:tcPr>
            <w:tcW w:w="2171" w:type="dxa"/>
            <w:tcBorders>
              <w:top w:val="nil"/>
              <w:left w:val="nil"/>
              <w:bottom w:val="nil"/>
              <w:right w:val="nil"/>
            </w:tcBorders>
            <w:noWrap/>
            <w:vAlign w:val="bottom"/>
            <w:hideMark/>
          </w:tcPr>
          <w:p w14:paraId="16ECE6A7" w14:textId="77777777" w:rsidR="0023090D" w:rsidRPr="00135D7B" w:rsidRDefault="0023090D" w:rsidP="000915FE">
            <w:pPr>
              <w:spacing w:after="0" w:line="240" w:lineRule="auto"/>
              <w:jc w:val="left"/>
              <w:rPr>
                <w:rFonts w:cs="Arial"/>
                <w:b/>
                <w:bCs/>
                <w:color w:val="000000"/>
                <w:szCs w:val="24"/>
                <w:lang w:val="en-GB"/>
              </w:rPr>
            </w:pPr>
          </w:p>
        </w:tc>
      </w:tr>
      <w:tr w:rsidR="0023090D" w:rsidRPr="00135D7B" w14:paraId="72328953" w14:textId="77777777" w:rsidTr="000915FE">
        <w:trPr>
          <w:trHeight w:val="384"/>
        </w:trPr>
        <w:tc>
          <w:tcPr>
            <w:tcW w:w="3462" w:type="dxa"/>
            <w:tcBorders>
              <w:top w:val="nil"/>
              <w:left w:val="single" w:sz="4" w:space="0" w:color="auto"/>
              <w:bottom w:val="single" w:sz="4" w:space="0" w:color="auto"/>
              <w:right w:val="single" w:sz="4" w:space="0" w:color="auto"/>
            </w:tcBorders>
            <w:shd w:val="clear" w:color="000000" w:fill="DAFAF1"/>
            <w:noWrap/>
            <w:vAlign w:val="bottom"/>
            <w:hideMark/>
          </w:tcPr>
          <w:p w14:paraId="102BF0E3"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Initial investment £m</w:t>
            </w:r>
          </w:p>
        </w:tc>
        <w:tc>
          <w:tcPr>
            <w:tcW w:w="3887" w:type="dxa"/>
            <w:tcBorders>
              <w:top w:val="nil"/>
              <w:left w:val="nil"/>
              <w:bottom w:val="single" w:sz="4" w:space="0" w:color="auto"/>
              <w:right w:val="single" w:sz="4" w:space="0" w:color="auto"/>
            </w:tcBorders>
            <w:shd w:val="clear" w:color="000000" w:fill="DAFAF1"/>
            <w:noWrap/>
            <w:vAlign w:val="bottom"/>
            <w:hideMark/>
          </w:tcPr>
          <w:p w14:paraId="00C4DEE1"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50</w:t>
            </w:r>
          </w:p>
        </w:tc>
        <w:tc>
          <w:tcPr>
            <w:tcW w:w="2171" w:type="dxa"/>
            <w:tcBorders>
              <w:top w:val="nil"/>
              <w:left w:val="nil"/>
              <w:bottom w:val="nil"/>
              <w:right w:val="nil"/>
            </w:tcBorders>
            <w:noWrap/>
            <w:vAlign w:val="bottom"/>
            <w:hideMark/>
          </w:tcPr>
          <w:p w14:paraId="1BA709E0" w14:textId="77777777" w:rsidR="0023090D" w:rsidRPr="00135D7B" w:rsidRDefault="0023090D" w:rsidP="000915FE">
            <w:pPr>
              <w:spacing w:after="0" w:line="240" w:lineRule="auto"/>
              <w:jc w:val="right"/>
              <w:rPr>
                <w:rFonts w:cs="Arial"/>
                <w:color w:val="000000"/>
                <w:szCs w:val="24"/>
                <w:lang w:val="en-GB"/>
              </w:rPr>
            </w:pPr>
          </w:p>
        </w:tc>
      </w:tr>
      <w:tr w:rsidR="0023090D" w:rsidRPr="00135D7B" w14:paraId="7A93620C" w14:textId="77777777" w:rsidTr="000915FE">
        <w:trPr>
          <w:trHeight w:val="384"/>
        </w:trPr>
        <w:tc>
          <w:tcPr>
            <w:tcW w:w="3462" w:type="dxa"/>
            <w:tcBorders>
              <w:top w:val="nil"/>
              <w:left w:val="single" w:sz="4" w:space="0" w:color="auto"/>
              <w:bottom w:val="single" w:sz="4" w:space="0" w:color="auto"/>
              <w:right w:val="single" w:sz="4" w:space="0" w:color="auto"/>
            </w:tcBorders>
            <w:shd w:val="clear" w:color="000000" w:fill="DAFAF1"/>
            <w:noWrap/>
            <w:vAlign w:val="bottom"/>
            <w:hideMark/>
          </w:tcPr>
          <w:p w14:paraId="17CB2E47"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Years</w:t>
            </w:r>
          </w:p>
        </w:tc>
        <w:tc>
          <w:tcPr>
            <w:tcW w:w="3887" w:type="dxa"/>
            <w:tcBorders>
              <w:top w:val="nil"/>
              <w:left w:val="nil"/>
              <w:bottom w:val="single" w:sz="4" w:space="0" w:color="auto"/>
              <w:right w:val="single" w:sz="4" w:space="0" w:color="auto"/>
            </w:tcBorders>
            <w:shd w:val="clear" w:color="000000" w:fill="DAFAF1"/>
            <w:noWrap/>
            <w:vAlign w:val="bottom"/>
            <w:hideMark/>
          </w:tcPr>
          <w:p w14:paraId="68BB1210"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w:t>
            </w:r>
          </w:p>
        </w:tc>
        <w:tc>
          <w:tcPr>
            <w:tcW w:w="2171" w:type="dxa"/>
            <w:tcBorders>
              <w:top w:val="nil"/>
              <w:left w:val="nil"/>
              <w:bottom w:val="nil"/>
              <w:right w:val="nil"/>
            </w:tcBorders>
            <w:noWrap/>
            <w:vAlign w:val="bottom"/>
            <w:hideMark/>
          </w:tcPr>
          <w:p w14:paraId="6BB0D976" w14:textId="77777777" w:rsidR="0023090D" w:rsidRPr="00135D7B" w:rsidRDefault="0023090D" w:rsidP="000915FE">
            <w:pPr>
              <w:spacing w:after="0" w:line="240" w:lineRule="auto"/>
              <w:jc w:val="right"/>
              <w:rPr>
                <w:rFonts w:cs="Arial"/>
                <w:color w:val="000000"/>
                <w:szCs w:val="24"/>
                <w:lang w:val="en-GB"/>
              </w:rPr>
            </w:pPr>
          </w:p>
        </w:tc>
      </w:tr>
      <w:tr w:rsidR="0023090D" w:rsidRPr="00135D7B" w14:paraId="787B3EF6" w14:textId="77777777" w:rsidTr="000915FE">
        <w:trPr>
          <w:trHeight w:val="384"/>
        </w:trPr>
        <w:tc>
          <w:tcPr>
            <w:tcW w:w="3462" w:type="dxa"/>
            <w:tcBorders>
              <w:top w:val="nil"/>
              <w:left w:val="single" w:sz="4" w:space="0" w:color="auto"/>
              <w:bottom w:val="single" w:sz="4" w:space="0" w:color="auto"/>
              <w:right w:val="single" w:sz="4" w:space="0" w:color="auto"/>
            </w:tcBorders>
            <w:shd w:val="clear" w:color="000000" w:fill="DAFAF1"/>
            <w:noWrap/>
            <w:vAlign w:val="bottom"/>
            <w:hideMark/>
          </w:tcPr>
          <w:p w14:paraId="03257301"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Annual depreciation</w:t>
            </w:r>
          </w:p>
        </w:tc>
        <w:tc>
          <w:tcPr>
            <w:tcW w:w="3887" w:type="dxa"/>
            <w:tcBorders>
              <w:top w:val="nil"/>
              <w:left w:val="nil"/>
              <w:bottom w:val="single" w:sz="4" w:space="0" w:color="auto"/>
              <w:right w:val="single" w:sz="4" w:space="0" w:color="auto"/>
            </w:tcBorders>
            <w:shd w:val="clear" w:color="000000" w:fill="DAFAF1"/>
            <w:noWrap/>
            <w:vAlign w:val="bottom"/>
            <w:hideMark/>
          </w:tcPr>
          <w:p w14:paraId="4EB99E97"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10</w:t>
            </w:r>
          </w:p>
        </w:tc>
        <w:tc>
          <w:tcPr>
            <w:tcW w:w="2171" w:type="dxa"/>
            <w:tcBorders>
              <w:top w:val="nil"/>
              <w:left w:val="nil"/>
              <w:bottom w:val="nil"/>
              <w:right w:val="nil"/>
            </w:tcBorders>
            <w:noWrap/>
            <w:vAlign w:val="bottom"/>
            <w:hideMark/>
          </w:tcPr>
          <w:p w14:paraId="4205EDA9" w14:textId="77777777" w:rsidR="0023090D" w:rsidRPr="00135D7B" w:rsidRDefault="0023090D" w:rsidP="000915FE">
            <w:pPr>
              <w:spacing w:after="0" w:line="240" w:lineRule="auto"/>
              <w:jc w:val="right"/>
              <w:rPr>
                <w:rFonts w:cs="Arial"/>
                <w:color w:val="000000"/>
                <w:szCs w:val="24"/>
                <w:lang w:val="en-GB"/>
              </w:rPr>
            </w:pPr>
          </w:p>
        </w:tc>
      </w:tr>
      <w:tr w:rsidR="0023090D" w:rsidRPr="00135D7B" w14:paraId="070F98C9" w14:textId="77777777" w:rsidTr="000915FE">
        <w:trPr>
          <w:trHeight w:val="384"/>
        </w:trPr>
        <w:tc>
          <w:tcPr>
            <w:tcW w:w="3462" w:type="dxa"/>
            <w:tcBorders>
              <w:top w:val="nil"/>
              <w:left w:val="single" w:sz="4" w:space="0" w:color="auto"/>
              <w:bottom w:val="single" w:sz="4" w:space="0" w:color="auto"/>
              <w:right w:val="single" w:sz="4" w:space="0" w:color="auto"/>
            </w:tcBorders>
            <w:shd w:val="clear" w:color="000000" w:fill="DAFAF1"/>
            <w:noWrap/>
            <w:vAlign w:val="bottom"/>
            <w:hideMark/>
          </w:tcPr>
          <w:p w14:paraId="2B2B6A04"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Year</w:t>
            </w:r>
          </w:p>
        </w:tc>
        <w:tc>
          <w:tcPr>
            <w:tcW w:w="3887" w:type="dxa"/>
            <w:tcBorders>
              <w:top w:val="nil"/>
              <w:left w:val="nil"/>
              <w:bottom w:val="single" w:sz="4" w:space="0" w:color="auto"/>
              <w:right w:val="single" w:sz="4" w:space="0" w:color="auto"/>
            </w:tcBorders>
            <w:shd w:val="clear" w:color="000000" w:fill="DAFAF1"/>
            <w:noWrap/>
            <w:vAlign w:val="bottom"/>
            <w:hideMark/>
          </w:tcPr>
          <w:p w14:paraId="3B8EDEAA" w14:textId="77777777" w:rsidR="0023090D" w:rsidRPr="00135D7B" w:rsidRDefault="0023090D" w:rsidP="000915FE">
            <w:pPr>
              <w:spacing w:after="0" w:line="240" w:lineRule="auto"/>
              <w:jc w:val="center"/>
              <w:rPr>
                <w:rFonts w:cs="Arial"/>
                <w:b/>
                <w:bCs/>
                <w:color w:val="000000"/>
                <w:szCs w:val="24"/>
                <w:lang w:val="en-GB"/>
              </w:rPr>
            </w:pPr>
            <w:r w:rsidRPr="00095284">
              <w:rPr>
                <w:rFonts w:cs="Arial"/>
                <w:b/>
                <w:bCs/>
                <w:color w:val="000000"/>
                <w:szCs w:val="24"/>
                <w:lang w:val="en-GB"/>
              </w:rPr>
              <w:t>Cashflow</w:t>
            </w:r>
            <w:r w:rsidRPr="00135D7B">
              <w:rPr>
                <w:rFonts w:cs="Arial"/>
                <w:b/>
                <w:bCs/>
                <w:color w:val="000000"/>
                <w:szCs w:val="24"/>
                <w:lang w:val="en-GB"/>
              </w:rPr>
              <w:t xml:space="preserve"> </w:t>
            </w:r>
          </w:p>
        </w:tc>
        <w:tc>
          <w:tcPr>
            <w:tcW w:w="2171" w:type="dxa"/>
            <w:tcBorders>
              <w:top w:val="single" w:sz="4" w:space="0" w:color="auto"/>
              <w:left w:val="nil"/>
              <w:bottom w:val="single" w:sz="4" w:space="0" w:color="auto"/>
              <w:right w:val="single" w:sz="4" w:space="0" w:color="auto"/>
            </w:tcBorders>
            <w:shd w:val="clear" w:color="000000" w:fill="DAFAF1"/>
            <w:noWrap/>
            <w:vAlign w:val="bottom"/>
            <w:hideMark/>
          </w:tcPr>
          <w:p w14:paraId="7300F6F9"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Profit</w:t>
            </w:r>
          </w:p>
        </w:tc>
      </w:tr>
      <w:tr w:rsidR="0023090D" w:rsidRPr="00135D7B" w14:paraId="28E44DDF" w14:textId="77777777" w:rsidTr="000915FE">
        <w:trPr>
          <w:trHeight w:val="384"/>
        </w:trPr>
        <w:tc>
          <w:tcPr>
            <w:tcW w:w="3462" w:type="dxa"/>
            <w:tcBorders>
              <w:top w:val="nil"/>
              <w:left w:val="single" w:sz="4" w:space="0" w:color="auto"/>
              <w:bottom w:val="single" w:sz="4" w:space="0" w:color="auto"/>
              <w:right w:val="single" w:sz="4" w:space="0" w:color="auto"/>
            </w:tcBorders>
            <w:shd w:val="clear" w:color="000000" w:fill="DAFAF1"/>
            <w:noWrap/>
            <w:vAlign w:val="bottom"/>
            <w:hideMark/>
          </w:tcPr>
          <w:p w14:paraId="7C6500E7"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w:t>
            </w:r>
          </w:p>
        </w:tc>
        <w:tc>
          <w:tcPr>
            <w:tcW w:w="3887" w:type="dxa"/>
            <w:tcBorders>
              <w:top w:val="nil"/>
              <w:left w:val="nil"/>
              <w:bottom w:val="single" w:sz="4" w:space="0" w:color="auto"/>
              <w:right w:val="single" w:sz="4" w:space="0" w:color="auto"/>
            </w:tcBorders>
            <w:shd w:val="clear" w:color="000000" w:fill="DAFAF1"/>
            <w:noWrap/>
            <w:vAlign w:val="bottom"/>
            <w:hideMark/>
          </w:tcPr>
          <w:p w14:paraId="49E08C5D"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w:t>
            </w:r>
          </w:p>
        </w:tc>
        <w:tc>
          <w:tcPr>
            <w:tcW w:w="2171" w:type="dxa"/>
            <w:tcBorders>
              <w:top w:val="nil"/>
              <w:left w:val="nil"/>
              <w:bottom w:val="single" w:sz="4" w:space="0" w:color="auto"/>
              <w:right w:val="single" w:sz="4" w:space="0" w:color="auto"/>
            </w:tcBorders>
            <w:shd w:val="clear" w:color="000000" w:fill="DAFAF1"/>
            <w:noWrap/>
            <w:vAlign w:val="bottom"/>
            <w:hideMark/>
          </w:tcPr>
          <w:p w14:paraId="46759BBC"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w:t>
            </w:r>
          </w:p>
        </w:tc>
      </w:tr>
      <w:tr w:rsidR="0023090D" w:rsidRPr="00135D7B" w14:paraId="5BED4A8E" w14:textId="77777777" w:rsidTr="000915FE">
        <w:trPr>
          <w:trHeight w:val="384"/>
        </w:trPr>
        <w:tc>
          <w:tcPr>
            <w:tcW w:w="3462" w:type="dxa"/>
            <w:tcBorders>
              <w:top w:val="nil"/>
              <w:left w:val="single" w:sz="4" w:space="0" w:color="auto"/>
              <w:bottom w:val="single" w:sz="4" w:space="0" w:color="auto"/>
              <w:right w:val="single" w:sz="4" w:space="0" w:color="auto"/>
            </w:tcBorders>
            <w:shd w:val="clear" w:color="000000" w:fill="DAFAF1"/>
            <w:noWrap/>
            <w:vAlign w:val="bottom"/>
            <w:hideMark/>
          </w:tcPr>
          <w:p w14:paraId="598C1DEE"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2</w:t>
            </w:r>
          </w:p>
        </w:tc>
        <w:tc>
          <w:tcPr>
            <w:tcW w:w="3887" w:type="dxa"/>
            <w:tcBorders>
              <w:top w:val="nil"/>
              <w:left w:val="nil"/>
              <w:bottom w:val="single" w:sz="4" w:space="0" w:color="auto"/>
              <w:right w:val="single" w:sz="4" w:space="0" w:color="auto"/>
            </w:tcBorders>
            <w:shd w:val="clear" w:color="000000" w:fill="DAFAF1"/>
            <w:noWrap/>
            <w:vAlign w:val="bottom"/>
            <w:hideMark/>
          </w:tcPr>
          <w:p w14:paraId="6F651CF5"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10</w:t>
            </w:r>
          </w:p>
        </w:tc>
        <w:tc>
          <w:tcPr>
            <w:tcW w:w="2171" w:type="dxa"/>
            <w:tcBorders>
              <w:top w:val="nil"/>
              <w:left w:val="nil"/>
              <w:bottom w:val="single" w:sz="4" w:space="0" w:color="auto"/>
              <w:right w:val="single" w:sz="4" w:space="0" w:color="auto"/>
            </w:tcBorders>
            <w:shd w:val="clear" w:color="000000" w:fill="DAFAF1"/>
            <w:noWrap/>
            <w:vAlign w:val="bottom"/>
            <w:hideMark/>
          </w:tcPr>
          <w:p w14:paraId="1514D99E"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w:t>
            </w:r>
          </w:p>
        </w:tc>
      </w:tr>
      <w:tr w:rsidR="0023090D" w:rsidRPr="00135D7B" w14:paraId="6F129C6A" w14:textId="77777777" w:rsidTr="000915FE">
        <w:trPr>
          <w:trHeight w:val="384"/>
        </w:trPr>
        <w:tc>
          <w:tcPr>
            <w:tcW w:w="3462" w:type="dxa"/>
            <w:tcBorders>
              <w:top w:val="nil"/>
              <w:left w:val="single" w:sz="4" w:space="0" w:color="auto"/>
              <w:bottom w:val="single" w:sz="4" w:space="0" w:color="auto"/>
              <w:right w:val="single" w:sz="4" w:space="0" w:color="auto"/>
            </w:tcBorders>
            <w:shd w:val="clear" w:color="000000" w:fill="DAFAF1"/>
            <w:noWrap/>
            <w:vAlign w:val="bottom"/>
            <w:hideMark/>
          </w:tcPr>
          <w:p w14:paraId="3952005B"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3</w:t>
            </w:r>
          </w:p>
        </w:tc>
        <w:tc>
          <w:tcPr>
            <w:tcW w:w="3887" w:type="dxa"/>
            <w:tcBorders>
              <w:top w:val="nil"/>
              <w:left w:val="nil"/>
              <w:bottom w:val="single" w:sz="4" w:space="0" w:color="auto"/>
              <w:right w:val="single" w:sz="4" w:space="0" w:color="auto"/>
            </w:tcBorders>
            <w:shd w:val="clear" w:color="000000" w:fill="DAFAF1"/>
            <w:noWrap/>
            <w:vAlign w:val="bottom"/>
            <w:hideMark/>
          </w:tcPr>
          <w:p w14:paraId="19E46393"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20</w:t>
            </w:r>
          </w:p>
        </w:tc>
        <w:tc>
          <w:tcPr>
            <w:tcW w:w="2171" w:type="dxa"/>
            <w:tcBorders>
              <w:top w:val="nil"/>
              <w:left w:val="nil"/>
              <w:bottom w:val="single" w:sz="4" w:space="0" w:color="auto"/>
              <w:right w:val="single" w:sz="4" w:space="0" w:color="auto"/>
            </w:tcBorders>
            <w:shd w:val="clear" w:color="000000" w:fill="DAFAF1"/>
            <w:noWrap/>
            <w:vAlign w:val="bottom"/>
            <w:hideMark/>
          </w:tcPr>
          <w:p w14:paraId="69CCC0F0"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10</w:t>
            </w:r>
          </w:p>
        </w:tc>
      </w:tr>
      <w:tr w:rsidR="0023090D" w:rsidRPr="00135D7B" w14:paraId="5F433A48" w14:textId="77777777" w:rsidTr="000915FE">
        <w:trPr>
          <w:trHeight w:val="384"/>
        </w:trPr>
        <w:tc>
          <w:tcPr>
            <w:tcW w:w="3462" w:type="dxa"/>
            <w:tcBorders>
              <w:top w:val="nil"/>
              <w:left w:val="single" w:sz="4" w:space="0" w:color="auto"/>
              <w:bottom w:val="single" w:sz="4" w:space="0" w:color="auto"/>
              <w:right w:val="single" w:sz="4" w:space="0" w:color="auto"/>
            </w:tcBorders>
            <w:shd w:val="clear" w:color="000000" w:fill="DAFAF1"/>
            <w:noWrap/>
            <w:vAlign w:val="bottom"/>
            <w:hideMark/>
          </w:tcPr>
          <w:p w14:paraId="3807778F"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4</w:t>
            </w:r>
          </w:p>
        </w:tc>
        <w:tc>
          <w:tcPr>
            <w:tcW w:w="3887" w:type="dxa"/>
            <w:tcBorders>
              <w:top w:val="nil"/>
              <w:left w:val="nil"/>
              <w:bottom w:val="single" w:sz="4" w:space="0" w:color="auto"/>
              <w:right w:val="single" w:sz="4" w:space="0" w:color="auto"/>
            </w:tcBorders>
            <w:shd w:val="clear" w:color="000000" w:fill="DAFAF1"/>
            <w:noWrap/>
            <w:vAlign w:val="bottom"/>
            <w:hideMark/>
          </w:tcPr>
          <w:p w14:paraId="118275E7"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25</w:t>
            </w:r>
          </w:p>
        </w:tc>
        <w:tc>
          <w:tcPr>
            <w:tcW w:w="2171" w:type="dxa"/>
            <w:tcBorders>
              <w:top w:val="nil"/>
              <w:left w:val="nil"/>
              <w:bottom w:val="single" w:sz="4" w:space="0" w:color="auto"/>
              <w:right w:val="single" w:sz="4" w:space="0" w:color="auto"/>
            </w:tcBorders>
            <w:shd w:val="clear" w:color="000000" w:fill="DAFAF1"/>
            <w:noWrap/>
            <w:vAlign w:val="bottom"/>
            <w:hideMark/>
          </w:tcPr>
          <w:p w14:paraId="54F1E74C"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15</w:t>
            </w:r>
          </w:p>
        </w:tc>
      </w:tr>
      <w:tr w:rsidR="0023090D" w:rsidRPr="00135D7B" w14:paraId="24D6D368" w14:textId="77777777" w:rsidTr="000915FE">
        <w:trPr>
          <w:trHeight w:val="384"/>
        </w:trPr>
        <w:tc>
          <w:tcPr>
            <w:tcW w:w="3462" w:type="dxa"/>
            <w:tcBorders>
              <w:top w:val="nil"/>
              <w:left w:val="single" w:sz="4" w:space="0" w:color="auto"/>
              <w:bottom w:val="single" w:sz="4" w:space="0" w:color="auto"/>
              <w:right w:val="single" w:sz="4" w:space="0" w:color="auto"/>
            </w:tcBorders>
            <w:shd w:val="clear" w:color="000000" w:fill="DAFAF1"/>
            <w:noWrap/>
            <w:vAlign w:val="bottom"/>
            <w:hideMark/>
          </w:tcPr>
          <w:p w14:paraId="311FB6AC"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w:t>
            </w:r>
          </w:p>
        </w:tc>
        <w:tc>
          <w:tcPr>
            <w:tcW w:w="3887" w:type="dxa"/>
            <w:tcBorders>
              <w:top w:val="nil"/>
              <w:left w:val="nil"/>
              <w:bottom w:val="single" w:sz="4" w:space="0" w:color="auto"/>
              <w:right w:val="single" w:sz="4" w:space="0" w:color="auto"/>
            </w:tcBorders>
            <w:shd w:val="clear" w:color="000000" w:fill="DAFAF1"/>
            <w:noWrap/>
            <w:vAlign w:val="bottom"/>
            <w:hideMark/>
          </w:tcPr>
          <w:p w14:paraId="28AFA825"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15</w:t>
            </w:r>
          </w:p>
        </w:tc>
        <w:tc>
          <w:tcPr>
            <w:tcW w:w="2171" w:type="dxa"/>
            <w:tcBorders>
              <w:top w:val="nil"/>
              <w:left w:val="nil"/>
              <w:bottom w:val="single" w:sz="4" w:space="0" w:color="auto"/>
              <w:right w:val="single" w:sz="4" w:space="0" w:color="auto"/>
            </w:tcBorders>
            <w:shd w:val="clear" w:color="000000" w:fill="DAFAF1"/>
            <w:noWrap/>
            <w:vAlign w:val="bottom"/>
            <w:hideMark/>
          </w:tcPr>
          <w:p w14:paraId="75D26E1A"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w:t>
            </w:r>
          </w:p>
        </w:tc>
      </w:tr>
      <w:tr w:rsidR="0023090D" w:rsidRPr="00135D7B" w14:paraId="280D30D6" w14:textId="77777777" w:rsidTr="000915FE">
        <w:trPr>
          <w:trHeight w:val="384"/>
        </w:trPr>
        <w:tc>
          <w:tcPr>
            <w:tcW w:w="3462" w:type="dxa"/>
            <w:tcBorders>
              <w:top w:val="nil"/>
              <w:left w:val="single" w:sz="4" w:space="0" w:color="auto"/>
              <w:bottom w:val="single" w:sz="4" w:space="0" w:color="auto"/>
              <w:right w:val="single" w:sz="4" w:space="0" w:color="auto"/>
            </w:tcBorders>
            <w:shd w:val="clear" w:color="000000" w:fill="DAFAF1"/>
            <w:noWrap/>
            <w:vAlign w:val="bottom"/>
            <w:hideMark/>
          </w:tcPr>
          <w:p w14:paraId="60790F47" w14:textId="77777777" w:rsidR="0023090D" w:rsidRPr="00135D7B" w:rsidRDefault="0023090D" w:rsidP="000915FE">
            <w:pPr>
              <w:spacing w:after="0" w:line="240" w:lineRule="auto"/>
              <w:jc w:val="left"/>
              <w:rPr>
                <w:rFonts w:cs="Arial"/>
                <w:b/>
                <w:bCs/>
                <w:color w:val="000000"/>
                <w:szCs w:val="24"/>
                <w:lang w:val="en-GB"/>
              </w:rPr>
            </w:pPr>
            <w:r w:rsidRPr="00095284">
              <w:rPr>
                <w:rFonts w:cs="Arial"/>
                <w:b/>
                <w:bCs/>
                <w:color w:val="000000"/>
                <w:szCs w:val="24"/>
                <w:lang w:val="en-GB"/>
              </w:rPr>
              <w:t>Average</w:t>
            </w:r>
            <w:r w:rsidRPr="00135D7B">
              <w:rPr>
                <w:rFonts w:cs="Arial"/>
                <w:b/>
                <w:bCs/>
                <w:color w:val="000000"/>
                <w:szCs w:val="24"/>
                <w:lang w:val="en-GB"/>
              </w:rPr>
              <w:t xml:space="preserve"> Annual profit </w:t>
            </w:r>
          </w:p>
        </w:tc>
        <w:tc>
          <w:tcPr>
            <w:tcW w:w="3887" w:type="dxa"/>
            <w:tcBorders>
              <w:top w:val="nil"/>
              <w:left w:val="nil"/>
              <w:bottom w:val="single" w:sz="4" w:space="0" w:color="auto"/>
              <w:right w:val="single" w:sz="4" w:space="0" w:color="auto"/>
            </w:tcBorders>
            <w:shd w:val="clear" w:color="000000" w:fill="DAFAF1"/>
            <w:noWrap/>
            <w:vAlign w:val="bottom"/>
            <w:hideMark/>
          </w:tcPr>
          <w:p w14:paraId="1F4BF01C"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w:t>
            </w:r>
          </w:p>
        </w:tc>
        <w:tc>
          <w:tcPr>
            <w:tcW w:w="2171" w:type="dxa"/>
            <w:tcBorders>
              <w:top w:val="nil"/>
              <w:left w:val="nil"/>
              <w:bottom w:val="single" w:sz="4" w:space="0" w:color="auto"/>
              <w:right w:val="single" w:sz="4" w:space="0" w:color="auto"/>
            </w:tcBorders>
            <w:shd w:val="clear" w:color="000000" w:fill="DAFAF1"/>
            <w:noWrap/>
            <w:vAlign w:val="bottom"/>
            <w:hideMark/>
          </w:tcPr>
          <w:p w14:paraId="3F47296E"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r>
      <w:tr w:rsidR="0023090D" w:rsidRPr="00135D7B" w14:paraId="2C59E6FC" w14:textId="77777777" w:rsidTr="000915FE">
        <w:trPr>
          <w:trHeight w:val="384"/>
        </w:trPr>
        <w:tc>
          <w:tcPr>
            <w:tcW w:w="3462" w:type="dxa"/>
            <w:tcBorders>
              <w:top w:val="nil"/>
              <w:left w:val="single" w:sz="4" w:space="0" w:color="auto"/>
              <w:bottom w:val="single" w:sz="4" w:space="0" w:color="auto"/>
              <w:right w:val="single" w:sz="4" w:space="0" w:color="auto"/>
            </w:tcBorders>
            <w:shd w:val="clear" w:color="000000" w:fill="DAFAF1"/>
            <w:noWrap/>
            <w:vAlign w:val="bottom"/>
            <w:hideMark/>
          </w:tcPr>
          <w:p w14:paraId="1D174D59"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Average Investment</w:t>
            </w:r>
          </w:p>
        </w:tc>
        <w:tc>
          <w:tcPr>
            <w:tcW w:w="3887" w:type="dxa"/>
            <w:tcBorders>
              <w:top w:val="nil"/>
              <w:left w:val="nil"/>
              <w:bottom w:val="single" w:sz="4" w:space="0" w:color="auto"/>
              <w:right w:val="single" w:sz="4" w:space="0" w:color="auto"/>
            </w:tcBorders>
            <w:shd w:val="clear" w:color="000000" w:fill="DAFAF1"/>
            <w:noWrap/>
            <w:vAlign w:val="bottom"/>
            <w:hideMark/>
          </w:tcPr>
          <w:p w14:paraId="21FF0D60"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25</w:t>
            </w:r>
          </w:p>
        </w:tc>
        <w:tc>
          <w:tcPr>
            <w:tcW w:w="2171" w:type="dxa"/>
            <w:tcBorders>
              <w:top w:val="nil"/>
              <w:left w:val="nil"/>
              <w:bottom w:val="single" w:sz="4" w:space="0" w:color="auto"/>
              <w:right w:val="single" w:sz="4" w:space="0" w:color="auto"/>
            </w:tcBorders>
            <w:shd w:val="clear" w:color="000000" w:fill="DAFAF1"/>
            <w:noWrap/>
            <w:vAlign w:val="bottom"/>
            <w:hideMark/>
          </w:tcPr>
          <w:p w14:paraId="50B0DEA3"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r>
      <w:tr w:rsidR="0023090D" w:rsidRPr="00135D7B" w14:paraId="63FB543D" w14:textId="77777777" w:rsidTr="000915FE">
        <w:trPr>
          <w:trHeight w:val="384"/>
        </w:trPr>
        <w:tc>
          <w:tcPr>
            <w:tcW w:w="3462" w:type="dxa"/>
            <w:tcBorders>
              <w:top w:val="nil"/>
              <w:left w:val="single" w:sz="4" w:space="0" w:color="auto"/>
              <w:bottom w:val="single" w:sz="4" w:space="0" w:color="auto"/>
              <w:right w:val="single" w:sz="4" w:space="0" w:color="auto"/>
            </w:tcBorders>
            <w:shd w:val="clear" w:color="000000" w:fill="DAFAF1"/>
            <w:noWrap/>
            <w:vAlign w:val="bottom"/>
            <w:hideMark/>
          </w:tcPr>
          <w:p w14:paraId="0FFF2E3D"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ARR</w:t>
            </w:r>
          </w:p>
        </w:tc>
        <w:tc>
          <w:tcPr>
            <w:tcW w:w="3887" w:type="dxa"/>
            <w:tcBorders>
              <w:top w:val="nil"/>
              <w:left w:val="nil"/>
              <w:bottom w:val="single" w:sz="4" w:space="0" w:color="auto"/>
              <w:right w:val="single" w:sz="4" w:space="0" w:color="auto"/>
            </w:tcBorders>
            <w:shd w:val="clear" w:color="000000" w:fill="DAFAF1"/>
            <w:noWrap/>
            <w:vAlign w:val="bottom"/>
            <w:hideMark/>
          </w:tcPr>
          <w:p w14:paraId="4B9D81B9"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20</w:t>
            </w:r>
          </w:p>
        </w:tc>
        <w:tc>
          <w:tcPr>
            <w:tcW w:w="2171" w:type="dxa"/>
            <w:tcBorders>
              <w:top w:val="nil"/>
              <w:left w:val="nil"/>
              <w:bottom w:val="single" w:sz="4" w:space="0" w:color="auto"/>
              <w:right w:val="single" w:sz="4" w:space="0" w:color="auto"/>
            </w:tcBorders>
            <w:shd w:val="clear" w:color="000000" w:fill="DAFAF1"/>
            <w:noWrap/>
            <w:vAlign w:val="bottom"/>
            <w:hideMark/>
          </w:tcPr>
          <w:p w14:paraId="74866C72"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 xml:space="preserve">In percentage </w:t>
            </w:r>
          </w:p>
        </w:tc>
      </w:tr>
    </w:tbl>
    <w:p w14:paraId="3BDB87B2" w14:textId="77777777" w:rsidR="0023090D" w:rsidRPr="00095284" w:rsidRDefault="0023090D" w:rsidP="0023090D">
      <w:pPr>
        <w:rPr>
          <w:rFonts w:cs="Arial"/>
          <w:szCs w:val="24"/>
          <w:lang w:val="en-GB"/>
        </w:rPr>
      </w:pPr>
    </w:p>
    <w:tbl>
      <w:tblPr>
        <w:tblW w:w="9676" w:type="dxa"/>
        <w:tblLook w:val="04A0" w:firstRow="1" w:lastRow="0" w:firstColumn="1" w:lastColumn="0" w:noHBand="0" w:noVBand="1"/>
      </w:tblPr>
      <w:tblGrid>
        <w:gridCol w:w="1497"/>
        <w:gridCol w:w="1710"/>
        <w:gridCol w:w="1631"/>
        <w:gridCol w:w="5160"/>
      </w:tblGrid>
      <w:tr w:rsidR="0023090D" w:rsidRPr="00135D7B" w14:paraId="1F0F0E91" w14:textId="77777777" w:rsidTr="000915FE">
        <w:trPr>
          <w:trHeight w:val="473"/>
        </w:trPr>
        <w:tc>
          <w:tcPr>
            <w:tcW w:w="9676" w:type="dxa"/>
            <w:gridSpan w:val="4"/>
            <w:tcBorders>
              <w:top w:val="nil"/>
              <w:left w:val="nil"/>
              <w:bottom w:val="nil"/>
              <w:right w:val="nil"/>
            </w:tcBorders>
            <w:shd w:val="clear" w:color="000000" w:fill="9ACAA9"/>
            <w:noWrap/>
            <w:vAlign w:val="bottom"/>
            <w:hideMark/>
          </w:tcPr>
          <w:p w14:paraId="6FF181D7"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NPV</w:t>
            </w:r>
          </w:p>
        </w:tc>
      </w:tr>
      <w:tr w:rsidR="0023090D" w:rsidRPr="00135D7B" w14:paraId="4F5804EE" w14:textId="77777777" w:rsidTr="000915FE">
        <w:trPr>
          <w:trHeight w:val="473"/>
        </w:trPr>
        <w:tc>
          <w:tcPr>
            <w:tcW w:w="1497" w:type="dxa"/>
            <w:tcBorders>
              <w:top w:val="single" w:sz="4" w:space="0" w:color="auto"/>
              <w:left w:val="single" w:sz="4" w:space="0" w:color="auto"/>
              <w:bottom w:val="single" w:sz="4" w:space="0" w:color="auto"/>
              <w:right w:val="single" w:sz="4" w:space="0" w:color="auto"/>
            </w:tcBorders>
            <w:shd w:val="clear" w:color="000000" w:fill="DAFAF1"/>
            <w:noWrap/>
            <w:vAlign w:val="bottom"/>
            <w:hideMark/>
          </w:tcPr>
          <w:p w14:paraId="1FAE9516"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Discount Rate</w:t>
            </w:r>
          </w:p>
        </w:tc>
        <w:tc>
          <w:tcPr>
            <w:tcW w:w="1387" w:type="dxa"/>
            <w:tcBorders>
              <w:top w:val="single" w:sz="4" w:space="0" w:color="auto"/>
              <w:left w:val="nil"/>
              <w:bottom w:val="single" w:sz="4" w:space="0" w:color="auto"/>
              <w:right w:val="single" w:sz="4" w:space="0" w:color="auto"/>
            </w:tcBorders>
            <w:shd w:val="clear" w:color="000000" w:fill="DAFAF1"/>
            <w:noWrap/>
            <w:vAlign w:val="bottom"/>
            <w:hideMark/>
          </w:tcPr>
          <w:p w14:paraId="079A409E"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10%</w:t>
            </w:r>
          </w:p>
        </w:tc>
        <w:tc>
          <w:tcPr>
            <w:tcW w:w="1631" w:type="dxa"/>
            <w:tcBorders>
              <w:top w:val="nil"/>
              <w:left w:val="nil"/>
              <w:bottom w:val="nil"/>
              <w:right w:val="nil"/>
            </w:tcBorders>
            <w:noWrap/>
            <w:vAlign w:val="bottom"/>
            <w:hideMark/>
          </w:tcPr>
          <w:p w14:paraId="43AD95C9" w14:textId="77777777" w:rsidR="0023090D" w:rsidRPr="00135D7B" w:rsidRDefault="0023090D" w:rsidP="000915FE">
            <w:pPr>
              <w:spacing w:after="0" w:line="240" w:lineRule="auto"/>
              <w:jc w:val="right"/>
              <w:rPr>
                <w:rFonts w:cs="Arial"/>
                <w:color w:val="000000"/>
                <w:szCs w:val="24"/>
                <w:lang w:val="en-GB"/>
              </w:rPr>
            </w:pPr>
          </w:p>
        </w:tc>
        <w:tc>
          <w:tcPr>
            <w:tcW w:w="5160" w:type="dxa"/>
            <w:tcBorders>
              <w:top w:val="nil"/>
              <w:left w:val="nil"/>
              <w:bottom w:val="nil"/>
              <w:right w:val="nil"/>
            </w:tcBorders>
            <w:noWrap/>
            <w:vAlign w:val="bottom"/>
            <w:hideMark/>
          </w:tcPr>
          <w:p w14:paraId="7558162F" w14:textId="77777777" w:rsidR="0023090D" w:rsidRPr="00135D7B" w:rsidRDefault="0023090D" w:rsidP="000915FE">
            <w:pPr>
              <w:spacing w:after="0" w:line="240" w:lineRule="auto"/>
              <w:jc w:val="left"/>
              <w:rPr>
                <w:rFonts w:cs="Arial"/>
                <w:szCs w:val="24"/>
                <w:lang w:val="en-GB"/>
              </w:rPr>
            </w:pPr>
          </w:p>
        </w:tc>
      </w:tr>
      <w:tr w:rsidR="0023090D" w:rsidRPr="00135D7B" w14:paraId="6D673E66" w14:textId="77777777" w:rsidTr="000915FE">
        <w:trPr>
          <w:trHeight w:val="473"/>
        </w:trPr>
        <w:tc>
          <w:tcPr>
            <w:tcW w:w="1497" w:type="dxa"/>
            <w:tcBorders>
              <w:top w:val="nil"/>
              <w:left w:val="single" w:sz="4" w:space="0" w:color="auto"/>
              <w:bottom w:val="nil"/>
              <w:right w:val="single" w:sz="4" w:space="0" w:color="auto"/>
            </w:tcBorders>
            <w:shd w:val="clear" w:color="000000" w:fill="DAFAF1"/>
            <w:noWrap/>
            <w:vAlign w:val="bottom"/>
            <w:hideMark/>
          </w:tcPr>
          <w:p w14:paraId="7EC2020A"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Year</w:t>
            </w:r>
          </w:p>
        </w:tc>
        <w:tc>
          <w:tcPr>
            <w:tcW w:w="1387" w:type="dxa"/>
            <w:tcBorders>
              <w:top w:val="nil"/>
              <w:left w:val="nil"/>
              <w:bottom w:val="nil"/>
              <w:right w:val="single" w:sz="4" w:space="0" w:color="auto"/>
            </w:tcBorders>
            <w:shd w:val="clear" w:color="000000" w:fill="DAFAF1"/>
            <w:noWrap/>
            <w:vAlign w:val="bottom"/>
            <w:hideMark/>
          </w:tcPr>
          <w:p w14:paraId="73D522D4" w14:textId="77777777" w:rsidR="0023090D" w:rsidRPr="00135D7B" w:rsidRDefault="0023090D" w:rsidP="000915FE">
            <w:pPr>
              <w:spacing w:after="0" w:line="240" w:lineRule="auto"/>
              <w:jc w:val="left"/>
              <w:rPr>
                <w:rFonts w:cs="Arial"/>
                <w:b/>
                <w:bCs/>
                <w:color w:val="000000"/>
                <w:szCs w:val="24"/>
                <w:lang w:val="en-GB"/>
              </w:rPr>
            </w:pPr>
            <w:r w:rsidRPr="00095284">
              <w:rPr>
                <w:rFonts w:cs="Arial"/>
                <w:b/>
                <w:bCs/>
                <w:color w:val="000000"/>
                <w:szCs w:val="24"/>
                <w:lang w:val="en-GB"/>
              </w:rPr>
              <w:t>Formula</w:t>
            </w:r>
          </w:p>
        </w:tc>
        <w:tc>
          <w:tcPr>
            <w:tcW w:w="1631" w:type="dxa"/>
            <w:tcBorders>
              <w:top w:val="single" w:sz="4" w:space="0" w:color="auto"/>
              <w:left w:val="nil"/>
              <w:bottom w:val="single" w:sz="4" w:space="0" w:color="auto"/>
              <w:right w:val="single" w:sz="4" w:space="0" w:color="auto"/>
            </w:tcBorders>
            <w:shd w:val="clear" w:color="000000" w:fill="DAFAF1"/>
            <w:noWrap/>
            <w:vAlign w:val="bottom"/>
            <w:hideMark/>
          </w:tcPr>
          <w:p w14:paraId="52A6201E"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Discount factor</w:t>
            </w:r>
          </w:p>
        </w:tc>
        <w:tc>
          <w:tcPr>
            <w:tcW w:w="5160" w:type="dxa"/>
            <w:tcBorders>
              <w:top w:val="single" w:sz="4" w:space="0" w:color="auto"/>
              <w:left w:val="nil"/>
              <w:bottom w:val="single" w:sz="4" w:space="0" w:color="auto"/>
              <w:right w:val="single" w:sz="4" w:space="0" w:color="auto"/>
            </w:tcBorders>
            <w:shd w:val="clear" w:color="000000" w:fill="DAFAF1"/>
            <w:noWrap/>
            <w:vAlign w:val="bottom"/>
            <w:hideMark/>
          </w:tcPr>
          <w:p w14:paraId="4A2AF78A"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PV</w:t>
            </w:r>
          </w:p>
        </w:tc>
      </w:tr>
      <w:tr w:rsidR="0023090D" w:rsidRPr="00135D7B" w14:paraId="7C50306E" w14:textId="77777777" w:rsidTr="000915FE">
        <w:trPr>
          <w:trHeight w:val="473"/>
        </w:trPr>
        <w:tc>
          <w:tcPr>
            <w:tcW w:w="1497" w:type="dxa"/>
            <w:tcBorders>
              <w:top w:val="single" w:sz="4" w:space="0" w:color="auto"/>
              <w:left w:val="single" w:sz="4" w:space="0" w:color="auto"/>
              <w:bottom w:val="single" w:sz="4" w:space="0" w:color="auto"/>
              <w:right w:val="single" w:sz="4" w:space="0" w:color="auto"/>
            </w:tcBorders>
            <w:shd w:val="clear" w:color="000000" w:fill="DAFAF1"/>
            <w:noWrap/>
            <w:vAlign w:val="bottom"/>
            <w:hideMark/>
          </w:tcPr>
          <w:p w14:paraId="2CD1C405"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w:t>
            </w:r>
          </w:p>
        </w:tc>
        <w:tc>
          <w:tcPr>
            <w:tcW w:w="1387" w:type="dxa"/>
            <w:tcBorders>
              <w:top w:val="single" w:sz="4" w:space="0" w:color="auto"/>
              <w:left w:val="nil"/>
              <w:bottom w:val="single" w:sz="4" w:space="0" w:color="auto"/>
              <w:right w:val="single" w:sz="4" w:space="0" w:color="auto"/>
            </w:tcBorders>
            <w:shd w:val="clear" w:color="000000" w:fill="DAFAF1"/>
            <w:noWrap/>
            <w:vAlign w:val="bottom"/>
            <w:hideMark/>
          </w:tcPr>
          <w:p w14:paraId="0659BC20"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1+10%</w:t>
            </w:r>
            <w:proofErr w:type="gramStart"/>
            <w:r w:rsidRPr="00135D7B">
              <w:rPr>
                <w:rFonts w:cs="Arial"/>
                <w:color w:val="000000"/>
                <w:szCs w:val="24"/>
                <w:lang w:val="en-GB"/>
              </w:rPr>
              <w:t>)]^</w:t>
            </w:r>
            <w:proofErr w:type="gramEnd"/>
            <w:r w:rsidRPr="00135D7B">
              <w:rPr>
                <w:rFonts w:cs="Arial"/>
                <w:color w:val="000000"/>
                <w:szCs w:val="24"/>
                <w:lang w:val="en-GB"/>
              </w:rPr>
              <w:t>1</w:t>
            </w:r>
          </w:p>
        </w:tc>
        <w:tc>
          <w:tcPr>
            <w:tcW w:w="1631" w:type="dxa"/>
            <w:tcBorders>
              <w:top w:val="nil"/>
              <w:left w:val="nil"/>
              <w:bottom w:val="single" w:sz="4" w:space="0" w:color="auto"/>
              <w:right w:val="single" w:sz="4" w:space="0" w:color="auto"/>
            </w:tcBorders>
            <w:shd w:val="clear" w:color="000000" w:fill="DAFAF1"/>
            <w:noWrap/>
            <w:vAlign w:val="bottom"/>
            <w:hideMark/>
          </w:tcPr>
          <w:p w14:paraId="3B92D5F7"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0.91</w:t>
            </w:r>
          </w:p>
        </w:tc>
        <w:tc>
          <w:tcPr>
            <w:tcW w:w="5160" w:type="dxa"/>
            <w:tcBorders>
              <w:top w:val="nil"/>
              <w:left w:val="nil"/>
              <w:bottom w:val="single" w:sz="4" w:space="0" w:color="auto"/>
              <w:right w:val="single" w:sz="4" w:space="0" w:color="auto"/>
            </w:tcBorders>
            <w:shd w:val="clear" w:color="000000" w:fill="DAFAF1"/>
            <w:noWrap/>
            <w:vAlign w:val="bottom"/>
            <w:hideMark/>
          </w:tcPr>
          <w:p w14:paraId="0B27435E"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4.55</w:t>
            </w:r>
          </w:p>
        </w:tc>
      </w:tr>
      <w:tr w:rsidR="0023090D" w:rsidRPr="00135D7B" w14:paraId="47D51EAB" w14:textId="77777777" w:rsidTr="000915FE">
        <w:trPr>
          <w:trHeight w:val="473"/>
        </w:trPr>
        <w:tc>
          <w:tcPr>
            <w:tcW w:w="1497" w:type="dxa"/>
            <w:tcBorders>
              <w:top w:val="nil"/>
              <w:left w:val="single" w:sz="4" w:space="0" w:color="auto"/>
              <w:bottom w:val="single" w:sz="4" w:space="0" w:color="auto"/>
              <w:right w:val="single" w:sz="4" w:space="0" w:color="auto"/>
            </w:tcBorders>
            <w:shd w:val="clear" w:color="000000" w:fill="DAFAF1"/>
            <w:noWrap/>
            <w:vAlign w:val="bottom"/>
            <w:hideMark/>
          </w:tcPr>
          <w:p w14:paraId="2B5EF083"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2</w:t>
            </w:r>
          </w:p>
        </w:tc>
        <w:tc>
          <w:tcPr>
            <w:tcW w:w="1387" w:type="dxa"/>
            <w:tcBorders>
              <w:top w:val="nil"/>
              <w:left w:val="nil"/>
              <w:bottom w:val="single" w:sz="4" w:space="0" w:color="auto"/>
              <w:right w:val="single" w:sz="4" w:space="0" w:color="auto"/>
            </w:tcBorders>
            <w:shd w:val="clear" w:color="000000" w:fill="DAFAF1"/>
            <w:noWrap/>
            <w:vAlign w:val="bottom"/>
            <w:hideMark/>
          </w:tcPr>
          <w:p w14:paraId="743D9180"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1+10%</w:t>
            </w:r>
            <w:proofErr w:type="gramStart"/>
            <w:r w:rsidRPr="00135D7B">
              <w:rPr>
                <w:rFonts w:cs="Arial"/>
                <w:color w:val="000000"/>
                <w:szCs w:val="24"/>
                <w:lang w:val="en-GB"/>
              </w:rPr>
              <w:t>)]^</w:t>
            </w:r>
            <w:proofErr w:type="gramEnd"/>
            <w:r w:rsidRPr="00135D7B">
              <w:rPr>
                <w:rFonts w:cs="Arial"/>
                <w:color w:val="000000"/>
                <w:szCs w:val="24"/>
                <w:lang w:val="en-GB"/>
              </w:rPr>
              <w:t>2</w:t>
            </w:r>
          </w:p>
        </w:tc>
        <w:tc>
          <w:tcPr>
            <w:tcW w:w="1631" w:type="dxa"/>
            <w:tcBorders>
              <w:top w:val="nil"/>
              <w:left w:val="nil"/>
              <w:bottom w:val="single" w:sz="4" w:space="0" w:color="auto"/>
              <w:right w:val="single" w:sz="4" w:space="0" w:color="auto"/>
            </w:tcBorders>
            <w:shd w:val="clear" w:color="000000" w:fill="DAFAF1"/>
            <w:noWrap/>
            <w:vAlign w:val="bottom"/>
            <w:hideMark/>
          </w:tcPr>
          <w:p w14:paraId="7903D960"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0.83</w:t>
            </w:r>
          </w:p>
        </w:tc>
        <w:tc>
          <w:tcPr>
            <w:tcW w:w="5160" w:type="dxa"/>
            <w:tcBorders>
              <w:top w:val="nil"/>
              <w:left w:val="nil"/>
              <w:bottom w:val="single" w:sz="4" w:space="0" w:color="auto"/>
              <w:right w:val="single" w:sz="4" w:space="0" w:color="auto"/>
            </w:tcBorders>
            <w:shd w:val="clear" w:color="000000" w:fill="DAFAF1"/>
            <w:noWrap/>
            <w:vAlign w:val="bottom"/>
            <w:hideMark/>
          </w:tcPr>
          <w:p w14:paraId="23B73E13"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8.26</w:t>
            </w:r>
          </w:p>
        </w:tc>
      </w:tr>
      <w:tr w:rsidR="0023090D" w:rsidRPr="00135D7B" w14:paraId="578E1177" w14:textId="77777777" w:rsidTr="000915FE">
        <w:trPr>
          <w:trHeight w:val="473"/>
        </w:trPr>
        <w:tc>
          <w:tcPr>
            <w:tcW w:w="1497" w:type="dxa"/>
            <w:tcBorders>
              <w:top w:val="nil"/>
              <w:left w:val="single" w:sz="4" w:space="0" w:color="auto"/>
              <w:bottom w:val="single" w:sz="4" w:space="0" w:color="auto"/>
              <w:right w:val="single" w:sz="4" w:space="0" w:color="auto"/>
            </w:tcBorders>
            <w:shd w:val="clear" w:color="000000" w:fill="DAFAF1"/>
            <w:noWrap/>
            <w:vAlign w:val="bottom"/>
            <w:hideMark/>
          </w:tcPr>
          <w:p w14:paraId="56064FB3"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3</w:t>
            </w:r>
          </w:p>
        </w:tc>
        <w:tc>
          <w:tcPr>
            <w:tcW w:w="1387" w:type="dxa"/>
            <w:tcBorders>
              <w:top w:val="nil"/>
              <w:left w:val="nil"/>
              <w:bottom w:val="single" w:sz="4" w:space="0" w:color="auto"/>
              <w:right w:val="single" w:sz="4" w:space="0" w:color="auto"/>
            </w:tcBorders>
            <w:shd w:val="clear" w:color="000000" w:fill="DAFAF1"/>
            <w:noWrap/>
            <w:vAlign w:val="bottom"/>
            <w:hideMark/>
          </w:tcPr>
          <w:p w14:paraId="4B2C6E1A"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1+10%</w:t>
            </w:r>
            <w:proofErr w:type="gramStart"/>
            <w:r w:rsidRPr="00135D7B">
              <w:rPr>
                <w:rFonts w:cs="Arial"/>
                <w:color w:val="000000"/>
                <w:szCs w:val="24"/>
                <w:lang w:val="en-GB"/>
              </w:rPr>
              <w:t>)]^</w:t>
            </w:r>
            <w:proofErr w:type="gramEnd"/>
            <w:r w:rsidRPr="00135D7B">
              <w:rPr>
                <w:rFonts w:cs="Arial"/>
                <w:color w:val="000000"/>
                <w:szCs w:val="24"/>
                <w:lang w:val="en-GB"/>
              </w:rPr>
              <w:t>3</w:t>
            </w:r>
          </w:p>
        </w:tc>
        <w:tc>
          <w:tcPr>
            <w:tcW w:w="1631" w:type="dxa"/>
            <w:tcBorders>
              <w:top w:val="nil"/>
              <w:left w:val="nil"/>
              <w:bottom w:val="single" w:sz="4" w:space="0" w:color="auto"/>
              <w:right w:val="single" w:sz="4" w:space="0" w:color="auto"/>
            </w:tcBorders>
            <w:shd w:val="clear" w:color="000000" w:fill="DAFAF1"/>
            <w:noWrap/>
            <w:vAlign w:val="bottom"/>
            <w:hideMark/>
          </w:tcPr>
          <w:p w14:paraId="0288C0C1"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0.75</w:t>
            </w:r>
          </w:p>
        </w:tc>
        <w:tc>
          <w:tcPr>
            <w:tcW w:w="5160" w:type="dxa"/>
            <w:tcBorders>
              <w:top w:val="nil"/>
              <w:left w:val="nil"/>
              <w:bottom w:val="single" w:sz="4" w:space="0" w:color="auto"/>
              <w:right w:val="single" w:sz="4" w:space="0" w:color="auto"/>
            </w:tcBorders>
            <w:shd w:val="clear" w:color="000000" w:fill="DAFAF1"/>
            <w:noWrap/>
            <w:vAlign w:val="bottom"/>
            <w:hideMark/>
          </w:tcPr>
          <w:p w14:paraId="53574F67"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15.03</w:t>
            </w:r>
          </w:p>
        </w:tc>
      </w:tr>
      <w:tr w:rsidR="0023090D" w:rsidRPr="00135D7B" w14:paraId="66011A14" w14:textId="77777777" w:rsidTr="000915FE">
        <w:trPr>
          <w:trHeight w:val="473"/>
        </w:trPr>
        <w:tc>
          <w:tcPr>
            <w:tcW w:w="1497" w:type="dxa"/>
            <w:tcBorders>
              <w:top w:val="nil"/>
              <w:left w:val="single" w:sz="4" w:space="0" w:color="auto"/>
              <w:bottom w:val="single" w:sz="4" w:space="0" w:color="auto"/>
              <w:right w:val="single" w:sz="4" w:space="0" w:color="auto"/>
            </w:tcBorders>
            <w:shd w:val="clear" w:color="000000" w:fill="DAFAF1"/>
            <w:noWrap/>
            <w:vAlign w:val="bottom"/>
            <w:hideMark/>
          </w:tcPr>
          <w:p w14:paraId="0040D40E"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4</w:t>
            </w:r>
          </w:p>
        </w:tc>
        <w:tc>
          <w:tcPr>
            <w:tcW w:w="1387" w:type="dxa"/>
            <w:tcBorders>
              <w:top w:val="nil"/>
              <w:left w:val="nil"/>
              <w:bottom w:val="single" w:sz="4" w:space="0" w:color="auto"/>
              <w:right w:val="single" w:sz="4" w:space="0" w:color="auto"/>
            </w:tcBorders>
            <w:shd w:val="clear" w:color="000000" w:fill="DAFAF1"/>
            <w:noWrap/>
            <w:vAlign w:val="bottom"/>
            <w:hideMark/>
          </w:tcPr>
          <w:p w14:paraId="5213DE0C"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1+10%</w:t>
            </w:r>
            <w:proofErr w:type="gramStart"/>
            <w:r w:rsidRPr="00135D7B">
              <w:rPr>
                <w:rFonts w:cs="Arial"/>
                <w:color w:val="000000"/>
                <w:szCs w:val="24"/>
                <w:lang w:val="en-GB"/>
              </w:rPr>
              <w:t>)]^</w:t>
            </w:r>
            <w:proofErr w:type="gramEnd"/>
            <w:r w:rsidRPr="00135D7B">
              <w:rPr>
                <w:rFonts w:cs="Arial"/>
                <w:color w:val="000000"/>
                <w:szCs w:val="24"/>
                <w:lang w:val="en-GB"/>
              </w:rPr>
              <w:t>4</w:t>
            </w:r>
          </w:p>
        </w:tc>
        <w:tc>
          <w:tcPr>
            <w:tcW w:w="1631" w:type="dxa"/>
            <w:tcBorders>
              <w:top w:val="nil"/>
              <w:left w:val="nil"/>
              <w:bottom w:val="single" w:sz="4" w:space="0" w:color="auto"/>
              <w:right w:val="single" w:sz="4" w:space="0" w:color="auto"/>
            </w:tcBorders>
            <w:shd w:val="clear" w:color="000000" w:fill="DAFAF1"/>
            <w:noWrap/>
            <w:vAlign w:val="bottom"/>
            <w:hideMark/>
          </w:tcPr>
          <w:p w14:paraId="5F3A5EB5"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0.68</w:t>
            </w:r>
          </w:p>
        </w:tc>
        <w:tc>
          <w:tcPr>
            <w:tcW w:w="5160" w:type="dxa"/>
            <w:tcBorders>
              <w:top w:val="nil"/>
              <w:left w:val="nil"/>
              <w:bottom w:val="single" w:sz="4" w:space="0" w:color="auto"/>
              <w:right w:val="single" w:sz="4" w:space="0" w:color="auto"/>
            </w:tcBorders>
            <w:shd w:val="clear" w:color="000000" w:fill="DAFAF1"/>
            <w:noWrap/>
            <w:vAlign w:val="bottom"/>
            <w:hideMark/>
          </w:tcPr>
          <w:p w14:paraId="5D5020A4"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17.08</w:t>
            </w:r>
          </w:p>
        </w:tc>
      </w:tr>
      <w:tr w:rsidR="0023090D" w:rsidRPr="00135D7B" w14:paraId="276C2041" w14:textId="77777777" w:rsidTr="000915FE">
        <w:trPr>
          <w:trHeight w:val="473"/>
        </w:trPr>
        <w:tc>
          <w:tcPr>
            <w:tcW w:w="1497" w:type="dxa"/>
            <w:tcBorders>
              <w:top w:val="nil"/>
              <w:left w:val="single" w:sz="4" w:space="0" w:color="auto"/>
              <w:bottom w:val="single" w:sz="4" w:space="0" w:color="auto"/>
              <w:right w:val="single" w:sz="4" w:space="0" w:color="auto"/>
            </w:tcBorders>
            <w:shd w:val="clear" w:color="000000" w:fill="DAFAF1"/>
            <w:noWrap/>
            <w:vAlign w:val="bottom"/>
            <w:hideMark/>
          </w:tcPr>
          <w:p w14:paraId="53525DB0"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w:t>
            </w:r>
          </w:p>
        </w:tc>
        <w:tc>
          <w:tcPr>
            <w:tcW w:w="1387" w:type="dxa"/>
            <w:tcBorders>
              <w:top w:val="nil"/>
              <w:left w:val="nil"/>
              <w:bottom w:val="single" w:sz="4" w:space="0" w:color="auto"/>
              <w:right w:val="single" w:sz="4" w:space="0" w:color="auto"/>
            </w:tcBorders>
            <w:shd w:val="clear" w:color="000000" w:fill="DAFAF1"/>
            <w:noWrap/>
            <w:vAlign w:val="bottom"/>
            <w:hideMark/>
          </w:tcPr>
          <w:p w14:paraId="19E0FC69"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1+10%</w:t>
            </w:r>
            <w:proofErr w:type="gramStart"/>
            <w:r w:rsidRPr="00135D7B">
              <w:rPr>
                <w:rFonts w:cs="Arial"/>
                <w:color w:val="000000"/>
                <w:szCs w:val="24"/>
                <w:lang w:val="en-GB"/>
              </w:rPr>
              <w:t>)]^</w:t>
            </w:r>
            <w:proofErr w:type="gramEnd"/>
            <w:r w:rsidRPr="00135D7B">
              <w:rPr>
                <w:rFonts w:cs="Arial"/>
                <w:color w:val="000000"/>
                <w:szCs w:val="24"/>
                <w:lang w:val="en-GB"/>
              </w:rPr>
              <w:t>5</w:t>
            </w:r>
          </w:p>
        </w:tc>
        <w:tc>
          <w:tcPr>
            <w:tcW w:w="1631" w:type="dxa"/>
            <w:tcBorders>
              <w:top w:val="nil"/>
              <w:left w:val="nil"/>
              <w:bottom w:val="single" w:sz="4" w:space="0" w:color="auto"/>
              <w:right w:val="single" w:sz="4" w:space="0" w:color="auto"/>
            </w:tcBorders>
            <w:shd w:val="clear" w:color="000000" w:fill="DAFAF1"/>
            <w:noWrap/>
            <w:vAlign w:val="bottom"/>
            <w:hideMark/>
          </w:tcPr>
          <w:p w14:paraId="674008F5"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0.62</w:t>
            </w:r>
          </w:p>
        </w:tc>
        <w:tc>
          <w:tcPr>
            <w:tcW w:w="5160" w:type="dxa"/>
            <w:tcBorders>
              <w:top w:val="nil"/>
              <w:left w:val="nil"/>
              <w:bottom w:val="single" w:sz="4" w:space="0" w:color="auto"/>
              <w:right w:val="single" w:sz="4" w:space="0" w:color="auto"/>
            </w:tcBorders>
            <w:shd w:val="clear" w:color="000000" w:fill="DAFAF1"/>
            <w:noWrap/>
            <w:vAlign w:val="bottom"/>
            <w:hideMark/>
          </w:tcPr>
          <w:p w14:paraId="1EA47D6A"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9.31</w:t>
            </w:r>
          </w:p>
        </w:tc>
      </w:tr>
      <w:tr w:rsidR="0023090D" w:rsidRPr="00135D7B" w14:paraId="76856885" w14:textId="77777777" w:rsidTr="000915FE">
        <w:trPr>
          <w:trHeight w:val="473"/>
        </w:trPr>
        <w:tc>
          <w:tcPr>
            <w:tcW w:w="1497" w:type="dxa"/>
            <w:tcBorders>
              <w:top w:val="nil"/>
              <w:left w:val="single" w:sz="4" w:space="0" w:color="auto"/>
              <w:bottom w:val="single" w:sz="4" w:space="0" w:color="auto"/>
              <w:right w:val="single" w:sz="4" w:space="0" w:color="auto"/>
            </w:tcBorders>
            <w:shd w:val="clear" w:color="000000" w:fill="DAFAF1"/>
            <w:noWrap/>
            <w:vAlign w:val="bottom"/>
            <w:hideMark/>
          </w:tcPr>
          <w:p w14:paraId="7A1E21CB"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lastRenderedPageBreak/>
              <w:t> </w:t>
            </w:r>
          </w:p>
        </w:tc>
        <w:tc>
          <w:tcPr>
            <w:tcW w:w="1387" w:type="dxa"/>
            <w:tcBorders>
              <w:top w:val="nil"/>
              <w:left w:val="nil"/>
              <w:bottom w:val="single" w:sz="4" w:space="0" w:color="auto"/>
              <w:right w:val="single" w:sz="4" w:space="0" w:color="auto"/>
            </w:tcBorders>
            <w:shd w:val="clear" w:color="000000" w:fill="DAFAF1"/>
            <w:noWrap/>
            <w:vAlign w:val="bottom"/>
            <w:hideMark/>
          </w:tcPr>
          <w:p w14:paraId="7103742F"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 </w:t>
            </w:r>
          </w:p>
        </w:tc>
        <w:tc>
          <w:tcPr>
            <w:tcW w:w="1631" w:type="dxa"/>
            <w:tcBorders>
              <w:top w:val="nil"/>
              <w:left w:val="nil"/>
              <w:bottom w:val="single" w:sz="4" w:space="0" w:color="auto"/>
              <w:right w:val="single" w:sz="4" w:space="0" w:color="auto"/>
            </w:tcBorders>
            <w:shd w:val="clear" w:color="000000" w:fill="DAFAF1"/>
            <w:noWrap/>
            <w:vAlign w:val="bottom"/>
            <w:hideMark/>
          </w:tcPr>
          <w:p w14:paraId="2C8D30A0"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 </w:t>
            </w:r>
          </w:p>
        </w:tc>
        <w:tc>
          <w:tcPr>
            <w:tcW w:w="5160" w:type="dxa"/>
            <w:tcBorders>
              <w:top w:val="nil"/>
              <w:left w:val="nil"/>
              <w:bottom w:val="single" w:sz="4" w:space="0" w:color="auto"/>
              <w:right w:val="single" w:sz="4" w:space="0" w:color="auto"/>
            </w:tcBorders>
            <w:shd w:val="clear" w:color="000000" w:fill="DAFAF1"/>
            <w:noWrap/>
            <w:vAlign w:val="bottom"/>
            <w:hideMark/>
          </w:tcPr>
          <w:p w14:paraId="3F8F4636" w14:textId="77777777" w:rsidR="0023090D" w:rsidRPr="00135D7B" w:rsidRDefault="0023090D" w:rsidP="000915FE">
            <w:pPr>
              <w:spacing w:after="0" w:line="240" w:lineRule="auto"/>
              <w:ind w:firstLineChars="1200" w:firstLine="2891"/>
              <w:jc w:val="left"/>
              <w:rPr>
                <w:rFonts w:cs="Arial"/>
                <w:b/>
                <w:bCs/>
                <w:color w:val="000000"/>
                <w:szCs w:val="24"/>
                <w:lang w:val="en-GB"/>
              </w:rPr>
            </w:pPr>
            <w:r w:rsidRPr="00135D7B">
              <w:rPr>
                <w:rFonts w:cs="Arial"/>
                <w:b/>
                <w:bCs/>
                <w:color w:val="000000"/>
                <w:szCs w:val="24"/>
                <w:lang w:val="en-GB"/>
              </w:rPr>
              <w:t>54.23</w:t>
            </w:r>
          </w:p>
        </w:tc>
      </w:tr>
      <w:tr w:rsidR="0023090D" w:rsidRPr="00135D7B" w14:paraId="496079F7" w14:textId="77777777" w:rsidTr="000915FE">
        <w:trPr>
          <w:trHeight w:val="473"/>
        </w:trPr>
        <w:tc>
          <w:tcPr>
            <w:tcW w:w="1497" w:type="dxa"/>
            <w:tcBorders>
              <w:top w:val="nil"/>
              <w:left w:val="single" w:sz="4" w:space="0" w:color="auto"/>
              <w:bottom w:val="single" w:sz="4" w:space="0" w:color="auto"/>
              <w:right w:val="single" w:sz="4" w:space="0" w:color="auto"/>
            </w:tcBorders>
            <w:shd w:val="clear" w:color="000000" w:fill="DAFAF1"/>
            <w:noWrap/>
            <w:vAlign w:val="bottom"/>
            <w:hideMark/>
          </w:tcPr>
          <w:p w14:paraId="7707AD86"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NPV</w:t>
            </w:r>
          </w:p>
        </w:tc>
        <w:tc>
          <w:tcPr>
            <w:tcW w:w="1387" w:type="dxa"/>
            <w:tcBorders>
              <w:top w:val="nil"/>
              <w:left w:val="nil"/>
              <w:bottom w:val="single" w:sz="4" w:space="0" w:color="auto"/>
              <w:right w:val="single" w:sz="4" w:space="0" w:color="auto"/>
            </w:tcBorders>
            <w:shd w:val="clear" w:color="000000" w:fill="DAFAF1"/>
            <w:noWrap/>
            <w:vAlign w:val="bottom"/>
            <w:hideMark/>
          </w:tcPr>
          <w:p w14:paraId="7C98ED94" w14:textId="77777777" w:rsidR="0023090D" w:rsidRPr="00135D7B" w:rsidRDefault="0023090D" w:rsidP="000915FE">
            <w:pPr>
              <w:spacing w:after="0" w:line="240" w:lineRule="auto"/>
              <w:jc w:val="right"/>
              <w:rPr>
                <w:rFonts w:cs="Arial"/>
                <w:b/>
                <w:bCs/>
                <w:color w:val="000000"/>
                <w:szCs w:val="24"/>
                <w:lang w:val="en-GB"/>
              </w:rPr>
            </w:pPr>
            <w:r w:rsidRPr="00135D7B">
              <w:rPr>
                <w:rFonts w:cs="Arial"/>
                <w:b/>
                <w:bCs/>
                <w:color w:val="000000"/>
                <w:szCs w:val="24"/>
                <w:lang w:val="en-GB"/>
              </w:rPr>
              <w:t>4.23</w:t>
            </w:r>
          </w:p>
        </w:tc>
        <w:tc>
          <w:tcPr>
            <w:tcW w:w="1631" w:type="dxa"/>
            <w:tcBorders>
              <w:top w:val="nil"/>
              <w:left w:val="nil"/>
              <w:bottom w:val="nil"/>
              <w:right w:val="nil"/>
            </w:tcBorders>
            <w:noWrap/>
            <w:vAlign w:val="bottom"/>
            <w:hideMark/>
          </w:tcPr>
          <w:p w14:paraId="11DF495E" w14:textId="77777777" w:rsidR="0023090D" w:rsidRPr="00135D7B" w:rsidRDefault="0023090D" w:rsidP="000915FE">
            <w:pPr>
              <w:spacing w:after="0" w:line="240" w:lineRule="auto"/>
              <w:jc w:val="right"/>
              <w:rPr>
                <w:rFonts w:cs="Arial"/>
                <w:b/>
                <w:bCs/>
                <w:color w:val="000000"/>
                <w:szCs w:val="24"/>
                <w:lang w:val="en-GB"/>
              </w:rPr>
            </w:pPr>
          </w:p>
        </w:tc>
        <w:tc>
          <w:tcPr>
            <w:tcW w:w="5160" w:type="dxa"/>
            <w:tcBorders>
              <w:top w:val="nil"/>
              <w:left w:val="nil"/>
              <w:bottom w:val="nil"/>
              <w:right w:val="nil"/>
            </w:tcBorders>
            <w:noWrap/>
            <w:vAlign w:val="bottom"/>
            <w:hideMark/>
          </w:tcPr>
          <w:p w14:paraId="3E0E65B4" w14:textId="77777777" w:rsidR="0023090D" w:rsidRPr="00135D7B" w:rsidRDefault="0023090D" w:rsidP="000915FE">
            <w:pPr>
              <w:spacing w:after="0" w:line="240" w:lineRule="auto"/>
              <w:jc w:val="left"/>
              <w:rPr>
                <w:rFonts w:cs="Arial"/>
                <w:szCs w:val="24"/>
                <w:lang w:val="en-GB"/>
              </w:rPr>
            </w:pPr>
          </w:p>
        </w:tc>
      </w:tr>
    </w:tbl>
    <w:p w14:paraId="1533CED3" w14:textId="77777777" w:rsidR="0023090D" w:rsidRPr="00095284" w:rsidRDefault="0023090D" w:rsidP="0023090D">
      <w:pPr>
        <w:rPr>
          <w:rFonts w:cs="Arial"/>
          <w:szCs w:val="24"/>
          <w:lang w:val="en-GB"/>
        </w:rPr>
      </w:pPr>
    </w:p>
    <w:tbl>
      <w:tblPr>
        <w:tblW w:w="9900" w:type="dxa"/>
        <w:tblLook w:val="04A0" w:firstRow="1" w:lastRow="0" w:firstColumn="1" w:lastColumn="0" w:noHBand="0" w:noVBand="1"/>
      </w:tblPr>
      <w:tblGrid>
        <w:gridCol w:w="3077"/>
        <w:gridCol w:w="5961"/>
        <w:gridCol w:w="430"/>
        <w:gridCol w:w="432"/>
      </w:tblGrid>
      <w:tr w:rsidR="0023090D" w:rsidRPr="00135D7B" w14:paraId="2927FCFA" w14:textId="77777777" w:rsidTr="000915FE">
        <w:trPr>
          <w:trHeight w:val="811"/>
        </w:trPr>
        <w:tc>
          <w:tcPr>
            <w:tcW w:w="9900" w:type="dxa"/>
            <w:gridSpan w:val="4"/>
            <w:tcBorders>
              <w:top w:val="nil"/>
              <w:left w:val="nil"/>
              <w:bottom w:val="nil"/>
              <w:right w:val="nil"/>
            </w:tcBorders>
            <w:shd w:val="clear" w:color="000000" w:fill="9ACAA9"/>
            <w:noWrap/>
            <w:vAlign w:val="bottom"/>
            <w:hideMark/>
          </w:tcPr>
          <w:p w14:paraId="7F92432C"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PI</w:t>
            </w:r>
          </w:p>
        </w:tc>
      </w:tr>
      <w:tr w:rsidR="0023090D" w:rsidRPr="00135D7B" w14:paraId="7A496660" w14:textId="77777777" w:rsidTr="000915FE">
        <w:trPr>
          <w:trHeight w:val="811"/>
        </w:trPr>
        <w:tc>
          <w:tcPr>
            <w:tcW w:w="3077" w:type="dxa"/>
            <w:tcBorders>
              <w:top w:val="single" w:sz="4" w:space="0" w:color="auto"/>
              <w:left w:val="single" w:sz="4" w:space="0" w:color="auto"/>
              <w:bottom w:val="single" w:sz="4" w:space="0" w:color="auto"/>
              <w:right w:val="single" w:sz="4" w:space="0" w:color="auto"/>
            </w:tcBorders>
            <w:shd w:val="clear" w:color="000000" w:fill="DAFAF1"/>
            <w:noWrap/>
            <w:vAlign w:val="bottom"/>
            <w:hideMark/>
          </w:tcPr>
          <w:p w14:paraId="7E20BE63"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PI</w:t>
            </w:r>
          </w:p>
        </w:tc>
        <w:tc>
          <w:tcPr>
            <w:tcW w:w="5961" w:type="dxa"/>
            <w:tcBorders>
              <w:top w:val="single" w:sz="4" w:space="0" w:color="auto"/>
              <w:left w:val="nil"/>
              <w:bottom w:val="single" w:sz="4" w:space="0" w:color="auto"/>
              <w:right w:val="single" w:sz="4" w:space="0" w:color="auto"/>
            </w:tcBorders>
            <w:shd w:val="clear" w:color="000000" w:fill="DAFAF1"/>
            <w:noWrap/>
            <w:vAlign w:val="bottom"/>
            <w:hideMark/>
          </w:tcPr>
          <w:p w14:paraId="4934C550"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1.08</w:t>
            </w:r>
          </w:p>
        </w:tc>
        <w:tc>
          <w:tcPr>
            <w:tcW w:w="430" w:type="dxa"/>
            <w:tcBorders>
              <w:top w:val="nil"/>
              <w:left w:val="nil"/>
              <w:bottom w:val="nil"/>
              <w:right w:val="nil"/>
            </w:tcBorders>
            <w:noWrap/>
            <w:vAlign w:val="bottom"/>
            <w:hideMark/>
          </w:tcPr>
          <w:p w14:paraId="088276E4" w14:textId="77777777" w:rsidR="0023090D" w:rsidRPr="00135D7B" w:rsidRDefault="0023090D" w:rsidP="000915FE">
            <w:pPr>
              <w:spacing w:after="0" w:line="240" w:lineRule="auto"/>
              <w:jc w:val="right"/>
              <w:rPr>
                <w:rFonts w:cs="Arial"/>
                <w:color w:val="000000"/>
                <w:szCs w:val="24"/>
                <w:lang w:val="en-GB"/>
              </w:rPr>
            </w:pPr>
          </w:p>
        </w:tc>
        <w:tc>
          <w:tcPr>
            <w:tcW w:w="430" w:type="dxa"/>
            <w:tcBorders>
              <w:top w:val="nil"/>
              <w:left w:val="nil"/>
              <w:bottom w:val="nil"/>
              <w:right w:val="nil"/>
            </w:tcBorders>
            <w:noWrap/>
            <w:vAlign w:val="bottom"/>
            <w:hideMark/>
          </w:tcPr>
          <w:p w14:paraId="1017C0BA" w14:textId="77777777" w:rsidR="0023090D" w:rsidRPr="00135D7B" w:rsidRDefault="0023090D" w:rsidP="000915FE">
            <w:pPr>
              <w:spacing w:after="0" w:line="240" w:lineRule="auto"/>
              <w:jc w:val="left"/>
              <w:rPr>
                <w:rFonts w:cs="Arial"/>
                <w:szCs w:val="24"/>
                <w:lang w:val="en-GB"/>
              </w:rPr>
            </w:pPr>
          </w:p>
        </w:tc>
      </w:tr>
    </w:tbl>
    <w:p w14:paraId="6CE963AA" w14:textId="77777777" w:rsidR="0023090D" w:rsidRPr="00095284" w:rsidRDefault="0023090D" w:rsidP="0023090D">
      <w:pPr>
        <w:rPr>
          <w:rFonts w:cs="Arial"/>
          <w:szCs w:val="24"/>
          <w:lang w:val="en-GB"/>
        </w:rPr>
      </w:pPr>
    </w:p>
    <w:tbl>
      <w:tblPr>
        <w:tblW w:w="9406" w:type="dxa"/>
        <w:tblLook w:val="04A0" w:firstRow="1" w:lastRow="0" w:firstColumn="1" w:lastColumn="0" w:noHBand="0" w:noVBand="1"/>
      </w:tblPr>
      <w:tblGrid>
        <w:gridCol w:w="2765"/>
        <w:gridCol w:w="2564"/>
        <w:gridCol w:w="3013"/>
        <w:gridCol w:w="1064"/>
      </w:tblGrid>
      <w:tr w:rsidR="0023090D" w:rsidRPr="00135D7B" w14:paraId="584A0F39" w14:textId="77777777" w:rsidTr="000915FE">
        <w:trPr>
          <w:trHeight w:val="419"/>
        </w:trPr>
        <w:tc>
          <w:tcPr>
            <w:tcW w:w="9406" w:type="dxa"/>
            <w:gridSpan w:val="4"/>
            <w:tcBorders>
              <w:top w:val="nil"/>
              <w:left w:val="single" w:sz="4" w:space="0" w:color="auto"/>
              <w:bottom w:val="nil"/>
              <w:right w:val="nil"/>
            </w:tcBorders>
            <w:shd w:val="clear" w:color="000000" w:fill="9ACAA9"/>
            <w:noWrap/>
            <w:vAlign w:val="bottom"/>
            <w:hideMark/>
          </w:tcPr>
          <w:p w14:paraId="50A15516" w14:textId="77777777" w:rsidR="0023090D" w:rsidRPr="00135D7B" w:rsidRDefault="0023090D" w:rsidP="000915FE">
            <w:pPr>
              <w:spacing w:after="0" w:line="240" w:lineRule="auto"/>
              <w:jc w:val="center"/>
              <w:rPr>
                <w:rFonts w:cs="Arial"/>
                <w:b/>
                <w:bCs/>
                <w:color w:val="000000"/>
                <w:szCs w:val="24"/>
                <w:lang w:val="en-GB"/>
              </w:rPr>
            </w:pPr>
            <w:r w:rsidRPr="00135D7B">
              <w:rPr>
                <w:rFonts w:cs="Arial"/>
                <w:b/>
                <w:bCs/>
                <w:color w:val="000000"/>
                <w:szCs w:val="24"/>
                <w:lang w:val="en-GB"/>
              </w:rPr>
              <w:t>IRR</w:t>
            </w:r>
          </w:p>
        </w:tc>
      </w:tr>
      <w:tr w:rsidR="0023090D" w:rsidRPr="00135D7B" w14:paraId="5D6BF9CA" w14:textId="77777777" w:rsidTr="000915FE">
        <w:trPr>
          <w:trHeight w:val="419"/>
        </w:trPr>
        <w:tc>
          <w:tcPr>
            <w:tcW w:w="2765" w:type="dxa"/>
            <w:tcBorders>
              <w:top w:val="single" w:sz="4" w:space="0" w:color="auto"/>
              <w:left w:val="single" w:sz="4" w:space="0" w:color="auto"/>
              <w:bottom w:val="single" w:sz="4" w:space="0" w:color="auto"/>
              <w:right w:val="single" w:sz="4" w:space="0" w:color="auto"/>
            </w:tcBorders>
            <w:shd w:val="clear" w:color="000000" w:fill="DAFAF1"/>
            <w:noWrap/>
            <w:vAlign w:val="bottom"/>
            <w:hideMark/>
          </w:tcPr>
          <w:p w14:paraId="2C36DC91"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Discount Rate</w:t>
            </w:r>
          </w:p>
        </w:tc>
        <w:tc>
          <w:tcPr>
            <w:tcW w:w="2564" w:type="dxa"/>
            <w:tcBorders>
              <w:top w:val="single" w:sz="4" w:space="0" w:color="auto"/>
              <w:left w:val="nil"/>
              <w:bottom w:val="single" w:sz="4" w:space="0" w:color="auto"/>
              <w:right w:val="single" w:sz="4" w:space="0" w:color="auto"/>
            </w:tcBorders>
            <w:shd w:val="clear" w:color="000000" w:fill="DAFAF1"/>
            <w:noWrap/>
            <w:vAlign w:val="bottom"/>
            <w:hideMark/>
          </w:tcPr>
          <w:p w14:paraId="4FB87EDE"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20%</w:t>
            </w:r>
          </w:p>
        </w:tc>
        <w:tc>
          <w:tcPr>
            <w:tcW w:w="3013" w:type="dxa"/>
            <w:tcBorders>
              <w:top w:val="nil"/>
              <w:left w:val="nil"/>
              <w:bottom w:val="nil"/>
              <w:right w:val="nil"/>
            </w:tcBorders>
            <w:noWrap/>
            <w:vAlign w:val="bottom"/>
            <w:hideMark/>
          </w:tcPr>
          <w:p w14:paraId="73E7DC78" w14:textId="77777777" w:rsidR="0023090D" w:rsidRPr="00135D7B" w:rsidRDefault="0023090D" w:rsidP="000915FE">
            <w:pPr>
              <w:spacing w:after="0" w:line="240" w:lineRule="auto"/>
              <w:jc w:val="right"/>
              <w:rPr>
                <w:rFonts w:cs="Arial"/>
                <w:color w:val="000000"/>
                <w:szCs w:val="24"/>
                <w:lang w:val="en-GB"/>
              </w:rPr>
            </w:pPr>
          </w:p>
        </w:tc>
        <w:tc>
          <w:tcPr>
            <w:tcW w:w="1062" w:type="dxa"/>
            <w:tcBorders>
              <w:top w:val="nil"/>
              <w:left w:val="nil"/>
              <w:bottom w:val="nil"/>
              <w:right w:val="nil"/>
            </w:tcBorders>
            <w:noWrap/>
            <w:vAlign w:val="bottom"/>
            <w:hideMark/>
          </w:tcPr>
          <w:p w14:paraId="2101CEEC" w14:textId="77777777" w:rsidR="0023090D" w:rsidRPr="00135D7B" w:rsidRDefault="0023090D" w:rsidP="000915FE">
            <w:pPr>
              <w:spacing w:after="0" w:line="240" w:lineRule="auto"/>
              <w:jc w:val="left"/>
              <w:rPr>
                <w:rFonts w:cs="Arial"/>
                <w:szCs w:val="24"/>
                <w:lang w:val="en-GB"/>
              </w:rPr>
            </w:pPr>
          </w:p>
        </w:tc>
      </w:tr>
      <w:tr w:rsidR="0023090D" w:rsidRPr="00135D7B" w14:paraId="17D17ACC" w14:textId="77777777" w:rsidTr="000915FE">
        <w:trPr>
          <w:trHeight w:val="419"/>
        </w:trPr>
        <w:tc>
          <w:tcPr>
            <w:tcW w:w="2765" w:type="dxa"/>
            <w:tcBorders>
              <w:top w:val="nil"/>
              <w:left w:val="single" w:sz="4" w:space="0" w:color="auto"/>
              <w:bottom w:val="single" w:sz="4" w:space="0" w:color="auto"/>
              <w:right w:val="single" w:sz="4" w:space="0" w:color="auto"/>
            </w:tcBorders>
            <w:shd w:val="clear" w:color="000000" w:fill="DAFAF1"/>
            <w:noWrap/>
            <w:vAlign w:val="bottom"/>
            <w:hideMark/>
          </w:tcPr>
          <w:p w14:paraId="125AB438"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Year</w:t>
            </w:r>
          </w:p>
        </w:tc>
        <w:tc>
          <w:tcPr>
            <w:tcW w:w="2564" w:type="dxa"/>
            <w:tcBorders>
              <w:top w:val="nil"/>
              <w:left w:val="nil"/>
              <w:bottom w:val="single" w:sz="4" w:space="0" w:color="auto"/>
              <w:right w:val="single" w:sz="4" w:space="0" w:color="auto"/>
            </w:tcBorders>
            <w:shd w:val="clear" w:color="000000" w:fill="DAFAF1"/>
            <w:noWrap/>
            <w:vAlign w:val="bottom"/>
            <w:hideMark/>
          </w:tcPr>
          <w:p w14:paraId="3CC08928" w14:textId="77777777" w:rsidR="0023090D" w:rsidRPr="00135D7B" w:rsidRDefault="0023090D" w:rsidP="000915FE">
            <w:pPr>
              <w:spacing w:after="0" w:line="240" w:lineRule="auto"/>
              <w:jc w:val="left"/>
              <w:rPr>
                <w:rFonts w:cs="Arial"/>
                <w:b/>
                <w:bCs/>
                <w:color w:val="000000"/>
                <w:szCs w:val="24"/>
                <w:lang w:val="en-GB"/>
              </w:rPr>
            </w:pPr>
            <w:r w:rsidRPr="00095284">
              <w:rPr>
                <w:rFonts w:cs="Arial"/>
                <w:b/>
                <w:bCs/>
                <w:color w:val="000000"/>
                <w:szCs w:val="24"/>
                <w:lang w:val="en-GB"/>
              </w:rPr>
              <w:t>Formula</w:t>
            </w:r>
          </w:p>
        </w:tc>
        <w:tc>
          <w:tcPr>
            <w:tcW w:w="3013" w:type="dxa"/>
            <w:tcBorders>
              <w:top w:val="single" w:sz="4" w:space="0" w:color="auto"/>
              <w:left w:val="nil"/>
              <w:bottom w:val="single" w:sz="4" w:space="0" w:color="auto"/>
              <w:right w:val="single" w:sz="4" w:space="0" w:color="auto"/>
            </w:tcBorders>
            <w:shd w:val="clear" w:color="000000" w:fill="DAFAF1"/>
            <w:noWrap/>
            <w:vAlign w:val="bottom"/>
            <w:hideMark/>
          </w:tcPr>
          <w:p w14:paraId="415AA1F1"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Discount factor</w:t>
            </w:r>
          </w:p>
        </w:tc>
        <w:tc>
          <w:tcPr>
            <w:tcW w:w="1062" w:type="dxa"/>
            <w:tcBorders>
              <w:top w:val="single" w:sz="4" w:space="0" w:color="auto"/>
              <w:left w:val="nil"/>
              <w:bottom w:val="single" w:sz="4" w:space="0" w:color="auto"/>
              <w:right w:val="single" w:sz="4" w:space="0" w:color="auto"/>
            </w:tcBorders>
            <w:shd w:val="clear" w:color="000000" w:fill="DAFAF1"/>
            <w:noWrap/>
            <w:vAlign w:val="bottom"/>
            <w:hideMark/>
          </w:tcPr>
          <w:p w14:paraId="4D036F4B"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PV</w:t>
            </w:r>
          </w:p>
        </w:tc>
      </w:tr>
      <w:tr w:rsidR="0023090D" w:rsidRPr="00135D7B" w14:paraId="762B9B81" w14:textId="77777777" w:rsidTr="000915FE">
        <w:trPr>
          <w:trHeight w:val="419"/>
        </w:trPr>
        <w:tc>
          <w:tcPr>
            <w:tcW w:w="2765" w:type="dxa"/>
            <w:tcBorders>
              <w:top w:val="nil"/>
              <w:left w:val="single" w:sz="4" w:space="0" w:color="auto"/>
              <w:bottom w:val="single" w:sz="4" w:space="0" w:color="auto"/>
              <w:right w:val="single" w:sz="4" w:space="0" w:color="auto"/>
            </w:tcBorders>
            <w:shd w:val="clear" w:color="000000" w:fill="DAFAF1"/>
            <w:noWrap/>
            <w:vAlign w:val="bottom"/>
            <w:hideMark/>
          </w:tcPr>
          <w:p w14:paraId="5A60A2D3"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w:t>
            </w:r>
          </w:p>
        </w:tc>
        <w:tc>
          <w:tcPr>
            <w:tcW w:w="2564" w:type="dxa"/>
            <w:tcBorders>
              <w:top w:val="nil"/>
              <w:left w:val="nil"/>
              <w:bottom w:val="single" w:sz="4" w:space="0" w:color="auto"/>
              <w:right w:val="single" w:sz="4" w:space="0" w:color="auto"/>
            </w:tcBorders>
            <w:shd w:val="clear" w:color="000000" w:fill="DAFAF1"/>
            <w:noWrap/>
            <w:vAlign w:val="bottom"/>
            <w:hideMark/>
          </w:tcPr>
          <w:p w14:paraId="485353C4"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1+20%</w:t>
            </w:r>
            <w:proofErr w:type="gramStart"/>
            <w:r w:rsidRPr="00135D7B">
              <w:rPr>
                <w:rFonts w:cs="Arial"/>
                <w:color w:val="000000"/>
                <w:szCs w:val="24"/>
                <w:lang w:val="en-GB"/>
              </w:rPr>
              <w:t>)]^</w:t>
            </w:r>
            <w:proofErr w:type="gramEnd"/>
            <w:r w:rsidRPr="00135D7B">
              <w:rPr>
                <w:rFonts w:cs="Arial"/>
                <w:color w:val="000000"/>
                <w:szCs w:val="24"/>
                <w:lang w:val="en-GB"/>
              </w:rPr>
              <w:t>1</w:t>
            </w:r>
          </w:p>
        </w:tc>
        <w:tc>
          <w:tcPr>
            <w:tcW w:w="3013" w:type="dxa"/>
            <w:tcBorders>
              <w:top w:val="nil"/>
              <w:left w:val="nil"/>
              <w:bottom w:val="single" w:sz="4" w:space="0" w:color="auto"/>
              <w:right w:val="single" w:sz="4" w:space="0" w:color="auto"/>
            </w:tcBorders>
            <w:shd w:val="clear" w:color="000000" w:fill="DAFAF1"/>
            <w:noWrap/>
            <w:vAlign w:val="bottom"/>
            <w:hideMark/>
          </w:tcPr>
          <w:p w14:paraId="3FC15B3F"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0.83</w:t>
            </w:r>
          </w:p>
        </w:tc>
        <w:tc>
          <w:tcPr>
            <w:tcW w:w="1062" w:type="dxa"/>
            <w:tcBorders>
              <w:top w:val="nil"/>
              <w:left w:val="nil"/>
              <w:bottom w:val="single" w:sz="4" w:space="0" w:color="auto"/>
              <w:right w:val="single" w:sz="4" w:space="0" w:color="auto"/>
            </w:tcBorders>
            <w:shd w:val="clear" w:color="000000" w:fill="DAFAF1"/>
            <w:noWrap/>
            <w:vAlign w:val="bottom"/>
            <w:hideMark/>
          </w:tcPr>
          <w:p w14:paraId="77D65FF1"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4.17</w:t>
            </w:r>
          </w:p>
        </w:tc>
      </w:tr>
      <w:tr w:rsidR="0023090D" w:rsidRPr="00135D7B" w14:paraId="5364D819" w14:textId="77777777" w:rsidTr="000915FE">
        <w:trPr>
          <w:trHeight w:val="419"/>
        </w:trPr>
        <w:tc>
          <w:tcPr>
            <w:tcW w:w="2765" w:type="dxa"/>
            <w:tcBorders>
              <w:top w:val="nil"/>
              <w:left w:val="single" w:sz="4" w:space="0" w:color="auto"/>
              <w:bottom w:val="single" w:sz="4" w:space="0" w:color="auto"/>
              <w:right w:val="single" w:sz="4" w:space="0" w:color="auto"/>
            </w:tcBorders>
            <w:shd w:val="clear" w:color="000000" w:fill="DAFAF1"/>
            <w:noWrap/>
            <w:vAlign w:val="bottom"/>
            <w:hideMark/>
          </w:tcPr>
          <w:p w14:paraId="01F9A6EB"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2</w:t>
            </w:r>
          </w:p>
        </w:tc>
        <w:tc>
          <w:tcPr>
            <w:tcW w:w="2564" w:type="dxa"/>
            <w:tcBorders>
              <w:top w:val="nil"/>
              <w:left w:val="nil"/>
              <w:bottom w:val="single" w:sz="4" w:space="0" w:color="auto"/>
              <w:right w:val="single" w:sz="4" w:space="0" w:color="auto"/>
            </w:tcBorders>
            <w:shd w:val="clear" w:color="000000" w:fill="DAFAF1"/>
            <w:noWrap/>
            <w:vAlign w:val="bottom"/>
            <w:hideMark/>
          </w:tcPr>
          <w:p w14:paraId="61852D02"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1+20%</w:t>
            </w:r>
            <w:proofErr w:type="gramStart"/>
            <w:r w:rsidRPr="00135D7B">
              <w:rPr>
                <w:rFonts w:cs="Arial"/>
                <w:color w:val="000000"/>
                <w:szCs w:val="24"/>
                <w:lang w:val="en-GB"/>
              </w:rPr>
              <w:t>)]^</w:t>
            </w:r>
            <w:proofErr w:type="gramEnd"/>
            <w:r w:rsidRPr="00135D7B">
              <w:rPr>
                <w:rFonts w:cs="Arial"/>
                <w:color w:val="000000"/>
                <w:szCs w:val="24"/>
                <w:lang w:val="en-GB"/>
              </w:rPr>
              <w:t>2</w:t>
            </w:r>
          </w:p>
        </w:tc>
        <w:tc>
          <w:tcPr>
            <w:tcW w:w="3013" w:type="dxa"/>
            <w:tcBorders>
              <w:top w:val="nil"/>
              <w:left w:val="nil"/>
              <w:bottom w:val="single" w:sz="4" w:space="0" w:color="auto"/>
              <w:right w:val="single" w:sz="4" w:space="0" w:color="auto"/>
            </w:tcBorders>
            <w:shd w:val="clear" w:color="000000" w:fill="DAFAF1"/>
            <w:noWrap/>
            <w:vAlign w:val="bottom"/>
            <w:hideMark/>
          </w:tcPr>
          <w:p w14:paraId="4D1C82F0"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0.69</w:t>
            </w:r>
          </w:p>
        </w:tc>
        <w:tc>
          <w:tcPr>
            <w:tcW w:w="1062" w:type="dxa"/>
            <w:tcBorders>
              <w:top w:val="nil"/>
              <w:left w:val="nil"/>
              <w:bottom w:val="single" w:sz="4" w:space="0" w:color="auto"/>
              <w:right w:val="single" w:sz="4" w:space="0" w:color="auto"/>
            </w:tcBorders>
            <w:shd w:val="clear" w:color="000000" w:fill="DAFAF1"/>
            <w:noWrap/>
            <w:vAlign w:val="bottom"/>
            <w:hideMark/>
          </w:tcPr>
          <w:p w14:paraId="59D82088"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6.94</w:t>
            </w:r>
          </w:p>
        </w:tc>
      </w:tr>
      <w:tr w:rsidR="0023090D" w:rsidRPr="00135D7B" w14:paraId="45CDF800" w14:textId="77777777" w:rsidTr="000915FE">
        <w:trPr>
          <w:trHeight w:val="419"/>
        </w:trPr>
        <w:tc>
          <w:tcPr>
            <w:tcW w:w="2765" w:type="dxa"/>
            <w:tcBorders>
              <w:top w:val="nil"/>
              <w:left w:val="single" w:sz="4" w:space="0" w:color="auto"/>
              <w:bottom w:val="single" w:sz="4" w:space="0" w:color="auto"/>
              <w:right w:val="single" w:sz="4" w:space="0" w:color="auto"/>
            </w:tcBorders>
            <w:shd w:val="clear" w:color="000000" w:fill="DAFAF1"/>
            <w:noWrap/>
            <w:vAlign w:val="bottom"/>
            <w:hideMark/>
          </w:tcPr>
          <w:p w14:paraId="5EC316FD"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3</w:t>
            </w:r>
          </w:p>
        </w:tc>
        <w:tc>
          <w:tcPr>
            <w:tcW w:w="2564" w:type="dxa"/>
            <w:tcBorders>
              <w:top w:val="nil"/>
              <w:left w:val="nil"/>
              <w:bottom w:val="single" w:sz="4" w:space="0" w:color="auto"/>
              <w:right w:val="single" w:sz="4" w:space="0" w:color="auto"/>
            </w:tcBorders>
            <w:shd w:val="clear" w:color="000000" w:fill="DAFAF1"/>
            <w:noWrap/>
            <w:vAlign w:val="bottom"/>
            <w:hideMark/>
          </w:tcPr>
          <w:p w14:paraId="7D55D4ED"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1+20%</w:t>
            </w:r>
            <w:proofErr w:type="gramStart"/>
            <w:r w:rsidRPr="00135D7B">
              <w:rPr>
                <w:rFonts w:cs="Arial"/>
                <w:color w:val="000000"/>
                <w:szCs w:val="24"/>
                <w:lang w:val="en-GB"/>
              </w:rPr>
              <w:t>)]^</w:t>
            </w:r>
            <w:proofErr w:type="gramEnd"/>
            <w:r w:rsidRPr="00135D7B">
              <w:rPr>
                <w:rFonts w:cs="Arial"/>
                <w:color w:val="000000"/>
                <w:szCs w:val="24"/>
                <w:lang w:val="en-GB"/>
              </w:rPr>
              <w:t>3</w:t>
            </w:r>
          </w:p>
        </w:tc>
        <w:tc>
          <w:tcPr>
            <w:tcW w:w="3013" w:type="dxa"/>
            <w:tcBorders>
              <w:top w:val="nil"/>
              <w:left w:val="nil"/>
              <w:bottom w:val="single" w:sz="4" w:space="0" w:color="auto"/>
              <w:right w:val="single" w:sz="4" w:space="0" w:color="auto"/>
            </w:tcBorders>
            <w:shd w:val="clear" w:color="000000" w:fill="DAFAF1"/>
            <w:noWrap/>
            <w:vAlign w:val="bottom"/>
            <w:hideMark/>
          </w:tcPr>
          <w:p w14:paraId="60D69350"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0.58</w:t>
            </w:r>
          </w:p>
        </w:tc>
        <w:tc>
          <w:tcPr>
            <w:tcW w:w="1062" w:type="dxa"/>
            <w:tcBorders>
              <w:top w:val="nil"/>
              <w:left w:val="nil"/>
              <w:bottom w:val="single" w:sz="4" w:space="0" w:color="auto"/>
              <w:right w:val="single" w:sz="4" w:space="0" w:color="auto"/>
            </w:tcBorders>
            <w:shd w:val="clear" w:color="000000" w:fill="DAFAF1"/>
            <w:noWrap/>
            <w:vAlign w:val="bottom"/>
            <w:hideMark/>
          </w:tcPr>
          <w:p w14:paraId="22DE50C9"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11.57</w:t>
            </w:r>
          </w:p>
        </w:tc>
      </w:tr>
      <w:tr w:rsidR="0023090D" w:rsidRPr="00135D7B" w14:paraId="0B42EABB" w14:textId="77777777" w:rsidTr="000915FE">
        <w:trPr>
          <w:trHeight w:val="419"/>
        </w:trPr>
        <w:tc>
          <w:tcPr>
            <w:tcW w:w="2765" w:type="dxa"/>
            <w:tcBorders>
              <w:top w:val="nil"/>
              <w:left w:val="single" w:sz="4" w:space="0" w:color="auto"/>
              <w:bottom w:val="single" w:sz="4" w:space="0" w:color="auto"/>
              <w:right w:val="single" w:sz="4" w:space="0" w:color="auto"/>
            </w:tcBorders>
            <w:shd w:val="clear" w:color="000000" w:fill="DAFAF1"/>
            <w:noWrap/>
            <w:vAlign w:val="bottom"/>
            <w:hideMark/>
          </w:tcPr>
          <w:p w14:paraId="09AFEEB2"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4</w:t>
            </w:r>
          </w:p>
        </w:tc>
        <w:tc>
          <w:tcPr>
            <w:tcW w:w="2564" w:type="dxa"/>
            <w:tcBorders>
              <w:top w:val="nil"/>
              <w:left w:val="nil"/>
              <w:bottom w:val="single" w:sz="4" w:space="0" w:color="auto"/>
              <w:right w:val="single" w:sz="4" w:space="0" w:color="auto"/>
            </w:tcBorders>
            <w:shd w:val="clear" w:color="000000" w:fill="DAFAF1"/>
            <w:noWrap/>
            <w:vAlign w:val="bottom"/>
            <w:hideMark/>
          </w:tcPr>
          <w:p w14:paraId="3D64DC36"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1+20%</w:t>
            </w:r>
            <w:proofErr w:type="gramStart"/>
            <w:r w:rsidRPr="00135D7B">
              <w:rPr>
                <w:rFonts w:cs="Arial"/>
                <w:color w:val="000000"/>
                <w:szCs w:val="24"/>
                <w:lang w:val="en-GB"/>
              </w:rPr>
              <w:t>)]^</w:t>
            </w:r>
            <w:proofErr w:type="gramEnd"/>
            <w:r w:rsidRPr="00135D7B">
              <w:rPr>
                <w:rFonts w:cs="Arial"/>
                <w:color w:val="000000"/>
                <w:szCs w:val="24"/>
                <w:lang w:val="en-GB"/>
              </w:rPr>
              <w:t>4</w:t>
            </w:r>
          </w:p>
        </w:tc>
        <w:tc>
          <w:tcPr>
            <w:tcW w:w="3013" w:type="dxa"/>
            <w:tcBorders>
              <w:top w:val="nil"/>
              <w:left w:val="nil"/>
              <w:bottom w:val="single" w:sz="4" w:space="0" w:color="auto"/>
              <w:right w:val="single" w:sz="4" w:space="0" w:color="auto"/>
            </w:tcBorders>
            <w:shd w:val="clear" w:color="000000" w:fill="DAFAF1"/>
            <w:noWrap/>
            <w:vAlign w:val="bottom"/>
            <w:hideMark/>
          </w:tcPr>
          <w:p w14:paraId="6160CA46"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0.48</w:t>
            </w:r>
          </w:p>
        </w:tc>
        <w:tc>
          <w:tcPr>
            <w:tcW w:w="1062" w:type="dxa"/>
            <w:tcBorders>
              <w:top w:val="nil"/>
              <w:left w:val="nil"/>
              <w:bottom w:val="single" w:sz="4" w:space="0" w:color="auto"/>
              <w:right w:val="single" w:sz="4" w:space="0" w:color="auto"/>
            </w:tcBorders>
            <w:shd w:val="clear" w:color="000000" w:fill="DAFAF1"/>
            <w:noWrap/>
            <w:vAlign w:val="bottom"/>
            <w:hideMark/>
          </w:tcPr>
          <w:p w14:paraId="593CC448"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12.06</w:t>
            </w:r>
          </w:p>
        </w:tc>
      </w:tr>
      <w:tr w:rsidR="0023090D" w:rsidRPr="00135D7B" w14:paraId="230C86C4" w14:textId="77777777" w:rsidTr="000915FE">
        <w:trPr>
          <w:trHeight w:val="419"/>
        </w:trPr>
        <w:tc>
          <w:tcPr>
            <w:tcW w:w="2765" w:type="dxa"/>
            <w:tcBorders>
              <w:top w:val="nil"/>
              <w:left w:val="single" w:sz="4" w:space="0" w:color="auto"/>
              <w:bottom w:val="single" w:sz="4" w:space="0" w:color="auto"/>
              <w:right w:val="single" w:sz="4" w:space="0" w:color="auto"/>
            </w:tcBorders>
            <w:shd w:val="clear" w:color="000000" w:fill="DAFAF1"/>
            <w:noWrap/>
            <w:vAlign w:val="bottom"/>
            <w:hideMark/>
          </w:tcPr>
          <w:p w14:paraId="2133C2FB"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5</w:t>
            </w:r>
          </w:p>
        </w:tc>
        <w:tc>
          <w:tcPr>
            <w:tcW w:w="2564" w:type="dxa"/>
            <w:tcBorders>
              <w:top w:val="nil"/>
              <w:left w:val="nil"/>
              <w:bottom w:val="single" w:sz="4" w:space="0" w:color="auto"/>
              <w:right w:val="single" w:sz="4" w:space="0" w:color="auto"/>
            </w:tcBorders>
            <w:shd w:val="clear" w:color="000000" w:fill="DAFAF1"/>
            <w:noWrap/>
            <w:vAlign w:val="bottom"/>
            <w:hideMark/>
          </w:tcPr>
          <w:p w14:paraId="59CBCFC1"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[1</w:t>
            </w:r>
            <w:proofErr w:type="gramStart"/>
            <w:r w:rsidRPr="00135D7B">
              <w:rPr>
                <w:rFonts w:cs="Arial"/>
                <w:color w:val="000000"/>
                <w:szCs w:val="24"/>
                <w:lang w:val="en-GB"/>
              </w:rPr>
              <w:t>/(</w:t>
            </w:r>
            <w:proofErr w:type="gramEnd"/>
            <w:r w:rsidRPr="00135D7B">
              <w:rPr>
                <w:rFonts w:cs="Arial"/>
                <w:color w:val="000000"/>
                <w:szCs w:val="24"/>
                <w:lang w:val="en-GB"/>
              </w:rPr>
              <w:t>1+20%</w:t>
            </w:r>
            <w:proofErr w:type="gramStart"/>
            <w:r w:rsidRPr="00135D7B">
              <w:rPr>
                <w:rFonts w:cs="Arial"/>
                <w:color w:val="000000"/>
                <w:szCs w:val="24"/>
                <w:lang w:val="en-GB"/>
              </w:rPr>
              <w:t>)]^</w:t>
            </w:r>
            <w:proofErr w:type="gramEnd"/>
            <w:r w:rsidRPr="00135D7B">
              <w:rPr>
                <w:rFonts w:cs="Arial"/>
                <w:color w:val="000000"/>
                <w:szCs w:val="24"/>
                <w:lang w:val="en-GB"/>
              </w:rPr>
              <w:t>5</w:t>
            </w:r>
          </w:p>
        </w:tc>
        <w:tc>
          <w:tcPr>
            <w:tcW w:w="3013" w:type="dxa"/>
            <w:tcBorders>
              <w:top w:val="nil"/>
              <w:left w:val="nil"/>
              <w:bottom w:val="single" w:sz="4" w:space="0" w:color="auto"/>
              <w:right w:val="single" w:sz="4" w:space="0" w:color="auto"/>
            </w:tcBorders>
            <w:shd w:val="clear" w:color="000000" w:fill="DAFAF1"/>
            <w:noWrap/>
            <w:vAlign w:val="bottom"/>
            <w:hideMark/>
          </w:tcPr>
          <w:p w14:paraId="7AEDFE45"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0.40</w:t>
            </w:r>
          </w:p>
        </w:tc>
        <w:tc>
          <w:tcPr>
            <w:tcW w:w="1062" w:type="dxa"/>
            <w:tcBorders>
              <w:top w:val="nil"/>
              <w:left w:val="nil"/>
              <w:bottom w:val="single" w:sz="4" w:space="0" w:color="auto"/>
              <w:right w:val="single" w:sz="4" w:space="0" w:color="auto"/>
            </w:tcBorders>
            <w:shd w:val="clear" w:color="000000" w:fill="DAFAF1"/>
            <w:noWrap/>
            <w:vAlign w:val="bottom"/>
            <w:hideMark/>
          </w:tcPr>
          <w:p w14:paraId="17409122"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6.03</w:t>
            </w:r>
          </w:p>
        </w:tc>
      </w:tr>
      <w:tr w:rsidR="0023090D" w:rsidRPr="00135D7B" w14:paraId="070DDD9D" w14:textId="77777777" w:rsidTr="000915FE">
        <w:trPr>
          <w:trHeight w:val="419"/>
        </w:trPr>
        <w:tc>
          <w:tcPr>
            <w:tcW w:w="2765" w:type="dxa"/>
            <w:tcBorders>
              <w:top w:val="nil"/>
              <w:left w:val="single" w:sz="4" w:space="0" w:color="auto"/>
              <w:bottom w:val="single" w:sz="4" w:space="0" w:color="auto"/>
              <w:right w:val="single" w:sz="4" w:space="0" w:color="auto"/>
            </w:tcBorders>
            <w:shd w:val="clear" w:color="000000" w:fill="DAFAF1"/>
            <w:noWrap/>
            <w:vAlign w:val="bottom"/>
            <w:hideMark/>
          </w:tcPr>
          <w:p w14:paraId="329AD6A2"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c>
          <w:tcPr>
            <w:tcW w:w="2564" w:type="dxa"/>
            <w:tcBorders>
              <w:top w:val="nil"/>
              <w:left w:val="nil"/>
              <w:bottom w:val="single" w:sz="4" w:space="0" w:color="auto"/>
              <w:right w:val="single" w:sz="4" w:space="0" w:color="auto"/>
            </w:tcBorders>
            <w:shd w:val="clear" w:color="000000" w:fill="DAFAF1"/>
            <w:noWrap/>
            <w:vAlign w:val="bottom"/>
            <w:hideMark/>
          </w:tcPr>
          <w:p w14:paraId="7928DEFD"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c>
          <w:tcPr>
            <w:tcW w:w="3013" w:type="dxa"/>
            <w:tcBorders>
              <w:top w:val="nil"/>
              <w:left w:val="nil"/>
              <w:bottom w:val="single" w:sz="4" w:space="0" w:color="auto"/>
              <w:right w:val="single" w:sz="4" w:space="0" w:color="auto"/>
            </w:tcBorders>
            <w:shd w:val="clear" w:color="000000" w:fill="DAFAF1"/>
            <w:noWrap/>
            <w:vAlign w:val="bottom"/>
            <w:hideMark/>
          </w:tcPr>
          <w:p w14:paraId="2FFF7D75"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c>
          <w:tcPr>
            <w:tcW w:w="1062" w:type="dxa"/>
            <w:tcBorders>
              <w:top w:val="nil"/>
              <w:left w:val="nil"/>
              <w:bottom w:val="single" w:sz="4" w:space="0" w:color="auto"/>
              <w:right w:val="single" w:sz="4" w:space="0" w:color="auto"/>
            </w:tcBorders>
            <w:shd w:val="clear" w:color="000000" w:fill="DAFAF1"/>
            <w:noWrap/>
            <w:vAlign w:val="bottom"/>
            <w:hideMark/>
          </w:tcPr>
          <w:p w14:paraId="777CBA8E"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40.77</w:t>
            </w:r>
          </w:p>
        </w:tc>
      </w:tr>
      <w:tr w:rsidR="0023090D" w:rsidRPr="00135D7B" w14:paraId="5C0BFB71" w14:textId="77777777" w:rsidTr="000915FE">
        <w:trPr>
          <w:trHeight w:val="419"/>
        </w:trPr>
        <w:tc>
          <w:tcPr>
            <w:tcW w:w="2765" w:type="dxa"/>
            <w:tcBorders>
              <w:top w:val="nil"/>
              <w:left w:val="single" w:sz="4" w:space="0" w:color="auto"/>
              <w:bottom w:val="single" w:sz="4" w:space="0" w:color="auto"/>
              <w:right w:val="single" w:sz="4" w:space="0" w:color="auto"/>
            </w:tcBorders>
            <w:shd w:val="clear" w:color="000000" w:fill="DAFAF1"/>
            <w:noWrap/>
            <w:vAlign w:val="bottom"/>
            <w:hideMark/>
          </w:tcPr>
          <w:p w14:paraId="39FB859C"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NPV</w:t>
            </w:r>
          </w:p>
        </w:tc>
        <w:tc>
          <w:tcPr>
            <w:tcW w:w="2564" w:type="dxa"/>
            <w:tcBorders>
              <w:top w:val="nil"/>
              <w:left w:val="nil"/>
              <w:bottom w:val="single" w:sz="4" w:space="0" w:color="auto"/>
              <w:right w:val="single" w:sz="4" w:space="0" w:color="auto"/>
            </w:tcBorders>
            <w:shd w:val="clear" w:color="000000" w:fill="DAFAF1"/>
            <w:noWrap/>
            <w:vAlign w:val="bottom"/>
            <w:hideMark/>
          </w:tcPr>
          <w:p w14:paraId="014186A5"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-9.23</w:t>
            </w:r>
          </w:p>
        </w:tc>
        <w:tc>
          <w:tcPr>
            <w:tcW w:w="3013" w:type="dxa"/>
            <w:tcBorders>
              <w:top w:val="nil"/>
              <w:left w:val="nil"/>
              <w:bottom w:val="single" w:sz="4" w:space="0" w:color="auto"/>
              <w:right w:val="single" w:sz="4" w:space="0" w:color="auto"/>
            </w:tcBorders>
            <w:shd w:val="clear" w:color="000000" w:fill="DAFAF1"/>
            <w:noWrap/>
            <w:vAlign w:val="bottom"/>
            <w:hideMark/>
          </w:tcPr>
          <w:p w14:paraId="49D71AAB"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c>
          <w:tcPr>
            <w:tcW w:w="1062" w:type="dxa"/>
            <w:tcBorders>
              <w:top w:val="nil"/>
              <w:left w:val="nil"/>
              <w:bottom w:val="single" w:sz="4" w:space="0" w:color="auto"/>
              <w:right w:val="single" w:sz="4" w:space="0" w:color="auto"/>
            </w:tcBorders>
            <w:shd w:val="clear" w:color="000000" w:fill="DAFAF1"/>
            <w:noWrap/>
            <w:vAlign w:val="bottom"/>
            <w:hideMark/>
          </w:tcPr>
          <w:p w14:paraId="5C26EAD6"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 </w:t>
            </w:r>
          </w:p>
        </w:tc>
      </w:tr>
      <w:tr w:rsidR="0023090D" w:rsidRPr="00135D7B" w14:paraId="790CADA2" w14:textId="77777777" w:rsidTr="000915FE">
        <w:trPr>
          <w:trHeight w:val="419"/>
        </w:trPr>
        <w:tc>
          <w:tcPr>
            <w:tcW w:w="2765" w:type="dxa"/>
            <w:tcBorders>
              <w:top w:val="nil"/>
              <w:left w:val="single" w:sz="4" w:space="0" w:color="auto"/>
              <w:bottom w:val="single" w:sz="4" w:space="0" w:color="auto"/>
              <w:right w:val="single" w:sz="4" w:space="0" w:color="auto"/>
            </w:tcBorders>
            <w:shd w:val="clear" w:color="000000" w:fill="DAFAF1"/>
            <w:noWrap/>
            <w:vAlign w:val="bottom"/>
            <w:hideMark/>
          </w:tcPr>
          <w:p w14:paraId="52BA06E0" w14:textId="77777777" w:rsidR="0023090D" w:rsidRPr="00135D7B" w:rsidRDefault="0023090D" w:rsidP="000915FE">
            <w:pPr>
              <w:spacing w:after="0" w:line="240" w:lineRule="auto"/>
              <w:jc w:val="left"/>
              <w:rPr>
                <w:rFonts w:cs="Arial"/>
                <w:b/>
                <w:bCs/>
                <w:color w:val="000000"/>
                <w:szCs w:val="24"/>
                <w:lang w:val="en-GB"/>
              </w:rPr>
            </w:pPr>
            <w:r w:rsidRPr="00135D7B">
              <w:rPr>
                <w:rFonts w:cs="Arial"/>
                <w:b/>
                <w:bCs/>
                <w:color w:val="000000"/>
                <w:szCs w:val="24"/>
                <w:lang w:val="en-GB"/>
              </w:rPr>
              <w:t>Discount rate</w:t>
            </w:r>
          </w:p>
        </w:tc>
        <w:tc>
          <w:tcPr>
            <w:tcW w:w="2564" w:type="dxa"/>
            <w:tcBorders>
              <w:top w:val="nil"/>
              <w:left w:val="nil"/>
              <w:bottom w:val="single" w:sz="4" w:space="0" w:color="auto"/>
              <w:right w:val="single" w:sz="4" w:space="0" w:color="auto"/>
            </w:tcBorders>
            <w:shd w:val="clear" w:color="000000" w:fill="DAFAF1"/>
            <w:noWrap/>
            <w:vAlign w:val="bottom"/>
            <w:hideMark/>
          </w:tcPr>
          <w:p w14:paraId="45A69DA3"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10%</w:t>
            </w:r>
          </w:p>
        </w:tc>
        <w:tc>
          <w:tcPr>
            <w:tcW w:w="3013" w:type="dxa"/>
            <w:tcBorders>
              <w:top w:val="nil"/>
              <w:left w:val="nil"/>
              <w:bottom w:val="single" w:sz="4" w:space="0" w:color="auto"/>
              <w:right w:val="single" w:sz="4" w:space="0" w:color="auto"/>
            </w:tcBorders>
            <w:shd w:val="clear" w:color="000000" w:fill="DAFAF1"/>
            <w:noWrap/>
            <w:vAlign w:val="bottom"/>
            <w:hideMark/>
          </w:tcPr>
          <w:p w14:paraId="23FA3D06"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20%</w:t>
            </w:r>
          </w:p>
        </w:tc>
        <w:tc>
          <w:tcPr>
            <w:tcW w:w="1062" w:type="dxa"/>
            <w:tcBorders>
              <w:top w:val="nil"/>
              <w:left w:val="nil"/>
              <w:bottom w:val="nil"/>
              <w:right w:val="nil"/>
            </w:tcBorders>
            <w:noWrap/>
            <w:vAlign w:val="bottom"/>
            <w:hideMark/>
          </w:tcPr>
          <w:p w14:paraId="5203DB9B" w14:textId="77777777" w:rsidR="0023090D" w:rsidRPr="00135D7B" w:rsidRDefault="0023090D" w:rsidP="000915FE">
            <w:pPr>
              <w:spacing w:after="0" w:line="240" w:lineRule="auto"/>
              <w:jc w:val="right"/>
              <w:rPr>
                <w:rFonts w:cs="Arial"/>
                <w:color w:val="000000"/>
                <w:szCs w:val="24"/>
                <w:lang w:val="en-GB"/>
              </w:rPr>
            </w:pPr>
          </w:p>
        </w:tc>
      </w:tr>
      <w:tr w:rsidR="0023090D" w:rsidRPr="00135D7B" w14:paraId="4C816841" w14:textId="77777777" w:rsidTr="000915FE">
        <w:trPr>
          <w:trHeight w:val="419"/>
        </w:trPr>
        <w:tc>
          <w:tcPr>
            <w:tcW w:w="2765" w:type="dxa"/>
            <w:tcBorders>
              <w:top w:val="nil"/>
              <w:left w:val="single" w:sz="4" w:space="0" w:color="auto"/>
              <w:bottom w:val="single" w:sz="4" w:space="0" w:color="auto"/>
              <w:right w:val="single" w:sz="4" w:space="0" w:color="auto"/>
            </w:tcBorders>
            <w:shd w:val="clear" w:color="000000" w:fill="DAFAF1"/>
            <w:noWrap/>
            <w:vAlign w:val="bottom"/>
            <w:hideMark/>
          </w:tcPr>
          <w:p w14:paraId="766E285E" w14:textId="77777777" w:rsidR="0023090D" w:rsidRPr="00135D7B" w:rsidRDefault="0023090D" w:rsidP="000915FE">
            <w:pPr>
              <w:spacing w:after="0" w:line="240" w:lineRule="auto"/>
              <w:jc w:val="left"/>
              <w:rPr>
                <w:rFonts w:cs="Arial"/>
                <w:color w:val="000000"/>
                <w:szCs w:val="24"/>
                <w:lang w:val="en-GB"/>
              </w:rPr>
            </w:pPr>
            <w:r w:rsidRPr="00135D7B">
              <w:rPr>
                <w:rFonts w:cs="Arial"/>
                <w:color w:val="000000"/>
                <w:szCs w:val="24"/>
                <w:lang w:val="en-GB"/>
              </w:rPr>
              <w:t>NPV</w:t>
            </w:r>
          </w:p>
        </w:tc>
        <w:tc>
          <w:tcPr>
            <w:tcW w:w="2564" w:type="dxa"/>
            <w:tcBorders>
              <w:top w:val="nil"/>
              <w:left w:val="nil"/>
              <w:bottom w:val="single" w:sz="4" w:space="0" w:color="auto"/>
              <w:right w:val="single" w:sz="4" w:space="0" w:color="auto"/>
            </w:tcBorders>
            <w:shd w:val="clear" w:color="000000" w:fill="DAFAF1"/>
            <w:noWrap/>
            <w:vAlign w:val="bottom"/>
            <w:hideMark/>
          </w:tcPr>
          <w:p w14:paraId="7B0F9C8D"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4.23</w:t>
            </w:r>
          </w:p>
        </w:tc>
        <w:tc>
          <w:tcPr>
            <w:tcW w:w="3013" w:type="dxa"/>
            <w:tcBorders>
              <w:top w:val="nil"/>
              <w:left w:val="nil"/>
              <w:bottom w:val="single" w:sz="4" w:space="0" w:color="auto"/>
              <w:right w:val="single" w:sz="4" w:space="0" w:color="auto"/>
            </w:tcBorders>
            <w:shd w:val="clear" w:color="000000" w:fill="DAFAF1"/>
            <w:noWrap/>
            <w:vAlign w:val="bottom"/>
            <w:hideMark/>
          </w:tcPr>
          <w:p w14:paraId="20F5B78C"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-9.23</w:t>
            </w:r>
          </w:p>
        </w:tc>
        <w:tc>
          <w:tcPr>
            <w:tcW w:w="1062" w:type="dxa"/>
            <w:tcBorders>
              <w:top w:val="nil"/>
              <w:left w:val="nil"/>
              <w:bottom w:val="nil"/>
              <w:right w:val="nil"/>
            </w:tcBorders>
            <w:noWrap/>
            <w:vAlign w:val="bottom"/>
            <w:hideMark/>
          </w:tcPr>
          <w:p w14:paraId="0D8F461C" w14:textId="77777777" w:rsidR="0023090D" w:rsidRPr="00135D7B" w:rsidRDefault="0023090D" w:rsidP="000915FE">
            <w:pPr>
              <w:spacing w:after="0" w:line="240" w:lineRule="auto"/>
              <w:jc w:val="right"/>
              <w:rPr>
                <w:rFonts w:cs="Arial"/>
                <w:color w:val="000000"/>
                <w:szCs w:val="24"/>
                <w:lang w:val="en-GB"/>
              </w:rPr>
            </w:pPr>
          </w:p>
        </w:tc>
      </w:tr>
      <w:tr w:rsidR="0023090D" w:rsidRPr="00135D7B" w14:paraId="71350CD3" w14:textId="77777777" w:rsidTr="000915FE">
        <w:trPr>
          <w:trHeight w:val="419"/>
        </w:trPr>
        <w:tc>
          <w:tcPr>
            <w:tcW w:w="2765" w:type="dxa"/>
            <w:vMerge w:val="restart"/>
            <w:tcBorders>
              <w:top w:val="nil"/>
              <w:left w:val="single" w:sz="4" w:space="0" w:color="auto"/>
              <w:bottom w:val="single" w:sz="4" w:space="0" w:color="000000"/>
              <w:right w:val="single" w:sz="4" w:space="0" w:color="auto"/>
            </w:tcBorders>
            <w:shd w:val="clear" w:color="000000" w:fill="DAFAF1"/>
            <w:noWrap/>
            <w:vAlign w:val="center"/>
            <w:hideMark/>
          </w:tcPr>
          <w:p w14:paraId="1B89556A" w14:textId="77777777" w:rsidR="0023090D" w:rsidRPr="00135D7B" w:rsidRDefault="0023090D" w:rsidP="000915FE">
            <w:pPr>
              <w:spacing w:after="0" w:line="240" w:lineRule="auto"/>
              <w:jc w:val="center"/>
              <w:rPr>
                <w:rFonts w:cs="Arial"/>
                <w:color w:val="000000"/>
                <w:szCs w:val="24"/>
                <w:lang w:val="en-GB"/>
              </w:rPr>
            </w:pPr>
            <w:r w:rsidRPr="00135D7B">
              <w:rPr>
                <w:rFonts w:cs="Arial"/>
                <w:color w:val="000000"/>
                <w:szCs w:val="24"/>
                <w:lang w:val="en-GB"/>
              </w:rPr>
              <w:t>IRR</w:t>
            </w:r>
          </w:p>
        </w:tc>
        <w:tc>
          <w:tcPr>
            <w:tcW w:w="2564" w:type="dxa"/>
            <w:tcBorders>
              <w:top w:val="nil"/>
              <w:left w:val="nil"/>
              <w:bottom w:val="single" w:sz="4" w:space="0" w:color="auto"/>
              <w:right w:val="single" w:sz="4" w:space="0" w:color="auto"/>
            </w:tcBorders>
            <w:shd w:val="clear" w:color="000000" w:fill="DAFAF1"/>
            <w:noWrap/>
            <w:vAlign w:val="bottom"/>
            <w:hideMark/>
          </w:tcPr>
          <w:p w14:paraId="7E9E8823"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0.13</w:t>
            </w:r>
          </w:p>
        </w:tc>
        <w:tc>
          <w:tcPr>
            <w:tcW w:w="3013" w:type="dxa"/>
            <w:tcBorders>
              <w:top w:val="nil"/>
              <w:left w:val="nil"/>
              <w:bottom w:val="nil"/>
              <w:right w:val="nil"/>
            </w:tcBorders>
            <w:noWrap/>
            <w:vAlign w:val="bottom"/>
            <w:hideMark/>
          </w:tcPr>
          <w:p w14:paraId="22D9B59B" w14:textId="77777777" w:rsidR="0023090D" w:rsidRPr="00135D7B" w:rsidRDefault="0023090D" w:rsidP="000915FE">
            <w:pPr>
              <w:spacing w:after="0" w:line="240" w:lineRule="auto"/>
              <w:jc w:val="right"/>
              <w:rPr>
                <w:rFonts w:cs="Arial"/>
                <w:color w:val="000000"/>
                <w:szCs w:val="24"/>
                <w:lang w:val="en-GB"/>
              </w:rPr>
            </w:pPr>
          </w:p>
        </w:tc>
        <w:tc>
          <w:tcPr>
            <w:tcW w:w="1062" w:type="dxa"/>
            <w:tcBorders>
              <w:top w:val="nil"/>
              <w:left w:val="nil"/>
              <w:bottom w:val="nil"/>
              <w:right w:val="nil"/>
            </w:tcBorders>
            <w:noWrap/>
            <w:vAlign w:val="bottom"/>
            <w:hideMark/>
          </w:tcPr>
          <w:p w14:paraId="1518BDC6" w14:textId="77777777" w:rsidR="0023090D" w:rsidRPr="00135D7B" w:rsidRDefault="0023090D" w:rsidP="000915FE">
            <w:pPr>
              <w:spacing w:after="0" w:line="240" w:lineRule="auto"/>
              <w:jc w:val="left"/>
              <w:rPr>
                <w:rFonts w:cs="Arial"/>
                <w:szCs w:val="24"/>
                <w:lang w:val="en-GB"/>
              </w:rPr>
            </w:pPr>
          </w:p>
        </w:tc>
      </w:tr>
      <w:tr w:rsidR="0023090D" w:rsidRPr="00135D7B" w14:paraId="6F2ED8F7" w14:textId="77777777" w:rsidTr="000915FE">
        <w:trPr>
          <w:trHeight w:val="419"/>
        </w:trPr>
        <w:tc>
          <w:tcPr>
            <w:tcW w:w="2765" w:type="dxa"/>
            <w:vMerge/>
            <w:tcBorders>
              <w:top w:val="nil"/>
              <w:left w:val="single" w:sz="4" w:space="0" w:color="auto"/>
              <w:bottom w:val="single" w:sz="4" w:space="0" w:color="000000"/>
              <w:right w:val="single" w:sz="4" w:space="0" w:color="auto"/>
            </w:tcBorders>
            <w:vAlign w:val="center"/>
            <w:hideMark/>
          </w:tcPr>
          <w:p w14:paraId="1B39E7D3" w14:textId="77777777" w:rsidR="0023090D" w:rsidRPr="00135D7B" w:rsidRDefault="0023090D" w:rsidP="000915FE">
            <w:pPr>
              <w:spacing w:after="0" w:line="240" w:lineRule="auto"/>
              <w:jc w:val="left"/>
              <w:rPr>
                <w:rFonts w:cs="Arial"/>
                <w:color w:val="000000"/>
                <w:szCs w:val="24"/>
                <w:lang w:val="en-GB"/>
              </w:rPr>
            </w:pPr>
          </w:p>
        </w:tc>
        <w:tc>
          <w:tcPr>
            <w:tcW w:w="2564" w:type="dxa"/>
            <w:tcBorders>
              <w:top w:val="nil"/>
              <w:left w:val="nil"/>
              <w:bottom w:val="single" w:sz="4" w:space="0" w:color="auto"/>
              <w:right w:val="single" w:sz="4" w:space="0" w:color="auto"/>
            </w:tcBorders>
            <w:shd w:val="clear" w:color="000000" w:fill="DAFAF1"/>
            <w:noWrap/>
            <w:vAlign w:val="bottom"/>
            <w:hideMark/>
          </w:tcPr>
          <w:p w14:paraId="177F5628" w14:textId="77777777" w:rsidR="0023090D" w:rsidRPr="00135D7B" w:rsidRDefault="0023090D" w:rsidP="000915FE">
            <w:pPr>
              <w:spacing w:after="0" w:line="240" w:lineRule="auto"/>
              <w:jc w:val="right"/>
              <w:rPr>
                <w:rFonts w:cs="Arial"/>
                <w:color w:val="000000"/>
                <w:szCs w:val="24"/>
                <w:lang w:val="en-GB"/>
              </w:rPr>
            </w:pPr>
            <w:r w:rsidRPr="00135D7B">
              <w:rPr>
                <w:rFonts w:cs="Arial"/>
                <w:color w:val="000000"/>
                <w:szCs w:val="24"/>
                <w:lang w:val="en-GB"/>
              </w:rPr>
              <w:t>13.14</w:t>
            </w:r>
          </w:p>
        </w:tc>
        <w:tc>
          <w:tcPr>
            <w:tcW w:w="3013" w:type="dxa"/>
            <w:tcBorders>
              <w:top w:val="nil"/>
              <w:left w:val="nil"/>
              <w:bottom w:val="nil"/>
              <w:right w:val="nil"/>
            </w:tcBorders>
            <w:noWrap/>
            <w:vAlign w:val="bottom"/>
            <w:hideMark/>
          </w:tcPr>
          <w:p w14:paraId="0B190178" w14:textId="77777777" w:rsidR="0023090D" w:rsidRPr="00135D7B" w:rsidRDefault="0023090D" w:rsidP="000915FE">
            <w:pPr>
              <w:spacing w:after="0" w:line="240" w:lineRule="auto"/>
              <w:jc w:val="right"/>
              <w:rPr>
                <w:rFonts w:cs="Arial"/>
                <w:color w:val="000000"/>
                <w:szCs w:val="24"/>
                <w:lang w:val="en-GB"/>
              </w:rPr>
            </w:pPr>
          </w:p>
        </w:tc>
        <w:tc>
          <w:tcPr>
            <w:tcW w:w="1062" w:type="dxa"/>
            <w:tcBorders>
              <w:top w:val="nil"/>
              <w:left w:val="nil"/>
              <w:bottom w:val="nil"/>
              <w:right w:val="nil"/>
            </w:tcBorders>
            <w:noWrap/>
            <w:vAlign w:val="bottom"/>
            <w:hideMark/>
          </w:tcPr>
          <w:p w14:paraId="595A1044" w14:textId="77777777" w:rsidR="0023090D" w:rsidRPr="00135D7B" w:rsidRDefault="0023090D" w:rsidP="000915FE">
            <w:pPr>
              <w:spacing w:after="0" w:line="240" w:lineRule="auto"/>
              <w:jc w:val="left"/>
              <w:rPr>
                <w:rFonts w:cs="Arial"/>
                <w:szCs w:val="24"/>
                <w:lang w:val="en-GB"/>
              </w:rPr>
            </w:pPr>
          </w:p>
        </w:tc>
      </w:tr>
    </w:tbl>
    <w:p w14:paraId="73467AE2" w14:textId="77777777" w:rsidR="0023090D" w:rsidRPr="00095284" w:rsidRDefault="0023090D" w:rsidP="0023090D">
      <w:pPr>
        <w:rPr>
          <w:rFonts w:cs="Arial"/>
          <w:szCs w:val="24"/>
          <w:lang w:val="en-GB"/>
        </w:rPr>
      </w:pPr>
    </w:p>
    <w:p w14:paraId="289276C3" w14:textId="77777777" w:rsidR="00023AD7" w:rsidRPr="00095284" w:rsidRDefault="00023AD7" w:rsidP="00023AD7">
      <w:pPr>
        <w:rPr>
          <w:rFonts w:cs="Arial"/>
          <w:szCs w:val="24"/>
          <w:lang w:val="en-GB"/>
        </w:rPr>
      </w:pPr>
    </w:p>
    <w:p w14:paraId="15E2CF57" w14:textId="77777777" w:rsidR="00023AD7" w:rsidRPr="00095284" w:rsidRDefault="00023AD7" w:rsidP="00023AD7">
      <w:pPr>
        <w:rPr>
          <w:rFonts w:cs="Arial"/>
          <w:szCs w:val="24"/>
          <w:lang w:val="en-GB"/>
        </w:rPr>
      </w:pPr>
    </w:p>
    <w:p w14:paraId="3938EE6F" w14:textId="77777777" w:rsidR="00023AD7" w:rsidRPr="00095284" w:rsidRDefault="00023AD7" w:rsidP="00023AD7">
      <w:pPr>
        <w:tabs>
          <w:tab w:val="left" w:pos="1050"/>
        </w:tabs>
        <w:rPr>
          <w:rFonts w:cs="Arial"/>
          <w:szCs w:val="24"/>
          <w:lang w:val="en-GB"/>
        </w:rPr>
      </w:pPr>
    </w:p>
    <w:sectPr w:rsidR="00023AD7" w:rsidRPr="00095284" w:rsidSect="001B4552">
      <w:footerReference w:type="default" r:id="rId29"/>
      <w:pgSz w:w="11906" w:h="16838"/>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C89BA" w14:textId="77777777" w:rsidR="00477F47" w:rsidRDefault="00477F47" w:rsidP="00183FB3">
      <w:pPr>
        <w:spacing w:after="0" w:line="240" w:lineRule="auto"/>
      </w:pPr>
      <w:r>
        <w:separator/>
      </w:r>
    </w:p>
  </w:endnote>
  <w:endnote w:type="continuationSeparator" w:id="0">
    <w:p w14:paraId="1026AB07" w14:textId="77777777" w:rsidR="00477F47" w:rsidRDefault="00477F47" w:rsidP="00183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4524395"/>
      <w:docPartObj>
        <w:docPartGallery w:val="Page Numbers (Bottom of Page)"/>
        <w:docPartUnique/>
      </w:docPartObj>
    </w:sdtPr>
    <w:sdtEndPr>
      <w:rPr>
        <w:noProof/>
      </w:rPr>
    </w:sdtEndPr>
    <w:sdtContent>
      <w:p w14:paraId="2F6C8605" w14:textId="3EB1A128" w:rsidR="00183FB3" w:rsidRPr="001D7BF7" w:rsidRDefault="001D7BF7" w:rsidP="001D7B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3424A" w14:textId="77777777" w:rsidR="00477F47" w:rsidRDefault="00477F47" w:rsidP="00183FB3">
      <w:pPr>
        <w:spacing w:after="0" w:line="240" w:lineRule="auto"/>
      </w:pPr>
      <w:r>
        <w:separator/>
      </w:r>
    </w:p>
  </w:footnote>
  <w:footnote w:type="continuationSeparator" w:id="0">
    <w:p w14:paraId="071CBF94" w14:textId="77777777" w:rsidR="00477F47" w:rsidRDefault="00477F47" w:rsidP="00183F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E56EE"/>
    <w:multiLevelType w:val="hybridMultilevel"/>
    <w:tmpl w:val="52E0B9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2490AE9"/>
    <w:multiLevelType w:val="hybridMultilevel"/>
    <w:tmpl w:val="AB8EEF9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E32E5E"/>
    <w:multiLevelType w:val="hybridMultilevel"/>
    <w:tmpl w:val="220A1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DA7573"/>
    <w:multiLevelType w:val="hybridMultilevel"/>
    <w:tmpl w:val="24D20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8F35A7"/>
    <w:multiLevelType w:val="hybridMultilevel"/>
    <w:tmpl w:val="27D44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1E2334"/>
    <w:multiLevelType w:val="hybridMultilevel"/>
    <w:tmpl w:val="63041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8E74A6"/>
    <w:multiLevelType w:val="hybridMultilevel"/>
    <w:tmpl w:val="B9F47D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32953123">
    <w:abstractNumId w:val="3"/>
  </w:num>
  <w:num w:numId="2" w16cid:durableId="826476194">
    <w:abstractNumId w:val="1"/>
  </w:num>
  <w:num w:numId="3" w16cid:durableId="1182815813">
    <w:abstractNumId w:val="2"/>
  </w:num>
  <w:num w:numId="4" w16cid:durableId="1929608705">
    <w:abstractNumId w:val="4"/>
  </w:num>
  <w:num w:numId="5" w16cid:durableId="1846164636">
    <w:abstractNumId w:val="5"/>
  </w:num>
  <w:num w:numId="6" w16cid:durableId="1783838131">
    <w:abstractNumId w:val="6"/>
  </w:num>
  <w:num w:numId="7" w16cid:durableId="849754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D7"/>
    <w:rsid w:val="0001270F"/>
    <w:rsid w:val="00023AD7"/>
    <w:rsid w:val="00042DBC"/>
    <w:rsid w:val="000731E9"/>
    <w:rsid w:val="00095284"/>
    <w:rsid w:val="00096283"/>
    <w:rsid w:val="000A5C09"/>
    <w:rsid w:val="000D5CC3"/>
    <w:rsid w:val="000E21D8"/>
    <w:rsid w:val="00103DFF"/>
    <w:rsid w:val="0014504D"/>
    <w:rsid w:val="00152C46"/>
    <w:rsid w:val="00154224"/>
    <w:rsid w:val="00183FB3"/>
    <w:rsid w:val="001938FE"/>
    <w:rsid w:val="001B1D13"/>
    <w:rsid w:val="001B356E"/>
    <w:rsid w:val="001B4552"/>
    <w:rsid w:val="001D07DB"/>
    <w:rsid w:val="001D1E42"/>
    <w:rsid w:val="001D5BF9"/>
    <w:rsid w:val="001D7BF7"/>
    <w:rsid w:val="00201F34"/>
    <w:rsid w:val="0021488A"/>
    <w:rsid w:val="00222265"/>
    <w:rsid w:val="0023090D"/>
    <w:rsid w:val="00240FA4"/>
    <w:rsid w:val="002434D9"/>
    <w:rsid w:val="00297CFF"/>
    <w:rsid w:val="002C3DB3"/>
    <w:rsid w:val="002D742C"/>
    <w:rsid w:val="002F6CF0"/>
    <w:rsid w:val="00316218"/>
    <w:rsid w:val="00321C26"/>
    <w:rsid w:val="003302FA"/>
    <w:rsid w:val="00336952"/>
    <w:rsid w:val="003443F0"/>
    <w:rsid w:val="003778E2"/>
    <w:rsid w:val="00395178"/>
    <w:rsid w:val="00395B4A"/>
    <w:rsid w:val="003C039E"/>
    <w:rsid w:val="003E5829"/>
    <w:rsid w:val="003F0F31"/>
    <w:rsid w:val="00403AF1"/>
    <w:rsid w:val="00423FA3"/>
    <w:rsid w:val="00436E0E"/>
    <w:rsid w:val="00443A1C"/>
    <w:rsid w:val="00460E42"/>
    <w:rsid w:val="00477F47"/>
    <w:rsid w:val="004A120F"/>
    <w:rsid w:val="004C4612"/>
    <w:rsid w:val="004F4522"/>
    <w:rsid w:val="004F7190"/>
    <w:rsid w:val="00524B2E"/>
    <w:rsid w:val="005352E4"/>
    <w:rsid w:val="00551E25"/>
    <w:rsid w:val="0055796E"/>
    <w:rsid w:val="0056213D"/>
    <w:rsid w:val="00572F34"/>
    <w:rsid w:val="005941ED"/>
    <w:rsid w:val="005B6D82"/>
    <w:rsid w:val="005C3AEA"/>
    <w:rsid w:val="005C6A9D"/>
    <w:rsid w:val="005F28A6"/>
    <w:rsid w:val="005F5F1D"/>
    <w:rsid w:val="00601627"/>
    <w:rsid w:val="00611350"/>
    <w:rsid w:val="00626A93"/>
    <w:rsid w:val="00634152"/>
    <w:rsid w:val="006558E3"/>
    <w:rsid w:val="00674F11"/>
    <w:rsid w:val="00683515"/>
    <w:rsid w:val="006B6514"/>
    <w:rsid w:val="006E2E61"/>
    <w:rsid w:val="006F44AA"/>
    <w:rsid w:val="006F4B66"/>
    <w:rsid w:val="006F76CA"/>
    <w:rsid w:val="007047D4"/>
    <w:rsid w:val="00720F54"/>
    <w:rsid w:val="007215B7"/>
    <w:rsid w:val="007528EF"/>
    <w:rsid w:val="00753C98"/>
    <w:rsid w:val="00756DE1"/>
    <w:rsid w:val="007660DC"/>
    <w:rsid w:val="00792980"/>
    <w:rsid w:val="007F14AF"/>
    <w:rsid w:val="00806E8F"/>
    <w:rsid w:val="008114E9"/>
    <w:rsid w:val="0081539B"/>
    <w:rsid w:val="00820E76"/>
    <w:rsid w:val="0082127A"/>
    <w:rsid w:val="008217B7"/>
    <w:rsid w:val="008267D2"/>
    <w:rsid w:val="00843B7C"/>
    <w:rsid w:val="00857972"/>
    <w:rsid w:val="00863C37"/>
    <w:rsid w:val="00893276"/>
    <w:rsid w:val="008A412A"/>
    <w:rsid w:val="008B63D6"/>
    <w:rsid w:val="00930298"/>
    <w:rsid w:val="00933C88"/>
    <w:rsid w:val="00944AF6"/>
    <w:rsid w:val="00953D5E"/>
    <w:rsid w:val="00970B9D"/>
    <w:rsid w:val="00983EC8"/>
    <w:rsid w:val="0098447F"/>
    <w:rsid w:val="009A4EB0"/>
    <w:rsid w:val="009B05A2"/>
    <w:rsid w:val="009D020C"/>
    <w:rsid w:val="009D73D0"/>
    <w:rsid w:val="00A0013E"/>
    <w:rsid w:val="00A10C8A"/>
    <w:rsid w:val="00A21FCD"/>
    <w:rsid w:val="00A56A08"/>
    <w:rsid w:val="00A700AF"/>
    <w:rsid w:val="00A91914"/>
    <w:rsid w:val="00AB6515"/>
    <w:rsid w:val="00AC1005"/>
    <w:rsid w:val="00B21010"/>
    <w:rsid w:val="00B32786"/>
    <w:rsid w:val="00B55832"/>
    <w:rsid w:val="00B57660"/>
    <w:rsid w:val="00B60521"/>
    <w:rsid w:val="00B61FEA"/>
    <w:rsid w:val="00B9270B"/>
    <w:rsid w:val="00B942E4"/>
    <w:rsid w:val="00BA0A28"/>
    <w:rsid w:val="00BB7D30"/>
    <w:rsid w:val="00BC7B10"/>
    <w:rsid w:val="00C16D9A"/>
    <w:rsid w:val="00C3527E"/>
    <w:rsid w:val="00C47204"/>
    <w:rsid w:val="00C65447"/>
    <w:rsid w:val="00C93DC0"/>
    <w:rsid w:val="00CA523C"/>
    <w:rsid w:val="00CA7B58"/>
    <w:rsid w:val="00CF498B"/>
    <w:rsid w:val="00D22597"/>
    <w:rsid w:val="00D263F9"/>
    <w:rsid w:val="00D57A3A"/>
    <w:rsid w:val="00D74F87"/>
    <w:rsid w:val="00D75E71"/>
    <w:rsid w:val="00DA4DD9"/>
    <w:rsid w:val="00DA7CBF"/>
    <w:rsid w:val="00DC59F4"/>
    <w:rsid w:val="00DE2ED0"/>
    <w:rsid w:val="00E36466"/>
    <w:rsid w:val="00E55E61"/>
    <w:rsid w:val="00E57FF7"/>
    <w:rsid w:val="00E62FD7"/>
    <w:rsid w:val="00E85E75"/>
    <w:rsid w:val="00E91B84"/>
    <w:rsid w:val="00E91F8A"/>
    <w:rsid w:val="00EC18AD"/>
    <w:rsid w:val="00ED0F94"/>
    <w:rsid w:val="00EF7E9F"/>
    <w:rsid w:val="00F26A59"/>
    <w:rsid w:val="00F30603"/>
    <w:rsid w:val="00F60C6E"/>
    <w:rsid w:val="00F8722D"/>
    <w:rsid w:val="00F87369"/>
    <w:rsid w:val="00FD60F6"/>
    <w:rsid w:val="00FF2D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BD56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914"/>
    <w:pPr>
      <w:spacing w:before="120" w:after="120"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316218"/>
    <w:pPr>
      <w:outlineLvl w:val="0"/>
    </w:pPr>
    <w:rPr>
      <w:rFonts w:cs="Arial"/>
      <w:b/>
      <w:sz w:val="28"/>
    </w:rPr>
  </w:style>
  <w:style w:type="paragraph" w:styleId="Heading2">
    <w:name w:val="heading 2"/>
    <w:basedOn w:val="Normal"/>
    <w:next w:val="Normal"/>
    <w:link w:val="Heading2Char"/>
    <w:uiPriority w:val="9"/>
    <w:unhideWhenUsed/>
    <w:qFormat/>
    <w:rsid w:val="006B6514"/>
    <w:pPr>
      <w:outlineLvl w:val="1"/>
    </w:pPr>
    <w:rPr>
      <w:rFonts w:cs="Arial"/>
      <w:b/>
      <w:sz w:val="26"/>
      <w:szCs w:val="26"/>
    </w:rPr>
  </w:style>
  <w:style w:type="paragraph" w:styleId="Heading3">
    <w:name w:val="heading 3"/>
    <w:basedOn w:val="Normal"/>
    <w:next w:val="Normal"/>
    <w:link w:val="Heading3Char"/>
    <w:uiPriority w:val="9"/>
    <w:unhideWhenUsed/>
    <w:qFormat/>
    <w:rsid w:val="0023090D"/>
    <w:pPr>
      <w:keepNext/>
      <w:keepLines/>
      <w:spacing w:before="40" w:after="0"/>
      <w:outlineLvl w:val="2"/>
    </w:pPr>
    <w:rPr>
      <w:rFonts w:eastAsiaTheme="majorEastAsia" w:cs="Arial"/>
      <w:b/>
      <w:bCs/>
      <w:szCs w:val="24"/>
    </w:rPr>
  </w:style>
  <w:style w:type="paragraph" w:styleId="Heading4">
    <w:name w:val="heading 4"/>
    <w:basedOn w:val="Normal"/>
    <w:next w:val="Normal"/>
    <w:link w:val="Heading4Char"/>
    <w:uiPriority w:val="9"/>
    <w:unhideWhenUsed/>
    <w:qFormat/>
    <w:rsid w:val="00095284"/>
    <w:pPr>
      <w:spacing w:before="240" w:after="0"/>
      <w:jc w:val="center"/>
      <w:outlineLvl w:val="3"/>
    </w:pPr>
    <w:rPr>
      <w:rFonts w:cs="Arial"/>
      <w:b/>
      <w:iCs/>
      <w:szCs w:val="24"/>
    </w:rPr>
  </w:style>
  <w:style w:type="paragraph" w:styleId="Heading5">
    <w:name w:val="heading 5"/>
    <w:basedOn w:val="Normal"/>
    <w:next w:val="Normal"/>
    <w:link w:val="Heading5Char"/>
    <w:uiPriority w:val="9"/>
    <w:unhideWhenUsed/>
    <w:qFormat/>
    <w:rsid w:val="00095284"/>
    <w:pPr>
      <w:spacing w:after="0"/>
      <w:jc w:val="center"/>
      <w:outlineLvl w:val="4"/>
    </w:pPr>
    <w:rPr>
      <w:rFonts w:cs="Arial"/>
      <w:b/>
      <w:bCs/>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3AD7"/>
    <w:pPr>
      <w:ind w:left="720"/>
      <w:contextualSpacing/>
    </w:pPr>
  </w:style>
  <w:style w:type="paragraph" w:styleId="Caption">
    <w:name w:val="caption"/>
    <w:basedOn w:val="Normal"/>
    <w:next w:val="Normal"/>
    <w:uiPriority w:val="35"/>
    <w:unhideWhenUsed/>
    <w:qFormat/>
    <w:rsid w:val="006F44AA"/>
    <w:pPr>
      <w:spacing w:after="200" w:line="240" w:lineRule="auto"/>
    </w:pPr>
    <w:rPr>
      <w:i/>
      <w:iCs/>
      <w:color w:val="44546A" w:themeColor="text2"/>
      <w:sz w:val="18"/>
      <w:szCs w:val="18"/>
    </w:rPr>
  </w:style>
  <w:style w:type="paragraph" w:styleId="NormalWeb">
    <w:name w:val="Normal (Web)"/>
    <w:basedOn w:val="Normal"/>
    <w:uiPriority w:val="99"/>
    <w:semiHidden/>
    <w:unhideWhenUsed/>
    <w:rsid w:val="005C3AEA"/>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5C3AEA"/>
    <w:rPr>
      <w:b/>
      <w:bCs/>
    </w:rPr>
  </w:style>
  <w:style w:type="character" w:customStyle="1" w:styleId="Heading1Char">
    <w:name w:val="Heading 1 Char"/>
    <w:basedOn w:val="DefaultParagraphFont"/>
    <w:link w:val="Heading1"/>
    <w:uiPriority w:val="9"/>
    <w:rsid w:val="00316218"/>
    <w:rPr>
      <w:rFonts w:ascii="Arial" w:hAnsi="Arial" w:cs="Arial"/>
      <w:b/>
      <w:color w:val="000000" w:themeColor="text1"/>
      <w:sz w:val="28"/>
    </w:rPr>
  </w:style>
  <w:style w:type="character" w:customStyle="1" w:styleId="Heading2Char">
    <w:name w:val="Heading 2 Char"/>
    <w:basedOn w:val="DefaultParagraphFont"/>
    <w:link w:val="Heading2"/>
    <w:uiPriority w:val="9"/>
    <w:rsid w:val="006B6514"/>
    <w:rPr>
      <w:rFonts w:ascii="Arial" w:hAnsi="Arial" w:cs="Arial"/>
      <w:b/>
      <w:color w:val="000000" w:themeColor="text1"/>
      <w:sz w:val="26"/>
      <w:szCs w:val="26"/>
    </w:rPr>
  </w:style>
  <w:style w:type="character" w:styleId="Hyperlink">
    <w:name w:val="Hyperlink"/>
    <w:basedOn w:val="DefaultParagraphFont"/>
    <w:uiPriority w:val="99"/>
    <w:unhideWhenUsed/>
    <w:rsid w:val="00B55832"/>
    <w:rPr>
      <w:color w:val="0563C1" w:themeColor="hyperlink"/>
      <w:u w:val="single"/>
    </w:rPr>
  </w:style>
  <w:style w:type="paragraph" w:styleId="TOCHeading">
    <w:name w:val="TOC Heading"/>
    <w:basedOn w:val="Heading1"/>
    <w:next w:val="Normal"/>
    <w:uiPriority w:val="39"/>
    <w:unhideWhenUsed/>
    <w:qFormat/>
    <w:rsid w:val="00E91F8A"/>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E91F8A"/>
    <w:pPr>
      <w:spacing w:after="100"/>
    </w:pPr>
  </w:style>
  <w:style w:type="paragraph" w:styleId="TOC2">
    <w:name w:val="toc 2"/>
    <w:basedOn w:val="Normal"/>
    <w:next w:val="Normal"/>
    <w:autoRedefine/>
    <w:uiPriority w:val="39"/>
    <w:unhideWhenUsed/>
    <w:rsid w:val="00E91F8A"/>
    <w:pPr>
      <w:spacing w:after="100"/>
      <w:ind w:left="240"/>
    </w:pPr>
  </w:style>
  <w:style w:type="paragraph" w:styleId="TableofFigures">
    <w:name w:val="table of figures"/>
    <w:basedOn w:val="Normal"/>
    <w:next w:val="Normal"/>
    <w:uiPriority w:val="99"/>
    <w:unhideWhenUsed/>
    <w:rsid w:val="0021488A"/>
    <w:pPr>
      <w:spacing w:after="0"/>
    </w:pPr>
  </w:style>
  <w:style w:type="paragraph" w:styleId="Header">
    <w:name w:val="header"/>
    <w:basedOn w:val="Normal"/>
    <w:link w:val="HeaderChar"/>
    <w:uiPriority w:val="99"/>
    <w:unhideWhenUsed/>
    <w:rsid w:val="00183F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FB3"/>
    <w:rPr>
      <w:rFonts w:ascii="Times New Roman" w:hAnsi="Times New Roman"/>
      <w:sz w:val="24"/>
    </w:rPr>
  </w:style>
  <w:style w:type="paragraph" w:styleId="Footer">
    <w:name w:val="footer"/>
    <w:basedOn w:val="Normal"/>
    <w:link w:val="FooterChar"/>
    <w:uiPriority w:val="99"/>
    <w:unhideWhenUsed/>
    <w:rsid w:val="00183F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FB3"/>
    <w:rPr>
      <w:rFonts w:ascii="Times New Roman" w:hAnsi="Times New Roman"/>
      <w:sz w:val="24"/>
    </w:rPr>
  </w:style>
  <w:style w:type="character" w:customStyle="1" w:styleId="Heading3Char">
    <w:name w:val="Heading 3 Char"/>
    <w:basedOn w:val="DefaultParagraphFont"/>
    <w:link w:val="Heading3"/>
    <w:uiPriority w:val="9"/>
    <w:rsid w:val="0023090D"/>
    <w:rPr>
      <w:rFonts w:ascii="Arial" w:eastAsiaTheme="majorEastAsia" w:hAnsi="Arial" w:cs="Arial"/>
      <w:b/>
      <w:bCs/>
      <w:color w:val="000000" w:themeColor="text1"/>
      <w:sz w:val="24"/>
      <w:szCs w:val="24"/>
    </w:rPr>
  </w:style>
  <w:style w:type="character" w:customStyle="1" w:styleId="Heading4Char">
    <w:name w:val="Heading 4 Char"/>
    <w:basedOn w:val="DefaultParagraphFont"/>
    <w:link w:val="Heading4"/>
    <w:uiPriority w:val="9"/>
    <w:rsid w:val="00095284"/>
    <w:rPr>
      <w:rFonts w:ascii="Arial" w:hAnsi="Arial" w:cs="Arial"/>
      <w:b/>
      <w:iCs/>
      <w:sz w:val="24"/>
      <w:szCs w:val="24"/>
    </w:rPr>
  </w:style>
  <w:style w:type="character" w:customStyle="1" w:styleId="Heading5Char">
    <w:name w:val="Heading 5 Char"/>
    <w:basedOn w:val="DefaultParagraphFont"/>
    <w:link w:val="Heading5"/>
    <w:uiPriority w:val="9"/>
    <w:rsid w:val="00095284"/>
    <w:rPr>
      <w:rFonts w:ascii="Arial" w:hAnsi="Arial" w:cs="Arial"/>
      <w:b/>
      <w:bCs/>
      <w:sz w:val="24"/>
      <w:szCs w:val="24"/>
      <w:lang w:val="en-GB"/>
    </w:rPr>
  </w:style>
  <w:style w:type="paragraph" w:styleId="TOC3">
    <w:name w:val="toc 3"/>
    <w:basedOn w:val="Normal"/>
    <w:next w:val="Normal"/>
    <w:autoRedefine/>
    <w:uiPriority w:val="39"/>
    <w:unhideWhenUsed/>
    <w:rsid w:val="0009528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6483">
      <w:bodyDiv w:val="1"/>
      <w:marLeft w:val="0"/>
      <w:marRight w:val="0"/>
      <w:marTop w:val="0"/>
      <w:marBottom w:val="0"/>
      <w:divBdr>
        <w:top w:val="none" w:sz="0" w:space="0" w:color="auto"/>
        <w:left w:val="none" w:sz="0" w:space="0" w:color="auto"/>
        <w:bottom w:val="none" w:sz="0" w:space="0" w:color="auto"/>
        <w:right w:val="none" w:sz="0" w:space="0" w:color="auto"/>
      </w:divBdr>
    </w:div>
    <w:div w:id="545988821">
      <w:bodyDiv w:val="1"/>
      <w:marLeft w:val="0"/>
      <w:marRight w:val="0"/>
      <w:marTop w:val="0"/>
      <w:marBottom w:val="0"/>
      <w:divBdr>
        <w:top w:val="none" w:sz="0" w:space="0" w:color="auto"/>
        <w:left w:val="none" w:sz="0" w:space="0" w:color="auto"/>
        <w:bottom w:val="none" w:sz="0" w:space="0" w:color="auto"/>
        <w:right w:val="none" w:sz="0" w:space="0" w:color="auto"/>
      </w:divBdr>
    </w:div>
    <w:div w:id="778838270">
      <w:bodyDiv w:val="1"/>
      <w:marLeft w:val="0"/>
      <w:marRight w:val="0"/>
      <w:marTop w:val="0"/>
      <w:marBottom w:val="0"/>
      <w:divBdr>
        <w:top w:val="none" w:sz="0" w:space="0" w:color="auto"/>
        <w:left w:val="none" w:sz="0" w:space="0" w:color="auto"/>
        <w:bottom w:val="none" w:sz="0" w:space="0" w:color="auto"/>
        <w:right w:val="none" w:sz="0" w:space="0" w:color="auto"/>
      </w:divBdr>
    </w:div>
    <w:div w:id="790323244">
      <w:bodyDiv w:val="1"/>
      <w:marLeft w:val="0"/>
      <w:marRight w:val="0"/>
      <w:marTop w:val="0"/>
      <w:marBottom w:val="0"/>
      <w:divBdr>
        <w:top w:val="none" w:sz="0" w:space="0" w:color="auto"/>
        <w:left w:val="none" w:sz="0" w:space="0" w:color="auto"/>
        <w:bottom w:val="none" w:sz="0" w:space="0" w:color="auto"/>
        <w:right w:val="none" w:sz="0" w:space="0" w:color="auto"/>
      </w:divBdr>
    </w:div>
    <w:div w:id="928386339">
      <w:bodyDiv w:val="1"/>
      <w:marLeft w:val="0"/>
      <w:marRight w:val="0"/>
      <w:marTop w:val="0"/>
      <w:marBottom w:val="0"/>
      <w:divBdr>
        <w:top w:val="none" w:sz="0" w:space="0" w:color="auto"/>
        <w:left w:val="none" w:sz="0" w:space="0" w:color="auto"/>
        <w:bottom w:val="none" w:sz="0" w:space="0" w:color="auto"/>
        <w:right w:val="none" w:sz="0" w:space="0" w:color="auto"/>
      </w:divBdr>
    </w:div>
    <w:div w:id="963731646">
      <w:bodyDiv w:val="1"/>
      <w:marLeft w:val="0"/>
      <w:marRight w:val="0"/>
      <w:marTop w:val="0"/>
      <w:marBottom w:val="0"/>
      <w:divBdr>
        <w:top w:val="none" w:sz="0" w:space="0" w:color="auto"/>
        <w:left w:val="none" w:sz="0" w:space="0" w:color="auto"/>
        <w:bottom w:val="none" w:sz="0" w:space="0" w:color="auto"/>
        <w:right w:val="none" w:sz="0" w:space="0" w:color="auto"/>
      </w:divBdr>
    </w:div>
    <w:div w:id="1148664768">
      <w:bodyDiv w:val="1"/>
      <w:marLeft w:val="0"/>
      <w:marRight w:val="0"/>
      <w:marTop w:val="0"/>
      <w:marBottom w:val="0"/>
      <w:divBdr>
        <w:top w:val="none" w:sz="0" w:space="0" w:color="auto"/>
        <w:left w:val="none" w:sz="0" w:space="0" w:color="auto"/>
        <w:bottom w:val="none" w:sz="0" w:space="0" w:color="auto"/>
        <w:right w:val="none" w:sz="0" w:space="0" w:color="auto"/>
      </w:divBdr>
    </w:div>
    <w:div w:id="1205559857">
      <w:bodyDiv w:val="1"/>
      <w:marLeft w:val="0"/>
      <w:marRight w:val="0"/>
      <w:marTop w:val="0"/>
      <w:marBottom w:val="0"/>
      <w:divBdr>
        <w:top w:val="none" w:sz="0" w:space="0" w:color="auto"/>
        <w:left w:val="none" w:sz="0" w:space="0" w:color="auto"/>
        <w:bottom w:val="none" w:sz="0" w:space="0" w:color="auto"/>
        <w:right w:val="none" w:sz="0" w:space="0" w:color="auto"/>
      </w:divBdr>
    </w:div>
    <w:div w:id="1295673763">
      <w:bodyDiv w:val="1"/>
      <w:marLeft w:val="0"/>
      <w:marRight w:val="0"/>
      <w:marTop w:val="0"/>
      <w:marBottom w:val="0"/>
      <w:divBdr>
        <w:top w:val="none" w:sz="0" w:space="0" w:color="auto"/>
        <w:left w:val="none" w:sz="0" w:space="0" w:color="auto"/>
        <w:bottom w:val="none" w:sz="0" w:space="0" w:color="auto"/>
        <w:right w:val="none" w:sz="0" w:space="0" w:color="auto"/>
      </w:divBdr>
    </w:div>
    <w:div w:id="1741825756">
      <w:bodyDiv w:val="1"/>
      <w:marLeft w:val="0"/>
      <w:marRight w:val="0"/>
      <w:marTop w:val="0"/>
      <w:marBottom w:val="0"/>
      <w:divBdr>
        <w:top w:val="none" w:sz="0" w:space="0" w:color="auto"/>
        <w:left w:val="none" w:sz="0" w:space="0" w:color="auto"/>
        <w:bottom w:val="none" w:sz="0" w:space="0" w:color="auto"/>
        <w:right w:val="none" w:sz="0" w:space="0" w:color="auto"/>
      </w:divBdr>
    </w:div>
    <w:div w:id="190514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financeinstitute.com/resources/accounting/profitability-index/" TargetMode="External"/><Relationship Id="rId18" Type="http://schemas.openxmlformats.org/officeDocument/2006/relationships/hyperlink" Target="https://in.indeed.com/career-advice/career-development/profitability-index" TargetMode="External"/><Relationship Id="rId26" Type="http://schemas.openxmlformats.org/officeDocument/2006/relationships/hyperlink" Target="https://corporatefinanceinstitute.com/resources/valuation/internal-rate-return-irr/" TargetMode="External"/><Relationship Id="rId3" Type="http://schemas.openxmlformats.org/officeDocument/2006/relationships/styles" Target="styles.xml"/><Relationship Id="rId21" Type="http://schemas.openxmlformats.org/officeDocument/2006/relationships/hyperlink" Target="https://doi.org/10.17323/j.%20jcfr.2073-0438.17.4.2023.5-18" TargetMode="External"/><Relationship Id="rId7" Type="http://schemas.openxmlformats.org/officeDocument/2006/relationships/endnotes" Target="endnotes.xml"/><Relationship Id="rId12" Type="http://schemas.openxmlformats.org/officeDocument/2006/relationships/hyperlink" Target="https://www.researchgate.net/profile/Victoria-Agbakwuru/publication/384533952_The_Impact_of_Environmental_Social_and_Governance_ESG_Reporting_on_Corporate_Financial_Performance/links/66fc4427b753fa724d561989/The-Impact-of-Environmental-Social-and-Governance-ESG-Reporting-on-Corporate-Financial-Performance.pdf" TargetMode="External"/><Relationship Id="rId17" Type="http://schemas.openxmlformats.org/officeDocument/2006/relationships/hyperlink" Target="https://www.gov.uk/capital-gains-tax" TargetMode="External"/><Relationship Id="rId25" Type="http://schemas.openxmlformats.org/officeDocument/2006/relationships/hyperlink" Target="https://qubit.capital/blog/short-term-vs-long-term-financing" TargetMode="External"/><Relationship Id="rId2" Type="http://schemas.openxmlformats.org/officeDocument/2006/relationships/numbering" Target="numbering.xml"/><Relationship Id="rId16" Type="http://schemas.openxmlformats.org/officeDocument/2006/relationships/hyperlink" Target="https://www.dripcapital.com/en-us/resources/blog/accounts-payable-optimization-tips" TargetMode="External"/><Relationship Id="rId20" Type="http://schemas.openxmlformats.org/officeDocument/2006/relationships/hyperlink" Target="https://doi.org/10.70619/vol1iss2pp23-33"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i.org/10.46754/jssm.2021.08.009" TargetMode="External"/><Relationship Id="rId24" Type="http://schemas.openxmlformats.org/officeDocument/2006/relationships/hyperlink" Target="https://online.hbs.edu/blog/post/income-statement-analysis" TargetMode="External"/><Relationship Id="rId5" Type="http://schemas.openxmlformats.org/officeDocument/2006/relationships/webSettings" Target="webSettings.xml"/><Relationship Id="rId15" Type="http://schemas.openxmlformats.org/officeDocument/2006/relationships/hyperlink" Target="https://faculty.wharton.upenn.edu/wp-content/uploads/2016/11/Restructuring-and-Divestitures.pdf" TargetMode="External"/><Relationship Id="rId23" Type="http://schemas.openxmlformats.org/officeDocument/2006/relationships/hyperlink" Target="https://www.fe.training/free-resources/valuation/net-present-value-vs-internal-rate-of-return/" TargetMode="External"/><Relationship Id="rId28" Type="http://schemas.openxmlformats.org/officeDocument/2006/relationships/hyperlink" Target="https://www.wallstreetprep.com/knowledge/restructuring/" TargetMode="External"/><Relationship Id="rId10" Type="http://schemas.openxmlformats.org/officeDocument/2006/relationships/hyperlink" Target="https://www.investopedia.com/terms/o/operatingcashflow.asp" TargetMode="External"/><Relationship Id="rId19" Type="http://schemas.openxmlformats.org/officeDocument/2006/relationships/hyperlink" Target="https://www.investopedia.com/articles/fundamental/04/063004.asp"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loitte.com/us/en/services/consulting/articles/working-capital-improvement.html" TargetMode="External"/><Relationship Id="rId22" Type="http://schemas.openxmlformats.org/officeDocument/2006/relationships/hyperlink" Target="https://www.fe.training/free-resources/restructuring/different-types-of-corporate-restructuring/" TargetMode="External"/><Relationship Id="rId27" Type="http://schemas.openxmlformats.org/officeDocument/2006/relationships/hyperlink" Target="https://corporatefinanceinstitute.com/resources/accounting/arr-accounting-rate-of-retur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78BC8-5E84-4394-95BD-8DECD34DD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6708</Words>
  <Characters>38240</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2025-12-17T14:39:00Z</dcterms:created>
  <dcterms:modified xsi:type="dcterms:W3CDTF">2025-12-21T23:52:00Z</dcterms:modified>
</cp:coreProperties>
</file>