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F2D72" w14:textId="4752AADB" w:rsidR="004F7EAC" w:rsidRDefault="004F7EAC" w:rsidP="006C13C4">
      <w:pPr>
        <w:pStyle w:val="Heading1"/>
        <w:jc w:val="center"/>
        <w:rPr>
          <w:rFonts w:eastAsia="Times New Roman" w:cs="Times New Roman"/>
          <w:sz w:val="28"/>
          <w:szCs w:val="28"/>
          <w:lang w:eastAsia="en-GB"/>
        </w:rPr>
      </w:pPr>
      <w:r w:rsidRPr="004F7EAC">
        <w:rPr>
          <w:rFonts w:eastAsia="Times New Roman" w:cs="Times New Roman"/>
          <w:sz w:val="28"/>
          <w:szCs w:val="28"/>
          <w:lang w:eastAsia="en-GB"/>
        </w:rPr>
        <w:t>Task 1</w:t>
      </w:r>
    </w:p>
    <w:p w14:paraId="49715DAA" w14:textId="38F02008" w:rsidR="00D515C3" w:rsidRPr="00D515C3" w:rsidRDefault="00D515C3" w:rsidP="00D515C3">
      <w:pPr>
        <w:spacing w:line="360" w:lineRule="auto"/>
        <w:jc w:val="both"/>
        <w:rPr>
          <w:rFonts w:ascii="Times New Roman" w:eastAsia="Times New Roman" w:hAnsi="Times New Roman" w:cs="Times New Roman"/>
          <w:b/>
          <w:sz w:val="28"/>
          <w:szCs w:val="28"/>
          <w:lang w:val="en-US" w:eastAsia="en-GB"/>
        </w:rPr>
      </w:pPr>
      <w:r w:rsidRPr="004F7EAC">
        <w:rPr>
          <w:rFonts w:ascii="Times New Roman" w:eastAsia="Times New Roman" w:hAnsi="Times New Roman" w:cs="Times New Roman"/>
          <w:b/>
          <w:sz w:val="28"/>
          <w:szCs w:val="28"/>
          <w:lang w:val="en-US" w:eastAsia="en-GB"/>
        </w:rPr>
        <w:t xml:space="preserve">Question </w:t>
      </w:r>
      <w:r>
        <w:rPr>
          <w:rFonts w:ascii="Times New Roman" w:eastAsia="Times New Roman" w:hAnsi="Times New Roman" w:cs="Times New Roman"/>
          <w:b/>
          <w:sz w:val="28"/>
          <w:szCs w:val="28"/>
          <w:lang w:val="en-US" w:eastAsia="en-GB"/>
        </w:rPr>
        <w:t>1</w:t>
      </w:r>
    </w:p>
    <w:p w14:paraId="08EF1561" w14:textId="77777777" w:rsidR="004F7EAC" w:rsidRPr="004F7EAC" w:rsidRDefault="004F7EAC" w:rsidP="004F7EAC">
      <w:pPr>
        <w:spacing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b/>
          <w:sz w:val="28"/>
          <w:szCs w:val="28"/>
          <w:lang w:eastAsia="en-GB"/>
        </w:rPr>
        <w:t>a</w:t>
      </w:r>
      <w:r w:rsidRPr="004F7EAC">
        <w:rPr>
          <w:rFonts w:ascii="Times New Roman" w:eastAsia="Times New Roman" w:hAnsi="Times New Roman" w:cs="Times New Roman"/>
          <w:sz w:val="28"/>
          <w:szCs w:val="28"/>
          <w:lang w:eastAsia="en-GB"/>
        </w:rPr>
        <w:t>.</w:t>
      </w:r>
    </w:p>
    <w:p w14:paraId="5713EF19" w14:textId="77777777" w:rsidR="004F7EAC" w:rsidRPr="004F7EAC" w:rsidRDefault="004F7EAC" w:rsidP="004F7EAC">
      <w:pPr>
        <w:spacing w:line="360" w:lineRule="auto"/>
        <w:jc w:val="center"/>
        <w:rPr>
          <w:rFonts w:ascii="Times New Roman" w:eastAsia="Times New Roman" w:hAnsi="Times New Roman" w:cs="Times New Roman"/>
          <w:b/>
          <w:bCs/>
          <w:sz w:val="28"/>
          <w:szCs w:val="28"/>
          <w:lang w:eastAsia="en-GB"/>
        </w:rPr>
      </w:pPr>
      <w:r w:rsidRPr="004F7EAC">
        <w:rPr>
          <w:rFonts w:ascii="Times New Roman" w:eastAsia="Times New Roman" w:hAnsi="Times New Roman" w:cs="Times New Roman"/>
          <w:b/>
          <w:sz w:val="28"/>
          <w:szCs w:val="28"/>
          <w:u w:val="single"/>
          <w:lang w:eastAsia="en-GB"/>
        </w:rPr>
        <w:t>ATTENDANCE NOTE</w:t>
      </w:r>
    </w:p>
    <w:p w14:paraId="32C86926" w14:textId="77777777" w:rsidR="004F7EAC" w:rsidRPr="004F7EAC" w:rsidRDefault="004F7EAC" w:rsidP="004F7EAC">
      <w:pPr>
        <w:spacing w:line="360" w:lineRule="auto"/>
        <w:jc w:val="both"/>
        <w:rPr>
          <w:rFonts w:ascii="Times New Roman" w:eastAsia="Times New Roman" w:hAnsi="Times New Roman" w:cs="Times New Roman"/>
          <w:b/>
          <w:sz w:val="28"/>
          <w:szCs w:val="28"/>
          <w:lang w:eastAsia="en-GB"/>
        </w:rPr>
      </w:pPr>
      <w:r w:rsidRPr="004F7EAC">
        <w:rPr>
          <w:rFonts w:ascii="Times New Roman" w:eastAsia="Times New Roman" w:hAnsi="Times New Roman" w:cs="Times New Roman"/>
          <w:b/>
          <w:sz w:val="28"/>
          <w:szCs w:val="28"/>
          <w:lang w:eastAsia="en-GB"/>
        </w:rPr>
        <w:t>Date:       July 2021</w:t>
      </w:r>
    </w:p>
    <w:p w14:paraId="4D76B331" w14:textId="77777777" w:rsidR="004F7EAC" w:rsidRPr="004F7EAC" w:rsidRDefault="004F7EAC" w:rsidP="004F7EAC">
      <w:pPr>
        <w:spacing w:line="360" w:lineRule="auto"/>
        <w:jc w:val="both"/>
        <w:rPr>
          <w:rFonts w:ascii="Times New Roman" w:eastAsia="Times New Roman" w:hAnsi="Times New Roman" w:cs="Times New Roman"/>
          <w:b/>
          <w:sz w:val="28"/>
          <w:szCs w:val="28"/>
          <w:lang w:eastAsia="en-GB"/>
        </w:rPr>
      </w:pPr>
      <w:r w:rsidRPr="004F7EAC">
        <w:rPr>
          <w:rFonts w:ascii="Times New Roman" w:eastAsia="Times New Roman" w:hAnsi="Times New Roman" w:cs="Times New Roman"/>
          <w:b/>
          <w:sz w:val="28"/>
          <w:szCs w:val="28"/>
          <w:lang w:eastAsia="en-GB"/>
        </w:rPr>
        <w:t>Client:     John Wells (Cosmetic Transformations)</w:t>
      </w:r>
    </w:p>
    <w:p w14:paraId="5DC53737" w14:textId="77777777" w:rsidR="004F7EAC" w:rsidRPr="004F7EAC" w:rsidRDefault="004F7EAC" w:rsidP="004F7EAC">
      <w:pPr>
        <w:spacing w:line="360" w:lineRule="auto"/>
        <w:jc w:val="both"/>
        <w:rPr>
          <w:rFonts w:ascii="Times New Roman" w:eastAsia="Times New Roman" w:hAnsi="Times New Roman" w:cs="Times New Roman"/>
          <w:b/>
          <w:sz w:val="28"/>
          <w:szCs w:val="28"/>
          <w:lang w:eastAsia="en-GB"/>
        </w:rPr>
      </w:pPr>
      <w:r w:rsidRPr="004F7EAC">
        <w:rPr>
          <w:rFonts w:ascii="Times New Roman" w:eastAsia="Times New Roman" w:hAnsi="Times New Roman" w:cs="Times New Roman"/>
          <w:b/>
          <w:sz w:val="28"/>
          <w:szCs w:val="28"/>
          <w:lang w:eastAsia="en-GB"/>
        </w:rPr>
        <w:t xml:space="preserve">Matter:    Partnership </w:t>
      </w:r>
    </w:p>
    <w:p w14:paraId="71E41FB4" w14:textId="77777777" w:rsidR="004F7EAC" w:rsidRPr="004F7EAC" w:rsidRDefault="004F7EAC" w:rsidP="004F7EAC">
      <w:pPr>
        <w:spacing w:line="360" w:lineRule="auto"/>
        <w:jc w:val="both"/>
        <w:rPr>
          <w:rFonts w:ascii="Times New Roman" w:eastAsia="Times New Roman" w:hAnsi="Times New Roman" w:cs="Times New Roman"/>
          <w:b/>
          <w:sz w:val="28"/>
          <w:szCs w:val="28"/>
          <w:u w:val="single"/>
          <w:lang w:eastAsia="en-GB"/>
        </w:rPr>
      </w:pPr>
      <w:r w:rsidRPr="004F7EAC">
        <w:rPr>
          <w:rFonts w:ascii="Times New Roman" w:eastAsia="Times New Roman" w:hAnsi="Times New Roman" w:cs="Times New Roman"/>
          <w:b/>
          <w:sz w:val="28"/>
          <w:szCs w:val="28"/>
          <w:lang w:eastAsia="en-GB"/>
        </w:rPr>
        <w:t xml:space="preserve">                                                                                                                               </w:t>
      </w:r>
    </w:p>
    <w:p w14:paraId="57A13DB7" w14:textId="77777777" w:rsidR="004F7EAC" w:rsidRPr="004F7EAC" w:rsidRDefault="004F7EAC" w:rsidP="004F7EAC">
      <w:pPr>
        <w:spacing w:line="360" w:lineRule="auto"/>
        <w:jc w:val="both"/>
        <w:rPr>
          <w:rFonts w:ascii="Times New Roman" w:eastAsia="Times New Roman" w:hAnsi="Times New Roman" w:cs="Times New Roman"/>
          <w:b/>
          <w:sz w:val="28"/>
          <w:szCs w:val="28"/>
          <w:u w:val="single"/>
          <w:lang w:eastAsia="en-GB"/>
        </w:rPr>
      </w:pPr>
      <w:r w:rsidRPr="004F7EAC">
        <w:rPr>
          <w:rFonts w:ascii="Times New Roman" w:eastAsia="Times New Roman" w:hAnsi="Times New Roman" w:cs="Times New Roman"/>
          <w:b/>
          <w:sz w:val="28"/>
          <w:szCs w:val="28"/>
          <w:lang w:eastAsia="en-GB"/>
        </w:rPr>
        <w:t>A Supervisor</w:t>
      </w:r>
    </w:p>
    <w:p w14:paraId="5FC98319" w14:textId="77777777" w:rsidR="004F7EAC" w:rsidRPr="004F7EAC" w:rsidRDefault="004F7EAC" w:rsidP="004F7EAC">
      <w:pPr>
        <w:spacing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sz w:val="28"/>
          <w:szCs w:val="28"/>
          <w:lang w:eastAsia="en-GB"/>
        </w:rPr>
        <w:t xml:space="preserve">Liability in terms of outstanding account refers to the outstanding expenses based on the personal account that have the credit balance and treated as the liability for a business firm. Referring to the case of John, he is seeking for the advice in respect of an outstanding account. In terms of cosmetic transformations with respect of the outstanding account, liability plays the vital role in the partnership that are personally liable for overall business debts involving the court judgments. The individual partnership is sued for overall amount of business debt. According to the scenario of John Wells who is seeking for the advice, can support his partner Rhian Thomas. In respect of the outstanding account, liability can appear in the form of flexible and legal tax entity which allow John to be benefited from the economies scale working together with Rhian Thomas. However, Dylan Jones can be reduced with the liability for the actions of the former partner John and Thomas. Based on the legal entity, it is significant to check the nation laws. Thus, in the partnership of Rhian Thomas and Dylan Jones, cosmetic transformations can rely on the limited liability partnership of Rhian and Dylan who can start their business as the general partnership. The liability of the partnership between Rhian and Dylan can also form the general partnership based on the profit entity which </w:t>
      </w:r>
      <w:r w:rsidRPr="004F7EAC">
        <w:rPr>
          <w:rFonts w:ascii="Times New Roman" w:eastAsia="Times New Roman" w:hAnsi="Times New Roman" w:cs="Times New Roman"/>
          <w:sz w:val="28"/>
          <w:szCs w:val="28"/>
          <w:lang w:eastAsia="en-GB"/>
        </w:rPr>
        <w:lastRenderedPageBreak/>
        <w:t xml:space="preserve">is created through the mutual understanding amongst two parties. This understanding can be the best way for two partners to work in proper way for making profit. </w:t>
      </w:r>
    </w:p>
    <w:p w14:paraId="50B74C51" w14:textId="216E89D2" w:rsidR="004F7EAC" w:rsidRPr="004F7EAC" w:rsidRDefault="004F7EAC" w:rsidP="004F7EAC">
      <w:pPr>
        <w:spacing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sz w:val="28"/>
          <w:szCs w:val="28"/>
          <w:lang w:eastAsia="en-GB"/>
        </w:rPr>
        <w:t xml:space="preserve">The general partnership between Rhian Thomas and Dylan Jones can be formal </w:t>
      </w:r>
      <w:r w:rsidR="00535B75" w:rsidRPr="004F7EAC">
        <w:rPr>
          <w:rFonts w:ascii="Times New Roman" w:eastAsia="Times New Roman" w:hAnsi="Times New Roman" w:cs="Times New Roman"/>
          <w:sz w:val="28"/>
          <w:szCs w:val="28"/>
          <w:lang w:eastAsia="en-GB"/>
        </w:rPr>
        <w:t>wherever</w:t>
      </w:r>
      <w:r w:rsidRPr="004F7EAC">
        <w:rPr>
          <w:rFonts w:ascii="Times New Roman" w:eastAsia="Times New Roman" w:hAnsi="Times New Roman" w:cs="Times New Roman"/>
          <w:sz w:val="28"/>
          <w:szCs w:val="28"/>
          <w:lang w:eastAsia="en-GB"/>
        </w:rPr>
        <w:t xml:space="preserve"> task is shared and written in the form of contract. The liability is the limited liability partnerships based on the cosmetic transformations with respect to the outstanding account. Due to the death of Sion, Dylan Jones and Rhian Thomas can be the partner of John wells in the cosmetic transformation based on the limited liability partnership. It helps to allow the structure of partnership based on the liabilities of partners that are limited to the amount kept by Dylan Jones and Rhian Thomas in the cosmetic transformation. The risk between the partners based on the liability partnership is shared between each other who carry their business on the basis of outstanding account. Limited liability partnership establishes the labour division that enhances the expertise and skills by establishing the labour division. The limited liability partnership can be </w:t>
      </w:r>
      <w:r w:rsidR="00535B75" w:rsidRPr="004F7EAC">
        <w:rPr>
          <w:rFonts w:ascii="Times New Roman" w:eastAsia="Times New Roman" w:hAnsi="Times New Roman" w:cs="Times New Roman"/>
          <w:sz w:val="28"/>
          <w:szCs w:val="28"/>
          <w:lang w:eastAsia="en-GB"/>
        </w:rPr>
        <w:t>recommended</w:t>
      </w:r>
      <w:r w:rsidRPr="004F7EAC">
        <w:rPr>
          <w:rFonts w:ascii="Times New Roman" w:eastAsia="Times New Roman" w:hAnsi="Times New Roman" w:cs="Times New Roman"/>
          <w:sz w:val="28"/>
          <w:szCs w:val="28"/>
          <w:lang w:eastAsia="en-GB"/>
        </w:rPr>
        <w:t xml:space="preserve"> to the case of John where the creditors cannot go after the partner’s personal income or asset. Limit liability partnership in terms of cosmetic transformation </w:t>
      </w:r>
      <w:r w:rsidR="00535B75" w:rsidRPr="004F7EAC">
        <w:rPr>
          <w:rFonts w:ascii="Times New Roman" w:eastAsia="Times New Roman" w:hAnsi="Times New Roman" w:cs="Times New Roman"/>
          <w:sz w:val="28"/>
          <w:szCs w:val="28"/>
          <w:lang w:eastAsia="en-GB"/>
        </w:rPr>
        <w:t>is</w:t>
      </w:r>
      <w:r w:rsidRPr="004F7EAC">
        <w:rPr>
          <w:rFonts w:ascii="Times New Roman" w:eastAsia="Times New Roman" w:hAnsi="Times New Roman" w:cs="Times New Roman"/>
          <w:sz w:val="28"/>
          <w:szCs w:val="28"/>
          <w:lang w:eastAsia="en-GB"/>
        </w:rPr>
        <w:t xml:space="preserve"> based on the common laws in the professional business and firms. It is common law in the business started by John, </w:t>
      </w:r>
      <w:r w:rsidR="00535B75" w:rsidRPr="004F7EAC">
        <w:rPr>
          <w:rFonts w:ascii="Times New Roman" w:eastAsia="Times New Roman" w:hAnsi="Times New Roman" w:cs="Times New Roman"/>
          <w:sz w:val="28"/>
          <w:szCs w:val="28"/>
          <w:lang w:eastAsia="en-GB"/>
        </w:rPr>
        <w:t>Rhian,</w:t>
      </w:r>
      <w:r w:rsidRPr="004F7EAC">
        <w:rPr>
          <w:rFonts w:ascii="Times New Roman" w:eastAsia="Times New Roman" w:hAnsi="Times New Roman" w:cs="Times New Roman"/>
          <w:sz w:val="28"/>
          <w:szCs w:val="28"/>
          <w:lang w:eastAsia="en-GB"/>
        </w:rPr>
        <w:t xml:space="preserve"> and Dylan. In respect to the outstanding account, the partnership is the limited liability partnership that is considered the informal nature of the general partnership.</w:t>
      </w:r>
    </w:p>
    <w:p w14:paraId="22F7B165" w14:textId="77777777" w:rsidR="004F7EAC" w:rsidRPr="004F7EAC" w:rsidRDefault="004F7EAC" w:rsidP="004F7EAC">
      <w:pPr>
        <w:spacing w:line="360" w:lineRule="auto"/>
        <w:jc w:val="both"/>
        <w:rPr>
          <w:rFonts w:ascii="Times New Roman" w:eastAsia="Times New Roman" w:hAnsi="Times New Roman" w:cs="Times New Roman"/>
          <w:b/>
          <w:sz w:val="28"/>
          <w:szCs w:val="28"/>
          <w:lang w:eastAsia="en-GB"/>
        </w:rPr>
      </w:pPr>
      <w:r w:rsidRPr="004F7EAC">
        <w:rPr>
          <w:rFonts w:ascii="Times New Roman" w:eastAsia="Times New Roman" w:hAnsi="Times New Roman" w:cs="Times New Roman"/>
          <w:b/>
          <w:sz w:val="28"/>
          <w:szCs w:val="28"/>
          <w:lang w:eastAsia="en-GB"/>
        </w:rPr>
        <w:t xml:space="preserve">b. </w:t>
      </w:r>
    </w:p>
    <w:p w14:paraId="135D2DBC" w14:textId="77777777" w:rsidR="004F7EAC" w:rsidRPr="004F7EAC" w:rsidRDefault="004F7EAC" w:rsidP="004F7EAC">
      <w:pPr>
        <w:spacing w:after="0" w:line="360" w:lineRule="auto"/>
        <w:rPr>
          <w:rFonts w:ascii="Times New Roman" w:eastAsia="Times New Roman" w:hAnsi="Times New Roman" w:cs="Times New Roman"/>
          <w:b/>
          <w:sz w:val="28"/>
          <w:szCs w:val="28"/>
          <w:lang w:eastAsia="en-GB"/>
        </w:rPr>
      </w:pPr>
      <w:r w:rsidRPr="004F7EAC">
        <w:rPr>
          <w:rFonts w:ascii="Times New Roman" w:eastAsia="Times New Roman" w:hAnsi="Times New Roman" w:cs="Times New Roman"/>
          <w:b/>
          <w:sz w:val="28"/>
          <w:szCs w:val="28"/>
          <w:lang w:eastAsia="en-GB"/>
        </w:rPr>
        <w:t xml:space="preserve">                                                                                                        </w:t>
      </w:r>
    </w:p>
    <w:p w14:paraId="78B0480E"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r w:rsidRPr="004F7EAC">
        <w:rPr>
          <w:rFonts w:ascii="Times New Roman" w:eastAsia="Times New Roman" w:hAnsi="Times New Roman" w:cs="Times New Roman"/>
          <w:b/>
          <w:i/>
          <w:sz w:val="28"/>
          <w:szCs w:val="28"/>
          <w:lang w:eastAsia="en-GB"/>
        </w:rPr>
        <w:t>Cosmetic Transformations</w:t>
      </w:r>
    </w:p>
    <w:p w14:paraId="1DC93B39"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r w:rsidRPr="004F7EAC">
        <w:rPr>
          <w:rFonts w:ascii="Times New Roman" w:eastAsia="Times New Roman" w:hAnsi="Times New Roman" w:cs="Times New Roman"/>
          <w:b/>
          <w:i/>
          <w:sz w:val="28"/>
          <w:szCs w:val="28"/>
          <w:lang w:eastAsia="en-GB"/>
        </w:rPr>
        <w:t>Unit 2</w:t>
      </w:r>
    </w:p>
    <w:p w14:paraId="4BF1B02E"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r w:rsidRPr="004F7EAC">
        <w:rPr>
          <w:rFonts w:ascii="Times New Roman" w:eastAsia="Times New Roman" w:hAnsi="Times New Roman" w:cs="Times New Roman"/>
          <w:b/>
          <w:i/>
          <w:sz w:val="28"/>
          <w:szCs w:val="28"/>
          <w:lang w:eastAsia="en-GB"/>
        </w:rPr>
        <w:t>SA1 Waterfront</w:t>
      </w:r>
    </w:p>
    <w:p w14:paraId="1200B093"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r w:rsidRPr="004F7EAC">
        <w:rPr>
          <w:rFonts w:ascii="Times New Roman" w:eastAsia="Times New Roman" w:hAnsi="Times New Roman" w:cs="Times New Roman"/>
          <w:b/>
          <w:i/>
          <w:sz w:val="28"/>
          <w:szCs w:val="28"/>
          <w:lang w:eastAsia="en-GB"/>
        </w:rPr>
        <w:t>Swansea</w:t>
      </w:r>
    </w:p>
    <w:p w14:paraId="3F82C567"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r w:rsidRPr="004F7EAC">
        <w:rPr>
          <w:rFonts w:ascii="Times New Roman" w:eastAsia="Times New Roman" w:hAnsi="Times New Roman" w:cs="Times New Roman"/>
          <w:b/>
          <w:i/>
          <w:sz w:val="28"/>
          <w:szCs w:val="28"/>
          <w:lang w:eastAsia="en-GB"/>
        </w:rPr>
        <w:t>SA1 2TD</w:t>
      </w:r>
    </w:p>
    <w:p w14:paraId="16DBDDA2"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r w:rsidRPr="004F7EAC">
        <w:rPr>
          <w:rFonts w:ascii="Times New Roman" w:eastAsia="Times New Roman" w:hAnsi="Times New Roman" w:cs="Times New Roman"/>
          <w:b/>
          <w:i/>
          <w:sz w:val="28"/>
          <w:szCs w:val="28"/>
          <w:lang w:eastAsia="en-GB"/>
        </w:rPr>
        <w:lastRenderedPageBreak/>
        <w:t>Tel: 01792 234567</w:t>
      </w:r>
    </w:p>
    <w:p w14:paraId="0BD241D5"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proofErr w:type="gramStart"/>
      <w:r w:rsidRPr="004F7EAC">
        <w:rPr>
          <w:rFonts w:ascii="Times New Roman" w:eastAsia="Times New Roman" w:hAnsi="Times New Roman" w:cs="Times New Roman"/>
          <w:b/>
          <w:i/>
          <w:sz w:val="28"/>
          <w:szCs w:val="28"/>
          <w:lang w:eastAsia="en-GB"/>
        </w:rPr>
        <w:t>Email:john@cosmetictransformations.co.uk</w:t>
      </w:r>
      <w:proofErr w:type="gramEnd"/>
    </w:p>
    <w:p w14:paraId="1C3441C7"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p>
    <w:p w14:paraId="1BCC2804"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r w:rsidRPr="004F7EAC">
        <w:rPr>
          <w:rFonts w:ascii="Times New Roman" w:eastAsia="Times New Roman" w:hAnsi="Times New Roman" w:cs="Times New Roman"/>
          <w:b/>
          <w:i/>
          <w:sz w:val="28"/>
          <w:szCs w:val="28"/>
          <w:lang w:eastAsia="en-GB"/>
        </w:rPr>
        <w:t>(Partners: John Wells, Rhian Thomas, Sion Williams,</w:t>
      </w:r>
    </w:p>
    <w:p w14:paraId="0227E831"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r w:rsidRPr="004F7EAC">
        <w:rPr>
          <w:rFonts w:ascii="Times New Roman" w:eastAsia="Times New Roman" w:hAnsi="Times New Roman" w:cs="Times New Roman"/>
          <w:b/>
          <w:i/>
          <w:sz w:val="28"/>
          <w:szCs w:val="28"/>
          <w:lang w:eastAsia="en-GB"/>
        </w:rPr>
        <w:t>Dylan Jones)</w:t>
      </w:r>
    </w:p>
    <w:p w14:paraId="50033EE5" w14:textId="77777777" w:rsidR="004F7EAC" w:rsidRPr="004F7EAC" w:rsidRDefault="004F7EAC" w:rsidP="004F7EAC">
      <w:pPr>
        <w:spacing w:after="0" w:line="360" w:lineRule="auto"/>
        <w:jc w:val="center"/>
        <w:rPr>
          <w:rFonts w:ascii="Times New Roman" w:eastAsia="Times New Roman" w:hAnsi="Times New Roman" w:cs="Times New Roman"/>
          <w:b/>
          <w:i/>
          <w:sz w:val="28"/>
          <w:szCs w:val="28"/>
          <w:lang w:eastAsia="en-GB"/>
        </w:rPr>
      </w:pPr>
    </w:p>
    <w:p w14:paraId="2790BFA5" w14:textId="3AB784F3" w:rsidR="004F7EAC" w:rsidRPr="004F7EAC" w:rsidRDefault="004F7EAC" w:rsidP="004F7EAC">
      <w:pPr>
        <w:spacing w:after="0"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sz w:val="28"/>
          <w:szCs w:val="28"/>
          <w:lang w:eastAsia="en-GB"/>
        </w:rPr>
        <w:t xml:space="preserve">Outstanding account in terms of liability based on past and present partners refers to the amount owed by partners regarding debt which charges interest. Past and present partners </w:t>
      </w:r>
      <w:r w:rsidR="003B7113" w:rsidRPr="004F7EAC">
        <w:rPr>
          <w:rFonts w:ascii="Times New Roman" w:eastAsia="Times New Roman" w:hAnsi="Times New Roman" w:cs="Times New Roman"/>
          <w:sz w:val="28"/>
          <w:szCs w:val="28"/>
          <w:lang w:eastAsia="en-GB"/>
        </w:rPr>
        <w:t>play</w:t>
      </w:r>
      <w:r w:rsidRPr="004F7EAC">
        <w:rPr>
          <w:rFonts w:ascii="Times New Roman" w:eastAsia="Times New Roman" w:hAnsi="Times New Roman" w:cs="Times New Roman"/>
          <w:sz w:val="28"/>
          <w:szCs w:val="28"/>
          <w:lang w:eastAsia="en-GB"/>
        </w:rPr>
        <w:t xml:space="preserve"> the important role in the outstanding account. Referring to the case, four past and present partners are John Wells, Rhian, </w:t>
      </w:r>
      <w:r w:rsidR="003B7113" w:rsidRPr="004F7EAC">
        <w:rPr>
          <w:rFonts w:ascii="Times New Roman" w:eastAsia="Times New Roman" w:hAnsi="Times New Roman" w:cs="Times New Roman"/>
          <w:sz w:val="28"/>
          <w:szCs w:val="28"/>
          <w:lang w:eastAsia="en-GB"/>
        </w:rPr>
        <w:t>Dylan,</w:t>
      </w:r>
      <w:r w:rsidRPr="004F7EAC">
        <w:rPr>
          <w:rFonts w:ascii="Times New Roman" w:eastAsia="Times New Roman" w:hAnsi="Times New Roman" w:cs="Times New Roman"/>
          <w:sz w:val="28"/>
          <w:szCs w:val="28"/>
          <w:lang w:eastAsia="en-GB"/>
        </w:rPr>
        <w:t xml:space="preserve"> and Sion. </w:t>
      </w:r>
      <w:r w:rsidR="003B7113" w:rsidRPr="004F7EAC">
        <w:rPr>
          <w:rFonts w:ascii="Times New Roman" w:eastAsia="Times New Roman" w:hAnsi="Times New Roman" w:cs="Times New Roman"/>
          <w:sz w:val="28"/>
          <w:szCs w:val="28"/>
          <w:lang w:eastAsia="en-GB"/>
        </w:rPr>
        <w:t>Since</w:t>
      </w:r>
      <w:r w:rsidR="003B7113">
        <w:rPr>
          <w:rFonts w:ascii="Times New Roman" w:eastAsia="Times New Roman" w:hAnsi="Times New Roman" w:cs="Times New Roman"/>
          <w:sz w:val="28"/>
          <w:szCs w:val="28"/>
          <w:lang w:eastAsia="en-GB"/>
        </w:rPr>
        <w:t xml:space="preserve">, </w:t>
      </w:r>
      <w:r w:rsidRPr="004F7EAC">
        <w:rPr>
          <w:rFonts w:ascii="Times New Roman" w:eastAsia="Times New Roman" w:hAnsi="Times New Roman" w:cs="Times New Roman"/>
          <w:sz w:val="28"/>
          <w:szCs w:val="28"/>
          <w:lang w:eastAsia="en-GB"/>
        </w:rPr>
        <w:t xml:space="preserve">John explained the partnership recently has outstanding account that is still to be paid that was entered into from Rhian based on the partnership notepaper. For this, liability can be termed as general or limited partnership liability. General partnership refers to the most common type of business cooperation based on the outstanding account. It does not require the business entity of past and present partners. Generally, </w:t>
      </w:r>
      <w:r w:rsidR="003B7113" w:rsidRPr="004F7EAC">
        <w:rPr>
          <w:rFonts w:ascii="Times New Roman" w:eastAsia="Times New Roman" w:hAnsi="Times New Roman" w:cs="Times New Roman"/>
          <w:sz w:val="28"/>
          <w:szCs w:val="28"/>
          <w:lang w:eastAsia="en-GB"/>
        </w:rPr>
        <w:t>present,</w:t>
      </w:r>
      <w:r w:rsidRPr="004F7EAC">
        <w:rPr>
          <w:rFonts w:ascii="Times New Roman" w:eastAsia="Times New Roman" w:hAnsi="Times New Roman" w:cs="Times New Roman"/>
          <w:sz w:val="28"/>
          <w:szCs w:val="28"/>
          <w:lang w:eastAsia="en-GB"/>
        </w:rPr>
        <w:t xml:space="preserve"> and past partners regrading outstanding account can immediately produce the partnership after announcing the agreement of partnership of any sort of business. Meanwhile, the profit of a company and ownership are shared among the other past partners involved in the business.  Thus, the present and past partners set various liabilities that are based on their personal obligations and responsibilities. Implementing partnership of general and limited liability partnership can be advised to John for transforming the cosmetic dentistry business relying on the partner Dylan Jones and Rhian Thomas. </w:t>
      </w:r>
    </w:p>
    <w:p w14:paraId="7714EF5C" w14:textId="77777777" w:rsidR="004F7EAC" w:rsidRPr="004F7EAC" w:rsidRDefault="004F7EAC" w:rsidP="004F7EAC">
      <w:pPr>
        <w:spacing w:after="0" w:line="360" w:lineRule="auto"/>
        <w:jc w:val="both"/>
        <w:rPr>
          <w:rFonts w:ascii="Times New Roman" w:eastAsia="Times New Roman" w:hAnsi="Times New Roman" w:cs="Times New Roman"/>
          <w:sz w:val="28"/>
          <w:szCs w:val="28"/>
          <w:lang w:eastAsia="en-GB"/>
        </w:rPr>
      </w:pPr>
    </w:p>
    <w:p w14:paraId="792F9521" w14:textId="03238846" w:rsidR="004F7EAC" w:rsidRPr="004F7EAC" w:rsidRDefault="004F7EAC" w:rsidP="004F7EAC">
      <w:pPr>
        <w:spacing w:after="0"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sz w:val="28"/>
          <w:szCs w:val="28"/>
          <w:lang w:eastAsia="en-GB"/>
        </w:rPr>
        <w:t xml:space="preserve">The liability based on past and present partners is unlimited. But in the case of John Wells, the partnership remains up to certain time if the cosmetic transformations that is cosmetic dentistry business is limited to a capital extent. In the matter of partnership based on the present and past partnership regarding </w:t>
      </w:r>
      <w:r w:rsidRPr="004F7EAC">
        <w:rPr>
          <w:rFonts w:ascii="Times New Roman" w:eastAsia="Times New Roman" w:hAnsi="Times New Roman" w:cs="Times New Roman"/>
          <w:sz w:val="28"/>
          <w:szCs w:val="28"/>
          <w:lang w:eastAsia="en-GB"/>
        </w:rPr>
        <w:lastRenderedPageBreak/>
        <w:t xml:space="preserve">cosmetic transformations of dentistry business, general and limited liability partnership can be the perfect term for the business to be carried out in outstanding account. On the other hand, the appropriate precise statutory authorities for John’s advice </w:t>
      </w:r>
      <w:proofErr w:type="gramStart"/>
      <w:r w:rsidRPr="004F7EAC">
        <w:rPr>
          <w:rFonts w:ascii="Times New Roman" w:eastAsia="Times New Roman" w:hAnsi="Times New Roman" w:cs="Times New Roman"/>
          <w:sz w:val="28"/>
          <w:szCs w:val="28"/>
          <w:lang w:eastAsia="en-GB"/>
        </w:rPr>
        <w:t>is</w:t>
      </w:r>
      <w:proofErr w:type="gramEnd"/>
      <w:r w:rsidRPr="004F7EAC">
        <w:rPr>
          <w:rFonts w:ascii="Times New Roman" w:eastAsia="Times New Roman" w:hAnsi="Times New Roman" w:cs="Times New Roman"/>
          <w:sz w:val="28"/>
          <w:szCs w:val="28"/>
          <w:lang w:eastAsia="en-GB"/>
        </w:rPr>
        <w:t xml:space="preserve"> the statutory liability which is the legal term where some individual can be held for the responsible and specific action based on the relevant law and interpretation. From this, the partnership made by John with Rhian and Dylan based on the general and limited liability partnership can rely on the liabilities of statutory with the respect of the outstanding account. Statutory liability in terms of outstanding account is the legal term where the past and present partners is held responsible for the omission and specific action based on the relevant law including the interpretation. Precise of statutory liability is the generic term which can be applied by the partners to conduct the business of cosmetic dentistry including financial term. Therefore, statutory liability can be </w:t>
      </w:r>
      <w:r w:rsidR="003B7113" w:rsidRPr="004F7EAC">
        <w:rPr>
          <w:rFonts w:ascii="Times New Roman" w:eastAsia="Times New Roman" w:hAnsi="Times New Roman" w:cs="Times New Roman"/>
          <w:sz w:val="28"/>
          <w:szCs w:val="28"/>
          <w:lang w:eastAsia="en-GB"/>
        </w:rPr>
        <w:t>recommended</w:t>
      </w:r>
      <w:r w:rsidRPr="004F7EAC">
        <w:rPr>
          <w:rFonts w:ascii="Times New Roman" w:eastAsia="Times New Roman" w:hAnsi="Times New Roman" w:cs="Times New Roman"/>
          <w:sz w:val="28"/>
          <w:szCs w:val="28"/>
          <w:lang w:eastAsia="en-GB"/>
        </w:rPr>
        <w:t xml:space="preserve"> to John to appeal to transactions of real estate, obligation of stockholder and behaviour of the member involved in partnership. </w:t>
      </w:r>
    </w:p>
    <w:p w14:paraId="317904CE" w14:textId="77777777" w:rsidR="004F7EAC" w:rsidRPr="004F7EAC" w:rsidRDefault="004F7EAC" w:rsidP="004F7EAC">
      <w:pPr>
        <w:spacing w:after="0" w:line="360" w:lineRule="auto"/>
        <w:jc w:val="both"/>
        <w:rPr>
          <w:rFonts w:ascii="Times New Roman" w:eastAsia="Times New Roman" w:hAnsi="Times New Roman" w:cs="Times New Roman"/>
          <w:b/>
          <w:sz w:val="28"/>
          <w:szCs w:val="28"/>
          <w:lang w:eastAsia="en-GB"/>
        </w:rPr>
      </w:pPr>
      <w:r w:rsidRPr="004F7EAC">
        <w:rPr>
          <w:rFonts w:ascii="Times New Roman" w:eastAsia="Times New Roman" w:hAnsi="Times New Roman" w:cs="Times New Roman"/>
          <w:b/>
          <w:sz w:val="28"/>
          <w:szCs w:val="28"/>
          <w:lang w:eastAsia="en-GB"/>
        </w:rPr>
        <w:t xml:space="preserve">                                                                          </w:t>
      </w:r>
    </w:p>
    <w:p w14:paraId="0ABA2962" w14:textId="77777777" w:rsidR="004F7EAC" w:rsidRPr="004F7EAC" w:rsidRDefault="004F7EAC" w:rsidP="004F7EAC">
      <w:pPr>
        <w:spacing w:after="0" w:line="360" w:lineRule="auto"/>
        <w:rPr>
          <w:rFonts w:ascii="Times New Roman" w:eastAsia="Times New Roman" w:hAnsi="Times New Roman" w:cs="Times New Roman"/>
          <w:b/>
          <w:sz w:val="28"/>
          <w:szCs w:val="28"/>
          <w:lang w:eastAsia="en-GB"/>
        </w:rPr>
      </w:pPr>
    </w:p>
    <w:p w14:paraId="22D24036" w14:textId="77777777" w:rsidR="004F7EAC" w:rsidRPr="004F7EAC" w:rsidRDefault="004F7EAC" w:rsidP="004F7EAC">
      <w:pPr>
        <w:spacing w:after="0" w:line="360" w:lineRule="auto"/>
        <w:rPr>
          <w:rFonts w:ascii="Times New Roman" w:eastAsia="Times New Roman" w:hAnsi="Times New Roman" w:cs="Times New Roman"/>
          <w:b/>
          <w:sz w:val="28"/>
          <w:szCs w:val="28"/>
          <w:lang w:eastAsia="en-GB"/>
        </w:rPr>
      </w:pPr>
    </w:p>
    <w:p w14:paraId="76F62683" w14:textId="77777777" w:rsidR="004F7EAC" w:rsidRPr="004F7EAC" w:rsidRDefault="004F7EAC" w:rsidP="004F7EAC">
      <w:pPr>
        <w:spacing w:line="360" w:lineRule="auto"/>
        <w:jc w:val="both"/>
        <w:rPr>
          <w:rFonts w:ascii="Times New Roman" w:eastAsia="Times New Roman" w:hAnsi="Times New Roman" w:cs="Times New Roman"/>
          <w:sz w:val="28"/>
          <w:szCs w:val="28"/>
          <w:lang w:eastAsia="en-GB"/>
        </w:rPr>
      </w:pPr>
    </w:p>
    <w:p w14:paraId="5C307A0E" w14:textId="77777777" w:rsidR="004F7EAC" w:rsidRPr="004F7EAC" w:rsidRDefault="004F7EAC" w:rsidP="004F7EAC">
      <w:pPr>
        <w:spacing w:line="360" w:lineRule="auto"/>
        <w:jc w:val="both"/>
        <w:rPr>
          <w:rFonts w:ascii="Times New Roman" w:eastAsia="Times New Roman" w:hAnsi="Times New Roman" w:cs="Times New Roman"/>
          <w:sz w:val="28"/>
          <w:szCs w:val="28"/>
          <w:lang w:eastAsia="en-GB"/>
        </w:rPr>
      </w:pPr>
    </w:p>
    <w:p w14:paraId="4AC75EB3" w14:textId="77777777" w:rsidR="004F7EAC" w:rsidRPr="004F7EAC" w:rsidRDefault="004F7EAC" w:rsidP="004F7EAC">
      <w:pPr>
        <w:spacing w:line="360" w:lineRule="auto"/>
        <w:jc w:val="both"/>
        <w:rPr>
          <w:rFonts w:ascii="Times New Roman" w:eastAsia="Times New Roman" w:hAnsi="Times New Roman" w:cs="Times New Roman"/>
          <w:sz w:val="28"/>
          <w:szCs w:val="28"/>
          <w:lang w:eastAsia="en-GB"/>
        </w:rPr>
      </w:pPr>
    </w:p>
    <w:p w14:paraId="5D88DD48" w14:textId="6B29F82A" w:rsidR="004F7EAC" w:rsidRDefault="004F7EAC" w:rsidP="004F7EAC">
      <w:pPr>
        <w:spacing w:line="360" w:lineRule="auto"/>
        <w:jc w:val="both"/>
        <w:rPr>
          <w:rFonts w:ascii="Times New Roman" w:eastAsia="Times New Roman" w:hAnsi="Times New Roman" w:cs="Times New Roman"/>
          <w:sz w:val="28"/>
          <w:szCs w:val="28"/>
          <w:lang w:eastAsia="en-GB"/>
        </w:rPr>
      </w:pPr>
    </w:p>
    <w:p w14:paraId="442261BD" w14:textId="760C7197" w:rsidR="00353086" w:rsidRDefault="00353086" w:rsidP="004F7EAC">
      <w:pPr>
        <w:spacing w:line="360" w:lineRule="auto"/>
        <w:jc w:val="both"/>
        <w:rPr>
          <w:rFonts w:ascii="Times New Roman" w:eastAsia="Times New Roman" w:hAnsi="Times New Roman" w:cs="Times New Roman"/>
          <w:sz w:val="28"/>
          <w:szCs w:val="28"/>
          <w:lang w:eastAsia="en-GB"/>
        </w:rPr>
      </w:pPr>
    </w:p>
    <w:p w14:paraId="566E9734" w14:textId="6BAB8EB7" w:rsidR="00353086" w:rsidRDefault="00353086" w:rsidP="004F7EAC">
      <w:pPr>
        <w:spacing w:line="360" w:lineRule="auto"/>
        <w:jc w:val="both"/>
        <w:rPr>
          <w:rFonts w:ascii="Times New Roman" w:eastAsia="Times New Roman" w:hAnsi="Times New Roman" w:cs="Times New Roman"/>
          <w:sz w:val="28"/>
          <w:szCs w:val="28"/>
          <w:lang w:eastAsia="en-GB"/>
        </w:rPr>
      </w:pPr>
    </w:p>
    <w:p w14:paraId="2F8EE0BE" w14:textId="17509FFC" w:rsidR="00353086" w:rsidRDefault="00353086" w:rsidP="004F7EAC">
      <w:pPr>
        <w:spacing w:line="360" w:lineRule="auto"/>
        <w:jc w:val="both"/>
        <w:rPr>
          <w:rFonts w:ascii="Times New Roman" w:eastAsia="Times New Roman" w:hAnsi="Times New Roman" w:cs="Times New Roman"/>
          <w:sz w:val="28"/>
          <w:szCs w:val="28"/>
          <w:lang w:eastAsia="en-GB"/>
        </w:rPr>
      </w:pPr>
    </w:p>
    <w:p w14:paraId="0B163A8D" w14:textId="77777777" w:rsidR="00353086" w:rsidRPr="004F7EAC" w:rsidRDefault="00353086" w:rsidP="004F7EAC">
      <w:pPr>
        <w:spacing w:line="360" w:lineRule="auto"/>
        <w:jc w:val="both"/>
        <w:rPr>
          <w:rFonts w:ascii="Times New Roman" w:eastAsia="Times New Roman" w:hAnsi="Times New Roman" w:cs="Times New Roman"/>
          <w:sz w:val="28"/>
          <w:szCs w:val="28"/>
          <w:lang w:eastAsia="en-GB"/>
        </w:rPr>
      </w:pPr>
    </w:p>
    <w:p w14:paraId="669DEE58" w14:textId="49265EBA" w:rsidR="004F7EAC" w:rsidRDefault="004F7EAC" w:rsidP="00353086">
      <w:pPr>
        <w:pStyle w:val="Heading1"/>
        <w:jc w:val="center"/>
        <w:rPr>
          <w:rFonts w:eastAsia="Times New Roman" w:cs="Times New Roman"/>
          <w:sz w:val="28"/>
          <w:szCs w:val="28"/>
          <w:lang w:eastAsia="en-GB"/>
        </w:rPr>
      </w:pPr>
      <w:r w:rsidRPr="004F7EAC">
        <w:rPr>
          <w:rFonts w:eastAsia="Times New Roman" w:cs="Times New Roman"/>
          <w:sz w:val="28"/>
          <w:szCs w:val="28"/>
          <w:lang w:eastAsia="en-GB"/>
        </w:rPr>
        <w:lastRenderedPageBreak/>
        <w:t>Task 2</w:t>
      </w:r>
    </w:p>
    <w:p w14:paraId="600CDEF5" w14:textId="02F77AAD" w:rsidR="00353086" w:rsidRPr="00353086" w:rsidRDefault="00353086" w:rsidP="00353086">
      <w:pPr>
        <w:spacing w:line="360" w:lineRule="auto"/>
        <w:jc w:val="both"/>
        <w:rPr>
          <w:rFonts w:ascii="Times New Roman" w:eastAsia="Times New Roman" w:hAnsi="Times New Roman" w:cs="Times New Roman"/>
          <w:b/>
          <w:sz w:val="28"/>
          <w:szCs w:val="28"/>
          <w:lang w:val="en-US" w:eastAsia="en-GB"/>
        </w:rPr>
      </w:pPr>
      <w:r w:rsidRPr="004F7EAC">
        <w:rPr>
          <w:rFonts w:ascii="Times New Roman" w:eastAsia="Times New Roman" w:hAnsi="Times New Roman" w:cs="Times New Roman"/>
          <w:b/>
          <w:sz w:val="28"/>
          <w:szCs w:val="28"/>
          <w:lang w:val="en-US" w:eastAsia="en-GB"/>
        </w:rPr>
        <w:t xml:space="preserve">Question </w:t>
      </w:r>
      <w:r>
        <w:rPr>
          <w:rFonts w:ascii="Times New Roman" w:eastAsia="Times New Roman" w:hAnsi="Times New Roman" w:cs="Times New Roman"/>
          <w:b/>
          <w:sz w:val="28"/>
          <w:szCs w:val="28"/>
          <w:lang w:val="en-US" w:eastAsia="en-GB"/>
        </w:rPr>
        <w:t>2</w:t>
      </w:r>
    </w:p>
    <w:p w14:paraId="53CD81FB" w14:textId="77777777" w:rsidR="004F7EAC" w:rsidRPr="004F7EAC" w:rsidRDefault="004F7EAC" w:rsidP="004F7EAC">
      <w:pPr>
        <w:spacing w:line="360" w:lineRule="auto"/>
        <w:jc w:val="both"/>
        <w:rPr>
          <w:rFonts w:ascii="Times New Roman" w:eastAsia="Times New Roman" w:hAnsi="Times New Roman" w:cs="Times New Roman"/>
          <w:b/>
          <w:sz w:val="28"/>
          <w:szCs w:val="28"/>
          <w:lang w:eastAsia="en-GB"/>
        </w:rPr>
      </w:pPr>
      <w:r w:rsidRPr="004F7EAC">
        <w:rPr>
          <w:rFonts w:ascii="Times New Roman" w:eastAsia="Times New Roman" w:hAnsi="Times New Roman" w:cs="Times New Roman"/>
          <w:b/>
          <w:sz w:val="28"/>
          <w:szCs w:val="28"/>
          <w:lang w:eastAsia="en-GB"/>
        </w:rPr>
        <w:t>a.</w:t>
      </w:r>
    </w:p>
    <w:p w14:paraId="0E005620" w14:textId="199A8232" w:rsidR="004F7EAC" w:rsidRPr="004F7EAC" w:rsidRDefault="004F7EAC" w:rsidP="004F7EAC">
      <w:pPr>
        <w:spacing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sz w:val="28"/>
          <w:szCs w:val="28"/>
          <w:lang w:eastAsia="en-GB"/>
        </w:rPr>
        <w:t xml:space="preserve">Statutory authority refers to the duties and powers that is assigned to the agency or government official from the law passed by the state legislature. Sumer and Ranjit according to the case of business partnership as the general ‘traders’ through the premises on the SAL development in Swansea. However, statutory authorities can be precise towards the business partnership of Ranjit and Sumera. Identifying potential legal problems relevant to the selection of the name is facing law that is not adopted to start the business. The business partnership might know the legal complications to handle the business. In order to have the selection of the name by the agreement of both partner, partnerships must be ready for any sort of legal circumstances. The partnership should be ready to face the potential legal problems. The potential legal problems in relation to the selection of the name is sharing capital, shared liability, operating </w:t>
      </w:r>
      <w:r w:rsidR="003B7113" w:rsidRPr="004F7EAC">
        <w:rPr>
          <w:rFonts w:ascii="Times New Roman" w:eastAsia="Times New Roman" w:hAnsi="Times New Roman" w:cs="Times New Roman"/>
          <w:sz w:val="28"/>
          <w:szCs w:val="28"/>
          <w:lang w:eastAsia="en-GB"/>
        </w:rPr>
        <w:t>agreement,</w:t>
      </w:r>
      <w:r w:rsidRPr="004F7EAC">
        <w:rPr>
          <w:rFonts w:ascii="Times New Roman" w:eastAsia="Times New Roman" w:hAnsi="Times New Roman" w:cs="Times New Roman"/>
          <w:sz w:val="28"/>
          <w:szCs w:val="28"/>
          <w:lang w:eastAsia="en-GB"/>
        </w:rPr>
        <w:t xml:space="preserve"> and legal assistance. </w:t>
      </w:r>
    </w:p>
    <w:p w14:paraId="3DF4B83B" w14:textId="77777777" w:rsidR="004F7EAC" w:rsidRPr="004F7EAC" w:rsidRDefault="004F7EAC" w:rsidP="004F7EAC">
      <w:pPr>
        <w:spacing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sz w:val="28"/>
          <w:szCs w:val="28"/>
          <w:lang w:eastAsia="en-GB"/>
        </w:rPr>
        <w:t xml:space="preserve">The appropriate statutory authority is the legislation related to business partnership that can overcome the potential legal problems in relation to the selection of business in ‘Swansea Trading Cooperative’ is based on the partnership Act 189 of the UK. This act is based on the partnership which concerns the procedure where the partnerships are governed or formed inside the world of business. Talking about the potential legal problems, partnerships is also one of the potential legal problems that are relatively easy to allow and establish the benefits of income for the individual partners. Company in the UK normally benefit through the partners with the complementary skills. Ranjit and Sumera might come with the potential problems that can be solved relying on the Partnership Act 1989. The liability partner in the business is hard to find where </w:t>
      </w:r>
      <w:r w:rsidRPr="004F7EAC">
        <w:rPr>
          <w:rFonts w:ascii="Times New Roman" w:eastAsia="Times New Roman" w:hAnsi="Times New Roman" w:cs="Times New Roman"/>
          <w:sz w:val="28"/>
          <w:szCs w:val="28"/>
          <w:lang w:eastAsia="en-GB"/>
        </w:rPr>
        <w:lastRenderedPageBreak/>
        <w:t xml:space="preserve">only general partners are liable to the action of other partners for running the business in smooth way. </w:t>
      </w:r>
    </w:p>
    <w:p w14:paraId="704C8885" w14:textId="77777777" w:rsidR="004F7EAC" w:rsidRPr="00984007" w:rsidRDefault="004F7EAC" w:rsidP="004F7EAC">
      <w:pPr>
        <w:spacing w:line="360" w:lineRule="auto"/>
        <w:jc w:val="both"/>
        <w:rPr>
          <w:rFonts w:ascii="Times New Roman" w:eastAsia="Times New Roman" w:hAnsi="Times New Roman" w:cs="Times New Roman"/>
          <w:b/>
          <w:bCs/>
          <w:sz w:val="28"/>
          <w:szCs w:val="28"/>
          <w:lang w:eastAsia="en-GB"/>
        </w:rPr>
      </w:pPr>
      <w:r w:rsidRPr="00984007">
        <w:rPr>
          <w:rFonts w:ascii="Times New Roman" w:eastAsia="Times New Roman" w:hAnsi="Times New Roman" w:cs="Times New Roman"/>
          <w:b/>
          <w:bCs/>
          <w:sz w:val="28"/>
          <w:szCs w:val="28"/>
          <w:lang w:eastAsia="en-GB"/>
        </w:rPr>
        <w:t>b.</w:t>
      </w:r>
    </w:p>
    <w:p w14:paraId="431E5565" w14:textId="3E3836AC" w:rsidR="004F7EAC" w:rsidRPr="004F7EAC" w:rsidRDefault="004F7EAC" w:rsidP="004F7EAC">
      <w:pPr>
        <w:spacing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sz w:val="28"/>
          <w:szCs w:val="28"/>
          <w:lang w:eastAsia="en-GB"/>
        </w:rPr>
        <w:t xml:space="preserve">The legal requirements in relation to disclosure of the name with the potential effect relies on the legal status. The business partnership is not based on the legal status. From this, Ranjit and Sumera are not able to keep the name of their business unless the statutory authorities </w:t>
      </w:r>
      <w:r w:rsidR="003B7113" w:rsidRPr="004F7EAC">
        <w:rPr>
          <w:rFonts w:ascii="Times New Roman" w:eastAsia="Times New Roman" w:hAnsi="Times New Roman" w:cs="Times New Roman"/>
          <w:sz w:val="28"/>
          <w:szCs w:val="28"/>
          <w:lang w:eastAsia="en-GB"/>
        </w:rPr>
        <w:t>are</w:t>
      </w:r>
      <w:r w:rsidRPr="004F7EAC">
        <w:rPr>
          <w:rFonts w:ascii="Times New Roman" w:eastAsia="Times New Roman" w:hAnsi="Times New Roman" w:cs="Times New Roman"/>
          <w:sz w:val="28"/>
          <w:szCs w:val="28"/>
          <w:lang w:eastAsia="en-GB"/>
        </w:rPr>
        <w:t xml:space="preserve"> included in the business. The business partnership </w:t>
      </w:r>
      <w:r w:rsidR="003B7113" w:rsidRPr="004F7EAC">
        <w:rPr>
          <w:rFonts w:ascii="Times New Roman" w:eastAsia="Times New Roman" w:hAnsi="Times New Roman" w:cs="Times New Roman"/>
          <w:sz w:val="28"/>
          <w:szCs w:val="28"/>
          <w:lang w:eastAsia="en-GB"/>
        </w:rPr>
        <w:t>is</w:t>
      </w:r>
      <w:r w:rsidRPr="004F7EAC">
        <w:rPr>
          <w:rFonts w:ascii="Times New Roman" w:eastAsia="Times New Roman" w:hAnsi="Times New Roman" w:cs="Times New Roman"/>
          <w:sz w:val="28"/>
          <w:szCs w:val="28"/>
          <w:lang w:eastAsia="en-GB"/>
        </w:rPr>
        <w:t xml:space="preserve"> considered legal or juristic based on the Partnership Act where no any formalities are required to set the partnership or selecting the name for the business. In the partnership, Ranjit and Sumera personally share the responsibility of the business based on the requirement of </w:t>
      </w:r>
      <w:r w:rsidR="00984007" w:rsidRPr="004F7EAC">
        <w:rPr>
          <w:rFonts w:ascii="Times New Roman" w:eastAsia="Times New Roman" w:hAnsi="Times New Roman" w:cs="Times New Roman"/>
          <w:sz w:val="28"/>
          <w:szCs w:val="28"/>
          <w:lang w:eastAsia="en-GB"/>
        </w:rPr>
        <w:t>business. They</w:t>
      </w:r>
      <w:r w:rsidRPr="004F7EAC">
        <w:rPr>
          <w:rFonts w:ascii="Times New Roman" w:eastAsia="Times New Roman" w:hAnsi="Times New Roman" w:cs="Times New Roman"/>
          <w:sz w:val="28"/>
          <w:szCs w:val="28"/>
          <w:lang w:eastAsia="en-GB"/>
        </w:rPr>
        <w:t xml:space="preserve"> share their profits of business set in legal requirements relevant to the disclosure of name eradicating the potential legal problems. In the context of the UK, legal requirements </w:t>
      </w:r>
      <w:r w:rsidR="00984007" w:rsidRPr="004F7EAC">
        <w:rPr>
          <w:rFonts w:ascii="Times New Roman" w:eastAsia="Times New Roman" w:hAnsi="Times New Roman" w:cs="Times New Roman"/>
          <w:sz w:val="28"/>
          <w:szCs w:val="28"/>
          <w:lang w:eastAsia="en-GB"/>
        </w:rPr>
        <w:t>play</w:t>
      </w:r>
      <w:r w:rsidRPr="004F7EAC">
        <w:rPr>
          <w:rFonts w:ascii="Times New Roman" w:eastAsia="Times New Roman" w:hAnsi="Times New Roman" w:cs="Times New Roman"/>
          <w:sz w:val="28"/>
          <w:szCs w:val="28"/>
          <w:lang w:eastAsia="en-GB"/>
        </w:rPr>
        <w:t xml:space="preserve"> the important role in relation to disclosure of the name which is ‘Swansea Trading Co-operative’. </w:t>
      </w:r>
    </w:p>
    <w:p w14:paraId="11781FF8" w14:textId="38D5459B" w:rsidR="004F7EAC" w:rsidRPr="003D0DE5" w:rsidRDefault="004F7EAC" w:rsidP="004F7EAC">
      <w:pPr>
        <w:spacing w:line="360" w:lineRule="auto"/>
        <w:jc w:val="both"/>
        <w:rPr>
          <w:rFonts w:ascii="Times New Roman" w:eastAsia="Times New Roman" w:hAnsi="Times New Roman" w:cs="Times New Roman"/>
          <w:sz w:val="28"/>
          <w:szCs w:val="28"/>
          <w:lang w:eastAsia="en-GB"/>
        </w:rPr>
      </w:pPr>
      <w:r w:rsidRPr="004F7EAC">
        <w:rPr>
          <w:rFonts w:ascii="Times New Roman" w:eastAsia="Times New Roman" w:hAnsi="Times New Roman" w:cs="Times New Roman"/>
          <w:sz w:val="28"/>
          <w:szCs w:val="28"/>
          <w:lang w:eastAsia="en-GB"/>
        </w:rPr>
        <w:t xml:space="preserve">The legal necessities </w:t>
      </w:r>
      <w:r w:rsidR="00984007" w:rsidRPr="004F7EAC">
        <w:rPr>
          <w:rFonts w:ascii="Times New Roman" w:eastAsia="Times New Roman" w:hAnsi="Times New Roman" w:cs="Times New Roman"/>
          <w:sz w:val="28"/>
          <w:szCs w:val="28"/>
          <w:lang w:eastAsia="en-GB"/>
        </w:rPr>
        <w:t>are</w:t>
      </w:r>
      <w:r w:rsidRPr="004F7EAC">
        <w:rPr>
          <w:rFonts w:ascii="Times New Roman" w:eastAsia="Times New Roman" w:hAnsi="Times New Roman" w:cs="Times New Roman"/>
          <w:sz w:val="28"/>
          <w:szCs w:val="28"/>
          <w:lang w:eastAsia="en-GB"/>
        </w:rPr>
        <w:t xml:space="preserve"> based on the legislation created from the parliament of the UK which is primary legislation and secondary legislation. Likewise, common law is also the legal statutory authorities which is derived through the decision of the UK indicated as the major principle for Ranjit and Sumera to comply the name of their business in legal order.  Ranjit and Sumera are the business partners who can run the business and put their business name based on the legal personality, legal </w:t>
      </w:r>
      <w:r w:rsidR="00984007" w:rsidRPr="004F7EAC">
        <w:rPr>
          <w:rFonts w:ascii="Times New Roman" w:eastAsia="Times New Roman" w:hAnsi="Times New Roman" w:cs="Times New Roman"/>
          <w:sz w:val="28"/>
          <w:szCs w:val="28"/>
          <w:lang w:eastAsia="en-GB"/>
        </w:rPr>
        <w:t>formalities,</w:t>
      </w:r>
      <w:r w:rsidRPr="004F7EAC">
        <w:rPr>
          <w:rFonts w:ascii="Times New Roman" w:eastAsia="Times New Roman" w:hAnsi="Times New Roman" w:cs="Times New Roman"/>
          <w:sz w:val="28"/>
          <w:szCs w:val="28"/>
          <w:lang w:eastAsia="en-GB"/>
        </w:rPr>
        <w:t xml:space="preserve"> and legal administration under the UK relationship agreement. The business partnership is the crucial to produce their business name under the eyes of the law and set the proper rules and legislation to start the business in proper way. The proper legal requirement adopted in the business formed by Ranjit and Sumera can keep their business name together with the effect of not complying business name without any legal procedure of business partnerships. </w:t>
      </w:r>
    </w:p>
    <w:p w14:paraId="486F1D6C" w14:textId="77777777" w:rsidR="004F7EAC" w:rsidRPr="004F7EAC" w:rsidRDefault="004F7EAC" w:rsidP="003D0DE5">
      <w:pPr>
        <w:pStyle w:val="Heading1"/>
        <w:jc w:val="center"/>
        <w:rPr>
          <w:rFonts w:eastAsia="Times New Roman" w:cs="Times New Roman"/>
          <w:sz w:val="28"/>
          <w:szCs w:val="28"/>
          <w:lang w:val="en-US" w:eastAsia="en-GB"/>
        </w:rPr>
      </w:pPr>
      <w:r w:rsidRPr="004F7EAC">
        <w:rPr>
          <w:rFonts w:eastAsia="Times New Roman" w:cs="Times New Roman"/>
          <w:sz w:val="28"/>
          <w:szCs w:val="28"/>
          <w:lang w:val="en-US" w:eastAsia="en-GB"/>
        </w:rPr>
        <w:lastRenderedPageBreak/>
        <w:t>Task 3</w:t>
      </w:r>
    </w:p>
    <w:p w14:paraId="69C89824" w14:textId="77777777" w:rsidR="004F7EAC" w:rsidRPr="004F7EAC" w:rsidRDefault="004F7EAC" w:rsidP="004F7EAC">
      <w:pPr>
        <w:spacing w:line="360" w:lineRule="auto"/>
        <w:jc w:val="both"/>
        <w:rPr>
          <w:rFonts w:ascii="Times New Roman" w:eastAsia="Times New Roman" w:hAnsi="Times New Roman" w:cs="Times New Roman"/>
          <w:b/>
          <w:sz w:val="28"/>
          <w:szCs w:val="28"/>
          <w:lang w:val="en-US" w:eastAsia="en-GB"/>
        </w:rPr>
      </w:pPr>
      <w:bookmarkStart w:id="0" w:name="_Hlk94711599"/>
      <w:r w:rsidRPr="004F7EAC">
        <w:rPr>
          <w:rFonts w:ascii="Times New Roman" w:eastAsia="Times New Roman" w:hAnsi="Times New Roman" w:cs="Times New Roman"/>
          <w:b/>
          <w:sz w:val="28"/>
          <w:szCs w:val="28"/>
          <w:lang w:val="en-US" w:eastAsia="en-GB"/>
        </w:rPr>
        <w:t>Question 3</w:t>
      </w:r>
    </w:p>
    <w:bookmarkEnd w:id="0"/>
    <w:p w14:paraId="4F818A19" w14:textId="77777777" w:rsidR="004F7EAC" w:rsidRPr="004F7EAC" w:rsidRDefault="004F7EAC" w:rsidP="004F7EAC">
      <w:pPr>
        <w:spacing w:line="360" w:lineRule="auto"/>
        <w:jc w:val="both"/>
        <w:rPr>
          <w:rFonts w:ascii="Times New Roman" w:eastAsia="Times New Roman" w:hAnsi="Times New Roman" w:cs="Times New Roman"/>
          <w:sz w:val="28"/>
          <w:szCs w:val="28"/>
          <w:lang w:val="en-US" w:eastAsia="en-GB"/>
        </w:rPr>
      </w:pPr>
      <w:r w:rsidRPr="004F7EAC">
        <w:rPr>
          <w:rFonts w:ascii="Times New Roman" w:eastAsia="Times New Roman" w:hAnsi="Times New Roman" w:cs="Times New Roman"/>
          <w:sz w:val="28"/>
          <w:szCs w:val="28"/>
          <w:lang w:val="en-US" w:eastAsia="en-GB"/>
        </w:rPr>
        <w:t>Joseph Adowale has been called for assistance on recent developments at Juice Box Limited, a firm in which he is a stakeholder. The company has a 100-share issued capital, of which Joseph holds 25. Monica Wilde and her wife Jen are the two directors. Monica owns 74 shares, while Jen owns one. The Model Articles of Association serve as the company's articles of association (MAA). Monica has offered the firm £3,000 for some outdated culinary equipment. Joseph would be thrilled with this if it weren't for the fact that he believes Monica should pay £15,000 for it instead of £3,000. Joseph has done some research on the equipment's second-hand value and believes that £15,000 is a conservative estimate. He is dissatisfied with Monica's purchase of the equipment for £3,000. Monica has purportedly claimed that she will drive the sale through at the board and shareholder level, over Joseph's concerns, following intense conversations between these two shareholders on this matter. Monica has also stated that whatever course of action she chooses; Jen will support her.</w:t>
      </w:r>
    </w:p>
    <w:p w14:paraId="379BC5F0" w14:textId="77777777" w:rsidR="004F7EAC" w:rsidRPr="004F7EAC" w:rsidRDefault="004F7EAC" w:rsidP="004F7EAC">
      <w:pPr>
        <w:spacing w:line="360" w:lineRule="auto"/>
        <w:jc w:val="both"/>
        <w:rPr>
          <w:rFonts w:ascii="Times New Roman" w:eastAsia="Times New Roman" w:hAnsi="Times New Roman" w:cs="Times New Roman"/>
          <w:sz w:val="28"/>
          <w:szCs w:val="28"/>
          <w:lang w:val="en-US" w:eastAsia="en-GB"/>
        </w:rPr>
      </w:pPr>
      <w:r w:rsidRPr="004F7EAC">
        <w:rPr>
          <w:rFonts w:ascii="Times New Roman" w:eastAsia="Times New Roman" w:hAnsi="Times New Roman" w:cs="Times New Roman"/>
          <w:sz w:val="28"/>
          <w:szCs w:val="28"/>
          <w:lang w:val="en-US" w:eastAsia="en-GB"/>
        </w:rPr>
        <w:t xml:space="preserve">In comparison to a civil law system, a common law system is less prescriptive. As a result, a government could choose to include citizen protections in a particular law related to the infrastructure project in issue. The legal identity of a business limited by shares is distinct from that of its owners (shareholders). A shareholder's liability for the company's liabilities is normally limited to the amount of unpaid dividends on his or her shares, if any. A corporation limited by shares must have at least one share in its issued share capital. The Companies Act of 2006 (CA 2006) regulates a corporation's share capital. Companies limited by guarantee are typically formed for non-profit purposes. They are founded without share capital and possess some of the same features as a private corporation limited by shares. Only if the business is wound up and a contribution is required to pay its obligations are members accountable to the extent of their guarantees </w:t>
      </w:r>
      <w:r w:rsidRPr="004F7EAC">
        <w:rPr>
          <w:rFonts w:ascii="Times New Roman" w:eastAsia="Times New Roman" w:hAnsi="Times New Roman" w:cs="Times New Roman"/>
          <w:sz w:val="28"/>
          <w:szCs w:val="28"/>
          <w:lang w:val="en-US" w:eastAsia="en-GB"/>
        </w:rPr>
        <w:lastRenderedPageBreak/>
        <w:t xml:space="preserve">(that is, the amount they agree to contribute to the firm's assets, generally a nominal sum). Shareholders normally have the same fundamental rights regardless of whether the company is private or public. The rights and limitations linked to shareholders' shares under the company's articles of incorporation define their rights. Various shareholders may have distinct rights or be subject to numerous limitations, which is often accomplished </w:t>
      </w:r>
      <w:proofErr w:type="gramStart"/>
      <w:r w:rsidRPr="004F7EAC">
        <w:rPr>
          <w:rFonts w:ascii="Times New Roman" w:eastAsia="Times New Roman" w:hAnsi="Times New Roman" w:cs="Times New Roman"/>
          <w:sz w:val="28"/>
          <w:szCs w:val="28"/>
          <w:lang w:val="en-US" w:eastAsia="en-GB"/>
        </w:rPr>
        <w:t>through the use of</w:t>
      </w:r>
      <w:proofErr w:type="gramEnd"/>
      <w:r w:rsidRPr="004F7EAC">
        <w:rPr>
          <w:rFonts w:ascii="Times New Roman" w:eastAsia="Times New Roman" w:hAnsi="Times New Roman" w:cs="Times New Roman"/>
          <w:sz w:val="28"/>
          <w:szCs w:val="28"/>
          <w:lang w:val="en-US" w:eastAsia="en-GB"/>
        </w:rPr>
        <w:t xml:space="preserve"> different share classes in a corporation. In many cases, these rights are stated out in the articles of incorporation. A company's ability to have as many different classes of shares as it wants is unfettered. Joseph has the legal ability to take legal action if he feels others are acting unlawfully. If minorities think their rights are being infringed unfairly, they may initiate a lawsuit.</w:t>
      </w:r>
    </w:p>
    <w:p w14:paraId="6E054E65" w14:textId="11A1EDF4" w:rsidR="004F7EAC" w:rsidRDefault="004F7EAC" w:rsidP="004F7EAC">
      <w:pPr>
        <w:spacing w:line="360" w:lineRule="auto"/>
        <w:jc w:val="both"/>
        <w:rPr>
          <w:rFonts w:ascii="Times New Roman" w:eastAsia="Times New Roman" w:hAnsi="Times New Roman" w:cs="Times New Roman"/>
          <w:sz w:val="28"/>
          <w:szCs w:val="28"/>
          <w:lang w:val="en-US" w:eastAsia="en-GB"/>
        </w:rPr>
      </w:pPr>
    </w:p>
    <w:p w14:paraId="0C327300" w14:textId="56ADF865"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6B1F0DEF" w14:textId="21668276"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74A7AD6C" w14:textId="5FB51027"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40399530" w14:textId="7C1D374A"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07DEFE75" w14:textId="10D489A0"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44B07EAA" w14:textId="41F81ACC"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6628D22F" w14:textId="47143941"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6DE546D5" w14:textId="0FDB3984"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683A323A" w14:textId="1BA5BA88"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3FF1B69E" w14:textId="36F7A29E"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55264B5C" w14:textId="3925D899" w:rsidR="00510456" w:rsidRDefault="00510456" w:rsidP="004F7EAC">
      <w:pPr>
        <w:spacing w:line="360" w:lineRule="auto"/>
        <w:jc w:val="both"/>
        <w:rPr>
          <w:rFonts w:ascii="Times New Roman" w:eastAsia="Times New Roman" w:hAnsi="Times New Roman" w:cs="Times New Roman"/>
          <w:sz w:val="28"/>
          <w:szCs w:val="28"/>
          <w:lang w:val="en-US" w:eastAsia="en-GB"/>
        </w:rPr>
      </w:pPr>
    </w:p>
    <w:p w14:paraId="7BF326B1" w14:textId="77777777" w:rsidR="00510456" w:rsidRPr="004F7EAC" w:rsidRDefault="00510456" w:rsidP="004F7EAC">
      <w:pPr>
        <w:spacing w:line="360" w:lineRule="auto"/>
        <w:jc w:val="both"/>
        <w:rPr>
          <w:rFonts w:ascii="Times New Roman" w:eastAsia="Times New Roman" w:hAnsi="Times New Roman" w:cs="Times New Roman"/>
          <w:sz w:val="28"/>
          <w:szCs w:val="28"/>
          <w:lang w:val="en-US" w:eastAsia="en-GB"/>
        </w:rPr>
      </w:pPr>
    </w:p>
    <w:p w14:paraId="5C9D5A19" w14:textId="77777777" w:rsidR="004F7EAC" w:rsidRPr="004F7EAC" w:rsidRDefault="004F7EAC" w:rsidP="00510456">
      <w:pPr>
        <w:pStyle w:val="Heading1"/>
        <w:jc w:val="center"/>
        <w:rPr>
          <w:rFonts w:eastAsia="Times New Roman" w:cs="Times New Roman"/>
          <w:sz w:val="28"/>
          <w:szCs w:val="28"/>
          <w:lang w:val="en-US" w:eastAsia="en-GB"/>
        </w:rPr>
      </w:pPr>
      <w:r w:rsidRPr="004F7EAC">
        <w:rPr>
          <w:rFonts w:eastAsia="Times New Roman" w:cs="Times New Roman"/>
          <w:sz w:val="28"/>
          <w:szCs w:val="28"/>
          <w:lang w:val="en-US" w:eastAsia="en-GB"/>
        </w:rPr>
        <w:lastRenderedPageBreak/>
        <w:t>Task 4</w:t>
      </w:r>
    </w:p>
    <w:p w14:paraId="1B965005" w14:textId="77777777" w:rsidR="004F7EAC" w:rsidRPr="004F7EAC" w:rsidRDefault="004F7EAC" w:rsidP="004F7EAC">
      <w:pPr>
        <w:spacing w:line="360" w:lineRule="auto"/>
        <w:jc w:val="both"/>
        <w:rPr>
          <w:rFonts w:ascii="Times New Roman" w:eastAsia="Times New Roman" w:hAnsi="Times New Roman" w:cs="Times New Roman"/>
          <w:b/>
          <w:sz w:val="28"/>
          <w:szCs w:val="28"/>
          <w:lang w:val="en-US" w:eastAsia="en-GB"/>
        </w:rPr>
      </w:pPr>
      <w:r w:rsidRPr="004F7EAC">
        <w:rPr>
          <w:rFonts w:ascii="Times New Roman" w:eastAsia="Times New Roman" w:hAnsi="Times New Roman" w:cs="Times New Roman"/>
          <w:b/>
          <w:sz w:val="28"/>
          <w:szCs w:val="28"/>
          <w:lang w:val="en-US" w:eastAsia="en-GB"/>
        </w:rPr>
        <w:t xml:space="preserve">Question 4 </w:t>
      </w:r>
    </w:p>
    <w:p w14:paraId="7088889C" w14:textId="77777777" w:rsidR="004F7EAC" w:rsidRPr="004F7EAC" w:rsidRDefault="004F7EAC" w:rsidP="004F7EAC">
      <w:pPr>
        <w:spacing w:line="360" w:lineRule="auto"/>
        <w:jc w:val="both"/>
        <w:rPr>
          <w:rFonts w:ascii="Times New Roman" w:eastAsia="Times New Roman" w:hAnsi="Times New Roman" w:cs="Times New Roman"/>
          <w:sz w:val="28"/>
          <w:szCs w:val="28"/>
          <w:lang w:val="en-US" w:eastAsia="en-GB"/>
        </w:rPr>
      </w:pPr>
      <w:r w:rsidRPr="004F7EAC">
        <w:rPr>
          <w:rFonts w:ascii="Times New Roman" w:eastAsia="Times New Roman" w:hAnsi="Times New Roman" w:cs="Times New Roman"/>
          <w:sz w:val="28"/>
          <w:szCs w:val="28"/>
          <w:lang w:val="en-US" w:eastAsia="en-GB"/>
        </w:rPr>
        <w:t>Art Supplies Limited, a firm customer, has concluded that in order to acquire a broader consumer base, it would need to invest significantly in new items. To do so, it has secured a £75,000 credit arrangement from Barclays Bank plc. The company will enter into a debenture with the bank, giving the bank a fixed charge on its registered freehold property and a floating charge on the remainder of its assets. A non-collateralized bond or comparable financial instrument is referred to as a debenture. Since they lack safety, debentures depend on the borrower's integrity and standing for backing. Debentures are commonly issued by businesses and governments to raise cash or money. Debentures are also used by businesses for long-term finance. Corporations' debentures, on either hand, are uncontrolled. However, they are fully endorsed by the underpinning company's financial stability and authenticity. These debt securities have a rate of interest attached to them and are required to be reclaimed or returned on a specific date. These pre-arranged debt interest payments are usually made before stock dividends are distributed to investors. Businesses benefit from debentures as they have lower interest rates and longer payback periods than other forms of financial instruments. The cost of borrowing, or even the rate of interest paid by companies to debt holders or shareholders, is set. It's conceivable that the cost of borrowing will be fixed or fluctuating. A floating rate is one which is linked to a standard, such as the 10-year Treasury bond rate, and can fluctuate in reaction to variations in the guideline. The interest rate that investors will get is influenced by the company's credit rating and, eventually, the credit rating of the debenture. The creditworthiness of business and government debt is assessed by credit rating firms.</w:t>
      </w:r>
    </w:p>
    <w:p w14:paraId="40EDBCBC" w14:textId="5274834A" w:rsidR="004F7EAC" w:rsidRPr="004F7EAC" w:rsidRDefault="004F7EAC" w:rsidP="004F7EAC">
      <w:pPr>
        <w:spacing w:line="360" w:lineRule="auto"/>
        <w:jc w:val="both"/>
        <w:rPr>
          <w:rFonts w:ascii="Times New Roman" w:eastAsia="Times New Roman" w:hAnsi="Times New Roman" w:cs="Times New Roman"/>
          <w:sz w:val="28"/>
          <w:szCs w:val="28"/>
          <w:lang w:val="en-US" w:eastAsia="en-GB"/>
        </w:rPr>
      </w:pPr>
      <w:r w:rsidRPr="004F7EAC">
        <w:rPr>
          <w:rFonts w:ascii="Times New Roman" w:eastAsia="Times New Roman" w:hAnsi="Times New Roman" w:cs="Times New Roman"/>
          <w:sz w:val="28"/>
          <w:szCs w:val="28"/>
          <w:lang w:val="en-US" w:eastAsia="en-GB"/>
        </w:rPr>
        <w:t xml:space="preserve">These </w:t>
      </w:r>
      <w:proofErr w:type="spellStart"/>
      <w:r w:rsidRPr="004F7EAC">
        <w:rPr>
          <w:rFonts w:ascii="Times New Roman" w:eastAsia="Times New Roman" w:hAnsi="Times New Roman" w:cs="Times New Roman"/>
          <w:sz w:val="28"/>
          <w:szCs w:val="28"/>
          <w:lang w:val="en-US" w:eastAsia="en-GB"/>
        </w:rPr>
        <w:t>organi</w:t>
      </w:r>
      <w:r w:rsidR="00984007">
        <w:rPr>
          <w:rFonts w:ascii="Times New Roman" w:eastAsia="Times New Roman" w:hAnsi="Times New Roman" w:cs="Times New Roman"/>
          <w:sz w:val="28"/>
          <w:szCs w:val="28"/>
          <w:lang w:val="en-US" w:eastAsia="en-GB"/>
        </w:rPr>
        <w:t>s</w:t>
      </w:r>
      <w:r w:rsidRPr="004F7EAC">
        <w:rPr>
          <w:rFonts w:ascii="Times New Roman" w:eastAsia="Times New Roman" w:hAnsi="Times New Roman" w:cs="Times New Roman"/>
          <w:sz w:val="28"/>
          <w:szCs w:val="28"/>
          <w:lang w:val="en-US" w:eastAsia="en-GB"/>
        </w:rPr>
        <w:t>ations</w:t>
      </w:r>
      <w:proofErr w:type="spellEnd"/>
      <w:r w:rsidRPr="004F7EAC">
        <w:rPr>
          <w:rFonts w:ascii="Times New Roman" w:eastAsia="Times New Roman" w:hAnsi="Times New Roman" w:cs="Times New Roman"/>
          <w:sz w:val="28"/>
          <w:szCs w:val="28"/>
          <w:lang w:val="en-US" w:eastAsia="en-GB"/>
        </w:rPr>
        <w:t xml:space="preserve"> give investors an understanding of the dangers associated with debt investment. As previously stated, the maturity date is especially </w:t>
      </w:r>
      <w:r w:rsidRPr="004F7EAC">
        <w:rPr>
          <w:rFonts w:ascii="Times New Roman" w:eastAsia="Times New Roman" w:hAnsi="Times New Roman" w:cs="Times New Roman"/>
          <w:sz w:val="28"/>
          <w:szCs w:val="28"/>
          <w:lang w:val="en-US" w:eastAsia="en-GB"/>
        </w:rPr>
        <w:lastRenderedPageBreak/>
        <w:t>important for nonconvertible debentures. The company has until this date to repay the holders of the debentures. The corporation has a few alternatives for dealing with the compensation. The most common method is redemption from the capital, which involves the issuer making a one-time payment at the loan's maturity. The payment might also be made through a redemption reserve, in which the corporation pays a certain amount each year until the loan is fully repaid when it matures. A notice of a General Meeting must be sent in writing, by hand or by regular mail, speed post, registered mail, courier, facsimile, e-mail, or any other technical means, at least clear 21 days before the date of the General Meeting. According to Section 101, notice can be given with the permission of at least a majority of the firm's paid-up share capital and 95 percent of the firm's voting power. All Directors, Members, Art Supplies Limited Auditors, Secretarial Auditor, Debenture Trustees, and anyone else who is entitled to notice shall be notified of the General Meeting.</w:t>
      </w:r>
    </w:p>
    <w:p w14:paraId="7B6E6012" w14:textId="77777777" w:rsidR="004F7EAC" w:rsidRPr="004F7EAC" w:rsidRDefault="004F7EAC" w:rsidP="004F7EAC">
      <w:pPr>
        <w:spacing w:line="360" w:lineRule="auto"/>
        <w:jc w:val="both"/>
        <w:rPr>
          <w:rFonts w:ascii="Times New Roman" w:eastAsia="Times New Roman" w:hAnsi="Times New Roman" w:cs="Times New Roman"/>
          <w:sz w:val="28"/>
          <w:szCs w:val="28"/>
          <w:lang w:eastAsia="en-GB"/>
        </w:rPr>
      </w:pPr>
    </w:p>
    <w:p w14:paraId="54688255" w14:textId="77777777" w:rsidR="004F7EAC" w:rsidRPr="004F7EAC" w:rsidRDefault="004F7EAC" w:rsidP="004F7EAC">
      <w:pPr>
        <w:spacing w:line="360" w:lineRule="auto"/>
        <w:jc w:val="both"/>
        <w:rPr>
          <w:rFonts w:ascii="Times New Roman" w:eastAsia="Times New Roman" w:hAnsi="Times New Roman" w:cs="Times New Roman"/>
          <w:sz w:val="28"/>
          <w:szCs w:val="28"/>
          <w:lang w:eastAsia="en-GB"/>
        </w:rPr>
      </w:pPr>
    </w:p>
    <w:p w14:paraId="643E8C16" w14:textId="77777777" w:rsidR="00431635" w:rsidRPr="004F7EAC" w:rsidRDefault="00431635">
      <w:pPr>
        <w:rPr>
          <w:rFonts w:ascii="Times New Roman" w:hAnsi="Times New Roman" w:cs="Times New Roman"/>
          <w:sz w:val="28"/>
          <w:szCs w:val="28"/>
        </w:rPr>
      </w:pPr>
    </w:p>
    <w:sectPr w:rsidR="00431635" w:rsidRPr="004F7EA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C8381" w14:textId="77777777" w:rsidR="005D328F" w:rsidRDefault="005D328F" w:rsidP="008B7674">
      <w:pPr>
        <w:spacing w:after="0" w:line="240" w:lineRule="auto"/>
      </w:pPr>
      <w:r>
        <w:separator/>
      </w:r>
    </w:p>
  </w:endnote>
  <w:endnote w:type="continuationSeparator" w:id="0">
    <w:p w14:paraId="6D83AC07" w14:textId="77777777" w:rsidR="005D328F" w:rsidRDefault="005D328F" w:rsidP="008B7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FB10" w14:textId="11EC3D34" w:rsidR="0069293B" w:rsidRDefault="0069293B">
    <w:pPr>
      <w:pStyle w:val="Footer"/>
    </w:pPr>
    <w:r>
      <w:t>Presented by: MD R Ahmed ST ID 1922561</w:t>
    </w:r>
  </w:p>
  <w:p w14:paraId="1134DBE3" w14:textId="77777777" w:rsidR="008B7674" w:rsidRDefault="008B7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AE399" w14:textId="77777777" w:rsidR="005D328F" w:rsidRDefault="005D328F" w:rsidP="008B7674">
      <w:pPr>
        <w:spacing w:after="0" w:line="240" w:lineRule="auto"/>
      </w:pPr>
      <w:r>
        <w:separator/>
      </w:r>
    </w:p>
  </w:footnote>
  <w:footnote w:type="continuationSeparator" w:id="0">
    <w:p w14:paraId="5AD6A709" w14:textId="77777777" w:rsidR="005D328F" w:rsidRDefault="005D328F" w:rsidP="008B7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87539" w14:textId="401307E7" w:rsidR="008B7674" w:rsidRDefault="008B7674">
    <w:pPr>
      <w:spacing w:line="264" w:lineRule="auto"/>
    </w:pPr>
    <w:r>
      <w:rPr>
        <w:noProof/>
        <w:color w:val="000000"/>
      </w:rPr>
      <mc:AlternateContent>
        <mc:Choice Requires="wps">
          <w:drawing>
            <wp:anchor distT="0" distB="0" distL="114300" distR="114300" simplePos="0" relativeHeight="251659264" behindDoc="0" locked="0" layoutInCell="1" allowOverlap="1" wp14:anchorId="0EB5CF98" wp14:editId="6FE9C36C">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2509C51"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sdt>
      <w:sdtPr>
        <w:rPr>
          <w:color w:val="4472C4" w:themeColor="accent1"/>
          <w:sz w:val="20"/>
          <w:szCs w:val="20"/>
        </w:rPr>
        <w:alias w:val="Title"/>
        <w:id w:val="15524250"/>
        <w:placeholder>
          <w:docPart w:val="47F29BC6899B43EB89762D15401BC865"/>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Business Law and Practice, Module Code: BMLW5005, Exam answer paper</w:t>
        </w:r>
      </w:sdtContent>
    </w:sdt>
  </w:p>
  <w:p w14:paraId="0941A5B3" w14:textId="77777777" w:rsidR="008B7674" w:rsidRDefault="008B76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EAC"/>
    <w:rsid w:val="00353086"/>
    <w:rsid w:val="003B7113"/>
    <w:rsid w:val="003D0DE5"/>
    <w:rsid w:val="00431635"/>
    <w:rsid w:val="004F7EAC"/>
    <w:rsid w:val="00510456"/>
    <w:rsid w:val="00535B75"/>
    <w:rsid w:val="00566AAA"/>
    <w:rsid w:val="005D328F"/>
    <w:rsid w:val="0069293B"/>
    <w:rsid w:val="006C13C4"/>
    <w:rsid w:val="008674E9"/>
    <w:rsid w:val="008B7674"/>
    <w:rsid w:val="00984007"/>
    <w:rsid w:val="00D51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4438D"/>
  <w15:chartTrackingRefBased/>
  <w15:docId w15:val="{093D7A35-EFB5-4E83-835F-E9EDED91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EAC"/>
  </w:style>
  <w:style w:type="paragraph" w:styleId="Heading1">
    <w:name w:val="heading 1"/>
    <w:basedOn w:val="Normal"/>
    <w:next w:val="Normal"/>
    <w:link w:val="Heading1Char"/>
    <w:uiPriority w:val="9"/>
    <w:qFormat/>
    <w:rsid w:val="004F7EAC"/>
    <w:pPr>
      <w:keepNext/>
      <w:keepLines/>
      <w:spacing w:before="240" w:after="0"/>
      <w:outlineLvl w:val="0"/>
    </w:pPr>
    <w:rPr>
      <w:rFonts w:ascii="Times New Roman" w:eastAsiaTheme="majorEastAsia" w:hAnsi="Times New Roman" w:cstheme="majorBidi"/>
      <w:b/>
      <w:color w:val="2F5496" w:themeColor="accent1" w:themeShade="BF"/>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EAC"/>
    <w:rPr>
      <w:rFonts w:ascii="Times New Roman" w:eastAsiaTheme="majorEastAsia" w:hAnsi="Times New Roman" w:cstheme="majorBidi"/>
      <w:b/>
      <w:color w:val="2F5496" w:themeColor="accent1" w:themeShade="BF"/>
      <w:sz w:val="36"/>
      <w:szCs w:val="32"/>
    </w:rPr>
  </w:style>
  <w:style w:type="paragraph" w:styleId="Header">
    <w:name w:val="header"/>
    <w:basedOn w:val="Normal"/>
    <w:link w:val="HeaderChar"/>
    <w:uiPriority w:val="99"/>
    <w:unhideWhenUsed/>
    <w:rsid w:val="008B7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674"/>
  </w:style>
  <w:style w:type="paragraph" w:styleId="Footer">
    <w:name w:val="footer"/>
    <w:basedOn w:val="Normal"/>
    <w:link w:val="FooterChar"/>
    <w:uiPriority w:val="99"/>
    <w:unhideWhenUsed/>
    <w:rsid w:val="008B7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F29BC6899B43EB89762D15401BC865"/>
        <w:category>
          <w:name w:val="General"/>
          <w:gallery w:val="placeholder"/>
        </w:category>
        <w:types>
          <w:type w:val="bbPlcHdr"/>
        </w:types>
        <w:behaviors>
          <w:behavior w:val="content"/>
        </w:behaviors>
        <w:guid w:val="{74B0B4DC-E2F5-4072-A911-26A2DE106EE2}"/>
      </w:docPartPr>
      <w:docPartBody>
        <w:p w:rsidR="00000000" w:rsidRDefault="000C0E17" w:rsidP="000C0E17">
          <w:pPr>
            <w:pStyle w:val="47F29BC6899B43EB89762D15401BC865"/>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E17"/>
    <w:rsid w:val="000C0E17"/>
    <w:rsid w:val="006A0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F29BC6899B43EB89762D15401BC865">
    <w:name w:val="47F29BC6899B43EB89762D15401BC865"/>
    <w:rsid w:val="000C0E17"/>
  </w:style>
  <w:style w:type="paragraph" w:customStyle="1" w:styleId="236091D56E694457859CCA7A5549B195">
    <w:name w:val="236091D56E694457859CCA7A5549B195"/>
    <w:rsid w:val="000C0E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2444</Words>
  <Characters>13935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Law and Practice, Module Code: BMLW5005, Exam answer paper</dc:title>
  <dc:subject/>
  <dc:creator>Md Roshid Ahmed (1922561)</dc:creator>
  <cp:keywords/>
  <dc:description/>
  <cp:lastModifiedBy>Md Roshid Ahmed (1922561)</cp:lastModifiedBy>
  <cp:revision>12</cp:revision>
  <dcterms:created xsi:type="dcterms:W3CDTF">2022-02-02T15:59:00Z</dcterms:created>
  <dcterms:modified xsi:type="dcterms:W3CDTF">2022-02-02T16:29:00Z</dcterms:modified>
</cp:coreProperties>
</file>