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8469CB" w:rsidR="008469CB" w:rsidP="322A74FE" w:rsidRDefault="008469CB" w14:paraId="2B8D861F" w14:textId="3CBCAA0D">
      <w:pPr>
        <w:spacing w:after="160" w:line="256" w:lineRule="auto"/>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bookmarkStart w:name="_Int_x9dnvHwM" w:id="1550092867"/>
      <w:r w:rsidRPr="322A74FE" w:rsidR="0471316C">
        <w:rPr>
          <w:rFonts w:ascii="Arial Nova" w:hAnsi="Arial Nova" w:eastAsia="Arial Nova" w:cs="Arial Nova"/>
          <w:b w:val="1"/>
          <w:bCs w:val="1"/>
          <w:i w:val="0"/>
          <w:iCs w:val="0"/>
          <w:caps w:val="0"/>
          <w:smallCaps w:val="0"/>
          <w:noProof w:val="0"/>
          <w:color w:val="000000" w:themeColor="text1" w:themeTint="FF" w:themeShade="FF"/>
          <w:sz w:val="24"/>
          <w:szCs w:val="24"/>
          <w:lang w:val="en-GB"/>
        </w:rPr>
        <w:t>Portion</w:t>
      </w:r>
      <w:r w:rsidRPr="322A74FE" w:rsidR="0471316C">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of edited text</w:t>
      </w:r>
      <w:r w:rsidRPr="322A74FE" w:rsidR="216FB26F">
        <w:rPr>
          <w:rFonts w:ascii="Arial Nova" w:hAnsi="Arial Nova" w:eastAsia="Arial Nova" w:cs="Arial Nova"/>
          <w:b w:val="1"/>
          <w:bCs w:val="1"/>
          <w:i w:val="0"/>
          <w:iCs w:val="0"/>
          <w:caps w:val="0"/>
          <w:smallCaps w:val="0"/>
          <w:noProof w:val="0"/>
          <w:color w:val="000000" w:themeColor="text1" w:themeTint="FF" w:themeShade="FF"/>
          <w:sz w:val="24"/>
          <w:szCs w:val="24"/>
          <w:lang w:val="en-GB"/>
        </w:rPr>
        <w:t>:</w:t>
      </w:r>
      <w:bookmarkEnd w:id="1550092867"/>
    </w:p>
    <w:p w:rsidRPr="008469CB" w:rsidR="008469CB" w:rsidP="51D6BE8A" w:rsidRDefault="008469CB" w14:paraId="4EF67070" w14:textId="736A2B3F">
      <w:pPr>
        <w:spacing w:after="160" w:line="256" w:lineRule="auto"/>
        <w:jc w:val="both"/>
        <w:rPr>
          <w:rFonts w:ascii="Arial Nova" w:hAnsi="Arial Nova" w:eastAsia="Arial Nova" w:cs="Arial Nova"/>
          <w:b w:val="1"/>
          <w:bCs w:val="1"/>
          <w:sz w:val="24"/>
          <w:szCs w:val="24"/>
        </w:rPr>
      </w:pPr>
      <w:r w:rsidRPr="322A74FE" w:rsidR="47AA1C63">
        <w:rPr>
          <w:rFonts w:ascii="Arial Nova" w:hAnsi="Arial Nova" w:eastAsia="Arial Nova" w:cs="Arial Nova"/>
          <w:b w:val="1"/>
          <w:bCs w:val="1"/>
          <w:sz w:val="24"/>
          <w:szCs w:val="24"/>
        </w:rPr>
        <w:t xml:space="preserve">Chronicon </w:t>
      </w:r>
      <w:r w:rsidRPr="322A74FE" w:rsidR="47AA1C63">
        <w:rPr>
          <w:rFonts w:ascii="Arial Nova" w:hAnsi="Arial Nova" w:eastAsia="Arial Nova" w:cs="Arial Nova"/>
          <w:b w:val="1"/>
          <w:bCs w:val="1"/>
          <w:sz w:val="24"/>
          <w:szCs w:val="24"/>
        </w:rPr>
        <w:t>Anglicanum</w:t>
      </w:r>
      <w:r w:rsidRPr="322A74FE" w:rsidR="5AE5A96F">
        <w:rPr>
          <w:rFonts w:ascii="Arial Nova" w:hAnsi="Arial Nova" w:eastAsia="Arial Nova" w:cs="Arial Nova"/>
          <w:b w:val="1"/>
          <w:bCs w:val="1"/>
          <w:sz w:val="24"/>
          <w:szCs w:val="24"/>
        </w:rPr>
        <w:t>.</w:t>
      </w:r>
    </w:p>
    <w:p w:rsidRPr="004E388B" w:rsidR="008469CB" w:rsidP="008469CB" w:rsidRDefault="008469CB" w14:paraId="5F444CAE" w14:textId="77777777">
      <w:pPr>
        <w:spacing w:after="0" w:line="360" w:lineRule="auto"/>
        <w:jc w:val="both"/>
        <w:rPr>
          <w:rFonts w:ascii="Times New Roman" w:hAnsi="Times New Roman" w:cs="Times New Roman"/>
        </w:rPr>
      </w:pPr>
    </w:p>
    <w:p w:rsidR="008469CB" w:rsidP="008469CB" w:rsidRDefault="008469CB" w14:paraId="5A3EA0CD" w14:textId="7BC48561">
      <w:pPr>
        <w:spacing w:after="0" w:line="360" w:lineRule="auto"/>
        <w:jc w:val="both"/>
        <w:rPr>
          <w:rFonts w:ascii="Times New Roman" w:hAnsi="Times New Roman" w:cs="Times New Roman"/>
        </w:rPr>
      </w:pPr>
      <w:r w:rsidRPr="51D6BE8A" w:rsidR="47AA1C63">
        <w:rPr>
          <w:rFonts w:ascii="Times New Roman" w:hAnsi="Times New Roman" w:cs="Times New Roman"/>
        </w:rPr>
        <w:t>The year from the Incarnation of the Lord 1066</w:t>
      </w:r>
      <w:r w:rsidRPr="51D6BE8A">
        <w:rPr>
          <w:rStyle w:val="FootnoteReference"/>
          <w:rFonts w:ascii="Times New Roman" w:hAnsi="Times New Roman" w:cs="Times New Roman"/>
        </w:rPr>
        <w:footnoteReference w:id="16655"/>
      </w:r>
      <w:r w:rsidRPr="51D6BE8A" w:rsidR="47AA1C63">
        <w:rPr>
          <w:rFonts w:ascii="Times New Roman" w:hAnsi="Times New Roman" w:cs="Times New Roman"/>
        </w:rPr>
        <w:t>. William, duke of the Normans,</w:t>
      </w:r>
      <w:r w:rsidRPr="51D6BE8A">
        <w:rPr>
          <w:rStyle w:val="FootnoteReference"/>
          <w:rFonts w:ascii="Times New Roman" w:hAnsi="Times New Roman" w:cs="Times New Roman"/>
        </w:rPr>
        <w:footnoteReference w:id="2524"/>
      </w:r>
      <w:r w:rsidRPr="51D6BE8A" w:rsidR="47AA1C63">
        <w:rPr>
          <w:rFonts w:ascii="Times New Roman" w:hAnsi="Times New Roman" w:cs="Times New Roman"/>
        </w:rPr>
        <w:t xml:space="preserve"> assembled an immense army from parts across the sea, he landed in England at Hastings, and by the fair judgement of God on the day of Pope St </w:t>
      </w:r>
      <w:r w:rsidRPr="51D6BE8A" w:rsidR="47AA1C63">
        <w:rPr>
          <w:rFonts w:ascii="Times New Roman" w:hAnsi="Times New Roman" w:cs="Times New Roman"/>
        </w:rPr>
        <w:t>Calixtius</w:t>
      </w:r>
      <w:r w:rsidRPr="51D6BE8A" w:rsidR="47AA1C63">
        <w:rPr>
          <w:rFonts w:ascii="Times New Roman" w:hAnsi="Times New Roman" w:cs="Times New Roman"/>
        </w:rPr>
        <w:t>,</w:t>
      </w:r>
      <w:r w:rsidRPr="51D6BE8A">
        <w:rPr>
          <w:rStyle w:val="FootnoteReference"/>
          <w:rFonts w:ascii="Times New Roman" w:hAnsi="Times New Roman" w:cs="Times New Roman"/>
        </w:rPr>
        <w:footnoteReference w:id="17141"/>
      </w:r>
      <w:r w:rsidRPr="51D6BE8A" w:rsidR="47AA1C63">
        <w:rPr>
          <w:rFonts w:ascii="Times New Roman" w:hAnsi="Times New Roman" w:cs="Times New Roman"/>
        </w:rPr>
        <w:t xml:space="preserve"> </w:t>
      </w:r>
      <w:r w:rsidRPr="51D6BE8A" w:rsidR="47AA1C63">
        <w:rPr>
          <w:rFonts w:ascii="Times New Roman" w:hAnsi="Times New Roman" w:cs="Times New Roman"/>
        </w:rPr>
        <w:t>K</w:t>
      </w:r>
      <w:r w:rsidRPr="51D6BE8A" w:rsidR="47AA1C63">
        <w:rPr>
          <w:rFonts w:ascii="Times New Roman" w:hAnsi="Times New Roman" w:cs="Times New Roman"/>
        </w:rPr>
        <w:t>ing Harold,</w:t>
      </w:r>
      <w:r w:rsidRPr="51D6BE8A">
        <w:rPr>
          <w:rStyle w:val="FootnoteReference"/>
          <w:rFonts w:ascii="Times New Roman" w:hAnsi="Times New Roman" w:cs="Times New Roman"/>
        </w:rPr>
        <w:footnoteReference w:id="14186"/>
      </w:r>
      <w:r w:rsidRPr="51D6BE8A" w:rsidR="47AA1C63">
        <w:rPr>
          <w:rFonts w:ascii="Times New Roman" w:hAnsi="Times New Roman" w:cs="Times New Roman"/>
        </w:rPr>
        <w:t xml:space="preserve"> who had unjustly usurped the English rule, [William] deprived him of his life and kingdom at the same time, although some people contend that Harold hid himself amongst the dead, and by night to slip away into flight, after much travelling about, he led an eremitical life at Chester</w:t>
      </w:r>
      <w:r w:rsidRPr="51D6BE8A">
        <w:rPr>
          <w:rStyle w:val="FootnoteReference"/>
          <w:rFonts w:ascii="Times New Roman" w:hAnsi="Times New Roman" w:cs="Times New Roman"/>
        </w:rPr>
        <w:footnoteReference w:id="17428"/>
      </w:r>
      <w:r w:rsidRPr="51D6BE8A" w:rsidR="47AA1C63">
        <w:rPr>
          <w:rFonts w:ascii="Times New Roman" w:hAnsi="Times New Roman" w:cs="Times New Roman"/>
        </w:rPr>
        <w:t>, and until the time of Henry II</w:t>
      </w:r>
      <w:r w:rsidRPr="51D6BE8A" w:rsidR="131EAFA4">
        <w:rPr>
          <w:rFonts w:ascii="Times New Roman" w:hAnsi="Times New Roman" w:cs="Times New Roman"/>
        </w:rPr>
        <w:t xml:space="preserve"> </w:t>
      </w:r>
      <w:r w:rsidRPr="51D6BE8A">
        <w:rPr>
          <w:rStyle w:val="FootnoteReference"/>
          <w:rFonts w:ascii="Times New Roman" w:hAnsi="Times New Roman" w:cs="Times New Roman"/>
        </w:rPr>
        <w:footnoteReference w:id="15959"/>
      </w:r>
      <w:r w:rsidRPr="51D6BE8A" w:rsidR="47AA1C63">
        <w:rPr>
          <w:rFonts w:ascii="Times New Roman" w:hAnsi="Times New Roman" w:cs="Times New Roman"/>
        </w:rPr>
        <w:t>, he lasted, blessed by the saints.</w:t>
      </w:r>
    </w:p>
    <w:p w:rsidR="51D6BE8A" w:rsidP="51D6BE8A" w:rsidRDefault="51D6BE8A" w14:paraId="3368EE01" w14:textId="212146EB">
      <w:pPr>
        <w:pStyle w:val="Normal"/>
        <w:spacing w:after="0" w:line="360" w:lineRule="auto"/>
        <w:jc w:val="both"/>
        <w:rPr>
          <w:rFonts w:ascii="Calibri" w:hAnsi="Calibri" w:eastAsia="" w:cs=""/>
        </w:rPr>
      </w:pPr>
    </w:p>
    <w:p w:rsidRPr="00BF0432" w:rsidR="00BF0432" w:rsidP="51D6BE8A" w:rsidRDefault="00BF0432" w14:paraId="1A3FCF67" w14:textId="0F8EF3BD">
      <w:pPr>
        <w:pStyle w:val="Normal"/>
        <w:spacing w:after="0" w:line="360" w:lineRule="auto"/>
        <w:jc w:val="both"/>
        <w:rPr>
          <w:rFonts w:ascii="Times New Roman" w:hAnsi="Times New Roman" w:cs="Times New Roman"/>
          <w:color w:val="FF0000"/>
          <w:sz w:val="24"/>
          <w:szCs w:val="24"/>
        </w:rPr>
      </w:pPr>
      <w:r w:rsidRPr="51D6BE8A" w:rsidR="1529D572">
        <w:rPr>
          <w:rFonts w:ascii="Times New Roman" w:hAnsi="Times New Roman" w:cs="Times New Roman"/>
          <w:color w:val="FF0000"/>
          <w:sz w:val="24"/>
          <w:szCs w:val="24"/>
        </w:rPr>
        <w:t>Concerning the coronation of King John and how he succeeded his brother.</w:t>
      </w:r>
    </w:p>
    <w:p w:rsidR="51D6BE8A" w:rsidP="51D6BE8A" w:rsidRDefault="51D6BE8A" w14:paraId="54B304F4" w14:textId="67442B1A">
      <w:pPr>
        <w:pStyle w:val="Normal"/>
        <w:spacing w:after="0" w:line="360" w:lineRule="auto"/>
        <w:jc w:val="both"/>
        <w:rPr>
          <w:rFonts w:ascii="Calibri" w:hAnsi="Calibri" w:eastAsia="" w:cs=""/>
          <w:color w:val="FF0000"/>
          <w:sz w:val="24"/>
          <w:szCs w:val="24"/>
        </w:rPr>
      </w:pPr>
    </w:p>
    <w:p w:rsidRPr="00BF0432" w:rsidR="00BF0432" w:rsidP="51D6BE8A" w:rsidRDefault="00BF0432" w14:paraId="49AAEC03" w14:textId="585BC3AB">
      <w:pPr>
        <w:pStyle w:val="Normal"/>
        <w:spacing w:after="0" w:line="360" w:lineRule="auto"/>
        <w:jc w:val="both"/>
        <w:rPr>
          <w:rFonts w:ascii="Times New Roman" w:hAnsi="Times New Roman" w:cs="Times New Roman"/>
          <w:sz w:val="24"/>
          <w:szCs w:val="24"/>
        </w:rPr>
      </w:pPr>
      <w:r w:rsidRPr="322A74FE" w:rsidR="1529D572">
        <w:rPr>
          <w:rFonts w:ascii="Times New Roman" w:hAnsi="Times New Roman" w:cs="Times New Roman"/>
          <w:sz w:val="24"/>
          <w:szCs w:val="24"/>
        </w:rPr>
        <w:t>After King Richard died,</w:t>
      </w:r>
      <w:r w:rsidRPr="322A74FE">
        <w:rPr>
          <w:rStyle w:val="FootnoteReference"/>
          <w:rFonts w:ascii="Times New Roman" w:hAnsi="Times New Roman" w:cs="Times New Roman"/>
          <w:sz w:val="24"/>
          <w:szCs w:val="24"/>
        </w:rPr>
        <w:footnoteReference w:id="1086"/>
      </w:r>
      <w:r w:rsidRPr="322A74FE" w:rsidR="1529D572">
        <w:rPr>
          <w:rFonts w:ascii="Times New Roman" w:hAnsi="Times New Roman" w:cs="Times New Roman"/>
          <w:sz w:val="24"/>
          <w:szCs w:val="24"/>
        </w:rPr>
        <w:t xml:space="preserve"> Count John,</w:t>
      </w:r>
      <w:r w:rsidRPr="322A74FE">
        <w:rPr>
          <w:rStyle w:val="FootnoteReference"/>
          <w:rFonts w:ascii="Times New Roman" w:hAnsi="Times New Roman" w:cs="Times New Roman"/>
          <w:sz w:val="24"/>
          <w:szCs w:val="24"/>
        </w:rPr>
        <w:footnoteReference w:id="14308"/>
      </w:r>
      <w:r w:rsidRPr="322A74FE" w:rsidR="1529D572">
        <w:rPr>
          <w:rFonts w:ascii="Times New Roman" w:hAnsi="Times New Roman" w:cs="Times New Roman"/>
          <w:sz w:val="24"/>
          <w:szCs w:val="24"/>
        </w:rPr>
        <w:t xml:space="preserve"> his brother, succeeded him, in the duchy and in the kingdom. When he heard of the death of his brother, (whose court he had left a little while before because of the shortage of cash and because of certain disagreements which had arisen between them), he immediately went to Chinon castle,</w:t>
      </w:r>
      <w:r w:rsidRPr="322A74FE">
        <w:rPr>
          <w:rStyle w:val="FootnoteReference"/>
          <w:rFonts w:ascii="Times New Roman" w:hAnsi="Times New Roman" w:cs="Times New Roman"/>
          <w:sz w:val="24"/>
          <w:szCs w:val="24"/>
        </w:rPr>
        <w:footnoteReference w:id="24885"/>
      </w:r>
      <w:r w:rsidRPr="322A74FE" w:rsidR="1529D572">
        <w:rPr>
          <w:rFonts w:ascii="Times New Roman" w:hAnsi="Times New Roman" w:cs="Times New Roman"/>
          <w:sz w:val="24"/>
          <w:szCs w:val="24"/>
        </w:rPr>
        <w:t xml:space="preserve"> which was being kept by the royal treasurer, and the castle and the treasurer were handed over to him by Robert of Turnham,</w:t>
      </w:r>
      <w:r w:rsidRPr="322A74FE">
        <w:rPr>
          <w:rStyle w:val="FootnoteReference"/>
          <w:rFonts w:ascii="Times New Roman" w:hAnsi="Times New Roman" w:cs="Times New Roman"/>
          <w:sz w:val="24"/>
          <w:szCs w:val="24"/>
        </w:rPr>
        <w:footnoteReference w:id="31003"/>
      </w:r>
      <w:r w:rsidRPr="322A74FE" w:rsidR="1529D572">
        <w:rPr>
          <w:rFonts w:ascii="Times New Roman" w:hAnsi="Times New Roman" w:cs="Times New Roman"/>
          <w:sz w:val="24"/>
          <w:szCs w:val="24"/>
        </w:rPr>
        <w:t xml:space="preserve"> soon he took other castles and cities of Normandy, without any resistance; and so by the common election of the nobles and the acclamation of the citizens, he was made Duke of Normandy at Rouen in the octave of Easter</w:t>
      </w:r>
      <w:r w:rsidRPr="322A74FE">
        <w:rPr>
          <w:rStyle w:val="FootnoteReference"/>
          <w:rFonts w:ascii="Times New Roman" w:hAnsi="Times New Roman" w:cs="Times New Roman"/>
          <w:sz w:val="24"/>
          <w:szCs w:val="24"/>
        </w:rPr>
        <w:footnoteReference w:id="6798"/>
      </w:r>
      <w:r w:rsidRPr="322A74FE" w:rsidR="1529D572">
        <w:rPr>
          <w:rFonts w:ascii="Times New Roman" w:hAnsi="Times New Roman" w:cs="Times New Roman"/>
          <w:sz w:val="24"/>
          <w:szCs w:val="24"/>
        </w:rPr>
        <w:t>.</w:t>
      </w:r>
    </w:p>
    <w:p w:rsidRPr="00BF0432" w:rsidR="00BF0432" w:rsidP="00BF0432" w:rsidRDefault="00BF0432" w14:paraId="3D2CFF90" w14:textId="77777777">
      <w:pPr>
        <w:spacing w:after="0" w:line="360" w:lineRule="auto"/>
        <w:jc w:val="both"/>
        <w:rPr>
          <w:rFonts w:ascii="Times New Roman" w:hAnsi="Times New Roman" w:cs="Times New Roman"/>
          <w:sz w:val="24"/>
          <w:szCs w:val="24"/>
        </w:rPr>
      </w:pPr>
    </w:p>
    <w:p w:rsidRPr="00BF0432" w:rsidR="00BF0432" w:rsidP="00BF0432" w:rsidRDefault="00BF0432" w14:paraId="0255144D" w14:textId="0E0BC1A5">
      <w:pPr>
        <w:spacing w:after="0" w:line="360" w:lineRule="auto"/>
        <w:jc w:val="both"/>
        <w:rPr>
          <w:rFonts w:ascii="Times New Roman" w:hAnsi="Times New Roman" w:cs="Times New Roman"/>
          <w:sz w:val="24"/>
          <w:szCs w:val="24"/>
        </w:rPr>
      </w:pPr>
      <w:proofErr w:type="gramStart"/>
      <w:r w:rsidRPr="322A74FE" w:rsidR="00BF0432">
        <w:rPr>
          <w:rFonts w:ascii="Times New Roman" w:hAnsi="Times New Roman" w:cs="Times New Roman"/>
          <w:sz w:val="24"/>
          <w:szCs w:val="24"/>
        </w:rPr>
        <w:t>However</w:t>
      </w:r>
      <w:proofErr w:type="gramEnd"/>
      <w:r w:rsidRPr="322A74FE" w:rsidR="00BF0432">
        <w:rPr>
          <w:rFonts w:ascii="Times New Roman" w:hAnsi="Times New Roman" w:cs="Times New Roman"/>
          <w:sz w:val="24"/>
          <w:szCs w:val="24"/>
        </w:rPr>
        <w:t xml:space="preserve"> the Bretons</w:t>
      </w:r>
      <w:r w:rsidRPr="322A74FE">
        <w:rPr>
          <w:rStyle w:val="FootnoteReference"/>
          <w:rFonts w:ascii="Times New Roman" w:hAnsi="Times New Roman" w:cs="Times New Roman"/>
          <w:sz w:val="24"/>
          <w:szCs w:val="24"/>
        </w:rPr>
        <w:footnoteReference w:id="7187"/>
      </w:r>
      <w:r w:rsidRPr="322A74FE" w:rsidR="00BF0432">
        <w:rPr>
          <w:rFonts w:ascii="Times New Roman" w:hAnsi="Times New Roman" w:cs="Times New Roman"/>
          <w:sz w:val="24"/>
          <w:szCs w:val="24"/>
        </w:rPr>
        <w:t xml:space="preserve"> hearing of King Richard’s death, relying on the advice and aid of King Philip,</w:t>
      </w:r>
      <w:r w:rsidRPr="322A74FE" w:rsidR="00BF0432">
        <w:rPr>
          <w:rFonts w:ascii="Times New Roman" w:hAnsi="Times New Roman" w:cs="Times New Roman"/>
          <w:sz w:val="24"/>
          <w:szCs w:val="24"/>
        </w:rPr>
        <w:t xml:space="preserve"> took possession of the county of Anjou</w:t>
      </w:r>
      <w:r w:rsidRPr="322A74FE">
        <w:rPr>
          <w:rStyle w:val="FootnoteReference"/>
          <w:rFonts w:ascii="Times New Roman" w:hAnsi="Times New Roman" w:cs="Times New Roman"/>
          <w:sz w:val="24"/>
          <w:szCs w:val="24"/>
        </w:rPr>
        <w:footnoteReference w:id="9447"/>
      </w:r>
      <w:r w:rsidRPr="322A74FE" w:rsidR="00BF0432">
        <w:rPr>
          <w:rFonts w:ascii="Times New Roman" w:hAnsi="Times New Roman" w:cs="Times New Roman"/>
          <w:sz w:val="24"/>
          <w:szCs w:val="24"/>
        </w:rPr>
        <w:t xml:space="preserve"> and the city of Le Mans and were received by the citizens of the </w:t>
      </w:r>
      <w:proofErr w:type="gramStart"/>
      <w:r w:rsidRPr="322A74FE" w:rsidR="00BF0432">
        <w:rPr>
          <w:rFonts w:ascii="Times New Roman" w:hAnsi="Times New Roman" w:cs="Times New Roman"/>
          <w:sz w:val="24"/>
          <w:szCs w:val="24"/>
        </w:rPr>
        <w:t>area;</w:t>
      </w:r>
      <w:proofErr w:type="gramEnd"/>
      <w:r w:rsidRPr="322A74FE" w:rsidR="00BF0432">
        <w:rPr>
          <w:rFonts w:ascii="Times New Roman" w:hAnsi="Times New Roman" w:cs="Times New Roman"/>
          <w:sz w:val="24"/>
          <w:szCs w:val="24"/>
        </w:rPr>
        <w:t xml:space="preserve"> who unanimously rebelled against the duke, and tried by every means to make the prince of that land, the boy Arthur,</w:t>
      </w:r>
      <w:r w:rsidRPr="322A74FE">
        <w:rPr>
          <w:rStyle w:val="FootnoteReference"/>
          <w:rFonts w:ascii="Times New Roman" w:hAnsi="Times New Roman" w:cs="Times New Roman"/>
          <w:sz w:val="24"/>
          <w:szCs w:val="24"/>
        </w:rPr>
        <w:footnoteReference w:id="548"/>
      </w:r>
      <w:r w:rsidRPr="322A74FE" w:rsidR="00BF0432">
        <w:rPr>
          <w:rFonts w:ascii="Times New Roman" w:hAnsi="Times New Roman" w:cs="Times New Roman"/>
          <w:sz w:val="24"/>
          <w:szCs w:val="24"/>
        </w:rPr>
        <w:t xml:space="preserve"> their lord, namely the son of Geoffrey, count of Brittany, who was born second after King Richard. </w:t>
      </w:r>
      <w:proofErr w:type="gramStart"/>
      <w:r w:rsidRPr="322A74FE" w:rsidR="00BF0432">
        <w:rPr>
          <w:rFonts w:ascii="Times New Roman" w:hAnsi="Times New Roman" w:cs="Times New Roman"/>
          <w:sz w:val="24"/>
          <w:szCs w:val="24"/>
        </w:rPr>
        <w:t>So</w:t>
      </w:r>
      <w:proofErr w:type="gramEnd"/>
      <w:r w:rsidRPr="322A74FE" w:rsidR="00BF0432">
        <w:rPr>
          <w:rFonts w:ascii="Times New Roman" w:hAnsi="Times New Roman" w:cs="Times New Roman"/>
          <w:sz w:val="24"/>
          <w:szCs w:val="24"/>
        </w:rPr>
        <w:t xml:space="preserve"> Duke John then burned down Le </w:t>
      </w:r>
      <w:proofErr w:type="gramStart"/>
      <w:r w:rsidRPr="322A74FE" w:rsidR="00BF0432">
        <w:rPr>
          <w:rFonts w:ascii="Times New Roman" w:hAnsi="Times New Roman" w:cs="Times New Roman"/>
          <w:sz w:val="24"/>
          <w:szCs w:val="24"/>
        </w:rPr>
        <w:t>Mans, and</w:t>
      </w:r>
      <w:proofErr w:type="gramEnd"/>
      <w:r w:rsidRPr="322A74FE" w:rsidR="00BF0432">
        <w:rPr>
          <w:rFonts w:ascii="Times New Roman" w:hAnsi="Times New Roman" w:cs="Times New Roman"/>
          <w:sz w:val="24"/>
          <w:szCs w:val="24"/>
        </w:rPr>
        <w:t xml:space="preserve"> sent his army against the Angevins. But King Philip,</w:t>
      </w:r>
      <w:r w:rsidRPr="322A74FE">
        <w:rPr>
          <w:rStyle w:val="FootnoteReference"/>
          <w:rFonts w:ascii="Times New Roman" w:hAnsi="Times New Roman" w:cs="Times New Roman"/>
          <w:sz w:val="24"/>
          <w:szCs w:val="24"/>
        </w:rPr>
        <w:footnoteReference w:id="27221"/>
      </w:r>
      <w:r w:rsidRPr="322A74FE" w:rsidR="00BF0432">
        <w:rPr>
          <w:rFonts w:ascii="Times New Roman" w:hAnsi="Times New Roman" w:cs="Times New Roman"/>
          <w:sz w:val="24"/>
          <w:szCs w:val="24"/>
        </w:rPr>
        <w:t xml:space="preserve"> invading Normandy from other side, did not allow the duke to combat the Bretons for long.</w:t>
      </w:r>
    </w:p>
    <w:p w:rsidRPr="00BF0432" w:rsidR="00BF0432" w:rsidP="00BF0432" w:rsidRDefault="00BF0432" w14:paraId="14F89169" w14:textId="77777777">
      <w:pPr>
        <w:spacing w:after="0" w:line="360" w:lineRule="auto"/>
        <w:jc w:val="both"/>
        <w:rPr>
          <w:rFonts w:ascii="Times New Roman" w:hAnsi="Times New Roman" w:cs="Times New Roman"/>
          <w:sz w:val="24"/>
          <w:szCs w:val="24"/>
        </w:rPr>
      </w:pPr>
    </w:p>
    <w:p w:rsidRPr="00BF0432" w:rsidR="00BF0432" w:rsidP="00BF0432" w:rsidRDefault="00BF0432" w14:paraId="1EEF2EE8" w14:textId="12F5BBE6">
      <w:pPr>
        <w:spacing w:after="0" w:line="360" w:lineRule="auto"/>
        <w:jc w:val="both"/>
        <w:rPr>
          <w:rFonts w:ascii="Times New Roman" w:hAnsi="Times New Roman" w:cs="Times New Roman"/>
          <w:sz w:val="24"/>
          <w:szCs w:val="24"/>
        </w:rPr>
      </w:pPr>
      <w:r w:rsidRPr="322A74FE" w:rsidR="00BF0432">
        <w:rPr>
          <w:rFonts w:ascii="Times New Roman" w:hAnsi="Times New Roman" w:cs="Times New Roman"/>
          <w:sz w:val="24"/>
          <w:szCs w:val="24"/>
        </w:rPr>
        <w:t>Although he was being invaded thus one after the other by foreign armies, Duke John meanwhile secretly sailed to England with his intimates, was crowned with much pomp among the citizens on Ascension Day</w:t>
      </w:r>
      <w:r w:rsidRPr="322A74FE" w:rsidR="50AA72F9">
        <w:rPr>
          <w:rFonts w:ascii="Times New Roman" w:hAnsi="Times New Roman" w:cs="Times New Roman"/>
          <w:sz w:val="24"/>
          <w:szCs w:val="24"/>
        </w:rPr>
        <w:t xml:space="preserve"> </w:t>
      </w:r>
      <w:r w:rsidRPr="322A74FE">
        <w:rPr>
          <w:rStyle w:val="FootnoteReference"/>
          <w:rFonts w:ascii="Times New Roman" w:hAnsi="Times New Roman" w:cs="Times New Roman"/>
          <w:sz w:val="24"/>
          <w:szCs w:val="24"/>
        </w:rPr>
        <w:footnoteReference w:id="29905"/>
      </w:r>
      <w:r w:rsidRPr="322A74FE" w:rsidR="00BF0432">
        <w:rPr>
          <w:rFonts w:ascii="Times New Roman" w:hAnsi="Times New Roman" w:cs="Times New Roman"/>
          <w:sz w:val="24"/>
          <w:szCs w:val="24"/>
        </w:rPr>
        <w:t xml:space="preserve"> by Lord Hurbert, Archbishop of Canterbury</w:t>
      </w:r>
      <w:r w:rsidRPr="322A74FE">
        <w:rPr>
          <w:rStyle w:val="FootnoteReference"/>
          <w:rFonts w:ascii="Times New Roman" w:hAnsi="Times New Roman" w:cs="Times New Roman"/>
          <w:sz w:val="24"/>
          <w:szCs w:val="24"/>
        </w:rPr>
        <w:footnoteReference w:id="24697"/>
      </w:r>
      <w:r w:rsidRPr="322A74FE" w:rsidR="00BF0432">
        <w:rPr>
          <w:rFonts w:ascii="Times New Roman" w:hAnsi="Times New Roman" w:cs="Times New Roman"/>
          <w:sz w:val="24"/>
          <w:szCs w:val="24"/>
        </w:rPr>
        <w:t xml:space="preserve"> at Westminster. Then King John returned to Normandy taking with him a </w:t>
      </w:r>
      <w:r w:rsidRPr="322A74FE" w:rsidR="00BF0432">
        <w:rPr>
          <w:rFonts w:ascii="Times New Roman" w:hAnsi="Times New Roman" w:cs="Times New Roman"/>
          <w:sz w:val="24"/>
          <w:szCs w:val="24"/>
        </w:rPr>
        <w:t>mighty English</w:t>
      </w:r>
      <w:r w:rsidRPr="322A74FE" w:rsidR="00BF0432">
        <w:rPr>
          <w:rFonts w:ascii="Times New Roman" w:hAnsi="Times New Roman" w:cs="Times New Roman"/>
          <w:sz w:val="24"/>
          <w:szCs w:val="24"/>
        </w:rPr>
        <w:t xml:space="preserve"> army, which fought </w:t>
      </w:r>
      <w:r w:rsidRPr="322A74FE" w:rsidR="00BF0432">
        <w:rPr>
          <w:rFonts w:ascii="Times New Roman" w:hAnsi="Times New Roman" w:cs="Times New Roman"/>
          <w:sz w:val="24"/>
          <w:szCs w:val="24"/>
        </w:rPr>
        <w:t>eagerly all that summer against the French army, a sufficiently aggressive army it showed its worth.</w:t>
      </w:r>
    </w:p>
    <w:p w:rsidRPr="00BF0432" w:rsidR="00BF0432" w:rsidP="00BF0432" w:rsidRDefault="00BF0432" w14:paraId="58E748E1" w14:textId="77777777">
      <w:pPr>
        <w:spacing w:after="0" w:line="360" w:lineRule="auto"/>
        <w:jc w:val="both"/>
        <w:rPr>
          <w:rFonts w:ascii="Times New Roman" w:hAnsi="Times New Roman" w:cs="Times New Roman"/>
          <w:sz w:val="24"/>
          <w:szCs w:val="24"/>
        </w:rPr>
      </w:pPr>
    </w:p>
    <w:p w:rsidRPr="00BF0432" w:rsidR="00BF0432" w:rsidP="00BF0432" w:rsidRDefault="00BF0432" w14:paraId="3BE3CE55" w14:textId="77777777">
      <w:pPr>
        <w:spacing w:after="0" w:line="360" w:lineRule="auto"/>
        <w:jc w:val="both"/>
        <w:rPr>
          <w:rFonts w:ascii="Times New Roman" w:hAnsi="Times New Roman" w:cs="Times New Roman"/>
          <w:color w:val="FF0000"/>
          <w:sz w:val="24"/>
          <w:szCs w:val="24"/>
        </w:rPr>
      </w:pPr>
      <w:r w:rsidRPr="00BF0432">
        <w:rPr>
          <w:rFonts w:ascii="Times New Roman" w:hAnsi="Times New Roman" w:cs="Times New Roman"/>
          <w:sz w:val="24"/>
          <w:szCs w:val="24"/>
        </w:rPr>
        <w:t xml:space="preserve"> </w:t>
      </w:r>
      <w:r w:rsidRPr="00BF0432">
        <w:rPr>
          <w:rFonts w:ascii="Times New Roman" w:hAnsi="Times New Roman" w:cs="Times New Roman"/>
          <w:color w:val="FF0000"/>
          <w:sz w:val="24"/>
          <w:szCs w:val="24"/>
        </w:rPr>
        <w:t>Concerning the peace treaty between the king of England and the King of France.</w:t>
      </w:r>
    </w:p>
    <w:p w:rsidRPr="00BF0432" w:rsidR="00BF0432" w:rsidP="00BF0432" w:rsidRDefault="00BF0432" w14:paraId="2D6F709E" w14:textId="77777777">
      <w:pPr>
        <w:spacing w:after="0" w:line="360" w:lineRule="auto"/>
        <w:jc w:val="both"/>
        <w:rPr>
          <w:rFonts w:ascii="Times New Roman" w:hAnsi="Times New Roman" w:cs="Times New Roman"/>
          <w:sz w:val="24"/>
          <w:szCs w:val="24"/>
        </w:rPr>
      </w:pPr>
    </w:p>
    <w:p w:rsidRPr="00BF0432" w:rsidR="00BF0432" w:rsidP="00BF0432" w:rsidRDefault="00BF0432" w14:paraId="274019CB" w14:textId="24844899">
      <w:pPr>
        <w:spacing w:after="0" w:line="360" w:lineRule="auto"/>
        <w:jc w:val="both"/>
        <w:rPr>
          <w:rFonts w:ascii="Times New Roman" w:hAnsi="Times New Roman" w:cs="Times New Roman"/>
          <w:sz w:val="24"/>
          <w:szCs w:val="24"/>
        </w:rPr>
      </w:pPr>
      <w:r w:rsidRPr="322A74FE" w:rsidR="00BF0432">
        <w:rPr>
          <w:rFonts w:ascii="Times New Roman" w:hAnsi="Times New Roman" w:cs="Times New Roman"/>
          <w:sz w:val="24"/>
          <w:szCs w:val="24"/>
        </w:rPr>
        <w:t>1200AD. After the wearisome exhaustion of each king’s army, after many discussions about making peace, at length the two kings, treating together reciprocally about a final agreement, drew up a peace formula</w:t>
      </w:r>
      <w:r w:rsidRPr="322A74FE" w:rsidR="7C5517EE">
        <w:rPr>
          <w:rFonts w:ascii="Times New Roman" w:hAnsi="Times New Roman" w:cs="Times New Roman"/>
          <w:sz w:val="24"/>
          <w:szCs w:val="24"/>
        </w:rPr>
        <w:t xml:space="preserve"> </w:t>
      </w:r>
      <w:r w:rsidRPr="322A74FE">
        <w:rPr>
          <w:rStyle w:val="FootnoteReference"/>
          <w:rFonts w:ascii="Times New Roman" w:hAnsi="Times New Roman" w:cs="Times New Roman"/>
          <w:sz w:val="24"/>
          <w:szCs w:val="24"/>
        </w:rPr>
        <w:footnoteReference w:id="4161"/>
      </w:r>
      <w:r w:rsidRPr="322A74FE" w:rsidR="00BF0432">
        <w:rPr>
          <w:rFonts w:ascii="Times New Roman" w:hAnsi="Times New Roman" w:cs="Times New Roman"/>
          <w:sz w:val="24"/>
          <w:szCs w:val="24"/>
        </w:rPr>
        <w:t xml:space="preserve"> of the following nature. Namely that King John quit claimed to the king of France and his heirs in perpetuity the whole of the Norman </w:t>
      </w:r>
      <w:proofErr w:type="spellStart"/>
      <w:r w:rsidRPr="322A74FE" w:rsidR="00BF0432">
        <w:rPr>
          <w:rFonts w:ascii="Times New Roman" w:hAnsi="Times New Roman" w:cs="Times New Roman"/>
          <w:sz w:val="24"/>
          <w:szCs w:val="24"/>
        </w:rPr>
        <w:t>Vexin</w:t>
      </w:r>
      <w:proofErr w:type="spellEnd"/>
      <w:r w:rsidRPr="322A74FE" w:rsidR="00BF0432">
        <w:rPr>
          <w:rFonts w:ascii="Times New Roman" w:hAnsi="Times New Roman" w:cs="Times New Roman"/>
          <w:sz w:val="24"/>
          <w:szCs w:val="24"/>
        </w:rPr>
        <w:t xml:space="preserve">, with Gisors and the rest of the castles </w:t>
      </w:r>
      <w:r w:rsidRPr="322A74FE" w:rsidR="00BF0432">
        <w:rPr>
          <w:rFonts w:ascii="Times New Roman" w:hAnsi="Times New Roman" w:cs="Times New Roman"/>
          <w:sz w:val="24"/>
          <w:szCs w:val="24"/>
        </w:rPr>
        <w:t>located</w:t>
      </w:r>
      <w:r w:rsidRPr="322A74FE" w:rsidR="00BF0432">
        <w:rPr>
          <w:rFonts w:ascii="Times New Roman" w:hAnsi="Times New Roman" w:cs="Times New Roman"/>
          <w:sz w:val="24"/>
          <w:szCs w:val="24"/>
        </w:rPr>
        <w:t xml:space="preserve"> in the </w:t>
      </w:r>
      <w:proofErr w:type="spellStart"/>
      <w:r w:rsidRPr="322A74FE" w:rsidR="00BF0432">
        <w:rPr>
          <w:rFonts w:ascii="Times New Roman" w:hAnsi="Times New Roman" w:cs="Times New Roman"/>
          <w:sz w:val="24"/>
          <w:szCs w:val="24"/>
        </w:rPr>
        <w:t>Vexin</w:t>
      </w:r>
      <w:proofErr w:type="spellEnd"/>
      <w:r w:rsidRPr="322A74FE" w:rsidR="00BF0432">
        <w:rPr>
          <w:rFonts w:ascii="Times New Roman" w:hAnsi="Times New Roman" w:cs="Times New Roman"/>
          <w:sz w:val="24"/>
          <w:szCs w:val="24"/>
        </w:rPr>
        <w:t xml:space="preserve">, this land King Henry his father had once given to King Louis in return for his </w:t>
      </w:r>
      <w:r w:rsidRPr="322A74FE" w:rsidR="00BF0432">
        <w:rPr>
          <w:rFonts w:ascii="Times New Roman" w:hAnsi="Times New Roman" w:cs="Times New Roman"/>
          <w:sz w:val="24"/>
          <w:szCs w:val="24"/>
        </w:rPr>
        <w:t>assistance</w:t>
      </w:r>
      <w:r w:rsidRPr="322A74FE" w:rsidR="00BF0432">
        <w:rPr>
          <w:rFonts w:ascii="Times New Roman" w:hAnsi="Times New Roman" w:cs="Times New Roman"/>
          <w:sz w:val="24"/>
          <w:szCs w:val="24"/>
        </w:rPr>
        <w:t xml:space="preserve"> against King Stephen. King Louis then gave away this land again as a marriage </w:t>
      </w:r>
      <w:r w:rsidRPr="322A74FE" w:rsidR="00BF0432">
        <w:rPr>
          <w:rFonts w:ascii="Times New Roman" w:hAnsi="Times New Roman" w:cs="Times New Roman"/>
          <w:sz w:val="24"/>
          <w:szCs w:val="24"/>
        </w:rPr>
        <w:t>portion</w:t>
      </w:r>
      <w:r w:rsidRPr="322A74FE" w:rsidR="00BF0432">
        <w:rPr>
          <w:rFonts w:ascii="Times New Roman" w:hAnsi="Times New Roman" w:cs="Times New Roman"/>
          <w:sz w:val="24"/>
          <w:szCs w:val="24"/>
        </w:rPr>
        <w:t xml:space="preserve"> with his daughter Margaret, whom the young King Henry married. </w:t>
      </w:r>
      <w:proofErr w:type="gramStart"/>
      <w:r w:rsidRPr="322A74FE" w:rsidR="00BF0432">
        <w:rPr>
          <w:rFonts w:ascii="Times New Roman" w:hAnsi="Times New Roman" w:cs="Times New Roman"/>
          <w:sz w:val="24"/>
          <w:szCs w:val="24"/>
        </w:rPr>
        <w:t>However</w:t>
      </w:r>
      <w:proofErr w:type="gramEnd"/>
      <w:r w:rsidRPr="322A74FE" w:rsidR="00BF0432">
        <w:rPr>
          <w:rFonts w:ascii="Times New Roman" w:hAnsi="Times New Roman" w:cs="Times New Roman"/>
          <w:sz w:val="24"/>
          <w:szCs w:val="24"/>
        </w:rPr>
        <w:t xml:space="preserve"> an exception was made of all the land of the archbishop of Rouen; </w:t>
      </w:r>
      <w:proofErr w:type="gramStart"/>
      <w:r w:rsidRPr="322A74FE" w:rsidR="00BF0432">
        <w:rPr>
          <w:rFonts w:ascii="Times New Roman" w:hAnsi="Times New Roman" w:cs="Times New Roman"/>
          <w:sz w:val="24"/>
          <w:szCs w:val="24"/>
        </w:rPr>
        <w:t>also</w:t>
      </w:r>
      <w:proofErr w:type="gramEnd"/>
      <w:r w:rsidRPr="322A74FE" w:rsidR="00BF0432">
        <w:rPr>
          <w:rFonts w:ascii="Times New Roman" w:hAnsi="Times New Roman" w:cs="Times New Roman"/>
          <w:sz w:val="24"/>
          <w:szCs w:val="24"/>
        </w:rPr>
        <w:t xml:space="preserve"> of the beautiful castle de Faro [Gaillard?] and the island of Andelys</w:t>
      </w:r>
      <w:r w:rsidRPr="322A74FE" w:rsidR="7F224429">
        <w:rPr>
          <w:rFonts w:ascii="Times New Roman" w:hAnsi="Times New Roman" w:cs="Times New Roman"/>
          <w:sz w:val="24"/>
          <w:szCs w:val="24"/>
        </w:rPr>
        <w:t xml:space="preserve"> </w:t>
      </w:r>
      <w:r w:rsidRPr="322A74FE">
        <w:rPr>
          <w:rStyle w:val="FootnoteReference"/>
          <w:rFonts w:ascii="Times New Roman" w:hAnsi="Times New Roman" w:cs="Times New Roman"/>
          <w:sz w:val="24"/>
          <w:szCs w:val="24"/>
        </w:rPr>
        <w:footnoteReference w:id="18087"/>
      </w:r>
      <w:r w:rsidRPr="322A74FE" w:rsidR="00BF0432">
        <w:rPr>
          <w:rFonts w:ascii="Times New Roman" w:hAnsi="Times New Roman" w:cs="Times New Roman"/>
          <w:sz w:val="24"/>
          <w:szCs w:val="24"/>
        </w:rPr>
        <w:t xml:space="preserve"> and Boutavant, which are sited in the </w:t>
      </w:r>
      <w:r w:rsidRPr="322A74FE" w:rsidR="00BF0432">
        <w:rPr>
          <w:rFonts w:ascii="Times New Roman" w:hAnsi="Times New Roman" w:cs="Times New Roman"/>
          <w:sz w:val="24"/>
          <w:szCs w:val="24"/>
        </w:rPr>
        <w:t>aforesaid</w:t>
      </w:r>
      <w:r w:rsidRPr="322A74FE" w:rsidR="00BF0432">
        <w:rPr>
          <w:rFonts w:ascii="Times New Roman" w:hAnsi="Times New Roman" w:cs="Times New Roman"/>
          <w:sz w:val="24"/>
          <w:szCs w:val="24"/>
        </w:rPr>
        <w:t xml:space="preserve"> land of the archbishop, and which King Richard had built. </w:t>
      </w:r>
      <w:proofErr w:type="gramStart"/>
      <w:r w:rsidRPr="322A74FE" w:rsidR="00BF0432">
        <w:rPr>
          <w:rFonts w:ascii="Times New Roman" w:hAnsi="Times New Roman" w:cs="Times New Roman"/>
          <w:sz w:val="24"/>
          <w:szCs w:val="24"/>
        </w:rPr>
        <w:t>Moreover</w:t>
      </w:r>
      <w:proofErr w:type="gramEnd"/>
      <w:r w:rsidRPr="322A74FE" w:rsidR="00BF0432">
        <w:rPr>
          <w:rFonts w:ascii="Times New Roman" w:hAnsi="Times New Roman" w:cs="Times New Roman"/>
          <w:sz w:val="24"/>
          <w:szCs w:val="24"/>
        </w:rPr>
        <w:t xml:space="preserve"> King John gave as a marriage </w:t>
      </w:r>
      <w:r w:rsidRPr="322A74FE" w:rsidR="00BF0432">
        <w:rPr>
          <w:rFonts w:ascii="Times New Roman" w:hAnsi="Times New Roman" w:cs="Times New Roman"/>
          <w:sz w:val="24"/>
          <w:szCs w:val="24"/>
        </w:rPr>
        <w:t>portion</w:t>
      </w:r>
      <w:r w:rsidRPr="322A74FE" w:rsidR="00BF0432">
        <w:rPr>
          <w:rFonts w:ascii="Times New Roman" w:hAnsi="Times New Roman" w:cs="Times New Roman"/>
          <w:sz w:val="24"/>
          <w:szCs w:val="24"/>
        </w:rPr>
        <w:t xml:space="preserve"> with his niece (namely the daughter of Petit, King of Spain) whom Louis, a young man of nice disposition, the son of King Philip married, all the castles which the same Philip had captured in Normandy, of which he was seized on the day on which the bravest of kings, Richard, died, namely Vernon, </w:t>
      </w:r>
      <w:proofErr w:type="spellStart"/>
      <w:r w:rsidRPr="322A74FE" w:rsidR="00BF0432">
        <w:rPr>
          <w:rFonts w:ascii="Times New Roman" w:hAnsi="Times New Roman" w:cs="Times New Roman"/>
          <w:sz w:val="24"/>
          <w:szCs w:val="24"/>
        </w:rPr>
        <w:t>Pascy</w:t>
      </w:r>
      <w:proofErr w:type="spellEnd"/>
      <w:r w:rsidRPr="322A74FE" w:rsidR="00BF0432">
        <w:rPr>
          <w:rFonts w:ascii="Times New Roman" w:hAnsi="Times New Roman" w:cs="Times New Roman"/>
          <w:sz w:val="24"/>
          <w:szCs w:val="24"/>
        </w:rPr>
        <w:t xml:space="preserve">, and Ivry and </w:t>
      </w:r>
      <w:proofErr w:type="spellStart"/>
      <w:r w:rsidRPr="322A74FE" w:rsidR="00BF0432">
        <w:rPr>
          <w:rFonts w:ascii="Times New Roman" w:hAnsi="Times New Roman" w:cs="Times New Roman"/>
          <w:sz w:val="24"/>
          <w:szCs w:val="24"/>
        </w:rPr>
        <w:t>Normancourt</w:t>
      </w:r>
      <w:proofErr w:type="spellEnd"/>
      <w:r w:rsidRPr="322A74FE" w:rsidR="00BF0432">
        <w:rPr>
          <w:rFonts w:ascii="Times New Roman" w:hAnsi="Times New Roman" w:cs="Times New Roman"/>
          <w:sz w:val="24"/>
          <w:szCs w:val="24"/>
        </w:rPr>
        <w:t>.</w:t>
      </w:r>
    </w:p>
    <w:p w:rsidRPr="00BF0432" w:rsidR="00BF0432" w:rsidP="00BF0432" w:rsidRDefault="00BF0432" w14:paraId="612A43A8" w14:textId="77777777">
      <w:pPr>
        <w:spacing w:after="0" w:line="360" w:lineRule="auto"/>
        <w:jc w:val="both"/>
        <w:rPr>
          <w:rFonts w:ascii="Times New Roman" w:hAnsi="Times New Roman" w:cs="Times New Roman"/>
          <w:sz w:val="24"/>
          <w:szCs w:val="24"/>
        </w:rPr>
      </w:pPr>
    </w:p>
    <w:p w:rsidRPr="00BF0432" w:rsidR="00BF0432" w:rsidP="00BF0432" w:rsidRDefault="00BF0432" w14:paraId="2D7265BD" w14:textId="4F1455FA">
      <w:pPr>
        <w:spacing w:after="0" w:line="360" w:lineRule="auto"/>
        <w:jc w:val="both"/>
        <w:rPr>
          <w:rFonts w:ascii="Times New Roman" w:hAnsi="Times New Roman" w:cs="Times New Roman"/>
          <w:sz w:val="24"/>
          <w:szCs w:val="24"/>
        </w:rPr>
      </w:pPr>
      <w:r w:rsidRPr="322A74FE" w:rsidR="00BF0432">
        <w:rPr>
          <w:rFonts w:ascii="Times New Roman" w:hAnsi="Times New Roman" w:cs="Times New Roman"/>
          <w:sz w:val="24"/>
          <w:szCs w:val="24"/>
        </w:rPr>
        <w:t xml:space="preserve">He also gave as the marriage portion the city of Evreux, with the whole county, and the Auvergne and Berry. </w:t>
      </w:r>
      <w:proofErr w:type="gramStart"/>
      <w:r w:rsidRPr="322A74FE" w:rsidR="00BF0432">
        <w:rPr>
          <w:rFonts w:ascii="Times New Roman" w:hAnsi="Times New Roman" w:cs="Times New Roman"/>
          <w:sz w:val="24"/>
          <w:szCs w:val="24"/>
        </w:rPr>
        <w:t>Also</w:t>
      </w:r>
      <w:proofErr w:type="gramEnd"/>
      <w:r w:rsidRPr="322A74FE" w:rsidR="00BF0432">
        <w:rPr>
          <w:rFonts w:ascii="Times New Roman" w:hAnsi="Times New Roman" w:cs="Times New Roman"/>
          <w:sz w:val="24"/>
          <w:szCs w:val="24"/>
        </w:rPr>
        <w:t xml:space="preserve"> King John granted that if he should die without an heir of his first wife, the son of the King of France should have the homage of Hugh of Gou</w:t>
      </w:r>
      <w:r w:rsidRPr="322A74FE" w:rsidR="2AF8E5F6">
        <w:rPr>
          <w:rFonts w:ascii="Times New Roman" w:hAnsi="Times New Roman" w:cs="Times New Roman"/>
          <w:sz w:val="24"/>
          <w:szCs w:val="24"/>
        </w:rPr>
        <w:t>r</w:t>
      </w:r>
      <w:r w:rsidRPr="322A74FE" w:rsidR="00BF0432">
        <w:rPr>
          <w:rFonts w:ascii="Times New Roman" w:hAnsi="Times New Roman" w:cs="Times New Roman"/>
          <w:sz w:val="24"/>
          <w:szCs w:val="24"/>
        </w:rPr>
        <w:t>nay</w:t>
      </w:r>
      <w:r w:rsidRPr="322A74FE" w:rsidR="003F1620">
        <w:rPr>
          <w:rFonts w:ascii="Times New Roman" w:hAnsi="Times New Roman" w:cs="Times New Roman"/>
          <w:sz w:val="24"/>
          <w:szCs w:val="24"/>
        </w:rPr>
        <w:t xml:space="preserve"> </w:t>
      </w:r>
      <w:r w:rsidRPr="322A74FE">
        <w:rPr>
          <w:rStyle w:val="FootnoteReference"/>
          <w:rFonts w:ascii="Times New Roman" w:hAnsi="Times New Roman" w:cs="Times New Roman"/>
          <w:sz w:val="24"/>
          <w:szCs w:val="24"/>
        </w:rPr>
        <w:footnoteReference w:id="29543"/>
      </w:r>
      <w:r w:rsidRPr="322A74FE" w:rsidR="00BF0432">
        <w:rPr>
          <w:rFonts w:ascii="Times New Roman" w:hAnsi="Times New Roman" w:cs="Times New Roman"/>
          <w:sz w:val="24"/>
          <w:szCs w:val="24"/>
        </w:rPr>
        <w:t xml:space="preserve"> and the county of </w:t>
      </w:r>
      <w:proofErr w:type="spellStart"/>
      <w:r w:rsidRPr="322A74FE" w:rsidR="00BF0432">
        <w:rPr>
          <w:rFonts w:ascii="Times New Roman" w:hAnsi="Times New Roman" w:cs="Times New Roman"/>
          <w:sz w:val="24"/>
          <w:szCs w:val="24"/>
        </w:rPr>
        <w:t>Aumarle</w:t>
      </w:r>
      <w:proofErr w:type="spellEnd"/>
      <w:r w:rsidRPr="322A74FE" w:rsidR="00BF0432">
        <w:rPr>
          <w:rFonts w:ascii="Times New Roman" w:hAnsi="Times New Roman" w:cs="Times New Roman"/>
          <w:sz w:val="24"/>
          <w:szCs w:val="24"/>
        </w:rPr>
        <w:t xml:space="preserve"> after the king’s death; but if the niece of the King of England died without issue, the </w:t>
      </w:r>
      <w:r w:rsidRPr="322A74FE" w:rsidR="00BF0432">
        <w:rPr>
          <w:rFonts w:ascii="Times New Roman" w:hAnsi="Times New Roman" w:cs="Times New Roman"/>
          <w:sz w:val="24"/>
          <w:szCs w:val="24"/>
        </w:rPr>
        <w:t>aforesaid</w:t>
      </w:r>
      <w:r w:rsidRPr="322A74FE" w:rsidR="00BF0432">
        <w:rPr>
          <w:rFonts w:ascii="Times New Roman" w:hAnsi="Times New Roman" w:cs="Times New Roman"/>
          <w:sz w:val="24"/>
          <w:szCs w:val="24"/>
        </w:rPr>
        <w:t xml:space="preserve"> homage and the whole of the </w:t>
      </w:r>
      <w:r w:rsidRPr="322A74FE" w:rsidR="00BF0432">
        <w:rPr>
          <w:rFonts w:ascii="Times New Roman" w:hAnsi="Times New Roman" w:cs="Times New Roman"/>
          <w:sz w:val="24"/>
          <w:szCs w:val="24"/>
        </w:rPr>
        <w:t>aforesaid</w:t>
      </w:r>
      <w:r w:rsidRPr="322A74FE" w:rsidR="00BF0432">
        <w:rPr>
          <w:rFonts w:ascii="Times New Roman" w:hAnsi="Times New Roman" w:cs="Times New Roman"/>
          <w:sz w:val="24"/>
          <w:szCs w:val="24"/>
        </w:rPr>
        <w:t xml:space="preserve"> marriage </w:t>
      </w:r>
      <w:r w:rsidRPr="322A74FE" w:rsidR="00BF0432">
        <w:rPr>
          <w:rFonts w:ascii="Times New Roman" w:hAnsi="Times New Roman" w:cs="Times New Roman"/>
          <w:sz w:val="24"/>
          <w:szCs w:val="24"/>
        </w:rPr>
        <w:t>portion</w:t>
      </w:r>
      <w:r w:rsidRPr="322A74FE" w:rsidR="00BF0432">
        <w:rPr>
          <w:rFonts w:ascii="Times New Roman" w:hAnsi="Times New Roman" w:cs="Times New Roman"/>
          <w:sz w:val="24"/>
          <w:szCs w:val="24"/>
        </w:rPr>
        <w:t xml:space="preserve"> would revert to the rightful heir of the king of England. </w:t>
      </w:r>
      <w:proofErr w:type="gramStart"/>
      <w:r w:rsidRPr="322A74FE" w:rsidR="00BF0432">
        <w:rPr>
          <w:rFonts w:ascii="Times New Roman" w:hAnsi="Times New Roman" w:cs="Times New Roman"/>
          <w:sz w:val="24"/>
          <w:szCs w:val="24"/>
        </w:rPr>
        <w:t>Moreover</w:t>
      </w:r>
      <w:proofErr w:type="gramEnd"/>
      <w:r w:rsidRPr="322A74FE" w:rsidR="00BF0432">
        <w:rPr>
          <w:rFonts w:ascii="Times New Roman" w:hAnsi="Times New Roman" w:cs="Times New Roman"/>
          <w:sz w:val="24"/>
          <w:szCs w:val="24"/>
        </w:rPr>
        <w:t xml:space="preserve"> King John gave King Philip 30 000 marks. Then the King of France restored to the King of England Tours, and all the castles which he had captured in Touraine, and he received the homage of the king </w:t>
      </w:r>
      <w:proofErr w:type="gramStart"/>
      <w:r w:rsidRPr="322A74FE" w:rsidR="00BF0432">
        <w:rPr>
          <w:rFonts w:ascii="Times New Roman" w:hAnsi="Times New Roman" w:cs="Times New Roman"/>
          <w:sz w:val="24"/>
          <w:szCs w:val="24"/>
        </w:rPr>
        <w:t>if</w:t>
      </w:r>
      <w:proofErr w:type="gramEnd"/>
      <w:r w:rsidRPr="322A74FE" w:rsidR="00BF0432">
        <w:rPr>
          <w:rFonts w:ascii="Times New Roman" w:hAnsi="Times New Roman" w:cs="Times New Roman"/>
          <w:sz w:val="24"/>
          <w:szCs w:val="24"/>
        </w:rPr>
        <w:t xml:space="preserve"> England for all the lands, </w:t>
      </w:r>
      <w:r w:rsidRPr="322A74FE" w:rsidR="00BF0432">
        <w:rPr>
          <w:rFonts w:ascii="Times New Roman" w:hAnsi="Times New Roman" w:cs="Times New Roman"/>
          <w:sz w:val="24"/>
          <w:szCs w:val="24"/>
        </w:rPr>
        <w:t>fees</w:t>
      </w:r>
      <w:r w:rsidRPr="322A74FE" w:rsidR="00BF0432">
        <w:rPr>
          <w:rFonts w:ascii="Times New Roman" w:hAnsi="Times New Roman" w:cs="Times New Roman"/>
          <w:sz w:val="24"/>
          <w:szCs w:val="24"/>
        </w:rPr>
        <w:t xml:space="preserve"> and tenements which King Richard, or King Henry his father, had ever held of him, or of his predecessors, except quit claims and marriage portions. And he took his homage for </w:t>
      </w:r>
      <w:proofErr w:type="gramStart"/>
      <w:r w:rsidRPr="322A74FE" w:rsidR="00BF0432">
        <w:rPr>
          <w:rFonts w:ascii="Times New Roman" w:hAnsi="Times New Roman" w:cs="Times New Roman"/>
          <w:sz w:val="24"/>
          <w:szCs w:val="24"/>
        </w:rPr>
        <w:t>Brittany</w:t>
      </w:r>
      <w:proofErr w:type="gramEnd"/>
      <w:r w:rsidRPr="322A74FE" w:rsidR="00BF0432">
        <w:rPr>
          <w:rFonts w:ascii="Times New Roman" w:hAnsi="Times New Roman" w:cs="Times New Roman"/>
          <w:sz w:val="24"/>
          <w:szCs w:val="24"/>
        </w:rPr>
        <w:t xml:space="preserve"> and this was according to the judgement of his court; and the King of France handed over Arthur to the King of England, who received his homage for Brittany and Richmond. Then the King of England gave the earldom of Gloucester to the count of </w:t>
      </w:r>
      <w:r w:rsidRPr="322A74FE" w:rsidR="00BF0432">
        <w:rPr>
          <w:rFonts w:ascii="Times New Roman" w:hAnsi="Times New Roman" w:cs="Times New Roman"/>
          <w:sz w:val="24"/>
          <w:szCs w:val="24"/>
        </w:rPr>
        <w:t>Evreux</w:t>
      </w:r>
      <w:r w:rsidRPr="322A74FE" w:rsidR="35409565">
        <w:rPr>
          <w:rFonts w:ascii="Times New Roman" w:hAnsi="Times New Roman" w:cs="Times New Roman"/>
          <w:sz w:val="24"/>
          <w:szCs w:val="24"/>
        </w:rPr>
        <w:t xml:space="preserve"> </w:t>
      </w:r>
      <w:r w:rsidRPr="322A74FE">
        <w:rPr>
          <w:rStyle w:val="FootnoteReference"/>
          <w:rFonts w:ascii="Times New Roman" w:hAnsi="Times New Roman" w:cs="Times New Roman"/>
          <w:sz w:val="24"/>
          <w:szCs w:val="24"/>
        </w:rPr>
        <w:footnoteReference w:id="30921"/>
      </w:r>
      <w:r w:rsidRPr="322A74FE" w:rsidR="00BF0432">
        <w:rPr>
          <w:rFonts w:ascii="Times New Roman" w:hAnsi="Times New Roman" w:cs="Times New Roman"/>
          <w:sz w:val="24"/>
          <w:szCs w:val="24"/>
        </w:rPr>
        <w:t xml:space="preserve"> in</w:t>
      </w:r>
      <w:r w:rsidRPr="322A74FE" w:rsidR="00BF0432">
        <w:rPr>
          <w:rFonts w:ascii="Times New Roman" w:hAnsi="Times New Roman" w:cs="Times New Roman"/>
          <w:sz w:val="24"/>
          <w:szCs w:val="24"/>
        </w:rPr>
        <w:t xml:space="preserve"> exchange. And then </w:t>
      </w:r>
      <w:r w:rsidRPr="322A74FE" w:rsidR="00BF0432">
        <w:rPr>
          <w:rFonts w:ascii="Times New Roman" w:hAnsi="Times New Roman" w:cs="Times New Roman"/>
          <w:sz w:val="24"/>
          <w:szCs w:val="24"/>
        </w:rPr>
        <w:t>both kings swore in their bodies that they would keep the peace that had been set down in writing and sealed with their seals.</w:t>
      </w:r>
    </w:p>
    <w:p w:rsidRPr="00BF0432" w:rsidR="00BF0432" w:rsidP="00BF0432" w:rsidRDefault="00BF0432" w14:paraId="18B5D81B" w14:textId="77777777">
      <w:pPr>
        <w:spacing w:after="0" w:line="360" w:lineRule="auto"/>
        <w:jc w:val="both"/>
        <w:rPr>
          <w:rFonts w:ascii="Times New Roman" w:hAnsi="Times New Roman" w:cs="Times New Roman"/>
          <w:color w:val="FF0000"/>
          <w:sz w:val="24"/>
          <w:szCs w:val="24"/>
        </w:rPr>
      </w:pPr>
    </w:p>
    <w:sectPr w:rsidRPr="00BF0432" w:rsidR="00BF0432">
      <w:pgSz w:w="11906" w:h="16838" w:orient="portrait"/>
      <w:pgMar w:top="1440" w:right="1440" w:bottom="1440" w:left="1440" w:header="708" w:footer="708" w:gutter="0"/>
      <w:cols w:space="708"/>
      <w:docGrid w:linePitch="360"/>
      <w:headerReference w:type="default" r:id="Red3691c4dd2c4e0f"/>
      <w:footerReference w:type="default" r:id="Re0a37081bac547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D6BE8A" w:rsidTr="51D6BE8A" w14:paraId="1E35EFFA">
      <w:tc>
        <w:tcPr>
          <w:tcW w:w="3005" w:type="dxa"/>
          <w:tcMar/>
        </w:tcPr>
        <w:p w:rsidR="51D6BE8A" w:rsidP="51D6BE8A" w:rsidRDefault="51D6BE8A" w14:paraId="55F785F2" w14:textId="111A40B6">
          <w:pPr>
            <w:pStyle w:val="Header"/>
            <w:bidi w:val="0"/>
            <w:ind w:left="-115"/>
            <w:jc w:val="left"/>
            <w:rPr>
              <w:rFonts w:ascii="Calibri" w:hAnsi="Calibri" w:eastAsia="" w:cs=""/>
            </w:rPr>
          </w:pPr>
        </w:p>
      </w:tc>
      <w:tc>
        <w:tcPr>
          <w:tcW w:w="3005" w:type="dxa"/>
          <w:tcMar/>
        </w:tcPr>
        <w:p w:rsidR="51D6BE8A" w:rsidP="51D6BE8A" w:rsidRDefault="51D6BE8A" w14:paraId="27D4244A" w14:textId="416299E9">
          <w:pPr>
            <w:pStyle w:val="Header"/>
            <w:bidi w:val="0"/>
            <w:jc w:val="center"/>
            <w:rPr>
              <w:rFonts w:ascii="Calibri" w:hAnsi="Calibri" w:eastAsia="" w:cs=""/>
            </w:rPr>
          </w:pPr>
        </w:p>
      </w:tc>
      <w:tc>
        <w:tcPr>
          <w:tcW w:w="3005" w:type="dxa"/>
          <w:tcMar/>
        </w:tcPr>
        <w:p w:rsidR="51D6BE8A" w:rsidP="51D6BE8A" w:rsidRDefault="51D6BE8A" w14:paraId="291BDD06" w14:textId="4E09B419">
          <w:pPr>
            <w:pStyle w:val="Header"/>
            <w:bidi w:val="0"/>
            <w:ind w:right="-115"/>
            <w:jc w:val="right"/>
            <w:rPr>
              <w:rFonts w:ascii="Calibri" w:hAnsi="Calibri" w:eastAsia="" w:cs=""/>
            </w:rPr>
          </w:pPr>
        </w:p>
      </w:tc>
    </w:tr>
  </w:tbl>
  <w:p w:rsidR="51D6BE8A" w:rsidP="51D6BE8A" w:rsidRDefault="51D6BE8A" w14:paraId="1787E2BA" w14:textId="3E592859">
    <w:pPr>
      <w:pStyle w:val="Footer"/>
      <w:bidi w:val="0"/>
      <w:rPr>
        <w:rFonts w:ascii="Calibri" w:hAnsi="Calibri" w:eastAsia="" w:cs=""/>
      </w:rPr>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51D6BE8A" w:rsidRDefault="51D6BE8A" w14:paraId="0838F477" w14:textId="47CA82F2">
      <w:pPr>
        <w:spacing w:after="0" w:line="240" w:lineRule="auto"/>
      </w:pPr>
      <w:r>
        <w:separator/>
      </w:r>
    </w:p>
  </w:footnote>
  <w:footnote w:type="continuationSeparator" w:id="0">
    <w:p w:rsidR="51D6BE8A" w:rsidRDefault="51D6BE8A" w14:paraId="5A22A5A7" w14:textId="5B24FD05">
      <w:pPr>
        <w:spacing w:after="0" w:line="240" w:lineRule="auto"/>
      </w:pPr>
      <w:r>
        <w:continuationSeparator/>
      </w:r>
    </w:p>
  </w:footnote>
  <w:footnote w:id="16655">
    <w:p w:rsidR="51D6BE8A" w:rsidP="322A74FE" w:rsidRDefault="51D6BE8A" w14:paraId="63811EF8" w14:textId="0095309C">
      <w:pPr>
        <w:pStyle w:val="FootnoteText"/>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1D6BE8A">
        <w:rPr>
          <w:rStyle w:val="FootnoteReference"/>
          <w:rFonts w:ascii="Calibri" w:hAnsi="Calibri" w:eastAsia="" w:cs=""/>
          <w:sz w:val="20"/>
          <w:szCs w:val="20"/>
        </w:rPr>
        <w:footnoteRef/>
      </w:r>
      <w:r w:rsidRPr="51D6BE8A"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1066 ‘constitutes a turning point in history, since the conquest of England settled the broad outlines of European political geography.</w:t>
      </w:r>
      <w:r w:rsidRPr="322A74FE" w:rsidR="322A74FE">
        <w:rPr>
          <w:rFonts w:ascii="Arial Nova" w:hAnsi="Arial Nova" w:eastAsia="Arial Nova" w:cs="Arial Nova"/>
          <w:sz w:val="24"/>
          <w:szCs w:val="24"/>
        </w:rPr>
        <w:t xml:space="preserve">’</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Davis, H.W.C. (1928) England Under the Normans and Angevins. 9</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 Methuen and Co.</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footnote>
  <w:footnote w:id="2524">
    <w:p w:rsidR="51D6BE8A" w:rsidP="322A74FE" w:rsidRDefault="51D6BE8A" w14:paraId="5F98D7A0" w14:textId="53DF4C11">
      <w:pPr>
        <w:pStyle w:val="FootnoteText"/>
        <w:bidi w:val="0"/>
        <w:spacing w:after="0" w:line="24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1D6BE8A">
        <w:rPr>
          <w:rStyle w:val="FootnoteReference"/>
          <w:rFonts w:ascii="Calibri" w:hAnsi="Calibri" w:eastAsia="" w:cs=""/>
          <w:sz w:val="20"/>
          <w:szCs w:val="20"/>
        </w:rPr>
        <w:footnoteRef/>
      </w:r>
      <w:r w:rsidRPr="51D6BE8A"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w:t>
      </w:r>
      <w:proofErr w:type="gramStart"/>
      <w:r w:rsidRPr="322A74FE" w:rsidR="322A74FE">
        <w:rPr>
          <w:rFonts w:ascii="Arial Nova" w:hAnsi="Arial Nova" w:eastAsia="Arial Nova" w:cs="Arial Nova"/>
          <w:sz w:val="24"/>
          <w:szCs w:val="24"/>
        </w:rPr>
        <w:t>the</w:t>
      </w:r>
      <w:proofErr w:type="gramEnd"/>
      <w:r w:rsidRPr="322A74FE" w:rsidR="322A74FE">
        <w:rPr>
          <w:rFonts w:ascii="Arial Nova" w:hAnsi="Arial Nova" w:eastAsia="Arial Nova" w:cs="Arial Nova"/>
          <w:sz w:val="24"/>
          <w:szCs w:val="24"/>
        </w:rPr>
        <w:t xml:space="preserve"> bastard</w:t>
      </w:r>
      <w:r w:rsidRPr="322A74FE" w:rsidR="322A74FE">
        <w:rPr>
          <w:rFonts w:ascii="Arial Nova" w:hAnsi="Arial Nova" w:eastAsia="Arial Nova" w:cs="Arial Nova"/>
          <w:sz w:val="24"/>
          <w:szCs w:val="24"/>
        </w:rPr>
        <w:t>’ His</w:t>
      </w:r>
      <w:r w:rsidRPr="322A74FE" w:rsidR="322A74FE">
        <w:rPr>
          <w:rFonts w:ascii="Arial Nova" w:hAnsi="Arial Nova" w:eastAsia="Arial Nova" w:cs="Arial Nova"/>
          <w:sz w:val="24"/>
          <w:szCs w:val="24"/>
        </w:rPr>
        <w:t xml:space="preserve"> father, Duke Robert, had seen Arlotta, the daughter of a tanner in town, washing the linen by a brook by Falaise; and loving her had made her mother of his boy. Robert’s departure on a pilgrimage from which he never returned left William a child ruler among the most turbulent baronage in Christendom, treason and anarchy surrounded him as he grew to manhood.</w:t>
      </w:r>
      <w:r w:rsidRPr="322A74FE" w:rsidR="322A74FE">
        <w:rPr>
          <w:rFonts w:ascii="Arial Nova" w:hAnsi="Arial Nova" w:eastAsia="Arial Nova" w:cs="Arial Nova"/>
          <w:sz w:val="24"/>
          <w:szCs w:val="24"/>
        </w:rPr>
        <w:t xml:space="preserve">’</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Green, R.G. (1911) A Short History of the English People. MacMillan and Co.</w:t>
      </w:r>
    </w:p>
    <w:p w:rsidR="322A74FE" w:rsidP="322A74FE" w:rsidRDefault="322A74FE" w14:paraId="5EDFB3AB" w14:textId="26B36279">
      <w:pPr>
        <w:pStyle w:val="FootnoteText"/>
        <w:bidi w:val="0"/>
        <w:spacing w:after="0" w:line="240" w:lineRule="auto"/>
        <w:rPr>
          <w:rFonts w:ascii="Calibri" w:hAnsi="Calibri" w:eastAsia="" w:cs=""/>
          <w:b w:val="0"/>
          <w:bCs w:val="0"/>
          <w:i w:val="0"/>
          <w:iCs w:val="0"/>
          <w:caps w:val="0"/>
          <w:smallCaps w:val="0"/>
          <w:noProof w:val="0"/>
          <w:color w:val="000000" w:themeColor="text1" w:themeTint="FF" w:themeShade="FF"/>
          <w:sz w:val="20"/>
          <w:szCs w:val="20"/>
          <w:lang w:val="en-US"/>
        </w:rPr>
      </w:pPr>
      <w:r w:rsidRPr="322A74FE" w:rsidR="322A74FE">
        <w:rPr>
          <w:rFonts w:ascii="Calibri" w:hAnsi="Calibri" w:eastAsia="Calibri" w:cs="Calibri"/>
          <w:b w:val="0"/>
          <w:bCs w:val="0"/>
          <w:i w:val="0"/>
          <w:iCs w:val="0"/>
          <w:caps w:val="0"/>
          <w:smallCaps w:val="0"/>
          <w:noProof w:val="0"/>
          <w:color w:val="000000" w:themeColor="text1" w:themeTint="FF" w:themeShade="FF"/>
          <w:sz w:val="20"/>
          <w:szCs w:val="20"/>
          <w:lang w:val="en-US"/>
        </w:rPr>
        <w:t>King of England 1066-1087</w:t>
      </w:r>
    </w:p>
    <w:p w:rsidR="51D6BE8A" w:rsidP="51D6BE8A" w:rsidRDefault="51D6BE8A" w14:paraId="32B5EEBB" w14:textId="031A97F9">
      <w:pPr>
        <w:pStyle w:val="FootnoteText"/>
        <w:bidi w:val="0"/>
        <w:rPr>
          <w:rFonts w:ascii="Calibri" w:hAnsi="Calibri" w:eastAsia="" w:cs=""/>
          <w:sz w:val="20"/>
          <w:szCs w:val="20"/>
        </w:rPr>
      </w:pPr>
    </w:p>
  </w:footnote>
  <w:footnote w:id="17141">
    <w:p w:rsidR="51D6BE8A" w:rsidP="322A74FE" w:rsidRDefault="51D6BE8A" w14:paraId="49F6D5E4" w14:textId="353C0E53">
      <w:pPr>
        <w:pStyle w:val="FootnoteText"/>
        <w:bidi w:val="0"/>
        <w:rPr>
          <w:rFonts w:ascii="Arial Nova" w:hAnsi="Arial Nova" w:eastAsia="Arial Nova" w:cs="Arial Nova"/>
          <w:b w:val="0"/>
          <w:bCs w:val="0"/>
          <w:i w:val="0"/>
          <w:iCs w:val="0"/>
          <w:caps w:val="0"/>
          <w:smallCaps w:val="0"/>
          <w:noProof w:val="0"/>
          <w:color w:val="202122"/>
          <w:sz w:val="24"/>
          <w:szCs w:val="24"/>
          <w:lang w:val="en-GB"/>
        </w:rPr>
      </w:pPr>
      <w:r w:rsidRPr="51D6BE8A">
        <w:rPr>
          <w:rStyle w:val="FootnoteReference"/>
          <w:rFonts w:ascii="Calibri" w:hAnsi="Calibri" w:eastAsia="" w:cs=""/>
          <w:sz w:val="20"/>
          <w:szCs w:val="20"/>
        </w:rPr>
        <w:footnoteRef/>
      </w:r>
      <w:r w:rsidRPr="51D6BE8A"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This day is </w:t>
      </w:r>
      <w:r w:rsidRPr="322A74FE" w:rsidR="322A74FE">
        <w:rPr>
          <w:rFonts w:ascii="Arial Nova" w:hAnsi="Arial Nova" w:eastAsia="Arial Nova" w:cs="Arial Nova"/>
          <w:sz w:val="24"/>
          <w:szCs w:val="24"/>
        </w:rPr>
        <w:t xml:space="preserve">October 14</w:t>
      </w:r>
      <w:r w:rsidRPr="322A74FE" w:rsidR="322A74FE">
        <w:rPr>
          <w:rFonts w:ascii="Arial Nova" w:hAnsi="Arial Nova" w:eastAsia="Arial Nova" w:cs="Arial Nova"/>
          <w:sz w:val="24"/>
          <w:szCs w:val="24"/>
          <w:vertAlign w:val="superscript"/>
        </w:rPr>
        <w:t>th</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b w:val="0"/>
          <w:bCs w:val="0"/>
          <w:i w:val="0"/>
          <w:iCs w:val="0"/>
          <w:caps w:val="0"/>
          <w:smallCaps w:val="0"/>
          <w:noProof w:val="0"/>
          <w:color w:val="202122"/>
          <w:sz w:val="24"/>
          <w:szCs w:val="24"/>
          <w:lang w:val="en-GB"/>
        </w:rPr>
        <w:t xml:space="preserve">Kelly, J. N. D. (2006). </w:t>
      </w:r>
      <w:r w:rsidRPr="322A74FE" w:rsidR="322A74FE">
        <w:rPr>
          <w:rFonts w:ascii="Arial Nova" w:hAnsi="Arial Nova" w:eastAsia="Arial Nova" w:cs="Arial Nova"/>
          <w:b w:val="0"/>
          <w:bCs w:val="0"/>
          <w:i w:val="0"/>
          <w:iCs w:val="0"/>
          <w:caps w:val="0"/>
          <w:smallCaps w:val="0"/>
          <w:noProof w:val="0"/>
          <w:color w:val="202122"/>
          <w:sz w:val="24"/>
          <w:szCs w:val="24"/>
          <w:lang w:val="en-GB"/>
        </w:rPr>
        <w:t>Oxford Dictionary of the Popes</w:t>
      </w:r>
      <w:r w:rsidRPr="322A74FE" w:rsidR="322A74FE">
        <w:rPr>
          <w:rFonts w:ascii="Arial Nova" w:hAnsi="Arial Nova" w:eastAsia="Arial Nova" w:cs="Arial Nova"/>
          <w:b w:val="0"/>
          <w:bCs w:val="0"/>
          <w:i w:val="0"/>
          <w:iCs w:val="0"/>
          <w:caps w:val="0"/>
          <w:smallCaps w:val="0"/>
          <w:noProof w:val="0"/>
          <w:color w:val="202122"/>
          <w:sz w:val="24"/>
          <w:szCs w:val="24"/>
          <w:lang w:val="en-GB"/>
        </w:rPr>
        <w:t xml:space="preserve"> (2nd ed.). Oxford University Press. pp. 13–4</w:t>
      </w:r>
    </w:p>
  </w:footnote>
  <w:footnote w:id="14186">
    <w:p w:rsidR="51D6BE8A" w:rsidP="322A74FE" w:rsidRDefault="51D6BE8A" w14:paraId="5046F25C" w14:textId="610CDE17">
      <w:pPr>
        <w:pStyle w:val="FootnoteText"/>
        <w:bidi w:val="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1D6BE8A">
        <w:rPr>
          <w:rStyle w:val="FootnoteReference"/>
          <w:rFonts w:ascii="Calibri" w:hAnsi="Calibri" w:eastAsia="" w:cs=""/>
          <w:sz w:val="20"/>
          <w:szCs w:val="20"/>
        </w:rPr>
        <w:footnoteRef/>
      </w:r>
      <w:r w:rsidRPr="51D6BE8A" w:rsidR="322A74FE">
        <w:rPr>
          <w:rFonts w:ascii="Calibri" w:hAnsi="Calibri" w:eastAsia="" w:cs=""/>
          <w:sz w:val="20"/>
          <w:szCs w:val="20"/>
        </w:rPr>
        <w:t xml:space="preserve"> </w:t>
      </w:r>
      <w:r w:rsidRPr="322A74FE" w:rsidR="322A74FE">
        <w:rPr>
          <w:rFonts w:ascii="Arial Nova" w:hAnsi="Arial Nova" w:eastAsia="Arial Nova" w:cs="Arial Nova"/>
          <w:sz w:val="24"/>
          <w:szCs w:val="24"/>
        </w:rPr>
        <w:t>Harold</w:t>
      </w:r>
      <w:r w:rsidRPr="322A74FE" w:rsidR="322A74FE">
        <w:rPr>
          <w:rFonts w:ascii="Arial Nova" w:hAnsi="Arial Nova" w:eastAsia="Arial Nova" w:cs="Arial Nova"/>
          <w:sz w:val="24"/>
          <w:szCs w:val="24"/>
        </w:rPr>
        <w:t xml:space="preserve"> son of </w:t>
      </w:r>
      <w:proofErr w:type="spellStart"/>
      <w:r w:rsidRPr="322A74FE" w:rsidR="322A74FE">
        <w:rPr>
          <w:rFonts w:ascii="Arial Nova" w:hAnsi="Arial Nova" w:eastAsia="Arial Nova" w:cs="Arial Nova"/>
          <w:sz w:val="24"/>
          <w:szCs w:val="24"/>
        </w:rPr>
        <w:t>Godwin..</w:t>
      </w:r>
      <w:r w:rsidRPr="322A74FE" w:rsidR="322A74FE">
        <w:rPr>
          <w:rFonts w:ascii="Arial Nova" w:hAnsi="Arial Nova" w:eastAsia="Arial Nova" w:cs="Arial Nova"/>
          <w:sz w:val="24"/>
          <w:szCs w:val="24"/>
        </w:rPr>
        <w:t>’</w:t>
      </w:r>
      <w:r w:rsidRPr="322A74FE" w:rsidR="322A74FE">
        <w:rPr>
          <w:rFonts w:ascii="Arial Nova" w:hAnsi="Arial Nova" w:eastAsia="Arial Nova" w:cs="Arial Nova"/>
          <w:sz w:val="24"/>
          <w:szCs w:val="24"/>
        </w:rPr>
        <w:t>in</w:t>
      </w:r>
      <w:proofErr w:type="spellEnd"/>
      <w:r w:rsidRPr="322A74FE" w:rsidR="322A74FE">
        <w:rPr>
          <w:rFonts w:ascii="Arial Nova" w:hAnsi="Arial Nova" w:eastAsia="Arial Nova" w:cs="Arial Nova"/>
          <w:sz w:val="24"/>
          <w:szCs w:val="24"/>
        </w:rPr>
        <w:t xml:space="preserve"> the </w:t>
      </w:r>
      <w:proofErr w:type="gramStart"/>
      <w:r w:rsidRPr="322A74FE" w:rsidR="322A74FE">
        <w:rPr>
          <w:rFonts w:ascii="Arial Nova" w:hAnsi="Arial Nova" w:eastAsia="Arial Nova" w:cs="Arial Nova"/>
          <w:sz w:val="24"/>
          <w:szCs w:val="24"/>
        </w:rPr>
        <w:t>vain</w:t>
      </w:r>
      <w:proofErr w:type="gramEnd"/>
      <w:r w:rsidRPr="322A74FE" w:rsidR="322A74FE">
        <w:rPr>
          <w:rFonts w:ascii="Arial Nova" w:hAnsi="Arial Nova" w:eastAsia="Arial Nova" w:cs="Arial Nova"/>
          <w:sz w:val="24"/>
          <w:szCs w:val="24"/>
        </w:rPr>
        <w:t xml:space="preserve"> belief that energy, diplomatic skill, and the art of appealing to common interests, were a sufficient title to the first dignity in the state, he had induced the nation to disregard the principle of heredity and to take himself as the successor of  St.David.</w:t>
      </w:r>
      <w:r w:rsidRPr="322A74FE" w:rsidR="322A74FE">
        <w:rPr>
          <w:rFonts w:ascii="Arial Nova" w:hAnsi="Arial Nova" w:eastAsia="Arial Nova" w:cs="Arial Nova"/>
          <w:sz w:val="24"/>
          <w:szCs w:val="24"/>
        </w:rPr>
        <w:t xml:space="preserve">’</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Davis, H.W.C. (1928) England Under the Normans and Angevins. 9</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 Methuen and Co.</w:t>
      </w:r>
    </w:p>
    <w:p w:rsidR="51D6BE8A" w:rsidP="51D6BE8A" w:rsidRDefault="51D6BE8A" w14:paraId="093862C7" w14:textId="4CC7BE5F">
      <w:pPr>
        <w:pStyle w:val="FootnoteText"/>
        <w:bidi w:val="0"/>
        <w:rPr>
          <w:rFonts w:ascii="Calibri" w:hAnsi="Calibri" w:eastAsia="" w:cs=""/>
          <w:sz w:val="20"/>
          <w:szCs w:val="20"/>
        </w:rPr>
      </w:pPr>
    </w:p>
  </w:footnote>
  <w:footnote w:id="17428">
    <w:p w:rsidR="51D6BE8A" w:rsidP="322A74FE" w:rsidRDefault="51D6BE8A" w14:paraId="6C993F36" w14:textId="3E91F451">
      <w:pPr>
        <w:pStyle w:val="FootnoteText"/>
        <w:bidi w:val="0"/>
        <w:rPr>
          <w:rFonts w:ascii="Arial Nova" w:hAnsi="Arial Nova" w:eastAsia="Arial Nova" w:cs="Arial Nova"/>
          <w:color w:val="auto"/>
          <w:sz w:val="20"/>
          <w:szCs w:val="20"/>
          <w:u w:val="none"/>
        </w:rPr>
      </w:pPr>
      <w:r w:rsidRPr="322A74FE">
        <w:rPr>
          <w:rStyle w:val="FootnoteReference"/>
          <w:rFonts w:ascii="Arial Nova" w:hAnsi="Arial Nova" w:eastAsia="Arial Nova" w:cs="Arial Nova"/>
          <w:color w:val="auto"/>
          <w:sz w:val="20"/>
          <w:szCs w:val="20"/>
          <w:u w:val="none"/>
        </w:rPr>
        <w:footnoteRef/>
      </w:r>
      <w:r w:rsidRPr="322A74FE" w:rsidR="322A74FE">
        <w:rPr>
          <w:rFonts w:ascii="Arial Nova" w:hAnsi="Arial Nova" w:eastAsia="Arial Nova" w:cs="Arial Nova"/>
          <w:color w:val="auto"/>
          <w:sz w:val="20"/>
          <w:szCs w:val="20"/>
          <w:u w:val="none"/>
        </w:rPr>
        <w:t xml:space="preserve"> </w:t>
      </w:r>
      <w:r w:rsidRPr="322A74FE" w:rsidR="322A74FE">
        <w:rPr>
          <w:rFonts w:ascii="Arial Nova" w:hAnsi="Arial Nova" w:eastAsia="Arial Nova" w:cs="Arial Nova"/>
          <w:color w:val="auto"/>
          <w:sz w:val="24"/>
          <w:szCs w:val="24"/>
          <w:u w:val="none"/>
        </w:rPr>
        <w:t xml:space="preserve">I</w:t>
      </w:r>
      <w:r w:rsidRPr="322A74FE" w:rsidR="322A74FE">
        <w:rPr>
          <w:rFonts w:ascii="Arial Nova" w:hAnsi="Arial Nova" w:eastAsia="Arial Nova" w:cs="Arial Nova"/>
          <w:b w:val="0"/>
          <w:bCs w:val="0"/>
          <w:i w:val="0"/>
          <w:iCs w:val="0"/>
          <w:caps w:val="0"/>
          <w:smallCaps w:val="0"/>
          <w:noProof w:val="0"/>
          <w:color w:val="auto"/>
          <w:sz w:val="24"/>
          <w:szCs w:val="24"/>
          <w:u w:val="none"/>
          <w:lang w:val="en-GB"/>
        </w:rPr>
        <w:t>n the early 8th century Bede called Chester a city (</w:t>
      </w:r>
      <w:r w:rsidRPr="322A74FE" w:rsidR="322A74FE">
        <w:rPr>
          <w:rFonts w:ascii="Arial Nova" w:hAnsi="Arial Nova" w:eastAsia="Arial Nova" w:cs="Arial Nova"/>
          <w:b w:val="0"/>
          <w:bCs w:val="0"/>
          <w:i w:val="1"/>
          <w:iCs w:val="1"/>
          <w:caps w:val="0"/>
          <w:smallCaps w:val="0"/>
          <w:noProof w:val="0"/>
          <w:color w:val="auto"/>
          <w:sz w:val="24"/>
          <w:szCs w:val="24"/>
          <w:u w:val="none"/>
          <w:lang w:val="en-GB"/>
        </w:rPr>
        <w:t>civitas</w:t>
      </w:r>
      <w:r w:rsidRPr="322A74FE" w:rsidR="322A74FE">
        <w:rPr>
          <w:rFonts w:ascii="Arial Nova" w:hAnsi="Arial Nova" w:eastAsia="Arial Nova" w:cs="Arial Nova"/>
          <w:b w:val="0"/>
          <w:bCs w:val="0"/>
          <w:i w:val="0"/>
          <w:iCs w:val="0"/>
          <w:caps w:val="0"/>
          <w:smallCaps w:val="0"/>
          <w:noProof w:val="0"/>
          <w:color w:val="auto"/>
          <w:sz w:val="24"/>
          <w:szCs w:val="24"/>
          <w:u w:val="none"/>
          <w:lang w:val="en-GB"/>
        </w:rPr>
        <w:t xml:space="preserve">) and clearly knew of it as a Roman place</w:t>
      </w:r>
      <w:r w:rsidRPr="322A74FE" w:rsidR="322A74FE">
        <w:rPr>
          <w:rFonts w:ascii="Arial Nova" w:hAnsi="Arial Nova" w:eastAsia="Arial Nova" w:cs="Arial Nova"/>
          <w:b w:val="0"/>
          <w:bCs w:val="0"/>
          <w:i w:val="0"/>
          <w:iCs w:val="0"/>
          <w:caps w:val="0"/>
          <w:smallCaps w:val="0"/>
          <w:noProof w:val="0"/>
          <w:color w:val="auto"/>
          <w:sz w:val="24"/>
          <w:szCs w:val="24"/>
          <w:u w:val="none"/>
          <w:lang w:val="en-GB"/>
        </w:rPr>
        <w:t xml:space="preserve">. </w:t>
      </w:r>
      <w:hyperlink r:id="R05700309f09c4753">
        <w:r w:rsidRPr="322A74FE" w:rsidR="322A74FE">
          <w:rPr>
            <w:rStyle w:val="Hyperlink"/>
            <w:rFonts w:ascii="Arial Nova" w:hAnsi="Arial Nova" w:eastAsia="Arial Nova" w:cs="Arial Nova"/>
            <w:noProof w:val="0"/>
            <w:color w:val="auto"/>
            <w:sz w:val="24"/>
            <w:szCs w:val="24"/>
            <w:u w:val="none"/>
            <w:lang w:val="en-GB"/>
          </w:rPr>
          <w:t>Early medieval Chester 400-1230 | British History Online (british-history.ac.uk)</w:t>
        </w:r>
      </w:hyperlink>
    </w:p>
  </w:footnote>
  <w:footnote w:id="15959">
    <w:p w:rsidR="51D6BE8A" w:rsidP="322A74FE" w:rsidRDefault="51D6BE8A" w14:paraId="1EC9CC15" w14:textId="6236BE0C">
      <w:pPr>
        <w:pStyle w:val="FootnoteText"/>
        <w:bidi w:val="0"/>
        <w:rPr>
          <w:rFonts w:ascii="Calibri" w:hAnsi="Calibri" w:eastAsia="" w:cs=""/>
          <w:b w:val="0"/>
          <w:bCs w:val="0"/>
          <w:i w:val="0"/>
          <w:iCs w:val="0"/>
          <w:caps w:val="0"/>
          <w:smallCaps w:val="0"/>
          <w:noProof w:val="0"/>
          <w:color w:val="000000" w:themeColor="text1" w:themeTint="FF" w:themeShade="FF"/>
          <w:sz w:val="20"/>
          <w:szCs w:val="20"/>
          <w:lang w:val="en-GB"/>
        </w:rPr>
      </w:pPr>
      <w:r w:rsidRPr="51D6BE8A">
        <w:rPr>
          <w:rStyle w:val="FootnoteReference"/>
          <w:rFonts w:ascii="Calibri" w:hAnsi="Calibri" w:eastAsia="" w:cs=""/>
          <w:sz w:val="20"/>
          <w:szCs w:val="20"/>
        </w:rPr>
        <w:footnoteRef/>
      </w:r>
      <w:r w:rsidRPr="51D6BE8A"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w:t>
      </w:r>
      <w:r w:rsidRPr="322A74FE" w:rsidR="322A74FE">
        <w:rPr>
          <w:rFonts w:ascii="Arial Nova" w:hAnsi="Arial Nova" w:eastAsia="Arial Nova" w:cs="Arial Nova"/>
          <w:sz w:val="24"/>
          <w:szCs w:val="24"/>
        </w:rPr>
        <w:t xml:space="preserve">Young he was, Henry mounted the throne [1154] with a resolute purpose of government which is reign carried steadily out. His practical, serviceable frame suited the hardest worker of his time.... Henry’s personal </w:t>
      </w:r>
      <w:proofErr w:type="spellStart"/>
      <w:r w:rsidRPr="322A74FE" w:rsidR="322A74FE">
        <w:rPr>
          <w:rFonts w:ascii="Arial Nova" w:hAnsi="Arial Nova" w:eastAsia="Arial Nova" w:cs="Arial Nova"/>
          <w:sz w:val="24"/>
          <w:szCs w:val="24"/>
        </w:rPr>
        <w:t>charcter</w:t>
      </w:r>
      <w:proofErr w:type="spellEnd"/>
      <w:r w:rsidRPr="322A74FE" w:rsidR="322A74FE">
        <w:rPr>
          <w:rFonts w:ascii="Arial Nova" w:hAnsi="Arial Nova" w:eastAsia="Arial Nova" w:cs="Arial Nova"/>
          <w:sz w:val="24"/>
          <w:szCs w:val="24"/>
        </w:rPr>
        <w:t xml:space="preserve"> told directly on the character of his reign</w:t>
      </w:r>
      <w:r w:rsidRPr="51D6BE8A" w:rsidR="322A74FE">
        <w:rPr>
          <w:rFonts w:ascii="Calibri" w:hAnsi="Calibri" w:eastAsia="" w:cs=""/>
          <w:sz w:val="20"/>
          <w:szCs w:val="20"/>
        </w:rPr>
        <w:t xml:space="preserve">.</w:t>
      </w:r>
      <w:r w:rsidRPr="51D6BE8A" w:rsidR="322A74FE">
        <w:rPr>
          <w:rFonts w:ascii="Calibri" w:hAnsi="Calibri" w:eastAsia="" w:cs=""/>
          <w:sz w:val="20"/>
          <w:szCs w:val="20"/>
        </w:rPr>
        <w:t xml:space="preserve">’</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b w:val="0"/>
          <w:bCs w:val="0"/>
          <w:i w:val="0"/>
          <w:iCs w:val="0"/>
          <w:caps w:val="0"/>
          <w:smallCaps w:val="0"/>
          <w:noProof w:val="0"/>
          <w:color w:val="000000" w:themeColor="text1" w:themeTint="FF" w:themeShade="FF"/>
          <w:sz w:val="24"/>
          <w:szCs w:val="24"/>
          <w:lang w:val="en-US"/>
        </w:rPr>
        <w:t>Green, R.G. (1911) A Short History of the English People. MacMillan and Co.</w:t>
      </w:r>
    </w:p>
  </w:footnote>
  <w:footnote w:id="1086">
    <w:p w:rsidR="322A74FE" w:rsidP="322A74FE" w:rsidRDefault="322A74FE" w14:paraId="2243B142" w14:textId="7BBB5F48">
      <w:pPr>
        <w:pStyle w:val="FootnoteText"/>
        <w:bidi w:val="0"/>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Third son of Henry of II. Kong of England 1189-1199. He went on the third crusade. He was known as Richard the Lionheart for his might in battle. Addison, Charles (1842), The History of the Knights Templars, the Temple Church, and the Temple. Brown, Green, and Longmans.</w:t>
      </w:r>
    </w:p>
    <w:p w:rsidR="322A74FE" w:rsidP="322A74FE" w:rsidRDefault="322A74FE" w14:paraId="6AA1572F" w14:textId="1038AD8E">
      <w:pPr>
        <w:pStyle w:val="FootnoteText"/>
        <w:bidi w:val="0"/>
        <w:rPr>
          <w:rFonts w:ascii="Calibri" w:hAnsi="Calibri" w:eastAsia="" w:cs=""/>
          <w:sz w:val="20"/>
          <w:szCs w:val="20"/>
        </w:rPr>
      </w:pPr>
    </w:p>
  </w:footnote>
  <w:footnote w:id="14308">
    <w:p w:rsidR="322A74FE" w:rsidP="322A74FE" w:rsidRDefault="322A74FE" w14:paraId="328FED1D" w14:textId="11692F83">
      <w:pPr>
        <w:pStyle w:val="FootnoteText"/>
        <w:bidi w:val="0"/>
        <w:rPr>
          <w:rFonts w:ascii="Calibri" w:hAnsi="Calibri" w:eastAsia="" w:cs=""/>
          <w:b w:val="0"/>
          <w:bCs w:val="0"/>
          <w:i w:val="0"/>
          <w:iCs w:val="0"/>
          <w:caps w:val="0"/>
          <w:smallCaps w:val="0"/>
          <w:noProof w:val="0"/>
          <w:color w:val="3A3A3A"/>
          <w:sz w:val="20"/>
          <w:szCs w:val="20"/>
          <w:lang w:val="en-GB"/>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color w:val="auto"/>
          <w:sz w:val="24"/>
          <w:szCs w:val="24"/>
        </w:rPr>
        <w:t xml:space="preserve">Youngest of Henry II son’s King of England 1199-1216 </w:t>
      </w:r>
      <w:r w:rsidRPr="322A74FE" w:rsidR="322A74FE">
        <w:rPr>
          <w:rFonts w:ascii="Arial Nova" w:hAnsi="Arial Nova" w:eastAsia="Arial Nova" w:cs="Arial Nova"/>
          <w:color w:val="auto"/>
          <w:sz w:val="24"/>
          <w:szCs w:val="24"/>
        </w:rPr>
        <w:t xml:space="preserve">he went on to be a controversial leader, </w:t>
      </w:r>
      <w:proofErr w:type="spellStart"/>
      <w:r w:rsidRPr="322A74FE" w:rsidR="322A74FE">
        <w:rPr>
          <w:rFonts w:ascii="Arial Nova" w:hAnsi="Arial Nova" w:eastAsia="Arial Nova" w:cs="Arial Nova"/>
          <w:color w:val="auto"/>
          <w:sz w:val="24"/>
          <w:szCs w:val="24"/>
        </w:rPr>
        <w:t>namelably</w:t>
      </w:r>
      <w:proofErr w:type="spellEnd"/>
      <w:r w:rsidRPr="322A74FE" w:rsidR="322A74FE">
        <w:rPr>
          <w:rFonts w:ascii="Arial Nova" w:hAnsi="Arial Nova" w:eastAsia="Arial Nova" w:cs="Arial Nova"/>
          <w:color w:val="auto"/>
          <w:sz w:val="24"/>
          <w:szCs w:val="24"/>
        </w:rPr>
        <w:t xml:space="preserve"> the uprising of his barons and the Magna Carta. </w:t>
      </w:r>
      <w:r w:rsidRPr="322A74FE" w:rsidR="322A74FE">
        <w:rPr>
          <w:rFonts w:ascii="Arial Nova" w:hAnsi="Arial Nova" w:eastAsia="Arial Nova" w:cs="Arial Nova"/>
          <w:b w:val="0"/>
          <w:bCs w:val="0"/>
          <w:i w:val="0"/>
          <w:iCs w:val="0"/>
          <w:caps w:val="0"/>
          <w:smallCaps w:val="0"/>
          <w:noProof w:val="0"/>
          <w:color w:val="auto"/>
          <w:sz w:val="24"/>
          <w:szCs w:val="24"/>
          <w:lang w:val="en-GB"/>
        </w:rPr>
        <w:t>Norgate. (1970).</w:t>
      </w:r>
      <w:r w:rsidRPr="322A74FE" w:rsidR="322A74FE">
        <w:rPr>
          <w:rFonts w:ascii="Arial Nova" w:hAnsi="Arial Nova" w:eastAsia="Arial Nova" w:cs="Arial Nova"/>
          <w:b w:val="0"/>
          <w:bCs w:val="0"/>
          <w:i w:val="0"/>
          <w:iCs w:val="0"/>
          <w:caps w:val="0"/>
          <w:smallCaps w:val="0"/>
          <w:noProof w:val="0"/>
          <w:color w:val="auto"/>
          <w:sz w:val="24"/>
          <w:szCs w:val="24"/>
          <w:lang w:val="en-GB"/>
        </w:rPr>
        <w:t xml:space="preserve"> </w:t>
      </w:r>
      <w:r w:rsidRPr="322A74FE" w:rsidR="322A74FE">
        <w:rPr>
          <w:rFonts w:ascii="Arial Nova" w:hAnsi="Arial Nova" w:eastAsia="Arial Nova" w:cs="Arial Nova"/>
          <w:b w:val="0"/>
          <w:bCs w:val="0"/>
          <w:i w:val="0"/>
          <w:iCs w:val="0"/>
          <w:caps w:val="0"/>
          <w:smallCaps w:val="0"/>
          <w:noProof w:val="0"/>
          <w:color w:val="auto"/>
          <w:sz w:val="24"/>
          <w:szCs w:val="24"/>
          <w:lang w:val="en-GB"/>
        </w:rPr>
        <w:t>John Lackland</w:t>
      </w:r>
      <w:r w:rsidRPr="322A74FE" w:rsidR="322A74FE">
        <w:rPr>
          <w:rFonts w:ascii="Arial Nova" w:hAnsi="Arial Nova" w:eastAsia="Arial Nova" w:cs="Arial Nova"/>
          <w:b w:val="0"/>
          <w:bCs w:val="0"/>
          <w:i w:val="1"/>
          <w:iCs w:val="1"/>
          <w:caps w:val="0"/>
          <w:smallCaps w:val="0"/>
          <w:noProof w:val="0"/>
          <w:color w:val="auto"/>
          <w:sz w:val="24"/>
          <w:szCs w:val="24"/>
          <w:lang w:val="en-GB"/>
        </w:rPr>
        <w:t>.</w:t>
      </w:r>
      <w:r w:rsidRPr="322A74FE" w:rsidR="322A74FE">
        <w:rPr>
          <w:rFonts w:ascii="Arial Nova" w:hAnsi="Arial Nova" w:eastAsia="Arial Nova" w:cs="Arial Nova"/>
          <w:b w:val="0"/>
          <w:bCs w:val="0"/>
          <w:i w:val="0"/>
          <w:iCs w:val="0"/>
          <w:caps w:val="0"/>
          <w:smallCaps w:val="0"/>
          <w:noProof w:val="0"/>
          <w:color w:val="auto"/>
          <w:sz w:val="24"/>
          <w:szCs w:val="24"/>
          <w:lang w:val="en-GB"/>
        </w:rPr>
        <w:t xml:space="preserve"> A.M.S</w:t>
      </w:r>
    </w:p>
  </w:footnote>
  <w:footnote w:id="24885">
    <w:p w:rsidR="322A74FE" w:rsidP="322A74FE" w:rsidRDefault="322A74FE" w14:paraId="0121423D" w14:textId="2C232C8E">
      <w:pPr>
        <w:pStyle w:val="FootnoteText"/>
        <w:bidi w:val="0"/>
        <w:rPr>
          <w:rFonts w:ascii="Calibri" w:hAnsi="Calibri" w:eastAsia="" w:cs=""/>
          <w:b w:val="0"/>
          <w:bCs w:val="0"/>
          <w:i w:val="0"/>
          <w:iCs w:val="0"/>
          <w:caps w:val="0"/>
          <w:smallCaps w:val="0"/>
          <w:noProof w:val="0"/>
          <w:color w:val="202122"/>
          <w:sz w:val="20"/>
          <w:szCs w:val="20"/>
          <w:lang w:val="en-GB"/>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On the river Vienne in Chinon was founded by </w:t>
      </w:r>
      <w:r w:rsidRPr="322A74FE" w:rsidR="322A74FE">
        <w:rPr>
          <w:rFonts w:ascii="Arial Nova" w:hAnsi="Arial Nova" w:eastAsia="Arial Nova" w:cs="Arial Nova"/>
          <w:sz w:val="24"/>
          <w:szCs w:val="24"/>
        </w:rPr>
        <w:t xml:space="preserve">Theobald I, Count of Blois. </w:t>
      </w:r>
      <w:r w:rsidRPr="322A74FE" w:rsidR="322A74FE">
        <w:rPr>
          <w:rFonts w:ascii="Arial Nova" w:hAnsi="Arial Nova" w:eastAsia="Arial Nova" w:cs="Arial Nova"/>
          <w:b w:val="0"/>
          <w:bCs w:val="0"/>
          <w:i w:val="0"/>
          <w:iCs w:val="0"/>
          <w:caps w:val="0"/>
          <w:smallCaps w:val="0"/>
          <w:noProof w:val="0"/>
          <w:color w:val="202122"/>
          <w:sz w:val="24"/>
          <w:szCs w:val="24"/>
          <w:lang w:val="en-GB"/>
        </w:rPr>
        <w:t>Garrett, Martin (2011),</w:t>
      </w:r>
      <w:r w:rsidRPr="322A74FE" w:rsidR="322A74FE">
        <w:rPr>
          <w:rFonts w:ascii="Arial Nova" w:hAnsi="Arial Nova" w:eastAsia="Arial Nova" w:cs="Arial Nova"/>
          <w:b w:val="0"/>
          <w:bCs w:val="0"/>
          <w:i w:val="0"/>
          <w:iCs w:val="0"/>
          <w:caps w:val="0"/>
          <w:smallCaps w:val="0"/>
          <w:noProof w:val="0"/>
          <w:color w:val="202122"/>
          <w:sz w:val="24"/>
          <w:szCs w:val="24"/>
          <w:lang w:val="en-GB"/>
        </w:rPr>
        <w:t xml:space="preserve"> </w:t>
      </w:r>
      <w:r w:rsidRPr="322A74FE" w:rsidR="322A74FE">
        <w:rPr>
          <w:rFonts w:ascii="Arial Nova" w:hAnsi="Arial Nova" w:eastAsia="Arial Nova" w:cs="Arial Nova"/>
          <w:b w:val="0"/>
          <w:bCs w:val="0"/>
          <w:i w:val="0"/>
          <w:iCs w:val="0"/>
          <w:caps w:val="0"/>
          <w:smallCaps w:val="0"/>
          <w:noProof w:val="0"/>
          <w:color w:val="202122"/>
          <w:sz w:val="24"/>
          <w:szCs w:val="24"/>
          <w:lang w:val="en-GB"/>
        </w:rPr>
        <w:t>The Loire: A Cultural History</w:t>
      </w:r>
      <w:r w:rsidRPr="322A74FE" w:rsidR="322A74FE">
        <w:rPr>
          <w:rFonts w:ascii="Arial Nova" w:hAnsi="Arial Nova" w:eastAsia="Arial Nova" w:cs="Arial Nova"/>
          <w:b w:val="0"/>
          <w:bCs w:val="0"/>
          <w:i w:val="0"/>
          <w:iCs w:val="0"/>
          <w:caps w:val="0"/>
          <w:smallCaps w:val="0"/>
          <w:noProof w:val="0"/>
          <w:color w:val="202122"/>
          <w:sz w:val="24"/>
          <w:szCs w:val="24"/>
          <w:lang w:val="en-GB"/>
        </w:rPr>
        <w:t xml:space="preserve">, </w:t>
      </w:r>
      <w:r w:rsidRPr="322A74FE" w:rsidR="322A74FE">
        <w:rPr>
          <w:rFonts w:ascii="Arial Nova" w:hAnsi="Arial Nova" w:eastAsia="Arial Nova" w:cs="Arial Nova"/>
          <w:b w:val="0"/>
          <w:bCs w:val="0"/>
          <w:i w:val="0"/>
          <w:iCs w:val="0"/>
          <w:caps w:val="0"/>
          <w:smallCaps w:val="0"/>
          <w:noProof w:val="0"/>
          <w:color w:val="202122"/>
          <w:sz w:val="24"/>
          <w:szCs w:val="24"/>
          <w:lang w:val="en-GB"/>
        </w:rPr>
        <w:t>Oxford University Press</w:t>
      </w:r>
    </w:p>
  </w:footnote>
  <w:footnote w:id="31003">
    <w:p w:rsidR="322A74FE" w:rsidP="322A74FE" w:rsidRDefault="322A74FE" w14:paraId="201B335E" w14:textId="3798E802">
      <w:pPr>
        <w:pStyle w:val="FootnoteText"/>
        <w:bidi w:val="0"/>
        <w:rPr>
          <w:rFonts w:ascii="Calibri" w:hAnsi="Calibri" w:eastAsia="" w:cs=""/>
          <w:b w:val="0"/>
          <w:bCs w:val="0"/>
          <w:i w:val="0"/>
          <w:iCs w:val="0"/>
          <w:caps w:val="0"/>
          <w:smallCaps w:val="0"/>
          <w:noProof w:val="0"/>
          <w:color w:val="202122"/>
          <w:sz w:val="20"/>
          <w:szCs w:val="20"/>
          <w:lang w:val="en-GB"/>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A loyal soldier with Richard I on the third crusade and the conquest of Cyprus. He was renowned for carrying Richard’s armoury all the way to the Holy land and gave </w:t>
      </w:r>
      <w:r w:rsidRPr="322A74FE" w:rsidR="322A74FE">
        <w:rPr>
          <w:rFonts w:ascii="Arial Nova" w:hAnsi="Arial Nova" w:eastAsia="Arial Nova" w:cs="Arial Nova"/>
          <w:sz w:val="24"/>
          <w:szCs w:val="24"/>
        </w:rPr>
        <w:t>himself</w:t>
      </w:r>
      <w:r w:rsidRPr="322A74FE" w:rsidR="322A74FE">
        <w:rPr>
          <w:rFonts w:ascii="Arial Nova" w:hAnsi="Arial Nova" w:eastAsia="Arial Nova" w:cs="Arial Nova"/>
          <w:sz w:val="24"/>
          <w:szCs w:val="24"/>
        </w:rPr>
        <w:t xml:space="preserve"> as hostage when </w:t>
      </w:r>
      <w:r w:rsidRPr="322A74FE" w:rsidR="322A74FE">
        <w:rPr>
          <w:rFonts w:ascii="Arial Nova" w:hAnsi="Arial Nova" w:eastAsia="Arial Nova" w:cs="Arial Nova"/>
          <w:sz w:val="24"/>
          <w:szCs w:val="24"/>
        </w:rPr>
        <w:t>Richard</w:t>
      </w:r>
      <w:r w:rsidRPr="322A74FE" w:rsidR="322A74FE">
        <w:rPr>
          <w:rFonts w:ascii="Arial Nova" w:hAnsi="Arial Nova" w:eastAsia="Arial Nova" w:cs="Arial Nova"/>
          <w:sz w:val="24"/>
          <w:szCs w:val="24"/>
        </w:rPr>
        <w:t xml:space="preserve"> was captured </w:t>
      </w:r>
      <w:r w:rsidRPr="322A74FE" w:rsidR="322A74FE">
        <w:rPr>
          <w:rFonts w:ascii="Arial Nova" w:hAnsi="Arial Nova" w:eastAsia="Arial Nova" w:cs="Arial Nova"/>
          <w:sz w:val="24"/>
          <w:szCs w:val="24"/>
        </w:rPr>
        <w:t>in Vienna</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b w:val="0"/>
          <w:bCs w:val="0"/>
          <w:i w:val="0"/>
          <w:iCs w:val="0"/>
          <w:caps w:val="0"/>
          <w:smallCaps w:val="0"/>
          <w:noProof w:val="0"/>
          <w:color w:val="202122"/>
          <w:sz w:val="24"/>
          <w:szCs w:val="24"/>
          <w:lang w:val="en-GB"/>
        </w:rPr>
        <w:t>Gillingham, J. (1999). Richard I. Yale University Press.</w:t>
      </w:r>
    </w:p>
  </w:footnote>
  <w:footnote w:id="6798">
    <w:p w:rsidR="322A74FE" w:rsidP="322A74FE" w:rsidRDefault="322A74FE" w14:paraId="35F2A8F0" w14:textId="3FBA0A6A">
      <w:pPr>
        <w:pStyle w:val="FootnoteText"/>
        <w:bidi w:val="0"/>
        <w:rPr>
          <w:rFonts w:ascii="Calibri" w:hAnsi="Calibri" w:eastAsia="" w:cs=""/>
          <w:sz w:val="20"/>
          <w:szCs w:val="20"/>
        </w:rPr>
      </w:pPr>
      <w:r w:rsidRPr="322A74FE">
        <w:rPr>
          <w:rStyle w:val="FootnoteReference"/>
          <w:rFonts w:ascii="Calibri" w:hAnsi="Calibri" w:eastAsia="" w:cs=""/>
          <w:sz w:val="20"/>
          <w:szCs w:val="20"/>
        </w:rPr>
        <w:footnoteRef/>
      </w:r>
      <w:r w:rsidRPr="322A74FE" w:rsidR="322A74FE">
        <w:rPr>
          <w:rFonts w:ascii="Arial Nova" w:hAnsi="Arial Nova" w:eastAsia="Arial Nova" w:cs="Arial Nova"/>
          <w:color w:val="auto"/>
          <w:sz w:val="24"/>
          <w:szCs w:val="24"/>
        </w:rPr>
        <w:t xml:space="preserve"> The eight days celebrated from Easter Friday. </w:t>
      </w:r>
      <w:hyperlink r:id="Rc363a115e7654c42">
        <w:r w:rsidRPr="322A74FE" w:rsidR="322A74FE">
          <w:rPr>
            <w:rStyle w:val="Hyperlink"/>
            <w:rFonts w:ascii="Arial Nova" w:hAnsi="Arial Nova" w:eastAsia="Arial Nova" w:cs="Arial Nova"/>
            <w:noProof w:val="0"/>
            <w:color w:val="auto"/>
            <w:sz w:val="24"/>
            <w:szCs w:val="24"/>
            <w:lang w:val="en-GB"/>
          </w:rPr>
          <w:t>The Easter Octave | Catholic Culture</w:t>
        </w:r>
      </w:hyperlink>
    </w:p>
  </w:footnote>
  <w:footnote w:id="7187">
    <w:p w:rsidR="322A74FE" w:rsidP="322A74FE" w:rsidRDefault="322A74FE" w14:paraId="0B5B99F5" w14:textId="59626BD1">
      <w:pPr>
        <w:pStyle w:val="FootnoteText"/>
        <w:bidi w:val="0"/>
        <w:rPr>
          <w:rStyle w:val="FootnoteReference"/>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Style w:val="FootnoteReference"/>
          <w:rFonts w:ascii="Arial Nova" w:hAnsi="Arial Nova" w:eastAsia="Arial Nova" w:cs="Arial Nova"/>
          <w:sz w:val="20"/>
          <w:szCs w:val="20"/>
        </w:rPr>
        <w:t xml:space="preserve"> </w:t>
      </w:r>
      <w:r w:rsidRPr="322A74FE" w:rsidR="322A74FE">
        <w:rPr>
          <w:rStyle w:val="FootnoteReference"/>
          <w:rFonts w:ascii="Arial Nova" w:hAnsi="Arial Nova" w:eastAsia="Arial Nova" w:cs="Arial Nova"/>
          <w:sz w:val="24"/>
          <w:szCs w:val="24"/>
        </w:rPr>
        <w:t xml:space="preserve"> </w:t>
      </w:r>
      <w:r w:rsidRPr="322A74FE" w:rsidR="322A74FE">
        <w:rPr>
          <w:rStyle w:val="FootnoteReference"/>
          <w:rFonts w:ascii="Arial Nova" w:hAnsi="Arial Nova" w:eastAsia="Arial Nova" w:cs="Arial Nova"/>
          <w:sz w:val="24"/>
          <w:szCs w:val="24"/>
        </w:rPr>
        <w:t>Area Noth West of France associated to the Brythonic Celts with their own Breton language. (2006) Volume 1 of Celtic Culture: A Historical Encyclopaedia. ABC-CLIO</w:t>
      </w:r>
    </w:p>
    <w:p w:rsidR="322A74FE" w:rsidP="322A74FE" w:rsidRDefault="322A74FE" w14:paraId="7FC2EA61" w14:textId="29E45F5F">
      <w:pPr>
        <w:pStyle w:val="FootnoteText"/>
        <w:bidi w:val="0"/>
        <w:rPr>
          <w:rFonts w:ascii="Calibri" w:hAnsi="Calibri" w:eastAsia="" w:cs=""/>
          <w:b w:val="0"/>
          <w:bCs w:val="0"/>
          <w:i w:val="0"/>
          <w:iCs w:val="0"/>
          <w:caps w:val="0"/>
          <w:smallCaps w:val="0"/>
          <w:noProof w:val="0"/>
          <w:color w:val="222222"/>
          <w:sz w:val="20"/>
          <w:szCs w:val="20"/>
          <w:lang w:val="en-GB"/>
        </w:rPr>
      </w:pPr>
    </w:p>
  </w:footnote>
  <w:footnote w:id="9447">
    <w:p w:rsidR="322A74FE" w:rsidP="322A74FE" w:rsidRDefault="322A74FE" w14:paraId="3A58EC9A" w14:textId="78ADD682">
      <w:pPr>
        <w:pStyle w:val="FootnoteText"/>
        <w:bidi w:val="0"/>
        <w:rPr>
          <w:rFonts w:ascii="Calibri" w:hAnsi="Calibri" w:eastAsia="" w:cs=""/>
          <w:sz w:val="20"/>
          <w:szCs w:val="20"/>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color w:val="auto"/>
          <w:sz w:val="24"/>
          <w:szCs w:val="24"/>
        </w:rPr>
        <w:t xml:space="preserve">Area in France on the Noth west below Brittany. </w:t>
      </w:r>
      <w:hyperlink r:id="Rff5b252b970647fd">
        <w:r w:rsidRPr="322A74FE" w:rsidR="322A74FE">
          <w:rPr>
            <w:rStyle w:val="Hyperlink"/>
            <w:rFonts w:ascii="Arial Nova" w:hAnsi="Arial Nova" w:eastAsia="Arial Nova" w:cs="Arial Nova"/>
            <w:noProof w:val="0"/>
            <w:color w:val="auto"/>
            <w:sz w:val="24"/>
            <w:szCs w:val="24"/>
            <w:lang w:val="en-GB"/>
          </w:rPr>
          <w:t>Anjou | region, France | Britannica</w:t>
        </w:r>
      </w:hyperlink>
    </w:p>
  </w:footnote>
  <w:footnote w:id="548">
    <w:p w:rsidR="322A74FE" w:rsidP="322A74FE" w:rsidRDefault="322A74FE" w14:paraId="5B219986" w14:textId="2B095998">
      <w:pPr>
        <w:pStyle w:val="FootnoteText"/>
        <w:bidi w:val="0"/>
        <w:rPr>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Fonts w:ascii="Arial Nova" w:hAnsi="Arial Nova" w:eastAsia="Arial Nova" w:cs="Arial Nova"/>
          <w:sz w:val="24"/>
          <w:szCs w:val="24"/>
        </w:rPr>
        <w:t xml:space="preserve"> Arthur was the posthumous son of Geoffrey II. After Richard I death disputes arose to his succession. </w:t>
      </w:r>
      <w:r w:rsidRPr="322A74FE" w:rsidR="322A74FE">
        <w:rPr>
          <w:rFonts w:ascii="Arial Nova" w:hAnsi="Arial Nova" w:eastAsia="Arial Nova" w:cs="Arial Nova"/>
          <w:sz w:val="24"/>
          <w:szCs w:val="24"/>
        </w:rPr>
        <w:t>Richard</w:t>
      </w:r>
      <w:r w:rsidRPr="322A74FE" w:rsidR="322A74FE">
        <w:rPr>
          <w:rFonts w:ascii="Arial Nova" w:hAnsi="Arial Nova" w:eastAsia="Arial Nova" w:cs="Arial Nova"/>
          <w:sz w:val="24"/>
          <w:szCs w:val="24"/>
        </w:rPr>
        <w:t xml:space="preserve"> named his </w:t>
      </w:r>
      <w:r w:rsidRPr="322A74FE" w:rsidR="322A74FE">
        <w:rPr>
          <w:rFonts w:ascii="Arial Nova" w:hAnsi="Arial Nova" w:eastAsia="Arial Nova" w:cs="Arial Nova"/>
          <w:sz w:val="24"/>
          <w:szCs w:val="24"/>
        </w:rPr>
        <w:t>younger</w:t>
      </w:r>
      <w:r w:rsidRPr="322A74FE" w:rsidR="322A74FE">
        <w:rPr>
          <w:rFonts w:ascii="Arial Nova" w:hAnsi="Arial Nova" w:eastAsia="Arial Nova" w:cs="Arial Nova"/>
          <w:sz w:val="24"/>
          <w:szCs w:val="24"/>
        </w:rPr>
        <w:t xml:space="preserve"> brother John</w:t>
      </w:r>
      <w:r w:rsidRPr="322A74FE" w:rsidR="322A74FE">
        <w:rPr>
          <w:rFonts w:ascii="Arial Nova" w:hAnsi="Arial Nova" w:eastAsia="Arial Nova" w:cs="Arial Nova"/>
          <w:sz w:val="24"/>
          <w:szCs w:val="24"/>
        </w:rPr>
        <w:t xml:space="preserve"> as his heir to the throne</w:t>
      </w:r>
      <w:r w:rsidRPr="322A74FE" w:rsidR="322A74FE">
        <w:rPr>
          <w:rFonts w:ascii="Arial Nova" w:hAnsi="Arial Nova" w:eastAsia="Arial Nova" w:cs="Arial Nova"/>
          <w:sz w:val="24"/>
          <w:szCs w:val="24"/>
        </w:rPr>
        <w:t xml:space="preserve">. Arthur rebelled but was capture and held captive in Rouen. His fate is uncertain, </w:t>
      </w:r>
      <w:proofErr w:type="gramStart"/>
      <w:r w:rsidRPr="322A74FE" w:rsidR="322A74FE">
        <w:rPr>
          <w:rFonts w:ascii="Arial Nova" w:hAnsi="Arial Nova" w:eastAsia="Arial Nova" w:cs="Arial Nova"/>
          <w:sz w:val="24"/>
          <w:szCs w:val="24"/>
        </w:rPr>
        <w:t>its</w:t>
      </w:r>
      <w:proofErr w:type="gramEnd"/>
      <w:r w:rsidRPr="322A74FE" w:rsidR="322A74FE">
        <w:rPr>
          <w:rFonts w:ascii="Arial Nova" w:hAnsi="Arial Nova" w:eastAsia="Arial Nova" w:cs="Arial Nova"/>
          <w:sz w:val="24"/>
          <w:szCs w:val="24"/>
        </w:rPr>
        <w:t xml:space="preserve"> assumed he was disposed of by John. The Chronicles of Margam </w:t>
      </w:r>
      <w:r w:rsidRPr="322A74FE" w:rsidR="322A74FE">
        <w:rPr>
          <w:rFonts w:ascii="Arial Nova" w:hAnsi="Arial Nova" w:eastAsia="Arial Nova" w:cs="Arial Nova"/>
          <w:sz w:val="24"/>
          <w:szCs w:val="24"/>
        </w:rPr>
        <w:t>relay</w:t>
      </w:r>
      <w:r w:rsidRPr="322A74FE" w:rsidR="322A74FE">
        <w:rPr>
          <w:rFonts w:ascii="Arial Nova" w:hAnsi="Arial Nova" w:eastAsia="Arial Nova" w:cs="Arial Nova"/>
          <w:sz w:val="24"/>
          <w:szCs w:val="24"/>
        </w:rPr>
        <w:t xml:space="preserve"> his fate by John. </w:t>
      </w:r>
      <w:r w:rsidRPr="322A74FE" w:rsidR="322A74FE">
        <w:rPr>
          <w:rFonts w:ascii="Arial Nova" w:hAnsi="Arial Nova" w:eastAsia="Arial Nova" w:cs="Arial Nova"/>
          <w:sz w:val="24"/>
          <w:szCs w:val="24"/>
        </w:rPr>
        <w:t>This</w:t>
      </w:r>
      <w:r w:rsidRPr="322A74FE" w:rsidR="322A74FE">
        <w:rPr>
          <w:rFonts w:ascii="Arial Nova" w:hAnsi="Arial Nova" w:eastAsia="Arial Nova" w:cs="Arial Nova"/>
          <w:sz w:val="24"/>
          <w:szCs w:val="24"/>
        </w:rPr>
        <w:t xml:space="preserve"> story of </w:t>
      </w:r>
      <w:r w:rsidRPr="322A74FE" w:rsidR="322A74FE">
        <w:rPr>
          <w:rFonts w:ascii="Arial Nova" w:hAnsi="Arial Nova" w:eastAsia="Arial Nova" w:cs="Arial Nova"/>
          <w:sz w:val="24"/>
          <w:szCs w:val="24"/>
        </w:rPr>
        <w:t>an unpopular</w:t>
      </w:r>
      <w:r w:rsidRPr="322A74FE" w:rsidR="322A74FE">
        <w:rPr>
          <w:rFonts w:ascii="Arial Nova" w:hAnsi="Arial Nova" w:eastAsia="Arial Nova" w:cs="Arial Nova"/>
          <w:sz w:val="24"/>
          <w:szCs w:val="24"/>
        </w:rPr>
        <w:t xml:space="preserve"> King John and the murder of his nephew made famous by Shakespear play.</w:t>
      </w:r>
    </w:p>
    <w:p w:rsidR="322A74FE" w:rsidP="322A74FE" w:rsidRDefault="322A74FE" w14:paraId="28FE466B" w14:textId="7730A487">
      <w:pPr>
        <w:pStyle w:val="FootnoteText"/>
        <w:bidi w:val="0"/>
        <w:rPr>
          <w:rFonts w:ascii="Arial Nova" w:hAnsi="Arial Nova" w:eastAsia="Arial Nova" w:cs="Arial Nova"/>
          <w:b w:val="0"/>
          <w:bCs w:val="0"/>
          <w:i w:val="0"/>
          <w:iCs w:val="0"/>
          <w:caps w:val="0"/>
          <w:smallCaps w:val="0"/>
          <w:noProof w:val="0"/>
          <w:color w:val="3A3A3A"/>
          <w:sz w:val="24"/>
          <w:szCs w:val="24"/>
          <w:lang w:val="en-GB"/>
        </w:rPr>
      </w:pPr>
      <w:proofErr w:type="spellStart"/>
      <w:r w:rsidRPr="322A74FE" w:rsidR="322A74FE">
        <w:rPr>
          <w:rFonts w:ascii="Arial Nova" w:hAnsi="Arial Nova" w:eastAsia="Arial Nova" w:cs="Arial Nova"/>
          <w:b w:val="0"/>
          <w:bCs w:val="0"/>
          <w:i w:val="0"/>
          <w:iCs w:val="0"/>
          <w:caps w:val="0"/>
          <w:smallCaps w:val="0"/>
          <w:noProof w:val="0"/>
          <w:color w:val="3A3A3A"/>
          <w:sz w:val="24"/>
          <w:szCs w:val="24"/>
          <w:lang w:val="en-GB"/>
        </w:rPr>
        <w:t>Powicke</w:t>
      </w:r>
      <w:proofErr w:type="spellEnd"/>
      <w:r w:rsidRPr="322A74FE" w:rsidR="322A74FE">
        <w:rPr>
          <w:rFonts w:ascii="Arial Nova" w:hAnsi="Arial Nova" w:eastAsia="Arial Nova" w:cs="Arial Nova"/>
          <w:b w:val="0"/>
          <w:bCs w:val="0"/>
          <w:i w:val="0"/>
          <w:iCs w:val="0"/>
          <w:caps w:val="0"/>
          <w:smallCaps w:val="0"/>
          <w:noProof w:val="0"/>
          <w:color w:val="3A3A3A"/>
          <w:sz w:val="24"/>
          <w:szCs w:val="24"/>
          <w:lang w:val="en-GB"/>
        </w:rPr>
        <w:t xml:space="preserve"> (1909) King John and Arthur of Brittany. </w:t>
      </w:r>
      <w:r w:rsidRPr="322A74FE" w:rsidR="322A74FE">
        <w:rPr>
          <w:rFonts w:ascii="Arial Nova" w:hAnsi="Arial Nova" w:eastAsia="Arial Nova" w:cs="Arial Nova"/>
          <w:b w:val="0"/>
          <w:bCs w:val="0"/>
          <w:i w:val="1"/>
          <w:iCs w:val="1"/>
          <w:caps w:val="0"/>
          <w:smallCaps w:val="0"/>
          <w:noProof w:val="0"/>
          <w:color w:val="3A3A3A"/>
          <w:sz w:val="24"/>
          <w:szCs w:val="24"/>
          <w:lang w:val="en-GB"/>
        </w:rPr>
        <w:t>The English Historical Review</w:t>
      </w:r>
      <w:r w:rsidRPr="322A74FE" w:rsidR="322A74FE">
        <w:rPr>
          <w:rFonts w:ascii="Arial Nova" w:hAnsi="Arial Nova" w:eastAsia="Arial Nova" w:cs="Arial Nova"/>
          <w:b w:val="0"/>
          <w:bCs w:val="0"/>
          <w:i w:val="0"/>
          <w:iCs w:val="0"/>
          <w:caps w:val="0"/>
          <w:smallCaps w:val="0"/>
          <w:noProof w:val="0"/>
          <w:color w:val="3A3A3A"/>
          <w:sz w:val="24"/>
          <w:szCs w:val="24"/>
          <w:lang w:val="en-GB"/>
        </w:rPr>
        <w:t xml:space="preserve">, </w:t>
      </w:r>
      <w:r w:rsidRPr="322A74FE" w:rsidR="322A74FE">
        <w:rPr>
          <w:rFonts w:ascii="Arial Nova" w:hAnsi="Arial Nova" w:eastAsia="Arial Nova" w:cs="Arial Nova"/>
          <w:b w:val="0"/>
          <w:bCs w:val="0"/>
          <w:i w:val="1"/>
          <w:iCs w:val="1"/>
          <w:caps w:val="0"/>
          <w:smallCaps w:val="0"/>
          <w:noProof w:val="0"/>
          <w:color w:val="3A3A3A"/>
          <w:sz w:val="24"/>
          <w:szCs w:val="24"/>
          <w:lang w:val="en-GB"/>
        </w:rPr>
        <w:t>XXIV</w:t>
      </w:r>
      <w:r w:rsidRPr="322A74FE" w:rsidR="322A74FE">
        <w:rPr>
          <w:rFonts w:ascii="Arial Nova" w:hAnsi="Arial Nova" w:eastAsia="Arial Nova" w:cs="Arial Nova"/>
          <w:b w:val="0"/>
          <w:bCs w:val="0"/>
          <w:i w:val="0"/>
          <w:iCs w:val="0"/>
          <w:caps w:val="0"/>
          <w:smallCaps w:val="0"/>
          <w:noProof w:val="0"/>
          <w:color w:val="3A3A3A"/>
          <w:sz w:val="24"/>
          <w:szCs w:val="24"/>
          <w:lang w:val="en-GB"/>
        </w:rPr>
        <w:t>(XCVI), 659–674</w:t>
      </w:r>
    </w:p>
  </w:footnote>
  <w:footnote w:id="27221">
    <w:p w:rsidR="322A74FE" w:rsidP="322A74FE" w:rsidRDefault="322A74FE" w14:paraId="1EB31705" w14:textId="3A2E2A4A">
      <w:pPr>
        <w:pStyle w:val="FootnoteText"/>
        <w:bidi w:val="0"/>
        <w:rPr>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Ruled </w:t>
      </w:r>
      <w:proofErr w:type="gramStart"/>
      <w:r w:rsidRPr="322A74FE" w:rsidR="322A74FE">
        <w:rPr>
          <w:rFonts w:ascii="Arial Nova" w:hAnsi="Arial Nova" w:eastAsia="Arial Nova" w:cs="Arial Nova"/>
          <w:sz w:val="24"/>
          <w:szCs w:val="24"/>
        </w:rPr>
        <w:t>France  1180</w:t>
      </w:r>
      <w:proofErr w:type="gramEnd"/>
      <w:r w:rsidRPr="322A74FE" w:rsidR="322A74FE">
        <w:rPr>
          <w:rFonts w:ascii="Arial Nova" w:hAnsi="Arial Nova" w:eastAsia="Arial Nova" w:cs="Arial Nova"/>
          <w:sz w:val="24"/>
          <w:szCs w:val="24"/>
        </w:rPr>
        <w:t xml:space="preserve">-1223 from the age of fourteen succeeding from Louis V11. His reign described as </w:t>
      </w:r>
      <w:r w:rsidRPr="322A74FE" w:rsidR="322A74FE">
        <w:rPr>
          <w:rFonts w:ascii="Arial Nova" w:hAnsi="Arial Nova" w:eastAsia="Arial Nova" w:cs="Arial Nova"/>
          <w:sz w:val="24"/>
          <w:szCs w:val="24"/>
        </w:rPr>
        <w:t>a quantum</w:t>
      </w:r>
      <w:r w:rsidRPr="322A74FE" w:rsidR="322A74FE">
        <w:rPr>
          <w:rFonts w:ascii="Arial Nova" w:hAnsi="Arial Nova" w:eastAsia="Arial Nova" w:cs="Arial Nova"/>
          <w:sz w:val="24"/>
          <w:szCs w:val="24"/>
        </w:rPr>
        <w:t xml:space="preserve"> leap in the development of the </w:t>
      </w:r>
      <w:proofErr w:type="spellStart"/>
      <w:r w:rsidRPr="322A74FE" w:rsidR="322A74FE">
        <w:rPr>
          <w:rFonts w:ascii="Arial Nova" w:hAnsi="Arial Nova" w:eastAsia="Arial Nova" w:cs="Arial Nova"/>
          <w:sz w:val="24"/>
          <w:szCs w:val="24"/>
        </w:rPr>
        <w:t>Capetain</w:t>
      </w:r>
      <w:proofErr w:type="spellEnd"/>
      <w:r w:rsidRPr="322A74FE" w:rsidR="322A74FE">
        <w:rPr>
          <w:rFonts w:ascii="Arial Nova" w:hAnsi="Arial Nova" w:eastAsia="Arial Nova" w:cs="Arial Nova"/>
          <w:sz w:val="24"/>
          <w:szCs w:val="24"/>
        </w:rPr>
        <w:t xml:space="preserve"> monarchy. Extending his dominance of the France and Western Europe. He was the first to title himself King of France.</w:t>
      </w:r>
    </w:p>
    <w:p w:rsidR="322A74FE" w:rsidP="322A74FE" w:rsidRDefault="322A74FE" w14:paraId="19FDB1EF" w14:textId="47A7265A">
      <w:pPr>
        <w:pStyle w:val="FootnoteText"/>
        <w:bidi w:val="0"/>
        <w:rPr>
          <w:rFonts w:ascii="Calibri" w:hAnsi="Calibri" w:eastAsia="" w:cs=""/>
          <w:sz w:val="20"/>
          <w:szCs w:val="20"/>
        </w:rPr>
      </w:pPr>
      <w:r w:rsidRPr="322A74FE" w:rsidR="322A74FE">
        <w:rPr>
          <w:rFonts w:ascii="Arial Nova" w:hAnsi="Arial Nova" w:eastAsia="Arial Nova" w:cs="Arial Nova"/>
          <w:sz w:val="24"/>
          <w:szCs w:val="24"/>
        </w:rPr>
        <w:t xml:space="preserve">  Baldwin. (1986). The government of</w:t>
      </w:r>
      <w:r w:rsidRPr="322A74FE" w:rsidR="322A74FE">
        <w:rPr>
          <w:rFonts w:ascii="Calibri" w:hAnsi="Calibri" w:eastAsia="" w:cs=""/>
          <w:sz w:val="20"/>
          <w:szCs w:val="20"/>
        </w:rPr>
        <w:t xml:space="preserve"> Philip Augustus foundations of French royal power in the Middle Ages. University of California Press.</w:t>
      </w:r>
    </w:p>
    <w:p w:rsidR="322A74FE" w:rsidP="322A74FE" w:rsidRDefault="322A74FE" w14:paraId="1BDC3861" w14:textId="307AE5E7">
      <w:pPr>
        <w:pStyle w:val="FootnoteText"/>
        <w:bidi w:val="0"/>
        <w:rPr>
          <w:rFonts w:ascii="Calibri" w:hAnsi="Calibri" w:eastAsia="" w:cs=""/>
          <w:sz w:val="20"/>
          <w:szCs w:val="20"/>
        </w:rPr>
      </w:pPr>
    </w:p>
  </w:footnote>
  <w:footnote w:id="29905">
    <w:p w:rsidR="322A74FE" w:rsidP="322A74FE" w:rsidRDefault="322A74FE" w14:paraId="3E13E9AE" w14:textId="109AE87E">
      <w:pPr>
        <w:pStyle w:val="FootnoteText"/>
        <w:bidi w:val="0"/>
        <w:rPr>
          <w:rFonts w:ascii="Arial Nova" w:hAnsi="Arial Nova" w:eastAsia="Arial Nova" w:cs="Arial Nova"/>
          <w:b w:val="0"/>
          <w:bCs w:val="0"/>
          <w:i w:val="0"/>
          <w:iCs w:val="0"/>
          <w:caps w:val="0"/>
          <w:smallCaps w:val="0"/>
          <w:noProof w:val="0"/>
          <w:color w:val="auto"/>
          <w:sz w:val="24"/>
          <w:szCs w:val="24"/>
          <w:lang w:val="en-GB"/>
        </w:rPr>
      </w:pPr>
      <w:r w:rsidRPr="322A74FE">
        <w:rPr>
          <w:rStyle w:val="FootnoteReference"/>
          <w:rFonts w:ascii="Calibri" w:hAnsi="Calibri" w:eastAsia="" w:cs=""/>
          <w:sz w:val="20"/>
          <w:szCs w:val="20"/>
        </w:rPr>
        <w:footnoteRef/>
      </w:r>
      <w:r w:rsidRPr="322A74FE" w:rsidR="322A74FE">
        <w:rPr>
          <w:rFonts w:ascii="Arial Nova" w:hAnsi="Arial Nova" w:eastAsia="Arial Nova" w:cs="Arial Nova"/>
          <w:color w:val="auto"/>
          <w:sz w:val="24"/>
          <w:szCs w:val="24"/>
        </w:rPr>
        <w:t xml:space="preserve"> The day which falls forty days after the resurrection.</w:t>
      </w:r>
    </w:p>
    <w:p w:rsidR="322A74FE" w:rsidP="322A74FE" w:rsidRDefault="322A74FE" w14:paraId="7F510C2B" w14:textId="2A1071CB">
      <w:pPr>
        <w:pStyle w:val="FootnoteText"/>
        <w:bidi w:val="0"/>
        <w:rPr>
          <w:rFonts w:ascii="Arial Nova" w:hAnsi="Arial Nova" w:eastAsia="Arial Nova" w:cs="Arial Nova"/>
          <w:color w:val="auto"/>
          <w:sz w:val="24"/>
          <w:szCs w:val="24"/>
        </w:rPr>
      </w:pPr>
      <w:hyperlink r:id="Rd0f68898945642a3">
        <w:r w:rsidRPr="322A74FE" w:rsidR="322A74FE">
          <w:rPr>
            <w:rStyle w:val="Hyperlink"/>
            <w:rFonts w:ascii="Arial Nova" w:hAnsi="Arial Nova" w:eastAsia="Arial Nova" w:cs="Arial Nova"/>
            <w:noProof w:val="0"/>
            <w:color w:val="auto"/>
            <w:sz w:val="24"/>
            <w:szCs w:val="24"/>
            <w:lang w:val="en-GB"/>
          </w:rPr>
          <w:t>What Is Ascension Day? Meaning &amp; Why Christians Celebrate It (christianity.com)</w:t>
        </w:r>
      </w:hyperlink>
    </w:p>
  </w:footnote>
  <w:footnote w:id="24697">
    <w:p w:rsidR="322A74FE" w:rsidP="322A74FE" w:rsidRDefault="322A74FE" w14:paraId="69D813BD" w14:textId="680A2A88">
      <w:pPr>
        <w:pStyle w:val="FootnoteText"/>
        <w:bidi w:val="0"/>
        <w:rPr>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Lord </w:t>
      </w:r>
      <w:proofErr w:type="gramStart"/>
      <w:r w:rsidRPr="322A74FE" w:rsidR="322A74FE">
        <w:rPr>
          <w:rFonts w:ascii="Arial Nova" w:hAnsi="Arial Nova" w:eastAsia="Arial Nova" w:cs="Arial Nova"/>
          <w:sz w:val="24"/>
          <w:szCs w:val="24"/>
        </w:rPr>
        <w:t xml:space="preserve">Hubert </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sz w:val="24"/>
          <w:szCs w:val="24"/>
        </w:rPr>
        <w:t>Wa</w:t>
      </w:r>
      <w:r w:rsidRPr="322A74FE" w:rsidR="322A74FE">
        <w:rPr>
          <w:rFonts w:ascii="Arial Nova" w:hAnsi="Arial Nova" w:eastAsia="Arial Nova" w:cs="Arial Nova"/>
          <w:sz w:val="24"/>
          <w:szCs w:val="24"/>
        </w:rPr>
        <w:t>lter</w:t>
      </w:r>
      <w:proofErr w:type="gramEnd"/>
      <w:r w:rsidRPr="322A74FE" w:rsidR="322A74FE">
        <w:rPr>
          <w:rFonts w:ascii="Arial Nova" w:hAnsi="Arial Nova" w:eastAsia="Arial Nova" w:cs="Arial Nova"/>
          <w:sz w:val="24"/>
          <w:szCs w:val="24"/>
        </w:rPr>
        <w:t xml:space="preserve"> was on the third crusade with Richard I, where he made him chief Justiciar. When it came to the upheaval of Richard successor Walter who favoured Prince Arthur, warned that it would be the regret of Marshal [powerful Norman Baron] to choose John as King. Considering the subsequent troubles under King John his warning came to fruition.</w:t>
      </w:r>
    </w:p>
    <w:p w:rsidR="322A74FE" w:rsidP="322A74FE" w:rsidRDefault="322A74FE" w14:paraId="4251E92B" w14:textId="05718020">
      <w:pPr>
        <w:pStyle w:val="FootnoteText"/>
        <w:bidi w:val="0"/>
        <w:rPr>
          <w:rFonts w:ascii="Arial Nova" w:hAnsi="Arial Nova" w:eastAsia="Arial Nova" w:cs="Arial Nova"/>
          <w:b w:val="0"/>
          <w:bCs w:val="0"/>
          <w:i w:val="0"/>
          <w:iCs w:val="0"/>
          <w:caps w:val="0"/>
          <w:smallCaps w:val="0"/>
          <w:noProof w:val="0"/>
          <w:color w:val="202122"/>
          <w:sz w:val="24"/>
          <w:szCs w:val="24"/>
          <w:lang w:val="en-GB"/>
        </w:rPr>
      </w:pPr>
      <w:r w:rsidRPr="322A74FE" w:rsidR="322A74FE">
        <w:rPr>
          <w:rFonts w:ascii="Arial Nova" w:hAnsi="Arial Nova" w:eastAsia="Arial Nova" w:cs="Arial Nova"/>
          <w:sz w:val="24"/>
          <w:szCs w:val="24"/>
        </w:rPr>
        <w:t>Bartlett, R.C.</w:t>
      </w:r>
      <w:r w:rsidRPr="322A74FE" w:rsidR="322A74FE">
        <w:rPr>
          <w:rFonts w:ascii="Arial Nova" w:hAnsi="Arial Nova" w:eastAsia="Arial Nova" w:cs="Arial Nova"/>
          <w:b w:val="0"/>
          <w:bCs w:val="0"/>
          <w:i w:val="0"/>
          <w:iCs w:val="0"/>
          <w:caps w:val="0"/>
          <w:smallCaps w:val="0"/>
          <w:noProof w:val="0"/>
          <w:color w:val="202122"/>
          <w:sz w:val="24"/>
          <w:szCs w:val="24"/>
          <w:lang w:val="en-GB"/>
        </w:rPr>
        <w:t xml:space="preserve"> (2000). </w:t>
      </w:r>
      <w:r w:rsidRPr="322A74FE" w:rsidR="322A74FE">
        <w:rPr>
          <w:rFonts w:ascii="Arial Nova" w:hAnsi="Arial Nova" w:eastAsia="Arial Nova" w:cs="Arial Nova"/>
          <w:b w:val="0"/>
          <w:bCs w:val="0"/>
          <w:i w:val="1"/>
          <w:iCs w:val="1"/>
          <w:caps w:val="0"/>
          <w:smallCaps w:val="0"/>
          <w:noProof w:val="0"/>
          <w:color w:val="202122"/>
          <w:sz w:val="24"/>
          <w:szCs w:val="24"/>
          <w:lang w:val="en-GB"/>
        </w:rPr>
        <w:t>England Under the Norman and Angevin Kings: 1075–1225</w:t>
      </w:r>
      <w:r w:rsidRPr="322A74FE" w:rsidR="322A74FE">
        <w:rPr>
          <w:rFonts w:ascii="Arial Nova" w:hAnsi="Arial Nova" w:eastAsia="Arial Nova" w:cs="Arial Nova"/>
          <w:b w:val="0"/>
          <w:bCs w:val="0"/>
          <w:i w:val="0"/>
          <w:iCs w:val="0"/>
          <w:caps w:val="0"/>
          <w:smallCaps w:val="0"/>
          <w:noProof w:val="0"/>
          <w:color w:val="202122"/>
          <w:sz w:val="24"/>
          <w:szCs w:val="24"/>
          <w:lang w:val="en-GB"/>
        </w:rPr>
        <w:t>. Oxford, Clarendon Press.</w:t>
      </w:r>
    </w:p>
  </w:footnote>
  <w:footnote w:id="4161">
    <w:p w:rsidR="322A74FE" w:rsidP="322A74FE" w:rsidRDefault="322A74FE" w14:paraId="407AD86C" w14:textId="70707B16">
      <w:pPr>
        <w:pStyle w:val="FootnoteText"/>
        <w:bidi w:val="0"/>
        <w:rPr>
          <w:rFonts w:ascii="Arial Nova" w:hAnsi="Arial Nova" w:eastAsia="Arial Nova" w:cs="Arial Nova"/>
          <w:b w:val="0"/>
          <w:bCs w:val="0"/>
          <w:i w:val="0"/>
          <w:iCs w:val="0"/>
          <w:caps w:val="0"/>
          <w:smallCaps w:val="0"/>
          <w:noProof w:val="0"/>
          <w:color w:val="3A3A3A"/>
          <w:sz w:val="24"/>
          <w:szCs w:val="24"/>
          <w:lang w:val="en-GB"/>
        </w:rPr>
      </w:pPr>
      <w:r w:rsidRPr="322A74FE">
        <w:rPr>
          <w:rStyle w:val="FootnoteReference"/>
          <w:rFonts w:ascii="Calibri" w:hAnsi="Calibri" w:eastAsia="" w:cs=""/>
          <w:sz w:val="20"/>
          <w:szCs w:val="20"/>
        </w:rPr>
        <w:footnoteRef/>
      </w:r>
      <w:r w:rsidRPr="322A74FE" w:rsidR="322A74FE">
        <w:rPr>
          <w:rFonts w:ascii="Arial Nova" w:hAnsi="Arial Nova" w:eastAsia="Arial Nova" w:cs="Arial Nova"/>
          <w:i w:val="0"/>
          <w:iCs w:val="0"/>
          <w:sz w:val="24"/>
          <w:szCs w:val="24"/>
        </w:rPr>
        <w:t xml:space="preserve"> May 1200 the </w:t>
      </w:r>
      <w:r w:rsidRPr="322A74FE" w:rsidR="322A74FE">
        <w:rPr>
          <w:rFonts w:ascii="Arial Nova" w:hAnsi="Arial Nova" w:eastAsia="Arial Nova" w:cs="Arial Nova"/>
          <w:i w:val="0"/>
          <w:iCs w:val="0"/>
          <w:sz w:val="24"/>
          <w:szCs w:val="24"/>
        </w:rPr>
        <w:t>Treaty of Le Goulet was signed by King John and King Phillip II.</w:t>
      </w:r>
    </w:p>
    <w:p w:rsidR="322A74FE" w:rsidP="322A74FE" w:rsidRDefault="322A74FE" w14:paraId="3B186BB2" w14:textId="75AB9AA3">
      <w:pPr>
        <w:pStyle w:val="FootnoteText"/>
        <w:bidi w:val="0"/>
        <w:rPr>
          <w:rFonts w:ascii="Arial Nova" w:hAnsi="Arial Nova" w:eastAsia="Arial Nova" w:cs="Arial Nova"/>
          <w:b w:val="0"/>
          <w:bCs w:val="0"/>
          <w:i w:val="0"/>
          <w:iCs w:val="0"/>
          <w:caps w:val="0"/>
          <w:smallCaps w:val="0"/>
          <w:noProof w:val="0"/>
          <w:color w:val="3A3A3A"/>
          <w:sz w:val="24"/>
          <w:szCs w:val="24"/>
          <w:lang w:val="en-GB"/>
        </w:rPr>
      </w:pPr>
      <w:r w:rsidRPr="322A74FE" w:rsidR="322A74FE">
        <w:rPr>
          <w:rFonts w:ascii="Arial Nova" w:hAnsi="Arial Nova" w:eastAsia="Arial Nova" w:cs="Arial Nova"/>
          <w:b w:val="0"/>
          <w:bCs w:val="0"/>
          <w:i w:val="0"/>
          <w:iCs w:val="0"/>
          <w:caps w:val="0"/>
          <w:smallCaps w:val="0"/>
          <w:noProof w:val="0"/>
          <w:color w:val="3A3A3A"/>
          <w:sz w:val="24"/>
          <w:szCs w:val="24"/>
          <w:lang w:val="en-GB"/>
        </w:rPr>
        <w:t xml:space="preserve">Baldwin. (1999). BRADBURY, JIM: “Philip Augustus. King of France” (Book Review) [Review of </w:t>
      </w:r>
      <w:r w:rsidRPr="322A74FE" w:rsidR="322A74FE">
        <w:rPr>
          <w:rFonts w:ascii="Arial Nova" w:hAnsi="Arial Nova" w:eastAsia="Arial Nova" w:cs="Arial Nova"/>
          <w:b w:val="0"/>
          <w:bCs w:val="0"/>
          <w:i w:val="0"/>
          <w:iCs w:val="0"/>
          <w:caps w:val="0"/>
          <w:smallCaps w:val="0"/>
          <w:noProof w:val="0"/>
          <w:color w:val="3A3A3A"/>
          <w:sz w:val="24"/>
          <w:szCs w:val="24"/>
          <w:lang w:val="en-GB"/>
        </w:rPr>
        <w:t>BRADBURY, JIM: “Philip Augustus. King of France” (Book Review)</w:t>
      </w:r>
      <w:r w:rsidRPr="322A74FE" w:rsidR="322A74FE">
        <w:rPr>
          <w:rFonts w:ascii="Arial Nova" w:hAnsi="Arial Nova" w:eastAsia="Arial Nova" w:cs="Arial Nova"/>
          <w:b w:val="0"/>
          <w:bCs w:val="0"/>
          <w:i w:val="0"/>
          <w:iCs w:val="0"/>
          <w:caps w:val="0"/>
          <w:smallCaps w:val="0"/>
          <w:noProof w:val="0"/>
          <w:color w:val="3A3A3A"/>
          <w:sz w:val="24"/>
          <w:szCs w:val="24"/>
          <w:lang w:val="en-GB"/>
        </w:rPr>
        <w:t xml:space="preserve">]. </w:t>
      </w:r>
      <w:r w:rsidRPr="322A74FE" w:rsidR="322A74FE">
        <w:rPr>
          <w:rFonts w:ascii="Arial Nova" w:hAnsi="Arial Nova" w:eastAsia="Arial Nova" w:cs="Arial Nova"/>
          <w:b w:val="0"/>
          <w:bCs w:val="0"/>
          <w:i w:val="0"/>
          <w:iCs w:val="0"/>
          <w:caps w:val="0"/>
          <w:smallCaps w:val="0"/>
          <w:noProof w:val="0"/>
          <w:color w:val="3A3A3A"/>
          <w:sz w:val="24"/>
          <w:szCs w:val="24"/>
          <w:lang w:val="en-GB"/>
        </w:rPr>
        <w:t>The Journal of Ecclesiastical History</w:t>
      </w:r>
      <w:r w:rsidRPr="322A74FE" w:rsidR="322A74FE">
        <w:rPr>
          <w:rFonts w:ascii="Arial Nova" w:hAnsi="Arial Nova" w:eastAsia="Arial Nova" w:cs="Arial Nova"/>
          <w:b w:val="0"/>
          <w:bCs w:val="0"/>
          <w:i w:val="0"/>
          <w:iCs w:val="0"/>
          <w:caps w:val="0"/>
          <w:smallCaps w:val="0"/>
          <w:noProof w:val="0"/>
          <w:color w:val="3A3A3A"/>
          <w:sz w:val="24"/>
          <w:szCs w:val="24"/>
          <w:lang w:val="en-GB"/>
        </w:rPr>
        <w:t xml:space="preserve">, </w:t>
      </w:r>
      <w:r w:rsidRPr="322A74FE" w:rsidR="322A74FE">
        <w:rPr>
          <w:rFonts w:ascii="Arial Nova" w:hAnsi="Arial Nova" w:eastAsia="Arial Nova" w:cs="Arial Nova"/>
          <w:b w:val="0"/>
          <w:bCs w:val="0"/>
          <w:i w:val="0"/>
          <w:iCs w:val="0"/>
          <w:caps w:val="0"/>
          <w:smallCaps w:val="0"/>
          <w:noProof w:val="0"/>
          <w:color w:val="3A3A3A"/>
          <w:sz w:val="24"/>
          <w:szCs w:val="24"/>
          <w:lang w:val="en-GB"/>
        </w:rPr>
        <w:t>50</w:t>
      </w:r>
      <w:r w:rsidRPr="322A74FE" w:rsidR="322A74FE">
        <w:rPr>
          <w:rFonts w:ascii="Arial Nova" w:hAnsi="Arial Nova" w:eastAsia="Arial Nova" w:cs="Arial Nova"/>
          <w:b w:val="0"/>
          <w:bCs w:val="0"/>
          <w:i w:val="0"/>
          <w:iCs w:val="0"/>
          <w:caps w:val="0"/>
          <w:smallCaps w:val="0"/>
          <w:noProof w:val="0"/>
          <w:color w:val="3A3A3A"/>
          <w:sz w:val="24"/>
          <w:szCs w:val="24"/>
          <w:lang w:val="en-GB"/>
        </w:rPr>
        <w:t>, 358–. Cambridge University Press.</w:t>
      </w:r>
    </w:p>
  </w:footnote>
  <w:footnote w:id="18087">
    <w:p w:rsidR="322A74FE" w:rsidP="322A74FE" w:rsidRDefault="322A74FE" w14:paraId="6135E569" w14:textId="0DDDD1BF">
      <w:pPr>
        <w:pStyle w:val="FootnoteText"/>
        <w:bidi w:val="0"/>
        <w:rPr>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On the river Seine Chateau Gaillard overlooking Les Andelys, South from Rouen. </w:t>
      </w:r>
      <w:r w:rsidRPr="322A74FE" w:rsidR="322A74FE">
        <w:rPr>
          <w:rFonts w:ascii="Arial Nova" w:hAnsi="Arial Nova" w:eastAsia="Arial Nova" w:cs="Arial Nova"/>
          <w:sz w:val="24"/>
          <w:szCs w:val="24"/>
        </w:rPr>
        <w:t>Château Gaillard, Les Andelys, France - SpottingHistory.com</w:t>
      </w:r>
    </w:p>
    <w:p w:rsidR="322A74FE" w:rsidP="322A74FE" w:rsidRDefault="322A74FE" w14:paraId="15CB0460" w14:textId="10564BFC">
      <w:pPr>
        <w:pStyle w:val="FootnoteText"/>
        <w:bidi w:val="0"/>
        <w:rPr>
          <w:rFonts w:ascii="Roboto" w:hAnsi="Roboto" w:eastAsia="Roboto" w:cs="Roboto"/>
          <w:b w:val="0"/>
          <w:bCs w:val="0"/>
          <w:i w:val="0"/>
          <w:iCs w:val="0"/>
          <w:caps w:val="0"/>
          <w:smallCaps w:val="0"/>
          <w:noProof w:val="0"/>
          <w:color w:val="333333"/>
          <w:sz w:val="22"/>
          <w:szCs w:val="22"/>
          <w:lang w:val="en-GB"/>
        </w:rPr>
      </w:pPr>
    </w:p>
  </w:footnote>
  <w:footnote w:id="29543">
    <w:p w:rsidR="322A74FE" w:rsidP="322A74FE" w:rsidRDefault="322A74FE" w14:paraId="08BC053B" w14:textId="3F649A8F">
      <w:pPr>
        <w:pStyle w:val="FootnoteText"/>
        <w:bidi w:val="0"/>
        <w:rPr>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Norman </w:t>
      </w:r>
      <w:r w:rsidRPr="322A74FE" w:rsidR="322A74FE">
        <w:rPr>
          <w:rFonts w:ascii="Arial Nova" w:hAnsi="Arial Nova" w:eastAsia="Arial Nova" w:cs="Arial Nova"/>
          <w:sz w:val="24"/>
          <w:szCs w:val="24"/>
        </w:rPr>
        <w:t>aristocracy</w:t>
      </w:r>
      <w:r w:rsidRPr="322A74FE" w:rsidR="322A74FE">
        <w:rPr>
          <w:rFonts w:ascii="Arial Nova" w:hAnsi="Arial Nova" w:eastAsia="Arial Nova" w:cs="Arial Nova"/>
          <w:sz w:val="24"/>
          <w:szCs w:val="24"/>
        </w:rPr>
        <w:t xml:space="preserve"> from Gournay in </w:t>
      </w:r>
      <w:r w:rsidRPr="322A74FE" w:rsidR="322A74FE">
        <w:rPr>
          <w:rFonts w:ascii="Arial Nova" w:hAnsi="Arial Nova" w:eastAsia="Arial Nova" w:cs="Arial Nova"/>
          <w:sz w:val="24"/>
          <w:szCs w:val="24"/>
        </w:rPr>
        <w:t>Normandie</w:t>
      </w:r>
      <w:r w:rsidRPr="322A74FE" w:rsidR="322A74FE">
        <w:rPr>
          <w:rFonts w:ascii="Arial Nova" w:hAnsi="Arial Nova" w:eastAsia="Arial Nova" w:cs="Arial Nova"/>
          <w:sz w:val="24"/>
          <w:szCs w:val="24"/>
        </w:rPr>
        <w:t xml:space="preserve">. </w:t>
      </w:r>
      <w:r w:rsidRPr="322A74FE" w:rsidR="322A74FE">
        <w:rPr>
          <w:rFonts w:ascii="Arial Nova" w:hAnsi="Arial Nova" w:eastAsia="Arial Nova" w:cs="Arial Nova"/>
          <w:sz w:val="24"/>
          <w:szCs w:val="24"/>
        </w:rPr>
        <w:t xml:space="preserve">Hugues de Gournay VI died on crusade 1215. </w:t>
      </w:r>
      <w:r w:rsidRPr="322A74FE" w:rsidR="322A74FE">
        <w:rPr>
          <w:rFonts w:ascii="Arial Nova" w:hAnsi="Arial Nova" w:eastAsia="Arial Nova" w:cs="Arial Nova"/>
          <w:sz w:val="24"/>
          <w:szCs w:val="24"/>
        </w:rPr>
        <w:t>Hugues de Gournay, VI (c.1148 - 1215) - Genealogy (geni.com)</w:t>
      </w:r>
    </w:p>
    <w:p w:rsidR="322A74FE" w:rsidP="322A74FE" w:rsidRDefault="322A74FE" w14:paraId="65E807B3" w14:textId="480A3E47">
      <w:pPr>
        <w:pStyle w:val="FootnoteText"/>
        <w:bidi w:val="0"/>
        <w:rPr>
          <w:rFonts w:ascii="Calibri" w:hAnsi="Calibri" w:eastAsia="" w:cs=""/>
          <w:sz w:val="20"/>
          <w:szCs w:val="20"/>
        </w:rPr>
      </w:pPr>
    </w:p>
  </w:footnote>
  <w:footnote w:id="30921">
    <w:p w:rsidR="322A74FE" w:rsidP="322A74FE" w:rsidRDefault="322A74FE" w14:paraId="0DE23AE5" w14:textId="6F07293E">
      <w:pPr>
        <w:pStyle w:val="FootnoteText"/>
        <w:bidi w:val="0"/>
        <w:rPr>
          <w:rFonts w:ascii="Arial Nova" w:hAnsi="Arial Nova" w:eastAsia="Arial Nova" w:cs="Arial Nova"/>
          <w:sz w:val="24"/>
          <w:szCs w:val="24"/>
        </w:rPr>
      </w:pPr>
      <w:r w:rsidRPr="322A74FE">
        <w:rPr>
          <w:rStyle w:val="FootnoteReference"/>
          <w:rFonts w:ascii="Calibri" w:hAnsi="Calibri" w:eastAsia="" w:cs=""/>
          <w:sz w:val="20"/>
          <w:szCs w:val="20"/>
        </w:rPr>
        <w:footnoteRef/>
      </w:r>
      <w:r w:rsidRPr="322A74FE" w:rsidR="322A74FE">
        <w:rPr>
          <w:rFonts w:ascii="Calibri" w:hAnsi="Calibri" w:eastAsia="" w:cs=""/>
          <w:sz w:val="20"/>
          <w:szCs w:val="20"/>
        </w:rPr>
        <w:t xml:space="preserve"> </w:t>
      </w:r>
      <w:r w:rsidRPr="322A74FE" w:rsidR="322A74FE">
        <w:rPr>
          <w:rFonts w:ascii="Calibri" w:hAnsi="Calibri" w:eastAsia="" w:cs=""/>
          <w:sz w:val="20"/>
          <w:szCs w:val="20"/>
        </w:rPr>
        <w:t xml:space="preserve"> </w:t>
      </w:r>
      <w:r w:rsidRPr="322A74FE" w:rsidR="322A74FE">
        <w:rPr>
          <w:rFonts w:ascii="Arial Nova" w:hAnsi="Arial Nova" w:eastAsia="Arial Nova" w:cs="Arial Nova"/>
          <w:sz w:val="24"/>
          <w:szCs w:val="24"/>
        </w:rPr>
        <w:t xml:space="preserve">Amaury IV was later created the Earl of Gloucester. </w:t>
      </w:r>
      <w:r w:rsidRPr="322A74FE" w:rsidR="322A74FE">
        <w:rPr>
          <w:rFonts w:ascii="Arial Nova" w:hAnsi="Arial Nova" w:eastAsia="Arial Nova" w:cs="Arial Nova"/>
          <w:sz w:val="24"/>
          <w:szCs w:val="24"/>
        </w:rPr>
        <w:t xml:space="preserve">  Baldwin. (1986). The government of Philip Augustus foundations of French royal power in the Middle Ages. University of California Press.</w:t>
      </w:r>
    </w:p>
    <w:p w:rsidR="322A74FE" w:rsidP="322A74FE" w:rsidRDefault="322A74FE" w14:paraId="1D85565B" w14:textId="27CA8A2E">
      <w:pPr>
        <w:pStyle w:val="FootnoteText"/>
        <w:bidi w:val="0"/>
        <w:rPr>
          <w:rFonts w:ascii="Calibri" w:hAnsi="Calibri" w:eastAsia="" w:cs=""/>
          <w:sz w:val="20"/>
          <w:szCs w:val="20"/>
        </w:rPr>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D6BE8A" w:rsidTr="322A74FE" w14:paraId="0A733069">
      <w:tc>
        <w:tcPr>
          <w:tcW w:w="3005" w:type="dxa"/>
          <w:tcMar/>
        </w:tcPr>
        <w:p w:rsidR="51D6BE8A" w:rsidP="51D6BE8A" w:rsidRDefault="51D6BE8A" w14:paraId="3CEF4A49" w14:textId="7A8EC473">
          <w:pPr>
            <w:pStyle w:val="Header"/>
            <w:bidi w:val="0"/>
            <w:ind w:left="-115"/>
            <w:jc w:val="left"/>
            <w:rPr>
              <w:rFonts w:ascii="Calibri" w:hAnsi="Calibri" w:eastAsia="" w:cs=""/>
            </w:rPr>
          </w:pPr>
          <w:r w:rsidRPr="322A74FE" w:rsidR="322A74FE">
            <w:rPr>
              <w:rFonts w:ascii="Calibri" w:hAnsi="Calibri" w:eastAsia="" w:cs=""/>
            </w:rPr>
            <w:t>1</w:t>
          </w:r>
          <w:r w:rsidRPr="322A74FE" w:rsidR="322A74FE">
            <w:rPr>
              <w:rFonts w:ascii="Calibri" w:hAnsi="Calibri" w:eastAsia="" w:cs=""/>
            </w:rPr>
            <w:t xml:space="preserve"> </w:t>
          </w:r>
          <w:r w:rsidRPr="322A74FE">
            <w:rPr>
              <w:rFonts w:ascii="Calibri" w:hAnsi="Calibri" w:eastAsia="" w:cs=""/>
            </w:rPr>
            <w:fldChar w:fldCharType="begin"/>
          </w:r>
          <w:r>
            <w:instrText xml:space="preserve">PAGE</w:instrText>
          </w:r>
          <w:r>
            <w:fldChar w:fldCharType="separate"/>
          </w:r>
          <w:r w:rsidRPr="322A74FE">
            <w:rPr>
              <w:rFonts w:ascii="Calibri" w:hAnsi="Calibri" w:eastAsia="" w:cs=""/>
            </w:rPr>
            <w:fldChar w:fldCharType="end"/>
          </w:r>
        </w:p>
      </w:tc>
      <w:tc>
        <w:tcPr>
          <w:tcW w:w="3005" w:type="dxa"/>
          <w:tcMar/>
        </w:tcPr>
        <w:p w:rsidR="51D6BE8A" w:rsidP="51D6BE8A" w:rsidRDefault="51D6BE8A" w14:paraId="7FB8E70C" w14:textId="40B5F722">
          <w:pPr>
            <w:pStyle w:val="Header"/>
            <w:bidi w:val="0"/>
            <w:jc w:val="center"/>
            <w:rPr>
              <w:rFonts w:ascii="Calibri" w:hAnsi="Calibri" w:eastAsia="" w:cs=""/>
            </w:rPr>
          </w:pPr>
        </w:p>
      </w:tc>
      <w:tc>
        <w:tcPr>
          <w:tcW w:w="3005" w:type="dxa"/>
          <w:tcMar/>
        </w:tcPr>
        <w:p w:rsidR="51D6BE8A" w:rsidP="51D6BE8A" w:rsidRDefault="51D6BE8A" w14:paraId="069E5376" w14:textId="083D76E5">
          <w:pPr>
            <w:pStyle w:val="Header"/>
            <w:bidi w:val="0"/>
            <w:ind w:right="-115"/>
            <w:jc w:val="right"/>
            <w:rPr>
              <w:rFonts w:ascii="Calibri" w:hAnsi="Calibri" w:eastAsia="" w:cs=""/>
            </w:rPr>
          </w:pPr>
        </w:p>
      </w:tc>
    </w:tr>
  </w:tbl>
  <w:p w:rsidR="51D6BE8A" w:rsidP="51D6BE8A" w:rsidRDefault="51D6BE8A" w14:paraId="1A115A4A" w14:textId="51B942F9">
    <w:pPr>
      <w:pStyle w:val="Header"/>
      <w:bidi w:val="0"/>
      <w:rPr>
        <w:rFonts w:ascii="Calibri" w:hAnsi="Calibri" w:eastAsia="" w:cs=""/>
      </w:rPr>
    </w:pPr>
  </w:p>
</w:hdr>
</file>

<file path=word/intelligence2.xml><?xml version="1.0" encoding="utf-8"?>
<int2:intelligence xmlns:int2="http://schemas.microsoft.com/office/intelligence/2020/intelligence">
  <int2:observations>
    <int2:bookmark int2:bookmarkName="_Int_x9dnvHwM" int2:invalidationBookmarkName="" int2:hashCode="kyMxQEvRS/iVqG" int2:id="yIsw3wyy">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432"/>
    <w:rsid w:val="00142F92"/>
    <w:rsid w:val="003F1620"/>
    <w:rsid w:val="008469CB"/>
    <w:rsid w:val="009BC214"/>
    <w:rsid w:val="00A97134"/>
    <w:rsid w:val="00B9401A"/>
    <w:rsid w:val="00BF0432"/>
    <w:rsid w:val="00F47E65"/>
    <w:rsid w:val="036D41CF"/>
    <w:rsid w:val="0471316C"/>
    <w:rsid w:val="04B7A5C7"/>
    <w:rsid w:val="06537628"/>
    <w:rsid w:val="06EDF3F4"/>
    <w:rsid w:val="074083BA"/>
    <w:rsid w:val="077C2EBB"/>
    <w:rsid w:val="089F2D11"/>
    <w:rsid w:val="0906D2FA"/>
    <w:rsid w:val="0A0A0A5C"/>
    <w:rsid w:val="0A602260"/>
    <w:rsid w:val="0A985E08"/>
    <w:rsid w:val="0AC7DFAD"/>
    <w:rsid w:val="0B5C5FF7"/>
    <w:rsid w:val="0C7703A8"/>
    <w:rsid w:val="0CCF1080"/>
    <w:rsid w:val="0CF5DCD2"/>
    <w:rsid w:val="0D41AB1E"/>
    <w:rsid w:val="0DA28BD0"/>
    <w:rsid w:val="10D7516A"/>
    <w:rsid w:val="1255A3C5"/>
    <w:rsid w:val="131EAFA4"/>
    <w:rsid w:val="13A342B8"/>
    <w:rsid w:val="13F17426"/>
    <w:rsid w:val="141FF0D3"/>
    <w:rsid w:val="14A7311C"/>
    <w:rsid w:val="1529D572"/>
    <w:rsid w:val="17241127"/>
    <w:rsid w:val="17252E09"/>
    <w:rsid w:val="1811C327"/>
    <w:rsid w:val="18D532B6"/>
    <w:rsid w:val="18E004E9"/>
    <w:rsid w:val="1A388C3A"/>
    <w:rsid w:val="1A5CCECB"/>
    <w:rsid w:val="1A8BE22C"/>
    <w:rsid w:val="1A8F3257"/>
    <w:rsid w:val="1B7C973E"/>
    <w:rsid w:val="1D586B78"/>
    <w:rsid w:val="1E41A880"/>
    <w:rsid w:val="1E4DF3D8"/>
    <w:rsid w:val="1EDEAAE4"/>
    <w:rsid w:val="1EF43BD9"/>
    <w:rsid w:val="1F387C76"/>
    <w:rsid w:val="20975D30"/>
    <w:rsid w:val="216FB26F"/>
    <w:rsid w:val="228F53A4"/>
    <w:rsid w:val="23AE849F"/>
    <w:rsid w:val="2437A417"/>
    <w:rsid w:val="24CA1261"/>
    <w:rsid w:val="254A5500"/>
    <w:rsid w:val="254DEC68"/>
    <w:rsid w:val="2628A3A4"/>
    <w:rsid w:val="2637C763"/>
    <w:rsid w:val="26C5A7F1"/>
    <w:rsid w:val="2A2F0D07"/>
    <w:rsid w:val="2AD7AC5B"/>
    <w:rsid w:val="2AF8E5F6"/>
    <w:rsid w:val="2C491408"/>
    <w:rsid w:val="2D35CF69"/>
    <w:rsid w:val="2DB8E981"/>
    <w:rsid w:val="2ED19FCA"/>
    <w:rsid w:val="2ED24950"/>
    <w:rsid w:val="318A9D17"/>
    <w:rsid w:val="32074014"/>
    <w:rsid w:val="322A74FE"/>
    <w:rsid w:val="350A967B"/>
    <w:rsid w:val="35350AC2"/>
    <w:rsid w:val="353EE0D6"/>
    <w:rsid w:val="35409565"/>
    <w:rsid w:val="358A4486"/>
    <w:rsid w:val="35A46A65"/>
    <w:rsid w:val="376228AC"/>
    <w:rsid w:val="37ADE115"/>
    <w:rsid w:val="38576F86"/>
    <w:rsid w:val="38600339"/>
    <w:rsid w:val="39A26C77"/>
    <w:rsid w:val="3A5102C6"/>
    <w:rsid w:val="3BECD327"/>
    <w:rsid w:val="3C815371"/>
    <w:rsid w:val="3CDA0D39"/>
    <w:rsid w:val="3D21CA46"/>
    <w:rsid w:val="3FE58D0E"/>
    <w:rsid w:val="41683512"/>
    <w:rsid w:val="41C892DE"/>
    <w:rsid w:val="42136AA9"/>
    <w:rsid w:val="42AE4CC0"/>
    <w:rsid w:val="43B9805D"/>
    <w:rsid w:val="4463457E"/>
    <w:rsid w:val="446AC255"/>
    <w:rsid w:val="4488A577"/>
    <w:rsid w:val="459F609E"/>
    <w:rsid w:val="46940BE3"/>
    <w:rsid w:val="46E76394"/>
    <w:rsid w:val="47231054"/>
    <w:rsid w:val="47975E88"/>
    <w:rsid w:val="47AA1C63"/>
    <w:rsid w:val="47CB6F97"/>
    <w:rsid w:val="482FDC44"/>
    <w:rsid w:val="488333F5"/>
    <w:rsid w:val="493E3378"/>
    <w:rsid w:val="4A1CBEFF"/>
    <w:rsid w:val="4A976032"/>
    <w:rsid w:val="4DCD8D9A"/>
    <w:rsid w:val="4DECFA7F"/>
    <w:rsid w:val="4DF0FF67"/>
    <w:rsid w:val="4E11A49B"/>
    <w:rsid w:val="4ED86986"/>
    <w:rsid w:val="4ED94D1C"/>
    <w:rsid w:val="4EFC21F1"/>
    <w:rsid w:val="4FB3830B"/>
    <w:rsid w:val="500006F6"/>
    <w:rsid w:val="509A2E74"/>
    <w:rsid w:val="50AA72F9"/>
    <w:rsid w:val="50F8D588"/>
    <w:rsid w:val="51026C5B"/>
    <w:rsid w:val="51052E5C"/>
    <w:rsid w:val="516A5A8C"/>
    <w:rsid w:val="51D6BE8A"/>
    <w:rsid w:val="51F94051"/>
    <w:rsid w:val="5386DD7F"/>
    <w:rsid w:val="5392B24C"/>
    <w:rsid w:val="53B4471E"/>
    <w:rsid w:val="54D37819"/>
    <w:rsid w:val="568473CD"/>
    <w:rsid w:val="56CCB174"/>
    <w:rsid w:val="57292EB2"/>
    <w:rsid w:val="5771ADDF"/>
    <w:rsid w:val="582469D9"/>
    <w:rsid w:val="58DCF205"/>
    <w:rsid w:val="590D7E40"/>
    <w:rsid w:val="59E9BDF5"/>
    <w:rsid w:val="59F483B8"/>
    <w:rsid w:val="5ACBC16B"/>
    <w:rsid w:val="5AE5A96F"/>
    <w:rsid w:val="5B2D28A8"/>
    <w:rsid w:val="5B9DC431"/>
    <w:rsid w:val="5BE9F8A5"/>
    <w:rsid w:val="5C451F02"/>
    <w:rsid w:val="5CA4E431"/>
    <w:rsid w:val="5E476378"/>
    <w:rsid w:val="5EBD2F18"/>
    <w:rsid w:val="5EE9B66B"/>
    <w:rsid w:val="602D78E8"/>
    <w:rsid w:val="6058FF79"/>
    <w:rsid w:val="607D8E28"/>
    <w:rsid w:val="61C94949"/>
    <w:rsid w:val="61F4CFDA"/>
    <w:rsid w:val="620C5318"/>
    <w:rsid w:val="62195E89"/>
    <w:rsid w:val="622EFF2E"/>
    <w:rsid w:val="625EBF37"/>
    <w:rsid w:val="6390A03B"/>
    <w:rsid w:val="647EC597"/>
    <w:rsid w:val="64BF5FED"/>
    <w:rsid w:val="67DCA640"/>
    <w:rsid w:val="68D2D5C8"/>
    <w:rsid w:val="6A200520"/>
    <w:rsid w:val="6A5675CE"/>
    <w:rsid w:val="6AC02689"/>
    <w:rsid w:val="6B144702"/>
    <w:rsid w:val="6BEC7920"/>
    <w:rsid w:val="6DB9B769"/>
    <w:rsid w:val="6E078C6A"/>
    <w:rsid w:val="6EFFCF17"/>
    <w:rsid w:val="703CF1E9"/>
    <w:rsid w:val="716A6029"/>
    <w:rsid w:val="716F49A2"/>
    <w:rsid w:val="72376FD9"/>
    <w:rsid w:val="7255682B"/>
    <w:rsid w:val="728D288C"/>
    <w:rsid w:val="737492AB"/>
    <w:rsid w:val="73A51EE6"/>
    <w:rsid w:val="752883B7"/>
    <w:rsid w:val="75A86B0E"/>
    <w:rsid w:val="75C4C94E"/>
    <w:rsid w:val="766E4156"/>
    <w:rsid w:val="7887607F"/>
    <w:rsid w:val="78A6B15D"/>
    <w:rsid w:val="7A2330E0"/>
    <w:rsid w:val="7A4281BE"/>
    <w:rsid w:val="7A6326F2"/>
    <w:rsid w:val="7A8C3372"/>
    <w:rsid w:val="7AE23D85"/>
    <w:rsid w:val="7B4CB2C1"/>
    <w:rsid w:val="7B5EE082"/>
    <w:rsid w:val="7BB81E51"/>
    <w:rsid w:val="7C5517EE"/>
    <w:rsid w:val="7C8ACB61"/>
    <w:rsid w:val="7CE88322"/>
    <w:rsid w:val="7D15EFE3"/>
    <w:rsid w:val="7D53EEB2"/>
    <w:rsid w:val="7F117327"/>
    <w:rsid w:val="7F224429"/>
    <w:rsid w:val="7FC94F13"/>
    <w:rsid w:val="7FFD5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A98E9"/>
  <w15:chartTrackingRefBased/>
  <w15:docId w15:val="{810A1A43-F850-40C5-95D4-D96767B01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F0432"/>
    <w:pPr>
      <w:spacing w:after="200" w:line="276" w:lineRule="auto"/>
    </w:pPr>
    <w:rPr>
      <w:rFonts w:eastAsiaTheme="minorEastAsia"/>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F0432"/>
    <w:rPr>
      <w:color w:val="0563C1" w:themeColor="hyperlink"/>
      <w:u w:val="single"/>
    </w:rPr>
  </w:style>
  <w:style w:type="paragraph" w:styleId="Title">
    <w:name w:val="Title"/>
    <w:basedOn w:val="Normal"/>
    <w:next w:val="Normal"/>
    <w:link w:val="TitleChar"/>
    <w:uiPriority w:val="10"/>
    <w:qFormat/>
    <w:rsid w:val="008469C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469CB"/>
    <w:rPr>
      <w:rFonts w:asciiTheme="majorHAnsi" w:hAnsiTheme="majorHAnsi" w:eastAsiaTheme="majorEastAsia" w:cstheme="majorBidi"/>
      <w:spacing w:val="-10"/>
      <w:kern w:val="28"/>
      <w:sz w:val="56"/>
      <w:szCs w:val="56"/>
      <w:lang w:eastAsia="en-GB"/>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eader" Target="header.xml" Id="Red3691c4dd2c4e0f" /><Relationship Type="http://schemas.openxmlformats.org/officeDocument/2006/relationships/footer" Target="footer.xml" Id="Re0a37081bac547a7" /><Relationship Type="http://schemas.openxmlformats.org/officeDocument/2006/relationships/footnotes" Target="footnotes.xml" Id="R8fa9dcfa26cc40fb" /><Relationship Type="http://schemas.microsoft.com/office/2020/10/relationships/intelligence" Target="intelligence2.xml" Id="R30a49549e4d14f5e" /></Relationships>
</file>

<file path=word/_rels/footnotes.xml.rels>&#65279;<?xml version="1.0" encoding="utf-8"?><Relationships xmlns="http://schemas.openxmlformats.org/package/2006/relationships"><Relationship Type="http://schemas.openxmlformats.org/officeDocument/2006/relationships/hyperlink" Target="https://www.british-history.ac.uk/vch/ches/vol5/pt1/pp16-33" TargetMode="External" Id="R05700309f09c4753" /><Relationship Type="http://schemas.openxmlformats.org/officeDocument/2006/relationships/hyperlink" Target="https://www.catholicculture.org/commentary/easter-octave/" TargetMode="External" Id="Rc363a115e7654c42" /><Relationship Type="http://schemas.openxmlformats.org/officeDocument/2006/relationships/hyperlink" Target="https://www.britannica.com/place/Anjou" TargetMode="External" Id="Rff5b252b970647fd" /><Relationship Type="http://schemas.openxmlformats.org/officeDocument/2006/relationships/hyperlink" Target="https://www.christianity.com/jesus/early-church-history/church-holidays/what-is-ascension-day.html" TargetMode="External" Id="Rd0f68898945642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7" ma:contentTypeDescription="Create a new document." ma:contentTypeScope="" ma:versionID="568333d8fb0cd4308458b1795519d9f1">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69585b74df955e51f48ebfb6e57b88d7"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E35F55-691E-47F7-A916-DDF457C4E1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82763E-1F9E-4241-B031-4E5649B8F11A}">
  <ds:schemaRefs>
    <ds:schemaRef ds:uri="http://schemas.microsoft.com/sharepoint/v3/contenttype/forms"/>
  </ds:schemaRefs>
</ds:datastoreItem>
</file>

<file path=customXml/itemProps3.xml><?xml version="1.0" encoding="utf-8"?>
<ds:datastoreItem xmlns:ds="http://schemas.openxmlformats.org/officeDocument/2006/customXml" ds:itemID="{5DCC3296-6CDA-47B1-AF9B-48E003B134FC}">
  <ds:schemaRefs>
    <ds:schemaRef ds:uri="1c03a1d9-70c4-477b-aef0-fd07cc731e16"/>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faa71f4d-89e4-4bc7-bae8-eb8f92ec0efb"/>
    <ds:schemaRef ds:uri="http://schemas.openxmlformats.org/package/2006/metadata/core-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Harriet Webster</dc:creator>
  <keywords/>
  <dc:description/>
  <lastModifiedBy>Nerys Angharad Craig (P148404)</lastModifiedBy>
  <revision>4</revision>
  <dcterms:created xsi:type="dcterms:W3CDTF">2021-01-12T13:07:00.0000000Z</dcterms:created>
  <dcterms:modified xsi:type="dcterms:W3CDTF">2022-01-31T12:42:21.9809948Z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