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7D34F9" w14:textId="77777777" w:rsidR="00205B25" w:rsidRDefault="00205B25" w:rsidP="00F61AF7">
      <w:pPr>
        <w:spacing w:line="360" w:lineRule="auto"/>
        <w:jc w:val="center"/>
        <w:rPr>
          <w:rFonts w:ascii="Times New Roman" w:hAnsi="Times New Roman" w:cs="Times New Roman"/>
          <w:sz w:val="24"/>
          <w:szCs w:val="24"/>
        </w:rPr>
      </w:pPr>
    </w:p>
    <w:p w14:paraId="705B8775" w14:textId="77777777" w:rsidR="00205B25" w:rsidRDefault="00205B25" w:rsidP="00F61AF7">
      <w:pPr>
        <w:spacing w:line="360" w:lineRule="auto"/>
        <w:jc w:val="center"/>
        <w:rPr>
          <w:rFonts w:ascii="Times New Roman" w:hAnsi="Times New Roman" w:cs="Times New Roman"/>
          <w:sz w:val="24"/>
          <w:szCs w:val="24"/>
        </w:rPr>
      </w:pPr>
    </w:p>
    <w:p w14:paraId="7C8DAB66" w14:textId="77777777" w:rsidR="00205B25" w:rsidRDefault="00205B25" w:rsidP="00F61AF7">
      <w:pPr>
        <w:spacing w:line="360" w:lineRule="auto"/>
        <w:jc w:val="center"/>
        <w:rPr>
          <w:rFonts w:ascii="Times New Roman" w:hAnsi="Times New Roman" w:cs="Times New Roman"/>
          <w:sz w:val="24"/>
          <w:szCs w:val="24"/>
        </w:rPr>
      </w:pPr>
    </w:p>
    <w:p w14:paraId="1C32514F" w14:textId="77777777" w:rsidR="00205B25" w:rsidRDefault="00205B25" w:rsidP="00F61AF7">
      <w:pPr>
        <w:spacing w:line="360" w:lineRule="auto"/>
        <w:jc w:val="center"/>
        <w:rPr>
          <w:rFonts w:ascii="Times New Roman" w:hAnsi="Times New Roman" w:cs="Times New Roman"/>
          <w:sz w:val="24"/>
          <w:szCs w:val="24"/>
        </w:rPr>
      </w:pPr>
    </w:p>
    <w:p w14:paraId="6EDC96D7" w14:textId="61F557B3" w:rsidR="00551A23" w:rsidRPr="00F61AF7" w:rsidRDefault="00551A23" w:rsidP="00F61AF7">
      <w:pPr>
        <w:spacing w:line="360" w:lineRule="auto"/>
        <w:jc w:val="center"/>
        <w:rPr>
          <w:rFonts w:ascii="Times New Roman" w:hAnsi="Times New Roman" w:cs="Times New Roman"/>
          <w:sz w:val="24"/>
          <w:szCs w:val="24"/>
        </w:rPr>
      </w:pPr>
      <w:r w:rsidRPr="00F61AF7">
        <w:rPr>
          <w:rFonts w:ascii="Times New Roman" w:hAnsi="Times New Roman" w:cs="Times New Roman"/>
          <w:sz w:val="24"/>
          <w:szCs w:val="24"/>
        </w:rPr>
        <w:t>R</w:t>
      </w:r>
      <w:r w:rsidRPr="00F80A98">
        <w:rPr>
          <w:rFonts w:ascii="Times New Roman" w:hAnsi="Times New Roman" w:cs="Times New Roman"/>
          <w:sz w:val="24"/>
          <w:szCs w:val="24"/>
        </w:rPr>
        <w:t xml:space="preserve">eport on </w:t>
      </w:r>
      <w:r w:rsidR="00D1668C" w:rsidRPr="00F61AF7">
        <w:rPr>
          <w:rFonts w:ascii="Times New Roman" w:hAnsi="Times New Roman" w:cs="Times New Roman"/>
          <w:sz w:val="24"/>
          <w:szCs w:val="24"/>
        </w:rPr>
        <w:t>ASD</w:t>
      </w:r>
      <w:r w:rsidRPr="00F80A98">
        <w:rPr>
          <w:rFonts w:ascii="Times New Roman" w:hAnsi="Times New Roman" w:cs="Times New Roman"/>
          <w:sz w:val="24"/>
          <w:szCs w:val="24"/>
        </w:rPr>
        <w:t xml:space="preserve"> (ASD) (ICD-11 Chapter 6)</w:t>
      </w:r>
    </w:p>
    <w:p w14:paraId="1F93BAE1" w14:textId="1FF393C0" w:rsidR="00551A23" w:rsidRPr="00F61AF7" w:rsidRDefault="00551A23" w:rsidP="00F61AF7">
      <w:pPr>
        <w:spacing w:line="360" w:lineRule="auto"/>
        <w:jc w:val="center"/>
        <w:rPr>
          <w:rFonts w:ascii="Times New Roman" w:hAnsi="Times New Roman" w:cs="Times New Roman"/>
          <w:sz w:val="24"/>
          <w:szCs w:val="24"/>
        </w:rPr>
      </w:pPr>
      <w:r w:rsidRPr="00F61AF7">
        <w:rPr>
          <w:rFonts w:ascii="Times New Roman" w:hAnsi="Times New Roman" w:cs="Times New Roman"/>
          <w:sz w:val="24"/>
          <w:szCs w:val="24"/>
        </w:rPr>
        <w:t>Module</w:t>
      </w:r>
      <w:r w:rsidR="00315238">
        <w:rPr>
          <w:rFonts w:ascii="Times New Roman" w:hAnsi="Times New Roman" w:cs="Times New Roman"/>
          <w:sz w:val="24"/>
          <w:szCs w:val="24"/>
        </w:rPr>
        <w:t>: BMHP</w:t>
      </w:r>
      <w:r w:rsidR="009E47E3">
        <w:rPr>
          <w:rFonts w:ascii="Times New Roman" w:hAnsi="Times New Roman" w:cs="Times New Roman"/>
          <w:sz w:val="24"/>
          <w:szCs w:val="24"/>
        </w:rPr>
        <w:t>6029</w:t>
      </w:r>
    </w:p>
    <w:p w14:paraId="01751E7C" w14:textId="7D255A41" w:rsidR="00551A23" w:rsidRPr="00F61AF7" w:rsidRDefault="00551A23" w:rsidP="00F61AF7">
      <w:pPr>
        <w:spacing w:line="360" w:lineRule="auto"/>
        <w:jc w:val="center"/>
        <w:rPr>
          <w:rFonts w:ascii="Times New Roman" w:hAnsi="Times New Roman" w:cs="Times New Roman"/>
          <w:sz w:val="24"/>
          <w:szCs w:val="24"/>
        </w:rPr>
      </w:pPr>
      <w:r w:rsidRPr="00F61AF7">
        <w:rPr>
          <w:rFonts w:ascii="Times New Roman" w:hAnsi="Times New Roman" w:cs="Times New Roman"/>
          <w:sz w:val="24"/>
          <w:szCs w:val="24"/>
        </w:rPr>
        <w:t>Student Name</w:t>
      </w:r>
      <w:r w:rsidR="001C21DF">
        <w:rPr>
          <w:rFonts w:ascii="Times New Roman" w:hAnsi="Times New Roman" w:cs="Times New Roman"/>
          <w:sz w:val="24"/>
          <w:szCs w:val="24"/>
        </w:rPr>
        <w:t xml:space="preserve">: Mohammed Mustafa Ali </w:t>
      </w:r>
    </w:p>
    <w:p w14:paraId="051F3F3C" w14:textId="7DA642E2" w:rsidR="00551A23" w:rsidRPr="00F61AF7" w:rsidRDefault="001C21DF" w:rsidP="00F61AF7">
      <w:pPr>
        <w:tabs>
          <w:tab w:val="num" w:pos="720"/>
        </w:tabs>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Student </w:t>
      </w:r>
      <w:r w:rsidR="00BA63C6">
        <w:rPr>
          <w:rFonts w:ascii="Times New Roman" w:hAnsi="Times New Roman" w:cs="Times New Roman"/>
          <w:sz w:val="24"/>
          <w:szCs w:val="24"/>
        </w:rPr>
        <w:t>ID</w:t>
      </w:r>
      <w:r>
        <w:rPr>
          <w:rFonts w:ascii="Times New Roman" w:hAnsi="Times New Roman" w:cs="Times New Roman"/>
          <w:sz w:val="24"/>
          <w:szCs w:val="24"/>
        </w:rPr>
        <w:t>: 2244081</w:t>
      </w:r>
    </w:p>
    <w:p w14:paraId="5CB05D0B" w14:textId="77777777" w:rsidR="00551A23" w:rsidRPr="00F61AF7" w:rsidRDefault="00551A23" w:rsidP="00F61AF7">
      <w:pPr>
        <w:spacing w:line="360" w:lineRule="auto"/>
        <w:jc w:val="both"/>
        <w:rPr>
          <w:rFonts w:ascii="Times New Roman" w:hAnsi="Times New Roman" w:cs="Times New Roman"/>
          <w:b/>
          <w:bCs/>
          <w:sz w:val="24"/>
          <w:szCs w:val="24"/>
        </w:rPr>
      </w:pPr>
      <w:r w:rsidRPr="00F61AF7">
        <w:rPr>
          <w:rFonts w:ascii="Times New Roman" w:hAnsi="Times New Roman" w:cs="Times New Roman"/>
          <w:b/>
          <w:bCs/>
          <w:sz w:val="24"/>
          <w:szCs w:val="24"/>
        </w:rPr>
        <w:br w:type="page"/>
      </w:r>
    </w:p>
    <w:p w14:paraId="119AFF03" w14:textId="4DC6BF94" w:rsidR="008121DD" w:rsidRPr="00F61AF7" w:rsidRDefault="008121DD" w:rsidP="00F61AF7">
      <w:pPr>
        <w:spacing w:line="360" w:lineRule="auto"/>
        <w:jc w:val="both"/>
        <w:rPr>
          <w:rFonts w:ascii="Times New Roman" w:hAnsi="Times New Roman" w:cs="Times New Roman"/>
          <w:b/>
          <w:bCs/>
          <w:sz w:val="24"/>
          <w:szCs w:val="24"/>
        </w:rPr>
      </w:pPr>
      <w:r w:rsidRPr="00F61AF7">
        <w:rPr>
          <w:rFonts w:ascii="Times New Roman" w:hAnsi="Times New Roman" w:cs="Times New Roman"/>
          <w:b/>
          <w:bCs/>
          <w:sz w:val="24"/>
          <w:szCs w:val="24"/>
        </w:rPr>
        <w:t xml:space="preserve">Introduction </w:t>
      </w:r>
    </w:p>
    <w:p w14:paraId="0235CE11" w14:textId="4AAC3731" w:rsidR="008121DD" w:rsidRPr="00F61AF7" w:rsidRDefault="00615BF1" w:rsidP="00F61AF7">
      <w:pPr>
        <w:spacing w:line="360" w:lineRule="auto"/>
        <w:jc w:val="both"/>
        <w:rPr>
          <w:rFonts w:ascii="Times New Roman" w:hAnsi="Times New Roman" w:cs="Times New Roman"/>
          <w:sz w:val="24"/>
          <w:szCs w:val="24"/>
        </w:rPr>
      </w:pPr>
      <w:r w:rsidRPr="00F61AF7">
        <w:rPr>
          <w:rFonts w:ascii="Times New Roman" w:hAnsi="Times New Roman" w:cs="Times New Roman"/>
          <w:sz w:val="24"/>
          <w:szCs w:val="24"/>
        </w:rPr>
        <w:t xml:space="preserve">Autism Spectrum Disorder </w:t>
      </w:r>
      <w:r w:rsidR="008121DD" w:rsidRPr="00F61AF7">
        <w:rPr>
          <w:rFonts w:ascii="Times New Roman" w:hAnsi="Times New Roman" w:cs="Times New Roman"/>
          <w:sz w:val="24"/>
          <w:szCs w:val="24"/>
        </w:rPr>
        <w:t xml:space="preserve">(ASD) is a neurodevelopmental condition classified as complex </w:t>
      </w:r>
      <w:r w:rsidR="00200538" w:rsidRPr="00F61AF7">
        <w:rPr>
          <w:rFonts w:ascii="Times New Roman" w:hAnsi="Times New Roman" w:cs="Times New Roman"/>
          <w:sz w:val="24"/>
          <w:szCs w:val="24"/>
        </w:rPr>
        <w:t>because</w:t>
      </w:r>
      <w:r w:rsidR="008121DD" w:rsidRPr="00F61AF7">
        <w:rPr>
          <w:rFonts w:ascii="Times New Roman" w:hAnsi="Times New Roman" w:cs="Times New Roman"/>
          <w:sz w:val="24"/>
          <w:szCs w:val="24"/>
        </w:rPr>
        <w:t xml:space="preserve"> it is defined by long-standing difficulties in social communication and limited, repetitive behavioural patterns as described in the International Classification of Diseases, 11th Revision (ICD-11; World Health Organization, 2019). Existing estimates in the world show that one out of 100 people </w:t>
      </w:r>
      <w:r w:rsidR="000B6673" w:rsidRPr="00F61AF7">
        <w:rPr>
          <w:rFonts w:ascii="Times New Roman" w:hAnsi="Times New Roman" w:cs="Times New Roman"/>
          <w:sz w:val="24"/>
          <w:szCs w:val="24"/>
        </w:rPr>
        <w:t>meet</w:t>
      </w:r>
      <w:r w:rsidR="008121DD" w:rsidRPr="00F61AF7">
        <w:rPr>
          <w:rFonts w:ascii="Times New Roman" w:hAnsi="Times New Roman" w:cs="Times New Roman"/>
          <w:sz w:val="24"/>
          <w:szCs w:val="24"/>
        </w:rPr>
        <w:t xml:space="preserve"> the diagnostic criteria (Lord et al., 2020), which explains the importance of effective classification to provide </w:t>
      </w:r>
      <w:r w:rsidR="000B6673" w:rsidRPr="001C13F8">
        <w:rPr>
          <w:rFonts w:ascii="Times New Roman" w:hAnsi="Times New Roman" w:cs="Times New Roman"/>
          <w:sz w:val="24"/>
          <w:szCs w:val="24"/>
        </w:rPr>
        <w:t xml:space="preserve">equitable </w:t>
      </w:r>
      <w:r w:rsidR="008121DD" w:rsidRPr="00F61AF7">
        <w:rPr>
          <w:rFonts w:ascii="Times New Roman" w:hAnsi="Times New Roman" w:cs="Times New Roman"/>
          <w:sz w:val="24"/>
          <w:szCs w:val="24"/>
        </w:rPr>
        <w:t>service delivery. The conceptual change towards dimensional and lifespan-based conceptualization is the reorganization of ASD as a single spectrum in ICD-11, instead of subclassifying it as Asperger’s syndrome (Reed et al., 2019). Nevertheless, this reconfiguring has created a very critical debate on the effects on identity, diagnostic accuracy, and the ability to receive services (Kamp-Becker, 2024; Greaves-Lord, Skuse and Mandy, 2022).</w:t>
      </w:r>
    </w:p>
    <w:p w14:paraId="652F0996" w14:textId="0153493F" w:rsidR="008121DD" w:rsidRPr="00F61AF7" w:rsidRDefault="008121DD" w:rsidP="00F61AF7">
      <w:pPr>
        <w:spacing w:line="360" w:lineRule="auto"/>
        <w:jc w:val="both"/>
        <w:rPr>
          <w:rFonts w:ascii="Times New Roman" w:hAnsi="Times New Roman" w:cs="Times New Roman"/>
          <w:sz w:val="24"/>
          <w:szCs w:val="24"/>
        </w:rPr>
      </w:pPr>
      <w:r w:rsidRPr="00F61AF7">
        <w:rPr>
          <w:rFonts w:ascii="Times New Roman" w:hAnsi="Times New Roman" w:cs="Times New Roman"/>
          <w:sz w:val="24"/>
          <w:szCs w:val="24"/>
        </w:rPr>
        <w:t xml:space="preserve">This report is a critical discussion on </w:t>
      </w:r>
      <w:r w:rsidR="00D1668C" w:rsidRPr="00F61AF7">
        <w:rPr>
          <w:rFonts w:ascii="Times New Roman" w:hAnsi="Times New Roman" w:cs="Times New Roman"/>
          <w:sz w:val="24"/>
          <w:szCs w:val="24"/>
        </w:rPr>
        <w:t>ASD</w:t>
      </w:r>
      <w:r w:rsidRPr="00F61AF7">
        <w:rPr>
          <w:rFonts w:ascii="Times New Roman" w:hAnsi="Times New Roman" w:cs="Times New Roman"/>
          <w:sz w:val="24"/>
          <w:szCs w:val="24"/>
        </w:rPr>
        <w:t xml:space="preserve"> according to the definition in ICD-11 and how it is classified, diagnosed, treated and rehabilitated. The analysis is directed </w:t>
      </w:r>
      <w:r w:rsidR="000B6673" w:rsidRPr="00F61AF7">
        <w:rPr>
          <w:rFonts w:ascii="Times New Roman" w:hAnsi="Times New Roman" w:cs="Times New Roman"/>
          <w:sz w:val="24"/>
          <w:szCs w:val="24"/>
        </w:rPr>
        <w:t>to</w:t>
      </w:r>
      <w:r w:rsidRPr="00F61AF7">
        <w:rPr>
          <w:rFonts w:ascii="Times New Roman" w:hAnsi="Times New Roman" w:cs="Times New Roman"/>
          <w:sz w:val="24"/>
          <w:szCs w:val="24"/>
        </w:rPr>
        <w:t xml:space="preserve"> question the effects of the conceptualisation of ASD by ICD-11 on diagnostic and clinical services. </w:t>
      </w:r>
      <w:r w:rsidR="00BF06AE" w:rsidRPr="00F61AF7">
        <w:rPr>
          <w:rFonts w:ascii="Times New Roman" w:hAnsi="Times New Roman" w:cs="Times New Roman"/>
          <w:sz w:val="24"/>
          <w:szCs w:val="24"/>
        </w:rPr>
        <w:t xml:space="preserve">Secondly, </w:t>
      </w:r>
      <w:r w:rsidRPr="00F61AF7">
        <w:rPr>
          <w:rFonts w:ascii="Times New Roman" w:hAnsi="Times New Roman" w:cs="Times New Roman"/>
          <w:sz w:val="24"/>
          <w:szCs w:val="24"/>
        </w:rPr>
        <w:t>the discussion examines the transformation of care in terms of historical institutional models to the current community-based, neurodiversity-informed care. The report will review approaches of classification systems in both professional knowledge and lived experiences of individuals with ASD by integrating the evidence found in scholarly literature, clinical guidelines, and policy frameworks.</w:t>
      </w:r>
    </w:p>
    <w:p w14:paraId="3796D303" w14:textId="4014BB6E" w:rsidR="008520A6" w:rsidRPr="009979BA" w:rsidRDefault="008520A6" w:rsidP="00F61AF7">
      <w:pPr>
        <w:spacing w:line="360" w:lineRule="auto"/>
        <w:jc w:val="both"/>
        <w:rPr>
          <w:rFonts w:ascii="Times New Roman" w:hAnsi="Times New Roman" w:cs="Times New Roman"/>
          <w:b/>
          <w:bCs/>
          <w:sz w:val="24"/>
          <w:szCs w:val="24"/>
        </w:rPr>
      </w:pPr>
      <w:r w:rsidRPr="009979BA">
        <w:rPr>
          <w:rFonts w:ascii="Times New Roman" w:hAnsi="Times New Roman" w:cs="Times New Roman"/>
          <w:b/>
          <w:bCs/>
          <w:sz w:val="24"/>
          <w:szCs w:val="24"/>
        </w:rPr>
        <w:t xml:space="preserve">Classification of </w:t>
      </w:r>
      <w:r w:rsidR="00615BF1" w:rsidRPr="00F61AF7">
        <w:rPr>
          <w:rFonts w:ascii="Times New Roman" w:hAnsi="Times New Roman" w:cs="Times New Roman"/>
          <w:b/>
          <w:bCs/>
          <w:sz w:val="24"/>
          <w:szCs w:val="24"/>
        </w:rPr>
        <w:t xml:space="preserve">Autism Spectrum Disorder </w:t>
      </w:r>
      <w:r w:rsidRPr="009979BA">
        <w:rPr>
          <w:rFonts w:ascii="Times New Roman" w:hAnsi="Times New Roman" w:cs="Times New Roman"/>
          <w:b/>
          <w:bCs/>
          <w:sz w:val="24"/>
          <w:szCs w:val="24"/>
        </w:rPr>
        <w:t xml:space="preserve">in ICD-11 </w:t>
      </w:r>
    </w:p>
    <w:p w14:paraId="1B19569B" w14:textId="5BB7CCAE" w:rsidR="008121DD" w:rsidRPr="00F61AF7" w:rsidRDefault="008121DD" w:rsidP="00F61AF7">
      <w:pPr>
        <w:spacing w:line="360" w:lineRule="auto"/>
        <w:jc w:val="both"/>
        <w:rPr>
          <w:rFonts w:ascii="Times New Roman" w:hAnsi="Times New Roman" w:cs="Times New Roman"/>
          <w:sz w:val="24"/>
          <w:szCs w:val="24"/>
        </w:rPr>
      </w:pPr>
      <w:r w:rsidRPr="00F61AF7">
        <w:rPr>
          <w:rFonts w:ascii="Times New Roman" w:hAnsi="Times New Roman" w:cs="Times New Roman"/>
          <w:sz w:val="24"/>
          <w:szCs w:val="24"/>
        </w:rPr>
        <w:t xml:space="preserve">In the International Classification of Diseases, 11th Revision (ICD-11), ASD is coded as 6A02 in Chapter 06: Mental, Behavioural or Neurodevelopmental Disorders (World Health Organization, 2019). The classification </w:t>
      </w:r>
      <w:r w:rsidR="00615BF1" w:rsidRPr="00F61AF7">
        <w:rPr>
          <w:rFonts w:ascii="Times New Roman" w:hAnsi="Times New Roman" w:cs="Times New Roman"/>
          <w:sz w:val="24"/>
          <w:szCs w:val="24"/>
        </w:rPr>
        <w:t>typifies</w:t>
      </w:r>
      <w:r w:rsidRPr="00F61AF7">
        <w:rPr>
          <w:rFonts w:ascii="Times New Roman" w:hAnsi="Times New Roman" w:cs="Times New Roman"/>
          <w:sz w:val="24"/>
          <w:szCs w:val="24"/>
        </w:rPr>
        <w:t xml:space="preserve"> ASD as one spectrum condition, which is defined by long-term impairments in the capacity to initiate and maintain reciprocal social interactions and communication as well as limited, monotonous patterns of behaviour, interests, or activities. The ICD-11 model highlights that such manifestations occur in different degrees throughout the lifespan and could be affected by the level of development and co-morbidity as well as the environmental dynamics. This life-course orientation is an intentional shift in preference towards no longer using fixed categorical typologies in favo</w:t>
      </w:r>
      <w:r w:rsidR="00615BF1" w:rsidRPr="00F61AF7">
        <w:rPr>
          <w:rFonts w:ascii="Times New Roman" w:hAnsi="Times New Roman" w:cs="Times New Roman"/>
          <w:sz w:val="24"/>
          <w:szCs w:val="24"/>
        </w:rPr>
        <w:t>u</w:t>
      </w:r>
      <w:r w:rsidRPr="00F61AF7">
        <w:rPr>
          <w:rFonts w:ascii="Times New Roman" w:hAnsi="Times New Roman" w:cs="Times New Roman"/>
          <w:sz w:val="24"/>
          <w:szCs w:val="24"/>
        </w:rPr>
        <w:t>r of a dimensional model of neurodevelopment (Reed et al., 2019).</w:t>
      </w:r>
    </w:p>
    <w:p w14:paraId="361C2784" w14:textId="36AB84C1" w:rsidR="008121DD" w:rsidRPr="00F61AF7" w:rsidRDefault="008121DD" w:rsidP="00F61AF7">
      <w:pPr>
        <w:spacing w:line="360" w:lineRule="auto"/>
        <w:jc w:val="both"/>
        <w:rPr>
          <w:rFonts w:ascii="Times New Roman" w:hAnsi="Times New Roman" w:cs="Times New Roman"/>
          <w:sz w:val="24"/>
          <w:szCs w:val="24"/>
        </w:rPr>
      </w:pPr>
      <w:r w:rsidRPr="00F61AF7">
        <w:rPr>
          <w:rFonts w:ascii="Times New Roman" w:hAnsi="Times New Roman" w:cs="Times New Roman"/>
          <w:sz w:val="24"/>
          <w:szCs w:val="24"/>
        </w:rPr>
        <w:t xml:space="preserve">The ICD-11 refers to the concept of disorder to mean clinically significant impairment in functioning, but this linguistic choice has been challenged in the neurodiversity discourses that do not support pathologisation of difference (Greaves-Lord, Skuse and Mandy, 2022). </w:t>
      </w:r>
      <w:r w:rsidR="00BE5B66" w:rsidRPr="00F61AF7">
        <w:rPr>
          <w:rFonts w:ascii="Times New Roman" w:hAnsi="Times New Roman" w:cs="Times New Roman"/>
          <w:sz w:val="24"/>
          <w:szCs w:val="24"/>
        </w:rPr>
        <w:t xml:space="preserve">Similarly, </w:t>
      </w:r>
      <w:r w:rsidRPr="00F61AF7">
        <w:rPr>
          <w:rFonts w:ascii="Times New Roman" w:hAnsi="Times New Roman" w:cs="Times New Roman"/>
          <w:sz w:val="24"/>
          <w:szCs w:val="24"/>
        </w:rPr>
        <w:t>ICD-11 includes qualifiers such as with or without intellectual impairment and with or without functional language to support personalised assessment and support the planning. This is in contrast to the Diagnostic and Statistical Manual of Mental Disorders, Fifth Edition (DSM-5) which though similarly adopts a unified spectrum, operationalises domains of symptoms differently, and is based on more behaviourally oriented criteria. The descriptive approach of ICD-11 is designed to be universally applicable, which accepts cultural differences and diversity in health-systems (Kamp-Becker, 2024).</w:t>
      </w:r>
    </w:p>
    <w:p w14:paraId="7124B70F" w14:textId="6C4F5CE7" w:rsidR="008121DD" w:rsidRPr="00F61AF7" w:rsidRDefault="008121DD" w:rsidP="00F61AF7">
      <w:pPr>
        <w:spacing w:line="360" w:lineRule="auto"/>
        <w:jc w:val="both"/>
        <w:rPr>
          <w:rFonts w:ascii="Times New Roman" w:hAnsi="Times New Roman" w:cs="Times New Roman"/>
          <w:sz w:val="24"/>
          <w:szCs w:val="24"/>
        </w:rPr>
      </w:pPr>
      <w:r w:rsidRPr="00F61AF7">
        <w:rPr>
          <w:rFonts w:ascii="Times New Roman" w:hAnsi="Times New Roman" w:cs="Times New Roman"/>
          <w:sz w:val="24"/>
          <w:szCs w:val="24"/>
        </w:rPr>
        <w:t>Importantly, ICD-11 classification has a number of advantages: it improves the diagnostic consistency through a combination of social-communication and behavioural aspects; it has behaviour-indicator tables that make inter-rater reliability better; and it considers developmental trajectories after childhood (Lord et al., 2020). Its limitations are, however, that the spectrum may be too broad-based and thus, fatigue clinical specificity and obscure heterogeneity in the cognitive and adaptive functioning (Matson and Sturmey, 2020). In addition, the elimination of separate subtypes may lead to an identity loss among people who used to be classified according to the less broad classifications like Asperger syndrome (Volkmar et al., 2019). These theoretical uncertainties make service provisions difficult, stratification of research, and implementation of diagnostic criteria to educational or therapeutic interventions. As a result, ICD-11 is an inclusive, progressive taxonomy but its clinical implementation relies eventually on subtle professional interpretation and further accommodation to the changing neurodevelopmental sciences.</w:t>
      </w:r>
    </w:p>
    <w:p w14:paraId="2545EC00" w14:textId="77777777" w:rsidR="008520A6" w:rsidRPr="007A6109" w:rsidRDefault="008520A6" w:rsidP="00F61AF7">
      <w:pPr>
        <w:spacing w:line="360" w:lineRule="auto"/>
        <w:jc w:val="both"/>
        <w:rPr>
          <w:rFonts w:ascii="Times New Roman" w:hAnsi="Times New Roman" w:cs="Times New Roman"/>
          <w:b/>
          <w:bCs/>
          <w:sz w:val="24"/>
          <w:szCs w:val="24"/>
        </w:rPr>
      </w:pPr>
      <w:r w:rsidRPr="007A6109">
        <w:rPr>
          <w:rFonts w:ascii="Times New Roman" w:hAnsi="Times New Roman" w:cs="Times New Roman"/>
          <w:b/>
          <w:bCs/>
          <w:sz w:val="24"/>
          <w:szCs w:val="24"/>
        </w:rPr>
        <w:t>Diagnosis and Diagnostic Processes</w:t>
      </w:r>
    </w:p>
    <w:p w14:paraId="5EC1F8C3" w14:textId="6D10BDEC" w:rsidR="008121DD" w:rsidRPr="00F61AF7" w:rsidRDefault="008121DD" w:rsidP="00F61AF7">
      <w:pPr>
        <w:spacing w:line="360" w:lineRule="auto"/>
        <w:jc w:val="both"/>
        <w:rPr>
          <w:rFonts w:ascii="Times New Roman" w:hAnsi="Times New Roman" w:cs="Times New Roman"/>
          <w:sz w:val="24"/>
          <w:szCs w:val="24"/>
        </w:rPr>
      </w:pPr>
      <w:r w:rsidRPr="00F61AF7">
        <w:rPr>
          <w:rFonts w:ascii="Times New Roman" w:hAnsi="Times New Roman" w:cs="Times New Roman"/>
          <w:sz w:val="24"/>
          <w:szCs w:val="24"/>
        </w:rPr>
        <w:t xml:space="preserve">Structured </w:t>
      </w:r>
      <w:r w:rsidR="00D1668C" w:rsidRPr="00F61AF7">
        <w:rPr>
          <w:rFonts w:ascii="Times New Roman" w:hAnsi="Times New Roman" w:cs="Times New Roman"/>
          <w:sz w:val="24"/>
          <w:szCs w:val="24"/>
        </w:rPr>
        <w:t>ASD</w:t>
      </w:r>
      <w:r w:rsidRPr="00F61AF7">
        <w:rPr>
          <w:rFonts w:ascii="Times New Roman" w:hAnsi="Times New Roman" w:cs="Times New Roman"/>
          <w:sz w:val="24"/>
          <w:szCs w:val="24"/>
        </w:rPr>
        <w:t xml:space="preserve"> (ASD) diagnosis</w:t>
      </w:r>
      <w:r w:rsidR="00804AB6" w:rsidRPr="00F61AF7">
        <w:rPr>
          <w:rFonts w:ascii="Times New Roman" w:hAnsi="Times New Roman" w:cs="Times New Roman"/>
          <w:sz w:val="24"/>
          <w:szCs w:val="24"/>
        </w:rPr>
        <w:t>,</w:t>
      </w:r>
      <w:r w:rsidRPr="00F61AF7">
        <w:rPr>
          <w:rFonts w:ascii="Times New Roman" w:hAnsi="Times New Roman" w:cs="Times New Roman"/>
          <w:sz w:val="24"/>
          <w:szCs w:val="24"/>
        </w:rPr>
        <w:t xml:space="preserve"> according to ICD-11 criteria</w:t>
      </w:r>
      <w:r w:rsidR="00804AB6" w:rsidRPr="00F61AF7">
        <w:rPr>
          <w:rFonts w:ascii="Times New Roman" w:hAnsi="Times New Roman" w:cs="Times New Roman"/>
          <w:sz w:val="24"/>
          <w:szCs w:val="24"/>
        </w:rPr>
        <w:t>,</w:t>
      </w:r>
      <w:r w:rsidRPr="00F61AF7">
        <w:rPr>
          <w:rFonts w:ascii="Times New Roman" w:hAnsi="Times New Roman" w:cs="Times New Roman"/>
          <w:sz w:val="24"/>
          <w:szCs w:val="24"/>
        </w:rPr>
        <w:t xml:space="preserve"> is a multi-stage process that aims at identifying enduring problems in reciprocal social communication and limited and repetitive behavioural patterns across the settings and over time (World Health Organization, 2019). The most common route is firstly, screening in primary or educational settings, then it is multidisciplinary assessment to include psychologists, psychiatrists, speech and language therapists, and occupational therapists (NHS England, 2023). Diagnostic verification presupposes the elimination of other possible causes, including intellectual disability, attention-deficit/hyperactivity disorder (ADHD), or anxiety-related and personality disorders, which guarantees diagnostic accuracy based on the differential assessment (Matson and Sturmey, 2020). Autism Diagnostic Observation Scale (ADOS) and Autism Diagnostic Interview-Revised (ADI-R) will continue to be fundamental tools and be supplemented with structured observations, measures of cognitive functioning and adaptive functioning as well as caregiver or teacher input (Lord et al., 2020). NICE (2021) emphasises that interpretation of these tools should be embedded in a broader clinical formulation as opposed to a checklist method, and that ASD is a heterogeneous disorder.</w:t>
      </w:r>
    </w:p>
    <w:p w14:paraId="5271346B" w14:textId="295F9201" w:rsidR="008121DD" w:rsidRPr="00F61AF7" w:rsidRDefault="008121DD" w:rsidP="00F61AF7">
      <w:pPr>
        <w:spacing w:line="360" w:lineRule="auto"/>
        <w:jc w:val="both"/>
        <w:rPr>
          <w:rFonts w:ascii="Times New Roman" w:hAnsi="Times New Roman" w:cs="Times New Roman"/>
          <w:sz w:val="24"/>
          <w:szCs w:val="24"/>
        </w:rPr>
      </w:pPr>
      <w:r w:rsidRPr="00F61AF7">
        <w:rPr>
          <w:rFonts w:ascii="Times New Roman" w:hAnsi="Times New Roman" w:cs="Times New Roman"/>
          <w:sz w:val="24"/>
          <w:szCs w:val="24"/>
        </w:rPr>
        <w:t xml:space="preserve">Nonetheless, there are acute problems with diagnostic practice. People, especially women and average or above-average intelligent people, are later diagnosed with autism because of camouflaging behaviours, covering up autism and continuing to create diagnostic inequity (Kamp-Becker, 2024). </w:t>
      </w:r>
      <w:r w:rsidR="00BE5B66" w:rsidRPr="00F61AF7">
        <w:rPr>
          <w:rFonts w:ascii="Times New Roman" w:hAnsi="Times New Roman" w:cs="Times New Roman"/>
          <w:sz w:val="24"/>
          <w:szCs w:val="24"/>
        </w:rPr>
        <w:t>Simialrly, r</w:t>
      </w:r>
      <w:r w:rsidRPr="00F61AF7">
        <w:rPr>
          <w:rFonts w:ascii="Times New Roman" w:hAnsi="Times New Roman" w:cs="Times New Roman"/>
          <w:sz w:val="24"/>
          <w:szCs w:val="24"/>
        </w:rPr>
        <w:t>ecognition and access to diagnostic services is influenced by cultural and socio-economic differences, which result in underdiagnosis among minority and low-resource populations (Greaves-Lord, Skuse and Mandy, 2022). These disparities challenge the principles of ICD-11 of universal application and create ethical issues on the timely intervention.</w:t>
      </w:r>
    </w:p>
    <w:p w14:paraId="5AC54B47" w14:textId="672EEFD5" w:rsidR="008121DD" w:rsidRPr="00F61AF7" w:rsidRDefault="008121DD" w:rsidP="00F61AF7">
      <w:pPr>
        <w:spacing w:line="360" w:lineRule="auto"/>
        <w:jc w:val="both"/>
        <w:rPr>
          <w:rFonts w:ascii="Times New Roman" w:hAnsi="Times New Roman" w:cs="Times New Roman"/>
          <w:sz w:val="24"/>
          <w:szCs w:val="24"/>
        </w:rPr>
      </w:pPr>
      <w:r w:rsidRPr="00F61AF7">
        <w:rPr>
          <w:rFonts w:ascii="Times New Roman" w:hAnsi="Times New Roman" w:cs="Times New Roman"/>
          <w:sz w:val="24"/>
          <w:szCs w:val="24"/>
        </w:rPr>
        <w:t xml:space="preserve">As a critical perspective, contemporary diagnostic instruments are very reliable in research studies, although their ecological validity in practical contexts is minimal. </w:t>
      </w:r>
      <w:r w:rsidR="00BE5B66" w:rsidRPr="00F61AF7">
        <w:rPr>
          <w:rFonts w:ascii="Times New Roman" w:hAnsi="Times New Roman" w:cs="Times New Roman"/>
          <w:sz w:val="24"/>
          <w:szCs w:val="24"/>
        </w:rPr>
        <w:t>Moreover, e</w:t>
      </w:r>
      <w:r w:rsidRPr="00F61AF7">
        <w:rPr>
          <w:rFonts w:ascii="Times New Roman" w:hAnsi="Times New Roman" w:cs="Times New Roman"/>
          <w:sz w:val="24"/>
          <w:szCs w:val="24"/>
        </w:rPr>
        <w:t xml:space="preserve">xcessive use of behavioural observation may lead to the inability to consider the contextual and sensory aspects of autistic experience (Reichow, Doehring and Volkmar, 2025). To bring ICD-11 classification to the current person-centred care and inclusive practice, a more </w:t>
      </w:r>
      <w:r w:rsidR="006F41AC" w:rsidRPr="00F61AF7">
        <w:rPr>
          <w:rFonts w:ascii="Times New Roman" w:hAnsi="Times New Roman" w:cs="Times New Roman"/>
          <w:sz w:val="24"/>
          <w:szCs w:val="24"/>
        </w:rPr>
        <w:t>equitable</w:t>
      </w:r>
      <w:r w:rsidRPr="00F61AF7">
        <w:rPr>
          <w:rFonts w:ascii="Times New Roman" w:hAnsi="Times New Roman" w:cs="Times New Roman"/>
          <w:sz w:val="24"/>
          <w:szCs w:val="24"/>
        </w:rPr>
        <w:t xml:space="preserve"> and neurodiversity-informed diagnostic culture, combining self-report, lived experience, and environmental analysis, is thus necessary.</w:t>
      </w:r>
    </w:p>
    <w:p w14:paraId="4F6FFAB3" w14:textId="77777777" w:rsidR="00337B5B" w:rsidRPr="00EB41B0" w:rsidRDefault="00337B5B" w:rsidP="00F61AF7">
      <w:pPr>
        <w:spacing w:line="360" w:lineRule="auto"/>
        <w:jc w:val="both"/>
        <w:rPr>
          <w:rFonts w:ascii="Times New Roman" w:hAnsi="Times New Roman" w:cs="Times New Roman"/>
          <w:b/>
          <w:bCs/>
          <w:sz w:val="24"/>
          <w:szCs w:val="24"/>
        </w:rPr>
      </w:pPr>
      <w:r w:rsidRPr="00EB41B0">
        <w:rPr>
          <w:rFonts w:ascii="Times New Roman" w:hAnsi="Times New Roman" w:cs="Times New Roman"/>
          <w:b/>
          <w:bCs/>
          <w:sz w:val="24"/>
          <w:szCs w:val="24"/>
        </w:rPr>
        <w:t>Treatment and Rehabilitation</w:t>
      </w:r>
    </w:p>
    <w:p w14:paraId="6CA265AB" w14:textId="294D3A22" w:rsidR="00BF2BC2" w:rsidRPr="00F61AF7" w:rsidRDefault="008121DD" w:rsidP="00F61AF7">
      <w:pPr>
        <w:spacing w:line="360" w:lineRule="auto"/>
        <w:jc w:val="both"/>
        <w:rPr>
          <w:rFonts w:ascii="Times New Roman" w:hAnsi="Times New Roman" w:cs="Times New Roman"/>
          <w:sz w:val="24"/>
          <w:szCs w:val="24"/>
        </w:rPr>
      </w:pPr>
      <w:r w:rsidRPr="00F61AF7">
        <w:rPr>
          <w:rFonts w:ascii="Times New Roman" w:hAnsi="Times New Roman" w:cs="Times New Roman"/>
          <w:sz w:val="24"/>
          <w:szCs w:val="24"/>
        </w:rPr>
        <w:t>ICD-11 (World Health Organization, 2019) does not offer much prescriptive advice, but it forms the basis of clinical coding and service arrangement, which define how interventions are financed and tracked in support of national health systems. ABA and naturalistic developmental behavioural interventions are associated with an improvement in communication and adaptive abilities, whereas parent-mediated programmes can help a child generalise skills in the natural environments (Hume et al., 2021). Pragmatic communication is facilitated with the help of speech and language therapy, and the issues of anxiety and difficulties with emotional regulation are addressed by means of cognitive-behavioural strategies (Rieske, 2019).</w:t>
      </w:r>
    </w:p>
    <w:p w14:paraId="66684DFF" w14:textId="77777777" w:rsidR="00BF2BC2" w:rsidRPr="00F61AF7" w:rsidRDefault="00BF2BC2" w:rsidP="00F61AF7">
      <w:pPr>
        <w:spacing w:line="360" w:lineRule="auto"/>
        <w:jc w:val="both"/>
        <w:rPr>
          <w:rFonts w:ascii="Times New Roman" w:hAnsi="Times New Roman" w:cs="Times New Roman"/>
          <w:sz w:val="24"/>
          <w:szCs w:val="24"/>
        </w:rPr>
      </w:pPr>
      <w:r w:rsidRPr="00F61AF7">
        <w:rPr>
          <w:rFonts w:ascii="Times New Roman" w:hAnsi="Times New Roman" w:cs="Times New Roman"/>
          <w:sz w:val="24"/>
          <w:szCs w:val="24"/>
        </w:rPr>
        <w:t>Core ASD features do not need pharmacological treatment, but they can be treated by treating comorbid conditions (Like attention difficulties, irritability, or depression) (Lord et al., 2020). Selective serotonin reuptake inhibitors, stimulants, or atypical antipsychotics are used with caution as the efficacy is low, and side-effects load will aggravate sensory sensitivities (Matson and Sturmey, 2020). In this way, medication is an add-on to a psychosocial intervention (not a modality).</w:t>
      </w:r>
    </w:p>
    <w:p w14:paraId="4A851C48" w14:textId="5B1624C6" w:rsidR="00BF2BC2" w:rsidRPr="00F61AF7" w:rsidRDefault="00760253" w:rsidP="00F61AF7">
      <w:pPr>
        <w:spacing w:line="360" w:lineRule="auto"/>
        <w:jc w:val="both"/>
        <w:rPr>
          <w:rFonts w:ascii="Times New Roman" w:hAnsi="Times New Roman" w:cs="Times New Roman"/>
          <w:sz w:val="24"/>
          <w:szCs w:val="24"/>
        </w:rPr>
      </w:pPr>
      <w:r w:rsidRPr="00F61AF7">
        <w:rPr>
          <w:rFonts w:ascii="Times New Roman" w:hAnsi="Times New Roman" w:cs="Times New Roman"/>
          <w:sz w:val="24"/>
          <w:szCs w:val="24"/>
        </w:rPr>
        <w:t>The</w:t>
      </w:r>
      <w:r w:rsidR="00BF2BC2" w:rsidRPr="00F61AF7">
        <w:rPr>
          <w:rFonts w:ascii="Times New Roman" w:hAnsi="Times New Roman" w:cs="Times New Roman"/>
          <w:sz w:val="24"/>
          <w:szCs w:val="24"/>
        </w:rPr>
        <w:t xml:space="preserve"> policy frameworks as the National Strategy for Autistic Children, Young People and Adults 20212026 emphasize reasonable workplace accommodations, adult transition and inclusion in the community (Department of Health and Social Care, 2021). However, practically, the provision is uneven, and there are long queues, disjointed routes, and insufficient post-diagnostic assistance even though NHS England (2023) has tried to make provision more standardised.</w:t>
      </w:r>
    </w:p>
    <w:p w14:paraId="6F9ADE87" w14:textId="77777777" w:rsidR="00BF2BC2" w:rsidRPr="00F61AF7" w:rsidRDefault="00BF2BC2" w:rsidP="00F61AF7">
      <w:pPr>
        <w:spacing w:line="360" w:lineRule="auto"/>
        <w:jc w:val="both"/>
        <w:rPr>
          <w:rFonts w:ascii="Times New Roman" w:hAnsi="Times New Roman" w:cs="Times New Roman"/>
          <w:sz w:val="24"/>
          <w:szCs w:val="24"/>
        </w:rPr>
      </w:pPr>
      <w:r w:rsidRPr="00F61AF7">
        <w:rPr>
          <w:rFonts w:ascii="Times New Roman" w:hAnsi="Times New Roman" w:cs="Times New Roman"/>
          <w:sz w:val="24"/>
          <w:szCs w:val="24"/>
        </w:rPr>
        <w:t>More importantly, the heterogeneity of outcomes and variability of context limits the efficacy of these methods. Interventions based on behavioural interventions have shown small-to-moderate effect sizes, which are highly moderated by the age, the intensity, and the family engagement (Hume et al., 2021). Shortage and lack of even distribution of experts training on fidelity and sustainability is also hindered (NMC, 2019). Thus, although ICD-11 enables the system-level acknowledgment of ASD, real rehabilitation involves the incorporation of neurodiversity-affirming practice, co-produced care planning, and structural investment to enable interventions to become based on research evidence and equitable and lifelong support.</w:t>
      </w:r>
    </w:p>
    <w:p w14:paraId="5EAE114C" w14:textId="77777777" w:rsidR="00337B5B" w:rsidRPr="00B31E88" w:rsidRDefault="00337B5B" w:rsidP="00F61AF7">
      <w:pPr>
        <w:spacing w:line="360" w:lineRule="auto"/>
        <w:jc w:val="both"/>
        <w:rPr>
          <w:rFonts w:ascii="Times New Roman" w:hAnsi="Times New Roman" w:cs="Times New Roman"/>
          <w:b/>
          <w:bCs/>
          <w:sz w:val="24"/>
          <w:szCs w:val="24"/>
        </w:rPr>
      </w:pPr>
      <w:r w:rsidRPr="00B31E88">
        <w:rPr>
          <w:rFonts w:ascii="Times New Roman" w:hAnsi="Times New Roman" w:cs="Times New Roman"/>
          <w:b/>
          <w:bCs/>
          <w:sz w:val="24"/>
          <w:szCs w:val="24"/>
        </w:rPr>
        <w:t>Current Debates and Emerging Issue</w:t>
      </w:r>
      <w:r w:rsidRPr="00F61AF7">
        <w:rPr>
          <w:rFonts w:ascii="Times New Roman" w:hAnsi="Times New Roman" w:cs="Times New Roman"/>
          <w:b/>
          <w:bCs/>
          <w:sz w:val="24"/>
          <w:szCs w:val="24"/>
        </w:rPr>
        <w:t>s</w:t>
      </w:r>
    </w:p>
    <w:p w14:paraId="59B44AEB" w14:textId="298F088A" w:rsidR="00BF2BC2" w:rsidRPr="00F61AF7" w:rsidRDefault="00BF2BC2" w:rsidP="00F61AF7">
      <w:pPr>
        <w:spacing w:line="360" w:lineRule="auto"/>
        <w:jc w:val="both"/>
        <w:rPr>
          <w:rFonts w:ascii="Times New Roman" w:hAnsi="Times New Roman" w:cs="Times New Roman"/>
          <w:sz w:val="24"/>
          <w:szCs w:val="24"/>
        </w:rPr>
      </w:pPr>
      <w:r w:rsidRPr="00F61AF7">
        <w:rPr>
          <w:rFonts w:ascii="Times New Roman" w:hAnsi="Times New Roman" w:cs="Times New Roman"/>
          <w:sz w:val="24"/>
          <w:szCs w:val="24"/>
        </w:rPr>
        <w:t xml:space="preserve">The current debate on </w:t>
      </w:r>
      <w:r w:rsidR="00D1668C" w:rsidRPr="00F61AF7">
        <w:rPr>
          <w:rFonts w:ascii="Times New Roman" w:hAnsi="Times New Roman" w:cs="Times New Roman"/>
          <w:sz w:val="24"/>
          <w:szCs w:val="24"/>
        </w:rPr>
        <w:t>ASD</w:t>
      </w:r>
      <w:r w:rsidRPr="00F61AF7">
        <w:rPr>
          <w:rFonts w:ascii="Times New Roman" w:hAnsi="Times New Roman" w:cs="Times New Roman"/>
          <w:sz w:val="24"/>
          <w:szCs w:val="24"/>
        </w:rPr>
        <w:t xml:space="preserve"> (ASD) indicates a productive tension of the neuro-diversity movement and the medical model of ICD-11. The neurodiversity paradigm is an attempt to redefine autism as a normal difference between human cognition and a disorder instead of a deficit, which undermines deficit-based terminology and pathologisation of autistic identity (Kapp, 2020). The ICD-11 on the other hand does not delete the term disorder (code 6A02) and thus retains medical validity of access to services but unintentionally perpetuates the stigma and the perception of impairment. A significant number of former Asperger patients complain that they lost their identity and felt their experiences put down (Gibson and Dempsey, 2021). As a service, the generalized definition of ASD increases the promptness of detection at an earlier stage but jeopardizes specificity, making the eligibility requirements and distribution of resources confusing. </w:t>
      </w:r>
      <w:r w:rsidR="00AB05DE" w:rsidRPr="00F61AF7">
        <w:rPr>
          <w:rFonts w:ascii="Times New Roman" w:hAnsi="Times New Roman" w:cs="Times New Roman"/>
          <w:sz w:val="24"/>
          <w:szCs w:val="24"/>
        </w:rPr>
        <w:t>Further, t</w:t>
      </w:r>
      <w:r w:rsidRPr="00F61AF7">
        <w:rPr>
          <w:rFonts w:ascii="Times New Roman" w:hAnsi="Times New Roman" w:cs="Times New Roman"/>
          <w:sz w:val="24"/>
          <w:szCs w:val="24"/>
        </w:rPr>
        <w:t xml:space="preserve">he comparability of </w:t>
      </w:r>
      <w:r w:rsidR="00AB05DE" w:rsidRPr="00F61AF7">
        <w:rPr>
          <w:rFonts w:ascii="Times New Roman" w:hAnsi="Times New Roman" w:cs="Times New Roman"/>
          <w:sz w:val="24"/>
          <w:szCs w:val="24"/>
        </w:rPr>
        <w:t>findings</w:t>
      </w:r>
      <w:r w:rsidRPr="00F61AF7">
        <w:rPr>
          <w:rFonts w:ascii="Times New Roman" w:hAnsi="Times New Roman" w:cs="Times New Roman"/>
          <w:sz w:val="24"/>
          <w:szCs w:val="24"/>
        </w:rPr>
        <w:t xml:space="preserve"> has</w:t>
      </w:r>
      <w:r w:rsidR="00AB05DE" w:rsidRPr="00F61AF7">
        <w:rPr>
          <w:rFonts w:ascii="Times New Roman" w:hAnsi="Times New Roman" w:cs="Times New Roman"/>
          <w:sz w:val="24"/>
          <w:szCs w:val="24"/>
        </w:rPr>
        <w:t xml:space="preserve"> </w:t>
      </w:r>
      <w:r w:rsidRPr="00F61AF7">
        <w:rPr>
          <w:rFonts w:ascii="Times New Roman" w:hAnsi="Times New Roman" w:cs="Times New Roman"/>
          <w:sz w:val="24"/>
          <w:szCs w:val="24"/>
        </w:rPr>
        <w:t>been upset because it is hard to generalise or come up with specific interventions due to heterogeneity in presentations.</w:t>
      </w:r>
    </w:p>
    <w:p w14:paraId="234CA5B4" w14:textId="77777777" w:rsidR="00337B5B" w:rsidRPr="00F61AF7" w:rsidRDefault="00BF2BC2" w:rsidP="00F61AF7">
      <w:pPr>
        <w:spacing w:line="360" w:lineRule="auto"/>
        <w:jc w:val="both"/>
        <w:rPr>
          <w:rFonts w:ascii="Times New Roman" w:hAnsi="Times New Roman" w:cs="Times New Roman"/>
          <w:sz w:val="24"/>
          <w:szCs w:val="24"/>
        </w:rPr>
      </w:pPr>
      <w:r w:rsidRPr="00F61AF7">
        <w:rPr>
          <w:rFonts w:ascii="Times New Roman" w:hAnsi="Times New Roman" w:cs="Times New Roman"/>
          <w:sz w:val="24"/>
          <w:szCs w:val="24"/>
        </w:rPr>
        <w:t>Equity concerns exist in terms of gender, ethnicity as well as life course. Women and ethnic minorities are still underdiagnosed because of camouflaging behaviours and cultural bias of assessment tools (Hull et al., 2020). Adults and the elderly are usually not recognized early enough and services are mainly directed towards children. Low-resource settings have minimal diagnostic infrastructure and trained professionals, which subverts the vision of ICD-11 to be used globally.</w:t>
      </w:r>
      <w:r w:rsidR="005106B6" w:rsidRPr="00F61AF7">
        <w:rPr>
          <w:rFonts w:ascii="Times New Roman" w:hAnsi="Times New Roman" w:cs="Times New Roman"/>
          <w:sz w:val="24"/>
          <w:szCs w:val="24"/>
        </w:rPr>
        <w:t xml:space="preserve"> </w:t>
      </w:r>
      <w:r w:rsidRPr="00F61AF7">
        <w:rPr>
          <w:rFonts w:ascii="Times New Roman" w:hAnsi="Times New Roman" w:cs="Times New Roman"/>
          <w:sz w:val="24"/>
          <w:szCs w:val="24"/>
        </w:rPr>
        <w:t xml:space="preserve">Equity is further worsened by policy and workforce problems. NHS waiting lists are long, service integration is incomplete, and workforce shortages make it difficult to intervene in time and continue care (NICE, 2021). </w:t>
      </w:r>
    </w:p>
    <w:p w14:paraId="4E7DC115" w14:textId="77777777" w:rsidR="00337B5B" w:rsidRPr="00F61AF7" w:rsidRDefault="00337B5B" w:rsidP="00F61AF7">
      <w:pPr>
        <w:spacing w:line="360" w:lineRule="auto"/>
        <w:jc w:val="both"/>
        <w:rPr>
          <w:rFonts w:ascii="Times New Roman" w:hAnsi="Times New Roman" w:cs="Times New Roman"/>
          <w:b/>
          <w:bCs/>
          <w:sz w:val="24"/>
          <w:szCs w:val="24"/>
        </w:rPr>
      </w:pPr>
      <w:r w:rsidRPr="00B921B5">
        <w:rPr>
          <w:rFonts w:ascii="Times New Roman" w:hAnsi="Times New Roman" w:cs="Times New Roman"/>
          <w:b/>
          <w:bCs/>
          <w:sz w:val="24"/>
          <w:szCs w:val="24"/>
        </w:rPr>
        <w:t>Conclusion and Recommendations</w:t>
      </w:r>
    </w:p>
    <w:p w14:paraId="126066A4" w14:textId="083A84A0" w:rsidR="00BF2BC2" w:rsidRPr="00F61AF7" w:rsidRDefault="00BF2BC2" w:rsidP="00F61AF7">
      <w:pPr>
        <w:spacing w:line="360" w:lineRule="auto"/>
        <w:jc w:val="both"/>
        <w:rPr>
          <w:rFonts w:ascii="Times New Roman" w:hAnsi="Times New Roman" w:cs="Times New Roman"/>
          <w:sz w:val="24"/>
          <w:szCs w:val="24"/>
        </w:rPr>
      </w:pPr>
      <w:r w:rsidRPr="00F61AF7">
        <w:rPr>
          <w:rFonts w:ascii="Times New Roman" w:hAnsi="Times New Roman" w:cs="Times New Roman"/>
          <w:sz w:val="24"/>
          <w:szCs w:val="24"/>
        </w:rPr>
        <w:t xml:space="preserve">In order to reinforce the classification, diagnosis, and care of </w:t>
      </w:r>
      <w:r w:rsidR="00D1668C" w:rsidRPr="00F61AF7">
        <w:rPr>
          <w:rFonts w:ascii="Times New Roman" w:hAnsi="Times New Roman" w:cs="Times New Roman"/>
          <w:sz w:val="24"/>
          <w:szCs w:val="24"/>
        </w:rPr>
        <w:t>ASD</w:t>
      </w:r>
      <w:r w:rsidRPr="00F61AF7">
        <w:rPr>
          <w:rFonts w:ascii="Times New Roman" w:hAnsi="Times New Roman" w:cs="Times New Roman"/>
          <w:sz w:val="24"/>
          <w:szCs w:val="24"/>
        </w:rPr>
        <w:t xml:space="preserve"> (ASD) in the ICD-11 framework, it is necessary to have a few evidence-based and policy-oriented enhancements. First, refinements to the classification should have more explicit qualifiers that reflect the functional variability without compromising access to services- leaving services with high adaptive capabilities but with high levels of social challenges to be able to receive such support. Secondly, there is a need to diagnose practices by applying multidisciplinary assessment and culturally sensitive instruments, which identify gendered and ethnic differences in manifestation. This should be standardised in the training of clinicians on camouflaging and late-diagnosis indicators by both NHS and community mental health teams.</w:t>
      </w:r>
    </w:p>
    <w:p w14:paraId="2E567BE2" w14:textId="5130843B" w:rsidR="00337B5B" w:rsidRPr="00F61AF7" w:rsidRDefault="00BF2BC2" w:rsidP="00F61AF7">
      <w:pPr>
        <w:spacing w:line="360" w:lineRule="auto"/>
        <w:jc w:val="both"/>
        <w:rPr>
          <w:rFonts w:ascii="Times New Roman" w:hAnsi="Times New Roman" w:cs="Times New Roman"/>
          <w:sz w:val="24"/>
          <w:szCs w:val="24"/>
        </w:rPr>
      </w:pPr>
      <w:r w:rsidRPr="00F61AF7">
        <w:rPr>
          <w:rFonts w:ascii="Times New Roman" w:hAnsi="Times New Roman" w:cs="Times New Roman"/>
          <w:sz w:val="24"/>
          <w:szCs w:val="24"/>
        </w:rPr>
        <w:t xml:space="preserve">Third, the practice-based treatment and rehabilitation strategies must focus on individualised lifespan-oriented interventions that integrate behavioural, educational, and psychosocial interventions. Routine outcome measurement should be the priority of the policy to determine actual effectiveness in the real world, and solve the waiting list backlog with </w:t>
      </w:r>
      <w:r w:rsidR="00F61AF7" w:rsidRPr="00F61AF7">
        <w:rPr>
          <w:rFonts w:ascii="Times New Roman" w:hAnsi="Times New Roman" w:cs="Times New Roman"/>
          <w:sz w:val="24"/>
          <w:szCs w:val="24"/>
        </w:rPr>
        <w:t xml:space="preserve">increase in </w:t>
      </w:r>
      <w:r w:rsidRPr="00F61AF7">
        <w:rPr>
          <w:rFonts w:ascii="Times New Roman" w:hAnsi="Times New Roman" w:cs="Times New Roman"/>
          <w:sz w:val="24"/>
          <w:szCs w:val="24"/>
        </w:rPr>
        <w:t>labo</w:t>
      </w:r>
      <w:r w:rsidR="00A3109C" w:rsidRPr="00F61AF7">
        <w:rPr>
          <w:rFonts w:ascii="Times New Roman" w:hAnsi="Times New Roman" w:cs="Times New Roman"/>
          <w:sz w:val="24"/>
          <w:szCs w:val="24"/>
        </w:rPr>
        <w:t>u</w:t>
      </w:r>
      <w:r w:rsidRPr="00F61AF7">
        <w:rPr>
          <w:rFonts w:ascii="Times New Roman" w:hAnsi="Times New Roman" w:cs="Times New Roman"/>
          <w:sz w:val="24"/>
          <w:szCs w:val="24"/>
        </w:rPr>
        <w:t xml:space="preserve">r force and </w:t>
      </w:r>
      <w:r w:rsidR="00F61AF7" w:rsidRPr="00B921B5">
        <w:rPr>
          <w:rFonts w:ascii="Times New Roman" w:hAnsi="Times New Roman" w:cs="Times New Roman"/>
          <w:sz w:val="24"/>
          <w:szCs w:val="24"/>
        </w:rPr>
        <w:t>digital triage tools</w:t>
      </w:r>
      <w:r w:rsidRPr="00F61AF7">
        <w:rPr>
          <w:rFonts w:ascii="Times New Roman" w:hAnsi="Times New Roman" w:cs="Times New Roman"/>
          <w:sz w:val="24"/>
          <w:szCs w:val="24"/>
        </w:rPr>
        <w:t>. Lastly, neurodiversity perspectives should be incorporated in the service planning so that co-production is achieved with the autistic people in policy development, employee training, and quality improvement programs.</w:t>
      </w:r>
      <w:r w:rsidR="00337B5B" w:rsidRPr="00F61AF7">
        <w:rPr>
          <w:rFonts w:ascii="Times New Roman" w:hAnsi="Times New Roman" w:cs="Times New Roman"/>
          <w:sz w:val="24"/>
          <w:szCs w:val="24"/>
        </w:rPr>
        <w:t xml:space="preserve"> </w:t>
      </w:r>
    </w:p>
    <w:p w14:paraId="45B4B3ED" w14:textId="77777777" w:rsidR="00551A23" w:rsidRPr="00F61AF7" w:rsidRDefault="00BF2BC2" w:rsidP="00F61AF7">
      <w:pPr>
        <w:spacing w:line="360" w:lineRule="auto"/>
        <w:jc w:val="both"/>
        <w:rPr>
          <w:rFonts w:ascii="Times New Roman" w:hAnsi="Times New Roman" w:cs="Times New Roman"/>
          <w:sz w:val="24"/>
          <w:szCs w:val="24"/>
        </w:rPr>
      </w:pPr>
      <w:r w:rsidRPr="00F61AF7">
        <w:rPr>
          <w:rFonts w:ascii="Times New Roman" w:hAnsi="Times New Roman" w:cs="Times New Roman"/>
          <w:sz w:val="24"/>
          <w:szCs w:val="24"/>
        </w:rPr>
        <w:t>The critical analysis of ASD with references to ICD-11 sheds light on the advancement and flaws in modern mental health care. The only way to cross the divides is to shift to person-centred, interdisciplinary and socially aware practice. Incorporating neurodiversity acceptance into the statutory services with the help of the sound policy and workforce investment is the most sustainable path to better experience and clinical outcomes of autistic people.</w:t>
      </w:r>
    </w:p>
    <w:p w14:paraId="5B080C4E" w14:textId="77777777" w:rsidR="00551A23" w:rsidRPr="00F61AF7" w:rsidRDefault="00551A23" w:rsidP="00F61AF7">
      <w:pPr>
        <w:spacing w:line="360" w:lineRule="auto"/>
        <w:jc w:val="both"/>
        <w:rPr>
          <w:rFonts w:ascii="Times New Roman" w:hAnsi="Times New Roman" w:cs="Times New Roman"/>
          <w:sz w:val="24"/>
          <w:szCs w:val="24"/>
        </w:rPr>
      </w:pPr>
      <w:r w:rsidRPr="00F61AF7">
        <w:rPr>
          <w:rFonts w:ascii="Times New Roman" w:hAnsi="Times New Roman" w:cs="Times New Roman"/>
          <w:sz w:val="24"/>
          <w:szCs w:val="24"/>
        </w:rPr>
        <w:br w:type="page"/>
      </w:r>
    </w:p>
    <w:p w14:paraId="5B3768FE" w14:textId="40676E87" w:rsidR="00BF2BC2" w:rsidRPr="00F61AF7" w:rsidRDefault="00BF2BC2" w:rsidP="00F61AF7">
      <w:pPr>
        <w:spacing w:line="360" w:lineRule="auto"/>
        <w:jc w:val="both"/>
        <w:rPr>
          <w:rFonts w:ascii="Times New Roman" w:hAnsi="Times New Roman" w:cs="Times New Roman"/>
          <w:b/>
          <w:bCs/>
          <w:sz w:val="24"/>
          <w:szCs w:val="24"/>
        </w:rPr>
      </w:pPr>
      <w:r w:rsidRPr="00F61AF7">
        <w:rPr>
          <w:rFonts w:ascii="Times New Roman" w:hAnsi="Times New Roman" w:cs="Times New Roman"/>
          <w:b/>
          <w:bCs/>
          <w:sz w:val="24"/>
          <w:szCs w:val="24"/>
        </w:rPr>
        <w:t>R</w:t>
      </w:r>
      <w:r w:rsidRPr="00F80A98">
        <w:rPr>
          <w:rFonts w:ascii="Times New Roman" w:hAnsi="Times New Roman" w:cs="Times New Roman"/>
          <w:b/>
          <w:bCs/>
          <w:sz w:val="24"/>
          <w:szCs w:val="24"/>
        </w:rPr>
        <w:t>eferences</w:t>
      </w:r>
    </w:p>
    <w:p w14:paraId="0872D0D0" w14:textId="77777777" w:rsidR="00205B25" w:rsidRPr="00F80A98" w:rsidRDefault="00205B25" w:rsidP="00452787">
      <w:pPr>
        <w:spacing w:before="240" w:line="360" w:lineRule="auto"/>
        <w:rPr>
          <w:rFonts w:ascii="Times New Roman" w:hAnsi="Times New Roman" w:cs="Times New Roman"/>
          <w:sz w:val="24"/>
          <w:szCs w:val="24"/>
        </w:rPr>
      </w:pPr>
      <w:r w:rsidRPr="00F80A98">
        <w:rPr>
          <w:rFonts w:ascii="Times New Roman" w:hAnsi="Times New Roman" w:cs="Times New Roman"/>
          <w:sz w:val="24"/>
          <w:szCs w:val="24"/>
        </w:rPr>
        <w:t xml:space="preserve">Department of Health &amp; Social Care (UK Government) (2021) </w:t>
      </w:r>
      <w:r w:rsidRPr="00F80A98">
        <w:rPr>
          <w:rFonts w:ascii="Times New Roman" w:hAnsi="Times New Roman" w:cs="Times New Roman"/>
          <w:i/>
          <w:iCs/>
          <w:sz w:val="24"/>
          <w:szCs w:val="24"/>
        </w:rPr>
        <w:t>The national strategy for autistic children, young people and adults: 2021 to 2026</w:t>
      </w:r>
      <w:r w:rsidRPr="00F80A98">
        <w:rPr>
          <w:rFonts w:ascii="Times New Roman" w:hAnsi="Times New Roman" w:cs="Times New Roman"/>
          <w:sz w:val="24"/>
          <w:szCs w:val="24"/>
        </w:rPr>
        <w:t xml:space="preserve">. London: Department of Health &amp; Social Care. Available at: </w:t>
      </w:r>
      <w:hyperlink r:id="rId6" w:history="1">
        <w:r w:rsidRPr="00F80A98">
          <w:rPr>
            <w:rStyle w:val="Hyperlink"/>
            <w:rFonts w:ascii="Times New Roman" w:hAnsi="Times New Roman" w:cs="Times New Roman"/>
            <w:sz w:val="24"/>
            <w:szCs w:val="24"/>
          </w:rPr>
          <w:t>https://assets.publishing.service.gov.uk/media/60f72556e90e0764c6eb39f5/the-national-strategy-for-autistic-children-young-people-and-adults-2021-to-2026.pdf</w:t>
        </w:r>
      </w:hyperlink>
      <w:r w:rsidRPr="00F80A98">
        <w:rPr>
          <w:rFonts w:ascii="Times New Roman" w:hAnsi="Times New Roman" w:cs="Times New Roman"/>
          <w:sz w:val="24"/>
          <w:szCs w:val="24"/>
        </w:rPr>
        <w:t xml:space="preserve"> (Accessed: 7 November 2025). </w:t>
      </w:r>
    </w:p>
    <w:p w14:paraId="37C16AB1" w14:textId="77777777" w:rsidR="00205B25" w:rsidRPr="00F61AF7" w:rsidRDefault="00205B25" w:rsidP="00452787">
      <w:pPr>
        <w:spacing w:before="240" w:after="0" w:line="360" w:lineRule="auto"/>
        <w:rPr>
          <w:rFonts w:ascii="Times New Roman" w:hAnsi="Times New Roman" w:cs="Times New Roman"/>
          <w:sz w:val="24"/>
          <w:szCs w:val="24"/>
        </w:rPr>
      </w:pPr>
      <w:r w:rsidRPr="00F61AF7">
        <w:rPr>
          <w:rFonts w:ascii="Times New Roman" w:eastAsia="Times New Roman" w:hAnsi="Times New Roman" w:cs="Times New Roman"/>
          <w:kern w:val="0"/>
          <w:sz w:val="24"/>
          <w:szCs w:val="24"/>
          <w14:ligatures w14:val="none"/>
        </w:rPr>
        <w:t xml:space="preserve">Greaves-Lord, K., Skuse, D. and Mandy, W. (2022). Innovations of the ICD-11 in the field of ASD: a psychological approach. </w:t>
      </w:r>
      <w:r w:rsidRPr="00F61AF7">
        <w:rPr>
          <w:rFonts w:ascii="Times New Roman" w:eastAsia="Times New Roman" w:hAnsi="Times New Roman" w:cs="Times New Roman"/>
          <w:i/>
          <w:iCs/>
          <w:kern w:val="0"/>
          <w:sz w:val="24"/>
          <w:szCs w:val="24"/>
          <w14:ligatures w14:val="none"/>
        </w:rPr>
        <w:t>Clinical psychology in Europe</w:t>
      </w:r>
      <w:r w:rsidRPr="00F61AF7">
        <w:rPr>
          <w:rFonts w:ascii="Times New Roman" w:eastAsia="Times New Roman" w:hAnsi="Times New Roman" w:cs="Times New Roman"/>
          <w:kern w:val="0"/>
          <w:sz w:val="24"/>
          <w:szCs w:val="24"/>
          <w14:ligatures w14:val="none"/>
        </w:rPr>
        <w:t xml:space="preserve">, </w:t>
      </w:r>
      <w:r w:rsidRPr="00F61AF7">
        <w:rPr>
          <w:rFonts w:ascii="Times New Roman" w:eastAsia="Times New Roman" w:hAnsi="Times New Roman" w:cs="Times New Roman"/>
          <w:i/>
          <w:iCs/>
          <w:kern w:val="0"/>
          <w:sz w:val="24"/>
          <w:szCs w:val="24"/>
          <w14:ligatures w14:val="none"/>
        </w:rPr>
        <w:t>4</w:t>
      </w:r>
      <w:r w:rsidRPr="00F61AF7">
        <w:rPr>
          <w:rFonts w:ascii="Times New Roman" w:eastAsia="Times New Roman" w:hAnsi="Times New Roman" w:cs="Times New Roman"/>
          <w:kern w:val="0"/>
          <w:sz w:val="24"/>
          <w:szCs w:val="24"/>
          <w14:ligatures w14:val="none"/>
        </w:rPr>
        <w:t>(Spec Issue), p.e10005.</w:t>
      </w:r>
    </w:p>
    <w:p w14:paraId="1226EBCF" w14:textId="77777777" w:rsidR="00205B25" w:rsidRPr="00F61AF7" w:rsidRDefault="00205B25" w:rsidP="00452787">
      <w:pPr>
        <w:spacing w:before="240" w:after="0" w:line="360" w:lineRule="auto"/>
        <w:rPr>
          <w:rFonts w:ascii="Times New Roman" w:eastAsia="Times New Roman" w:hAnsi="Times New Roman" w:cs="Times New Roman"/>
          <w:kern w:val="0"/>
          <w:sz w:val="24"/>
          <w:szCs w:val="24"/>
          <w14:ligatures w14:val="none"/>
        </w:rPr>
      </w:pPr>
      <w:r w:rsidRPr="00F61AF7">
        <w:rPr>
          <w:rFonts w:ascii="Times New Roman" w:eastAsia="Times New Roman" w:hAnsi="Times New Roman" w:cs="Times New Roman"/>
          <w:kern w:val="0"/>
          <w:sz w:val="24"/>
          <w:szCs w:val="24"/>
          <w14:ligatures w14:val="none"/>
        </w:rPr>
        <w:t xml:space="preserve">Hume, K., Steinbrenner, J.R., Odom, S.L., Morin, K.L., Nowell, S.W., Tomaszewski, B., Szendrey, S., McIntyre, N.S., Yücesoy-Özkan, S. and Savage, M.N. (2021). Evidence-based practices for children, youth, and young adults with autism: Third generation review. </w:t>
      </w:r>
      <w:r w:rsidRPr="00F61AF7">
        <w:rPr>
          <w:rFonts w:ascii="Times New Roman" w:eastAsia="Times New Roman" w:hAnsi="Times New Roman" w:cs="Times New Roman"/>
          <w:i/>
          <w:iCs/>
          <w:kern w:val="0"/>
          <w:sz w:val="24"/>
          <w:szCs w:val="24"/>
          <w14:ligatures w14:val="none"/>
        </w:rPr>
        <w:t>Journal of autism and developmental disorders</w:t>
      </w:r>
      <w:r w:rsidRPr="00F61AF7">
        <w:rPr>
          <w:rFonts w:ascii="Times New Roman" w:eastAsia="Times New Roman" w:hAnsi="Times New Roman" w:cs="Times New Roman"/>
          <w:kern w:val="0"/>
          <w:sz w:val="24"/>
          <w:szCs w:val="24"/>
          <w14:ligatures w14:val="none"/>
        </w:rPr>
        <w:t xml:space="preserve">, </w:t>
      </w:r>
      <w:r w:rsidRPr="00F61AF7">
        <w:rPr>
          <w:rFonts w:ascii="Times New Roman" w:eastAsia="Times New Roman" w:hAnsi="Times New Roman" w:cs="Times New Roman"/>
          <w:i/>
          <w:iCs/>
          <w:kern w:val="0"/>
          <w:sz w:val="24"/>
          <w:szCs w:val="24"/>
          <w14:ligatures w14:val="none"/>
        </w:rPr>
        <w:t>51</w:t>
      </w:r>
      <w:r w:rsidRPr="00F61AF7">
        <w:rPr>
          <w:rFonts w:ascii="Times New Roman" w:eastAsia="Times New Roman" w:hAnsi="Times New Roman" w:cs="Times New Roman"/>
          <w:kern w:val="0"/>
          <w:sz w:val="24"/>
          <w:szCs w:val="24"/>
          <w14:ligatures w14:val="none"/>
        </w:rPr>
        <w:t>(11), pp.4013-4032.</w:t>
      </w:r>
    </w:p>
    <w:p w14:paraId="7A312010" w14:textId="77777777" w:rsidR="00205B25" w:rsidRPr="00F61AF7" w:rsidRDefault="00205B25" w:rsidP="00452787">
      <w:pPr>
        <w:spacing w:before="240" w:line="360" w:lineRule="auto"/>
        <w:rPr>
          <w:rFonts w:ascii="Times New Roman" w:hAnsi="Times New Roman" w:cs="Times New Roman"/>
          <w:sz w:val="24"/>
          <w:szCs w:val="24"/>
        </w:rPr>
      </w:pPr>
      <w:r w:rsidRPr="00F80A98">
        <w:rPr>
          <w:rFonts w:ascii="Times New Roman" w:hAnsi="Times New Roman" w:cs="Times New Roman"/>
          <w:sz w:val="24"/>
          <w:szCs w:val="24"/>
        </w:rPr>
        <w:t>Kamp-Becker, I. (2024) ‘</w:t>
      </w:r>
      <w:r w:rsidRPr="00F61AF7">
        <w:rPr>
          <w:rFonts w:ascii="Times New Roman" w:hAnsi="Times New Roman" w:cs="Times New Roman"/>
          <w:sz w:val="24"/>
          <w:szCs w:val="24"/>
        </w:rPr>
        <w:t>ASD</w:t>
      </w:r>
      <w:r w:rsidRPr="00F80A98">
        <w:rPr>
          <w:rFonts w:ascii="Times New Roman" w:hAnsi="Times New Roman" w:cs="Times New Roman"/>
          <w:sz w:val="24"/>
          <w:szCs w:val="24"/>
        </w:rPr>
        <w:t xml:space="preserve"> in ICD-11 — a critical reflection of its possible impact on clinical practice and research’, </w:t>
      </w:r>
      <w:r w:rsidRPr="00F80A98">
        <w:rPr>
          <w:rFonts w:ascii="Times New Roman" w:hAnsi="Times New Roman" w:cs="Times New Roman"/>
          <w:i/>
          <w:iCs/>
          <w:sz w:val="24"/>
          <w:szCs w:val="24"/>
        </w:rPr>
        <w:t>Molecular Psychiatry</w:t>
      </w:r>
      <w:r w:rsidRPr="00F80A98">
        <w:rPr>
          <w:rFonts w:ascii="Times New Roman" w:hAnsi="Times New Roman" w:cs="Times New Roman"/>
          <w:sz w:val="24"/>
          <w:szCs w:val="24"/>
        </w:rPr>
        <w:t xml:space="preserve">, 29, pp. 633–638. </w:t>
      </w:r>
    </w:p>
    <w:p w14:paraId="49A80B09" w14:textId="77777777" w:rsidR="00205B25" w:rsidRPr="00F61AF7" w:rsidRDefault="00205B25" w:rsidP="00452787">
      <w:pPr>
        <w:spacing w:before="240" w:after="0" w:line="360" w:lineRule="auto"/>
        <w:rPr>
          <w:rFonts w:ascii="Times New Roman" w:eastAsia="Times New Roman" w:hAnsi="Times New Roman" w:cs="Times New Roman"/>
          <w:kern w:val="0"/>
          <w:sz w:val="24"/>
          <w:szCs w:val="24"/>
          <w14:ligatures w14:val="none"/>
        </w:rPr>
      </w:pPr>
      <w:r w:rsidRPr="00F61AF7">
        <w:rPr>
          <w:rFonts w:ascii="Times New Roman" w:eastAsia="Times New Roman" w:hAnsi="Times New Roman" w:cs="Times New Roman"/>
          <w:kern w:val="0"/>
          <w:sz w:val="24"/>
          <w:szCs w:val="24"/>
          <w14:ligatures w14:val="none"/>
        </w:rPr>
        <w:t xml:space="preserve">Lord, C., Brugha, T.S., Charman, T., Cusack, J., Dumas, G., Frazier, T., Jones, E.J., Jones, R.M., Pickles, A., State, M.W. and Taylor, J.L. (2020). ASD. </w:t>
      </w:r>
      <w:r w:rsidRPr="00F61AF7">
        <w:rPr>
          <w:rFonts w:ascii="Times New Roman" w:eastAsia="Times New Roman" w:hAnsi="Times New Roman" w:cs="Times New Roman"/>
          <w:i/>
          <w:iCs/>
          <w:kern w:val="0"/>
          <w:sz w:val="24"/>
          <w:szCs w:val="24"/>
          <w14:ligatures w14:val="none"/>
        </w:rPr>
        <w:t>Nature reviews Disease primers</w:t>
      </w:r>
      <w:r w:rsidRPr="00F61AF7">
        <w:rPr>
          <w:rFonts w:ascii="Times New Roman" w:eastAsia="Times New Roman" w:hAnsi="Times New Roman" w:cs="Times New Roman"/>
          <w:kern w:val="0"/>
          <w:sz w:val="24"/>
          <w:szCs w:val="24"/>
          <w14:ligatures w14:val="none"/>
        </w:rPr>
        <w:t xml:space="preserve">, </w:t>
      </w:r>
      <w:r w:rsidRPr="00F61AF7">
        <w:rPr>
          <w:rFonts w:ascii="Times New Roman" w:eastAsia="Times New Roman" w:hAnsi="Times New Roman" w:cs="Times New Roman"/>
          <w:i/>
          <w:iCs/>
          <w:kern w:val="0"/>
          <w:sz w:val="24"/>
          <w:szCs w:val="24"/>
          <w14:ligatures w14:val="none"/>
        </w:rPr>
        <w:t>6</w:t>
      </w:r>
      <w:r w:rsidRPr="00F61AF7">
        <w:rPr>
          <w:rFonts w:ascii="Times New Roman" w:eastAsia="Times New Roman" w:hAnsi="Times New Roman" w:cs="Times New Roman"/>
          <w:kern w:val="0"/>
          <w:sz w:val="24"/>
          <w:szCs w:val="24"/>
          <w14:ligatures w14:val="none"/>
        </w:rPr>
        <w:t>(1), p.5.</w:t>
      </w:r>
    </w:p>
    <w:p w14:paraId="4EBC309C" w14:textId="77777777" w:rsidR="00205B25" w:rsidRPr="00F61AF7" w:rsidRDefault="00205B25" w:rsidP="00452787">
      <w:pPr>
        <w:spacing w:before="240" w:line="360" w:lineRule="auto"/>
        <w:rPr>
          <w:rFonts w:ascii="Times New Roman" w:hAnsi="Times New Roman" w:cs="Times New Roman"/>
          <w:sz w:val="24"/>
          <w:szCs w:val="24"/>
        </w:rPr>
      </w:pPr>
      <w:r w:rsidRPr="00F80A98">
        <w:rPr>
          <w:rFonts w:ascii="Times New Roman" w:hAnsi="Times New Roman" w:cs="Times New Roman"/>
          <w:sz w:val="24"/>
          <w:szCs w:val="24"/>
        </w:rPr>
        <w:t xml:space="preserve">Matson, J.L. and Sturmey, P. (eds.) (2020) </w:t>
      </w:r>
      <w:r w:rsidRPr="00F80A98">
        <w:rPr>
          <w:rFonts w:ascii="Times New Roman" w:hAnsi="Times New Roman" w:cs="Times New Roman"/>
          <w:i/>
          <w:iCs/>
          <w:sz w:val="24"/>
          <w:szCs w:val="24"/>
        </w:rPr>
        <w:t>Handbook of Autism and Pervasive Developmental Disorders: Assessment, Diagnosis, and Treatment</w:t>
      </w:r>
      <w:r w:rsidRPr="00F80A98">
        <w:rPr>
          <w:rFonts w:ascii="Times New Roman" w:hAnsi="Times New Roman" w:cs="Times New Roman"/>
          <w:sz w:val="24"/>
          <w:szCs w:val="24"/>
        </w:rPr>
        <w:t xml:space="preserve">. Cham: Springer. </w:t>
      </w:r>
    </w:p>
    <w:p w14:paraId="24A1B06F" w14:textId="77777777" w:rsidR="00205B25" w:rsidRPr="00F80A98" w:rsidRDefault="00205B25" w:rsidP="00452787">
      <w:pPr>
        <w:spacing w:before="240" w:line="360" w:lineRule="auto"/>
        <w:rPr>
          <w:rFonts w:ascii="Times New Roman" w:hAnsi="Times New Roman" w:cs="Times New Roman"/>
          <w:sz w:val="24"/>
          <w:szCs w:val="24"/>
        </w:rPr>
      </w:pPr>
      <w:r w:rsidRPr="00F80A98">
        <w:rPr>
          <w:rFonts w:ascii="Times New Roman" w:hAnsi="Times New Roman" w:cs="Times New Roman"/>
          <w:sz w:val="24"/>
          <w:szCs w:val="24"/>
        </w:rPr>
        <w:t xml:space="preserve">National Institute for Health and Care Excellence (NICE) (2021) </w:t>
      </w:r>
      <w:r w:rsidRPr="00F61AF7">
        <w:rPr>
          <w:rFonts w:ascii="Times New Roman" w:hAnsi="Times New Roman" w:cs="Times New Roman"/>
          <w:i/>
          <w:iCs/>
          <w:sz w:val="24"/>
          <w:szCs w:val="24"/>
        </w:rPr>
        <w:t>ASD</w:t>
      </w:r>
      <w:r w:rsidRPr="00F80A98">
        <w:rPr>
          <w:rFonts w:ascii="Times New Roman" w:hAnsi="Times New Roman" w:cs="Times New Roman"/>
          <w:i/>
          <w:iCs/>
          <w:sz w:val="24"/>
          <w:szCs w:val="24"/>
        </w:rPr>
        <w:t xml:space="preserve"> in under 19s: support and management</w:t>
      </w:r>
      <w:r w:rsidRPr="00F80A98">
        <w:rPr>
          <w:rFonts w:ascii="Times New Roman" w:hAnsi="Times New Roman" w:cs="Times New Roman"/>
          <w:sz w:val="24"/>
          <w:szCs w:val="24"/>
        </w:rPr>
        <w:t xml:space="preserve"> (CG170). London: NICE. Available at: </w:t>
      </w:r>
      <w:hyperlink r:id="rId7" w:history="1">
        <w:r w:rsidRPr="00F80A98">
          <w:rPr>
            <w:rStyle w:val="Hyperlink"/>
            <w:rFonts w:ascii="Times New Roman" w:hAnsi="Times New Roman" w:cs="Times New Roman"/>
            <w:sz w:val="24"/>
            <w:szCs w:val="24"/>
          </w:rPr>
          <w:t>https://www.nice.org.uk/guidance/cg170</w:t>
        </w:r>
      </w:hyperlink>
      <w:r w:rsidRPr="00F80A98">
        <w:rPr>
          <w:rFonts w:ascii="Times New Roman" w:hAnsi="Times New Roman" w:cs="Times New Roman"/>
          <w:sz w:val="24"/>
          <w:szCs w:val="24"/>
        </w:rPr>
        <w:t xml:space="preserve"> (Accessed: 7 November 2025).</w:t>
      </w:r>
    </w:p>
    <w:p w14:paraId="69FA4B0B" w14:textId="77777777" w:rsidR="00205B25" w:rsidRPr="00F80A98" w:rsidRDefault="00205B25" w:rsidP="00452787">
      <w:pPr>
        <w:spacing w:before="240" w:line="360" w:lineRule="auto"/>
        <w:rPr>
          <w:rFonts w:ascii="Times New Roman" w:hAnsi="Times New Roman" w:cs="Times New Roman"/>
          <w:sz w:val="24"/>
          <w:szCs w:val="24"/>
        </w:rPr>
      </w:pPr>
      <w:r w:rsidRPr="00F80A98">
        <w:rPr>
          <w:rFonts w:ascii="Times New Roman" w:hAnsi="Times New Roman" w:cs="Times New Roman"/>
          <w:sz w:val="24"/>
          <w:szCs w:val="24"/>
        </w:rPr>
        <w:t xml:space="preserve">NHS England (2023) </w:t>
      </w:r>
      <w:r w:rsidRPr="00F80A98">
        <w:rPr>
          <w:rFonts w:ascii="Times New Roman" w:hAnsi="Times New Roman" w:cs="Times New Roman"/>
          <w:i/>
          <w:iCs/>
          <w:sz w:val="24"/>
          <w:szCs w:val="24"/>
        </w:rPr>
        <w:t>A national framework to deliver improved outcomes in all-age autism assessment pathways: Guidance for Integrated Care Boards</w:t>
      </w:r>
      <w:r w:rsidRPr="00F80A98">
        <w:rPr>
          <w:rFonts w:ascii="Times New Roman" w:hAnsi="Times New Roman" w:cs="Times New Roman"/>
          <w:sz w:val="24"/>
          <w:szCs w:val="24"/>
        </w:rPr>
        <w:t xml:space="preserve">. NHS England. Available at: </w:t>
      </w:r>
      <w:hyperlink r:id="rId8" w:history="1">
        <w:r w:rsidRPr="00F80A98">
          <w:rPr>
            <w:rStyle w:val="Hyperlink"/>
            <w:rFonts w:ascii="Times New Roman" w:hAnsi="Times New Roman" w:cs="Times New Roman"/>
            <w:sz w:val="24"/>
            <w:szCs w:val="24"/>
          </w:rPr>
          <w:t>https://www.england.nhs.uk/long-read/a-national-framework-to-deliver-improved-outcomes-in-all-age-autism-assessment-pathways-guidance-for-integrated-care-boards/</w:t>
        </w:r>
      </w:hyperlink>
      <w:r w:rsidRPr="00F80A98">
        <w:rPr>
          <w:rFonts w:ascii="Times New Roman" w:hAnsi="Times New Roman" w:cs="Times New Roman"/>
          <w:sz w:val="24"/>
          <w:szCs w:val="24"/>
        </w:rPr>
        <w:t xml:space="preserve"> (Accessed: 7 November 2025).</w:t>
      </w:r>
    </w:p>
    <w:p w14:paraId="421DD218" w14:textId="77777777" w:rsidR="00205B25" w:rsidRPr="00F80A98" w:rsidRDefault="00205B25" w:rsidP="00452787">
      <w:pPr>
        <w:spacing w:before="240" w:line="360" w:lineRule="auto"/>
        <w:rPr>
          <w:rFonts w:ascii="Times New Roman" w:hAnsi="Times New Roman" w:cs="Times New Roman"/>
          <w:sz w:val="24"/>
          <w:szCs w:val="24"/>
        </w:rPr>
      </w:pPr>
      <w:r w:rsidRPr="00F80A98">
        <w:rPr>
          <w:rFonts w:ascii="Times New Roman" w:hAnsi="Times New Roman" w:cs="Times New Roman"/>
          <w:sz w:val="24"/>
          <w:szCs w:val="24"/>
        </w:rPr>
        <w:t xml:space="preserve">Nursing &amp; Midwifery Council (NMC) (2019, updated pages 2023–2024) </w:t>
      </w:r>
      <w:r w:rsidRPr="00F80A98">
        <w:rPr>
          <w:rFonts w:ascii="Times New Roman" w:hAnsi="Times New Roman" w:cs="Times New Roman"/>
          <w:i/>
          <w:iCs/>
          <w:sz w:val="24"/>
          <w:szCs w:val="24"/>
        </w:rPr>
        <w:t>NMC: Learning disability and autism — guidance and policy pages</w:t>
      </w:r>
      <w:r w:rsidRPr="00F80A98">
        <w:rPr>
          <w:rFonts w:ascii="Times New Roman" w:hAnsi="Times New Roman" w:cs="Times New Roman"/>
          <w:sz w:val="24"/>
          <w:szCs w:val="24"/>
        </w:rPr>
        <w:t xml:space="preserve"> (press release and guidance pages). London: NMC. Available at: </w:t>
      </w:r>
      <w:hyperlink r:id="rId9" w:history="1">
        <w:r w:rsidRPr="00F80A98">
          <w:rPr>
            <w:rStyle w:val="Hyperlink"/>
            <w:rFonts w:ascii="Times New Roman" w:hAnsi="Times New Roman" w:cs="Times New Roman"/>
            <w:sz w:val="24"/>
            <w:szCs w:val="24"/>
          </w:rPr>
          <w:t>https://www.nmc.org.uk/about-us/equality-diversity-and-inclusion/disability-and-accessibility/</w:t>
        </w:r>
      </w:hyperlink>
      <w:r w:rsidRPr="00F80A98">
        <w:rPr>
          <w:rFonts w:ascii="Times New Roman" w:hAnsi="Times New Roman" w:cs="Times New Roman"/>
          <w:sz w:val="24"/>
          <w:szCs w:val="24"/>
        </w:rPr>
        <w:t xml:space="preserve"> (Accessed: 7 November 2025).</w:t>
      </w:r>
    </w:p>
    <w:p w14:paraId="0D11A82E" w14:textId="77777777" w:rsidR="00205B25" w:rsidRPr="00F61AF7" w:rsidRDefault="00205B25" w:rsidP="00452787">
      <w:pPr>
        <w:spacing w:before="240" w:after="0" w:line="360" w:lineRule="auto"/>
        <w:rPr>
          <w:rFonts w:ascii="Times New Roman" w:eastAsia="Times New Roman" w:hAnsi="Times New Roman" w:cs="Times New Roman"/>
          <w:kern w:val="0"/>
          <w:sz w:val="24"/>
          <w:szCs w:val="24"/>
          <w14:ligatures w14:val="none"/>
        </w:rPr>
      </w:pPr>
      <w:r w:rsidRPr="00F61AF7">
        <w:rPr>
          <w:rFonts w:ascii="Times New Roman" w:eastAsia="Times New Roman" w:hAnsi="Times New Roman" w:cs="Times New Roman"/>
          <w:kern w:val="0"/>
          <w:sz w:val="24"/>
          <w:szCs w:val="24"/>
          <w14:ligatures w14:val="none"/>
        </w:rPr>
        <w:t xml:space="preserve">Reed, G.M., First, M.B., Kogan, C.S., Hyman, S.E., Gureje, O., Gaebel, W., Maj, M., Stein, D.J., Maercker, A., Tyrer, P. and Claudino, A. (2019). Innovations and changes in the ICD‐11 classification of mental, behavioural and neurodevelopmental disorders. </w:t>
      </w:r>
      <w:r w:rsidRPr="00F61AF7">
        <w:rPr>
          <w:rFonts w:ascii="Times New Roman" w:eastAsia="Times New Roman" w:hAnsi="Times New Roman" w:cs="Times New Roman"/>
          <w:i/>
          <w:iCs/>
          <w:kern w:val="0"/>
          <w:sz w:val="24"/>
          <w:szCs w:val="24"/>
          <w14:ligatures w14:val="none"/>
        </w:rPr>
        <w:t>World psychiatry</w:t>
      </w:r>
      <w:r w:rsidRPr="00F61AF7">
        <w:rPr>
          <w:rFonts w:ascii="Times New Roman" w:eastAsia="Times New Roman" w:hAnsi="Times New Roman" w:cs="Times New Roman"/>
          <w:kern w:val="0"/>
          <w:sz w:val="24"/>
          <w:szCs w:val="24"/>
          <w14:ligatures w14:val="none"/>
        </w:rPr>
        <w:t xml:space="preserve">, </w:t>
      </w:r>
      <w:r w:rsidRPr="00F61AF7">
        <w:rPr>
          <w:rFonts w:ascii="Times New Roman" w:eastAsia="Times New Roman" w:hAnsi="Times New Roman" w:cs="Times New Roman"/>
          <w:i/>
          <w:iCs/>
          <w:kern w:val="0"/>
          <w:sz w:val="24"/>
          <w:szCs w:val="24"/>
          <w14:ligatures w14:val="none"/>
        </w:rPr>
        <w:t>18</w:t>
      </w:r>
      <w:r w:rsidRPr="00F61AF7">
        <w:rPr>
          <w:rFonts w:ascii="Times New Roman" w:eastAsia="Times New Roman" w:hAnsi="Times New Roman" w:cs="Times New Roman"/>
          <w:kern w:val="0"/>
          <w:sz w:val="24"/>
          <w:szCs w:val="24"/>
          <w14:ligatures w14:val="none"/>
        </w:rPr>
        <w:t>(1), pp.3-19.</w:t>
      </w:r>
    </w:p>
    <w:p w14:paraId="796DAECB" w14:textId="77777777" w:rsidR="00205B25" w:rsidRPr="00F61AF7" w:rsidRDefault="00205B25" w:rsidP="00452787">
      <w:pPr>
        <w:spacing w:before="240" w:line="360" w:lineRule="auto"/>
        <w:rPr>
          <w:rFonts w:ascii="Times New Roman" w:hAnsi="Times New Roman" w:cs="Times New Roman"/>
          <w:sz w:val="24"/>
          <w:szCs w:val="24"/>
        </w:rPr>
      </w:pPr>
      <w:r w:rsidRPr="00F80A98">
        <w:rPr>
          <w:rFonts w:ascii="Times New Roman" w:hAnsi="Times New Roman" w:cs="Times New Roman"/>
          <w:sz w:val="24"/>
          <w:szCs w:val="24"/>
        </w:rPr>
        <w:t xml:space="preserve">Reichow, B., Doehring, P. and Volkmar, F.R. (eds.) (2025) </w:t>
      </w:r>
      <w:r w:rsidRPr="00F80A98">
        <w:rPr>
          <w:rFonts w:ascii="Times New Roman" w:hAnsi="Times New Roman" w:cs="Times New Roman"/>
          <w:i/>
          <w:iCs/>
          <w:sz w:val="24"/>
          <w:szCs w:val="24"/>
        </w:rPr>
        <w:t xml:space="preserve">Handbook of Evidence-Based Practices in </w:t>
      </w:r>
      <w:r w:rsidRPr="00F61AF7">
        <w:rPr>
          <w:rFonts w:ascii="Times New Roman" w:hAnsi="Times New Roman" w:cs="Times New Roman"/>
          <w:i/>
          <w:iCs/>
          <w:sz w:val="24"/>
          <w:szCs w:val="24"/>
        </w:rPr>
        <w:t>ASD</w:t>
      </w:r>
      <w:r w:rsidRPr="00F80A98">
        <w:rPr>
          <w:rFonts w:ascii="Times New Roman" w:hAnsi="Times New Roman" w:cs="Times New Roman"/>
          <w:sz w:val="24"/>
          <w:szCs w:val="24"/>
        </w:rPr>
        <w:t xml:space="preserve">. Cham: Springer. </w:t>
      </w:r>
    </w:p>
    <w:p w14:paraId="7FD7A9E3" w14:textId="77777777" w:rsidR="00205B25" w:rsidRPr="00F61AF7" w:rsidRDefault="00205B25" w:rsidP="00452787">
      <w:pPr>
        <w:spacing w:before="240" w:line="360" w:lineRule="auto"/>
        <w:rPr>
          <w:rFonts w:ascii="Times New Roman" w:hAnsi="Times New Roman" w:cs="Times New Roman"/>
          <w:sz w:val="24"/>
          <w:szCs w:val="24"/>
        </w:rPr>
      </w:pPr>
      <w:r w:rsidRPr="00F80A98">
        <w:rPr>
          <w:rFonts w:ascii="Times New Roman" w:hAnsi="Times New Roman" w:cs="Times New Roman"/>
          <w:sz w:val="24"/>
          <w:szCs w:val="24"/>
        </w:rPr>
        <w:t xml:space="preserve">Rieske, R.D. (ed.) (2019) </w:t>
      </w:r>
      <w:r w:rsidRPr="00F80A98">
        <w:rPr>
          <w:rFonts w:ascii="Times New Roman" w:hAnsi="Times New Roman" w:cs="Times New Roman"/>
          <w:i/>
          <w:iCs/>
          <w:sz w:val="24"/>
          <w:szCs w:val="24"/>
        </w:rPr>
        <w:t xml:space="preserve">Handbook of Interdisciplinary Treatments for </w:t>
      </w:r>
      <w:r w:rsidRPr="00F61AF7">
        <w:rPr>
          <w:rFonts w:ascii="Times New Roman" w:hAnsi="Times New Roman" w:cs="Times New Roman"/>
          <w:i/>
          <w:iCs/>
          <w:sz w:val="24"/>
          <w:szCs w:val="24"/>
        </w:rPr>
        <w:t>ASD</w:t>
      </w:r>
      <w:r w:rsidRPr="00F80A98">
        <w:rPr>
          <w:rFonts w:ascii="Times New Roman" w:hAnsi="Times New Roman" w:cs="Times New Roman"/>
          <w:sz w:val="24"/>
          <w:szCs w:val="24"/>
        </w:rPr>
        <w:t xml:space="preserve">. Cham: Springer. </w:t>
      </w:r>
    </w:p>
    <w:p w14:paraId="0F9D6B52" w14:textId="77777777" w:rsidR="00205B25" w:rsidRPr="00F61AF7" w:rsidRDefault="00205B25" w:rsidP="00452787">
      <w:pPr>
        <w:spacing w:before="240" w:line="360" w:lineRule="auto"/>
        <w:rPr>
          <w:rFonts w:ascii="Times New Roman" w:hAnsi="Times New Roman" w:cs="Times New Roman"/>
          <w:sz w:val="24"/>
          <w:szCs w:val="24"/>
        </w:rPr>
      </w:pPr>
      <w:r w:rsidRPr="00F80A98">
        <w:rPr>
          <w:rFonts w:ascii="Times New Roman" w:hAnsi="Times New Roman" w:cs="Times New Roman"/>
          <w:sz w:val="24"/>
          <w:szCs w:val="24"/>
        </w:rPr>
        <w:t xml:space="preserve">Volkmar, F.R. </w:t>
      </w:r>
      <w:r w:rsidRPr="00F61AF7">
        <w:rPr>
          <w:rFonts w:ascii="Times New Roman" w:eastAsia="Times New Roman" w:hAnsi="Times New Roman" w:cs="Times New Roman"/>
          <w:kern w:val="0"/>
          <w:sz w:val="24"/>
          <w:szCs w:val="24"/>
          <w14:ligatures w14:val="none"/>
        </w:rPr>
        <w:t xml:space="preserve">Lord, C., Bailey, A., Schultz, R.T. and Klin, A., </w:t>
      </w:r>
      <w:r w:rsidRPr="00F80A98">
        <w:rPr>
          <w:rFonts w:ascii="Times New Roman" w:hAnsi="Times New Roman" w:cs="Times New Roman"/>
          <w:sz w:val="24"/>
          <w:szCs w:val="24"/>
        </w:rPr>
        <w:t>(ed</w:t>
      </w:r>
      <w:r w:rsidRPr="00F61AF7">
        <w:rPr>
          <w:rFonts w:ascii="Times New Roman" w:hAnsi="Times New Roman" w:cs="Times New Roman"/>
          <w:sz w:val="24"/>
          <w:szCs w:val="24"/>
        </w:rPr>
        <w:t>s</w:t>
      </w:r>
      <w:r w:rsidRPr="00F80A98">
        <w:rPr>
          <w:rFonts w:ascii="Times New Roman" w:hAnsi="Times New Roman" w:cs="Times New Roman"/>
          <w:sz w:val="24"/>
          <w:szCs w:val="24"/>
        </w:rPr>
        <w:t xml:space="preserve">.) (2019) </w:t>
      </w:r>
      <w:r w:rsidRPr="00F80A98">
        <w:rPr>
          <w:rFonts w:ascii="Times New Roman" w:hAnsi="Times New Roman" w:cs="Times New Roman"/>
          <w:i/>
          <w:iCs/>
          <w:sz w:val="24"/>
          <w:szCs w:val="24"/>
        </w:rPr>
        <w:t>Autism and Pervasive Developmental Disorders</w:t>
      </w:r>
      <w:r w:rsidRPr="00F80A98">
        <w:rPr>
          <w:rFonts w:ascii="Times New Roman" w:hAnsi="Times New Roman" w:cs="Times New Roman"/>
          <w:sz w:val="24"/>
          <w:szCs w:val="24"/>
        </w:rPr>
        <w:t xml:space="preserve">. 3rd edn. Cambridge: Cambridge University Press. </w:t>
      </w:r>
    </w:p>
    <w:p w14:paraId="252AD406" w14:textId="77777777" w:rsidR="00205B25" w:rsidRPr="00F61AF7" w:rsidRDefault="00205B25" w:rsidP="00452787">
      <w:pPr>
        <w:spacing w:before="240" w:line="360" w:lineRule="auto"/>
        <w:rPr>
          <w:rFonts w:ascii="Times New Roman" w:hAnsi="Times New Roman" w:cs="Times New Roman"/>
          <w:sz w:val="24"/>
          <w:szCs w:val="24"/>
        </w:rPr>
      </w:pPr>
      <w:r w:rsidRPr="00F80A98">
        <w:rPr>
          <w:rFonts w:ascii="Times New Roman" w:hAnsi="Times New Roman" w:cs="Times New Roman"/>
          <w:sz w:val="24"/>
          <w:szCs w:val="24"/>
        </w:rPr>
        <w:t xml:space="preserve">World Health Organization (2019) </w:t>
      </w:r>
      <w:r w:rsidRPr="00F80A98">
        <w:rPr>
          <w:rFonts w:ascii="Times New Roman" w:hAnsi="Times New Roman" w:cs="Times New Roman"/>
          <w:i/>
          <w:iCs/>
          <w:sz w:val="24"/>
          <w:szCs w:val="24"/>
        </w:rPr>
        <w:t xml:space="preserve">International Classification of Diseases 11th Revision (ICD-11) — Mental, behavioural or neurodevelopmental disorders: 6A02 </w:t>
      </w:r>
      <w:r w:rsidRPr="00F61AF7">
        <w:rPr>
          <w:rFonts w:ascii="Times New Roman" w:hAnsi="Times New Roman" w:cs="Times New Roman"/>
          <w:i/>
          <w:iCs/>
          <w:sz w:val="24"/>
          <w:szCs w:val="24"/>
        </w:rPr>
        <w:t>ASD</w:t>
      </w:r>
      <w:r w:rsidRPr="00F80A98">
        <w:rPr>
          <w:rFonts w:ascii="Times New Roman" w:hAnsi="Times New Roman" w:cs="Times New Roman"/>
          <w:sz w:val="24"/>
          <w:szCs w:val="24"/>
        </w:rPr>
        <w:t xml:space="preserve">. Geneva: WHO. Available at: </w:t>
      </w:r>
      <w:hyperlink r:id="rId10" w:history="1">
        <w:r w:rsidRPr="00F80A98">
          <w:rPr>
            <w:rStyle w:val="Hyperlink"/>
            <w:rFonts w:ascii="Times New Roman" w:hAnsi="Times New Roman" w:cs="Times New Roman"/>
            <w:sz w:val="24"/>
            <w:szCs w:val="24"/>
          </w:rPr>
          <w:t>https://icd.who.int/browse11</w:t>
        </w:r>
      </w:hyperlink>
      <w:r w:rsidRPr="00F80A98">
        <w:rPr>
          <w:rFonts w:ascii="Times New Roman" w:hAnsi="Times New Roman" w:cs="Times New Roman"/>
          <w:sz w:val="24"/>
          <w:szCs w:val="24"/>
        </w:rPr>
        <w:t xml:space="preserve"> (Accessed: 7 November 2025).</w:t>
      </w:r>
    </w:p>
    <w:sectPr w:rsidR="00205B25" w:rsidRPr="00F61AF7" w:rsidSect="007E78DB">
      <w:headerReference w:type="default" r:id="rId11"/>
      <w:type w:val="continuous"/>
      <w:pgSz w:w="11900" w:h="16850"/>
      <w:pgMar w:top="1440" w:right="1440" w:bottom="1440" w:left="1440" w:header="720" w:footer="720" w:gutter="0"/>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F195CD" w14:textId="77777777" w:rsidR="007A6A8A" w:rsidRDefault="007A6A8A" w:rsidP="00CA5761">
      <w:pPr>
        <w:spacing w:after="0" w:line="240" w:lineRule="auto"/>
      </w:pPr>
      <w:r>
        <w:separator/>
      </w:r>
    </w:p>
  </w:endnote>
  <w:endnote w:type="continuationSeparator" w:id="0">
    <w:p w14:paraId="2C151D20" w14:textId="77777777" w:rsidR="007A6A8A" w:rsidRDefault="007A6A8A" w:rsidP="00CA57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2076E1" w14:textId="77777777" w:rsidR="007A6A8A" w:rsidRDefault="007A6A8A" w:rsidP="00CA5761">
      <w:pPr>
        <w:spacing w:after="0" w:line="240" w:lineRule="auto"/>
      </w:pPr>
      <w:r>
        <w:separator/>
      </w:r>
    </w:p>
  </w:footnote>
  <w:footnote w:type="continuationSeparator" w:id="0">
    <w:p w14:paraId="62A353A9" w14:textId="77777777" w:rsidR="007A6A8A" w:rsidRDefault="007A6A8A" w:rsidP="00CA57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2125832647"/>
      <w:docPartObj>
        <w:docPartGallery w:val="Page Numbers (Top of Page)"/>
        <w:docPartUnique/>
      </w:docPartObj>
    </w:sdtPr>
    <w:sdtEndPr>
      <w:rPr>
        <w:noProof/>
      </w:rPr>
    </w:sdtEndPr>
    <w:sdtContent>
      <w:p w14:paraId="6101F3C5" w14:textId="2BAC33E7" w:rsidR="00CA5761" w:rsidRPr="00CA5761" w:rsidRDefault="00CA5761">
        <w:pPr>
          <w:pStyle w:val="Header"/>
          <w:jc w:val="right"/>
          <w:rPr>
            <w:rFonts w:ascii="Times New Roman" w:hAnsi="Times New Roman" w:cs="Times New Roman"/>
            <w:sz w:val="24"/>
            <w:szCs w:val="24"/>
          </w:rPr>
        </w:pPr>
        <w:r w:rsidRPr="00CA5761">
          <w:rPr>
            <w:rFonts w:ascii="Times New Roman" w:hAnsi="Times New Roman" w:cs="Times New Roman"/>
            <w:sz w:val="24"/>
            <w:szCs w:val="24"/>
          </w:rPr>
          <w:fldChar w:fldCharType="begin"/>
        </w:r>
        <w:r w:rsidRPr="00CA5761">
          <w:rPr>
            <w:rFonts w:ascii="Times New Roman" w:hAnsi="Times New Roman" w:cs="Times New Roman"/>
            <w:sz w:val="24"/>
            <w:szCs w:val="24"/>
          </w:rPr>
          <w:instrText xml:space="preserve"> PAGE   \* MERGEFORMAT </w:instrText>
        </w:r>
        <w:r w:rsidRPr="00CA5761">
          <w:rPr>
            <w:rFonts w:ascii="Times New Roman" w:hAnsi="Times New Roman" w:cs="Times New Roman"/>
            <w:sz w:val="24"/>
            <w:szCs w:val="24"/>
          </w:rPr>
          <w:fldChar w:fldCharType="separate"/>
        </w:r>
        <w:r w:rsidR="00452787">
          <w:rPr>
            <w:rFonts w:ascii="Times New Roman" w:hAnsi="Times New Roman" w:cs="Times New Roman"/>
            <w:noProof/>
            <w:sz w:val="24"/>
            <w:szCs w:val="24"/>
          </w:rPr>
          <w:t>1</w:t>
        </w:r>
        <w:r w:rsidRPr="00CA5761">
          <w:rPr>
            <w:rFonts w:ascii="Times New Roman" w:hAnsi="Times New Roman" w:cs="Times New Roman"/>
            <w:noProof/>
            <w:sz w:val="24"/>
            <w:szCs w:val="24"/>
          </w:rPr>
          <w:fldChar w:fldCharType="end"/>
        </w:r>
      </w:p>
    </w:sdtContent>
  </w:sdt>
  <w:p w14:paraId="09CE9460" w14:textId="77777777" w:rsidR="00CA5761" w:rsidRPr="00CA5761" w:rsidRDefault="00CA5761">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movePersonalInformation/>
  <w:removeDateAndTime/>
  <w:proofState w:spelling="clean"/>
  <w:revisionView w:inkAnnotation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21DD"/>
    <w:rsid w:val="00007C4B"/>
    <w:rsid w:val="0001595D"/>
    <w:rsid w:val="0004367F"/>
    <w:rsid w:val="00056357"/>
    <w:rsid w:val="00075942"/>
    <w:rsid w:val="00087FD9"/>
    <w:rsid w:val="000B6673"/>
    <w:rsid w:val="000B6E7C"/>
    <w:rsid w:val="000C362D"/>
    <w:rsid w:val="000C4B49"/>
    <w:rsid w:val="000E5086"/>
    <w:rsid w:val="000F45C8"/>
    <w:rsid w:val="00100C8A"/>
    <w:rsid w:val="00102EF7"/>
    <w:rsid w:val="00116550"/>
    <w:rsid w:val="00133A25"/>
    <w:rsid w:val="00143E7C"/>
    <w:rsid w:val="00147883"/>
    <w:rsid w:val="00150507"/>
    <w:rsid w:val="00152338"/>
    <w:rsid w:val="00160DFE"/>
    <w:rsid w:val="0016434B"/>
    <w:rsid w:val="00184819"/>
    <w:rsid w:val="00186569"/>
    <w:rsid w:val="001A5D11"/>
    <w:rsid w:val="001B0DD5"/>
    <w:rsid w:val="001B5DA5"/>
    <w:rsid w:val="001C037D"/>
    <w:rsid w:val="001C0A7A"/>
    <w:rsid w:val="001C0E87"/>
    <w:rsid w:val="001C21DF"/>
    <w:rsid w:val="001C45D1"/>
    <w:rsid w:val="001D440D"/>
    <w:rsid w:val="001E52DF"/>
    <w:rsid w:val="001F4E60"/>
    <w:rsid w:val="001F7EC0"/>
    <w:rsid w:val="00200538"/>
    <w:rsid w:val="00205B25"/>
    <w:rsid w:val="002068B4"/>
    <w:rsid w:val="00217C09"/>
    <w:rsid w:val="0022291B"/>
    <w:rsid w:val="00232099"/>
    <w:rsid w:val="002422E8"/>
    <w:rsid w:val="00250DEB"/>
    <w:rsid w:val="0025477E"/>
    <w:rsid w:val="00260C6A"/>
    <w:rsid w:val="002623BC"/>
    <w:rsid w:val="0026273F"/>
    <w:rsid w:val="00272045"/>
    <w:rsid w:val="00295DC1"/>
    <w:rsid w:val="002C35BB"/>
    <w:rsid w:val="002D5C91"/>
    <w:rsid w:val="002F236F"/>
    <w:rsid w:val="0030663E"/>
    <w:rsid w:val="00315238"/>
    <w:rsid w:val="00315B31"/>
    <w:rsid w:val="00316A64"/>
    <w:rsid w:val="00335488"/>
    <w:rsid w:val="00337B5B"/>
    <w:rsid w:val="0035163D"/>
    <w:rsid w:val="003639F8"/>
    <w:rsid w:val="00375576"/>
    <w:rsid w:val="00386E5E"/>
    <w:rsid w:val="00387BA2"/>
    <w:rsid w:val="00396424"/>
    <w:rsid w:val="003D76EC"/>
    <w:rsid w:val="003E622C"/>
    <w:rsid w:val="00402E08"/>
    <w:rsid w:val="00412784"/>
    <w:rsid w:val="00414D88"/>
    <w:rsid w:val="00452787"/>
    <w:rsid w:val="004556E8"/>
    <w:rsid w:val="00460EC9"/>
    <w:rsid w:val="00461CCE"/>
    <w:rsid w:val="00464FC3"/>
    <w:rsid w:val="004663B4"/>
    <w:rsid w:val="00470FB4"/>
    <w:rsid w:val="00474686"/>
    <w:rsid w:val="004748AE"/>
    <w:rsid w:val="00486842"/>
    <w:rsid w:val="00491050"/>
    <w:rsid w:val="00494458"/>
    <w:rsid w:val="004C4C48"/>
    <w:rsid w:val="004E396F"/>
    <w:rsid w:val="004F00FB"/>
    <w:rsid w:val="00505A4B"/>
    <w:rsid w:val="005106B6"/>
    <w:rsid w:val="00534276"/>
    <w:rsid w:val="00537631"/>
    <w:rsid w:val="00551A23"/>
    <w:rsid w:val="00560E97"/>
    <w:rsid w:val="00564174"/>
    <w:rsid w:val="005714E4"/>
    <w:rsid w:val="00592C12"/>
    <w:rsid w:val="005C40FD"/>
    <w:rsid w:val="005C43A7"/>
    <w:rsid w:val="005C636D"/>
    <w:rsid w:val="005D279B"/>
    <w:rsid w:val="005D2C30"/>
    <w:rsid w:val="005D4EC8"/>
    <w:rsid w:val="005E541E"/>
    <w:rsid w:val="005E5816"/>
    <w:rsid w:val="005F18BD"/>
    <w:rsid w:val="005F3B4F"/>
    <w:rsid w:val="005F77D3"/>
    <w:rsid w:val="006011E0"/>
    <w:rsid w:val="00615BF1"/>
    <w:rsid w:val="00652CE4"/>
    <w:rsid w:val="00656467"/>
    <w:rsid w:val="006628B8"/>
    <w:rsid w:val="00665D04"/>
    <w:rsid w:val="00685D4F"/>
    <w:rsid w:val="00686D37"/>
    <w:rsid w:val="0068772C"/>
    <w:rsid w:val="00690170"/>
    <w:rsid w:val="00694091"/>
    <w:rsid w:val="006A748B"/>
    <w:rsid w:val="006B0881"/>
    <w:rsid w:val="006C2E02"/>
    <w:rsid w:val="006C3063"/>
    <w:rsid w:val="006D6652"/>
    <w:rsid w:val="006F14CD"/>
    <w:rsid w:val="006F23E8"/>
    <w:rsid w:val="006F41AC"/>
    <w:rsid w:val="00701819"/>
    <w:rsid w:val="007018DF"/>
    <w:rsid w:val="00714DD0"/>
    <w:rsid w:val="007171A1"/>
    <w:rsid w:val="007237B7"/>
    <w:rsid w:val="00747C48"/>
    <w:rsid w:val="00760253"/>
    <w:rsid w:val="00775718"/>
    <w:rsid w:val="0078632E"/>
    <w:rsid w:val="00786DE6"/>
    <w:rsid w:val="00793428"/>
    <w:rsid w:val="007978F7"/>
    <w:rsid w:val="007A6A8A"/>
    <w:rsid w:val="007A6E04"/>
    <w:rsid w:val="007C26EE"/>
    <w:rsid w:val="007C4673"/>
    <w:rsid w:val="007D1308"/>
    <w:rsid w:val="007D2C35"/>
    <w:rsid w:val="007E78DB"/>
    <w:rsid w:val="007F0431"/>
    <w:rsid w:val="007F3D26"/>
    <w:rsid w:val="007F3FB7"/>
    <w:rsid w:val="007F6398"/>
    <w:rsid w:val="00804AB6"/>
    <w:rsid w:val="0080724E"/>
    <w:rsid w:val="008121DD"/>
    <w:rsid w:val="008139B1"/>
    <w:rsid w:val="00824CFF"/>
    <w:rsid w:val="00831606"/>
    <w:rsid w:val="00840441"/>
    <w:rsid w:val="008428BC"/>
    <w:rsid w:val="0084293E"/>
    <w:rsid w:val="008520A6"/>
    <w:rsid w:val="008547B0"/>
    <w:rsid w:val="00857376"/>
    <w:rsid w:val="008665FB"/>
    <w:rsid w:val="00867974"/>
    <w:rsid w:val="00877C46"/>
    <w:rsid w:val="00880033"/>
    <w:rsid w:val="008841EC"/>
    <w:rsid w:val="00897C0C"/>
    <w:rsid w:val="008A6CBA"/>
    <w:rsid w:val="008C1CAA"/>
    <w:rsid w:val="008D2B28"/>
    <w:rsid w:val="008E197D"/>
    <w:rsid w:val="008F6814"/>
    <w:rsid w:val="0091074D"/>
    <w:rsid w:val="00925CE2"/>
    <w:rsid w:val="009301C6"/>
    <w:rsid w:val="00935340"/>
    <w:rsid w:val="00965248"/>
    <w:rsid w:val="00966D2D"/>
    <w:rsid w:val="0098715D"/>
    <w:rsid w:val="00992561"/>
    <w:rsid w:val="009A0B74"/>
    <w:rsid w:val="009A6DC9"/>
    <w:rsid w:val="009B0544"/>
    <w:rsid w:val="009B13FA"/>
    <w:rsid w:val="009B6B97"/>
    <w:rsid w:val="009D5BDD"/>
    <w:rsid w:val="009E0AA3"/>
    <w:rsid w:val="009E47E3"/>
    <w:rsid w:val="00A05F38"/>
    <w:rsid w:val="00A10340"/>
    <w:rsid w:val="00A14DE6"/>
    <w:rsid w:val="00A17B28"/>
    <w:rsid w:val="00A20526"/>
    <w:rsid w:val="00A24577"/>
    <w:rsid w:val="00A31032"/>
    <w:rsid w:val="00A3109C"/>
    <w:rsid w:val="00A41762"/>
    <w:rsid w:val="00A45373"/>
    <w:rsid w:val="00A674B6"/>
    <w:rsid w:val="00AA3384"/>
    <w:rsid w:val="00AA5C05"/>
    <w:rsid w:val="00AB05DE"/>
    <w:rsid w:val="00AC7E1F"/>
    <w:rsid w:val="00AD008F"/>
    <w:rsid w:val="00AD3182"/>
    <w:rsid w:val="00AD4CA0"/>
    <w:rsid w:val="00AE0EB9"/>
    <w:rsid w:val="00AE1D02"/>
    <w:rsid w:val="00B10B5B"/>
    <w:rsid w:val="00B169CC"/>
    <w:rsid w:val="00B23595"/>
    <w:rsid w:val="00B305D9"/>
    <w:rsid w:val="00B357FE"/>
    <w:rsid w:val="00B47C65"/>
    <w:rsid w:val="00B532EE"/>
    <w:rsid w:val="00B53BBE"/>
    <w:rsid w:val="00B54A2F"/>
    <w:rsid w:val="00B647E0"/>
    <w:rsid w:val="00B6480D"/>
    <w:rsid w:val="00B71A7B"/>
    <w:rsid w:val="00B75314"/>
    <w:rsid w:val="00B776DA"/>
    <w:rsid w:val="00B83D26"/>
    <w:rsid w:val="00BA63C6"/>
    <w:rsid w:val="00BC0A3E"/>
    <w:rsid w:val="00BE5B66"/>
    <w:rsid w:val="00BE5E08"/>
    <w:rsid w:val="00BF06AE"/>
    <w:rsid w:val="00BF2BC2"/>
    <w:rsid w:val="00C02150"/>
    <w:rsid w:val="00C1659B"/>
    <w:rsid w:val="00C42E16"/>
    <w:rsid w:val="00C609FA"/>
    <w:rsid w:val="00C7278A"/>
    <w:rsid w:val="00C77785"/>
    <w:rsid w:val="00C82080"/>
    <w:rsid w:val="00C83B9E"/>
    <w:rsid w:val="00C911DB"/>
    <w:rsid w:val="00C92902"/>
    <w:rsid w:val="00C95E5E"/>
    <w:rsid w:val="00CA5761"/>
    <w:rsid w:val="00CE55E0"/>
    <w:rsid w:val="00CE60DB"/>
    <w:rsid w:val="00CF353C"/>
    <w:rsid w:val="00CF36A3"/>
    <w:rsid w:val="00D04ECF"/>
    <w:rsid w:val="00D06215"/>
    <w:rsid w:val="00D07E75"/>
    <w:rsid w:val="00D16494"/>
    <w:rsid w:val="00D1668C"/>
    <w:rsid w:val="00D240F1"/>
    <w:rsid w:val="00D25B89"/>
    <w:rsid w:val="00D3661C"/>
    <w:rsid w:val="00D45A2C"/>
    <w:rsid w:val="00D54F4F"/>
    <w:rsid w:val="00D66BA2"/>
    <w:rsid w:val="00D6733A"/>
    <w:rsid w:val="00D74291"/>
    <w:rsid w:val="00D951F8"/>
    <w:rsid w:val="00DB158E"/>
    <w:rsid w:val="00DE4618"/>
    <w:rsid w:val="00DE586A"/>
    <w:rsid w:val="00DE5F2B"/>
    <w:rsid w:val="00DF6E11"/>
    <w:rsid w:val="00E075C1"/>
    <w:rsid w:val="00E13C18"/>
    <w:rsid w:val="00E2127B"/>
    <w:rsid w:val="00E27D6E"/>
    <w:rsid w:val="00E34A14"/>
    <w:rsid w:val="00E52DFE"/>
    <w:rsid w:val="00E63C7D"/>
    <w:rsid w:val="00E86237"/>
    <w:rsid w:val="00E9440F"/>
    <w:rsid w:val="00EA3AA8"/>
    <w:rsid w:val="00ED3EF7"/>
    <w:rsid w:val="00ED732F"/>
    <w:rsid w:val="00EF7D64"/>
    <w:rsid w:val="00F0416A"/>
    <w:rsid w:val="00F118E4"/>
    <w:rsid w:val="00F23902"/>
    <w:rsid w:val="00F31AC0"/>
    <w:rsid w:val="00F33FF5"/>
    <w:rsid w:val="00F348CA"/>
    <w:rsid w:val="00F40396"/>
    <w:rsid w:val="00F56DB7"/>
    <w:rsid w:val="00F61AF7"/>
    <w:rsid w:val="00F64C4B"/>
    <w:rsid w:val="00F67B7B"/>
    <w:rsid w:val="00F87C9E"/>
    <w:rsid w:val="00F94F8D"/>
    <w:rsid w:val="00FB0069"/>
    <w:rsid w:val="00FB54E5"/>
    <w:rsid w:val="00FC5605"/>
    <w:rsid w:val="00FE7D7E"/>
    <w:rsid w:val="00FF21D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64328C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121DD"/>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8121DD"/>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8121DD"/>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8121DD"/>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8121DD"/>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8121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21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21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21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1DD"/>
    <w:rPr>
      <w:rFonts w:asciiTheme="majorHAnsi" w:eastAsiaTheme="majorEastAsia" w:hAnsiTheme="majorHAnsi" w:cstheme="majorBidi"/>
      <w:color w:val="365F91" w:themeColor="accent1" w:themeShade="BF"/>
      <w:sz w:val="40"/>
      <w:szCs w:val="40"/>
      <w:lang w:val="en-GB"/>
    </w:rPr>
  </w:style>
  <w:style w:type="character" w:customStyle="1" w:styleId="Heading2Char">
    <w:name w:val="Heading 2 Char"/>
    <w:basedOn w:val="DefaultParagraphFont"/>
    <w:link w:val="Heading2"/>
    <w:uiPriority w:val="9"/>
    <w:semiHidden/>
    <w:rsid w:val="008121DD"/>
    <w:rPr>
      <w:rFonts w:asciiTheme="majorHAnsi" w:eastAsiaTheme="majorEastAsia" w:hAnsiTheme="majorHAnsi" w:cstheme="majorBidi"/>
      <w:color w:val="365F91" w:themeColor="accent1" w:themeShade="BF"/>
      <w:sz w:val="32"/>
      <w:szCs w:val="32"/>
      <w:lang w:val="en-GB"/>
    </w:rPr>
  </w:style>
  <w:style w:type="character" w:customStyle="1" w:styleId="Heading3Char">
    <w:name w:val="Heading 3 Char"/>
    <w:basedOn w:val="DefaultParagraphFont"/>
    <w:link w:val="Heading3"/>
    <w:uiPriority w:val="9"/>
    <w:semiHidden/>
    <w:rsid w:val="008121DD"/>
    <w:rPr>
      <w:rFonts w:eastAsiaTheme="majorEastAsia" w:cstheme="majorBidi"/>
      <w:color w:val="365F91" w:themeColor="accent1" w:themeShade="BF"/>
      <w:sz w:val="28"/>
      <w:szCs w:val="28"/>
      <w:lang w:val="en-GB"/>
    </w:rPr>
  </w:style>
  <w:style w:type="character" w:customStyle="1" w:styleId="Heading4Char">
    <w:name w:val="Heading 4 Char"/>
    <w:basedOn w:val="DefaultParagraphFont"/>
    <w:link w:val="Heading4"/>
    <w:uiPriority w:val="9"/>
    <w:semiHidden/>
    <w:rsid w:val="008121DD"/>
    <w:rPr>
      <w:rFonts w:eastAsiaTheme="majorEastAsia"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8121DD"/>
    <w:rPr>
      <w:rFonts w:eastAsiaTheme="majorEastAsia" w:cstheme="majorBidi"/>
      <w:color w:val="365F91" w:themeColor="accent1" w:themeShade="BF"/>
      <w:lang w:val="en-GB"/>
    </w:rPr>
  </w:style>
  <w:style w:type="character" w:customStyle="1" w:styleId="Heading6Char">
    <w:name w:val="Heading 6 Char"/>
    <w:basedOn w:val="DefaultParagraphFont"/>
    <w:link w:val="Heading6"/>
    <w:uiPriority w:val="9"/>
    <w:semiHidden/>
    <w:rsid w:val="008121D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121D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121D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121DD"/>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8121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21D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121D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21D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121D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121DD"/>
    <w:rPr>
      <w:i/>
      <w:iCs/>
      <w:color w:val="404040" w:themeColor="text1" w:themeTint="BF"/>
      <w:lang w:val="en-GB"/>
    </w:rPr>
  </w:style>
  <w:style w:type="paragraph" w:styleId="ListParagraph">
    <w:name w:val="List Paragraph"/>
    <w:basedOn w:val="Normal"/>
    <w:uiPriority w:val="34"/>
    <w:qFormat/>
    <w:rsid w:val="008121DD"/>
    <w:pPr>
      <w:ind w:left="720"/>
      <w:contextualSpacing/>
    </w:pPr>
  </w:style>
  <w:style w:type="character" w:styleId="IntenseEmphasis">
    <w:name w:val="Intense Emphasis"/>
    <w:basedOn w:val="DefaultParagraphFont"/>
    <w:uiPriority w:val="21"/>
    <w:qFormat/>
    <w:rsid w:val="008121DD"/>
    <w:rPr>
      <w:i/>
      <w:iCs/>
      <w:color w:val="365F91" w:themeColor="accent1" w:themeShade="BF"/>
    </w:rPr>
  </w:style>
  <w:style w:type="paragraph" w:styleId="IntenseQuote">
    <w:name w:val="Intense Quote"/>
    <w:basedOn w:val="Normal"/>
    <w:next w:val="Normal"/>
    <w:link w:val="IntenseQuoteChar"/>
    <w:uiPriority w:val="30"/>
    <w:qFormat/>
    <w:rsid w:val="008121DD"/>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8121DD"/>
    <w:rPr>
      <w:i/>
      <w:iCs/>
      <w:color w:val="365F91" w:themeColor="accent1" w:themeShade="BF"/>
      <w:lang w:val="en-GB"/>
    </w:rPr>
  </w:style>
  <w:style w:type="character" w:styleId="IntenseReference">
    <w:name w:val="Intense Reference"/>
    <w:basedOn w:val="DefaultParagraphFont"/>
    <w:uiPriority w:val="32"/>
    <w:qFormat/>
    <w:rsid w:val="008121DD"/>
    <w:rPr>
      <w:b/>
      <w:bCs/>
      <w:smallCaps/>
      <w:color w:val="365F91" w:themeColor="accent1" w:themeShade="BF"/>
      <w:spacing w:val="5"/>
    </w:rPr>
  </w:style>
  <w:style w:type="character" w:styleId="Hyperlink">
    <w:name w:val="Hyperlink"/>
    <w:basedOn w:val="DefaultParagraphFont"/>
    <w:uiPriority w:val="99"/>
    <w:unhideWhenUsed/>
    <w:rsid w:val="00BF2BC2"/>
    <w:rPr>
      <w:color w:val="0000FF" w:themeColor="hyperlink"/>
      <w:u w:val="single"/>
    </w:rPr>
  </w:style>
  <w:style w:type="character" w:styleId="FollowedHyperlink">
    <w:name w:val="FollowedHyperlink"/>
    <w:basedOn w:val="DefaultParagraphFont"/>
    <w:uiPriority w:val="99"/>
    <w:semiHidden/>
    <w:unhideWhenUsed/>
    <w:rsid w:val="00BF2BC2"/>
    <w:rPr>
      <w:color w:val="800080" w:themeColor="followedHyperlink"/>
      <w:u w:val="single"/>
    </w:rPr>
  </w:style>
  <w:style w:type="paragraph" w:styleId="Header">
    <w:name w:val="header"/>
    <w:basedOn w:val="Normal"/>
    <w:link w:val="HeaderChar"/>
    <w:uiPriority w:val="99"/>
    <w:unhideWhenUsed/>
    <w:rsid w:val="00CA57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5761"/>
    <w:rPr>
      <w:lang w:val="en-GB"/>
    </w:rPr>
  </w:style>
  <w:style w:type="paragraph" w:styleId="Footer">
    <w:name w:val="footer"/>
    <w:basedOn w:val="Normal"/>
    <w:link w:val="FooterChar"/>
    <w:uiPriority w:val="99"/>
    <w:unhideWhenUsed/>
    <w:rsid w:val="00CA57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576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long-read/a-national-framework-to-deliver-improved-outcomes-in-all-age-autism-assessment-pathways-guidance-for-integrated-care-board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ice.org.uk/guidance/cg170"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ssets.publishing.service.gov.uk/media/60f72556e90e0764c6eb39f5/the-national-strategy-for-autistic-children-young-people-and-adults-2021-to-2026.pdf"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icd.who.int/browse11" TargetMode="External"/><Relationship Id="rId4" Type="http://schemas.openxmlformats.org/officeDocument/2006/relationships/footnotes" Target="footnotes.xml"/><Relationship Id="rId9" Type="http://schemas.openxmlformats.org/officeDocument/2006/relationships/hyperlink" Target="https://www.nmc.org.uk/about-us/equality-diversity-and-inclusion/disability-and-accessi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2586</Words>
  <Characters>14746</Characters>
  <Application>Microsoft Office Word</Application>
  <DocSecurity>0</DocSecurity>
  <Lines>122</Lines>
  <Paragraphs>34</Paragraphs>
  <ScaleCrop>false</ScaleCrop>
  <Company/>
  <LinksUpToDate>false</LinksUpToDate>
  <CharactersWithSpaces>17298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2025-11-14T12:19:00Z</dcterms:created>
  <dcterms:modified xsi:type="dcterms:W3CDTF">2025-11-14T12:19:00Z</dcterms:modified>
</cp:coreProperties>
</file>