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C9A440" w14:textId="66EEF4A8" w:rsidR="00DB1A9B" w:rsidRDefault="004F00C3" w:rsidP="00207B3D">
      <w:pPr>
        <w:spacing w:line="360" w:lineRule="auto"/>
        <w:jc w:val="both"/>
        <w:rPr>
          <w:b/>
        </w:rPr>
      </w:pPr>
      <w:bookmarkStart w:id="0" w:name="_GoBack"/>
      <w:bookmarkEnd w:id="0"/>
      <w:r>
        <w:rPr>
          <w:b/>
        </w:rPr>
        <w:t xml:space="preserve">Referring to both the main narrative of the dragon-episode (Beowulf’s fight with the dragon) and the so-called digressions (the accounts of Hygelac’s last raid against the Frisians, and the accounts of the feud between the Geats and the Swedes), consider how we might understand the purpose of the dragon-episode in </w:t>
      </w:r>
      <w:r w:rsidRPr="004F00C3">
        <w:rPr>
          <w:b/>
          <w:i/>
        </w:rPr>
        <w:t>Beowulf</w:t>
      </w:r>
      <w:r>
        <w:rPr>
          <w:b/>
        </w:rPr>
        <w:t>.</w:t>
      </w:r>
    </w:p>
    <w:p w14:paraId="782CB91B" w14:textId="77777777" w:rsidR="007B6146" w:rsidRDefault="007B6146" w:rsidP="00207B3D">
      <w:pPr>
        <w:spacing w:line="360" w:lineRule="auto"/>
        <w:jc w:val="both"/>
        <w:rPr>
          <w:b/>
        </w:rPr>
      </w:pPr>
    </w:p>
    <w:p w14:paraId="59EE3EFC" w14:textId="422650BA" w:rsidR="00414583" w:rsidRDefault="007B45D1" w:rsidP="00207B3D">
      <w:pPr>
        <w:spacing w:line="360" w:lineRule="auto"/>
        <w:ind w:firstLine="720"/>
        <w:jc w:val="both"/>
      </w:pPr>
      <w:r w:rsidRPr="00E034A2">
        <w:t>The dragon</w:t>
      </w:r>
      <w:r w:rsidR="003C128D">
        <w:t>-</w:t>
      </w:r>
      <w:r w:rsidRPr="00E034A2">
        <w:t xml:space="preserve">episode in </w:t>
      </w:r>
      <w:r w:rsidRPr="00E034A2">
        <w:rPr>
          <w:i/>
        </w:rPr>
        <w:t>Beowulf</w:t>
      </w:r>
      <w:r w:rsidRPr="00E034A2">
        <w:t xml:space="preserve"> is one that has critics arguing over its meaning and </w:t>
      </w:r>
      <w:r w:rsidR="002E63D8">
        <w:t xml:space="preserve">its </w:t>
      </w:r>
      <w:r w:rsidRPr="00E034A2">
        <w:t xml:space="preserve">intended purpose. </w:t>
      </w:r>
      <w:r w:rsidR="00E0704E">
        <w:t xml:space="preserve">It can be viewed as the most important episode in the entire poem to some and central to the narrative of the poem. </w:t>
      </w:r>
      <w:r w:rsidR="00B81FA6">
        <w:t>There have been many different interpretations of the poem by critics and scholars over the years that agree and disagree on the meanings from the narrative.</w:t>
      </w:r>
      <w:r w:rsidR="00B81FA6">
        <w:rPr>
          <w:rStyle w:val="FootnoteReference"/>
        </w:rPr>
        <w:footnoteReference w:id="2"/>
      </w:r>
      <w:r w:rsidR="00B81FA6">
        <w:t xml:space="preserve"> </w:t>
      </w:r>
      <w:r w:rsidR="00AF13D1">
        <w:t>One of the biggest question</w:t>
      </w:r>
      <w:r w:rsidR="00133AA5">
        <w:t>s</w:t>
      </w:r>
      <w:r w:rsidR="00AF13D1">
        <w:t xml:space="preserve"> that all </w:t>
      </w:r>
      <w:r w:rsidR="00AF13D1" w:rsidRPr="00133AA5">
        <w:rPr>
          <w:i/>
        </w:rPr>
        <w:t>Beowulf</w:t>
      </w:r>
      <w:r w:rsidR="00AF13D1">
        <w:t xml:space="preserve"> critics have attempted to answer to the best of their ability </w:t>
      </w:r>
      <w:r w:rsidR="00133AA5">
        <w:t xml:space="preserve">with </w:t>
      </w:r>
      <w:r w:rsidR="000D74EF">
        <w:t xml:space="preserve">the literature that has survived, </w:t>
      </w:r>
      <w:r w:rsidR="00AF13D1">
        <w:t>is what does the dragon represent</w:t>
      </w:r>
      <w:r w:rsidR="000D74EF">
        <w:t>,</w:t>
      </w:r>
      <w:r w:rsidR="00AF13D1">
        <w:t xml:space="preserve"> if it represents anything at all?</w:t>
      </w:r>
      <w:r w:rsidR="00F1387A">
        <w:t xml:space="preserve"> </w:t>
      </w:r>
      <w:r w:rsidR="00414583">
        <w:t>Calder argues:</w:t>
      </w:r>
    </w:p>
    <w:p w14:paraId="153190E8" w14:textId="58A4AA6B" w:rsidR="00F1387A" w:rsidRDefault="00F1387A" w:rsidP="00207B3D">
      <w:pPr>
        <w:spacing w:line="360" w:lineRule="auto"/>
        <w:ind w:left="1440"/>
        <w:jc w:val="both"/>
        <w:rPr>
          <w:sz w:val="18"/>
          <w:szCs w:val="18"/>
        </w:rPr>
      </w:pPr>
      <w:r w:rsidRPr="002576C7">
        <w:rPr>
          <w:sz w:val="18"/>
          <w:szCs w:val="18"/>
        </w:rPr>
        <w:t xml:space="preserve">traditional images like dragons, because contexts change, inevitably become chameleon. They take their </w:t>
      </w:r>
      <w:proofErr w:type="spellStart"/>
      <w:r w:rsidRPr="002576C7">
        <w:rPr>
          <w:sz w:val="18"/>
          <w:szCs w:val="18"/>
        </w:rPr>
        <w:t>color</w:t>
      </w:r>
      <w:proofErr w:type="spellEnd"/>
      <w:r w:rsidRPr="002576C7">
        <w:rPr>
          <w:sz w:val="18"/>
          <w:szCs w:val="18"/>
        </w:rPr>
        <w:t>, their meaning from their surroundings. External evidence can provide knowledge of the tradition</w:t>
      </w:r>
      <w:r w:rsidR="007B6146" w:rsidRPr="002576C7">
        <w:rPr>
          <w:sz w:val="18"/>
          <w:szCs w:val="18"/>
        </w:rPr>
        <w:t>. .</w:t>
      </w:r>
      <w:r w:rsidRPr="002576C7">
        <w:rPr>
          <w:sz w:val="18"/>
          <w:szCs w:val="18"/>
        </w:rPr>
        <w:t xml:space="preserve"> . . But the essential meaning will be determined in the poem itself and must therefore be discovered by way of internal evidence.</w:t>
      </w:r>
      <w:r w:rsidRPr="002576C7">
        <w:rPr>
          <w:rStyle w:val="FootnoteReference"/>
          <w:sz w:val="18"/>
          <w:szCs w:val="18"/>
        </w:rPr>
        <w:footnoteReference w:id="3"/>
      </w:r>
    </w:p>
    <w:p w14:paraId="68D8764E" w14:textId="09378067" w:rsidR="00355542" w:rsidRDefault="008D21A3" w:rsidP="00207B3D">
      <w:pPr>
        <w:spacing w:line="360" w:lineRule="auto"/>
        <w:ind w:firstLine="720"/>
        <w:jc w:val="both"/>
      </w:pPr>
      <w:r>
        <w:t xml:space="preserve"> Another</w:t>
      </w:r>
      <w:r w:rsidR="00D42EE9">
        <w:t xml:space="preserve"> </w:t>
      </w:r>
      <w:r w:rsidR="00A3025F">
        <w:t xml:space="preserve">important part of the dragon-episode </w:t>
      </w:r>
      <w:r w:rsidR="00242F22">
        <w:t>are</w:t>
      </w:r>
      <w:r w:rsidR="00A3025F">
        <w:t xml:space="preserve"> the digressions that </w:t>
      </w:r>
      <w:r w:rsidR="007E67B4">
        <w:t xml:space="preserve">take place at the </w:t>
      </w:r>
      <w:r w:rsidR="00D8306A">
        <w:t xml:space="preserve">most </w:t>
      </w:r>
      <w:r w:rsidR="004E3723">
        <w:t>anticipated</w:t>
      </w:r>
      <w:r w:rsidR="00242F22">
        <w:t xml:space="preserve"> moment of the battle between Beowulf and the dragon. What </w:t>
      </w:r>
      <w:r w:rsidR="00D8306A">
        <w:t>is</w:t>
      </w:r>
      <w:r w:rsidR="00242F22">
        <w:t xml:space="preserve"> the purposes of the</w:t>
      </w:r>
      <w:r w:rsidR="00D8306A">
        <w:t>se</w:t>
      </w:r>
      <w:r w:rsidR="00242F22">
        <w:t xml:space="preserve"> digressions situated at such a pinnacle moment in the narrative?</w:t>
      </w:r>
      <w:r w:rsidR="004E3723">
        <w:t xml:space="preserve"> </w:t>
      </w:r>
      <w:r w:rsidR="00252634">
        <w:t>Brooke argues:</w:t>
      </w:r>
    </w:p>
    <w:p w14:paraId="47C4FBE2" w14:textId="4C04164C" w:rsidR="00355542" w:rsidRPr="00355542" w:rsidRDefault="00355542" w:rsidP="00207B3D">
      <w:pPr>
        <w:spacing w:line="360" w:lineRule="auto"/>
        <w:ind w:left="1440"/>
        <w:jc w:val="both"/>
        <w:rPr>
          <w:sz w:val="18"/>
          <w:szCs w:val="18"/>
        </w:rPr>
      </w:pPr>
      <w:r w:rsidRPr="007F3CE1">
        <w:rPr>
          <w:sz w:val="18"/>
          <w:szCs w:val="18"/>
        </w:rPr>
        <w:t>the very number and variety of the episodes renders the background extraordinarily alive; they maintain a constant interest and curiosity in the setting and, by keeping continuously in touch with “historical” events, represent the realistic note serving as a highly appropriate foil to the transcendental interest of the main theme with its highly significant symbolic value.</w:t>
      </w:r>
      <w:r>
        <w:rPr>
          <w:rStyle w:val="FootnoteReference"/>
          <w:sz w:val="18"/>
          <w:szCs w:val="18"/>
        </w:rPr>
        <w:footnoteReference w:id="4"/>
      </w:r>
    </w:p>
    <w:p w14:paraId="3D2EF9FE" w14:textId="6632DB48" w:rsidR="0094280A" w:rsidRDefault="00252634" w:rsidP="00FF5A3E">
      <w:pPr>
        <w:spacing w:line="360" w:lineRule="auto"/>
        <w:jc w:val="both"/>
      </w:pPr>
      <w:r>
        <w:t xml:space="preserve"> </w:t>
      </w:r>
      <w:r w:rsidR="0094280A">
        <w:tab/>
      </w:r>
      <w:r w:rsidR="00033082">
        <w:t>The purpose of this essay is to explore the dragon</w:t>
      </w:r>
      <w:r w:rsidR="00701784">
        <w:t>-</w:t>
      </w:r>
      <w:r w:rsidR="00033082">
        <w:t xml:space="preserve">episode so that we might understand the </w:t>
      </w:r>
      <w:r w:rsidR="00412762">
        <w:t xml:space="preserve">meaning in the digressions </w:t>
      </w:r>
      <w:r w:rsidR="00717F16">
        <w:t>and</w:t>
      </w:r>
      <w:r w:rsidR="00603B0B">
        <w:t>, if any</w:t>
      </w:r>
      <w:r w:rsidR="00472464">
        <w:t xml:space="preserve">, of the </w:t>
      </w:r>
      <w:r w:rsidR="00717F16">
        <w:t>dragon itself.</w:t>
      </w:r>
      <w:r w:rsidR="000709F3">
        <w:t xml:space="preserve"> </w:t>
      </w:r>
      <w:r w:rsidR="00575DD4">
        <w:t>First, I will look at the dragon and possible interpretations</w:t>
      </w:r>
      <w:r w:rsidR="00D93CEF">
        <w:t xml:space="preserve">. </w:t>
      </w:r>
    </w:p>
    <w:p w14:paraId="0FDA31A7" w14:textId="6B685AF5" w:rsidR="00FB5836" w:rsidRPr="00FF5A3E" w:rsidRDefault="00D93CEF" w:rsidP="0094280A">
      <w:pPr>
        <w:spacing w:line="360" w:lineRule="auto"/>
        <w:ind w:firstLine="720"/>
        <w:jc w:val="both"/>
        <w:rPr>
          <w:lang w:val="en-US"/>
        </w:rPr>
      </w:pPr>
      <w:r>
        <w:t>The dragon itself serves a purpose in the poem</w:t>
      </w:r>
      <w:r w:rsidR="00903A88">
        <w:t xml:space="preserve"> as it is </w:t>
      </w:r>
      <w:r w:rsidR="00003476">
        <w:t xml:space="preserve">one of the most important </w:t>
      </w:r>
      <w:r w:rsidR="00F92E97">
        <w:t xml:space="preserve">features of </w:t>
      </w:r>
      <w:r w:rsidR="00003476">
        <w:t xml:space="preserve">the </w:t>
      </w:r>
      <w:r w:rsidR="00F92E97">
        <w:t>episode</w:t>
      </w:r>
      <w:r w:rsidR="00003476">
        <w:t xml:space="preserve"> as DuBios says</w:t>
      </w:r>
      <w:r w:rsidR="00FE4ED8">
        <w:t>:</w:t>
      </w:r>
      <w:r w:rsidR="00003476">
        <w:t xml:space="preserve"> </w:t>
      </w:r>
      <w:r w:rsidR="00003476">
        <w:rPr>
          <w:lang w:val="en-US"/>
        </w:rPr>
        <w:t>‘</w:t>
      </w:r>
      <w:r w:rsidR="00003476" w:rsidRPr="00BB7619">
        <w:rPr>
          <w:lang w:val="en-US"/>
        </w:rPr>
        <w:t xml:space="preserve">First, the Beowulf dragon is not just any dragon. It is the Beowulf dragon. And the poet seems to me to spend a tremendous amount of time building up a context against which </w:t>
      </w:r>
      <w:r w:rsidR="00003476" w:rsidRPr="00BB7619">
        <w:rPr>
          <w:lang w:val="en-US"/>
        </w:rPr>
        <w:lastRenderedPageBreak/>
        <w:t>it may be seen and underst</w:t>
      </w:r>
      <w:r w:rsidR="00003476">
        <w:rPr>
          <w:lang w:val="en-US"/>
        </w:rPr>
        <w:t>ood.’</w:t>
      </w:r>
      <w:r w:rsidR="00003476">
        <w:rPr>
          <w:rStyle w:val="FootnoteReference"/>
          <w:lang w:val="en-US"/>
        </w:rPr>
        <w:footnoteReference w:id="5"/>
      </w:r>
      <w:r w:rsidR="002D2AEB">
        <w:rPr>
          <w:lang w:val="en-US"/>
        </w:rPr>
        <w:t xml:space="preserve"> The context in which we understand </w:t>
      </w:r>
      <w:r w:rsidR="00FF5A3E">
        <w:rPr>
          <w:lang w:val="en-US"/>
        </w:rPr>
        <w:t xml:space="preserve">the dragon can also be understood </w:t>
      </w:r>
      <w:r w:rsidR="00C73729">
        <w:rPr>
          <w:lang w:val="en-US"/>
        </w:rPr>
        <w:t>through</w:t>
      </w:r>
      <w:r w:rsidR="00FF5A3E">
        <w:rPr>
          <w:lang w:val="en-US"/>
        </w:rPr>
        <w:t xml:space="preserve"> multiple interpretations </w:t>
      </w:r>
      <w:r w:rsidR="00575DD4">
        <w:t xml:space="preserve">as Calder </w:t>
      </w:r>
      <w:r w:rsidR="00C73729">
        <w:t>summarises</w:t>
      </w:r>
      <w:r w:rsidR="00575DD4">
        <w:t xml:space="preserve">: </w:t>
      </w:r>
    </w:p>
    <w:p w14:paraId="4B1A0B0F" w14:textId="7D07E9A0" w:rsidR="00DC0DCF" w:rsidRDefault="00DC0DCF" w:rsidP="00585AB2">
      <w:pPr>
        <w:spacing w:line="360" w:lineRule="auto"/>
        <w:ind w:left="1440"/>
        <w:jc w:val="both"/>
        <w:rPr>
          <w:sz w:val="18"/>
          <w:szCs w:val="18"/>
        </w:rPr>
      </w:pPr>
      <w:r w:rsidRPr="00230CD9">
        <w:rPr>
          <w:sz w:val="18"/>
          <w:szCs w:val="18"/>
        </w:rPr>
        <w:t>There are essentially three ways of looking at the dragon: the realistic, the symbolic, and the allegorical. The realistic critics assert that the dragon is one of God's creatures and that in killing him Beowulf is only removing an enemy similar to the hostile host of an invading army. Th</w:t>
      </w:r>
      <w:r w:rsidR="00F30914">
        <w:rPr>
          <w:sz w:val="18"/>
          <w:szCs w:val="18"/>
        </w:rPr>
        <w:t>ose</w:t>
      </w:r>
      <w:r w:rsidRPr="00230CD9">
        <w:rPr>
          <w:sz w:val="18"/>
          <w:szCs w:val="18"/>
        </w:rPr>
        <w:t xml:space="preserve"> who read the dragon symbolically can agree on no single symbolic reference: the dragon is death, an expression of the evil of a debased society, internal versus external evil (Grendel), and, like Grendel, a "</w:t>
      </w:r>
      <w:proofErr w:type="spellStart"/>
      <w:r w:rsidRPr="00230CD9">
        <w:rPr>
          <w:i/>
          <w:sz w:val="18"/>
          <w:szCs w:val="18"/>
        </w:rPr>
        <w:t>feond</w:t>
      </w:r>
      <w:proofErr w:type="spellEnd"/>
      <w:r w:rsidRPr="00230CD9">
        <w:rPr>
          <w:i/>
          <w:sz w:val="18"/>
          <w:szCs w:val="18"/>
        </w:rPr>
        <w:t xml:space="preserve"> </w:t>
      </w:r>
      <w:proofErr w:type="spellStart"/>
      <w:r w:rsidRPr="00230CD9">
        <w:rPr>
          <w:i/>
          <w:sz w:val="18"/>
          <w:szCs w:val="18"/>
        </w:rPr>
        <w:t>mancynnes</w:t>
      </w:r>
      <w:proofErr w:type="spellEnd"/>
      <w:r w:rsidRPr="00230CD9">
        <w:rPr>
          <w:sz w:val="18"/>
          <w:szCs w:val="18"/>
        </w:rPr>
        <w:t>, of a similar order and kindred significance.” Allegorical interpretations of the dragon read a common Christian metaphor into the poem, the equation of the dragon, or any dragon, with Satan, the archfiend.</w:t>
      </w:r>
      <w:r w:rsidRPr="00230CD9">
        <w:rPr>
          <w:rStyle w:val="FootnoteReference"/>
          <w:sz w:val="18"/>
          <w:szCs w:val="18"/>
        </w:rPr>
        <w:footnoteReference w:id="6"/>
      </w:r>
    </w:p>
    <w:p w14:paraId="2C662863" w14:textId="6CB38A9C" w:rsidR="00DC2F29" w:rsidRDefault="00F00DFD" w:rsidP="00DC2F29">
      <w:pPr>
        <w:spacing w:line="360" w:lineRule="auto"/>
        <w:ind w:firstLine="720"/>
        <w:jc w:val="both"/>
      </w:pPr>
      <w:r>
        <w:t>The realistic point of view</w:t>
      </w:r>
      <w:r w:rsidR="00FD2ED9">
        <w:t xml:space="preserve"> is to see the dragon for what it is, and that is a creature that </w:t>
      </w:r>
      <w:r w:rsidR="00F92E97">
        <w:t>can destroy</w:t>
      </w:r>
      <w:r w:rsidR="00FD2ED9">
        <w:t xml:space="preserve"> villages and </w:t>
      </w:r>
      <w:r w:rsidR="00F92E97">
        <w:t>murder</w:t>
      </w:r>
      <w:r w:rsidR="00FD2ED9">
        <w:t xml:space="preserve"> </w:t>
      </w:r>
      <w:r w:rsidR="009E6F3A">
        <w:t xml:space="preserve">hundreds </w:t>
      </w:r>
      <w:r w:rsidR="00DA648A">
        <w:t>of</w:t>
      </w:r>
      <w:r w:rsidR="009E6F3A">
        <w:t xml:space="preserve"> </w:t>
      </w:r>
      <w:r w:rsidR="00FD2ED9">
        <w:t>people</w:t>
      </w:r>
      <w:r w:rsidR="00F92E97">
        <w:t xml:space="preserve"> in a single breath of fire</w:t>
      </w:r>
      <w:r w:rsidR="00FD2ED9">
        <w:t>. The context in which we have understood the dragons</w:t>
      </w:r>
      <w:r w:rsidR="00920B28">
        <w:t xml:space="preserve"> initiative </w:t>
      </w:r>
      <w:r w:rsidR="00D56078">
        <w:t xml:space="preserve">in </w:t>
      </w:r>
      <w:r w:rsidR="00D56078">
        <w:rPr>
          <w:i/>
        </w:rPr>
        <w:t>Beowulf</w:t>
      </w:r>
      <w:r w:rsidR="00F92E97">
        <w:rPr>
          <w:i/>
        </w:rPr>
        <w:t>,</w:t>
      </w:r>
      <w:r w:rsidR="00D56078">
        <w:rPr>
          <w:i/>
        </w:rPr>
        <w:t xml:space="preserve"> </w:t>
      </w:r>
      <w:r w:rsidR="00435AB1">
        <w:t xml:space="preserve">is that it was provoked after </w:t>
      </w:r>
      <w:r w:rsidR="00773FD6">
        <w:t>three hundred</w:t>
      </w:r>
      <w:r w:rsidR="00435AB1">
        <w:t xml:space="preserve"> years of guarding </w:t>
      </w:r>
      <w:r w:rsidR="00D56078">
        <w:t>a</w:t>
      </w:r>
      <w:r w:rsidR="00435AB1">
        <w:t xml:space="preserve"> hoard of treasure, but as it says</w:t>
      </w:r>
      <w:r w:rsidR="00CB7C09">
        <w:t xml:space="preserve"> in the poem</w:t>
      </w:r>
      <w:r w:rsidR="006C34DC">
        <w:t>: ‘</w:t>
      </w:r>
      <w:r w:rsidR="00435AB1">
        <w:t>[…]</w:t>
      </w:r>
      <w:r w:rsidR="006C34DC">
        <w:t>however, it rejoiced in anticipation of conflict</w:t>
      </w:r>
      <w:r w:rsidR="00D6250B">
        <w:t>, an act of war</w:t>
      </w:r>
      <w:r w:rsidR="008E6711">
        <w:t>[…].’</w:t>
      </w:r>
      <w:r w:rsidR="008E6711">
        <w:rPr>
          <w:rStyle w:val="FootnoteReference"/>
        </w:rPr>
        <w:footnoteReference w:id="7"/>
      </w:r>
      <w:r w:rsidR="00FD2ED9">
        <w:t xml:space="preserve"> </w:t>
      </w:r>
      <w:r w:rsidR="000D36E6">
        <w:t xml:space="preserve">It </w:t>
      </w:r>
      <w:r w:rsidR="00F92E97">
        <w:t>can be</w:t>
      </w:r>
      <w:r w:rsidR="000D36E6">
        <w:t xml:space="preserve"> understood </w:t>
      </w:r>
      <w:r w:rsidR="00F92E97">
        <w:t>by</w:t>
      </w:r>
      <w:r w:rsidR="000D36E6">
        <w:t xml:space="preserve"> us from the internal context of the poem that the dragon has </w:t>
      </w:r>
      <w:r w:rsidR="00F92E97">
        <w:t>a</w:t>
      </w:r>
      <w:r w:rsidR="000D36E6">
        <w:t xml:space="preserve"> negative stigma</w:t>
      </w:r>
      <w:r w:rsidR="005531C5">
        <w:t xml:space="preserve"> </w:t>
      </w:r>
      <w:r w:rsidR="00596C6F">
        <w:t xml:space="preserve">and as Bonjour states: </w:t>
      </w:r>
      <w:r w:rsidR="00FD2ED9" w:rsidRPr="00FD2ED9">
        <w:t xml:space="preserve">‘It is perhaps not excluded that the audience may have interpreted at once the sudden rising up of the dragon in Beowulf as a dire portent for the aged king and his </w:t>
      </w:r>
      <w:proofErr w:type="spellStart"/>
      <w:r w:rsidR="00FD2ED9" w:rsidRPr="00FD2ED9">
        <w:t>Geatish</w:t>
      </w:r>
      <w:proofErr w:type="spellEnd"/>
      <w:r w:rsidR="00FD2ED9" w:rsidRPr="00FD2ED9">
        <w:t xml:space="preserve"> people.’</w:t>
      </w:r>
      <w:r w:rsidR="00FD2ED9" w:rsidRPr="00FD2ED9">
        <w:rPr>
          <w:rStyle w:val="FootnoteReference"/>
        </w:rPr>
        <w:footnoteReference w:id="8"/>
      </w:r>
      <w:r w:rsidR="00AE5B29">
        <w:t xml:space="preserve"> The dragon is a sign of bad things to come and I think it can be confirmed by the change in tone where it says: ‘The wise man supposed that he had bitterly offended the Ruler, eternal Lord, by breaking some ancient law; his breast with-in surged with dark thoughts, which was unusual for him.’</w:t>
      </w:r>
      <w:r w:rsidR="00AE5B29">
        <w:rPr>
          <w:rStyle w:val="FootnoteReference"/>
        </w:rPr>
        <w:footnoteReference w:id="9"/>
      </w:r>
      <w:r w:rsidR="008F0818">
        <w:t xml:space="preserve"> </w:t>
      </w:r>
      <w:r w:rsidR="006E2A67">
        <w:t xml:space="preserve">This is the first sign of weakness in Beowulf and contrasts greatly from the first half of the poem where he is portrayed as the champion for divine justice, but now is almost seen to have lost his favour with God in his old age. </w:t>
      </w:r>
    </w:p>
    <w:p w14:paraId="1A16C3C1" w14:textId="250D1C82" w:rsidR="00544E1A" w:rsidRDefault="00677C6B" w:rsidP="00891490">
      <w:pPr>
        <w:spacing w:line="360" w:lineRule="auto"/>
        <w:ind w:firstLine="720"/>
        <w:jc w:val="both"/>
      </w:pPr>
      <w:r>
        <w:t xml:space="preserve">The symbolic point of view of the dragon can </w:t>
      </w:r>
      <w:r w:rsidR="00F92E97">
        <w:t xml:space="preserve">be understood in </w:t>
      </w:r>
      <w:r>
        <w:t xml:space="preserve">many different </w:t>
      </w:r>
      <w:r w:rsidR="00F92E97">
        <w:t>meanings</w:t>
      </w:r>
      <w:r>
        <w:t>. The dragon has been described as death</w:t>
      </w:r>
      <w:r w:rsidR="00EC7C3E">
        <w:t>,</w:t>
      </w:r>
      <w:r w:rsidR="00EC7C3E">
        <w:rPr>
          <w:rStyle w:val="FootnoteReference"/>
        </w:rPr>
        <w:footnoteReference w:id="10"/>
      </w:r>
      <w:r w:rsidR="001E69E8">
        <w:t>or as ‘</w:t>
      </w:r>
      <w:r w:rsidR="00FB41DE" w:rsidRPr="004C007A">
        <w:t xml:space="preserve">Tolkien's famous </w:t>
      </w:r>
      <w:proofErr w:type="spellStart"/>
      <w:r w:rsidR="00FB41DE" w:rsidRPr="004C007A">
        <w:t>characterization</w:t>
      </w:r>
      <w:proofErr w:type="spellEnd"/>
      <w:r w:rsidR="00FB41DE" w:rsidRPr="004C007A">
        <w:t xml:space="preserve"> of the dragon as "a personification of malice, greed, destruction (the evil side of heroic life), and of the undiscriminating cruelty of fortune that distinguishes not good or bad (the evil aspect of all life)”’</w:t>
      </w:r>
      <w:r w:rsidR="00FB41DE" w:rsidRPr="004C007A">
        <w:rPr>
          <w:rStyle w:val="FootnoteReference"/>
        </w:rPr>
        <w:footnoteReference w:id="11"/>
      </w:r>
      <w:r w:rsidR="00EA37E2">
        <w:t xml:space="preserve"> The dragon </w:t>
      </w:r>
      <w:r w:rsidR="00014B9C">
        <w:t>can</w:t>
      </w:r>
      <w:r w:rsidR="00EA37E2">
        <w:t xml:space="preserve"> also be interpreted as </w:t>
      </w:r>
      <w:r w:rsidR="00014B9C">
        <w:t xml:space="preserve">the </w:t>
      </w:r>
      <w:r w:rsidR="00F92E97">
        <w:t xml:space="preserve">complete </w:t>
      </w:r>
      <w:r w:rsidR="00014B9C">
        <w:t xml:space="preserve">end of the </w:t>
      </w:r>
      <w:proofErr w:type="spellStart"/>
      <w:r w:rsidR="00014B9C">
        <w:t>Geatish</w:t>
      </w:r>
      <w:proofErr w:type="spellEnd"/>
      <w:r w:rsidR="00014B9C">
        <w:t xml:space="preserve"> people a</w:t>
      </w:r>
      <w:r w:rsidR="008F10B6">
        <w:t xml:space="preserve">s the messenger in </w:t>
      </w:r>
      <w:r w:rsidR="008F10B6">
        <w:rPr>
          <w:i/>
        </w:rPr>
        <w:t xml:space="preserve">Beowulf </w:t>
      </w:r>
      <w:r w:rsidR="008F10B6">
        <w:t>says:</w:t>
      </w:r>
      <w:r w:rsidR="00A970F8">
        <w:t xml:space="preserve"> </w:t>
      </w:r>
      <w:r w:rsidR="00F810D5">
        <w:t xml:space="preserve">‘Now the </w:t>
      </w:r>
      <w:r w:rsidR="00F810D5">
        <w:lastRenderedPageBreak/>
        <w:t>people can expect</w:t>
      </w:r>
      <w:r w:rsidR="0041669C">
        <w:t xml:space="preserve"> a period of conflict, once the fall of the king becomes openly </w:t>
      </w:r>
      <w:r w:rsidR="00D03D38">
        <w:t>known abroad among Franks and Frisians.’</w:t>
      </w:r>
      <w:r w:rsidR="00D03D38">
        <w:rPr>
          <w:rStyle w:val="FootnoteReference"/>
        </w:rPr>
        <w:footnoteReference w:id="12"/>
      </w:r>
      <w:r w:rsidR="0077632D">
        <w:t xml:space="preserve"> The dragon brings war to the people and </w:t>
      </w:r>
      <w:r w:rsidR="00DD53DC">
        <w:t>kills</w:t>
      </w:r>
      <w:r w:rsidR="0077632D">
        <w:t xml:space="preserve"> th</w:t>
      </w:r>
      <w:r w:rsidR="00DD53DC">
        <w:t>eir</w:t>
      </w:r>
      <w:r w:rsidR="0077632D">
        <w:t xml:space="preserve"> ruler Beowulf</w:t>
      </w:r>
      <w:r w:rsidR="00DD53DC">
        <w:t>,</w:t>
      </w:r>
      <w:r w:rsidR="0077632D">
        <w:t xml:space="preserve"> </w:t>
      </w:r>
      <w:r w:rsidR="00DD53DC">
        <w:t>and brings an end to</w:t>
      </w:r>
      <w:r w:rsidR="0077632D">
        <w:t xml:space="preserve"> </w:t>
      </w:r>
      <w:r w:rsidR="00DD53DC">
        <w:t>the</w:t>
      </w:r>
      <w:r w:rsidR="0077632D">
        <w:t xml:space="preserve"> fifty years of peace</w:t>
      </w:r>
      <w:r w:rsidR="00043B2D">
        <w:t xml:space="preserve">. </w:t>
      </w:r>
      <w:r w:rsidR="00F92E97">
        <w:t>The dragon</w:t>
      </w:r>
      <w:r w:rsidR="00043B2D">
        <w:t xml:space="preserve"> becomes an </w:t>
      </w:r>
      <w:r w:rsidR="00BF35C4">
        <w:t xml:space="preserve">establishment </w:t>
      </w:r>
      <w:r w:rsidR="00043B2D">
        <w:t xml:space="preserve">for destruction </w:t>
      </w:r>
      <w:r w:rsidR="00544E1A">
        <w:t xml:space="preserve">and is </w:t>
      </w:r>
      <w:r w:rsidR="00B6147B">
        <w:t>described</w:t>
      </w:r>
      <w:r w:rsidR="00544E1A">
        <w:t xml:space="preserve"> </w:t>
      </w:r>
      <w:r w:rsidR="00B6147B">
        <w:t xml:space="preserve">by Bonjour: </w:t>
      </w:r>
      <w:r w:rsidR="00544E1A" w:rsidRPr="00544E1A">
        <w:t xml:space="preserve">‘As a corollary, the monsters, whether they be </w:t>
      </w:r>
      <w:proofErr w:type="spellStart"/>
      <w:r w:rsidR="00544E1A" w:rsidRPr="00544E1A">
        <w:t>thyrs</w:t>
      </w:r>
      <w:proofErr w:type="spellEnd"/>
      <w:r w:rsidR="00544E1A" w:rsidRPr="00544E1A">
        <w:t xml:space="preserve"> or dragon, are maleficent (even relatively harmless </w:t>
      </w:r>
      <w:proofErr w:type="spellStart"/>
      <w:r w:rsidR="00544E1A" w:rsidRPr="00544E1A">
        <w:t>nicors</w:t>
      </w:r>
      <w:proofErr w:type="spellEnd"/>
      <w:r w:rsidR="00544E1A" w:rsidRPr="00544E1A">
        <w:t xml:space="preserve"> are not in </w:t>
      </w:r>
      <w:proofErr w:type="spellStart"/>
      <w:r w:rsidR="00544E1A" w:rsidRPr="00544E1A">
        <w:t>odor</w:t>
      </w:r>
      <w:proofErr w:type="spellEnd"/>
      <w:r w:rsidR="00544E1A" w:rsidRPr="00544E1A">
        <w:t xml:space="preserve"> of sanctity with our poet), and they are maleficent to mankind rather than to individual characters, parties, or tribes.’</w:t>
      </w:r>
      <w:r w:rsidR="00544E1A" w:rsidRPr="00544E1A">
        <w:rPr>
          <w:rStyle w:val="FootnoteReference"/>
        </w:rPr>
        <w:footnoteReference w:id="13"/>
      </w:r>
      <w:r w:rsidR="00F04B3F">
        <w:t xml:space="preserve"> The dragon acts as a </w:t>
      </w:r>
      <w:r w:rsidR="00D17216">
        <w:t xml:space="preserve">tool to wipe out a </w:t>
      </w:r>
      <w:r w:rsidR="00C30BB4">
        <w:t>leader and his people, bringing</w:t>
      </w:r>
      <w:r w:rsidR="00535523">
        <w:t xml:space="preserve"> war once again </w:t>
      </w:r>
      <w:r w:rsidR="00F92E97">
        <w:t>to</w:t>
      </w:r>
      <w:r w:rsidR="00535523">
        <w:t xml:space="preserve"> the realm of humans. </w:t>
      </w:r>
      <w:r w:rsidR="006328D6">
        <w:t xml:space="preserve">The dragon finally has its excuse to reign terror on the lands after a tiny gold cup had been stolen from the hoard it was protecting. </w:t>
      </w:r>
    </w:p>
    <w:p w14:paraId="17E95181" w14:textId="27A4A9F1" w:rsidR="0010356F" w:rsidRDefault="006328D6" w:rsidP="004C1DDA">
      <w:pPr>
        <w:spacing w:line="360" w:lineRule="auto"/>
        <w:jc w:val="both"/>
      </w:pPr>
      <w:r>
        <w:tab/>
        <w:t>The dragon</w:t>
      </w:r>
      <w:r w:rsidR="00A805D6">
        <w:t xml:space="preserve"> may also have</w:t>
      </w:r>
      <w:r>
        <w:t xml:space="preserve"> allegorical interpretations too</w:t>
      </w:r>
      <w:r w:rsidR="00A805D6">
        <w:t xml:space="preserve">. </w:t>
      </w:r>
      <w:r>
        <w:t xml:space="preserve"> </w:t>
      </w:r>
      <w:r w:rsidR="00A805D6">
        <w:t xml:space="preserve">It can be viewed from the point of view of good </w:t>
      </w:r>
      <w:r w:rsidR="00F92E97">
        <w:t>versus</w:t>
      </w:r>
      <w:r w:rsidR="00A805D6">
        <w:t xml:space="preserve"> evil</w:t>
      </w:r>
      <w:r w:rsidR="00BB0215">
        <w:t xml:space="preserve"> as the</w:t>
      </w:r>
      <w:r w:rsidR="00F92E97">
        <w:t>re</w:t>
      </w:r>
      <w:r w:rsidR="00BB0215">
        <w:t xml:space="preserve"> are a lot of Christian overtones </w:t>
      </w:r>
      <w:r w:rsidR="003D4B02">
        <w:t>throughout the poem.</w:t>
      </w:r>
      <w:r w:rsidR="00B460D3">
        <w:rPr>
          <w:rStyle w:val="FootnoteReference"/>
        </w:rPr>
        <w:footnoteReference w:id="14"/>
      </w:r>
      <w:r w:rsidR="003D4B02">
        <w:t xml:space="preserve"> Beowulf</w:t>
      </w:r>
      <w:r w:rsidR="009F2C78">
        <w:t xml:space="preserve"> is described: ‘[…]</w:t>
      </w:r>
      <w:r w:rsidR="00DA648A">
        <w:t xml:space="preserve"> </w:t>
      </w:r>
      <w:r w:rsidR="009F2C78">
        <w:t>have said that he has in the grip of his hand the strength of thirty men, one renowned in battle.’</w:t>
      </w:r>
      <w:r w:rsidR="009F2C78">
        <w:rPr>
          <w:rStyle w:val="FootnoteReference"/>
        </w:rPr>
        <w:footnoteReference w:id="15"/>
      </w:r>
      <w:r w:rsidR="00902EA9">
        <w:t xml:space="preserve"> It is also said </w:t>
      </w:r>
      <w:r w:rsidR="007D5621">
        <w:t>when he defeats Grendel</w:t>
      </w:r>
      <w:r w:rsidR="0010356F">
        <w:t>:</w:t>
      </w:r>
    </w:p>
    <w:p w14:paraId="2D400001" w14:textId="77777777" w:rsidR="0010356F" w:rsidRDefault="007D5621" w:rsidP="001B0989">
      <w:pPr>
        <w:spacing w:line="360" w:lineRule="auto"/>
        <w:ind w:left="1440"/>
        <w:jc w:val="both"/>
        <w:rPr>
          <w:sz w:val="18"/>
          <w:szCs w:val="18"/>
        </w:rPr>
      </w:pPr>
      <w:r w:rsidRPr="0010356F">
        <w:rPr>
          <w:sz w:val="18"/>
          <w:szCs w:val="18"/>
        </w:rPr>
        <w:t>There the monster came to grips with him; however, he remembered the power of his strength, the ample gift that God had given him, and counted on the Almighty for help, comfort and support; by that he overcame the fiend, laid low the hellish demon</w:t>
      </w:r>
      <w:r w:rsidR="00902EA9" w:rsidRPr="0010356F">
        <w:rPr>
          <w:sz w:val="18"/>
          <w:szCs w:val="18"/>
        </w:rPr>
        <w:t>.</w:t>
      </w:r>
      <w:r w:rsidRPr="0010356F">
        <w:rPr>
          <w:sz w:val="18"/>
          <w:szCs w:val="18"/>
        </w:rPr>
        <w:t>’</w:t>
      </w:r>
      <w:r w:rsidR="00902EA9" w:rsidRPr="0010356F">
        <w:rPr>
          <w:rStyle w:val="FootnoteReference"/>
          <w:sz w:val="18"/>
          <w:szCs w:val="18"/>
        </w:rPr>
        <w:footnoteReference w:id="16"/>
      </w:r>
      <w:r w:rsidR="00C84622" w:rsidRPr="0010356F">
        <w:rPr>
          <w:sz w:val="18"/>
          <w:szCs w:val="18"/>
        </w:rPr>
        <w:t xml:space="preserve"> </w:t>
      </w:r>
    </w:p>
    <w:p w14:paraId="224650C3" w14:textId="0D428462" w:rsidR="005A1040" w:rsidRDefault="00C84622" w:rsidP="005A1040">
      <w:pPr>
        <w:spacing w:line="360" w:lineRule="auto"/>
        <w:ind w:firstLine="720"/>
        <w:jc w:val="both"/>
      </w:pPr>
      <w:r>
        <w:t xml:space="preserve">It is plausible </w:t>
      </w:r>
      <w:r w:rsidR="001F79A7">
        <w:t xml:space="preserve">that Beowulf is portrayed as </w:t>
      </w:r>
      <w:r w:rsidR="003C391A">
        <w:t>a Christ like figure that is blessed by God</w:t>
      </w:r>
      <w:r w:rsidR="00F801D0">
        <w:t>,</w:t>
      </w:r>
      <w:r w:rsidR="003C391A">
        <w:t xml:space="preserve"> and in the dragon</w:t>
      </w:r>
      <w:r w:rsidR="00F801D0">
        <w:t>-</w:t>
      </w:r>
      <w:r w:rsidR="003C391A">
        <w:t>episode, willingly goes into battle even though his death is certain</w:t>
      </w:r>
      <w:r w:rsidR="00182A47">
        <w:t xml:space="preserve">. It can be seen as an echo to </w:t>
      </w:r>
      <w:r w:rsidR="00E34DC4">
        <w:t>C</w:t>
      </w:r>
      <w:r w:rsidR="00182A47">
        <w:t>hrist</w:t>
      </w:r>
      <w:r w:rsidR="00E34DC4">
        <w:t>s’</w:t>
      </w:r>
      <w:r w:rsidR="00182A47">
        <w:t xml:space="preserve"> sacrifice on the cross in </w:t>
      </w:r>
      <w:r w:rsidR="00182A47">
        <w:rPr>
          <w:i/>
        </w:rPr>
        <w:t>The Dream of the Rood</w:t>
      </w:r>
      <w:r w:rsidR="005A13BA">
        <w:rPr>
          <w:i/>
        </w:rPr>
        <w:t xml:space="preserve"> </w:t>
      </w:r>
      <w:r w:rsidR="005A13BA">
        <w:t xml:space="preserve">but with the Christian </w:t>
      </w:r>
      <w:r w:rsidR="00F801D0">
        <w:t>and heroic elements added</w:t>
      </w:r>
      <w:r w:rsidR="005A13BA">
        <w:t xml:space="preserve"> to the </w:t>
      </w:r>
      <w:r w:rsidR="00F801D0">
        <w:t>context</w:t>
      </w:r>
      <w:r w:rsidR="00891490">
        <w:t xml:space="preserve">. </w:t>
      </w:r>
      <w:r w:rsidR="00474179">
        <w:t>It can be suggested that Beowulf</w:t>
      </w:r>
      <w:r w:rsidR="00CA169F">
        <w:t>, in the first half of the poem, already defeated the devil, represented by Grendel. However, the dragon, representing the apocalypse is fore</w:t>
      </w:r>
      <w:r w:rsidR="009A2878">
        <w:t xml:space="preserve">ver waiting to bring the impending doom upon the people as it says: </w:t>
      </w:r>
      <w:r w:rsidR="00566B9C" w:rsidRPr="00DA6C57">
        <w:t xml:space="preserve">‘Where as limit and restriction are stressed for Grendel, immeasurability and </w:t>
      </w:r>
      <w:proofErr w:type="spellStart"/>
      <w:r w:rsidR="00566B9C" w:rsidRPr="00DA6C57">
        <w:t>open-endedness</w:t>
      </w:r>
      <w:proofErr w:type="spellEnd"/>
      <w:r w:rsidR="00566B9C" w:rsidRPr="00DA6C57">
        <w:t xml:space="preserve"> are the key images for the dragon: the entire universe becomes unfathomable, impervious to man's attempts to measure and explain it.’</w:t>
      </w:r>
      <w:r w:rsidR="00566B9C" w:rsidRPr="00DA6C57">
        <w:rPr>
          <w:rStyle w:val="FootnoteReference"/>
        </w:rPr>
        <w:footnoteReference w:id="17"/>
      </w:r>
      <w:r w:rsidR="00115699">
        <w:t xml:space="preserve"> The dragon can be interpreted to</w:t>
      </w:r>
      <w:r w:rsidR="000759BB">
        <w:t xml:space="preserve"> be the end</w:t>
      </w:r>
      <w:r w:rsidR="004C1DDA">
        <w:t xml:space="preserve"> of everything, something that can only be defeated with sacrifice and misery</w:t>
      </w:r>
      <w:r w:rsidR="00F801D0">
        <w:t>,</w:t>
      </w:r>
      <w:r w:rsidR="004C1DDA">
        <w:t xml:space="preserve"> </w:t>
      </w:r>
      <w:r w:rsidR="00F801D0">
        <w:t>with</w:t>
      </w:r>
      <w:r w:rsidR="004C1DDA">
        <w:t xml:space="preserve"> death to follow it. </w:t>
      </w:r>
      <w:r w:rsidR="006A7301">
        <w:t>The fight with the dragon can be understood to be a warning to the audience of the evil that exists in the world and what it is capable of.</w:t>
      </w:r>
    </w:p>
    <w:p w14:paraId="4305905C" w14:textId="5C911907" w:rsidR="00424178" w:rsidRDefault="005231FB" w:rsidP="000303E4">
      <w:pPr>
        <w:spacing w:line="360" w:lineRule="auto"/>
        <w:ind w:firstLine="720"/>
        <w:jc w:val="both"/>
      </w:pPr>
      <w:r>
        <w:lastRenderedPageBreak/>
        <w:t>When the dragon first appears</w:t>
      </w:r>
      <w:r w:rsidR="00DA648A">
        <w:t>,</w:t>
      </w:r>
      <w:r>
        <w:t xml:space="preserve"> and starts burning everything in sight, </w:t>
      </w:r>
      <w:r w:rsidR="00195736">
        <w:t xml:space="preserve">the narrative takes an interesting turn where </w:t>
      </w:r>
      <w:r>
        <w:t>Beowulf starts to digress into the past before his f</w:t>
      </w:r>
      <w:r w:rsidR="00454211">
        <w:t xml:space="preserve">inal fight with </w:t>
      </w:r>
      <w:r w:rsidR="009359C7">
        <w:t>the dragon</w:t>
      </w:r>
      <w:r w:rsidR="00454211">
        <w:t>.</w:t>
      </w:r>
      <w:r w:rsidR="00616ED6">
        <w:t xml:space="preserve"> The poet deliberately digresses to past </w:t>
      </w:r>
      <w:r w:rsidR="0014629C">
        <w:t>episodes</w:t>
      </w:r>
      <w:r w:rsidR="00616ED6">
        <w:t xml:space="preserve"> at this point in the narrative </w:t>
      </w:r>
      <w:r w:rsidR="00512717">
        <w:t xml:space="preserve">and this can be understood in a variety of ways </w:t>
      </w:r>
      <w:r w:rsidR="00C34F4D">
        <w:t>as Brooke’s says:</w:t>
      </w:r>
    </w:p>
    <w:p w14:paraId="11CF6C96" w14:textId="572075B9" w:rsidR="00424178" w:rsidRPr="0055109A" w:rsidRDefault="00713B1E" w:rsidP="0055109A">
      <w:pPr>
        <w:spacing w:line="360" w:lineRule="auto"/>
        <w:ind w:left="1440"/>
        <w:jc w:val="both"/>
        <w:rPr>
          <w:sz w:val="18"/>
          <w:szCs w:val="18"/>
        </w:rPr>
      </w:pPr>
      <w:r w:rsidRPr="0055109A">
        <w:rPr>
          <w:sz w:val="18"/>
          <w:szCs w:val="18"/>
        </w:rPr>
        <w:t>[…]</w:t>
      </w:r>
      <w:r w:rsidR="00DA648A" w:rsidRPr="0055109A">
        <w:rPr>
          <w:sz w:val="18"/>
          <w:szCs w:val="18"/>
        </w:rPr>
        <w:t xml:space="preserve"> </w:t>
      </w:r>
      <w:r w:rsidR="00424178" w:rsidRPr="0055109A">
        <w:rPr>
          <w:sz w:val="18"/>
          <w:szCs w:val="18"/>
        </w:rPr>
        <w:t xml:space="preserve">digressions may be very useful and </w:t>
      </w:r>
      <w:r w:rsidR="008723F2" w:rsidRPr="0055109A">
        <w:rPr>
          <w:sz w:val="18"/>
          <w:szCs w:val="18"/>
        </w:rPr>
        <w:t>may contri</w:t>
      </w:r>
      <w:r w:rsidR="00424178" w:rsidRPr="0055109A">
        <w:rPr>
          <w:sz w:val="18"/>
          <w:szCs w:val="18"/>
        </w:rPr>
        <w:t xml:space="preserve">bute to the value of the work of art: they may add to the colouring of </w:t>
      </w:r>
      <w:r w:rsidR="004E1B90" w:rsidRPr="0055109A">
        <w:rPr>
          <w:sz w:val="18"/>
          <w:szCs w:val="18"/>
        </w:rPr>
        <w:t>the poem</w:t>
      </w:r>
      <w:r w:rsidR="00106DA2" w:rsidRPr="0055109A">
        <w:rPr>
          <w:sz w:val="18"/>
          <w:szCs w:val="18"/>
        </w:rPr>
        <w:t xml:space="preserve">, they </w:t>
      </w:r>
      <w:r w:rsidR="00424178" w:rsidRPr="0055109A">
        <w:rPr>
          <w:sz w:val="18"/>
          <w:szCs w:val="18"/>
        </w:rPr>
        <w:t xml:space="preserve">may provide-just as some digressive scenes in a play-a welcome </w:t>
      </w:r>
      <w:r w:rsidR="003C3549" w:rsidRPr="0055109A">
        <w:rPr>
          <w:sz w:val="18"/>
          <w:szCs w:val="18"/>
        </w:rPr>
        <w:t xml:space="preserve">relaxation from a </w:t>
      </w:r>
      <w:r w:rsidR="00424178" w:rsidRPr="0055109A">
        <w:rPr>
          <w:sz w:val="18"/>
          <w:szCs w:val="18"/>
        </w:rPr>
        <w:t>tension; they may also serve as a foil to a given situation and, in s</w:t>
      </w:r>
      <w:r w:rsidR="003C3549" w:rsidRPr="0055109A">
        <w:rPr>
          <w:sz w:val="18"/>
          <w:szCs w:val="18"/>
        </w:rPr>
        <w:t>ome cases</w:t>
      </w:r>
      <w:r w:rsidR="00021EA7" w:rsidRPr="0055109A">
        <w:rPr>
          <w:sz w:val="18"/>
          <w:szCs w:val="18"/>
        </w:rPr>
        <w:t>,</w:t>
      </w:r>
      <w:r w:rsidR="00424178" w:rsidRPr="0055109A">
        <w:rPr>
          <w:sz w:val="18"/>
          <w:szCs w:val="18"/>
        </w:rPr>
        <w:t xml:space="preserve"> possess a symbolic value contributing to the actual effect and </w:t>
      </w:r>
      <w:r w:rsidR="00021EA7" w:rsidRPr="0055109A">
        <w:rPr>
          <w:sz w:val="18"/>
          <w:szCs w:val="18"/>
        </w:rPr>
        <w:t>understanding of the</w:t>
      </w:r>
      <w:r w:rsidR="00424178" w:rsidRPr="0055109A">
        <w:rPr>
          <w:sz w:val="18"/>
          <w:szCs w:val="18"/>
        </w:rPr>
        <w:t xml:space="preserve"> poem itself; all this apart from their intrinsic interest </w:t>
      </w:r>
      <w:r w:rsidRPr="0055109A">
        <w:rPr>
          <w:sz w:val="18"/>
          <w:szCs w:val="18"/>
        </w:rPr>
        <w:t>which</w:t>
      </w:r>
      <w:r w:rsidR="00736F9E" w:rsidRPr="0055109A">
        <w:rPr>
          <w:sz w:val="18"/>
          <w:szCs w:val="18"/>
        </w:rPr>
        <w:t xml:space="preserve"> may be very great.</w:t>
      </w:r>
      <w:r w:rsidR="00736F9E" w:rsidRPr="0055109A">
        <w:rPr>
          <w:rStyle w:val="FootnoteReference"/>
          <w:sz w:val="18"/>
          <w:szCs w:val="18"/>
        </w:rPr>
        <w:footnoteReference w:id="18"/>
      </w:r>
    </w:p>
    <w:p w14:paraId="728377D6" w14:textId="4CF4D6B5" w:rsidR="009603D0" w:rsidRDefault="009359C7" w:rsidP="00A021FC">
      <w:pPr>
        <w:spacing w:line="360" w:lineRule="auto"/>
        <w:ind w:firstLine="720"/>
        <w:jc w:val="both"/>
      </w:pPr>
      <w:r>
        <w:t xml:space="preserve">Beowulf recalls three past </w:t>
      </w:r>
      <w:r w:rsidR="000A7E43">
        <w:t>episodes from his life</w:t>
      </w:r>
      <w:r w:rsidR="00A9760D">
        <w:t xml:space="preserve">. The first from his youth in the household of king </w:t>
      </w:r>
      <w:proofErr w:type="spellStart"/>
      <w:r w:rsidR="00A9760D">
        <w:t>Hrethel</w:t>
      </w:r>
      <w:proofErr w:type="spellEnd"/>
      <w:r w:rsidR="00A9760D">
        <w:t>, who dies of grief</w:t>
      </w:r>
      <w:r w:rsidR="00E45FFF">
        <w:t xml:space="preserve"> </w:t>
      </w:r>
      <w:r w:rsidR="00A9760D">
        <w:t xml:space="preserve">because of the kin killing of </w:t>
      </w:r>
      <w:proofErr w:type="spellStart"/>
      <w:r w:rsidR="00A9760D">
        <w:t>Herebald</w:t>
      </w:r>
      <w:proofErr w:type="spellEnd"/>
      <w:r w:rsidR="00E45FFF">
        <w:t>, his eldest son</w:t>
      </w:r>
      <w:r w:rsidR="005F5E8F">
        <w:t>,</w:t>
      </w:r>
      <w:r w:rsidR="00A9760D">
        <w:t xml:space="preserve"> by his younger brother </w:t>
      </w:r>
      <w:proofErr w:type="spellStart"/>
      <w:r w:rsidR="00A9760D">
        <w:t>Haethcyn</w:t>
      </w:r>
      <w:proofErr w:type="spellEnd"/>
      <w:r w:rsidR="00F801D0">
        <w:t>. T</w:t>
      </w:r>
      <w:r w:rsidR="005F5E8F">
        <w:t xml:space="preserve">he second episode is about the war between the Geats and the Swedes where </w:t>
      </w:r>
      <w:proofErr w:type="spellStart"/>
      <w:r w:rsidR="005F5E8F">
        <w:t>Haethcyn</w:t>
      </w:r>
      <w:proofErr w:type="spellEnd"/>
      <w:r w:rsidR="005F5E8F">
        <w:t>, now King of the Geats is killed</w:t>
      </w:r>
      <w:r w:rsidR="00F801D0">
        <w:t>,</w:t>
      </w:r>
      <w:r w:rsidR="005F5E8F">
        <w:t xml:space="preserve"> and the third episode is Beowulf recalling his victory over the Frisian champion </w:t>
      </w:r>
      <w:proofErr w:type="spellStart"/>
      <w:r w:rsidR="005F5E8F">
        <w:t>Daeghrefn</w:t>
      </w:r>
      <w:proofErr w:type="spellEnd"/>
      <w:r w:rsidR="005F5E8F">
        <w:t xml:space="preserve"> during Hygelac’s last raid.</w:t>
      </w:r>
    </w:p>
    <w:p w14:paraId="7BDF1854" w14:textId="7CA6BB71" w:rsidR="005231FB" w:rsidRDefault="005F5E8F" w:rsidP="000303E4">
      <w:pPr>
        <w:spacing w:line="360" w:lineRule="auto"/>
        <w:ind w:firstLine="720"/>
        <w:jc w:val="both"/>
      </w:pPr>
      <w:r>
        <w:t xml:space="preserve"> </w:t>
      </w:r>
      <w:r w:rsidR="00A021FC">
        <w:t>I</w:t>
      </w:r>
      <w:r w:rsidR="00DC0194">
        <w:t xml:space="preserve">t is interesting that the poet </w:t>
      </w:r>
      <w:r w:rsidR="003618F5">
        <w:t xml:space="preserve">brings up </w:t>
      </w:r>
      <w:r w:rsidR="00A021FC">
        <w:t>the past episode about the conflict between the Geats and the Swedes</w:t>
      </w:r>
      <w:r w:rsidR="003618F5">
        <w:t xml:space="preserve">. It must </w:t>
      </w:r>
      <w:r w:rsidR="00F801D0">
        <w:t>hold some significance</w:t>
      </w:r>
      <w:r w:rsidR="003618F5">
        <w:t xml:space="preserve"> to the narrative as DuBois argues</w:t>
      </w:r>
      <w:r w:rsidR="009C1262">
        <w:t>:</w:t>
      </w:r>
    </w:p>
    <w:p w14:paraId="787CC4AB" w14:textId="77777777" w:rsidR="009C1262" w:rsidRDefault="009C1262" w:rsidP="00585AB2">
      <w:pPr>
        <w:spacing w:line="360" w:lineRule="auto"/>
        <w:ind w:left="1440"/>
        <w:jc w:val="both"/>
        <w:rPr>
          <w:sz w:val="18"/>
          <w:szCs w:val="18"/>
          <w:lang w:val="en-US"/>
        </w:rPr>
      </w:pPr>
      <w:r w:rsidRPr="00006B8E">
        <w:rPr>
          <w:sz w:val="18"/>
          <w:szCs w:val="18"/>
          <w:lang w:val="en-US"/>
        </w:rPr>
        <w:t xml:space="preserve">In Beowulf the dragon's hoard is heathen (2276), and cursed (3052), and ancient (2278, 3050). But I find it more significant that the account of the dragon fight is preceded and surrounded by accounts of </w:t>
      </w:r>
      <w:proofErr w:type="spellStart"/>
      <w:r w:rsidRPr="00006B8E">
        <w:rPr>
          <w:sz w:val="18"/>
          <w:szCs w:val="18"/>
          <w:lang w:val="en-US"/>
        </w:rPr>
        <w:t>Geatish</w:t>
      </w:r>
      <w:proofErr w:type="spellEnd"/>
      <w:r w:rsidRPr="00006B8E">
        <w:rPr>
          <w:sz w:val="18"/>
          <w:szCs w:val="18"/>
          <w:lang w:val="en-US"/>
        </w:rPr>
        <w:t xml:space="preserve"> troubles among themselves, of Swedish troubles among themselves, of Danish troubles among themselves, and of </w:t>
      </w:r>
      <w:proofErr w:type="spellStart"/>
      <w:r w:rsidRPr="00006B8E">
        <w:rPr>
          <w:sz w:val="18"/>
          <w:szCs w:val="18"/>
          <w:lang w:val="en-US"/>
        </w:rPr>
        <w:t>Geatish</w:t>
      </w:r>
      <w:proofErr w:type="spellEnd"/>
      <w:r w:rsidRPr="00006B8E">
        <w:rPr>
          <w:sz w:val="18"/>
          <w:szCs w:val="18"/>
          <w:lang w:val="en-US"/>
        </w:rPr>
        <w:t xml:space="preserve"> alliances and wars with Swedes, Danes, and Frisians.</w:t>
      </w:r>
      <w:r w:rsidRPr="00006B8E">
        <w:rPr>
          <w:rStyle w:val="FootnoteReference"/>
          <w:sz w:val="18"/>
          <w:szCs w:val="18"/>
          <w:lang w:val="en-US"/>
        </w:rPr>
        <w:footnoteReference w:id="19"/>
      </w:r>
    </w:p>
    <w:p w14:paraId="736D5E53" w14:textId="7D3A9634" w:rsidR="00A510A7" w:rsidRDefault="00D646D4" w:rsidP="000303E4">
      <w:pPr>
        <w:spacing w:line="360" w:lineRule="auto"/>
        <w:ind w:firstLine="720"/>
        <w:jc w:val="both"/>
      </w:pPr>
      <w:r>
        <w:t>The conflicts and wars between the Geats and the Swedes are brought up three times through the poe</w:t>
      </w:r>
      <w:r w:rsidR="00FD148D">
        <w:t>m, twice before Beowulf fights the dragon</w:t>
      </w:r>
      <w:r>
        <w:t xml:space="preserve"> </w:t>
      </w:r>
      <w:r w:rsidR="00FD148D">
        <w:t xml:space="preserve">and once after he is killed by </w:t>
      </w:r>
      <w:r w:rsidR="00E70372">
        <w:t xml:space="preserve">the dragon. It can be interpreted that these digressions revolve around the dragon episode and bear some </w:t>
      </w:r>
      <w:r w:rsidR="00787F71">
        <w:t>importance</w:t>
      </w:r>
      <w:r w:rsidR="00E70372">
        <w:t xml:space="preserve"> to how the battle ended between Beowulf and the dragon. The audience would be reminded three times of the conflict</w:t>
      </w:r>
      <w:r w:rsidR="00925612">
        <w:t>,</w:t>
      </w:r>
      <w:r w:rsidR="00E70372">
        <w:t xml:space="preserve"> and I think </w:t>
      </w:r>
      <w:r w:rsidR="008E204D">
        <w:t xml:space="preserve">that the digressions act as a warning of what </w:t>
      </w:r>
      <w:r w:rsidR="001E358F">
        <w:t>is to come</w:t>
      </w:r>
      <w:r w:rsidR="008E204D">
        <w:t xml:space="preserve">. After the dragon and Beowulf die, the messenger warns of the feud between the Geats and the Swedes being renewed as there is leader to stop the conflict. Just as the dragon can be understood to be a warning, so can the past digressions for </w:t>
      </w:r>
      <w:r w:rsidR="001E358F">
        <w:t>the future</w:t>
      </w:r>
      <w:r w:rsidR="008E204D">
        <w:t xml:space="preserve">. </w:t>
      </w:r>
      <w:r w:rsidR="00B27269">
        <w:t xml:space="preserve"> </w:t>
      </w:r>
      <w:r w:rsidR="00F908B6">
        <w:t xml:space="preserve">The other past digressions </w:t>
      </w:r>
      <w:r w:rsidR="00AA72F4">
        <w:t xml:space="preserve">such as Beowulf defeating </w:t>
      </w:r>
      <w:proofErr w:type="spellStart"/>
      <w:r w:rsidR="00AA72F4">
        <w:t>Daeghrefn</w:t>
      </w:r>
      <w:proofErr w:type="spellEnd"/>
      <w:r w:rsidR="00AA72F4">
        <w:t xml:space="preserve"> during </w:t>
      </w:r>
      <w:proofErr w:type="spellStart"/>
      <w:r w:rsidR="00AA72F4">
        <w:t>Hygelacs’s</w:t>
      </w:r>
      <w:proofErr w:type="spellEnd"/>
      <w:r w:rsidR="00AA72F4">
        <w:t xml:space="preserve"> raid serve a purpose. From my interpretation, these digressions are to highlight the </w:t>
      </w:r>
      <w:r w:rsidR="00DA648A">
        <w:t>Anglo</w:t>
      </w:r>
      <w:r w:rsidR="00274F53">
        <w:t>-</w:t>
      </w:r>
      <w:r w:rsidR="00DA648A">
        <w:t>S</w:t>
      </w:r>
      <w:r w:rsidR="00AA72F4">
        <w:t>axon heroism</w:t>
      </w:r>
      <w:r w:rsidR="00BF1258">
        <w:t>, to give the poem the extra level of depth</w:t>
      </w:r>
      <w:r w:rsidR="00C16754">
        <w:t xml:space="preserve"> to the audience. </w:t>
      </w:r>
      <w:r w:rsidR="00AA72F4">
        <w:t xml:space="preserve">The poem does this by showing Beowulf’s strength and honour when he defeats a powerful foe in battle. There are also similarities in Beowulf to other </w:t>
      </w:r>
      <w:r w:rsidR="003A73CA">
        <w:t>Anglo</w:t>
      </w:r>
      <w:r w:rsidR="00274F53">
        <w:t>-</w:t>
      </w:r>
      <w:r w:rsidR="003A73CA">
        <w:t>Saxon</w:t>
      </w:r>
      <w:r w:rsidR="00AA72F4">
        <w:t xml:space="preserve"> heroic poems such as </w:t>
      </w:r>
      <w:r w:rsidR="00AA72F4">
        <w:rPr>
          <w:i/>
        </w:rPr>
        <w:t xml:space="preserve">The Battle of </w:t>
      </w:r>
      <w:proofErr w:type="spellStart"/>
      <w:r w:rsidR="00AA72F4">
        <w:rPr>
          <w:i/>
        </w:rPr>
        <w:t>Maldon</w:t>
      </w:r>
      <w:proofErr w:type="spellEnd"/>
      <w:r w:rsidR="00AA72F4">
        <w:rPr>
          <w:i/>
        </w:rPr>
        <w:t xml:space="preserve"> </w:t>
      </w:r>
      <w:r w:rsidR="00DC7000">
        <w:t xml:space="preserve">where </w:t>
      </w:r>
      <w:r w:rsidR="001E358F">
        <w:t xml:space="preserve">the </w:t>
      </w:r>
      <w:r w:rsidR="00DC7000">
        <w:lastRenderedPageBreak/>
        <w:t xml:space="preserve">hero’s names are brought to the </w:t>
      </w:r>
      <w:r w:rsidR="001E358F">
        <w:t>frontline</w:t>
      </w:r>
      <w:r w:rsidR="001D74C2">
        <w:t>. Whole families</w:t>
      </w:r>
      <w:r w:rsidR="00DC7000">
        <w:t xml:space="preserve"> are named just like </w:t>
      </w:r>
      <w:r w:rsidR="001E358F">
        <w:t xml:space="preserve">in </w:t>
      </w:r>
      <w:r w:rsidR="00DC7000">
        <w:t xml:space="preserve">the digression about the kin killing of </w:t>
      </w:r>
      <w:proofErr w:type="spellStart"/>
      <w:r w:rsidR="00DC7000">
        <w:t>Herebald</w:t>
      </w:r>
      <w:proofErr w:type="spellEnd"/>
      <w:r w:rsidR="00DC7000">
        <w:t xml:space="preserve"> and Hygelac’s death. The poem would </w:t>
      </w:r>
      <w:r w:rsidR="00DA648A">
        <w:t xml:space="preserve">have </w:t>
      </w:r>
      <w:r w:rsidR="00DC7000">
        <w:t>passed on in oral form so these names would be remembered by listeners.</w:t>
      </w:r>
    </w:p>
    <w:p w14:paraId="7906B153" w14:textId="4F8233A5" w:rsidR="00EF2487" w:rsidRDefault="00A510A7" w:rsidP="00856B2D">
      <w:pPr>
        <w:spacing w:line="360" w:lineRule="auto"/>
        <w:ind w:firstLine="720"/>
        <w:jc w:val="both"/>
      </w:pPr>
      <w:r>
        <w:t xml:space="preserve">Another important part in the dragon episode </w:t>
      </w:r>
      <w:r w:rsidR="003462D6">
        <w:t xml:space="preserve">is the actual slaying of the dragon with Beowulf’s </w:t>
      </w:r>
      <w:r w:rsidR="000A1F59">
        <w:t xml:space="preserve">only </w:t>
      </w:r>
      <w:r w:rsidR="003462D6">
        <w:t>loyal companion Wiglaf</w:t>
      </w:r>
      <w:r w:rsidR="003B4795">
        <w:t xml:space="preserve">, who </w:t>
      </w:r>
      <w:r w:rsidR="001E358F">
        <w:t>does not</w:t>
      </w:r>
      <w:r w:rsidR="003B4795">
        <w:t xml:space="preserve"> abandon him like all his other men during the battle </w:t>
      </w:r>
      <w:r w:rsidR="00C16754">
        <w:t>with the</w:t>
      </w:r>
      <w:r w:rsidR="003B4795">
        <w:t xml:space="preserve"> dragon. Wiglaf is introduced </w:t>
      </w:r>
      <w:r w:rsidR="00C16754">
        <w:t>in the poem</w:t>
      </w:r>
      <w:r w:rsidR="003B4795">
        <w:t xml:space="preserve">: ‘He was called Wiglaf, son of </w:t>
      </w:r>
      <w:proofErr w:type="spellStart"/>
      <w:r w:rsidR="003B4795">
        <w:t>Weohstan</w:t>
      </w:r>
      <w:proofErr w:type="spellEnd"/>
      <w:r w:rsidR="003B4795">
        <w:t>, a much-loved shield-fighter, a</w:t>
      </w:r>
      <w:r w:rsidR="00456EF3">
        <w:t xml:space="preserve"> prince of the </w:t>
      </w:r>
      <w:proofErr w:type="spellStart"/>
      <w:r w:rsidR="00456EF3">
        <w:t>Scylfings</w:t>
      </w:r>
      <w:proofErr w:type="spellEnd"/>
      <w:r w:rsidR="00DA648A">
        <w:t>, *</w:t>
      </w:r>
      <w:r w:rsidR="00F0423B">
        <w:t xml:space="preserve"> kingsman of </w:t>
      </w:r>
      <w:proofErr w:type="spellStart"/>
      <w:r w:rsidR="007C4D61">
        <w:t>Ælfere</w:t>
      </w:r>
      <w:proofErr w:type="spellEnd"/>
      <w:r w:rsidR="007C4D61">
        <w:t>.’</w:t>
      </w:r>
      <w:r w:rsidR="002F6DC7">
        <w:rPr>
          <w:rStyle w:val="FootnoteReference"/>
        </w:rPr>
        <w:footnoteReference w:id="20"/>
      </w:r>
      <w:r w:rsidR="00272DCC">
        <w:t xml:space="preserve"> Wiglaf is shown to be a brave warrior who honours his lord and fights knowing he may very well die. He is the last of the </w:t>
      </w:r>
      <w:proofErr w:type="spellStart"/>
      <w:r w:rsidR="00151957">
        <w:t>Wægmundings</w:t>
      </w:r>
      <w:proofErr w:type="spellEnd"/>
      <w:r w:rsidR="008048F5">
        <w:t xml:space="preserve"> and </w:t>
      </w:r>
      <w:r w:rsidR="00272DCC">
        <w:t xml:space="preserve">would be admired </w:t>
      </w:r>
      <w:r w:rsidR="008048F5">
        <w:t>for</w:t>
      </w:r>
      <w:r w:rsidR="00272DCC">
        <w:t xml:space="preserve"> his heroic </w:t>
      </w:r>
      <w:r w:rsidR="001D00F1">
        <w:t>attributes</w:t>
      </w:r>
      <w:r w:rsidR="00272DCC">
        <w:t xml:space="preserve"> by an audience</w:t>
      </w:r>
      <w:r w:rsidR="001D00F1">
        <w:t>.</w:t>
      </w:r>
      <w:r w:rsidR="0015420B">
        <w:t xml:space="preserve"> </w:t>
      </w:r>
      <w:r w:rsidR="00735A47">
        <w:t>An important feature</w:t>
      </w:r>
      <w:r w:rsidR="00204919">
        <w:t xml:space="preserve"> </w:t>
      </w:r>
      <w:r w:rsidR="00735A47">
        <w:t xml:space="preserve">when Wiglaf is mentioned is about </w:t>
      </w:r>
      <w:r w:rsidR="001E358F">
        <w:t>the</w:t>
      </w:r>
      <w:r w:rsidR="00735A47">
        <w:t xml:space="preserve"> sword</w:t>
      </w:r>
      <w:r w:rsidR="00932C8A">
        <w:t xml:space="preserve"> </w:t>
      </w:r>
      <w:r w:rsidR="001E358F">
        <w:t>he carries</w:t>
      </w:r>
      <w:r w:rsidR="00932C8A">
        <w:t xml:space="preserve"> as it says</w:t>
      </w:r>
      <w:r w:rsidR="00856B2D">
        <w:t xml:space="preserve">: </w:t>
      </w:r>
    </w:p>
    <w:p w14:paraId="32C00085" w14:textId="74BC17F2" w:rsidR="00AD69D1" w:rsidRPr="00EF2487" w:rsidRDefault="00856B2D" w:rsidP="00EF2487">
      <w:pPr>
        <w:spacing w:line="360" w:lineRule="auto"/>
        <w:ind w:left="1440"/>
        <w:jc w:val="both"/>
        <w:rPr>
          <w:sz w:val="18"/>
          <w:szCs w:val="18"/>
        </w:rPr>
      </w:pPr>
      <w:r w:rsidRPr="00EF2487">
        <w:rPr>
          <w:sz w:val="18"/>
          <w:szCs w:val="18"/>
        </w:rPr>
        <w:t xml:space="preserve">The mention of the sword provides the excuse first for an allusion to the killing of Eanmund through the hostility of his uncle </w:t>
      </w:r>
      <w:proofErr w:type="spellStart"/>
      <w:r w:rsidRPr="00EF2487">
        <w:rPr>
          <w:sz w:val="18"/>
          <w:szCs w:val="18"/>
        </w:rPr>
        <w:t>Onela</w:t>
      </w:r>
      <w:proofErr w:type="spellEnd"/>
      <w:r w:rsidRPr="00EF2487">
        <w:rPr>
          <w:sz w:val="18"/>
          <w:szCs w:val="18"/>
        </w:rPr>
        <w:t xml:space="preserve">; but the central </w:t>
      </w:r>
      <w:proofErr w:type="spellStart"/>
      <w:r w:rsidRPr="00EF2487">
        <w:rPr>
          <w:sz w:val="18"/>
          <w:szCs w:val="18"/>
        </w:rPr>
        <w:t>figuire</w:t>
      </w:r>
      <w:proofErr w:type="spellEnd"/>
      <w:r w:rsidRPr="00EF2487">
        <w:rPr>
          <w:sz w:val="18"/>
          <w:szCs w:val="18"/>
        </w:rPr>
        <w:t xml:space="preserve"> of the little story is </w:t>
      </w:r>
      <w:proofErr w:type="spellStart"/>
      <w:r w:rsidRPr="00EF2487">
        <w:rPr>
          <w:sz w:val="18"/>
          <w:szCs w:val="18"/>
        </w:rPr>
        <w:t>Weohstan</w:t>
      </w:r>
      <w:proofErr w:type="spellEnd"/>
      <w:r w:rsidRPr="00EF2487">
        <w:rPr>
          <w:sz w:val="18"/>
          <w:szCs w:val="18"/>
        </w:rPr>
        <w:t xml:space="preserve">, who throughout plays the part of ideal retainer in slaying the enemy of his lord, presenting the spoil to </w:t>
      </w:r>
      <w:proofErr w:type="spellStart"/>
      <w:r w:rsidRPr="00EF2487">
        <w:rPr>
          <w:sz w:val="18"/>
          <w:szCs w:val="18"/>
        </w:rPr>
        <w:t>Onela</w:t>
      </w:r>
      <w:proofErr w:type="spellEnd"/>
      <w:r w:rsidRPr="00EF2487">
        <w:rPr>
          <w:sz w:val="18"/>
          <w:szCs w:val="18"/>
        </w:rPr>
        <w:t xml:space="preserve">, and receiving it again from </w:t>
      </w:r>
      <w:proofErr w:type="spellStart"/>
      <w:r w:rsidRPr="00EF2487">
        <w:rPr>
          <w:sz w:val="18"/>
          <w:szCs w:val="18"/>
        </w:rPr>
        <w:t>Onela</w:t>
      </w:r>
      <w:proofErr w:type="spellEnd"/>
      <w:r w:rsidRPr="00EF2487">
        <w:rPr>
          <w:sz w:val="18"/>
          <w:szCs w:val="18"/>
        </w:rPr>
        <w:t xml:space="preserve"> as the reward of loyal service.</w:t>
      </w:r>
      <w:r w:rsidR="00BF6423">
        <w:rPr>
          <w:rStyle w:val="FootnoteReference"/>
          <w:sz w:val="18"/>
          <w:szCs w:val="18"/>
        </w:rPr>
        <w:footnoteReference w:id="21"/>
      </w:r>
    </w:p>
    <w:p w14:paraId="4068E5C1" w14:textId="0AA89704" w:rsidR="00272BFB" w:rsidRDefault="007A421F" w:rsidP="00856B2D">
      <w:pPr>
        <w:spacing w:line="360" w:lineRule="auto"/>
        <w:ind w:firstLine="720"/>
        <w:jc w:val="both"/>
      </w:pPr>
      <w:r>
        <w:t xml:space="preserve">The small digression here amongst the battle shows far more that just </w:t>
      </w:r>
      <w:r w:rsidR="001E358F">
        <w:t>the</w:t>
      </w:r>
      <w:r>
        <w:t xml:space="preserve"> sword of Wiglaf. It shows the history of his family and the previously mentioned </w:t>
      </w:r>
      <w:proofErr w:type="spellStart"/>
      <w:r>
        <w:t>Geat</w:t>
      </w:r>
      <w:proofErr w:type="spellEnd"/>
      <w:r>
        <w:t xml:space="preserve"> and Swede conflicts. It</w:t>
      </w:r>
      <w:r w:rsidR="005B07E6">
        <w:t xml:space="preserve"> highlights the </w:t>
      </w:r>
      <w:r w:rsidR="001E358F">
        <w:t>line</w:t>
      </w:r>
      <w:r w:rsidR="00E872C6">
        <w:t>age</w:t>
      </w:r>
      <w:r w:rsidR="005B07E6">
        <w:t xml:space="preserve"> of who</w:t>
      </w:r>
      <w:r w:rsidR="001E358F">
        <w:t>m</w:t>
      </w:r>
      <w:r w:rsidR="005B07E6">
        <w:t xml:space="preserve"> the weapon was presented to and handed down to, making Wiglaf a worthy retainer for the sword and a </w:t>
      </w:r>
      <w:r w:rsidR="00ED40A8">
        <w:t>trusted</w:t>
      </w:r>
      <w:r w:rsidR="005B07E6">
        <w:t xml:space="preserve"> warrior. </w:t>
      </w:r>
      <w:r>
        <w:t xml:space="preserve"> </w:t>
      </w:r>
    </w:p>
    <w:p w14:paraId="05DC9F1F" w14:textId="34ACBFA1" w:rsidR="00107589" w:rsidRDefault="00E8081B" w:rsidP="0034073A">
      <w:pPr>
        <w:spacing w:line="360" w:lineRule="auto"/>
        <w:ind w:firstLine="720"/>
        <w:jc w:val="both"/>
      </w:pPr>
      <w:r>
        <w:t xml:space="preserve">These digressions can be understood </w:t>
      </w:r>
      <w:r w:rsidR="001E358F">
        <w:t>potentially</w:t>
      </w:r>
      <w:r>
        <w:t xml:space="preserve"> as </w:t>
      </w:r>
      <w:r w:rsidR="001E358F">
        <w:t xml:space="preserve">a </w:t>
      </w:r>
      <w:r>
        <w:t xml:space="preserve">way </w:t>
      </w:r>
      <w:r w:rsidR="001E358F">
        <w:t>of</w:t>
      </w:r>
      <w:r>
        <w:t xml:space="preserve"> </w:t>
      </w:r>
      <w:r w:rsidR="0066483F">
        <w:t xml:space="preserve">honouring the last </w:t>
      </w:r>
      <w:r w:rsidR="000061D5">
        <w:t xml:space="preserve">generations </w:t>
      </w:r>
      <w:r w:rsidR="001E358F">
        <w:t>of</w:t>
      </w:r>
      <w:r w:rsidR="000061D5">
        <w:t xml:space="preserve"> </w:t>
      </w:r>
      <w:r w:rsidR="0066483F">
        <w:t>hero’s</w:t>
      </w:r>
      <w:r w:rsidR="000061D5">
        <w:t>,</w:t>
      </w:r>
      <w:r w:rsidR="0066483F">
        <w:t xml:space="preserve"> but </w:t>
      </w:r>
      <w:r w:rsidR="000061D5">
        <w:t xml:space="preserve">paving the </w:t>
      </w:r>
      <w:r w:rsidR="0066483F">
        <w:t>way for a</w:t>
      </w:r>
      <w:r>
        <w:t xml:space="preserve"> new age </w:t>
      </w:r>
      <w:r w:rsidR="0066483F">
        <w:t xml:space="preserve">and new hero’s. Beowulf being one of the last great leaders, while needing </w:t>
      </w:r>
      <w:r w:rsidR="001E358F">
        <w:t>aid</w:t>
      </w:r>
      <w:r w:rsidR="0066483F">
        <w:t xml:space="preserve"> </w:t>
      </w:r>
      <w:r w:rsidR="00170E40">
        <w:t xml:space="preserve">from </w:t>
      </w:r>
      <w:r w:rsidR="0066483F">
        <w:t>Wiglaf</w:t>
      </w:r>
      <w:r w:rsidR="00170E40">
        <w:t>,</w:t>
      </w:r>
      <w:r w:rsidR="0066483F">
        <w:t xml:space="preserve"> a potential successor to defeat a new evil</w:t>
      </w:r>
      <w:r w:rsidR="00170E40">
        <w:t>,</w:t>
      </w:r>
      <w:r w:rsidR="0066483F">
        <w:t xml:space="preserve"> represented by the dragon.</w:t>
      </w:r>
      <w:r w:rsidR="00170E40">
        <w:t xml:space="preserve"> </w:t>
      </w:r>
    </w:p>
    <w:p w14:paraId="6FDD5A64" w14:textId="69A26986" w:rsidR="003462D6" w:rsidRDefault="00F224B8" w:rsidP="008732AB">
      <w:pPr>
        <w:spacing w:line="360" w:lineRule="auto"/>
        <w:ind w:firstLine="720"/>
        <w:jc w:val="both"/>
      </w:pPr>
      <w:r>
        <w:t xml:space="preserve">Beowulf’s character begins to present a frailty in the second half of the poem and the audience starts to get the </w:t>
      </w:r>
      <w:r w:rsidR="001E358F">
        <w:t>impression</w:t>
      </w:r>
      <w:r>
        <w:t xml:space="preserve"> that h</w:t>
      </w:r>
      <w:r w:rsidR="001E358F">
        <w:t>is</w:t>
      </w:r>
      <w:r>
        <w:t xml:space="preserve"> end is coming soon. One of these moments is when he strikes at the </w:t>
      </w:r>
      <w:r w:rsidR="00DA648A">
        <w:t>dragon’s</w:t>
      </w:r>
      <w:r>
        <w:t xml:space="preserve"> head </w:t>
      </w:r>
      <w:r w:rsidR="005F2BF5">
        <w:t>as it says ‘</w:t>
      </w:r>
      <w:proofErr w:type="spellStart"/>
      <w:r w:rsidR="005F2BF5">
        <w:t>Nægling</w:t>
      </w:r>
      <w:proofErr w:type="spellEnd"/>
      <w:r w:rsidR="005F2BF5">
        <w:t xml:space="preserve"> shattered; Beowulf’s sword, old and patterned grey, failed in combat,’</w:t>
      </w:r>
      <w:r w:rsidR="005F2BF5">
        <w:rPr>
          <w:rStyle w:val="FootnoteReference"/>
        </w:rPr>
        <w:footnoteReference w:id="22"/>
      </w:r>
      <w:r w:rsidR="005239C5">
        <w:t xml:space="preserve"> Beowulf is in trouble here and he would have </w:t>
      </w:r>
      <w:r w:rsidR="001E358F">
        <w:t>most certainly</w:t>
      </w:r>
      <w:r w:rsidR="005239C5">
        <w:t xml:space="preserve"> been killed sooner if Wiglaf had not stayed and fought with his lord. </w:t>
      </w:r>
      <w:r w:rsidR="000361E6">
        <w:t xml:space="preserve">Wiglaf sword is described </w:t>
      </w:r>
      <w:r w:rsidR="001E358F">
        <w:t xml:space="preserve">in the poem </w:t>
      </w:r>
      <w:r w:rsidR="000361E6">
        <w:t xml:space="preserve">as the opposite </w:t>
      </w:r>
      <w:r w:rsidR="001E358F">
        <w:t>to Beowulf’s sword:</w:t>
      </w:r>
      <w:r w:rsidR="000361E6">
        <w:t>‘[…] by striking the spiteful creature somewhat lower down, so that the sword, shinning and plated, sank in, so that thereupon the fire began to abate.’</w:t>
      </w:r>
      <w:r w:rsidR="001559F8">
        <w:rPr>
          <w:rStyle w:val="FootnoteReference"/>
        </w:rPr>
        <w:footnoteReference w:id="23"/>
      </w:r>
      <w:r w:rsidR="001559F8">
        <w:t xml:space="preserve"> It can be interpreted that that the contrasts between the swords emphasises </w:t>
      </w:r>
      <w:r w:rsidR="002D205E">
        <w:t>the new age that is dawning and Wiglaf a worthy ruler to succeed Beowulf. The weapons to an Anglo</w:t>
      </w:r>
      <w:r w:rsidR="00274F53">
        <w:t>-</w:t>
      </w:r>
      <w:r w:rsidR="002D205E">
        <w:t xml:space="preserve">Saxon audience can be seen as extensions of the </w:t>
      </w:r>
      <w:r w:rsidR="002D205E">
        <w:lastRenderedPageBreak/>
        <w:t xml:space="preserve">warrior wielding them, and for Beowulf’s to break against such an evil enemy confirms his </w:t>
      </w:r>
      <w:r w:rsidR="001E358F">
        <w:t>end</w:t>
      </w:r>
      <w:r w:rsidR="002D205E">
        <w:t xml:space="preserve"> is near, but at the same time giving hope to the audience through Wiglaf’s </w:t>
      </w:r>
      <w:r w:rsidR="000B5D17">
        <w:t>lineage</w:t>
      </w:r>
      <w:r w:rsidR="004E1159">
        <w:t xml:space="preserve"> </w:t>
      </w:r>
      <w:r w:rsidR="000B5D17">
        <w:t xml:space="preserve">of the </w:t>
      </w:r>
      <w:r w:rsidR="002D205E">
        <w:t xml:space="preserve">ancient </w:t>
      </w:r>
      <w:r w:rsidR="000B5D17">
        <w:t xml:space="preserve">sword. </w:t>
      </w:r>
      <w:r w:rsidR="002D205E">
        <w:t xml:space="preserve"> It is interesting that Wiglaf is the one to find the weakness in the dragon which would allow Beowulf to land the final blow</w:t>
      </w:r>
      <w:r w:rsidR="008732AB">
        <w:t xml:space="preserve">. I think Wiglaf is the one who ultimately destroys the dragon and after Beowulf’s death, takes no credit in this report to the </w:t>
      </w:r>
      <w:r w:rsidR="001E358F">
        <w:t>people</w:t>
      </w:r>
      <w:r w:rsidR="008732AB">
        <w:t xml:space="preserve"> as Bonjour argues </w:t>
      </w:r>
      <w:r w:rsidR="008E64B9">
        <w:t>‘The main purpose of Wiglaf‘s report is to reveal indirectly, but mist vividly, an important aspect of his own character which enhances and in a way completes the portrait thus far presented only through his own heroic actions.’</w:t>
      </w:r>
      <w:r w:rsidR="008E64B9">
        <w:rPr>
          <w:rStyle w:val="FootnoteReference"/>
        </w:rPr>
        <w:footnoteReference w:id="24"/>
      </w:r>
      <w:r w:rsidR="0034073A">
        <w:t xml:space="preserve"> </w:t>
      </w:r>
      <w:r w:rsidR="00650CFE">
        <w:t xml:space="preserve">Wiglaf’s heroic action during and after the battle reveal he is not just a fierce warrior, but a good politician also, just like Beowulf was </w:t>
      </w:r>
      <w:r w:rsidR="00DA5B36">
        <w:t>when</w:t>
      </w:r>
      <w:r w:rsidR="00650CFE">
        <w:t xml:space="preserve"> dealing with the lords and kings. </w:t>
      </w:r>
    </w:p>
    <w:p w14:paraId="662D720A" w14:textId="30392379" w:rsidR="009C1262" w:rsidRPr="00AA72F4" w:rsidRDefault="00A510A7" w:rsidP="00E177D3">
      <w:pPr>
        <w:spacing w:line="360" w:lineRule="auto"/>
        <w:ind w:firstLine="720"/>
        <w:jc w:val="both"/>
      </w:pPr>
      <w:r>
        <w:t xml:space="preserve">The </w:t>
      </w:r>
      <w:r w:rsidR="00624BCC">
        <w:t xml:space="preserve">whole of the </w:t>
      </w:r>
      <w:r>
        <w:t>dragon</w:t>
      </w:r>
      <w:r w:rsidR="001E358F">
        <w:t>-</w:t>
      </w:r>
      <w:r w:rsidR="008732AB">
        <w:t xml:space="preserve">episode highlights </w:t>
      </w:r>
      <w:r w:rsidR="00DA648A">
        <w:t>many</w:t>
      </w:r>
      <w:r w:rsidR="008732AB">
        <w:t xml:space="preserve"> </w:t>
      </w:r>
      <w:r w:rsidR="00624BCC">
        <w:t xml:space="preserve">different interpretations </w:t>
      </w:r>
      <w:r w:rsidR="00157DDD">
        <w:t>and hidden meanings. It just can not simply be viewed as a dragon who kills Beowulf. I think the dragon episode is central to the entire poem as the digressions that are present r</w:t>
      </w:r>
      <w:r w:rsidR="001E358F">
        <w:t>eveal</w:t>
      </w:r>
      <w:r w:rsidR="00157DDD">
        <w:t xml:space="preserve"> so much more history and ancestry</w:t>
      </w:r>
      <w:r w:rsidR="0002783A">
        <w:t xml:space="preserve"> that enrich the text and meaning of how we view </w:t>
      </w:r>
      <w:r w:rsidR="00FE0239">
        <w:t xml:space="preserve">the </w:t>
      </w:r>
      <w:r w:rsidR="0002783A">
        <w:t xml:space="preserve">objects and </w:t>
      </w:r>
      <w:r w:rsidR="00FE0239">
        <w:t xml:space="preserve">the </w:t>
      </w:r>
      <w:r w:rsidR="0002783A">
        <w:t>people. The poem ends with Beowulf’s final speech, but at the same time it feels like a new beginning for Wiglaf</w:t>
      </w:r>
      <w:r w:rsidR="00FE0239">
        <w:t>,</w:t>
      </w:r>
      <w:r w:rsidR="0002783A">
        <w:t xml:space="preserve"> even though now he and his people are exiles</w:t>
      </w:r>
      <w:r w:rsidR="00FE0239">
        <w:t xml:space="preserve"> and can be </w:t>
      </w:r>
      <w:r w:rsidR="0002783A">
        <w:t xml:space="preserve">reminiscent of </w:t>
      </w:r>
      <w:r w:rsidR="0002783A">
        <w:rPr>
          <w:i/>
        </w:rPr>
        <w:t xml:space="preserve">The Last Wanderer. </w:t>
      </w:r>
      <w:r w:rsidR="009E5406">
        <w:t xml:space="preserve">There is a strong connection </w:t>
      </w:r>
      <w:r w:rsidR="00FE0239">
        <w:t>that</w:t>
      </w:r>
      <w:r w:rsidR="009E5406">
        <w:t xml:space="preserve"> echoes </w:t>
      </w:r>
      <w:r w:rsidR="00FE0239">
        <w:t xml:space="preserve">with </w:t>
      </w:r>
      <w:r w:rsidR="009E5406">
        <w:t>other Anglo</w:t>
      </w:r>
      <w:r w:rsidR="00274F53">
        <w:t>-</w:t>
      </w:r>
      <w:r w:rsidR="009E5406">
        <w:t>Saxon heroic poetry</w:t>
      </w:r>
      <w:r w:rsidR="00FE0239">
        <w:t>. S</w:t>
      </w:r>
      <w:r w:rsidR="009E5406">
        <w:t>ome we will never know if it truly existed or not. The purpose of the dragon</w:t>
      </w:r>
      <w:r w:rsidR="00FE0239">
        <w:t>-</w:t>
      </w:r>
      <w:r w:rsidR="009E5406">
        <w:t xml:space="preserve">episode from my understanding is that the heritage of the old </w:t>
      </w:r>
      <w:r w:rsidR="00FE0239">
        <w:t>warriors</w:t>
      </w:r>
      <w:r w:rsidR="009E5406">
        <w:t xml:space="preserve"> is remembered and passed down to the future generations, so that the </w:t>
      </w:r>
      <w:r w:rsidR="00FE0239">
        <w:t>history</w:t>
      </w:r>
      <w:r w:rsidR="009E5406">
        <w:t xml:space="preserve"> will never be forgotten, if they existed at all.   </w:t>
      </w:r>
      <w:r w:rsidR="00157DDD">
        <w:t xml:space="preserve"> </w:t>
      </w:r>
      <w:r w:rsidR="008732AB">
        <w:t xml:space="preserve"> </w:t>
      </w:r>
    </w:p>
    <w:p w14:paraId="3A3CDB38" w14:textId="3E6331C2" w:rsidR="00BA3834" w:rsidRDefault="00BA3834" w:rsidP="00585AB2">
      <w:pPr>
        <w:spacing w:line="360" w:lineRule="auto"/>
        <w:jc w:val="both"/>
        <w:rPr>
          <w:b/>
        </w:rPr>
      </w:pPr>
    </w:p>
    <w:p w14:paraId="3051183C" w14:textId="77777777" w:rsidR="004C007A" w:rsidRPr="004C007A" w:rsidRDefault="004C007A" w:rsidP="00207B3D">
      <w:pPr>
        <w:spacing w:line="360" w:lineRule="auto"/>
        <w:jc w:val="both"/>
      </w:pPr>
    </w:p>
    <w:p w14:paraId="1DE4C198" w14:textId="77777777" w:rsidR="006C2B6F" w:rsidRDefault="006C2B6F" w:rsidP="00207B3D">
      <w:pPr>
        <w:spacing w:line="360" w:lineRule="auto"/>
        <w:jc w:val="both"/>
        <w:rPr>
          <w:b/>
        </w:rPr>
      </w:pPr>
    </w:p>
    <w:p w14:paraId="18DCEFB2" w14:textId="77777777" w:rsidR="006C2B6F" w:rsidRDefault="006C2B6F" w:rsidP="00207B3D">
      <w:pPr>
        <w:spacing w:line="360" w:lineRule="auto"/>
        <w:jc w:val="both"/>
        <w:rPr>
          <w:b/>
        </w:rPr>
      </w:pPr>
    </w:p>
    <w:p w14:paraId="45D5235E" w14:textId="77777777" w:rsidR="006C2B6F" w:rsidRDefault="006C2B6F" w:rsidP="00207B3D">
      <w:pPr>
        <w:spacing w:line="360" w:lineRule="auto"/>
        <w:jc w:val="both"/>
        <w:rPr>
          <w:b/>
        </w:rPr>
      </w:pPr>
    </w:p>
    <w:p w14:paraId="40180469" w14:textId="77777777" w:rsidR="006C2B6F" w:rsidRDefault="006C2B6F" w:rsidP="00207B3D">
      <w:pPr>
        <w:spacing w:line="360" w:lineRule="auto"/>
        <w:jc w:val="both"/>
        <w:rPr>
          <w:b/>
        </w:rPr>
      </w:pPr>
    </w:p>
    <w:p w14:paraId="7D0F1536" w14:textId="77777777" w:rsidR="003A1558" w:rsidRDefault="003A1558" w:rsidP="00207B3D">
      <w:pPr>
        <w:spacing w:line="360" w:lineRule="auto"/>
        <w:jc w:val="both"/>
        <w:rPr>
          <w:b/>
        </w:rPr>
      </w:pPr>
    </w:p>
    <w:p w14:paraId="7F0DC8C1" w14:textId="77777777" w:rsidR="00BA3834" w:rsidRDefault="00BA3834" w:rsidP="00207B3D">
      <w:pPr>
        <w:spacing w:line="360" w:lineRule="auto"/>
        <w:jc w:val="both"/>
        <w:rPr>
          <w:b/>
        </w:rPr>
      </w:pPr>
    </w:p>
    <w:p w14:paraId="5A8AA584" w14:textId="77777777" w:rsidR="00BA3834" w:rsidRDefault="00BA3834" w:rsidP="00207B3D">
      <w:pPr>
        <w:spacing w:line="360" w:lineRule="auto"/>
        <w:jc w:val="both"/>
        <w:rPr>
          <w:b/>
        </w:rPr>
      </w:pPr>
    </w:p>
    <w:p w14:paraId="5AAF71E4" w14:textId="77777777" w:rsidR="00BA3834" w:rsidRDefault="00BA3834" w:rsidP="00207B3D">
      <w:pPr>
        <w:spacing w:line="360" w:lineRule="auto"/>
        <w:jc w:val="both"/>
        <w:rPr>
          <w:b/>
        </w:rPr>
      </w:pPr>
    </w:p>
    <w:p w14:paraId="56849DB6" w14:textId="6CA8988F" w:rsidR="00032B7B" w:rsidRDefault="00032B7B" w:rsidP="00207B3D">
      <w:pPr>
        <w:spacing w:line="360" w:lineRule="auto"/>
        <w:jc w:val="both"/>
        <w:rPr>
          <w:b/>
        </w:rPr>
      </w:pPr>
      <w:r>
        <w:rPr>
          <w:b/>
        </w:rPr>
        <w:t xml:space="preserve">Bibliography </w:t>
      </w:r>
    </w:p>
    <w:p w14:paraId="2DE3EAD7" w14:textId="36219D8D" w:rsidR="00C10033" w:rsidRPr="006B6102" w:rsidRDefault="00C10033" w:rsidP="00207B3D">
      <w:pPr>
        <w:spacing w:line="360" w:lineRule="auto"/>
        <w:jc w:val="both"/>
      </w:pPr>
      <w:r w:rsidRPr="006B6102">
        <w:t xml:space="preserve">Bonjour, Adrien, </w:t>
      </w:r>
      <w:r w:rsidRPr="00DA648A">
        <w:rPr>
          <w:i/>
        </w:rPr>
        <w:t>The Digressions in Beowulf</w:t>
      </w:r>
      <w:r w:rsidRPr="006B6102">
        <w:t>, (Oxford: Blackwell 1970)</w:t>
      </w:r>
    </w:p>
    <w:p w14:paraId="1BB4F30E" w14:textId="77777777" w:rsidR="00C10033" w:rsidRPr="006B6102" w:rsidRDefault="00C10033" w:rsidP="00207B3D">
      <w:pPr>
        <w:spacing w:line="360" w:lineRule="auto"/>
        <w:jc w:val="both"/>
      </w:pPr>
      <w:r w:rsidRPr="006B6102">
        <w:t xml:space="preserve">Bonjour, Adrien. “Monsters Crouching and Critics Rampant: Or the Beowulf Dragon Debated.” </w:t>
      </w:r>
      <w:r w:rsidRPr="00DA648A">
        <w:rPr>
          <w:i/>
        </w:rPr>
        <w:t>PMLA</w:t>
      </w:r>
      <w:r w:rsidRPr="006B6102">
        <w:t xml:space="preserve">, vol. 68, no. 1, </w:t>
      </w:r>
      <w:r>
        <w:t>1953, pp. 304–312. JSTOR,</w:t>
      </w:r>
      <w:r w:rsidRPr="006B6102">
        <w:t xml:space="preserve"> </w:t>
      </w:r>
      <w:r>
        <w:t>&lt;</w:t>
      </w:r>
      <w:hyperlink r:id="rId7" w:history="1">
        <w:r w:rsidRPr="006B6102">
          <w:rPr>
            <w:rStyle w:val="Hyperlink"/>
          </w:rPr>
          <w:t>www.jstor.org/stable/459922</w:t>
        </w:r>
      </w:hyperlink>
      <w:r w:rsidRPr="006B6102">
        <w:t>.</w:t>
      </w:r>
      <w:r>
        <w:t>&gt; [Accessed 4</w:t>
      </w:r>
      <w:r w:rsidRPr="00C10033">
        <w:rPr>
          <w:vertAlign w:val="superscript"/>
        </w:rPr>
        <w:t>th</w:t>
      </w:r>
      <w:r>
        <w:t xml:space="preserve"> May 2018]</w:t>
      </w:r>
    </w:p>
    <w:p w14:paraId="07DD155D" w14:textId="77777777" w:rsidR="00C10033" w:rsidRDefault="00C10033" w:rsidP="00207B3D">
      <w:pPr>
        <w:spacing w:line="360" w:lineRule="auto"/>
        <w:jc w:val="both"/>
      </w:pPr>
      <w:r w:rsidRPr="004E3F8D">
        <w:t xml:space="preserve">Bonjour, Adrien. “The Technique of Parallel Descriptions in Beowulf.” </w:t>
      </w:r>
      <w:r w:rsidRPr="00DA648A">
        <w:rPr>
          <w:i/>
        </w:rPr>
        <w:t>The Review of English Studies</w:t>
      </w:r>
      <w:r w:rsidRPr="004E3F8D">
        <w:t xml:space="preserve">, vol. 2, no. </w:t>
      </w:r>
      <w:r>
        <w:t>5, 1951, pp. 1–10. JSTOR, &lt;</w:t>
      </w:r>
      <w:hyperlink r:id="rId8" w:history="1">
        <w:r w:rsidRPr="009F2C5E">
          <w:rPr>
            <w:rStyle w:val="Hyperlink"/>
          </w:rPr>
          <w:t>www.jstor.org/stable/511904</w:t>
        </w:r>
      </w:hyperlink>
      <w:r>
        <w:t>.&gt; [Accessed 4</w:t>
      </w:r>
      <w:r w:rsidRPr="00C10033">
        <w:rPr>
          <w:vertAlign w:val="superscript"/>
        </w:rPr>
        <w:t>th</w:t>
      </w:r>
      <w:r>
        <w:t xml:space="preserve"> May 2018]</w:t>
      </w:r>
    </w:p>
    <w:p w14:paraId="478949E1" w14:textId="51806691" w:rsidR="00C10033" w:rsidRPr="006B6102" w:rsidRDefault="00C10033" w:rsidP="00207B3D">
      <w:pPr>
        <w:spacing w:line="360" w:lineRule="auto"/>
        <w:jc w:val="both"/>
      </w:pPr>
      <w:r w:rsidRPr="006B6102">
        <w:t xml:space="preserve">Brook, G. L. “The Review of English Studies.” </w:t>
      </w:r>
      <w:r w:rsidRPr="00DA648A">
        <w:rPr>
          <w:i/>
        </w:rPr>
        <w:t>The Review of English Studies</w:t>
      </w:r>
      <w:r w:rsidRPr="006B6102">
        <w:t>, vol. 3, no. 10, 1952, pp. 165–166. JSTOR,</w:t>
      </w:r>
      <w:r>
        <w:t xml:space="preserve"> &lt;</w:t>
      </w:r>
      <w:hyperlink r:id="rId9" w:history="1">
        <w:r w:rsidRPr="006B6102">
          <w:rPr>
            <w:rStyle w:val="Hyperlink"/>
          </w:rPr>
          <w:t>www.jstor.org/stable/510913</w:t>
        </w:r>
      </w:hyperlink>
      <w:r w:rsidRPr="006B6102">
        <w:t>.</w:t>
      </w:r>
      <w:r>
        <w:t xml:space="preserve">&gt; [Accessed </w:t>
      </w:r>
      <w:r w:rsidR="00EE08C3">
        <w:t>3</w:t>
      </w:r>
      <w:r w:rsidR="00EE08C3" w:rsidRPr="00EE08C3">
        <w:rPr>
          <w:vertAlign w:val="superscript"/>
        </w:rPr>
        <w:t>rd</w:t>
      </w:r>
      <w:r w:rsidR="00EE08C3">
        <w:t xml:space="preserve"> </w:t>
      </w:r>
      <w:r>
        <w:t xml:space="preserve"> May 2018]</w:t>
      </w:r>
    </w:p>
    <w:p w14:paraId="78E4264F" w14:textId="27AFB27C" w:rsidR="00C10033" w:rsidRPr="006B6102" w:rsidRDefault="00C10033" w:rsidP="00207B3D">
      <w:pPr>
        <w:spacing w:line="360" w:lineRule="auto"/>
        <w:jc w:val="both"/>
      </w:pPr>
      <w:r w:rsidRPr="006B6102">
        <w:t xml:space="preserve">Calder, Daniel G. “Setting and Ethos: The Pattern of Measure and Limit in ‘Beowulf.’” </w:t>
      </w:r>
      <w:r w:rsidRPr="00DA648A">
        <w:rPr>
          <w:i/>
        </w:rPr>
        <w:t>Studies in Philology</w:t>
      </w:r>
      <w:r w:rsidRPr="006B6102">
        <w:t>, vol. 69, no. 1</w:t>
      </w:r>
      <w:r>
        <w:t>, 1972, pp. 21–37. JSTOR, &lt;</w:t>
      </w:r>
      <w:hyperlink r:id="rId10" w:history="1">
        <w:r w:rsidRPr="006B6102">
          <w:rPr>
            <w:rStyle w:val="Hyperlink"/>
          </w:rPr>
          <w:t>www.jstor.org/stable/4173747</w:t>
        </w:r>
      </w:hyperlink>
      <w:r w:rsidRPr="006B6102">
        <w:t>.</w:t>
      </w:r>
      <w:r>
        <w:t xml:space="preserve">&gt; [Accessed </w:t>
      </w:r>
      <w:r w:rsidR="00EE08C3">
        <w:t>3</w:t>
      </w:r>
      <w:r w:rsidR="00EE08C3" w:rsidRPr="00EE08C3">
        <w:rPr>
          <w:vertAlign w:val="superscript"/>
        </w:rPr>
        <w:t>rd</w:t>
      </w:r>
      <w:r w:rsidR="00EE08C3">
        <w:t xml:space="preserve"> </w:t>
      </w:r>
      <w:r>
        <w:t xml:space="preserve"> May 2018]</w:t>
      </w:r>
    </w:p>
    <w:p w14:paraId="639EA247" w14:textId="0288176E" w:rsidR="00C10033" w:rsidRDefault="00C10033" w:rsidP="00207B3D">
      <w:pPr>
        <w:spacing w:line="360" w:lineRule="auto"/>
        <w:jc w:val="both"/>
      </w:pPr>
      <w:r w:rsidRPr="006B6102">
        <w:t xml:space="preserve">DuBois, Arthur E. “The Dragon in Beowulf.” </w:t>
      </w:r>
      <w:r w:rsidRPr="00DA648A">
        <w:rPr>
          <w:i/>
        </w:rPr>
        <w:t>PMLA</w:t>
      </w:r>
      <w:r w:rsidRPr="006B6102">
        <w:t xml:space="preserve">, vol. 72, no. 5, 1957, pp. 819–822. JSTOR, </w:t>
      </w:r>
      <w:r>
        <w:t>&lt;</w:t>
      </w:r>
      <w:hyperlink r:id="rId11" w:history="1">
        <w:r w:rsidRPr="009F2C5E">
          <w:rPr>
            <w:rStyle w:val="Hyperlink"/>
          </w:rPr>
          <w:t>www.jstor.org/stable/460364</w:t>
        </w:r>
      </w:hyperlink>
      <w:r w:rsidRPr="006B6102">
        <w:t>.</w:t>
      </w:r>
      <w:r>
        <w:t xml:space="preserve">&gt; [Accessed </w:t>
      </w:r>
      <w:r w:rsidR="00EE08C3">
        <w:t>3</w:t>
      </w:r>
      <w:r w:rsidR="00EE08C3" w:rsidRPr="00EE08C3">
        <w:rPr>
          <w:vertAlign w:val="superscript"/>
        </w:rPr>
        <w:t>rd</w:t>
      </w:r>
      <w:r w:rsidR="00EE08C3">
        <w:t xml:space="preserve"> </w:t>
      </w:r>
      <w:r>
        <w:t xml:space="preserve"> May 2018]</w:t>
      </w:r>
    </w:p>
    <w:p w14:paraId="57C4681D" w14:textId="77777777" w:rsidR="00C10033" w:rsidRDefault="00C10033" w:rsidP="00207B3D">
      <w:pPr>
        <w:spacing w:line="360" w:lineRule="auto"/>
        <w:jc w:val="both"/>
      </w:pPr>
      <w:proofErr w:type="spellStart"/>
      <w:r w:rsidRPr="00826CF1">
        <w:t>Kaske</w:t>
      </w:r>
      <w:proofErr w:type="spellEnd"/>
      <w:r w:rsidRPr="00826CF1">
        <w:t>, R. E. “</w:t>
      </w:r>
      <w:proofErr w:type="spellStart"/>
      <w:r w:rsidRPr="00826CF1">
        <w:t>Weohstan's</w:t>
      </w:r>
      <w:proofErr w:type="spellEnd"/>
      <w:r w:rsidRPr="00826CF1">
        <w:t xml:space="preserve"> Sword.” </w:t>
      </w:r>
      <w:r w:rsidRPr="00DA648A">
        <w:rPr>
          <w:i/>
        </w:rPr>
        <w:t>Modern Language Notes</w:t>
      </w:r>
      <w:r w:rsidRPr="00826CF1">
        <w:t>, vol. 75, no. 6, 1</w:t>
      </w:r>
      <w:r>
        <w:t>960, pp. 465–468. JSTOR, &lt;</w:t>
      </w:r>
      <w:hyperlink r:id="rId12" w:history="1">
        <w:r w:rsidRPr="00051783">
          <w:rPr>
            <w:rStyle w:val="Hyperlink"/>
          </w:rPr>
          <w:t>www.jstor.org/stable/3040330</w:t>
        </w:r>
      </w:hyperlink>
      <w:r w:rsidRPr="00826CF1">
        <w:t>.</w:t>
      </w:r>
      <w:r>
        <w:t>&gt; [Accessed 4</w:t>
      </w:r>
      <w:r w:rsidRPr="00C10033">
        <w:rPr>
          <w:vertAlign w:val="superscript"/>
        </w:rPr>
        <w:t>th</w:t>
      </w:r>
      <w:r>
        <w:t xml:space="preserve"> May 2018]</w:t>
      </w:r>
    </w:p>
    <w:p w14:paraId="24DB1713" w14:textId="77777777" w:rsidR="00C10033" w:rsidRPr="006B6102" w:rsidRDefault="00C10033" w:rsidP="00207B3D">
      <w:pPr>
        <w:spacing w:line="360" w:lineRule="auto"/>
        <w:jc w:val="both"/>
      </w:pPr>
      <w:r w:rsidRPr="006B6102">
        <w:t xml:space="preserve">Nicholas Howe. “Modern Philology.” </w:t>
      </w:r>
      <w:r w:rsidRPr="00DA648A">
        <w:rPr>
          <w:i/>
        </w:rPr>
        <w:t>Modern Philology</w:t>
      </w:r>
      <w:r w:rsidRPr="006B6102">
        <w:t xml:space="preserve">, vol. 89, no. 1, 1991, </w:t>
      </w:r>
      <w:r>
        <w:t>pp. 91–94. JSTOR, &lt;</w:t>
      </w:r>
      <w:hyperlink r:id="rId13" w:history="1">
        <w:r w:rsidRPr="006B6102">
          <w:rPr>
            <w:rStyle w:val="Hyperlink"/>
          </w:rPr>
          <w:t>www.jstor.org/stable/438057</w:t>
        </w:r>
      </w:hyperlink>
      <w:r w:rsidRPr="006B6102">
        <w:t>.</w:t>
      </w:r>
      <w:r>
        <w:t>&gt; [Accessed 4</w:t>
      </w:r>
      <w:r w:rsidRPr="00C10033">
        <w:rPr>
          <w:vertAlign w:val="superscript"/>
        </w:rPr>
        <w:t>th</w:t>
      </w:r>
      <w:r>
        <w:t xml:space="preserve"> May 2018]</w:t>
      </w:r>
    </w:p>
    <w:p w14:paraId="0410F505" w14:textId="77777777" w:rsidR="00C10033" w:rsidRPr="006B6102" w:rsidRDefault="00C10033" w:rsidP="00207B3D">
      <w:pPr>
        <w:pStyle w:val="FootnoteText"/>
        <w:spacing w:line="360" w:lineRule="auto"/>
        <w:jc w:val="both"/>
        <w:rPr>
          <w:sz w:val="22"/>
          <w:szCs w:val="22"/>
        </w:rPr>
      </w:pPr>
      <w:r w:rsidRPr="006B6102">
        <w:rPr>
          <w:sz w:val="22"/>
          <w:szCs w:val="22"/>
        </w:rPr>
        <w:t xml:space="preserve">Nicholson, Lewis E., </w:t>
      </w:r>
      <w:r w:rsidRPr="006B6102">
        <w:rPr>
          <w:i/>
          <w:sz w:val="22"/>
          <w:szCs w:val="22"/>
        </w:rPr>
        <w:t xml:space="preserve">An Anthology of Beowulf Criticism, </w:t>
      </w:r>
      <w:r w:rsidRPr="006B6102">
        <w:rPr>
          <w:sz w:val="22"/>
          <w:szCs w:val="22"/>
        </w:rPr>
        <w:t>(London: University of Norte Dame</w:t>
      </w:r>
      <w:r>
        <w:rPr>
          <w:sz w:val="22"/>
          <w:szCs w:val="22"/>
        </w:rPr>
        <w:t>,</w:t>
      </w:r>
      <w:r w:rsidRPr="006B6102">
        <w:rPr>
          <w:sz w:val="22"/>
          <w:szCs w:val="22"/>
        </w:rPr>
        <w:t xml:space="preserve"> 1963)</w:t>
      </w:r>
    </w:p>
    <w:p w14:paraId="19946E60" w14:textId="77777777" w:rsidR="00C10033" w:rsidRPr="006B6102" w:rsidRDefault="00C10033" w:rsidP="00207B3D">
      <w:pPr>
        <w:spacing w:line="360" w:lineRule="auto"/>
        <w:jc w:val="both"/>
      </w:pPr>
      <w:r w:rsidRPr="006B6102">
        <w:t xml:space="preserve">Simpson, Jacqueline. “Folklore.” </w:t>
      </w:r>
      <w:r w:rsidRPr="00DA648A">
        <w:rPr>
          <w:i/>
        </w:rPr>
        <w:t>Folklore</w:t>
      </w:r>
      <w:r w:rsidRPr="006B6102">
        <w:t xml:space="preserve">, vol. 113, no. 2, </w:t>
      </w:r>
      <w:r>
        <w:t>2002, pp. 281–281. JSTOR,</w:t>
      </w:r>
      <w:r w:rsidRPr="006B6102">
        <w:t xml:space="preserve"> </w:t>
      </w:r>
      <w:r>
        <w:t>&lt;</w:t>
      </w:r>
      <w:hyperlink r:id="rId14" w:history="1">
        <w:r w:rsidRPr="006B6102">
          <w:rPr>
            <w:rStyle w:val="Hyperlink"/>
          </w:rPr>
          <w:t>www.jstor.org/stable/1260690</w:t>
        </w:r>
      </w:hyperlink>
      <w:r w:rsidRPr="006B6102">
        <w:t>.</w:t>
      </w:r>
      <w:r>
        <w:t>&gt; [Accessed 4</w:t>
      </w:r>
      <w:r w:rsidRPr="00C10033">
        <w:rPr>
          <w:vertAlign w:val="superscript"/>
        </w:rPr>
        <w:t>th</w:t>
      </w:r>
      <w:r>
        <w:t xml:space="preserve"> May 2018]</w:t>
      </w:r>
    </w:p>
    <w:p w14:paraId="6E5B1D22" w14:textId="77777777" w:rsidR="00C10033" w:rsidRDefault="00C10033" w:rsidP="00207B3D">
      <w:pPr>
        <w:spacing w:line="360" w:lineRule="auto"/>
        <w:jc w:val="both"/>
      </w:pPr>
      <w:r w:rsidRPr="006B6102">
        <w:t xml:space="preserve">Swanton, M., ed., </w:t>
      </w:r>
      <w:r w:rsidRPr="006B6102">
        <w:rPr>
          <w:i/>
        </w:rPr>
        <w:t>Beowulf,</w:t>
      </w:r>
      <w:r w:rsidRPr="006B6102">
        <w:t xml:space="preserve"> Manchester Medieval Classics (Manchester: University press 1978; </w:t>
      </w:r>
      <w:proofErr w:type="spellStart"/>
      <w:r w:rsidRPr="006B6102">
        <w:t>rpr</w:t>
      </w:r>
      <w:proofErr w:type="spellEnd"/>
      <w:r w:rsidRPr="006B6102">
        <w:t>., 1994)</w:t>
      </w:r>
    </w:p>
    <w:p w14:paraId="38798D66" w14:textId="77777777" w:rsidR="00364055" w:rsidRPr="006B6102" w:rsidRDefault="0059075D" w:rsidP="00207B3D">
      <w:pPr>
        <w:spacing w:line="360" w:lineRule="auto"/>
        <w:jc w:val="both"/>
      </w:pPr>
      <w:r w:rsidRPr="006B6102">
        <w:t xml:space="preserve">Tripp, Raymond P. “The Modern Language Review.” </w:t>
      </w:r>
      <w:r w:rsidRPr="00DA648A">
        <w:rPr>
          <w:i/>
        </w:rPr>
        <w:t>The Modern Language Review</w:t>
      </w:r>
      <w:r w:rsidRPr="006B6102">
        <w:t xml:space="preserve">, vol. 98, no. 1, 2003, pp. 151–153. </w:t>
      </w:r>
      <w:r w:rsidR="00C10033">
        <w:t>JSTOR,</w:t>
      </w:r>
      <w:r w:rsidR="00C10033" w:rsidRPr="006B6102">
        <w:t xml:space="preserve"> </w:t>
      </w:r>
      <w:r w:rsidR="00C10033">
        <w:t>&lt;</w:t>
      </w:r>
      <w:hyperlink r:id="rId15" w:history="1">
        <w:r w:rsidR="00A87DDD" w:rsidRPr="006B6102">
          <w:rPr>
            <w:rStyle w:val="Hyperlink"/>
          </w:rPr>
          <w:t>www.jstor.org/stable/3738182</w:t>
        </w:r>
      </w:hyperlink>
      <w:r w:rsidR="00C10033" w:rsidRPr="006B6102">
        <w:t>.</w:t>
      </w:r>
      <w:r w:rsidR="00C10033">
        <w:t>&gt;</w:t>
      </w:r>
      <w:r w:rsidR="00C10033" w:rsidRPr="00C10033">
        <w:t xml:space="preserve"> </w:t>
      </w:r>
      <w:r w:rsidR="00C10033">
        <w:t>[Accessed 4</w:t>
      </w:r>
      <w:r w:rsidR="00C10033" w:rsidRPr="00C10033">
        <w:rPr>
          <w:vertAlign w:val="superscript"/>
        </w:rPr>
        <w:t>th</w:t>
      </w:r>
      <w:r w:rsidR="00C10033">
        <w:t xml:space="preserve"> May 2018]</w:t>
      </w:r>
    </w:p>
    <w:p w14:paraId="2A325933" w14:textId="77777777" w:rsidR="00364055" w:rsidRPr="006B6102" w:rsidRDefault="00364055" w:rsidP="00207B3D">
      <w:pPr>
        <w:spacing w:line="360" w:lineRule="auto"/>
        <w:jc w:val="both"/>
      </w:pPr>
      <w:r w:rsidRPr="006B6102">
        <w:t xml:space="preserve">Tripp, Raymond P. “The Restoration of ‘Beowulf’ 2781a: ‘Hāt Ne </w:t>
      </w:r>
      <w:proofErr w:type="spellStart"/>
      <w:r w:rsidRPr="006B6102">
        <w:t>Forhogode</w:t>
      </w:r>
      <w:proofErr w:type="spellEnd"/>
      <w:r w:rsidRPr="006B6102">
        <w:t xml:space="preserve">’ (‘Did Not Despise Heat’).” </w:t>
      </w:r>
      <w:r w:rsidRPr="00DA648A">
        <w:rPr>
          <w:i/>
        </w:rPr>
        <w:t>Modern Philology</w:t>
      </w:r>
      <w:r w:rsidRPr="006B6102">
        <w:t xml:space="preserve">, vol. 78, no. 2, 1980, pp. 153–158. </w:t>
      </w:r>
      <w:r w:rsidR="00C10033">
        <w:t>JSTOR,</w:t>
      </w:r>
      <w:r w:rsidR="00C10033" w:rsidRPr="006B6102">
        <w:t xml:space="preserve"> </w:t>
      </w:r>
      <w:r w:rsidR="00C10033">
        <w:t>&lt;</w:t>
      </w:r>
      <w:hyperlink r:id="rId16" w:history="1">
        <w:r w:rsidR="004D6194" w:rsidRPr="006B6102">
          <w:rPr>
            <w:rStyle w:val="Hyperlink"/>
          </w:rPr>
          <w:t>www.jstor.org/stable/437646</w:t>
        </w:r>
      </w:hyperlink>
      <w:r w:rsidR="00C10033" w:rsidRPr="006B6102">
        <w:t>.</w:t>
      </w:r>
      <w:r w:rsidR="00C10033">
        <w:t>&gt; [Accessed 4</w:t>
      </w:r>
      <w:r w:rsidR="00C10033" w:rsidRPr="00C10033">
        <w:rPr>
          <w:vertAlign w:val="superscript"/>
        </w:rPr>
        <w:t>th</w:t>
      </w:r>
      <w:r w:rsidR="00C10033">
        <w:t xml:space="preserve"> May 2018]</w:t>
      </w:r>
    </w:p>
    <w:p w14:paraId="6894B684" w14:textId="77777777" w:rsidR="00C10033" w:rsidRDefault="00C10033" w:rsidP="00207B3D">
      <w:pPr>
        <w:spacing w:line="360" w:lineRule="auto"/>
        <w:jc w:val="both"/>
      </w:pPr>
      <w:proofErr w:type="spellStart"/>
      <w:r w:rsidRPr="00A3124C">
        <w:lastRenderedPageBreak/>
        <w:t>Whallon</w:t>
      </w:r>
      <w:proofErr w:type="spellEnd"/>
      <w:r w:rsidRPr="00A3124C">
        <w:t xml:space="preserve">, William. “The Christianity of ‘Beowulf.’” </w:t>
      </w:r>
      <w:r w:rsidRPr="00DA648A">
        <w:rPr>
          <w:i/>
        </w:rPr>
        <w:t>Modern Philology</w:t>
      </w:r>
      <w:r w:rsidRPr="00A3124C">
        <w:t>, vol. 60, no. 2</w:t>
      </w:r>
      <w:r>
        <w:t>, 1962, pp. 81–94. JSTOR,</w:t>
      </w:r>
      <w:r w:rsidRPr="00A3124C">
        <w:t xml:space="preserve"> </w:t>
      </w:r>
      <w:r>
        <w:t>&lt;</w:t>
      </w:r>
      <w:hyperlink r:id="rId17" w:history="1">
        <w:r w:rsidRPr="00051783">
          <w:rPr>
            <w:rStyle w:val="Hyperlink"/>
          </w:rPr>
          <w:t>www.jstor.org/stable/434846</w:t>
        </w:r>
      </w:hyperlink>
      <w:r w:rsidRPr="00A3124C">
        <w:t>.</w:t>
      </w:r>
      <w:r>
        <w:t>&gt; [Accessed 4</w:t>
      </w:r>
      <w:r w:rsidRPr="00C10033">
        <w:rPr>
          <w:vertAlign w:val="superscript"/>
        </w:rPr>
        <w:t>th</w:t>
      </w:r>
      <w:r>
        <w:t xml:space="preserve"> May 2018]</w:t>
      </w:r>
    </w:p>
    <w:p w14:paraId="06BDCD3F" w14:textId="1D59348E" w:rsidR="004E3F8D" w:rsidRPr="006B6102" w:rsidRDefault="004E3F8D" w:rsidP="00207B3D">
      <w:pPr>
        <w:spacing w:line="360" w:lineRule="auto"/>
        <w:jc w:val="both"/>
      </w:pPr>
    </w:p>
    <w:sectPr w:rsidR="004E3F8D" w:rsidRPr="006B6102">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39732D" w14:textId="77777777" w:rsidR="00E7675C" w:rsidRDefault="00E7675C" w:rsidP="004F00C3">
      <w:pPr>
        <w:spacing w:after="0" w:line="240" w:lineRule="auto"/>
      </w:pPr>
      <w:r>
        <w:separator/>
      </w:r>
    </w:p>
  </w:endnote>
  <w:endnote w:type="continuationSeparator" w:id="0">
    <w:p w14:paraId="5548EBAB" w14:textId="77777777" w:rsidR="00E7675C" w:rsidRDefault="00E7675C" w:rsidP="004F00C3">
      <w:pPr>
        <w:spacing w:after="0" w:line="240" w:lineRule="auto"/>
      </w:pPr>
      <w:r>
        <w:continuationSeparator/>
      </w:r>
    </w:p>
  </w:endnote>
  <w:endnote w:type="continuationNotice" w:id="1">
    <w:p w14:paraId="525F1ED1" w14:textId="77777777" w:rsidR="00E7675C" w:rsidRDefault="00E767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886151"/>
      <w:docPartObj>
        <w:docPartGallery w:val="Page Numbers (Bottom of Page)"/>
        <w:docPartUnique/>
      </w:docPartObj>
    </w:sdtPr>
    <w:sdtEndPr>
      <w:rPr>
        <w:noProof/>
      </w:rPr>
    </w:sdtEndPr>
    <w:sdtContent>
      <w:p w14:paraId="318C89D9" w14:textId="2296561D" w:rsidR="004F00C3" w:rsidRDefault="004F00C3">
        <w:pPr>
          <w:pStyle w:val="Footer"/>
          <w:jc w:val="right"/>
        </w:pPr>
        <w:r>
          <w:fldChar w:fldCharType="begin"/>
        </w:r>
        <w:r>
          <w:instrText xml:space="preserve"> PAGE   \* MERGEFORMAT </w:instrText>
        </w:r>
        <w:r>
          <w:fldChar w:fldCharType="separate"/>
        </w:r>
        <w:r w:rsidR="00C21416">
          <w:rPr>
            <w:noProof/>
          </w:rPr>
          <w:t>1</w:t>
        </w:r>
        <w:r>
          <w:rPr>
            <w:noProof/>
          </w:rPr>
          <w:fldChar w:fldCharType="end"/>
        </w:r>
      </w:p>
    </w:sdtContent>
  </w:sdt>
  <w:p w14:paraId="779109D1" w14:textId="77777777" w:rsidR="004F00C3" w:rsidRDefault="004F00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869D48" w14:textId="77777777" w:rsidR="00E7675C" w:rsidRDefault="00E7675C" w:rsidP="004F00C3">
      <w:pPr>
        <w:spacing w:after="0" w:line="240" w:lineRule="auto"/>
      </w:pPr>
      <w:r>
        <w:separator/>
      </w:r>
    </w:p>
  </w:footnote>
  <w:footnote w:type="continuationSeparator" w:id="0">
    <w:p w14:paraId="4C2E5FFC" w14:textId="77777777" w:rsidR="00E7675C" w:rsidRDefault="00E7675C" w:rsidP="004F00C3">
      <w:pPr>
        <w:spacing w:after="0" w:line="240" w:lineRule="auto"/>
      </w:pPr>
      <w:r>
        <w:continuationSeparator/>
      </w:r>
    </w:p>
  </w:footnote>
  <w:footnote w:type="continuationNotice" w:id="1">
    <w:p w14:paraId="6D35C930" w14:textId="77777777" w:rsidR="00E7675C" w:rsidRDefault="00E7675C">
      <w:pPr>
        <w:spacing w:after="0" w:line="240" w:lineRule="auto"/>
      </w:pPr>
    </w:p>
  </w:footnote>
  <w:footnote w:id="2">
    <w:p w14:paraId="2CEB0FB2" w14:textId="77777777" w:rsidR="00B81FA6" w:rsidRPr="00B54269" w:rsidRDefault="00B81FA6">
      <w:pPr>
        <w:pStyle w:val="FootnoteText"/>
        <w:rPr>
          <w:sz w:val="16"/>
          <w:szCs w:val="16"/>
        </w:rPr>
      </w:pPr>
      <w:r>
        <w:rPr>
          <w:rStyle w:val="FootnoteReference"/>
        </w:rPr>
        <w:footnoteRef/>
      </w:r>
      <w:r>
        <w:t xml:space="preserve"> </w:t>
      </w:r>
      <w:r>
        <w:rPr>
          <w:sz w:val="16"/>
          <w:szCs w:val="16"/>
        </w:rPr>
        <w:t xml:space="preserve">Lewis E. Nicholson, </w:t>
      </w:r>
      <w:r>
        <w:rPr>
          <w:i/>
          <w:sz w:val="16"/>
          <w:szCs w:val="16"/>
        </w:rPr>
        <w:t xml:space="preserve">An Anthology of Beowulf Criticism, </w:t>
      </w:r>
      <w:r>
        <w:rPr>
          <w:sz w:val="16"/>
          <w:szCs w:val="16"/>
        </w:rPr>
        <w:t>(London: University of Norte Dame 1963)</w:t>
      </w:r>
    </w:p>
  </w:footnote>
  <w:footnote w:id="3">
    <w:p w14:paraId="2990D578" w14:textId="0D59D82D" w:rsidR="00F1387A" w:rsidRPr="00A87DDD" w:rsidRDefault="00F1387A">
      <w:pPr>
        <w:pStyle w:val="FootnoteText"/>
        <w:rPr>
          <w:sz w:val="16"/>
          <w:szCs w:val="16"/>
        </w:rPr>
      </w:pPr>
      <w:r>
        <w:rPr>
          <w:rStyle w:val="FootnoteReference"/>
        </w:rPr>
        <w:footnoteRef/>
      </w:r>
      <w:r>
        <w:t xml:space="preserve"> </w:t>
      </w:r>
      <w:r w:rsidRPr="00A87DDD">
        <w:rPr>
          <w:sz w:val="16"/>
          <w:szCs w:val="16"/>
        </w:rPr>
        <w:t>Daniel G., Calder, “Setting and Ethos: The Pattern of Measure and Limit in ‘Beowulf.’</w:t>
      </w:r>
      <w:r w:rsidRPr="003A73CA">
        <w:rPr>
          <w:i/>
          <w:sz w:val="16"/>
          <w:szCs w:val="16"/>
        </w:rPr>
        <w:t>” Studies in Philology</w:t>
      </w:r>
      <w:r w:rsidRPr="00A87DDD">
        <w:rPr>
          <w:sz w:val="16"/>
          <w:szCs w:val="16"/>
        </w:rPr>
        <w:t xml:space="preserve">, vol. 69, no. 1, 1972, pp. 21–37. </w:t>
      </w:r>
      <w:r w:rsidR="00F92E97">
        <w:rPr>
          <w:sz w:val="16"/>
          <w:szCs w:val="16"/>
        </w:rPr>
        <w:t>JSTOR, &lt;</w:t>
      </w:r>
      <w:hyperlink r:id="rId1" w:history="1">
        <w:r w:rsidR="00F92E97" w:rsidRPr="009F2C5E">
          <w:rPr>
            <w:rStyle w:val="Hyperlink"/>
            <w:sz w:val="16"/>
            <w:szCs w:val="16"/>
          </w:rPr>
          <w:t>www.jstor.org/stable/4173747.</w:t>
        </w:r>
      </w:hyperlink>
      <w:r w:rsidR="00F92E97">
        <w:rPr>
          <w:sz w:val="16"/>
          <w:szCs w:val="16"/>
        </w:rPr>
        <w:t xml:space="preserve">&gt; </w:t>
      </w:r>
      <w:r w:rsidR="00F92E97" w:rsidRPr="00C10033">
        <w:rPr>
          <w:sz w:val="16"/>
          <w:szCs w:val="16"/>
        </w:rPr>
        <w:t>[Accessed</w:t>
      </w:r>
      <w:r w:rsidR="00F92E97">
        <w:rPr>
          <w:sz w:val="16"/>
          <w:szCs w:val="16"/>
        </w:rPr>
        <w:t xml:space="preserve"> 3</w:t>
      </w:r>
      <w:r w:rsidR="00F92E97" w:rsidRPr="00EE08C3">
        <w:rPr>
          <w:sz w:val="16"/>
          <w:szCs w:val="16"/>
          <w:vertAlign w:val="superscript"/>
        </w:rPr>
        <w:t>rd</w:t>
      </w:r>
      <w:r w:rsidR="00F92E97">
        <w:rPr>
          <w:sz w:val="16"/>
          <w:szCs w:val="16"/>
        </w:rPr>
        <w:t xml:space="preserve"> </w:t>
      </w:r>
      <w:r w:rsidR="00F92E97" w:rsidRPr="00C10033">
        <w:rPr>
          <w:sz w:val="16"/>
          <w:szCs w:val="16"/>
        </w:rPr>
        <w:t>May 2018]</w:t>
      </w:r>
    </w:p>
  </w:footnote>
  <w:footnote w:id="4">
    <w:p w14:paraId="76821AC3" w14:textId="6FD6CB57" w:rsidR="00355542" w:rsidRPr="00582691" w:rsidRDefault="00355542">
      <w:pPr>
        <w:pStyle w:val="FootnoteText"/>
        <w:rPr>
          <w:sz w:val="16"/>
          <w:szCs w:val="16"/>
        </w:rPr>
      </w:pPr>
      <w:r>
        <w:rPr>
          <w:rStyle w:val="FootnoteReference"/>
        </w:rPr>
        <w:footnoteRef/>
      </w:r>
      <w:r>
        <w:t xml:space="preserve"> </w:t>
      </w:r>
      <w:r w:rsidRPr="00582691">
        <w:rPr>
          <w:sz w:val="16"/>
          <w:szCs w:val="16"/>
        </w:rPr>
        <w:t>G. L</w:t>
      </w:r>
      <w:r>
        <w:rPr>
          <w:sz w:val="16"/>
          <w:szCs w:val="16"/>
        </w:rPr>
        <w:t>. Brook,</w:t>
      </w:r>
      <w:r w:rsidRPr="00582691">
        <w:rPr>
          <w:sz w:val="16"/>
          <w:szCs w:val="16"/>
        </w:rPr>
        <w:t xml:space="preserve"> “The Review of English Studies.” </w:t>
      </w:r>
      <w:r w:rsidRPr="003A73CA">
        <w:rPr>
          <w:i/>
          <w:sz w:val="16"/>
          <w:szCs w:val="16"/>
        </w:rPr>
        <w:t>The Review of English Studies</w:t>
      </w:r>
      <w:r w:rsidRPr="00582691">
        <w:rPr>
          <w:sz w:val="16"/>
          <w:szCs w:val="16"/>
        </w:rPr>
        <w:t xml:space="preserve">, vol. 3, no. 10, 1952, pp. 165–166. </w:t>
      </w:r>
      <w:r w:rsidR="00F92E97">
        <w:rPr>
          <w:sz w:val="16"/>
          <w:szCs w:val="16"/>
        </w:rPr>
        <w:t>JSTOR,</w:t>
      </w:r>
      <w:r w:rsidR="00F92E97" w:rsidRPr="00582691">
        <w:rPr>
          <w:sz w:val="16"/>
          <w:szCs w:val="16"/>
        </w:rPr>
        <w:t xml:space="preserve"> </w:t>
      </w:r>
      <w:r w:rsidR="00F92E97">
        <w:rPr>
          <w:sz w:val="16"/>
          <w:szCs w:val="16"/>
        </w:rPr>
        <w:t>&lt;</w:t>
      </w:r>
      <w:hyperlink r:id="rId2" w:history="1">
        <w:r w:rsidR="00F92E97" w:rsidRPr="009F2C5E">
          <w:rPr>
            <w:rStyle w:val="Hyperlink"/>
            <w:sz w:val="16"/>
            <w:szCs w:val="16"/>
          </w:rPr>
          <w:t>www.jstor.org/stable/510913</w:t>
        </w:r>
      </w:hyperlink>
      <w:r w:rsidR="00F92E97" w:rsidRPr="00582691">
        <w:rPr>
          <w:sz w:val="16"/>
          <w:szCs w:val="16"/>
        </w:rPr>
        <w:t>.</w:t>
      </w:r>
      <w:r w:rsidR="00F92E97">
        <w:rPr>
          <w:sz w:val="16"/>
          <w:szCs w:val="16"/>
        </w:rPr>
        <w:t xml:space="preserve">&gt; </w:t>
      </w:r>
      <w:r w:rsidR="00F92E97" w:rsidRPr="00C10033">
        <w:rPr>
          <w:sz w:val="16"/>
          <w:szCs w:val="16"/>
        </w:rPr>
        <w:t xml:space="preserve">[Accessed </w:t>
      </w:r>
      <w:r w:rsidR="00F92E97">
        <w:rPr>
          <w:sz w:val="16"/>
          <w:szCs w:val="16"/>
        </w:rPr>
        <w:t>3</w:t>
      </w:r>
      <w:r w:rsidR="00F92E97" w:rsidRPr="00EE08C3">
        <w:rPr>
          <w:sz w:val="16"/>
          <w:szCs w:val="16"/>
          <w:vertAlign w:val="superscript"/>
        </w:rPr>
        <w:t>rd</w:t>
      </w:r>
      <w:r w:rsidR="00F92E97">
        <w:rPr>
          <w:sz w:val="16"/>
          <w:szCs w:val="16"/>
        </w:rPr>
        <w:t xml:space="preserve"> May</w:t>
      </w:r>
      <w:r w:rsidR="00F92E97" w:rsidRPr="00C10033">
        <w:rPr>
          <w:sz w:val="16"/>
          <w:szCs w:val="16"/>
        </w:rPr>
        <w:t xml:space="preserve"> 2018]</w:t>
      </w:r>
    </w:p>
  </w:footnote>
  <w:footnote w:id="5">
    <w:p w14:paraId="73222F8A" w14:textId="7BB5857A" w:rsidR="00003476" w:rsidRPr="006C2B6F" w:rsidRDefault="00003476">
      <w:pPr>
        <w:pStyle w:val="FootnoteText"/>
        <w:rPr>
          <w:sz w:val="16"/>
          <w:szCs w:val="16"/>
          <w:lang w:val="en-US"/>
        </w:rPr>
      </w:pPr>
      <w:r>
        <w:rPr>
          <w:rStyle w:val="FootnoteReference"/>
        </w:rPr>
        <w:footnoteRef/>
      </w:r>
      <w:r>
        <w:t xml:space="preserve"> </w:t>
      </w:r>
      <w:r w:rsidRPr="006A4F7F">
        <w:rPr>
          <w:sz w:val="16"/>
          <w:szCs w:val="16"/>
          <w:lang w:val="en-US"/>
        </w:rPr>
        <w:t xml:space="preserve">Arthur E., DuBois, “The Dragon in Beowulf.” </w:t>
      </w:r>
      <w:r w:rsidRPr="003A73CA">
        <w:rPr>
          <w:i/>
          <w:sz w:val="16"/>
          <w:szCs w:val="16"/>
          <w:lang w:val="en-US"/>
        </w:rPr>
        <w:t>PMLA</w:t>
      </w:r>
      <w:r w:rsidRPr="006A4F7F">
        <w:rPr>
          <w:sz w:val="16"/>
          <w:szCs w:val="16"/>
          <w:lang w:val="en-US"/>
        </w:rPr>
        <w:t xml:space="preserve">, vol. 72, no. 5, 1957, pp. 819–822. </w:t>
      </w:r>
      <w:r w:rsidR="00F92E97">
        <w:rPr>
          <w:sz w:val="16"/>
          <w:szCs w:val="16"/>
          <w:lang w:val="en-US"/>
        </w:rPr>
        <w:t>JSTOR,</w:t>
      </w:r>
      <w:r w:rsidR="00F92E97" w:rsidRPr="006A4F7F">
        <w:rPr>
          <w:sz w:val="16"/>
          <w:szCs w:val="16"/>
          <w:lang w:val="en-US"/>
        </w:rPr>
        <w:t xml:space="preserve"> </w:t>
      </w:r>
      <w:r w:rsidR="00F92E97">
        <w:rPr>
          <w:sz w:val="16"/>
          <w:szCs w:val="16"/>
          <w:lang w:val="en-US"/>
        </w:rPr>
        <w:t>&lt;</w:t>
      </w:r>
      <w:hyperlink r:id="rId3" w:history="1">
        <w:r w:rsidR="00F92E97" w:rsidRPr="009F2C5E">
          <w:rPr>
            <w:rStyle w:val="Hyperlink"/>
            <w:sz w:val="16"/>
            <w:szCs w:val="16"/>
            <w:lang w:val="en-US"/>
          </w:rPr>
          <w:t>www.jstor.org/stable/460364</w:t>
        </w:r>
      </w:hyperlink>
      <w:r w:rsidR="00F92E97" w:rsidRPr="006A4F7F">
        <w:rPr>
          <w:sz w:val="16"/>
          <w:szCs w:val="16"/>
          <w:lang w:val="en-US"/>
        </w:rPr>
        <w:t>.</w:t>
      </w:r>
      <w:r w:rsidR="00F92E97">
        <w:rPr>
          <w:sz w:val="16"/>
          <w:szCs w:val="16"/>
          <w:lang w:val="en-US"/>
        </w:rPr>
        <w:t xml:space="preserve">&gt; </w:t>
      </w:r>
      <w:r w:rsidR="00F92E97" w:rsidRPr="00C10033">
        <w:rPr>
          <w:sz w:val="16"/>
          <w:szCs w:val="16"/>
        </w:rPr>
        <w:t xml:space="preserve">[Accessed </w:t>
      </w:r>
      <w:r w:rsidR="00F92E97">
        <w:rPr>
          <w:sz w:val="16"/>
          <w:szCs w:val="16"/>
        </w:rPr>
        <w:t>3</w:t>
      </w:r>
      <w:r w:rsidR="00F92E97" w:rsidRPr="00EE08C3">
        <w:rPr>
          <w:sz w:val="16"/>
          <w:szCs w:val="16"/>
          <w:vertAlign w:val="superscript"/>
        </w:rPr>
        <w:t>rd</w:t>
      </w:r>
      <w:r w:rsidR="00F92E97">
        <w:rPr>
          <w:sz w:val="16"/>
          <w:szCs w:val="16"/>
        </w:rPr>
        <w:t xml:space="preserve"> </w:t>
      </w:r>
      <w:r w:rsidR="00F92E97" w:rsidRPr="00C10033">
        <w:rPr>
          <w:sz w:val="16"/>
          <w:szCs w:val="16"/>
        </w:rPr>
        <w:t>May 2018]</w:t>
      </w:r>
    </w:p>
  </w:footnote>
  <w:footnote w:id="6">
    <w:p w14:paraId="41272ADF" w14:textId="780C0893" w:rsidR="00DC0DCF" w:rsidRPr="00D83CBF" w:rsidRDefault="00DC0DCF">
      <w:pPr>
        <w:pStyle w:val="FootnoteText"/>
        <w:rPr>
          <w:sz w:val="16"/>
          <w:szCs w:val="16"/>
        </w:rPr>
      </w:pPr>
      <w:r>
        <w:rPr>
          <w:rStyle w:val="FootnoteReference"/>
        </w:rPr>
        <w:footnoteRef/>
      </w:r>
      <w:r w:rsidR="00F92E97">
        <w:t xml:space="preserve"> </w:t>
      </w:r>
      <w:r w:rsidR="00F92E97">
        <w:rPr>
          <w:sz w:val="16"/>
          <w:szCs w:val="16"/>
        </w:rPr>
        <w:t>Calder, pp. 21–37</w:t>
      </w:r>
    </w:p>
  </w:footnote>
  <w:footnote w:id="7">
    <w:p w14:paraId="75FA1842" w14:textId="5520AF1B" w:rsidR="008E6711" w:rsidRPr="00A852D1" w:rsidRDefault="008E6711">
      <w:pPr>
        <w:pStyle w:val="FootnoteText"/>
        <w:rPr>
          <w:sz w:val="16"/>
          <w:szCs w:val="16"/>
        </w:rPr>
      </w:pPr>
      <w:r>
        <w:rPr>
          <w:rStyle w:val="FootnoteReference"/>
        </w:rPr>
        <w:footnoteRef/>
      </w:r>
      <w:r>
        <w:t xml:space="preserve"> </w:t>
      </w:r>
      <w:r w:rsidR="00434D3A" w:rsidRPr="00A852D1">
        <w:rPr>
          <w:sz w:val="16"/>
          <w:szCs w:val="16"/>
        </w:rPr>
        <w:t>Michael Swanton,</w:t>
      </w:r>
      <w:r w:rsidR="00513ED5" w:rsidRPr="00A852D1">
        <w:rPr>
          <w:sz w:val="16"/>
          <w:szCs w:val="16"/>
        </w:rPr>
        <w:t xml:space="preserve"> ed., </w:t>
      </w:r>
      <w:r w:rsidR="00513ED5" w:rsidRPr="00A852D1">
        <w:rPr>
          <w:i/>
          <w:sz w:val="16"/>
          <w:szCs w:val="16"/>
        </w:rPr>
        <w:t>Beowulf</w:t>
      </w:r>
      <w:r w:rsidR="003813E5" w:rsidRPr="00A852D1">
        <w:rPr>
          <w:i/>
          <w:sz w:val="16"/>
          <w:szCs w:val="16"/>
        </w:rPr>
        <w:t>,</w:t>
      </w:r>
      <w:r w:rsidR="003813E5" w:rsidRPr="00A852D1">
        <w:rPr>
          <w:sz w:val="16"/>
          <w:szCs w:val="16"/>
        </w:rPr>
        <w:t xml:space="preserve"> Manchester </w:t>
      </w:r>
      <w:r w:rsidR="00A852D1" w:rsidRPr="00A852D1">
        <w:rPr>
          <w:sz w:val="16"/>
          <w:szCs w:val="16"/>
        </w:rPr>
        <w:t>M</w:t>
      </w:r>
      <w:r w:rsidR="003813E5" w:rsidRPr="00A852D1">
        <w:rPr>
          <w:sz w:val="16"/>
          <w:szCs w:val="16"/>
        </w:rPr>
        <w:t xml:space="preserve">edieval </w:t>
      </w:r>
      <w:r w:rsidR="00A852D1" w:rsidRPr="00A852D1">
        <w:rPr>
          <w:sz w:val="16"/>
          <w:szCs w:val="16"/>
        </w:rPr>
        <w:t>C</w:t>
      </w:r>
      <w:r w:rsidR="003813E5" w:rsidRPr="00A852D1">
        <w:rPr>
          <w:sz w:val="16"/>
          <w:szCs w:val="16"/>
        </w:rPr>
        <w:t xml:space="preserve">lassics (Manchester: University press 1978; </w:t>
      </w:r>
      <w:proofErr w:type="spellStart"/>
      <w:r w:rsidR="003813E5" w:rsidRPr="00A852D1">
        <w:rPr>
          <w:sz w:val="16"/>
          <w:szCs w:val="16"/>
        </w:rPr>
        <w:t>rpr</w:t>
      </w:r>
      <w:proofErr w:type="spellEnd"/>
      <w:r w:rsidR="003813E5" w:rsidRPr="00A852D1">
        <w:rPr>
          <w:sz w:val="16"/>
          <w:szCs w:val="16"/>
        </w:rPr>
        <w:t>., 1994)</w:t>
      </w:r>
      <w:r w:rsidR="00A852D1" w:rsidRPr="00A852D1">
        <w:rPr>
          <w:sz w:val="16"/>
          <w:szCs w:val="16"/>
        </w:rPr>
        <w:t xml:space="preserve"> p. 145</w:t>
      </w:r>
    </w:p>
  </w:footnote>
  <w:footnote w:id="8">
    <w:p w14:paraId="2646673B" w14:textId="3C949409" w:rsidR="00FD2ED9" w:rsidRPr="0081392A" w:rsidRDefault="00FD2ED9" w:rsidP="00DA648A">
      <w:pPr>
        <w:spacing w:line="240" w:lineRule="auto"/>
        <w:rPr>
          <w:sz w:val="16"/>
          <w:szCs w:val="16"/>
        </w:rPr>
      </w:pPr>
      <w:r>
        <w:rPr>
          <w:rStyle w:val="FootnoteReference"/>
        </w:rPr>
        <w:footnoteRef/>
      </w:r>
      <w:r>
        <w:t xml:space="preserve"> </w:t>
      </w:r>
      <w:r w:rsidRPr="0081392A">
        <w:rPr>
          <w:sz w:val="16"/>
          <w:szCs w:val="16"/>
        </w:rPr>
        <w:t>Adrien</w:t>
      </w:r>
      <w:r>
        <w:rPr>
          <w:sz w:val="16"/>
          <w:szCs w:val="16"/>
        </w:rPr>
        <w:t>, Bonjour,</w:t>
      </w:r>
      <w:r w:rsidRPr="0081392A">
        <w:rPr>
          <w:sz w:val="16"/>
          <w:szCs w:val="16"/>
        </w:rPr>
        <w:t xml:space="preserve"> “Monsters Crouching and Critics Rampant: Or the Beowulf Dragon Debated.” </w:t>
      </w:r>
      <w:r w:rsidRPr="003A73CA">
        <w:rPr>
          <w:i/>
          <w:sz w:val="16"/>
          <w:szCs w:val="16"/>
        </w:rPr>
        <w:t>PMLA,</w:t>
      </w:r>
      <w:r w:rsidRPr="0081392A">
        <w:rPr>
          <w:sz w:val="16"/>
          <w:szCs w:val="16"/>
        </w:rPr>
        <w:t xml:space="preserve"> vol. 68, no. 1, 1953, pp. 304–312. </w:t>
      </w:r>
      <w:r w:rsidR="00F92E97">
        <w:rPr>
          <w:sz w:val="16"/>
          <w:szCs w:val="16"/>
        </w:rPr>
        <w:t>JSTOR, &lt;</w:t>
      </w:r>
      <w:hyperlink r:id="rId4" w:history="1">
        <w:r w:rsidR="00F92E97" w:rsidRPr="009F2C5E">
          <w:rPr>
            <w:rStyle w:val="Hyperlink"/>
            <w:sz w:val="16"/>
            <w:szCs w:val="16"/>
          </w:rPr>
          <w:t>www.jstor.org/stable/459922</w:t>
        </w:r>
      </w:hyperlink>
      <w:r w:rsidR="00F92E97" w:rsidRPr="0081392A">
        <w:rPr>
          <w:sz w:val="16"/>
          <w:szCs w:val="16"/>
        </w:rPr>
        <w:t>.</w:t>
      </w:r>
      <w:r w:rsidR="00F92E97">
        <w:rPr>
          <w:sz w:val="16"/>
          <w:szCs w:val="16"/>
        </w:rPr>
        <w:t xml:space="preserve">&gt; </w:t>
      </w:r>
      <w:r w:rsidR="00F92E97" w:rsidRPr="00C10033">
        <w:rPr>
          <w:sz w:val="16"/>
          <w:szCs w:val="16"/>
        </w:rPr>
        <w:t>[Accessed 4</w:t>
      </w:r>
      <w:r w:rsidR="00F92E97" w:rsidRPr="00C10033">
        <w:rPr>
          <w:sz w:val="16"/>
          <w:szCs w:val="16"/>
          <w:vertAlign w:val="superscript"/>
        </w:rPr>
        <w:t>th</w:t>
      </w:r>
      <w:r w:rsidR="00F92E97" w:rsidRPr="00C10033">
        <w:rPr>
          <w:sz w:val="16"/>
          <w:szCs w:val="16"/>
        </w:rPr>
        <w:t xml:space="preserve"> May 2018]</w:t>
      </w:r>
    </w:p>
  </w:footnote>
  <w:footnote w:id="9">
    <w:p w14:paraId="48923005" w14:textId="61670AAA" w:rsidR="00AE5B29" w:rsidRDefault="00AE5B29">
      <w:pPr>
        <w:pStyle w:val="FootnoteText"/>
      </w:pPr>
      <w:r>
        <w:rPr>
          <w:rStyle w:val="FootnoteReference"/>
        </w:rPr>
        <w:footnoteRef/>
      </w:r>
      <w:r w:rsidR="00F92E97">
        <w:t xml:space="preserve"> </w:t>
      </w:r>
      <w:r w:rsidR="00F92E97" w:rsidRPr="00A852D1">
        <w:rPr>
          <w:sz w:val="16"/>
          <w:szCs w:val="16"/>
        </w:rPr>
        <w:t>Swanton, p.</w:t>
      </w:r>
      <w:r w:rsidR="00F92E97">
        <w:rPr>
          <w:sz w:val="16"/>
          <w:szCs w:val="16"/>
        </w:rPr>
        <w:t>145</w:t>
      </w:r>
    </w:p>
  </w:footnote>
  <w:footnote w:id="10">
    <w:p w14:paraId="5960FEEE" w14:textId="4751C5DD" w:rsidR="00EC7C3E" w:rsidRDefault="00EC7C3E">
      <w:pPr>
        <w:pStyle w:val="FootnoteText"/>
      </w:pPr>
      <w:r>
        <w:rPr>
          <w:rStyle w:val="FootnoteReference"/>
        </w:rPr>
        <w:footnoteRef/>
      </w:r>
      <w:r w:rsidR="00F92E97">
        <w:t xml:space="preserve"> </w:t>
      </w:r>
      <w:r w:rsidR="00F92E97">
        <w:rPr>
          <w:sz w:val="16"/>
          <w:szCs w:val="16"/>
        </w:rPr>
        <w:t xml:space="preserve">Calder, </w:t>
      </w:r>
      <w:r w:rsidR="00F92E97" w:rsidRPr="00A87DDD">
        <w:rPr>
          <w:sz w:val="16"/>
          <w:szCs w:val="16"/>
        </w:rPr>
        <w:t>pp. 21–37</w:t>
      </w:r>
    </w:p>
  </w:footnote>
  <w:footnote w:id="11">
    <w:p w14:paraId="5395C065" w14:textId="71C906F5" w:rsidR="00FB41DE" w:rsidRPr="00E026E1" w:rsidRDefault="00FB41DE">
      <w:pPr>
        <w:pStyle w:val="FootnoteText"/>
        <w:rPr>
          <w:sz w:val="16"/>
          <w:szCs w:val="16"/>
        </w:rPr>
      </w:pPr>
      <w:r>
        <w:rPr>
          <w:rStyle w:val="FootnoteReference"/>
        </w:rPr>
        <w:footnoteRef/>
      </w:r>
      <w:r w:rsidR="00F92E97">
        <w:t xml:space="preserve"> </w:t>
      </w:r>
      <w:r w:rsidR="00F92E97">
        <w:rPr>
          <w:sz w:val="16"/>
          <w:szCs w:val="16"/>
        </w:rPr>
        <w:t>Calder, pp. 21–37</w:t>
      </w:r>
    </w:p>
  </w:footnote>
  <w:footnote w:id="12">
    <w:p w14:paraId="2643639E" w14:textId="10E86120" w:rsidR="00D03D38" w:rsidRDefault="00D03D38">
      <w:pPr>
        <w:pStyle w:val="FootnoteText"/>
      </w:pPr>
      <w:r>
        <w:rPr>
          <w:rStyle w:val="FootnoteReference"/>
        </w:rPr>
        <w:footnoteRef/>
      </w:r>
      <w:r w:rsidR="00F92E97">
        <w:rPr>
          <w:sz w:val="16"/>
          <w:szCs w:val="16"/>
        </w:rPr>
        <w:t xml:space="preserve"> </w:t>
      </w:r>
      <w:r w:rsidR="00F92E97" w:rsidRPr="00A852D1">
        <w:rPr>
          <w:sz w:val="16"/>
          <w:szCs w:val="16"/>
        </w:rPr>
        <w:t>Swanton,</w:t>
      </w:r>
      <w:r w:rsidR="00F92E97">
        <w:t xml:space="preserve"> </w:t>
      </w:r>
      <w:r w:rsidR="00F92E97" w:rsidRPr="00A1092C">
        <w:rPr>
          <w:sz w:val="16"/>
          <w:szCs w:val="16"/>
        </w:rPr>
        <w:t>p.173</w:t>
      </w:r>
    </w:p>
  </w:footnote>
  <w:footnote w:id="13">
    <w:p w14:paraId="76608CFD" w14:textId="6538D5BF" w:rsidR="00544E1A" w:rsidRPr="00076605" w:rsidRDefault="00544E1A" w:rsidP="00DA648A">
      <w:pPr>
        <w:spacing w:line="240" w:lineRule="auto"/>
        <w:rPr>
          <w:sz w:val="16"/>
          <w:szCs w:val="16"/>
        </w:rPr>
      </w:pPr>
      <w:r>
        <w:rPr>
          <w:rStyle w:val="FootnoteReference"/>
        </w:rPr>
        <w:footnoteRef/>
      </w:r>
      <w:r w:rsidR="00F92E97">
        <w:t xml:space="preserve"> </w:t>
      </w:r>
      <w:r w:rsidR="00F92E97">
        <w:rPr>
          <w:sz w:val="16"/>
          <w:szCs w:val="16"/>
        </w:rPr>
        <w:t>Bonjour, pp. 304–312</w:t>
      </w:r>
    </w:p>
  </w:footnote>
  <w:footnote w:id="14">
    <w:p w14:paraId="66E64550" w14:textId="37481588" w:rsidR="00B460D3" w:rsidRPr="00B460D3" w:rsidRDefault="00B460D3">
      <w:pPr>
        <w:pStyle w:val="FootnoteText"/>
        <w:rPr>
          <w:sz w:val="16"/>
          <w:szCs w:val="16"/>
        </w:rPr>
      </w:pPr>
      <w:r>
        <w:rPr>
          <w:rStyle w:val="FootnoteReference"/>
        </w:rPr>
        <w:footnoteRef/>
      </w:r>
      <w:r>
        <w:t xml:space="preserve"> </w:t>
      </w:r>
      <w:r>
        <w:rPr>
          <w:sz w:val="16"/>
          <w:szCs w:val="16"/>
        </w:rPr>
        <w:t xml:space="preserve">Nicholson, p. </w:t>
      </w:r>
      <w:r w:rsidR="002B7334">
        <w:rPr>
          <w:sz w:val="16"/>
          <w:szCs w:val="16"/>
        </w:rPr>
        <w:t>11</w:t>
      </w:r>
    </w:p>
  </w:footnote>
  <w:footnote w:id="15">
    <w:p w14:paraId="26F255D0" w14:textId="48633063" w:rsidR="009F2C78" w:rsidRPr="009F2C78" w:rsidRDefault="009F2C78">
      <w:pPr>
        <w:pStyle w:val="FootnoteText"/>
        <w:rPr>
          <w:lang w:val="en-US"/>
        </w:rPr>
      </w:pPr>
      <w:r>
        <w:rPr>
          <w:rStyle w:val="FootnoteReference"/>
        </w:rPr>
        <w:footnoteRef/>
      </w:r>
      <w:r w:rsidR="00F92E97">
        <w:t xml:space="preserve"> </w:t>
      </w:r>
      <w:r w:rsidR="00F92E97" w:rsidRPr="00A852D1">
        <w:rPr>
          <w:sz w:val="16"/>
          <w:szCs w:val="16"/>
        </w:rPr>
        <w:t xml:space="preserve">Swanton, </w:t>
      </w:r>
      <w:r w:rsidR="00F92E97" w:rsidRPr="00A1092C">
        <w:rPr>
          <w:sz w:val="16"/>
          <w:szCs w:val="16"/>
        </w:rPr>
        <w:t>p.</w:t>
      </w:r>
      <w:r w:rsidR="00F92E97">
        <w:rPr>
          <w:sz w:val="16"/>
          <w:szCs w:val="16"/>
        </w:rPr>
        <w:t>53</w:t>
      </w:r>
    </w:p>
  </w:footnote>
  <w:footnote w:id="16">
    <w:p w14:paraId="61C70B90" w14:textId="0FAE6A76" w:rsidR="00902EA9" w:rsidRPr="00902EA9" w:rsidRDefault="00902EA9">
      <w:pPr>
        <w:pStyle w:val="FootnoteText"/>
        <w:rPr>
          <w:lang w:val="en-US"/>
        </w:rPr>
      </w:pPr>
      <w:r>
        <w:rPr>
          <w:rStyle w:val="FootnoteReference"/>
        </w:rPr>
        <w:footnoteRef/>
      </w:r>
      <w:r w:rsidR="00F92E97">
        <w:t xml:space="preserve"> </w:t>
      </w:r>
      <w:r w:rsidR="00F92E97" w:rsidRPr="00A852D1">
        <w:rPr>
          <w:sz w:val="16"/>
          <w:szCs w:val="16"/>
        </w:rPr>
        <w:t xml:space="preserve">Swanton, </w:t>
      </w:r>
      <w:r w:rsidR="00F92E97" w:rsidRPr="00A1092C">
        <w:rPr>
          <w:sz w:val="16"/>
          <w:szCs w:val="16"/>
        </w:rPr>
        <w:t>p.</w:t>
      </w:r>
      <w:r w:rsidR="00F92E97">
        <w:rPr>
          <w:sz w:val="16"/>
          <w:szCs w:val="16"/>
        </w:rPr>
        <w:t>95</w:t>
      </w:r>
    </w:p>
  </w:footnote>
  <w:footnote w:id="17">
    <w:p w14:paraId="1104D9CB" w14:textId="3A7E79A8" w:rsidR="00566B9C" w:rsidRPr="00971ABD" w:rsidRDefault="00566B9C">
      <w:pPr>
        <w:pStyle w:val="FootnoteText"/>
        <w:rPr>
          <w:sz w:val="16"/>
          <w:szCs w:val="16"/>
        </w:rPr>
      </w:pPr>
      <w:r>
        <w:rPr>
          <w:rStyle w:val="FootnoteReference"/>
        </w:rPr>
        <w:footnoteRef/>
      </w:r>
      <w:r w:rsidR="00F92E97">
        <w:t xml:space="preserve"> </w:t>
      </w:r>
      <w:r w:rsidR="00F92E97">
        <w:rPr>
          <w:sz w:val="16"/>
          <w:szCs w:val="16"/>
        </w:rPr>
        <w:t>Calder, pp. 21–37</w:t>
      </w:r>
    </w:p>
  </w:footnote>
  <w:footnote w:id="18">
    <w:p w14:paraId="6A753858" w14:textId="49AB5478" w:rsidR="00736F9E" w:rsidRPr="00A2505F" w:rsidRDefault="00736F9E">
      <w:pPr>
        <w:pStyle w:val="FootnoteText"/>
        <w:rPr>
          <w:sz w:val="16"/>
          <w:szCs w:val="16"/>
          <w:lang w:val="en-US"/>
        </w:rPr>
      </w:pPr>
      <w:r>
        <w:rPr>
          <w:rStyle w:val="FootnoteReference"/>
        </w:rPr>
        <w:footnoteRef/>
      </w:r>
      <w:r w:rsidR="00F92E97">
        <w:t xml:space="preserve"> </w:t>
      </w:r>
      <w:r w:rsidR="00F92E97" w:rsidRPr="00A2505F">
        <w:rPr>
          <w:sz w:val="16"/>
          <w:szCs w:val="16"/>
          <w:lang w:val="en-US"/>
        </w:rPr>
        <w:t>Bro</w:t>
      </w:r>
      <w:r w:rsidR="00F92E97">
        <w:rPr>
          <w:sz w:val="16"/>
          <w:szCs w:val="16"/>
          <w:lang w:val="en-US"/>
        </w:rPr>
        <w:t>ok, pp. 165–166</w:t>
      </w:r>
    </w:p>
  </w:footnote>
  <w:footnote w:id="19">
    <w:p w14:paraId="6591DF90" w14:textId="0BE375B3" w:rsidR="009C1262" w:rsidRPr="006A4F7F" w:rsidRDefault="009C1262">
      <w:pPr>
        <w:pStyle w:val="FootnoteText"/>
        <w:rPr>
          <w:sz w:val="16"/>
          <w:szCs w:val="16"/>
          <w:lang w:val="en-US"/>
        </w:rPr>
      </w:pPr>
      <w:r>
        <w:rPr>
          <w:rStyle w:val="FootnoteReference"/>
        </w:rPr>
        <w:footnoteRef/>
      </w:r>
      <w:r>
        <w:t xml:space="preserve"> </w:t>
      </w:r>
      <w:r w:rsidRPr="006A4F7F">
        <w:rPr>
          <w:sz w:val="16"/>
          <w:szCs w:val="16"/>
          <w:lang w:val="en-US"/>
        </w:rPr>
        <w:t>DuBois, pp. 819–822</w:t>
      </w:r>
    </w:p>
  </w:footnote>
  <w:footnote w:id="20">
    <w:p w14:paraId="00B32ABA" w14:textId="7B8A876D" w:rsidR="002F6DC7" w:rsidRPr="00C10033" w:rsidRDefault="002F6DC7">
      <w:pPr>
        <w:pStyle w:val="FootnoteText"/>
        <w:rPr>
          <w:sz w:val="16"/>
          <w:szCs w:val="16"/>
          <w:lang w:val="en-US"/>
        </w:rPr>
      </w:pPr>
      <w:r>
        <w:rPr>
          <w:rStyle w:val="FootnoteReference"/>
        </w:rPr>
        <w:footnoteRef/>
      </w:r>
      <w:r w:rsidR="00F92E97">
        <w:t xml:space="preserve"> </w:t>
      </w:r>
      <w:r w:rsidR="00F92E97">
        <w:rPr>
          <w:sz w:val="16"/>
          <w:szCs w:val="16"/>
        </w:rPr>
        <w:t xml:space="preserve">Swanton, </w:t>
      </w:r>
      <w:r w:rsidR="00F92E97" w:rsidRPr="00C10033">
        <w:rPr>
          <w:sz w:val="16"/>
          <w:szCs w:val="16"/>
        </w:rPr>
        <w:t>p.159</w:t>
      </w:r>
    </w:p>
  </w:footnote>
  <w:footnote w:id="21">
    <w:p w14:paraId="6EEF8B8F" w14:textId="46E8B268" w:rsidR="00BF6423" w:rsidRPr="00851628" w:rsidRDefault="00BF6423">
      <w:pPr>
        <w:pStyle w:val="FootnoteText"/>
        <w:rPr>
          <w:sz w:val="16"/>
          <w:szCs w:val="16"/>
          <w:lang w:val="en-US"/>
        </w:rPr>
      </w:pPr>
      <w:r w:rsidRPr="00C10033">
        <w:rPr>
          <w:rStyle w:val="FootnoteReference"/>
          <w:sz w:val="16"/>
          <w:szCs w:val="16"/>
        </w:rPr>
        <w:footnoteRef/>
      </w:r>
      <w:r w:rsidRPr="00C10033">
        <w:rPr>
          <w:sz w:val="16"/>
          <w:szCs w:val="16"/>
        </w:rPr>
        <w:t xml:space="preserve"> </w:t>
      </w:r>
      <w:r w:rsidR="00851628">
        <w:rPr>
          <w:sz w:val="16"/>
          <w:szCs w:val="16"/>
          <w:lang w:val="en-US"/>
        </w:rPr>
        <w:t>R.E</w:t>
      </w:r>
      <w:r w:rsidR="00826CF1">
        <w:rPr>
          <w:sz w:val="16"/>
          <w:szCs w:val="16"/>
          <w:lang w:val="en-US"/>
        </w:rPr>
        <w:t xml:space="preserve">. </w:t>
      </w:r>
      <w:proofErr w:type="spellStart"/>
      <w:r w:rsidR="00826CF1">
        <w:rPr>
          <w:sz w:val="16"/>
          <w:szCs w:val="16"/>
          <w:lang w:val="en-US"/>
        </w:rPr>
        <w:t>K</w:t>
      </w:r>
      <w:r w:rsidR="00851628" w:rsidRPr="00851628">
        <w:rPr>
          <w:sz w:val="16"/>
          <w:szCs w:val="16"/>
          <w:lang w:val="en-US"/>
        </w:rPr>
        <w:t>aske</w:t>
      </w:r>
      <w:proofErr w:type="spellEnd"/>
      <w:r w:rsidR="00851628" w:rsidRPr="00851628">
        <w:rPr>
          <w:sz w:val="16"/>
          <w:szCs w:val="16"/>
          <w:lang w:val="en-US"/>
        </w:rPr>
        <w:t>, “</w:t>
      </w:r>
      <w:proofErr w:type="spellStart"/>
      <w:r w:rsidR="00851628" w:rsidRPr="00851628">
        <w:rPr>
          <w:sz w:val="16"/>
          <w:szCs w:val="16"/>
          <w:lang w:val="en-US"/>
        </w:rPr>
        <w:t>Weohstan's</w:t>
      </w:r>
      <w:proofErr w:type="spellEnd"/>
      <w:r w:rsidR="00851628" w:rsidRPr="00851628">
        <w:rPr>
          <w:sz w:val="16"/>
          <w:szCs w:val="16"/>
          <w:lang w:val="en-US"/>
        </w:rPr>
        <w:t xml:space="preserve"> Sword.” </w:t>
      </w:r>
      <w:r w:rsidR="00851628" w:rsidRPr="00EE08C3">
        <w:rPr>
          <w:i/>
          <w:sz w:val="16"/>
          <w:szCs w:val="16"/>
          <w:lang w:val="en-US"/>
        </w:rPr>
        <w:t>Modern Language Notes</w:t>
      </w:r>
      <w:r w:rsidR="00851628" w:rsidRPr="00851628">
        <w:rPr>
          <w:sz w:val="16"/>
          <w:szCs w:val="16"/>
          <w:lang w:val="en-US"/>
        </w:rPr>
        <w:t xml:space="preserve">, vol. 75, no. 6, 1960, pp. 465–468. </w:t>
      </w:r>
      <w:r w:rsidR="00F92E97" w:rsidRPr="00C10033">
        <w:rPr>
          <w:sz w:val="16"/>
          <w:szCs w:val="16"/>
          <w:lang w:val="en-US"/>
        </w:rPr>
        <w:t>JSTOR, &lt;</w:t>
      </w:r>
      <w:hyperlink r:id="rId5" w:history="1">
        <w:r w:rsidR="00F92E97" w:rsidRPr="00C10033">
          <w:rPr>
            <w:rStyle w:val="Hyperlink"/>
            <w:sz w:val="16"/>
            <w:szCs w:val="16"/>
            <w:lang w:val="en-US"/>
          </w:rPr>
          <w:t>www.jstor.org/stable/3040330.</w:t>
        </w:r>
      </w:hyperlink>
      <w:r w:rsidR="00F92E97" w:rsidRPr="00C10033">
        <w:rPr>
          <w:sz w:val="16"/>
          <w:szCs w:val="16"/>
          <w:lang w:val="en-US"/>
        </w:rPr>
        <w:t xml:space="preserve">&gt; </w:t>
      </w:r>
      <w:r w:rsidR="00F92E97" w:rsidRPr="00C10033">
        <w:rPr>
          <w:sz w:val="16"/>
          <w:szCs w:val="16"/>
        </w:rPr>
        <w:t>[Accessed 4</w:t>
      </w:r>
      <w:r w:rsidR="00F92E97" w:rsidRPr="00C10033">
        <w:rPr>
          <w:sz w:val="16"/>
          <w:szCs w:val="16"/>
          <w:vertAlign w:val="superscript"/>
        </w:rPr>
        <w:t>th</w:t>
      </w:r>
      <w:r w:rsidR="00F92E97" w:rsidRPr="00C10033">
        <w:rPr>
          <w:sz w:val="16"/>
          <w:szCs w:val="16"/>
        </w:rPr>
        <w:t xml:space="preserve"> May 2018]</w:t>
      </w:r>
    </w:p>
  </w:footnote>
  <w:footnote w:id="22">
    <w:p w14:paraId="5A4A24FB" w14:textId="134F826F" w:rsidR="005F2BF5" w:rsidRPr="00C10033" w:rsidRDefault="005F2BF5">
      <w:pPr>
        <w:pStyle w:val="FootnoteText"/>
        <w:rPr>
          <w:sz w:val="16"/>
          <w:szCs w:val="16"/>
          <w:lang w:val="en-US"/>
        </w:rPr>
      </w:pPr>
      <w:r w:rsidRPr="00C10033">
        <w:rPr>
          <w:rStyle w:val="FootnoteReference"/>
          <w:sz w:val="16"/>
          <w:szCs w:val="16"/>
        </w:rPr>
        <w:footnoteRef/>
      </w:r>
      <w:r w:rsidR="00F92E97">
        <w:rPr>
          <w:sz w:val="16"/>
          <w:szCs w:val="16"/>
        </w:rPr>
        <w:t xml:space="preserve"> Swanton, </w:t>
      </w:r>
      <w:r w:rsidR="00F92E97" w:rsidRPr="00C10033">
        <w:rPr>
          <w:sz w:val="16"/>
          <w:szCs w:val="16"/>
        </w:rPr>
        <w:t>p.163</w:t>
      </w:r>
    </w:p>
  </w:footnote>
  <w:footnote w:id="23">
    <w:p w14:paraId="7662D151" w14:textId="04C14CF2" w:rsidR="001559F8" w:rsidRPr="001559F8" w:rsidRDefault="001559F8">
      <w:pPr>
        <w:pStyle w:val="FootnoteText"/>
        <w:rPr>
          <w:lang w:val="en-US"/>
        </w:rPr>
      </w:pPr>
      <w:r w:rsidRPr="00C10033">
        <w:rPr>
          <w:rStyle w:val="FootnoteReference"/>
          <w:sz w:val="16"/>
          <w:szCs w:val="16"/>
        </w:rPr>
        <w:footnoteRef/>
      </w:r>
      <w:r w:rsidR="00F92E97" w:rsidRPr="00C10033">
        <w:rPr>
          <w:sz w:val="16"/>
          <w:szCs w:val="16"/>
        </w:rPr>
        <w:t xml:space="preserve"> </w:t>
      </w:r>
      <w:r w:rsidR="00F92E97">
        <w:rPr>
          <w:sz w:val="16"/>
          <w:szCs w:val="16"/>
        </w:rPr>
        <w:t xml:space="preserve">Swanton, </w:t>
      </w:r>
      <w:r w:rsidR="00F92E97" w:rsidRPr="00C10033">
        <w:rPr>
          <w:sz w:val="16"/>
          <w:szCs w:val="16"/>
        </w:rPr>
        <w:t>p.163</w:t>
      </w:r>
    </w:p>
  </w:footnote>
  <w:footnote w:id="24">
    <w:p w14:paraId="4360353F" w14:textId="5771A2F5" w:rsidR="008E64B9" w:rsidRPr="005B4558" w:rsidRDefault="008E64B9">
      <w:pPr>
        <w:pStyle w:val="FootnoteText"/>
        <w:rPr>
          <w:sz w:val="16"/>
          <w:szCs w:val="16"/>
          <w:lang w:val="en-US"/>
        </w:rPr>
      </w:pPr>
      <w:r>
        <w:rPr>
          <w:rStyle w:val="FootnoteReference"/>
        </w:rPr>
        <w:footnoteRef/>
      </w:r>
      <w:r>
        <w:t xml:space="preserve"> </w:t>
      </w:r>
      <w:r w:rsidR="005B4558" w:rsidRPr="005B4558">
        <w:rPr>
          <w:sz w:val="16"/>
          <w:szCs w:val="16"/>
        </w:rPr>
        <w:t xml:space="preserve">Adrien Bonjour, “The Technique of Parallel Descriptions in Beowulf.” </w:t>
      </w:r>
      <w:r w:rsidR="005B4558" w:rsidRPr="00DA648A">
        <w:rPr>
          <w:i/>
          <w:sz w:val="16"/>
          <w:szCs w:val="16"/>
        </w:rPr>
        <w:t>The Review of English Studies</w:t>
      </w:r>
      <w:r w:rsidR="005B4558" w:rsidRPr="005B4558">
        <w:rPr>
          <w:sz w:val="16"/>
          <w:szCs w:val="16"/>
        </w:rPr>
        <w:t xml:space="preserve">, vol. 2, no. 5, 1951, pp. 1–10. </w:t>
      </w:r>
      <w:r w:rsidR="00F92E97">
        <w:rPr>
          <w:sz w:val="16"/>
          <w:szCs w:val="16"/>
        </w:rPr>
        <w:t>JSTOR</w:t>
      </w:r>
      <w:r w:rsidR="00F92E97" w:rsidRPr="005B4558">
        <w:rPr>
          <w:sz w:val="16"/>
          <w:szCs w:val="16"/>
        </w:rPr>
        <w:t xml:space="preserve">, </w:t>
      </w:r>
      <w:r w:rsidR="00F92E97">
        <w:rPr>
          <w:sz w:val="16"/>
          <w:szCs w:val="16"/>
        </w:rPr>
        <w:t>&lt;</w:t>
      </w:r>
      <w:hyperlink r:id="rId6" w:history="1">
        <w:r w:rsidR="00F92E97" w:rsidRPr="009F2C5E">
          <w:rPr>
            <w:rStyle w:val="Hyperlink"/>
            <w:sz w:val="16"/>
            <w:szCs w:val="16"/>
          </w:rPr>
          <w:t>www.jstor.org/stable/511904.</w:t>
        </w:r>
      </w:hyperlink>
      <w:r w:rsidR="00F92E97">
        <w:rPr>
          <w:sz w:val="16"/>
          <w:szCs w:val="16"/>
        </w:rPr>
        <w:t xml:space="preserve">&gt; </w:t>
      </w:r>
      <w:r w:rsidR="00F92E97" w:rsidRPr="00C10033">
        <w:rPr>
          <w:sz w:val="16"/>
          <w:szCs w:val="16"/>
        </w:rPr>
        <w:t>[Accessed 4</w:t>
      </w:r>
      <w:r w:rsidR="00F92E97" w:rsidRPr="00C10033">
        <w:rPr>
          <w:sz w:val="16"/>
          <w:szCs w:val="16"/>
          <w:vertAlign w:val="superscript"/>
        </w:rPr>
        <w:t>th</w:t>
      </w:r>
      <w:r w:rsidR="00F92E97" w:rsidRPr="00C10033">
        <w:rPr>
          <w:sz w:val="16"/>
          <w:szCs w:val="16"/>
        </w:rPr>
        <w:t xml:space="preserve"> May 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CB2C23" w14:textId="77777777" w:rsidR="004F00C3" w:rsidRDefault="004F00C3">
    <w:pPr>
      <w:pStyle w:val="Header"/>
    </w:pPr>
    <w:r>
      <w:t>Michael Thomas 0800946</w:t>
    </w:r>
  </w:p>
  <w:p w14:paraId="7A692F00" w14:textId="77777777" w:rsidR="004F00C3" w:rsidRDefault="004F00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0C3"/>
    <w:rsid w:val="00003476"/>
    <w:rsid w:val="00004E2F"/>
    <w:rsid w:val="000061D5"/>
    <w:rsid w:val="00006B8E"/>
    <w:rsid w:val="00014B9C"/>
    <w:rsid w:val="00017699"/>
    <w:rsid w:val="00021EA7"/>
    <w:rsid w:val="0002563C"/>
    <w:rsid w:val="0002626C"/>
    <w:rsid w:val="0002783A"/>
    <w:rsid w:val="000303E4"/>
    <w:rsid w:val="00032B7B"/>
    <w:rsid w:val="00033082"/>
    <w:rsid w:val="000361E6"/>
    <w:rsid w:val="00043846"/>
    <w:rsid w:val="00043B2D"/>
    <w:rsid w:val="00055D35"/>
    <w:rsid w:val="000709F3"/>
    <w:rsid w:val="000759BB"/>
    <w:rsid w:val="00076605"/>
    <w:rsid w:val="000A1F59"/>
    <w:rsid w:val="000A7E43"/>
    <w:rsid w:val="000B5D17"/>
    <w:rsid w:val="000D36E6"/>
    <w:rsid w:val="000D74EF"/>
    <w:rsid w:val="000E4811"/>
    <w:rsid w:val="000E4C60"/>
    <w:rsid w:val="000E57B5"/>
    <w:rsid w:val="0010356F"/>
    <w:rsid w:val="00106DA2"/>
    <w:rsid w:val="00107589"/>
    <w:rsid w:val="00115699"/>
    <w:rsid w:val="00133AA5"/>
    <w:rsid w:val="0014629C"/>
    <w:rsid w:val="00151957"/>
    <w:rsid w:val="0015420B"/>
    <w:rsid w:val="001559F8"/>
    <w:rsid w:val="00157DDD"/>
    <w:rsid w:val="00162776"/>
    <w:rsid w:val="00170E40"/>
    <w:rsid w:val="00182A47"/>
    <w:rsid w:val="00195736"/>
    <w:rsid w:val="001B0989"/>
    <w:rsid w:val="001D00F1"/>
    <w:rsid w:val="001D74C2"/>
    <w:rsid w:val="001E358F"/>
    <w:rsid w:val="001E69E8"/>
    <w:rsid w:val="001F79A7"/>
    <w:rsid w:val="00202AA8"/>
    <w:rsid w:val="00204919"/>
    <w:rsid w:val="00207B3D"/>
    <w:rsid w:val="00212B71"/>
    <w:rsid w:val="00230CD9"/>
    <w:rsid w:val="002375E3"/>
    <w:rsid w:val="0024111A"/>
    <w:rsid w:val="00242F22"/>
    <w:rsid w:val="00252634"/>
    <w:rsid w:val="002576C7"/>
    <w:rsid w:val="00261F75"/>
    <w:rsid w:val="002622D8"/>
    <w:rsid w:val="00271973"/>
    <w:rsid w:val="00272BFB"/>
    <w:rsid w:val="00272DCC"/>
    <w:rsid w:val="00274F53"/>
    <w:rsid w:val="002A396E"/>
    <w:rsid w:val="002B7334"/>
    <w:rsid w:val="002C4EA7"/>
    <w:rsid w:val="002D205E"/>
    <w:rsid w:val="002D2702"/>
    <w:rsid w:val="002D2AEB"/>
    <w:rsid w:val="002E63D8"/>
    <w:rsid w:val="002F6DC7"/>
    <w:rsid w:val="00325BD1"/>
    <w:rsid w:val="00330A5A"/>
    <w:rsid w:val="00334119"/>
    <w:rsid w:val="0033555E"/>
    <w:rsid w:val="0034073A"/>
    <w:rsid w:val="003462D6"/>
    <w:rsid w:val="00355542"/>
    <w:rsid w:val="003618F5"/>
    <w:rsid w:val="00364055"/>
    <w:rsid w:val="0037408C"/>
    <w:rsid w:val="00375EBB"/>
    <w:rsid w:val="003813E5"/>
    <w:rsid w:val="00386280"/>
    <w:rsid w:val="003A1558"/>
    <w:rsid w:val="003A73CA"/>
    <w:rsid w:val="003B4795"/>
    <w:rsid w:val="003C128D"/>
    <w:rsid w:val="003C3549"/>
    <w:rsid w:val="003C391A"/>
    <w:rsid w:val="003D4B02"/>
    <w:rsid w:val="003E0506"/>
    <w:rsid w:val="00401B7A"/>
    <w:rsid w:val="00412762"/>
    <w:rsid w:val="00414583"/>
    <w:rsid w:val="0041669C"/>
    <w:rsid w:val="004200D4"/>
    <w:rsid w:val="004201F3"/>
    <w:rsid w:val="00424178"/>
    <w:rsid w:val="00434D3A"/>
    <w:rsid w:val="00435AB1"/>
    <w:rsid w:val="00451A88"/>
    <w:rsid w:val="00454211"/>
    <w:rsid w:val="00456EF3"/>
    <w:rsid w:val="00472464"/>
    <w:rsid w:val="00474179"/>
    <w:rsid w:val="0048060E"/>
    <w:rsid w:val="004927E6"/>
    <w:rsid w:val="004A3C94"/>
    <w:rsid w:val="004C007A"/>
    <w:rsid w:val="004C1DDA"/>
    <w:rsid w:val="004D163F"/>
    <w:rsid w:val="004D6194"/>
    <w:rsid w:val="004E1159"/>
    <w:rsid w:val="004E1B90"/>
    <w:rsid w:val="004E3723"/>
    <w:rsid w:val="004E3F8D"/>
    <w:rsid w:val="004F00C3"/>
    <w:rsid w:val="004F2CE8"/>
    <w:rsid w:val="00512717"/>
    <w:rsid w:val="00513ED5"/>
    <w:rsid w:val="005168C4"/>
    <w:rsid w:val="005231FB"/>
    <w:rsid w:val="005239C5"/>
    <w:rsid w:val="00532DC8"/>
    <w:rsid w:val="00535523"/>
    <w:rsid w:val="00544E1A"/>
    <w:rsid w:val="0055109A"/>
    <w:rsid w:val="005531C5"/>
    <w:rsid w:val="0055429B"/>
    <w:rsid w:val="005554A9"/>
    <w:rsid w:val="00566B9C"/>
    <w:rsid w:val="00575DD4"/>
    <w:rsid w:val="00582691"/>
    <w:rsid w:val="00590285"/>
    <w:rsid w:val="0059075D"/>
    <w:rsid w:val="00594A4C"/>
    <w:rsid w:val="00596C6F"/>
    <w:rsid w:val="005A1040"/>
    <w:rsid w:val="005A13BA"/>
    <w:rsid w:val="005B07E6"/>
    <w:rsid w:val="005B0E4F"/>
    <w:rsid w:val="005B4558"/>
    <w:rsid w:val="005B67EB"/>
    <w:rsid w:val="005D0122"/>
    <w:rsid w:val="005D1965"/>
    <w:rsid w:val="005E44CD"/>
    <w:rsid w:val="005F2BF5"/>
    <w:rsid w:val="005F5E8F"/>
    <w:rsid w:val="00602405"/>
    <w:rsid w:val="00603488"/>
    <w:rsid w:val="00603B0B"/>
    <w:rsid w:val="006056DF"/>
    <w:rsid w:val="006124A2"/>
    <w:rsid w:val="00613727"/>
    <w:rsid w:val="00616ED6"/>
    <w:rsid w:val="00624BCC"/>
    <w:rsid w:val="006328D6"/>
    <w:rsid w:val="006508BD"/>
    <w:rsid w:val="00650CFE"/>
    <w:rsid w:val="006522F1"/>
    <w:rsid w:val="0066483F"/>
    <w:rsid w:val="00677C6B"/>
    <w:rsid w:val="0068696B"/>
    <w:rsid w:val="006A3C28"/>
    <w:rsid w:val="006A4F7F"/>
    <w:rsid w:val="006A7301"/>
    <w:rsid w:val="006B4DE7"/>
    <w:rsid w:val="006B6102"/>
    <w:rsid w:val="006C2B0E"/>
    <w:rsid w:val="006C2B6F"/>
    <w:rsid w:val="006C34DC"/>
    <w:rsid w:val="006C48BA"/>
    <w:rsid w:val="006C6EAE"/>
    <w:rsid w:val="006E2A67"/>
    <w:rsid w:val="006E3CEC"/>
    <w:rsid w:val="00701784"/>
    <w:rsid w:val="00702131"/>
    <w:rsid w:val="007069E9"/>
    <w:rsid w:val="007074C1"/>
    <w:rsid w:val="00713B1E"/>
    <w:rsid w:val="007147F9"/>
    <w:rsid w:val="00717F16"/>
    <w:rsid w:val="00733120"/>
    <w:rsid w:val="00735A47"/>
    <w:rsid w:val="00736F9E"/>
    <w:rsid w:val="00773FD6"/>
    <w:rsid w:val="0077632D"/>
    <w:rsid w:val="00787F71"/>
    <w:rsid w:val="00797412"/>
    <w:rsid w:val="007A421F"/>
    <w:rsid w:val="007B45D1"/>
    <w:rsid w:val="007B5592"/>
    <w:rsid w:val="007B6146"/>
    <w:rsid w:val="007C4D61"/>
    <w:rsid w:val="007D5621"/>
    <w:rsid w:val="007D6746"/>
    <w:rsid w:val="007E67B4"/>
    <w:rsid w:val="007F1513"/>
    <w:rsid w:val="007F3CE1"/>
    <w:rsid w:val="008048F5"/>
    <w:rsid w:val="00805EB3"/>
    <w:rsid w:val="0081392A"/>
    <w:rsid w:val="00826CF1"/>
    <w:rsid w:val="008430DC"/>
    <w:rsid w:val="0084706B"/>
    <w:rsid w:val="00851628"/>
    <w:rsid w:val="008525F8"/>
    <w:rsid w:val="00856B2D"/>
    <w:rsid w:val="008634F7"/>
    <w:rsid w:val="00864B28"/>
    <w:rsid w:val="00871336"/>
    <w:rsid w:val="008723F2"/>
    <w:rsid w:val="008727A2"/>
    <w:rsid w:val="008732AB"/>
    <w:rsid w:val="00891490"/>
    <w:rsid w:val="008A5C1C"/>
    <w:rsid w:val="008D21A3"/>
    <w:rsid w:val="008E204D"/>
    <w:rsid w:val="008E5757"/>
    <w:rsid w:val="008E64B9"/>
    <w:rsid w:val="008E6711"/>
    <w:rsid w:val="008F0818"/>
    <w:rsid w:val="008F10B6"/>
    <w:rsid w:val="00902EA9"/>
    <w:rsid w:val="00903A88"/>
    <w:rsid w:val="00911390"/>
    <w:rsid w:val="00916CF0"/>
    <w:rsid w:val="00920B28"/>
    <w:rsid w:val="00925612"/>
    <w:rsid w:val="00932C8A"/>
    <w:rsid w:val="009359C7"/>
    <w:rsid w:val="0094280A"/>
    <w:rsid w:val="00946951"/>
    <w:rsid w:val="009603D0"/>
    <w:rsid w:val="00971ABD"/>
    <w:rsid w:val="00973B71"/>
    <w:rsid w:val="00983D7D"/>
    <w:rsid w:val="009844AD"/>
    <w:rsid w:val="009A0F23"/>
    <w:rsid w:val="009A2878"/>
    <w:rsid w:val="009C1262"/>
    <w:rsid w:val="009E5406"/>
    <w:rsid w:val="009E6F3A"/>
    <w:rsid w:val="009F2C78"/>
    <w:rsid w:val="009F72F4"/>
    <w:rsid w:val="00A01FBA"/>
    <w:rsid w:val="00A021FC"/>
    <w:rsid w:val="00A1092C"/>
    <w:rsid w:val="00A2505F"/>
    <w:rsid w:val="00A3025F"/>
    <w:rsid w:val="00A3124C"/>
    <w:rsid w:val="00A510A7"/>
    <w:rsid w:val="00A61C23"/>
    <w:rsid w:val="00A654C0"/>
    <w:rsid w:val="00A805D6"/>
    <w:rsid w:val="00A852D1"/>
    <w:rsid w:val="00A87DDD"/>
    <w:rsid w:val="00A9605F"/>
    <w:rsid w:val="00A970F8"/>
    <w:rsid w:val="00A9760D"/>
    <w:rsid w:val="00AA146E"/>
    <w:rsid w:val="00AA72F4"/>
    <w:rsid w:val="00AD69D1"/>
    <w:rsid w:val="00AE5B29"/>
    <w:rsid w:val="00AF13D1"/>
    <w:rsid w:val="00AF6EAF"/>
    <w:rsid w:val="00B12A5A"/>
    <w:rsid w:val="00B1776C"/>
    <w:rsid w:val="00B24BC1"/>
    <w:rsid w:val="00B27269"/>
    <w:rsid w:val="00B4103A"/>
    <w:rsid w:val="00B460D3"/>
    <w:rsid w:val="00B46726"/>
    <w:rsid w:val="00B47433"/>
    <w:rsid w:val="00B509C9"/>
    <w:rsid w:val="00B54269"/>
    <w:rsid w:val="00B55614"/>
    <w:rsid w:val="00B6147B"/>
    <w:rsid w:val="00B6475C"/>
    <w:rsid w:val="00B72261"/>
    <w:rsid w:val="00B8027E"/>
    <w:rsid w:val="00B81FA6"/>
    <w:rsid w:val="00B91E7C"/>
    <w:rsid w:val="00B95456"/>
    <w:rsid w:val="00BA3834"/>
    <w:rsid w:val="00BB0215"/>
    <w:rsid w:val="00BB7619"/>
    <w:rsid w:val="00BE46AA"/>
    <w:rsid w:val="00BE76CD"/>
    <w:rsid w:val="00BF1258"/>
    <w:rsid w:val="00BF35C4"/>
    <w:rsid w:val="00BF5762"/>
    <w:rsid w:val="00BF6423"/>
    <w:rsid w:val="00C06389"/>
    <w:rsid w:val="00C10033"/>
    <w:rsid w:val="00C16754"/>
    <w:rsid w:val="00C21416"/>
    <w:rsid w:val="00C2283F"/>
    <w:rsid w:val="00C2647E"/>
    <w:rsid w:val="00C30BB4"/>
    <w:rsid w:val="00C34F4D"/>
    <w:rsid w:val="00C441E6"/>
    <w:rsid w:val="00C67C14"/>
    <w:rsid w:val="00C73729"/>
    <w:rsid w:val="00C76754"/>
    <w:rsid w:val="00C80B66"/>
    <w:rsid w:val="00C84622"/>
    <w:rsid w:val="00CA169F"/>
    <w:rsid w:val="00CA386F"/>
    <w:rsid w:val="00CA4CC1"/>
    <w:rsid w:val="00CB7C09"/>
    <w:rsid w:val="00CC35B8"/>
    <w:rsid w:val="00CD09EF"/>
    <w:rsid w:val="00CE041B"/>
    <w:rsid w:val="00CE3EC3"/>
    <w:rsid w:val="00D03D38"/>
    <w:rsid w:val="00D17216"/>
    <w:rsid w:val="00D3110A"/>
    <w:rsid w:val="00D37952"/>
    <w:rsid w:val="00D42EE9"/>
    <w:rsid w:val="00D50149"/>
    <w:rsid w:val="00D56078"/>
    <w:rsid w:val="00D607E5"/>
    <w:rsid w:val="00D6250B"/>
    <w:rsid w:val="00D646D4"/>
    <w:rsid w:val="00D647B8"/>
    <w:rsid w:val="00D747A0"/>
    <w:rsid w:val="00D7580E"/>
    <w:rsid w:val="00D8306A"/>
    <w:rsid w:val="00D83CBF"/>
    <w:rsid w:val="00D93CEF"/>
    <w:rsid w:val="00DA4299"/>
    <w:rsid w:val="00DA5B36"/>
    <w:rsid w:val="00DA648A"/>
    <w:rsid w:val="00DA6C57"/>
    <w:rsid w:val="00DB1A9B"/>
    <w:rsid w:val="00DB3224"/>
    <w:rsid w:val="00DC0194"/>
    <w:rsid w:val="00DC0DCF"/>
    <w:rsid w:val="00DC2F29"/>
    <w:rsid w:val="00DC7000"/>
    <w:rsid w:val="00DD53DC"/>
    <w:rsid w:val="00DF1843"/>
    <w:rsid w:val="00E026E1"/>
    <w:rsid w:val="00E034A2"/>
    <w:rsid w:val="00E03B18"/>
    <w:rsid w:val="00E0704E"/>
    <w:rsid w:val="00E13D5C"/>
    <w:rsid w:val="00E177D3"/>
    <w:rsid w:val="00E34DC4"/>
    <w:rsid w:val="00E428BE"/>
    <w:rsid w:val="00E45FFF"/>
    <w:rsid w:val="00E52977"/>
    <w:rsid w:val="00E5452C"/>
    <w:rsid w:val="00E56076"/>
    <w:rsid w:val="00E70372"/>
    <w:rsid w:val="00E74460"/>
    <w:rsid w:val="00E7675C"/>
    <w:rsid w:val="00E8081B"/>
    <w:rsid w:val="00E872C6"/>
    <w:rsid w:val="00EA37E2"/>
    <w:rsid w:val="00EC7C3E"/>
    <w:rsid w:val="00ED40A8"/>
    <w:rsid w:val="00ED4699"/>
    <w:rsid w:val="00EE08C3"/>
    <w:rsid w:val="00EF2487"/>
    <w:rsid w:val="00EF5881"/>
    <w:rsid w:val="00EF62FF"/>
    <w:rsid w:val="00F00DFD"/>
    <w:rsid w:val="00F0423B"/>
    <w:rsid w:val="00F04B3F"/>
    <w:rsid w:val="00F1387A"/>
    <w:rsid w:val="00F1716B"/>
    <w:rsid w:val="00F224B8"/>
    <w:rsid w:val="00F30914"/>
    <w:rsid w:val="00F31008"/>
    <w:rsid w:val="00F5739C"/>
    <w:rsid w:val="00F801D0"/>
    <w:rsid w:val="00F810D5"/>
    <w:rsid w:val="00F8505C"/>
    <w:rsid w:val="00F908B6"/>
    <w:rsid w:val="00F92E97"/>
    <w:rsid w:val="00FB41DE"/>
    <w:rsid w:val="00FB43F6"/>
    <w:rsid w:val="00FB5836"/>
    <w:rsid w:val="00FD148D"/>
    <w:rsid w:val="00FD2ED9"/>
    <w:rsid w:val="00FD4774"/>
    <w:rsid w:val="00FD4F05"/>
    <w:rsid w:val="00FE0239"/>
    <w:rsid w:val="00FE4ED8"/>
    <w:rsid w:val="00FF5A3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30CDB6"/>
  <w15:chartTrackingRefBased/>
  <w15:docId w15:val="{56CB78BD-4323-45DA-90A9-D58FCF5B5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00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0C3"/>
  </w:style>
  <w:style w:type="paragraph" w:styleId="Footer">
    <w:name w:val="footer"/>
    <w:basedOn w:val="Normal"/>
    <w:link w:val="FooterChar"/>
    <w:uiPriority w:val="99"/>
    <w:unhideWhenUsed/>
    <w:rsid w:val="004F00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0C3"/>
  </w:style>
  <w:style w:type="character" w:styleId="Hyperlink">
    <w:name w:val="Hyperlink"/>
    <w:basedOn w:val="DefaultParagraphFont"/>
    <w:uiPriority w:val="99"/>
    <w:unhideWhenUsed/>
    <w:rsid w:val="0059075D"/>
    <w:rPr>
      <w:color w:val="0563C1" w:themeColor="hyperlink"/>
      <w:u w:val="single"/>
    </w:rPr>
  </w:style>
  <w:style w:type="character" w:styleId="UnresolvedMention">
    <w:name w:val="Unresolved Mention"/>
    <w:basedOn w:val="DefaultParagraphFont"/>
    <w:uiPriority w:val="99"/>
    <w:semiHidden/>
    <w:unhideWhenUsed/>
    <w:rsid w:val="0059075D"/>
    <w:rPr>
      <w:color w:val="808080"/>
      <w:shd w:val="clear" w:color="auto" w:fill="E6E6E6"/>
    </w:rPr>
  </w:style>
  <w:style w:type="paragraph" w:styleId="FootnoteText">
    <w:name w:val="footnote text"/>
    <w:basedOn w:val="Normal"/>
    <w:link w:val="FootnoteTextChar"/>
    <w:uiPriority w:val="99"/>
    <w:semiHidden/>
    <w:unhideWhenUsed/>
    <w:rsid w:val="00BF576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F5762"/>
    <w:rPr>
      <w:sz w:val="20"/>
      <w:szCs w:val="20"/>
    </w:rPr>
  </w:style>
  <w:style w:type="character" w:styleId="FootnoteReference">
    <w:name w:val="footnote reference"/>
    <w:basedOn w:val="DefaultParagraphFont"/>
    <w:uiPriority w:val="99"/>
    <w:semiHidden/>
    <w:unhideWhenUsed/>
    <w:rsid w:val="00BF576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511904" TargetMode="External"/><Relationship Id="rId13" Type="http://schemas.openxmlformats.org/officeDocument/2006/relationships/hyperlink" Target="http://www.jstor.org/stable/438057"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jstor.org/stable/459922" TargetMode="External"/><Relationship Id="rId12" Type="http://schemas.openxmlformats.org/officeDocument/2006/relationships/hyperlink" Target="http://www.jstor.org/stable/3040330" TargetMode="External"/><Relationship Id="rId17" Type="http://schemas.openxmlformats.org/officeDocument/2006/relationships/hyperlink" Target="http://www.jstor.org/stable/434846" TargetMode="External"/><Relationship Id="rId2" Type="http://schemas.openxmlformats.org/officeDocument/2006/relationships/styles" Target="styles.xml"/><Relationship Id="rId16" Type="http://schemas.openxmlformats.org/officeDocument/2006/relationships/hyperlink" Target="http://www.jstor.org/stable/437646"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jstor.org/stable/460364" TargetMode="External"/><Relationship Id="rId5" Type="http://schemas.openxmlformats.org/officeDocument/2006/relationships/footnotes" Target="footnotes.xml"/><Relationship Id="rId15" Type="http://schemas.openxmlformats.org/officeDocument/2006/relationships/hyperlink" Target="http://www.jstor.org/stable/3738182" TargetMode="External"/><Relationship Id="rId10" Type="http://schemas.openxmlformats.org/officeDocument/2006/relationships/hyperlink" Target="http://www.jstor.org/stable/4173747"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jstor.org/stable/510913" TargetMode="External"/><Relationship Id="rId14" Type="http://schemas.openxmlformats.org/officeDocument/2006/relationships/hyperlink" Target="http://www.jstor.org/stable/1260690"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460364" TargetMode="External"/><Relationship Id="rId2" Type="http://schemas.openxmlformats.org/officeDocument/2006/relationships/hyperlink" Target="http://www.jstor.org/stable/510913" TargetMode="External"/><Relationship Id="rId1" Type="http://schemas.openxmlformats.org/officeDocument/2006/relationships/hyperlink" Target="http://www.jstor.org/stable/4173747." TargetMode="External"/><Relationship Id="rId6" Type="http://schemas.openxmlformats.org/officeDocument/2006/relationships/hyperlink" Target="http://www.jstor.org/stable/511904." TargetMode="External"/><Relationship Id="rId5" Type="http://schemas.openxmlformats.org/officeDocument/2006/relationships/hyperlink" Target="http://www.jstor.org/stable/3040330." TargetMode="External"/><Relationship Id="rId4" Type="http://schemas.openxmlformats.org/officeDocument/2006/relationships/hyperlink" Target="http://www.jstor.org/stable/4599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3045</Words>
  <Characters>14926</Characters>
  <Application>Microsoft Office Word</Application>
  <DocSecurity>0</DocSecurity>
  <Lines>210</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Thomas (0800946)</dc:creator>
  <cp:keywords/>
  <dc:description/>
  <cp:lastModifiedBy>Michael Thomas (0800946)</cp:lastModifiedBy>
  <cp:revision>2</cp:revision>
  <dcterms:created xsi:type="dcterms:W3CDTF">2018-05-04T18:52:00Z</dcterms:created>
  <dcterms:modified xsi:type="dcterms:W3CDTF">2018-05-04T18:52:00Z</dcterms:modified>
</cp:coreProperties>
</file>