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050267233"/>
        <w:docPartObj>
          <w:docPartGallery w:val="Cover Pages"/>
          <w:docPartUnique/>
        </w:docPartObj>
      </w:sdtPr>
      <w:sdtEndPr>
        <w:rPr>
          <w:rFonts w:ascii="Times New Roman" w:hAnsi="Times New Roman" w:cs="Times New Roman"/>
          <w:sz w:val="24"/>
          <w:szCs w:val="24"/>
        </w:rPr>
      </w:sdtEndPr>
      <w:sdtContent>
        <w:p w14:paraId="32B25D32" w14:textId="2FF4B8B1" w:rsidR="002E1F5B" w:rsidRDefault="002E1F5B">
          <w:pPr>
            <w:pStyle w:val="NoSpacing"/>
            <w:rPr>
              <w:sz w:val="2"/>
            </w:rPr>
          </w:pPr>
        </w:p>
        <w:p w14:paraId="7FAE0713" w14:textId="6642461C" w:rsidR="002E1F5B" w:rsidRDefault="002E1F5B"/>
        <w:p w14:paraId="2F34074F" w14:textId="77777777" w:rsidR="000966E0" w:rsidRDefault="000966E0" w:rsidP="000966E0">
          <w:pPr>
            <w:ind w:left="2880"/>
            <w:rPr>
              <w:rFonts w:ascii="Times New Roman" w:hAnsi="Times New Roman" w:cs="Times New Roman"/>
              <w:sz w:val="24"/>
              <w:szCs w:val="24"/>
            </w:rPr>
          </w:pPr>
        </w:p>
        <w:p w14:paraId="6FD1C0B4" w14:textId="656D5A74" w:rsidR="000966E0" w:rsidRPr="0094770A" w:rsidRDefault="000966E0" w:rsidP="000966E0">
          <w:pPr>
            <w:ind w:left="2880"/>
            <w:rPr>
              <w:b/>
              <w:i/>
              <w:sz w:val="32"/>
              <w:szCs w:val="32"/>
            </w:rPr>
          </w:pPr>
          <w:r w:rsidRPr="0094770A">
            <w:rPr>
              <w:b/>
              <w:i/>
              <w:sz w:val="32"/>
              <w:szCs w:val="32"/>
            </w:rPr>
            <w:t>Community Engagement</w:t>
          </w:r>
        </w:p>
        <w:p w14:paraId="5CDAA1C4" w14:textId="77777777" w:rsidR="000966E0" w:rsidRPr="0094770A" w:rsidRDefault="000966E0" w:rsidP="000966E0">
          <w:pPr>
            <w:jc w:val="center"/>
            <w:rPr>
              <w:b/>
              <w:i/>
              <w:sz w:val="32"/>
              <w:szCs w:val="32"/>
            </w:rPr>
          </w:pPr>
          <w:r w:rsidRPr="0094770A">
            <w:rPr>
              <w:b/>
              <w:i/>
              <w:sz w:val="32"/>
              <w:szCs w:val="32"/>
            </w:rPr>
            <w:t>LCBB4002</w:t>
          </w:r>
        </w:p>
        <w:p w14:paraId="4A7CB717" w14:textId="77777777" w:rsidR="000966E0" w:rsidRPr="0094770A" w:rsidRDefault="000966E0" w:rsidP="000966E0">
          <w:pPr>
            <w:jc w:val="center"/>
            <w:rPr>
              <w:b/>
              <w:i/>
              <w:sz w:val="32"/>
              <w:szCs w:val="32"/>
            </w:rPr>
          </w:pPr>
          <w:r w:rsidRPr="0094770A">
            <w:rPr>
              <w:b/>
              <w:i/>
              <w:sz w:val="32"/>
              <w:szCs w:val="32"/>
            </w:rPr>
            <w:t>British Airways</w:t>
          </w:r>
          <w:r>
            <w:rPr>
              <w:b/>
              <w:i/>
              <w:sz w:val="32"/>
              <w:szCs w:val="32"/>
            </w:rPr>
            <w:t xml:space="preserve"> - </w:t>
          </w:r>
          <w:r w:rsidRPr="0094770A">
            <w:rPr>
              <w:b/>
              <w:i/>
              <w:sz w:val="32"/>
              <w:szCs w:val="32"/>
            </w:rPr>
            <w:t>The Best Practice of Customer Engagement</w:t>
          </w:r>
        </w:p>
        <w:p w14:paraId="2D88D3DC" w14:textId="77777777" w:rsidR="000966E0" w:rsidRPr="0094770A" w:rsidRDefault="000966E0" w:rsidP="000966E0">
          <w:pPr>
            <w:jc w:val="center"/>
            <w:rPr>
              <w:b/>
              <w:i/>
              <w:sz w:val="32"/>
              <w:szCs w:val="32"/>
            </w:rPr>
          </w:pPr>
          <w:r w:rsidRPr="0094770A">
            <w:rPr>
              <w:b/>
              <w:i/>
              <w:sz w:val="32"/>
              <w:szCs w:val="32"/>
            </w:rPr>
            <w:t>Assignment 1</w:t>
          </w:r>
        </w:p>
        <w:p w14:paraId="753464FA" w14:textId="77777777" w:rsidR="000966E0" w:rsidRPr="0094770A" w:rsidRDefault="000966E0" w:rsidP="000966E0">
          <w:pPr>
            <w:jc w:val="center"/>
            <w:rPr>
              <w:b/>
              <w:i/>
              <w:sz w:val="32"/>
              <w:szCs w:val="32"/>
            </w:rPr>
          </w:pPr>
        </w:p>
        <w:p w14:paraId="7612C4A7" w14:textId="77777777" w:rsidR="000966E0" w:rsidRPr="0094770A" w:rsidRDefault="000966E0" w:rsidP="000966E0">
          <w:pPr>
            <w:jc w:val="center"/>
            <w:rPr>
              <w:b/>
              <w:i/>
              <w:sz w:val="32"/>
              <w:szCs w:val="32"/>
            </w:rPr>
          </w:pPr>
        </w:p>
        <w:p w14:paraId="4A8984FE" w14:textId="77777777" w:rsidR="000966E0" w:rsidRDefault="000966E0" w:rsidP="000966E0">
          <w:pPr>
            <w:rPr>
              <w:b/>
              <w:i/>
              <w:sz w:val="32"/>
              <w:szCs w:val="32"/>
            </w:rPr>
          </w:pPr>
          <w:r w:rsidRPr="0094770A">
            <w:rPr>
              <w:b/>
              <w:i/>
              <w:sz w:val="32"/>
              <w:szCs w:val="32"/>
            </w:rPr>
            <w:t xml:space="preserve">                                       </w:t>
          </w:r>
        </w:p>
        <w:p w14:paraId="490F21FE" w14:textId="7A091C24" w:rsidR="000966E0" w:rsidRPr="0094770A" w:rsidRDefault="000966E0" w:rsidP="000966E0">
          <w:pPr>
            <w:ind w:left="2160" w:firstLine="720"/>
            <w:rPr>
              <w:b/>
              <w:i/>
              <w:sz w:val="32"/>
              <w:szCs w:val="32"/>
            </w:rPr>
          </w:pPr>
          <w:r w:rsidRPr="0094770A">
            <w:rPr>
              <w:b/>
              <w:i/>
              <w:sz w:val="32"/>
              <w:szCs w:val="32"/>
            </w:rPr>
            <w:t xml:space="preserve">           Svetoslav Stoianov</w:t>
          </w:r>
        </w:p>
        <w:p w14:paraId="6497F9B1" w14:textId="77777777" w:rsidR="000966E0" w:rsidRPr="0094770A" w:rsidRDefault="000966E0" w:rsidP="000966E0">
          <w:pPr>
            <w:ind w:left="3600"/>
            <w:rPr>
              <w:b/>
              <w:bCs/>
              <w:sz w:val="32"/>
              <w:szCs w:val="32"/>
            </w:rPr>
          </w:pPr>
          <w:r w:rsidRPr="0094770A">
            <w:rPr>
              <w:b/>
              <w:i/>
              <w:sz w:val="32"/>
              <w:szCs w:val="32"/>
            </w:rPr>
            <w:t xml:space="preserve">      ID 2023030</w:t>
          </w:r>
        </w:p>
        <w:p w14:paraId="525261C8" w14:textId="3552F523" w:rsidR="002E1F5B" w:rsidRDefault="002E1F5B">
          <w:pPr>
            <w:rPr>
              <w:rFonts w:ascii="Times New Roman" w:hAnsi="Times New Roman" w:cs="Times New Roman"/>
              <w:caps/>
              <w:color w:val="FFFFFF" w:themeColor="background1"/>
              <w:spacing w:val="15"/>
              <w:sz w:val="24"/>
              <w:szCs w:val="24"/>
            </w:rPr>
          </w:pPr>
          <w:r>
            <w:rPr>
              <w:rFonts w:ascii="Times New Roman" w:hAnsi="Times New Roman" w:cs="Times New Roman"/>
              <w:sz w:val="24"/>
              <w:szCs w:val="24"/>
            </w:rPr>
            <w:br w:type="page"/>
          </w:r>
        </w:p>
      </w:sdtContent>
    </w:sdt>
    <w:p w14:paraId="3D7E157D" w14:textId="77777777" w:rsidR="007C609B" w:rsidRPr="000966E0" w:rsidRDefault="007C609B" w:rsidP="000966E0">
      <w:pPr>
        <w:rPr>
          <w:b/>
          <w:bCs/>
          <w:sz w:val="28"/>
          <w:szCs w:val="28"/>
        </w:rPr>
      </w:pPr>
      <w:r w:rsidRPr="000966E0">
        <w:rPr>
          <w:b/>
          <w:bCs/>
          <w:sz w:val="28"/>
          <w:szCs w:val="28"/>
        </w:rPr>
        <w:lastRenderedPageBreak/>
        <w:t>Introduction</w:t>
      </w:r>
    </w:p>
    <w:p w14:paraId="290B4277" w14:textId="77777777" w:rsidR="00241492" w:rsidRPr="002E1F5B" w:rsidRDefault="00241492"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Community engagement can be stated as major concern for social and economic transformation within any particular society. Development of sustainable and effective environment is ensured through community engagement and it is realized as that particular concept through which ethical issues have been solved which is regarding scheming tactics or spin. </w:t>
      </w:r>
    </w:p>
    <w:p w14:paraId="300191D8" w14:textId="77777777" w:rsidR="00241492" w:rsidRPr="002E1F5B" w:rsidRDefault="00241492"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After ensuring its stronger connection, greater influence is resulted to those who implement and formulate the policies through which the society is governed. Implementation and development of major societal principles as well as procedures </w:t>
      </w:r>
      <w:r w:rsidR="005E6540" w:rsidRPr="002E1F5B">
        <w:rPr>
          <w:rFonts w:ascii="Times New Roman" w:hAnsi="Times New Roman" w:cs="Times New Roman"/>
          <w:sz w:val="24"/>
          <w:szCs w:val="24"/>
        </w:rPr>
        <w:t xml:space="preserve">is examined through community </w:t>
      </w:r>
      <w:r w:rsidR="00F25A11" w:rsidRPr="002E1F5B">
        <w:rPr>
          <w:rFonts w:ascii="Times New Roman" w:hAnsi="Times New Roman" w:cs="Times New Roman"/>
          <w:sz w:val="24"/>
          <w:szCs w:val="24"/>
        </w:rPr>
        <w:t>engagements which are</w:t>
      </w:r>
      <w:r w:rsidR="005E6540" w:rsidRPr="002E1F5B">
        <w:rPr>
          <w:rFonts w:ascii="Times New Roman" w:hAnsi="Times New Roman" w:cs="Times New Roman"/>
          <w:sz w:val="24"/>
          <w:szCs w:val="24"/>
        </w:rPr>
        <w:t xml:space="preserve"> considered to be essential for participation of the community. </w:t>
      </w:r>
    </w:p>
    <w:p w14:paraId="4744D14D" w14:textId="77777777" w:rsidR="005E6540" w:rsidRPr="002E1F5B" w:rsidRDefault="00F25A11"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Moreover, relationships are ultimately formed when awareness is there amid societal members, it might not be possible that ethical issues can be addressed within the community so, requirement is there of having programs and guidelines so that such functions can be performed. </w:t>
      </w:r>
    </w:p>
    <w:p w14:paraId="361E5BE7" w14:textId="77777777" w:rsidR="007C609B" w:rsidRPr="002E1F5B" w:rsidRDefault="004B4D5A"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When the society has to be enlightened, </w:t>
      </w:r>
      <w:r w:rsidR="00CF557A" w:rsidRPr="002E1F5B">
        <w:rPr>
          <w:rFonts w:ascii="Times New Roman" w:hAnsi="Times New Roman" w:cs="Times New Roman"/>
          <w:sz w:val="24"/>
          <w:szCs w:val="24"/>
        </w:rPr>
        <w:t xml:space="preserve">it has been realized by the educated that dissimilar projects and ways must be utilized according to type of the society. Within the institution, development programs creation and programs based on community are considered as reliable methodologies which can be implemented so that participation of the community can be realized. </w:t>
      </w:r>
    </w:p>
    <w:p w14:paraId="24985D1A" w14:textId="77777777" w:rsidR="000966E0" w:rsidRDefault="00F10A83"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So, understanding has been developed by the society regarding the significance that is there of community engagement whose objective is that difference must be created in their lives. </w:t>
      </w:r>
      <w:r w:rsidR="00EC4834" w:rsidRPr="002E1F5B">
        <w:rPr>
          <w:rFonts w:ascii="Times New Roman" w:hAnsi="Times New Roman" w:cs="Times New Roman"/>
          <w:sz w:val="24"/>
          <w:szCs w:val="24"/>
        </w:rPr>
        <w:t>In addition to this, theories just like democratic theory, stakeholder theory and citizenship theory assist in elaborating the way in which community engagement is associated with issues that are ethical and which are associated with change.</w:t>
      </w:r>
    </w:p>
    <w:p w14:paraId="04E00C14" w14:textId="77777777" w:rsidR="000966E0" w:rsidRDefault="000966E0" w:rsidP="002E1F5B">
      <w:pPr>
        <w:spacing w:line="360" w:lineRule="auto"/>
        <w:jc w:val="both"/>
        <w:rPr>
          <w:rFonts w:ascii="Times New Roman" w:hAnsi="Times New Roman" w:cs="Times New Roman"/>
          <w:sz w:val="24"/>
          <w:szCs w:val="24"/>
        </w:rPr>
      </w:pPr>
    </w:p>
    <w:p w14:paraId="75D1D7E6" w14:textId="77777777" w:rsidR="000966E0" w:rsidRDefault="000966E0" w:rsidP="002E1F5B">
      <w:pPr>
        <w:spacing w:line="360" w:lineRule="auto"/>
        <w:jc w:val="both"/>
        <w:rPr>
          <w:rFonts w:ascii="Times New Roman" w:hAnsi="Times New Roman" w:cs="Times New Roman"/>
          <w:sz w:val="24"/>
          <w:szCs w:val="24"/>
        </w:rPr>
      </w:pPr>
    </w:p>
    <w:p w14:paraId="5BBD432C" w14:textId="77777777" w:rsidR="000966E0" w:rsidRDefault="000966E0" w:rsidP="002E1F5B">
      <w:pPr>
        <w:spacing w:line="360" w:lineRule="auto"/>
        <w:jc w:val="both"/>
        <w:rPr>
          <w:rFonts w:ascii="Times New Roman" w:hAnsi="Times New Roman" w:cs="Times New Roman"/>
          <w:sz w:val="24"/>
          <w:szCs w:val="24"/>
        </w:rPr>
      </w:pPr>
    </w:p>
    <w:p w14:paraId="165D526F" w14:textId="77777777" w:rsidR="000966E0" w:rsidRDefault="000966E0" w:rsidP="002E1F5B">
      <w:pPr>
        <w:spacing w:line="360" w:lineRule="auto"/>
        <w:jc w:val="both"/>
        <w:rPr>
          <w:rFonts w:ascii="Times New Roman" w:hAnsi="Times New Roman" w:cs="Times New Roman"/>
          <w:sz w:val="24"/>
          <w:szCs w:val="24"/>
        </w:rPr>
      </w:pPr>
    </w:p>
    <w:p w14:paraId="45B87A18" w14:textId="06C6DEC8" w:rsidR="007C609B" w:rsidRPr="002E1F5B" w:rsidRDefault="00EC4834"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 </w:t>
      </w:r>
    </w:p>
    <w:p w14:paraId="5130C801" w14:textId="77777777" w:rsidR="007C609B" w:rsidRPr="000966E0" w:rsidRDefault="007C609B" w:rsidP="000966E0">
      <w:pPr>
        <w:rPr>
          <w:sz w:val="28"/>
          <w:szCs w:val="28"/>
        </w:rPr>
      </w:pPr>
      <w:r w:rsidRPr="000966E0">
        <w:rPr>
          <w:rStyle w:val="Strong"/>
          <w:rFonts w:ascii="Times New Roman" w:hAnsi="Times New Roman" w:cs="Times New Roman"/>
          <w:sz w:val="28"/>
          <w:szCs w:val="28"/>
        </w:rPr>
        <w:lastRenderedPageBreak/>
        <w:t>British Airways Community Investment  </w:t>
      </w:r>
    </w:p>
    <w:p w14:paraId="5775ADAC" w14:textId="77777777" w:rsidR="00EC4834" w:rsidRPr="002E1F5B" w:rsidRDefault="00EC4834" w:rsidP="002E1F5B">
      <w:pPr>
        <w:pStyle w:val="NormalWeb"/>
        <w:spacing w:before="300" w:beforeAutospacing="0" w:line="360" w:lineRule="auto"/>
        <w:jc w:val="both"/>
        <w:rPr>
          <w:color w:val="000000"/>
          <w:sz w:val="24"/>
        </w:rPr>
      </w:pPr>
      <w:r w:rsidRPr="002E1F5B">
        <w:rPr>
          <w:color w:val="000000"/>
          <w:sz w:val="24"/>
        </w:rPr>
        <w:t>British Airways, as being an international airline brings people and communities together on daily basis and it has been committed by the airline that positive impact will be placed by them towards the community. Concentration of this airline is specifically towards assisting those people who are young in UK as well as the entire world so that best start can be taken by them in life with help of the program o</w:t>
      </w:r>
      <w:r w:rsidR="00B730B6" w:rsidRPr="002E1F5B">
        <w:rPr>
          <w:color w:val="000000"/>
          <w:sz w:val="24"/>
        </w:rPr>
        <w:t>f flagship flying start (</w:t>
      </w:r>
      <w:proofErr w:type="spellStart"/>
      <w:r w:rsidR="00B730B6" w:rsidRPr="002E1F5B">
        <w:rPr>
          <w:color w:val="000000"/>
          <w:sz w:val="24"/>
        </w:rPr>
        <w:t>Hollebeek</w:t>
      </w:r>
      <w:proofErr w:type="spellEnd"/>
      <w:r w:rsidR="00B730B6" w:rsidRPr="002E1F5B">
        <w:rPr>
          <w:color w:val="000000"/>
          <w:sz w:val="24"/>
        </w:rPr>
        <w:t xml:space="preserve">, </w:t>
      </w:r>
      <w:proofErr w:type="spellStart"/>
      <w:r w:rsidR="00B730B6" w:rsidRPr="002E1F5B">
        <w:rPr>
          <w:color w:val="000000"/>
          <w:sz w:val="24"/>
        </w:rPr>
        <w:t>Juric</w:t>
      </w:r>
      <w:proofErr w:type="spellEnd"/>
      <w:r w:rsidR="00B730B6" w:rsidRPr="002E1F5B">
        <w:rPr>
          <w:color w:val="000000"/>
          <w:sz w:val="24"/>
        </w:rPr>
        <w:t xml:space="preserve"> and Tang, 2017).</w:t>
      </w:r>
    </w:p>
    <w:p w14:paraId="58947B1F" w14:textId="77777777" w:rsidR="00EC4834" w:rsidRPr="002E1F5B" w:rsidRDefault="00EC4834" w:rsidP="002E1F5B">
      <w:pPr>
        <w:pStyle w:val="NormalWeb"/>
        <w:spacing w:before="300" w:beforeAutospacing="0" w:line="360" w:lineRule="auto"/>
        <w:jc w:val="both"/>
        <w:rPr>
          <w:color w:val="000000"/>
          <w:sz w:val="24"/>
        </w:rPr>
      </w:pPr>
      <w:r w:rsidRPr="002E1F5B">
        <w:rPr>
          <w:color w:val="000000"/>
          <w:sz w:val="24"/>
        </w:rPr>
        <w:t xml:space="preserve">Since 2010, tasks have been performed by British Airways through Comic Relief partnership so that younger people and disadvantaged children can be assisted and given a change to make their future bright. </w:t>
      </w:r>
      <w:r w:rsidR="00110454" w:rsidRPr="002E1F5B">
        <w:rPr>
          <w:color w:val="000000"/>
          <w:sz w:val="24"/>
        </w:rPr>
        <w:t xml:space="preserve">Till now, with the assistance of colleagues and clients, above 25 million pounds have been raised by this airline and above 824000 people have been reached. </w:t>
      </w:r>
    </w:p>
    <w:p w14:paraId="534433B8" w14:textId="5C2A1014" w:rsidR="007C609B" w:rsidRPr="002E1F5B" w:rsidRDefault="00110454" w:rsidP="002E1F5B">
      <w:pPr>
        <w:pStyle w:val="NormalWeb"/>
        <w:spacing w:before="300" w:beforeAutospacing="0" w:line="360" w:lineRule="auto"/>
        <w:jc w:val="both"/>
        <w:rPr>
          <w:color w:val="000000"/>
          <w:sz w:val="24"/>
        </w:rPr>
      </w:pPr>
      <w:r w:rsidRPr="002E1F5B">
        <w:rPr>
          <w:color w:val="000000"/>
          <w:sz w:val="24"/>
        </w:rPr>
        <w:t xml:space="preserve">Moreover, assistance is provided by this airline when international crisis has to be faced by the community in UK. Working is also done by this airline with DEC Disaster Emergence Committee as well as several other relief charities so that it can be made sure that relief can be quickly given where it is </w:t>
      </w:r>
      <w:r w:rsidR="009D0982" w:rsidRPr="002E1F5B">
        <w:rPr>
          <w:color w:val="000000"/>
          <w:sz w:val="24"/>
        </w:rPr>
        <w:t>required,</w:t>
      </w:r>
      <w:r w:rsidRPr="002E1F5B">
        <w:rPr>
          <w:color w:val="000000"/>
          <w:sz w:val="24"/>
        </w:rPr>
        <w:t xml:space="preserve"> and lives can be saved and shattered communities can be re-developed. </w:t>
      </w:r>
      <w:r w:rsidR="007C609B" w:rsidRPr="002E1F5B">
        <w:rPr>
          <w:color w:val="000000"/>
          <w:sz w:val="24"/>
        </w:rPr>
        <w:t>  </w:t>
      </w:r>
    </w:p>
    <w:p w14:paraId="7A81036A" w14:textId="15303382" w:rsidR="00110454" w:rsidRDefault="00110454" w:rsidP="002E1F5B">
      <w:pPr>
        <w:pStyle w:val="NormalWeb"/>
        <w:spacing w:before="300" w:beforeAutospacing="0" w:line="360" w:lineRule="auto"/>
        <w:jc w:val="both"/>
        <w:rPr>
          <w:color w:val="000000"/>
          <w:sz w:val="24"/>
        </w:rPr>
      </w:pPr>
      <w:r w:rsidRPr="002E1F5B">
        <w:rPr>
          <w:color w:val="000000"/>
          <w:sz w:val="24"/>
        </w:rPr>
        <w:t xml:space="preserve">Employees are also assisted by this airline so that personal causes of them can be supported with help of the scheme of accredited payroll giving and match funding. </w:t>
      </w:r>
    </w:p>
    <w:p w14:paraId="7534CB21" w14:textId="0561A714" w:rsidR="000966E0" w:rsidRDefault="000966E0" w:rsidP="002E1F5B">
      <w:pPr>
        <w:pStyle w:val="NormalWeb"/>
        <w:spacing w:before="300" w:beforeAutospacing="0" w:line="360" w:lineRule="auto"/>
        <w:jc w:val="both"/>
        <w:rPr>
          <w:color w:val="000000"/>
          <w:sz w:val="24"/>
        </w:rPr>
      </w:pPr>
    </w:p>
    <w:p w14:paraId="0E5367EF" w14:textId="77777777" w:rsidR="000966E0" w:rsidRPr="002E1F5B" w:rsidRDefault="000966E0" w:rsidP="002E1F5B">
      <w:pPr>
        <w:pStyle w:val="NormalWeb"/>
        <w:spacing w:before="300" w:beforeAutospacing="0" w:line="360" w:lineRule="auto"/>
        <w:jc w:val="both"/>
        <w:rPr>
          <w:color w:val="000000"/>
          <w:sz w:val="24"/>
        </w:rPr>
      </w:pPr>
    </w:p>
    <w:p w14:paraId="426CF716" w14:textId="08E8BE6B" w:rsidR="007C609B" w:rsidRPr="000966E0" w:rsidRDefault="000966E0" w:rsidP="000966E0">
      <w:pPr>
        <w:rPr>
          <w:b/>
          <w:bCs/>
          <w:sz w:val="28"/>
          <w:szCs w:val="28"/>
        </w:rPr>
      </w:pPr>
      <w:r w:rsidRPr="000966E0">
        <w:rPr>
          <w:b/>
          <w:bCs/>
          <w:sz w:val="28"/>
          <w:szCs w:val="28"/>
        </w:rPr>
        <w:t xml:space="preserve">Education and </w:t>
      </w:r>
      <w:r>
        <w:rPr>
          <w:b/>
          <w:bCs/>
          <w:sz w:val="28"/>
          <w:szCs w:val="28"/>
        </w:rPr>
        <w:t>Y</w:t>
      </w:r>
      <w:r w:rsidRPr="000966E0">
        <w:rPr>
          <w:b/>
          <w:bCs/>
          <w:sz w:val="28"/>
          <w:szCs w:val="28"/>
        </w:rPr>
        <w:t>outh Development International</w:t>
      </w:r>
    </w:p>
    <w:p w14:paraId="694FF150" w14:textId="34850935" w:rsidR="00767E1A" w:rsidRDefault="00767E1A"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In Kenya, out of three one person is affected by AIDS or HIV. In Kenya, children amounting to almost 15 million are orphans whereas, estimation represents that children amounting to almost 65000 lost parents because of AIDS or HIV. Sisters of mercy operate </w:t>
      </w:r>
      <w:proofErr w:type="spellStart"/>
      <w:r w:rsidRPr="002E1F5B">
        <w:rPr>
          <w:rFonts w:ascii="Times New Roman" w:hAnsi="Times New Roman" w:cs="Times New Roman"/>
          <w:sz w:val="24"/>
          <w:szCs w:val="24"/>
        </w:rPr>
        <w:t>Mukuru</w:t>
      </w:r>
      <w:proofErr w:type="spellEnd"/>
      <w:r w:rsidRPr="002E1F5B">
        <w:rPr>
          <w:rFonts w:ascii="Times New Roman" w:hAnsi="Times New Roman" w:cs="Times New Roman"/>
          <w:sz w:val="24"/>
          <w:szCs w:val="24"/>
        </w:rPr>
        <w:t xml:space="preserve"> promotion Centre with the objective that children can be equipped with those basic kills which are considered to be essential for economic independence in a longer term. Skill, center, health clinic, orphanage and schools are provided by them to the slum community. In this center, involvement has been done </w:t>
      </w:r>
      <w:r w:rsidRPr="002E1F5B">
        <w:rPr>
          <w:rFonts w:ascii="Times New Roman" w:hAnsi="Times New Roman" w:cs="Times New Roman"/>
          <w:sz w:val="24"/>
          <w:szCs w:val="24"/>
        </w:rPr>
        <w:lastRenderedPageBreak/>
        <w:t xml:space="preserve">by the airline from past 10 years. Through cabin crew members, introduction was done of this airline to the community by whom UK charity was developed so that funds can be raised for the </w:t>
      </w:r>
      <w:r w:rsidR="00CA2BF6" w:rsidRPr="002E1F5B">
        <w:rPr>
          <w:rFonts w:ascii="Times New Roman" w:hAnsi="Times New Roman" w:cs="Times New Roman"/>
          <w:sz w:val="24"/>
          <w:szCs w:val="24"/>
        </w:rPr>
        <w:t>project (Kimmel et al., 2019).</w:t>
      </w:r>
      <w:r w:rsidRPr="002E1F5B">
        <w:rPr>
          <w:rFonts w:ascii="Times New Roman" w:hAnsi="Times New Roman" w:cs="Times New Roman"/>
          <w:sz w:val="24"/>
          <w:szCs w:val="24"/>
        </w:rPr>
        <w:t xml:space="preserve"> </w:t>
      </w:r>
    </w:p>
    <w:p w14:paraId="6EBF078C" w14:textId="77777777" w:rsidR="000966E0" w:rsidRPr="002E1F5B" w:rsidRDefault="000966E0" w:rsidP="002E1F5B">
      <w:pPr>
        <w:spacing w:line="360" w:lineRule="auto"/>
        <w:jc w:val="both"/>
        <w:rPr>
          <w:rFonts w:ascii="Times New Roman" w:hAnsi="Times New Roman" w:cs="Times New Roman"/>
          <w:sz w:val="24"/>
          <w:szCs w:val="24"/>
        </w:rPr>
      </w:pPr>
    </w:p>
    <w:p w14:paraId="3AE9809A" w14:textId="77777777" w:rsidR="009921D0" w:rsidRPr="000966E0" w:rsidRDefault="009921D0" w:rsidP="000966E0">
      <w:pPr>
        <w:rPr>
          <w:b/>
          <w:bCs/>
          <w:sz w:val="28"/>
          <w:szCs w:val="28"/>
        </w:rPr>
      </w:pPr>
      <w:r w:rsidRPr="000966E0">
        <w:rPr>
          <w:b/>
          <w:bCs/>
          <w:sz w:val="28"/>
          <w:szCs w:val="28"/>
        </w:rPr>
        <w:t xml:space="preserve">UNICEF </w:t>
      </w:r>
    </w:p>
    <w:p w14:paraId="2AF7550F" w14:textId="31918923" w:rsidR="00767E1A" w:rsidRDefault="00767E1A"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UNICEF has also been a partner of BA for almost 11 years and 21 million pounds have been raised by them for the program of change for good through staff donations and passengers. Above 2000 cabin members are there in this airline in the present and they are considered to be the champions of UNICEF by whom onboard announcements are made so that funds can be collected for CFG. Above 50 projects have been supported by them throughout this year. </w:t>
      </w:r>
    </w:p>
    <w:p w14:paraId="3746C02F" w14:textId="77777777" w:rsidR="000966E0" w:rsidRPr="002E1F5B" w:rsidRDefault="000966E0" w:rsidP="002E1F5B">
      <w:pPr>
        <w:spacing w:line="360" w:lineRule="auto"/>
        <w:jc w:val="both"/>
        <w:rPr>
          <w:rFonts w:ascii="Times New Roman" w:hAnsi="Times New Roman" w:cs="Times New Roman"/>
          <w:sz w:val="24"/>
          <w:szCs w:val="24"/>
        </w:rPr>
      </w:pPr>
    </w:p>
    <w:p w14:paraId="6D86F45E" w14:textId="4662FC03" w:rsidR="009921D0" w:rsidRPr="000966E0" w:rsidRDefault="000966E0" w:rsidP="000966E0">
      <w:pPr>
        <w:rPr>
          <w:b/>
          <w:bCs/>
          <w:sz w:val="28"/>
          <w:szCs w:val="28"/>
        </w:rPr>
      </w:pPr>
      <w:r w:rsidRPr="000966E0">
        <w:rPr>
          <w:b/>
          <w:bCs/>
          <w:sz w:val="28"/>
          <w:szCs w:val="28"/>
        </w:rPr>
        <w:t>Community Learning Centre</w:t>
      </w:r>
    </w:p>
    <w:p w14:paraId="6D59A4C5" w14:textId="51BB4B6A" w:rsidR="0072133C" w:rsidRDefault="0072133C"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Community support strategy of British airlines consists of community learning center at Heathrow airline, by whom children amounting to more than 30000 have been welcomed as well as the adult learners since the establishment of it in the year 1999. Assistance has been expanded by the center towards neighboring boroughs of </w:t>
      </w:r>
      <w:proofErr w:type="spellStart"/>
      <w:r w:rsidRPr="002E1F5B">
        <w:rPr>
          <w:rFonts w:ascii="Times New Roman" w:hAnsi="Times New Roman" w:cs="Times New Roman"/>
          <w:sz w:val="24"/>
          <w:szCs w:val="24"/>
        </w:rPr>
        <w:t>Southall</w:t>
      </w:r>
      <w:proofErr w:type="spellEnd"/>
      <w:r w:rsidRPr="002E1F5B">
        <w:rPr>
          <w:rFonts w:ascii="Times New Roman" w:hAnsi="Times New Roman" w:cs="Times New Roman"/>
          <w:sz w:val="24"/>
          <w:szCs w:val="24"/>
        </w:rPr>
        <w:t xml:space="preserve"> and </w:t>
      </w:r>
      <w:proofErr w:type="spellStart"/>
      <w:r w:rsidRPr="002E1F5B">
        <w:rPr>
          <w:rFonts w:ascii="Times New Roman" w:hAnsi="Times New Roman" w:cs="Times New Roman"/>
          <w:sz w:val="24"/>
          <w:szCs w:val="24"/>
        </w:rPr>
        <w:t>Ealing</w:t>
      </w:r>
      <w:proofErr w:type="spellEnd"/>
      <w:r w:rsidRPr="002E1F5B">
        <w:rPr>
          <w:rFonts w:ascii="Times New Roman" w:hAnsi="Times New Roman" w:cs="Times New Roman"/>
          <w:sz w:val="24"/>
          <w:szCs w:val="24"/>
        </w:rPr>
        <w:t xml:space="preserve">, Windsor and Slough, </w:t>
      </w:r>
      <w:proofErr w:type="spellStart"/>
      <w:r w:rsidRPr="002E1F5B">
        <w:rPr>
          <w:rFonts w:ascii="Times New Roman" w:hAnsi="Times New Roman" w:cs="Times New Roman"/>
          <w:sz w:val="24"/>
          <w:szCs w:val="24"/>
        </w:rPr>
        <w:t>Spelthrone</w:t>
      </w:r>
      <w:proofErr w:type="spellEnd"/>
      <w:r w:rsidRPr="002E1F5B">
        <w:rPr>
          <w:rFonts w:ascii="Times New Roman" w:hAnsi="Times New Roman" w:cs="Times New Roman"/>
          <w:sz w:val="24"/>
          <w:szCs w:val="24"/>
        </w:rPr>
        <w:t xml:space="preserve">, Hounslow and </w:t>
      </w:r>
      <w:proofErr w:type="spellStart"/>
      <w:r w:rsidRPr="002E1F5B">
        <w:rPr>
          <w:rFonts w:ascii="Times New Roman" w:hAnsi="Times New Roman" w:cs="Times New Roman"/>
          <w:sz w:val="24"/>
          <w:szCs w:val="24"/>
        </w:rPr>
        <w:t>HIllingdon</w:t>
      </w:r>
      <w:proofErr w:type="spellEnd"/>
      <w:r w:rsidRPr="002E1F5B">
        <w:rPr>
          <w:rFonts w:ascii="Times New Roman" w:hAnsi="Times New Roman" w:cs="Times New Roman"/>
          <w:sz w:val="24"/>
          <w:szCs w:val="24"/>
        </w:rPr>
        <w:t xml:space="preserve">. Programs are offered y it </w:t>
      </w:r>
      <w:r w:rsidR="00CA2BF6" w:rsidRPr="002E1F5B">
        <w:rPr>
          <w:rFonts w:ascii="Times New Roman" w:hAnsi="Times New Roman" w:cs="Times New Roman"/>
          <w:sz w:val="24"/>
          <w:szCs w:val="24"/>
        </w:rPr>
        <w:t>for community and local schools (Kumar and Kumar, 2020).</w:t>
      </w:r>
    </w:p>
    <w:p w14:paraId="1948FBB9" w14:textId="77777777" w:rsidR="000966E0" w:rsidRPr="002E1F5B" w:rsidRDefault="000966E0" w:rsidP="002E1F5B">
      <w:pPr>
        <w:spacing w:line="360" w:lineRule="auto"/>
        <w:jc w:val="both"/>
        <w:rPr>
          <w:rFonts w:ascii="Times New Roman" w:hAnsi="Times New Roman" w:cs="Times New Roman"/>
          <w:sz w:val="24"/>
          <w:szCs w:val="24"/>
        </w:rPr>
      </w:pPr>
    </w:p>
    <w:p w14:paraId="231305B1" w14:textId="374212EE" w:rsidR="009921D0" w:rsidRPr="000966E0" w:rsidRDefault="000966E0" w:rsidP="000966E0">
      <w:pPr>
        <w:rPr>
          <w:b/>
          <w:bCs/>
          <w:sz w:val="28"/>
          <w:szCs w:val="28"/>
        </w:rPr>
      </w:pPr>
      <w:r w:rsidRPr="000966E0">
        <w:rPr>
          <w:b/>
          <w:bCs/>
          <w:sz w:val="28"/>
          <w:szCs w:val="28"/>
        </w:rPr>
        <w:t xml:space="preserve">Community Volunteering Awards </w:t>
      </w:r>
    </w:p>
    <w:p w14:paraId="2BCE0EF9" w14:textId="7570E97A" w:rsidR="0072133C" w:rsidRPr="002E1F5B" w:rsidRDefault="0072133C"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Employees are given community volunteering awards for their charitable endeavor. Throughout the past 3 years, donation amounting to 230</w:t>
      </w:r>
      <w:r w:rsidR="009325B9">
        <w:rPr>
          <w:rFonts w:ascii="Times New Roman" w:hAnsi="Times New Roman" w:cs="Times New Roman"/>
          <w:sz w:val="24"/>
          <w:szCs w:val="24"/>
        </w:rPr>
        <w:t xml:space="preserve"> </w:t>
      </w:r>
      <w:r w:rsidRPr="002E1F5B">
        <w:rPr>
          <w:rFonts w:ascii="Times New Roman" w:hAnsi="Times New Roman" w:cs="Times New Roman"/>
          <w:sz w:val="24"/>
          <w:szCs w:val="24"/>
        </w:rPr>
        <w:t xml:space="preserve">000 pounds has been given to those charities which have been chosen by them internationally and in UK. Apart from staff volunteering for projects related to community, BA employees have widely supported and started several other charities. Assistance is provided by this airline through giving support and advice as well as goods just like cargo space and flights. </w:t>
      </w:r>
    </w:p>
    <w:p w14:paraId="1B213EBA" w14:textId="2A163FC9" w:rsidR="009921D0" w:rsidRPr="00CF32CE" w:rsidRDefault="00CF32CE" w:rsidP="00CF32CE">
      <w:pPr>
        <w:rPr>
          <w:b/>
          <w:bCs/>
          <w:sz w:val="28"/>
          <w:szCs w:val="28"/>
        </w:rPr>
      </w:pPr>
      <w:r w:rsidRPr="00CF32CE">
        <w:rPr>
          <w:b/>
          <w:bCs/>
          <w:sz w:val="28"/>
          <w:szCs w:val="28"/>
        </w:rPr>
        <w:lastRenderedPageBreak/>
        <w:t>Dream Flight ‘</w:t>
      </w:r>
    </w:p>
    <w:p w14:paraId="657017FF" w14:textId="76A01E21" w:rsidR="0072133C" w:rsidRDefault="0072133C"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This is basically a charity that was established in the year 19986 with the objective that serious ill c</w:t>
      </w:r>
      <w:r w:rsidR="00CA2BF6" w:rsidRPr="002E1F5B">
        <w:rPr>
          <w:rFonts w:ascii="Times New Roman" w:hAnsi="Times New Roman" w:cs="Times New Roman"/>
          <w:sz w:val="24"/>
          <w:szCs w:val="24"/>
        </w:rPr>
        <w:t>hildren must be sent on holiday (Abimbola, 2020).</w:t>
      </w:r>
    </w:p>
    <w:p w14:paraId="77B0CBAD" w14:textId="54829712" w:rsidR="00CF32CE" w:rsidRDefault="00CF32CE" w:rsidP="002E1F5B">
      <w:pPr>
        <w:spacing w:line="360" w:lineRule="auto"/>
        <w:jc w:val="both"/>
        <w:rPr>
          <w:rFonts w:ascii="Times New Roman" w:hAnsi="Times New Roman" w:cs="Times New Roman"/>
          <w:sz w:val="24"/>
          <w:szCs w:val="24"/>
        </w:rPr>
      </w:pPr>
    </w:p>
    <w:p w14:paraId="30EA64AF" w14:textId="77777777" w:rsidR="00CF32CE" w:rsidRPr="002E1F5B" w:rsidRDefault="00CF32CE" w:rsidP="00CF32CE"/>
    <w:p w14:paraId="185574D8" w14:textId="50AA70F8" w:rsidR="007C609B" w:rsidRPr="00CF32CE" w:rsidRDefault="007C609B" w:rsidP="00CF32CE">
      <w:pPr>
        <w:rPr>
          <w:b/>
          <w:bCs/>
          <w:sz w:val="28"/>
          <w:szCs w:val="28"/>
        </w:rPr>
      </w:pPr>
      <w:r w:rsidRPr="00CF32CE">
        <w:rPr>
          <w:b/>
          <w:bCs/>
          <w:sz w:val="28"/>
          <w:szCs w:val="28"/>
        </w:rPr>
        <w:t xml:space="preserve">Stakeholder </w:t>
      </w:r>
      <w:r w:rsidR="00CF32CE" w:rsidRPr="00CF32CE">
        <w:rPr>
          <w:b/>
          <w:bCs/>
          <w:sz w:val="28"/>
          <w:szCs w:val="28"/>
        </w:rPr>
        <w:t>Theory</w:t>
      </w:r>
    </w:p>
    <w:p w14:paraId="217048D4" w14:textId="77777777" w:rsidR="007A3387" w:rsidRPr="002E1F5B" w:rsidRDefault="007A3387"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Stakeholder theory elaborates the significance that is there of essential aspects in assisting those responsibilities and roles which are linked with engagement of the community </w:t>
      </w:r>
      <w:r w:rsidR="00C65BB3" w:rsidRPr="002E1F5B">
        <w:rPr>
          <w:rFonts w:ascii="Times New Roman" w:hAnsi="Times New Roman" w:cs="Times New Roman"/>
          <w:sz w:val="24"/>
          <w:szCs w:val="24"/>
        </w:rPr>
        <w:t>as well as</w:t>
      </w:r>
      <w:r w:rsidRPr="002E1F5B">
        <w:rPr>
          <w:rFonts w:ascii="Times New Roman" w:hAnsi="Times New Roman" w:cs="Times New Roman"/>
          <w:sz w:val="24"/>
          <w:szCs w:val="24"/>
        </w:rPr>
        <w:t xml:space="preserve"> getting acknowledged on a whole regarding the concept. </w:t>
      </w:r>
    </w:p>
    <w:p w14:paraId="6BA6B5FE" w14:textId="77777777" w:rsidR="00C65BB3" w:rsidRPr="002E1F5B" w:rsidRDefault="00C65BB3"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Stakeholders in this case are considered to be of great significance within the community due to the reason that solutions are found y them for the community that are ultimately utilized when some actions and thoughts have to be triggered. </w:t>
      </w:r>
    </w:p>
    <w:p w14:paraId="75A0CE53" w14:textId="77777777" w:rsidR="00C65BB3" w:rsidRPr="002E1F5B" w:rsidRDefault="00C65BB3" w:rsidP="002E1F5B">
      <w:pPr>
        <w:spacing w:line="360" w:lineRule="auto"/>
        <w:jc w:val="both"/>
        <w:rPr>
          <w:rFonts w:ascii="Times New Roman" w:hAnsi="Times New Roman" w:cs="Times New Roman"/>
          <w:sz w:val="24"/>
          <w:szCs w:val="24"/>
        </w:rPr>
      </w:pPr>
    </w:p>
    <w:p w14:paraId="35184C80" w14:textId="77777777" w:rsidR="00C65BB3" w:rsidRPr="002E1F5B" w:rsidRDefault="00C65BB3"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In some extent, several of the issues can be explained through this regarding the community ultima</w:t>
      </w:r>
      <w:r w:rsidR="00551D95" w:rsidRPr="002E1F5B">
        <w:rPr>
          <w:rFonts w:ascii="Times New Roman" w:hAnsi="Times New Roman" w:cs="Times New Roman"/>
          <w:sz w:val="24"/>
          <w:szCs w:val="24"/>
        </w:rPr>
        <w:t xml:space="preserve">tely assisting in making the community bonds strengthened within a respectful and informed manner. </w:t>
      </w:r>
      <w:r w:rsidR="008F1271" w:rsidRPr="002E1F5B">
        <w:rPr>
          <w:rFonts w:ascii="Times New Roman" w:hAnsi="Times New Roman" w:cs="Times New Roman"/>
          <w:sz w:val="24"/>
          <w:szCs w:val="24"/>
        </w:rPr>
        <w:t xml:space="preserve">However, those methods and ways are not provided through this theory which experts can utilize when people have to be brought together and the way in which success </w:t>
      </w:r>
      <w:r w:rsidR="00CA2BF6" w:rsidRPr="002E1F5B">
        <w:rPr>
          <w:rFonts w:ascii="Times New Roman" w:hAnsi="Times New Roman" w:cs="Times New Roman"/>
          <w:sz w:val="24"/>
          <w:szCs w:val="24"/>
        </w:rPr>
        <w:t>can be attained (Renwick et al., 2020).</w:t>
      </w:r>
    </w:p>
    <w:p w14:paraId="003B9834" w14:textId="1009A99F" w:rsidR="008F1271" w:rsidRPr="002E1F5B" w:rsidRDefault="008F1271"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In some extent, stakeholder theory resolved issues that are ethical and related with spin due to the reason that when numerous activities are performed by them within the society, ability is gained by them to get acknowledged regarding numerous values that people accept and </w:t>
      </w:r>
      <w:r w:rsidR="009325B9" w:rsidRPr="002E1F5B">
        <w:rPr>
          <w:rFonts w:ascii="Times New Roman" w:hAnsi="Times New Roman" w:cs="Times New Roman"/>
          <w:sz w:val="24"/>
          <w:szCs w:val="24"/>
        </w:rPr>
        <w:t>ultimately,</w:t>
      </w:r>
      <w:r w:rsidRPr="002E1F5B">
        <w:rPr>
          <w:rFonts w:ascii="Times New Roman" w:hAnsi="Times New Roman" w:cs="Times New Roman"/>
          <w:sz w:val="24"/>
          <w:szCs w:val="24"/>
        </w:rPr>
        <w:t xml:space="preserve"> they work with the objective that sustainable communities can be developed. </w:t>
      </w:r>
    </w:p>
    <w:p w14:paraId="094AC43B" w14:textId="77777777" w:rsidR="007C609B" w:rsidRPr="002E1F5B" w:rsidRDefault="007C609B" w:rsidP="002E1F5B">
      <w:pPr>
        <w:spacing w:line="360" w:lineRule="auto"/>
        <w:jc w:val="both"/>
        <w:rPr>
          <w:rFonts w:ascii="Times New Roman" w:hAnsi="Times New Roman" w:cs="Times New Roman"/>
          <w:sz w:val="24"/>
          <w:szCs w:val="24"/>
        </w:rPr>
      </w:pPr>
    </w:p>
    <w:p w14:paraId="1456CDE6" w14:textId="77777777" w:rsidR="00FD1209" w:rsidRPr="002E1F5B" w:rsidRDefault="00FD1209"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Stakeholder based approach towards community and social development pro</w:t>
      </w:r>
      <w:r w:rsidR="00CA2BF6" w:rsidRPr="002E1F5B">
        <w:rPr>
          <w:rFonts w:ascii="Times New Roman" w:hAnsi="Times New Roman" w:cs="Times New Roman"/>
          <w:sz w:val="24"/>
          <w:szCs w:val="24"/>
        </w:rPr>
        <w:t>gram consists of (David-Chavez and Gavin, 2018).</w:t>
      </w:r>
    </w:p>
    <w:p w14:paraId="6125B6D4" w14:textId="77777777" w:rsidR="00FD1209" w:rsidRPr="002E1F5B" w:rsidRDefault="00FD1209" w:rsidP="002E1F5B">
      <w:pPr>
        <w:pStyle w:val="ListParagraph"/>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lastRenderedPageBreak/>
        <w:t>getting acknowledged regarding local context, consisting of stakeholder analysis and mapping</w:t>
      </w:r>
    </w:p>
    <w:p w14:paraId="7EE3BC24" w14:textId="77777777" w:rsidR="00FD1209" w:rsidRPr="002E1F5B" w:rsidRDefault="00FD1209" w:rsidP="002E1F5B">
      <w:pPr>
        <w:pStyle w:val="ListParagraph"/>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Developing relations that rely on transparency and trust.</w:t>
      </w:r>
    </w:p>
    <w:p w14:paraId="01B5A06D" w14:textId="77777777" w:rsidR="00FD1209" w:rsidRPr="002E1F5B" w:rsidRDefault="00FD1209" w:rsidP="002E1F5B">
      <w:pPr>
        <w:pStyle w:val="ListParagraph"/>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making sure consistency in communication and engagement of stakeholders</w:t>
      </w:r>
    </w:p>
    <w:p w14:paraId="2FD82614" w14:textId="77777777" w:rsidR="007C609B" w:rsidRPr="002E1F5B" w:rsidRDefault="00FD1209" w:rsidP="002E1F5B">
      <w:pPr>
        <w:pStyle w:val="ListParagraph"/>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Managing expectations of stakeholders through appropriate, phased and graduated engagement approach.</w:t>
      </w:r>
    </w:p>
    <w:p w14:paraId="123994C1" w14:textId="77777777" w:rsidR="00FD1209" w:rsidRPr="002E1F5B" w:rsidRDefault="00FD1209" w:rsidP="002E1F5B">
      <w:pPr>
        <w:pStyle w:val="ListParagraph"/>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Establishing responsive, accessible and early grievance mechanism for management of conflict striving for winning situations for the firm as well as stakeholder groups. </w:t>
      </w:r>
    </w:p>
    <w:p w14:paraId="460C5F2B" w14:textId="77777777" w:rsidR="00FD1209" w:rsidRPr="002E1F5B" w:rsidRDefault="00FD1209" w:rsidP="002E1F5B">
      <w:pPr>
        <w:pStyle w:val="ListParagraph"/>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mitigating as well as avoiding social risk</w:t>
      </w:r>
    </w:p>
    <w:p w14:paraId="63ABD128" w14:textId="77777777" w:rsidR="00FD1209" w:rsidRPr="002E1F5B" w:rsidRDefault="00FD1209" w:rsidP="002E1F5B">
      <w:pPr>
        <w:pStyle w:val="ListParagraph"/>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Maximizing opportunities and minimizing risk for protecting and creating value for local communities and projects. </w:t>
      </w:r>
    </w:p>
    <w:p w14:paraId="5183D1E2" w14:textId="77777777" w:rsidR="00FD1209" w:rsidRPr="002E1F5B" w:rsidRDefault="00FD1209"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In stakeholder engagement, good practice consistently evolves. Great emphasis is placed on the case of business, regarding viewing engagement of the stakeholders and investment of the community through lens of opportunity and risk along with creating value for the shareholders through aligning competencies and goals of the business with the development priorities and concerns of the </w:t>
      </w:r>
      <w:r w:rsidR="00CA2BF6" w:rsidRPr="002E1F5B">
        <w:rPr>
          <w:rFonts w:ascii="Times New Roman" w:hAnsi="Times New Roman" w:cs="Times New Roman"/>
          <w:sz w:val="24"/>
          <w:szCs w:val="24"/>
        </w:rPr>
        <w:t>local stakeholders (</w:t>
      </w:r>
      <w:proofErr w:type="spellStart"/>
      <w:r w:rsidR="00CA2BF6" w:rsidRPr="002E1F5B">
        <w:rPr>
          <w:rFonts w:ascii="Times New Roman" w:hAnsi="Times New Roman" w:cs="Times New Roman"/>
          <w:sz w:val="24"/>
          <w:szCs w:val="24"/>
        </w:rPr>
        <w:t>Konsti-Laakso</w:t>
      </w:r>
      <w:proofErr w:type="spellEnd"/>
      <w:r w:rsidR="00CA2BF6" w:rsidRPr="002E1F5B">
        <w:rPr>
          <w:rFonts w:ascii="Times New Roman" w:hAnsi="Times New Roman" w:cs="Times New Roman"/>
          <w:sz w:val="24"/>
          <w:szCs w:val="24"/>
        </w:rPr>
        <w:t xml:space="preserve"> and Rantala, 2018).</w:t>
      </w:r>
      <w:r w:rsidRPr="002E1F5B">
        <w:rPr>
          <w:rFonts w:ascii="Times New Roman" w:hAnsi="Times New Roman" w:cs="Times New Roman"/>
          <w:sz w:val="24"/>
          <w:szCs w:val="24"/>
        </w:rPr>
        <w:t xml:space="preserve"> </w:t>
      </w:r>
    </w:p>
    <w:p w14:paraId="4917A996" w14:textId="3329EF7E" w:rsidR="00FD1209" w:rsidRPr="002E1F5B" w:rsidRDefault="00BF7E25"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When stakeholder’s management plan and community investment </w:t>
      </w:r>
      <w:r w:rsidR="009325B9" w:rsidRPr="002E1F5B">
        <w:rPr>
          <w:rFonts w:ascii="Times New Roman" w:hAnsi="Times New Roman" w:cs="Times New Roman"/>
          <w:sz w:val="24"/>
          <w:szCs w:val="24"/>
        </w:rPr>
        <w:t>have</w:t>
      </w:r>
      <w:r w:rsidRPr="002E1F5B">
        <w:rPr>
          <w:rFonts w:ascii="Times New Roman" w:hAnsi="Times New Roman" w:cs="Times New Roman"/>
          <w:sz w:val="24"/>
          <w:szCs w:val="24"/>
        </w:rPr>
        <w:t xml:space="preserve"> to be developed, firms look in the first place through the lens of risk avoidance. Communicating clearly, often and early with stakeholders ultimately assists in avoiding risks and managing expectations along with avoiding project delays and potential conflicts. An opportunity is also provided through it because of which asset value can be built substantively and branding of the firm can be </w:t>
      </w:r>
      <w:r w:rsidR="009325B9" w:rsidRPr="002E1F5B">
        <w:rPr>
          <w:rFonts w:ascii="Times New Roman" w:hAnsi="Times New Roman" w:cs="Times New Roman"/>
          <w:sz w:val="24"/>
          <w:szCs w:val="24"/>
        </w:rPr>
        <w:t>enhanced,</w:t>
      </w:r>
      <w:r w:rsidRPr="002E1F5B">
        <w:rPr>
          <w:rFonts w:ascii="Times New Roman" w:hAnsi="Times New Roman" w:cs="Times New Roman"/>
          <w:sz w:val="24"/>
          <w:szCs w:val="24"/>
        </w:rPr>
        <w:t xml:space="preserve"> and shared value can be created for stakeholders in a greater extent. Because of such a comprehensive view robust engagement programs are being developed by the firms graduating into completely sustainable activities and policies. This actually begins with getting acknowledged regarding perceptions and perspective of stakeholders that are considered to be dissimilar </w:t>
      </w:r>
      <w:r w:rsidR="00CA2BF6" w:rsidRPr="002E1F5B">
        <w:rPr>
          <w:rFonts w:ascii="Times New Roman" w:hAnsi="Times New Roman" w:cs="Times New Roman"/>
          <w:sz w:val="24"/>
          <w:szCs w:val="24"/>
        </w:rPr>
        <w:t>from those of firms (Harsh et al., 2017).</w:t>
      </w:r>
    </w:p>
    <w:p w14:paraId="2BD1BB35" w14:textId="77777777" w:rsidR="00FD1209" w:rsidRPr="002E1F5B" w:rsidRDefault="00FD1209" w:rsidP="002E1F5B">
      <w:pPr>
        <w:spacing w:line="360" w:lineRule="auto"/>
        <w:jc w:val="both"/>
        <w:rPr>
          <w:rFonts w:ascii="Times New Roman" w:hAnsi="Times New Roman" w:cs="Times New Roman"/>
          <w:sz w:val="24"/>
          <w:szCs w:val="24"/>
        </w:rPr>
      </w:pPr>
    </w:p>
    <w:p w14:paraId="2807A052" w14:textId="77777777" w:rsidR="00962FB3" w:rsidRPr="002E1F5B" w:rsidRDefault="00962FB3"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Consulting effectively with the stakeholders is stated as two-way procedure which is required to:</w:t>
      </w:r>
    </w:p>
    <w:p w14:paraId="479E28E1" w14:textId="77777777" w:rsidR="00962FB3" w:rsidRPr="002E1F5B" w:rsidRDefault="00962FB3" w:rsidP="002E1F5B">
      <w:pPr>
        <w:pStyle w:val="ListParagraph"/>
        <w:numPr>
          <w:ilvl w:val="0"/>
          <w:numId w:val="4"/>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lastRenderedPageBreak/>
        <w:t xml:space="preserve">Start earlier through the identification process of social and environmental risk as well as impacts and it must be consistently performed as impacts and risks take place. </w:t>
      </w:r>
    </w:p>
    <w:p w14:paraId="19931755" w14:textId="77777777" w:rsidR="00962FB3" w:rsidRPr="002E1F5B" w:rsidRDefault="00962FB3" w:rsidP="002E1F5B">
      <w:pPr>
        <w:pStyle w:val="ListParagraph"/>
        <w:numPr>
          <w:ilvl w:val="0"/>
          <w:numId w:val="4"/>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must rely on dissemination and disclosure of the past such as that of easily accessible, meaningful, objective, transparent and relevant information </w:t>
      </w:r>
    </w:p>
    <w:p w14:paraId="3AF2D851" w14:textId="77777777" w:rsidR="00962FB3" w:rsidRPr="002E1F5B" w:rsidRDefault="00962FB3" w:rsidP="002E1F5B">
      <w:pPr>
        <w:pStyle w:val="ListParagraph"/>
        <w:numPr>
          <w:ilvl w:val="0"/>
          <w:numId w:val="4"/>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inclusive engagement must be focused on those who are affected directly, apart from those who are not affected directly </w:t>
      </w:r>
    </w:p>
    <w:p w14:paraId="11617D5C" w14:textId="77777777" w:rsidR="00962FB3" w:rsidRPr="002E1F5B" w:rsidRDefault="00962FB3" w:rsidP="002E1F5B">
      <w:pPr>
        <w:pStyle w:val="ListParagraph"/>
        <w:numPr>
          <w:ilvl w:val="0"/>
          <w:numId w:val="4"/>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Meaningful participation must be enabled where it</w:t>
      </w:r>
      <w:r w:rsidR="00CA2BF6" w:rsidRPr="002E1F5B">
        <w:rPr>
          <w:rFonts w:ascii="Times New Roman" w:hAnsi="Times New Roman" w:cs="Times New Roman"/>
          <w:sz w:val="24"/>
          <w:szCs w:val="24"/>
        </w:rPr>
        <w:t xml:space="preserve"> is considered to be applicable (Brunton et al., 2017).</w:t>
      </w:r>
    </w:p>
    <w:p w14:paraId="6412F568" w14:textId="77777777" w:rsidR="007C609B" w:rsidRPr="002E1F5B" w:rsidRDefault="007C609B" w:rsidP="002E1F5B">
      <w:pPr>
        <w:spacing w:line="360" w:lineRule="auto"/>
        <w:jc w:val="both"/>
        <w:rPr>
          <w:rFonts w:ascii="Times New Roman" w:hAnsi="Times New Roman" w:cs="Times New Roman"/>
          <w:sz w:val="24"/>
          <w:szCs w:val="24"/>
        </w:rPr>
      </w:pPr>
    </w:p>
    <w:p w14:paraId="465D7F75" w14:textId="77777777" w:rsidR="00F51E1A" w:rsidRPr="00CF32CE" w:rsidRDefault="00F51E1A" w:rsidP="002E1F5B">
      <w:pPr>
        <w:spacing w:line="360" w:lineRule="auto"/>
        <w:jc w:val="both"/>
        <w:rPr>
          <w:rFonts w:ascii="Times New Roman" w:hAnsi="Times New Roman" w:cs="Times New Roman"/>
          <w:b/>
          <w:bCs/>
          <w:sz w:val="24"/>
          <w:szCs w:val="24"/>
        </w:rPr>
      </w:pPr>
      <w:r w:rsidRPr="00CF32CE">
        <w:rPr>
          <w:rFonts w:ascii="Times New Roman" w:hAnsi="Times New Roman" w:cs="Times New Roman"/>
          <w:b/>
          <w:bCs/>
          <w:sz w:val="24"/>
          <w:szCs w:val="24"/>
        </w:rPr>
        <w:t>Stakeholder based approach towards community and social development pro</w:t>
      </w:r>
      <w:r w:rsidR="00CA2BF6" w:rsidRPr="00CF32CE">
        <w:rPr>
          <w:rFonts w:ascii="Times New Roman" w:hAnsi="Times New Roman" w:cs="Times New Roman"/>
          <w:b/>
          <w:bCs/>
          <w:sz w:val="24"/>
          <w:szCs w:val="24"/>
        </w:rPr>
        <w:t>gram consists of:</w:t>
      </w:r>
    </w:p>
    <w:p w14:paraId="0BEF7BD5" w14:textId="77777777" w:rsidR="00F51E1A" w:rsidRPr="002E1F5B" w:rsidRDefault="00F51E1A" w:rsidP="002E1F5B">
      <w:pPr>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getting acknowledged regarding local context, consisting of stakeholder analysis and mapping</w:t>
      </w:r>
    </w:p>
    <w:p w14:paraId="7D6E4310" w14:textId="77777777" w:rsidR="00F51E1A" w:rsidRPr="002E1F5B" w:rsidRDefault="00F51E1A" w:rsidP="002E1F5B">
      <w:pPr>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Developing relations that rely on transparency and trust.</w:t>
      </w:r>
    </w:p>
    <w:p w14:paraId="0A0FAEDB" w14:textId="77777777" w:rsidR="00F51E1A" w:rsidRPr="002E1F5B" w:rsidRDefault="00F51E1A" w:rsidP="002E1F5B">
      <w:pPr>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making sure consistency in communication and engagement of stakeholders</w:t>
      </w:r>
    </w:p>
    <w:p w14:paraId="16B3CCB8" w14:textId="77777777" w:rsidR="007C609B" w:rsidRPr="002E1F5B" w:rsidRDefault="00F51E1A" w:rsidP="002E1F5B">
      <w:pPr>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Managing expectations of stakeholders through appropriate, phased and graduated engagement approach.</w:t>
      </w:r>
    </w:p>
    <w:p w14:paraId="0AC17B6D" w14:textId="77777777" w:rsidR="00F51E1A" w:rsidRPr="002E1F5B" w:rsidRDefault="00F51E1A" w:rsidP="002E1F5B">
      <w:pPr>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Establishing responsive, accessible and early grievance mechanism for management of conflict striving for winning situations for the firm as well as stakeholder groups. </w:t>
      </w:r>
    </w:p>
    <w:p w14:paraId="3BA8AA23" w14:textId="77777777" w:rsidR="00F51E1A" w:rsidRPr="002E1F5B" w:rsidRDefault="00F51E1A" w:rsidP="002E1F5B">
      <w:pPr>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mitigating as well as avoiding social risk</w:t>
      </w:r>
    </w:p>
    <w:p w14:paraId="5093DAA1" w14:textId="77777777" w:rsidR="00F51E1A" w:rsidRPr="002E1F5B" w:rsidRDefault="00F51E1A" w:rsidP="002E1F5B">
      <w:pPr>
        <w:numPr>
          <w:ilvl w:val="0"/>
          <w:numId w:val="3"/>
        </w:num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Maximizing opportunities and minimizing risk for protecting and creating value for</w:t>
      </w:r>
      <w:r w:rsidR="00CA2BF6" w:rsidRPr="002E1F5B">
        <w:rPr>
          <w:rFonts w:ascii="Times New Roman" w:hAnsi="Times New Roman" w:cs="Times New Roman"/>
          <w:sz w:val="24"/>
          <w:szCs w:val="24"/>
        </w:rPr>
        <w:t xml:space="preserve"> local communities and projects (</w:t>
      </w:r>
      <w:proofErr w:type="spellStart"/>
      <w:r w:rsidR="00CA2BF6" w:rsidRPr="002E1F5B">
        <w:rPr>
          <w:rFonts w:ascii="Times New Roman" w:hAnsi="Times New Roman" w:cs="Times New Roman"/>
          <w:sz w:val="24"/>
          <w:szCs w:val="24"/>
        </w:rPr>
        <w:t>Poncian</w:t>
      </w:r>
      <w:proofErr w:type="spellEnd"/>
      <w:r w:rsidR="00CA2BF6" w:rsidRPr="002E1F5B">
        <w:rPr>
          <w:rFonts w:ascii="Times New Roman" w:hAnsi="Times New Roman" w:cs="Times New Roman"/>
          <w:sz w:val="24"/>
          <w:szCs w:val="24"/>
        </w:rPr>
        <w:t>, 2019).</w:t>
      </w:r>
    </w:p>
    <w:p w14:paraId="53372B21" w14:textId="77777777" w:rsidR="00F51E1A" w:rsidRPr="002E1F5B" w:rsidRDefault="00F51E1A" w:rsidP="002E1F5B">
      <w:pPr>
        <w:spacing w:line="360" w:lineRule="auto"/>
        <w:jc w:val="both"/>
        <w:rPr>
          <w:rFonts w:ascii="Times New Roman" w:hAnsi="Times New Roman" w:cs="Times New Roman"/>
          <w:sz w:val="24"/>
          <w:szCs w:val="24"/>
        </w:rPr>
      </w:pPr>
    </w:p>
    <w:p w14:paraId="067E6643" w14:textId="77777777" w:rsidR="00F51E1A" w:rsidRPr="002E1F5B" w:rsidRDefault="00F51E1A" w:rsidP="002E1F5B">
      <w:pPr>
        <w:spacing w:line="360" w:lineRule="auto"/>
        <w:jc w:val="both"/>
        <w:rPr>
          <w:rFonts w:ascii="Times New Roman" w:hAnsi="Times New Roman" w:cs="Times New Roman"/>
          <w:sz w:val="24"/>
          <w:szCs w:val="24"/>
        </w:rPr>
      </w:pPr>
    </w:p>
    <w:p w14:paraId="3A25C094" w14:textId="77777777" w:rsidR="007C189E" w:rsidRPr="002E1F5B" w:rsidRDefault="007C189E"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lastRenderedPageBreak/>
        <w:t>In stakeholder engagement, good practice consistently evolves. Great emphasis is placed on the case of business, regarding viewing engagement of the stakeholders and investment of the community through lens of opportunity and risk along with creating value for the shareholders through aligning competencies and goals of the business with the development priorities and concerns of the local stakeholders.</w:t>
      </w:r>
    </w:p>
    <w:p w14:paraId="5559B5FF" w14:textId="77777777" w:rsidR="007C189E" w:rsidRDefault="00BF7E25"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When stakeholder’s management plan and community investment has to be developed, firms look in the first place through the lens of risk avoidance. Communicating clearly, often and early with stakeholders ultimately assists in avoiding risks and managing expectations along with avoiding project delays and potential conflicts. An opportunity is also provided through it because of which asset value can be built substantively and branding of the firm can be enhanced and shared value can be created for stakeholders in a greater extent. Because of such a comprehensive view robust engagement programs are being developed by the firms graduating into completely sustainable activities and policies. This actually begins with getting acknowledged regarding perceptions and perspective of stakeholders that are considered to be</w:t>
      </w:r>
      <w:r w:rsidR="00CA2BF6" w:rsidRPr="002E1F5B">
        <w:rPr>
          <w:rFonts w:ascii="Times New Roman" w:hAnsi="Times New Roman" w:cs="Times New Roman"/>
          <w:sz w:val="24"/>
          <w:szCs w:val="24"/>
        </w:rPr>
        <w:t xml:space="preserve"> dissimilar from those of firms (Johnston and Lane, 2019).</w:t>
      </w:r>
    </w:p>
    <w:p w14:paraId="6DA7D55F" w14:textId="77777777" w:rsidR="002E1F5B" w:rsidRDefault="002E1F5B" w:rsidP="002E1F5B">
      <w:pPr>
        <w:spacing w:line="360" w:lineRule="auto"/>
        <w:jc w:val="both"/>
        <w:rPr>
          <w:rFonts w:ascii="Times New Roman" w:hAnsi="Times New Roman" w:cs="Times New Roman"/>
          <w:sz w:val="24"/>
          <w:szCs w:val="24"/>
        </w:rPr>
      </w:pPr>
    </w:p>
    <w:p w14:paraId="5AB18044" w14:textId="77777777" w:rsidR="002E1F5B" w:rsidRPr="002E1F5B" w:rsidRDefault="002E1F5B" w:rsidP="002E1F5B">
      <w:pPr>
        <w:spacing w:line="360" w:lineRule="auto"/>
        <w:jc w:val="both"/>
        <w:rPr>
          <w:rFonts w:ascii="Times New Roman" w:hAnsi="Times New Roman" w:cs="Times New Roman"/>
          <w:sz w:val="24"/>
          <w:szCs w:val="24"/>
        </w:rPr>
      </w:pPr>
    </w:p>
    <w:p w14:paraId="66929A20" w14:textId="77777777" w:rsidR="009921D0" w:rsidRPr="00CF32CE" w:rsidRDefault="009921D0" w:rsidP="00CF32CE">
      <w:pPr>
        <w:rPr>
          <w:b/>
          <w:bCs/>
          <w:sz w:val="28"/>
          <w:szCs w:val="28"/>
        </w:rPr>
      </w:pPr>
      <w:r w:rsidRPr="00CF32CE">
        <w:rPr>
          <w:b/>
          <w:bCs/>
          <w:sz w:val="28"/>
          <w:szCs w:val="28"/>
        </w:rPr>
        <w:t>Conclusion</w:t>
      </w:r>
    </w:p>
    <w:p w14:paraId="212FAD45" w14:textId="77777777" w:rsidR="002E10C0" w:rsidRPr="002E1F5B" w:rsidRDefault="002E10C0"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It has been affirmed through the above discussion that there are numerous examples are there which have been brought from the time community engagement concept has taken place, it is completely related with issues of injustice and inequity. Indeed, in the present, community engagement is realized as major player while struggling against societal drawbacks. </w:t>
      </w:r>
    </w:p>
    <w:p w14:paraId="3D16FC45" w14:textId="77777777" w:rsidR="002E10C0" w:rsidRPr="002E1F5B" w:rsidRDefault="002E10C0"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Enhancing engagement of community in concept of policies and strategies of business as well as numerous societal segments ultimately leads to education segments transition for becoming committed towards. </w:t>
      </w:r>
    </w:p>
    <w:p w14:paraId="35D8B27E" w14:textId="77777777" w:rsidR="002E10C0" w:rsidRPr="002E1F5B" w:rsidRDefault="002E10C0" w:rsidP="002E1F5B">
      <w:pPr>
        <w:spacing w:line="360" w:lineRule="auto"/>
        <w:jc w:val="both"/>
        <w:rPr>
          <w:rFonts w:ascii="Times New Roman" w:hAnsi="Times New Roman" w:cs="Times New Roman"/>
          <w:sz w:val="24"/>
          <w:szCs w:val="24"/>
        </w:rPr>
      </w:pPr>
      <w:r w:rsidRPr="002E1F5B">
        <w:rPr>
          <w:rFonts w:ascii="Times New Roman" w:hAnsi="Times New Roman" w:cs="Times New Roman"/>
          <w:sz w:val="24"/>
          <w:szCs w:val="24"/>
        </w:rPr>
        <w:t xml:space="preserve">However, transition like this is still considered to be underway, some support is also required by it from the society. Great significance is there of noting those who have participated in development of the community for a longer timeline </w:t>
      </w:r>
    </w:p>
    <w:p w14:paraId="434594EA" w14:textId="26C5243B" w:rsidR="000C721F" w:rsidRPr="002E1F5B" w:rsidRDefault="000C721F" w:rsidP="00CF32CE">
      <w:r w:rsidRPr="00CF32CE">
        <w:rPr>
          <w:b/>
          <w:bCs/>
          <w:sz w:val="28"/>
          <w:szCs w:val="28"/>
        </w:rPr>
        <w:lastRenderedPageBreak/>
        <w:t>References</w:t>
      </w:r>
    </w:p>
    <w:p w14:paraId="5F6EA627" w14:textId="77777777" w:rsidR="002E1F5B" w:rsidRPr="002E1F5B" w:rsidRDefault="002E1F5B" w:rsidP="002E1F5B">
      <w:pPr>
        <w:spacing w:line="360" w:lineRule="auto"/>
        <w:ind w:left="720" w:hanging="720"/>
        <w:jc w:val="both"/>
        <w:rPr>
          <w:rFonts w:ascii="Times New Roman" w:hAnsi="Times New Roman" w:cs="Times New Roman"/>
          <w:sz w:val="24"/>
          <w:szCs w:val="24"/>
        </w:rPr>
      </w:pPr>
    </w:p>
    <w:p w14:paraId="32E91B82" w14:textId="77777777" w:rsidR="002E1F5B" w:rsidRPr="002E1F5B" w:rsidRDefault="002E1F5B" w:rsidP="002E1F5B">
      <w:pPr>
        <w:spacing w:line="360" w:lineRule="auto"/>
        <w:ind w:left="720" w:hanging="720"/>
        <w:jc w:val="both"/>
        <w:rPr>
          <w:rFonts w:ascii="Times New Roman" w:hAnsi="Times New Roman" w:cs="Times New Roman"/>
          <w:sz w:val="24"/>
          <w:szCs w:val="24"/>
        </w:rPr>
      </w:pPr>
      <w:r w:rsidRPr="002E1F5B">
        <w:rPr>
          <w:rFonts w:ascii="Times New Roman" w:hAnsi="Times New Roman" w:cs="Times New Roman"/>
          <w:sz w:val="24"/>
          <w:szCs w:val="24"/>
        </w:rPr>
        <w:t>Abimbola, S., 2020. Beyond positive a priori bias: reframing community engagement in LMICs. </w:t>
      </w:r>
      <w:r w:rsidRPr="002E1F5B">
        <w:rPr>
          <w:rFonts w:ascii="Times New Roman" w:hAnsi="Times New Roman" w:cs="Times New Roman"/>
          <w:i/>
          <w:iCs/>
          <w:sz w:val="24"/>
          <w:szCs w:val="24"/>
        </w:rPr>
        <w:t>Health promotion international</w:t>
      </w:r>
      <w:r w:rsidRPr="002E1F5B">
        <w:rPr>
          <w:rFonts w:ascii="Times New Roman" w:hAnsi="Times New Roman" w:cs="Times New Roman"/>
          <w:sz w:val="24"/>
          <w:szCs w:val="24"/>
        </w:rPr>
        <w:t>, </w:t>
      </w:r>
      <w:r w:rsidRPr="002E1F5B">
        <w:rPr>
          <w:rFonts w:ascii="Times New Roman" w:hAnsi="Times New Roman" w:cs="Times New Roman"/>
          <w:i/>
          <w:iCs/>
          <w:sz w:val="24"/>
          <w:szCs w:val="24"/>
        </w:rPr>
        <w:t>35</w:t>
      </w:r>
      <w:r w:rsidRPr="002E1F5B">
        <w:rPr>
          <w:rFonts w:ascii="Times New Roman" w:hAnsi="Times New Roman" w:cs="Times New Roman"/>
          <w:sz w:val="24"/>
          <w:szCs w:val="24"/>
        </w:rPr>
        <w:t>(3), pp.598-609.</w:t>
      </w:r>
    </w:p>
    <w:p w14:paraId="33D10EF0" w14:textId="77777777" w:rsidR="002E1F5B" w:rsidRPr="002E1F5B" w:rsidRDefault="002E1F5B" w:rsidP="002E1F5B">
      <w:pPr>
        <w:spacing w:line="360" w:lineRule="auto"/>
        <w:ind w:left="720" w:hanging="720"/>
        <w:jc w:val="both"/>
        <w:rPr>
          <w:rFonts w:ascii="Times New Roman" w:hAnsi="Times New Roman" w:cs="Times New Roman"/>
          <w:sz w:val="24"/>
          <w:szCs w:val="24"/>
        </w:rPr>
      </w:pPr>
      <w:r w:rsidRPr="002E1F5B">
        <w:rPr>
          <w:rFonts w:ascii="Times New Roman" w:hAnsi="Times New Roman" w:cs="Times New Roman"/>
          <w:sz w:val="24"/>
          <w:szCs w:val="24"/>
        </w:rPr>
        <w:t>Brunton, G., Thomas, J., O’Mara-Eves, A., Jamal, F., Oliver, S. and Kavanagh, J., 2017. Narratives of community engagement: a systematic review-derived conceptual framework for public health interventions. </w:t>
      </w:r>
      <w:r w:rsidRPr="002E1F5B">
        <w:rPr>
          <w:rFonts w:ascii="Times New Roman" w:hAnsi="Times New Roman" w:cs="Times New Roman"/>
          <w:i/>
          <w:iCs/>
          <w:sz w:val="24"/>
          <w:szCs w:val="24"/>
        </w:rPr>
        <w:t>BMC Public Health</w:t>
      </w:r>
      <w:r w:rsidRPr="002E1F5B">
        <w:rPr>
          <w:rFonts w:ascii="Times New Roman" w:hAnsi="Times New Roman" w:cs="Times New Roman"/>
          <w:sz w:val="24"/>
          <w:szCs w:val="24"/>
        </w:rPr>
        <w:t>, </w:t>
      </w:r>
      <w:r w:rsidRPr="002E1F5B">
        <w:rPr>
          <w:rFonts w:ascii="Times New Roman" w:hAnsi="Times New Roman" w:cs="Times New Roman"/>
          <w:i/>
          <w:iCs/>
          <w:sz w:val="24"/>
          <w:szCs w:val="24"/>
        </w:rPr>
        <w:t>17</w:t>
      </w:r>
      <w:r w:rsidRPr="002E1F5B">
        <w:rPr>
          <w:rFonts w:ascii="Times New Roman" w:hAnsi="Times New Roman" w:cs="Times New Roman"/>
          <w:sz w:val="24"/>
          <w:szCs w:val="24"/>
        </w:rPr>
        <w:t>(1), pp.1-15.</w:t>
      </w:r>
    </w:p>
    <w:p w14:paraId="7636D651" w14:textId="77777777" w:rsidR="002E1F5B" w:rsidRPr="002E1F5B" w:rsidRDefault="002E1F5B" w:rsidP="002E1F5B">
      <w:pPr>
        <w:spacing w:line="360" w:lineRule="auto"/>
        <w:ind w:left="720" w:hanging="720"/>
        <w:jc w:val="both"/>
        <w:rPr>
          <w:rFonts w:ascii="Times New Roman" w:hAnsi="Times New Roman" w:cs="Times New Roman"/>
          <w:sz w:val="24"/>
          <w:szCs w:val="24"/>
        </w:rPr>
      </w:pPr>
      <w:r w:rsidRPr="002E1F5B">
        <w:rPr>
          <w:rFonts w:ascii="Times New Roman" w:hAnsi="Times New Roman" w:cs="Times New Roman"/>
          <w:sz w:val="24"/>
          <w:szCs w:val="24"/>
        </w:rPr>
        <w:t>David-Chavez, D.M. and Gavin, M.C., 2018. A global assessment of Indigenous community engagement in climate research. </w:t>
      </w:r>
      <w:r w:rsidRPr="002E1F5B">
        <w:rPr>
          <w:rFonts w:ascii="Times New Roman" w:hAnsi="Times New Roman" w:cs="Times New Roman"/>
          <w:i/>
          <w:iCs/>
          <w:sz w:val="24"/>
          <w:szCs w:val="24"/>
        </w:rPr>
        <w:t>Environmental Research Letters</w:t>
      </w:r>
      <w:r w:rsidRPr="002E1F5B">
        <w:rPr>
          <w:rFonts w:ascii="Times New Roman" w:hAnsi="Times New Roman" w:cs="Times New Roman"/>
          <w:sz w:val="24"/>
          <w:szCs w:val="24"/>
        </w:rPr>
        <w:t>, </w:t>
      </w:r>
      <w:r w:rsidRPr="002E1F5B">
        <w:rPr>
          <w:rFonts w:ascii="Times New Roman" w:hAnsi="Times New Roman" w:cs="Times New Roman"/>
          <w:i/>
          <w:iCs/>
          <w:sz w:val="24"/>
          <w:szCs w:val="24"/>
        </w:rPr>
        <w:t>13</w:t>
      </w:r>
      <w:r w:rsidRPr="002E1F5B">
        <w:rPr>
          <w:rFonts w:ascii="Times New Roman" w:hAnsi="Times New Roman" w:cs="Times New Roman"/>
          <w:sz w:val="24"/>
          <w:szCs w:val="24"/>
        </w:rPr>
        <w:t>(12), p.123005.</w:t>
      </w:r>
    </w:p>
    <w:p w14:paraId="30C8C60E" w14:textId="77777777" w:rsidR="002E1F5B" w:rsidRPr="002E1F5B" w:rsidRDefault="002E1F5B" w:rsidP="002E1F5B">
      <w:pPr>
        <w:spacing w:line="360" w:lineRule="auto"/>
        <w:ind w:left="720" w:hanging="720"/>
        <w:jc w:val="both"/>
        <w:rPr>
          <w:rFonts w:ascii="Times New Roman" w:hAnsi="Times New Roman" w:cs="Times New Roman"/>
          <w:sz w:val="24"/>
          <w:szCs w:val="24"/>
        </w:rPr>
      </w:pPr>
      <w:r w:rsidRPr="002E1F5B">
        <w:rPr>
          <w:rFonts w:ascii="Times New Roman" w:hAnsi="Times New Roman" w:cs="Times New Roman"/>
          <w:sz w:val="24"/>
          <w:szCs w:val="24"/>
        </w:rPr>
        <w:t>Harsh, M., Bernstein, M.J., Wetmore, J., Cozzens, S., Woodson, T. and Castillo, R., 2017. Preparing engineers for the challenges of community engagement. </w:t>
      </w:r>
      <w:r w:rsidRPr="002E1F5B">
        <w:rPr>
          <w:rFonts w:ascii="Times New Roman" w:hAnsi="Times New Roman" w:cs="Times New Roman"/>
          <w:i/>
          <w:iCs/>
          <w:sz w:val="24"/>
          <w:szCs w:val="24"/>
        </w:rPr>
        <w:t>European Journal of Engineering Education</w:t>
      </w:r>
      <w:r w:rsidRPr="002E1F5B">
        <w:rPr>
          <w:rFonts w:ascii="Times New Roman" w:hAnsi="Times New Roman" w:cs="Times New Roman"/>
          <w:sz w:val="24"/>
          <w:szCs w:val="24"/>
        </w:rPr>
        <w:t>, </w:t>
      </w:r>
      <w:r w:rsidRPr="002E1F5B">
        <w:rPr>
          <w:rFonts w:ascii="Times New Roman" w:hAnsi="Times New Roman" w:cs="Times New Roman"/>
          <w:i/>
          <w:iCs/>
          <w:sz w:val="24"/>
          <w:szCs w:val="24"/>
        </w:rPr>
        <w:t>42</w:t>
      </w:r>
      <w:r w:rsidRPr="002E1F5B">
        <w:rPr>
          <w:rFonts w:ascii="Times New Roman" w:hAnsi="Times New Roman" w:cs="Times New Roman"/>
          <w:sz w:val="24"/>
          <w:szCs w:val="24"/>
        </w:rPr>
        <w:t>(6), pp.1154-1173.</w:t>
      </w:r>
    </w:p>
    <w:p w14:paraId="2162DED4" w14:textId="77777777" w:rsidR="002E1F5B" w:rsidRPr="002E1F5B" w:rsidRDefault="002E1F5B" w:rsidP="002E1F5B">
      <w:pPr>
        <w:spacing w:line="360" w:lineRule="auto"/>
        <w:ind w:left="720" w:hanging="720"/>
        <w:jc w:val="both"/>
        <w:rPr>
          <w:rFonts w:ascii="Times New Roman" w:hAnsi="Times New Roman" w:cs="Times New Roman"/>
          <w:sz w:val="24"/>
          <w:szCs w:val="24"/>
        </w:rPr>
      </w:pPr>
      <w:proofErr w:type="spellStart"/>
      <w:r w:rsidRPr="002E1F5B">
        <w:rPr>
          <w:rFonts w:ascii="Times New Roman" w:hAnsi="Times New Roman" w:cs="Times New Roman"/>
          <w:sz w:val="24"/>
          <w:szCs w:val="24"/>
        </w:rPr>
        <w:t>Hollebeek</w:t>
      </w:r>
      <w:proofErr w:type="spellEnd"/>
      <w:r w:rsidRPr="002E1F5B">
        <w:rPr>
          <w:rFonts w:ascii="Times New Roman" w:hAnsi="Times New Roman" w:cs="Times New Roman"/>
          <w:sz w:val="24"/>
          <w:szCs w:val="24"/>
        </w:rPr>
        <w:t xml:space="preserve">, L.D., </w:t>
      </w:r>
      <w:proofErr w:type="spellStart"/>
      <w:r w:rsidRPr="002E1F5B">
        <w:rPr>
          <w:rFonts w:ascii="Times New Roman" w:hAnsi="Times New Roman" w:cs="Times New Roman"/>
          <w:sz w:val="24"/>
          <w:szCs w:val="24"/>
        </w:rPr>
        <w:t>Juric</w:t>
      </w:r>
      <w:proofErr w:type="spellEnd"/>
      <w:r w:rsidRPr="002E1F5B">
        <w:rPr>
          <w:rFonts w:ascii="Times New Roman" w:hAnsi="Times New Roman" w:cs="Times New Roman"/>
          <w:sz w:val="24"/>
          <w:szCs w:val="24"/>
        </w:rPr>
        <w:t>, B. and Tang, W., 2017. Virtual brand community engagement practices: a refined typology and model. </w:t>
      </w:r>
      <w:r w:rsidRPr="002E1F5B">
        <w:rPr>
          <w:rFonts w:ascii="Times New Roman" w:hAnsi="Times New Roman" w:cs="Times New Roman"/>
          <w:i/>
          <w:iCs/>
          <w:sz w:val="24"/>
          <w:szCs w:val="24"/>
        </w:rPr>
        <w:t>Journal of Services Marketing</w:t>
      </w:r>
      <w:r w:rsidRPr="002E1F5B">
        <w:rPr>
          <w:rFonts w:ascii="Times New Roman" w:hAnsi="Times New Roman" w:cs="Times New Roman"/>
          <w:sz w:val="24"/>
          <w:szCs w:val="24"/>
        </w:rPr>
        <w:t>.</w:t>
      </w:r>
    </w:p>
    <w:p w14:paraId="690B3963" w14:textId="77777777" w:rsidR="002E1F5B" w:rsidRPr="002E1F5B" w:rsidRDefault="002E1F5B" w:rsidP="002E1F5B">
      <w:pPr>
        <w:spacing w:line="360" w:lineRule="auto"/>
        <w:ind w:left="720" w:hanging="720"/>
        <w:jc w:val="both"/>
        <w:rPr>
          <w:rFonts w:ascii="Times New Roman" w:hAnsi="Times New Roman" w:cs="Times New Roman"/>
          <w:sz w:val="24"/>
          <w:szCs w:val="24"/>
        </w:rPr>
      </w:pPr>
      <w:r w:rsidRPr="002E1F5B">
        <w:rPr>
          <w:rFonts w:ascii="Times New Roman" w:hAnsi="Times New Roman" w:cs="Times New Roman"/>
          <w:sz w:val="24"/>
          <w:szCs w:val="24"/>
        </w:rPr>
        <w:t>Johnston, K.A. and Lane, A.B., 2019. An authenticity matrix for community engagement. </w:t>
      </w:r>
      <w:r w:rsidRPr="002E1F5B">
        <w:rPr>
          <w:rFonts w:ascii="Times New Roman" w:hAnsi="Times New Roman" w:cs="Times New Roman"/>
          <w:i/>
          <w:iCs/>
          <w:sz w:val="24"/>
          <w:szCs w:val="24"/>
        </w:rPr>
        <w:t>Public Relations Review</w:t>
      </w:r>
      <w:r w:rsidRPr="002E1F5B">
        <w:rPr>
          <w:rFonts w:ascii="Times New Roman" w:hAnsi="Times New Roman" w:cs="Times New Roman"/>
          <w:sz w:val="24"/>
          <w:szCs w:val="24"/>
        </w:rPr>
        <w:t>, </w:t>
      </w:r>
      <w:r w:rsidRPr="002E1F5B">
        <w:rPr>
          <w:rFonts w:ascii="Times New Roman" w:hAnsi="Times New Roman" w:cs="Times New Roman"/>
          <w:i/>
          <w:iCs/>
          <w:sz w:val="24"/>
          <w:szCs w:val="24"/>
        </w:rPr>
        <w:t>45</w:t>
      </w:r>
      <w:r w:rsidRPr="002E1F5B">
        <w:rPr>
          <w:rFonts w:ascii="Times New Roman" w:hAnsi="Times New Roman" w:cs="Times New Roman"/>
          <w:sz w:val="24"/>
          <w:szCs w:val="24"/>
        </w:rPr>
        <w:t>(4), p.101811.</w:t>
      </w:r>
    </w:p>
    <w:p w14:paraId="6EA58B04" w14:textId="77777777" w:rsidR="002E1F5B" w:rsidRPr="002E1F5B" w:rsidRDefault="002E1F5B" w:rsidP="002E1F5B">
      <w:pPr>
        <w:spacing w:line="360" w:lineRule="auto"/>
        <w:ind w:left="720" w:hanging="720"/>
        <w:jc w:val="both"/>
        <w:rPr>
          <w:rFonts w:ascii="Times New Roman" w:hAnsi="Times New Roman" w:cs="Times New Roman"/>
          <w:sz w:val="24"/>
          <w:szCs w:val="24"/>
        </w:rPr>
      </w:pPr>
      <w:r w:rsidRPr="002E1F5B">
        <w:rPr>
          <w:rFonts w:ascii="Times New Roman" w:hAnsi="Times New Roman" w:cs="Times New Roman"/>
          <w:sz w:val="24"/>
          <w:szCs w:val="24"/>
        </w:rPr>
        <w:t>Kimmel, P.L., Jefferson, N., Norton, J.M. and Star, R.A., 2019. How community engagement is enhancing NIDDK research. </w:t>
      </w:r>
      <w:r w:rsidRPr="002E1F5B">
        <w:rPr>
          <w:rFonts w:ascii="Times New Roman" w:hAnsi="Times New Roman" w:cs="Times New Roman"/>
          <w:i/>
          <w:iCs/>
          <w:sz w:val="24"/>
          <w:szCs w:val="24"/>
        </w:rPr>
        <w:t>Clinical Journal of the American Society of Nephrology</w:t>
      </w:r>
      <w:r w:rsidRPr="002E1F5B">
        <w:rPr>
          <w:rFonts w:ascii="Times New Roman" w:hAnsi="Times New Roman" w:cs="Times New Roman"/>
          <w:sz w:val="24"/>
          <w:szCs w:val="24"/>
        </w:rPr>
        <w:t>, </w:t>
      </w:r>
      <w:r w:rsidRPr="002E1F5B">
        <w:rPr>
          <w:rFonts w:ascii="Times New Roman" w:hAnsi="Times New Roman" w:cs="Times New Roman"/>
          <w:i/>
          <w:iCs/>
          <w:sz w:val="24"/>
          <w:szCs w:val="24"/>
        </w:rPr>
        <w:t>14</w:t>
      </w:r>
      <w:r w:rsidRPr="002E1F5B">
        <w:rPr>
          <w:rFonts w:ascii="Times New Roman" w:hAnsi="Times New Roman" w:cs="Times New Roman"/>
          <w:sz w:val="24"/>
          <w:szCs w:val="24"/>
        </w:rPr>
        <w:t>(5), pp.768-770.</w:t>
      </w:r>
    </w:p>
    <w:p w14:paraId="5FD3028D" w14:textId="77777777" w:rsidR="002E1F5B" w:rsidRPr="002E1F5B" w:rsidRDefault="002E1F5B" w:rsidP="002E1F5B">
      <w:pPr>
        <w:spacing w:line="360" w:lineRule="auto"/>
        <w:ind w:left="720" w:hanging="720"/>
        <w:jc w:val="both"/>
        <w:rPr>
          <w:rFonts w:ascii="Times New Roman" w:hAnsi="Times New Roman" w:cs="Times New Roman"/>
          <w:sz w:val="24"/>
          <w:szCs w:val="24"/>
        </w:rPr>
      </w:pPr>
      <w:proofErr w:type="spellStart"/>
      <w:r w:rsidRPr="002E1F5B">
        <w:rPr>
          <w:rFonts w:ascii="Times New Roman" w:hAnsi="Times New Roman" w:cs="Times New Roman"/>
          <w:sz w:val="24"/>
          <w:szCs w:val="24"/>
        </w:rPr>
        <w:t>Konsti-Laakso</w:t>
      </w:r>
      <w:proofErr w:type="spellEnd"/>
      <w:r w:rsidRPr="002E1F5B">
        <w:rPr>
          <w:rFonts w:ascii="Times New Roman" w:hAnsi="Times New Roman" w:cs="Times New Roman"/>
          <w:sz w:val="24"/>
          <w:szCs w:val="24"/>
        </w:rPr>
        <w:t>, S. and Rantala, T., 2018. Managing community engagement: A process model for urban planning. </w:t>
      </w:r>
      <w:r w:rsidRPr="002E1F5B">
        <w:rPr>
          <w:rFonts w:ascii="Times New Roman" w:hAnsi="Times New Roman" w:cs="Times New Roman"/>
          <w:i/>
          <w:iCs/>
          <w:sz w:val="24"/>
          <w:szCs w:val="24"/>
        </w:rPr>
        <w:t>European Journal of Operational Research</w:t>
      </w:r>
      <w:r w:rsidRPr="002E1F5B">
        <w:rPr>
          <w:rFonts w:ascii="Times New Roman" w:hAnsi="Times New Roman" w:cs="Times New Roman"/>
          <w:sz w:val="24"/>
          <w:szCs w:val="24"/>
        </w:rPr>
        <w:t>, </w:t>
      </w:r>
      <w:r w:rsidRPr="002E1F5B">
        <w:rPr>
          <w:rFonts w:ascii="Times New Roman" w:hAnsi="Times New Roman" w:cs="Times New Roman"/>
          <w:i/>
          <w:iCs/>
          <w:sz w:val="24"/>
          <w:szCs w:val="24"/>
        </w:rPr>
        <w:t>268</w:t>
      </w:r>
      <w:r w:rsidRPr="002E1F5B">
        <w:rPr>
          <w:rFonts w:ascii="Times New Roman" w:hAnsi="Times New Roman" w:cs="Times New Roman"/>
          <w:sz w:val="24"/>
          <w:szCs w:val="24"/>
        </w:rPr>
        <w:t>(3), pp.1040-1049.</w:t>
      </w:r>
    </w:p>
    <w:p w14:paraId="3D15BCDB" w14:textId="77777777" w:rsidR="002E1F5B" w:rsidRPr="002E1F5B" w:rsidRDefault="002E1F5B" w:rsidP="002E1F5B">
      <w:pPr>
        <w:spacing w:line="360" w:lineRule="auto"/>
        <w:ind w:left="720" w:hanging="720"/>
        <w:jc w:val="both"/>
        <w:rPr>
          <w:rFonts w:ascii="Times New Roman" w:hAnsi="Times New Roman" w:cs="Times New Roman"/>
          <w:sz w:val="24"/>
          <w:szCs w:val="24"/>
        </w:rPr>
      </w:pPr>
      <w:r w:rsidRPr="002E1F5B">
        <w:rPr>
          <w:rFonts w:ascii="Times New Roman" w:hAnsi="Times New Roman" w:cs="Times New Roman"/>
          <w:sz w:val="24"/>
          <w:szCs w:val="24"/>
        </w:rPr>
        <w:t>Kumar, J. and Kumar, V., 2020. Drivers of brand community engagement. </w:t>
      </w:r>
      <w:r w:rsidRPr="002E1F5B">
        <w:rPr>
          <w:rFonts w:ascii="Times New Roman" w:hAnsi="Times New Roman" w:cs="Times New Roman"/>
          <w:i/>
          <w:iCs/>
          <w:sz w:val="24"/>
          <w:szCs w:val="24"/>
        </w:rPr>
        <w:t>Journal of Retailing and Consumer Services</w:t>
      </w:r>
      <w:r w:rsidRPr="002E1F5B">
        <w:rPr>
          <w:rFonts w:ascii="Times New Roman" w:hAnsi="Times New Roman" w:cs="Times New Roman"/>
          <w:sz w:val="24"/>
          <w:szCs w:val="24"/>
        </w:rPr>
        <w:t>, </w:t>
      </w:r>
      <w:r w:rsidRPr="002E1F5B">
        <w:rPr>
          <w:rFonts w:ascii="Times New Roman" w:hAnsi="Times New Roman" w:cs="Times New Roman"/>
          <w:i/>
          <w:iCs/>
          <w:sz w:val="24"/>
          <w:szCs w:val="24"/>
        </w:rPr>
        <w:t>54</w:t>
      </w:r>
      <w:r w:rsidRPr="002E1F5B">
        <w:rPr>
          <w:rFonts w:ascii="Times New Roman" w:hAnsi="Times New Roman" w:cs="Times New Roman"/>
          <w:sz w:val="24"/>
          <w:szCs w:val="24"/>
        </w:rPr>
        <w:t>, p.101949.</w:t>
      </w:r>
    </w:p>
    <w:p w14:paraId="05FAEB0A" w14:textId="77777777" w:rsidR="002E1F5B" w:rsidRPr="002E1F5B" w:rsidRDefault="002E1F5B" w:rsidP="002E1F5B">
      <w:pPr>
        <w:spacing w:line="360" w:lineRule="auto"/>
        <w:ind w:left="720" w:hanging="720"/>
        <w:jc w:val="both"/>
        <w:rPr>
          <w:rFonts w:ascii="Times New Roman" w:hAnsi="Times New Roman" w:cs="Times New Roman"/>
          <w:sz w:val="24"/>
          <w:szCs w:val="24"/>
        </w:rPr>
      </w:pPr>
      <w:proofErr w:type="spellStart"/>
      <w:r w:rsidRPr="002E1F5B">
        <w:rPr>
          <w:rFonts w:ascii="Times New Roman" w:hAnsi="Times New Roman" w:cs="Times New Roman"/>
          <w:sz w:val="24"/>
          <w:szCs w:val="24"/>
        </w:rPr>
        <w:t>Poncian</w:t>
      </w:r>
      <w:proofErr w:type="spellEnd"/>
      <w:r w:rsidRPr="002E1F5B">
        <w:rPr>
          <w:rFonts w:ascii="Times New Roman" w:hAnsi="Times New Roman" w:cs="Times New Roman"/>
          <w:sz w:val="24"/>
          <w:szCs w:val="24"/>
        </w:rPr>
        <w:t>, J., 2019. When government commitment meets community proactiveness: governing gas and community engagement in Tanzania. </w:t>
      </w:r>
      <w:r w:rsidRPr="002E1F5B">
        <w:rPr>
          <w:rFonts w:ascii="Times New Roman" w:hAnsi="Times New Roman" w:cs="Times New Roman"/>
          <w:i/>
          <w:iCs/>
          <w:sz w:val="24"/>
          <w:szCs w:val="24"/>
        </w:rPr>
        <w:t>Energy Research &amp; Social Science</w:t>
      </w:r>
      <w:r w:rsidRPr="002E1F5B">
        <w:rPr>
          <w:rFonts w:ascii="Times New Roman" w:hAnsi="Times New Roman" w:cs="Times New Roman"/>
          <w:sz w:val="24"/>
          <w:szCs w:val="24"/>
        </w:rPr>
        <w:t>, </w:t>
      </w:r>
      <w:r w:rsidRPr="002E1F5B">
        <w:rPr>
          <w:rFonts w:ascii="Times New Roman" w:hAnsi="Times New Roman" w:cs="Times New Roman"/>
          <w:i/>
          <w:iCs/>
          <w:sz w:val="24"/>
          <w:szCs w:val="24"/>
        </w:rPr>
        <w:t>52</w:t>
      </w:r>
      <w:r w:rsidRPr="002E1F5B">
        <w:rPr>
          <w:rFonts w:ascii="Times New Roman" w:hAnsi="Times New Roman" w:cs="Times New Roman"/>
          <w:sz w:val="24"/>
          <w:szCs w:val="24"/>
        </w:rPr>
        <w:t>, pp.78-90.</w:t>
      </w:r>
    </w:p>
    <w:p w14:paraId="06178B12" w14:textId="77777777" w:rsidR="002E1F5B" w:rsidRPr="002E1F5B" w:rsidRDefault="002E1F5B" w:rsidP="002E1F5B">
      <w:pPr>
        <w:spacing w:line="360" w:lineRule="auto"/>
        <w:ind w:left="720" w:hanging="720"/>
        <w:jc w:val="both"/>
        <w:rPr>
          <w:rFonts w:ascii="Times New Roman" w:hAnsi="Times New Roman" w:cs="Times New Roman"/>
          <w:sz w:val="24"/>
          <w:szCs w:val="24"/>
        </w:rPr>
      </w:pPr>
      <w:r w:rsidRPr="002E1F5B">
        <w:rPr>
          <w:rFonts w:ascii="Times New Roman" w:hAnsi="Times New Roman" w:cs="Times New Roman"/>
          <w:sz w:val="24"/>
          <w:szCs w:val="24"/>
        </w:rPr>
        <w:lastRenderedPageBreak/>
        <w:t xml:space="preserve">Renwick, K., </w:t>
      </w:r>
      <w:proofErr w:type="spellStart"/>
      <w:r w:rsidRPr="002E1F5B">
        <w:rPr>
          <w:rFonts w:ascii="Times New Roman" w:hAnsi="Times New Roman" w:cs="Times New Roman"/>
          <w:sz w:val="24"/>
          <w:szCs w:val="24"/>
        </w:rPr>
        <w:t>Selkrig</w:t>
      </w:r>
      <w:proofErr w:type="spellEnd"/>
      <w:r w:rsidRPr="002E1F5B">
        <w:rPr>
          <w:rFonts w:ascii="Times New Roman" w:hAnsi="Times New Roman" w:cs="Times New Roman"/>
          <w:sz w:val="24"/>
          <w:szCs w:val="24"/>
        </w:rPr>
        <w:t xml:space="preserve">, M., </w:t>
      </w:r>
      <w:proofErr w:type="spellStart"/>
      <w:r w:rsidRPr="002E1F5B">
        <w:rPr>
          <w:rFonts w:ascii="Times New Roman" w:hAnsi="Times New Roman" w:cs="Times New Roman"/>
          <w:sz w:val="24"/>
          <w:szCs w:val="24"/>
        </w:rPr>
        <w:t>Manathunga</w:t>
      </w:r>
      <w:proofErr w:type="spellEnd"/>
      <w:r w:rsidRPr="002E1F5B">
        <w:rPr>
          <w:rFonts w:ascii="Times New Roman" w:hAnsi="Times New Roman" w:cs="Times New Roman"/>
          <w:sz w:val="24"/>
          <w:szCs w:val="24"/>
        </w:rPr>
        <w:t xml:space="preserve">, C. and </w:t>
      </w:r>
      <w:proofErr w:type="spellStart"/>
      <w:r w:rsidRPr="002E1F5B">
        <w:rPr>
          <w:rFonts w:ascii="Times New Roman" w:hAnsi="Times New Roman" w:cs="Times New Roman"/>
          <w:sz w:val="24"/>
          <w:szCs w:val="24"/>
        </w:rPr>
        <w:t>Keamy</w:t>
      </w:r>
      <w:proofErr w:type="spellEnd"/>
      <w:r w:rsidRPr="002E1F5B">
        <w:rPr>
          <w:rFonts w:ascii="Times New Roman" w:hAnsi="Times New Roman" w:cs="Times New Roman"/>
          <w:sz w:val="24"/>
          <w:szCs w:val="24"/>
        </w:rPr>
        <w:t>, R.K., 2020. Community engagement is…: Revisiting Boyer’s model of scholarship. </w:t>
      </w:r>
      <w:r w:rsidRPr="002E1F5B">
        <w:rPr>
          <w:rFonts w:ascii="Times New Roman" w:hAnsi="Times New Roman" w:cs="Times New Roman"/>
          <w:i/>
          <w:iCs/>
          <w:sz w:val="24"/>
          <w:szCs w:val="24"/>
        </w:rPr>
        <w:t>Higher Education Research &amp; Development</w:t>
      </w:r>
      <w:r w:rsidRPr="002E1F5B">
        <w:rPr>
          <w:rFonts w:ascii="Times New Roman" w:hAnsi="Times New Roman" w:cs="Times New Roman"/>
          <w:sz w:val="24"/>
          <w:szCs w:val="24"/>
        </w:rPr>
        <w:t>, </w:t>
      </w:r>
      <w:r w:rsidRPr="002E1F5B">
        <w:rPr>
          <w:rFonts w:ascii="Times New Roman" w:hAnsi="Times New Roman" w:cs="Times New Roman"/>
          <w:i/>
          <w:iCs/>
          <w:sz w:val="24"/>
          <w:szCs w:val="24"/>
        </w:rPr>
        <w:t>39</w:t>
      </w:r>
      <w:r w:rsidRPr="002E1F5B">
        <w:rPr>
          <w:rFonts w:ascii="Times New Roman" w:hAnsi="Times New Roman" w:cs="Times New Roman"/>
          <w:sz w:val="24"/>
          <w:szCs w:val="24"/>
        </w:rPr>
        <w:t>(6), pp.1232-1246.</w:t>
      </w:r>
    </w:p>
    <w:sectPr w:rsidR="002E1F5B" w:rsidRPr="002E1F5B" w:rsidSect="002E1F5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3D34A9"/>
    <w:multiLevelType w:val="hybridMultilevel"/>
    <w:tmpl w:val="C6507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92592B"/>
    <w:multiLevelType w:val="hybridMultilevel"/>
    <w:tmpl w:val="35627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090D71"/>
    <w:multiLevelType w:val="hybridMultilevel"/>
    <w:tmpl w:val="A7B69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231B93"/>
    <w:multiLevelType w:val="multilevel"/>
    <w:tmpl w:val="3A4CF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F42EE4"/>
    <w:multiLevelType w:val="multilevel"/>
    <w:tmpl w:val="1E923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C609B"/>
    <w:rsid w:val="00067877"/>
    <w:rsid w:val="000966E0"/>
    <w:rsid w:val="000C721F"/>
    <w:rsid w:val="00110454"/>
    <w:rsid w:val="00120902"/>
    <w:rsid w:val="00241492"/>
    <w:rsid w:val="002E10C0"/>
    <w:rsid w:val="002E1F5B"/>
    <w:rsid w:val="004B4D5A"/>
    <w:rsid w:val="00551D95"/>
    <w:rsid w:val="005E6540"/>
    <w:rsid w:val="0072133C"/>
    <w:rsid w:val="00767E1A"/>
    <w:rsid w:val="007A3387"/>
    <w:rsid w:val="007C189E"/>
    <w:rsid w:val="007C609B"/>
    <w:rsid w:val="008F1271"/>
    <w:rsid w:val="009325B9"/>
    <w:rsid w:val="00962FB3"/>
    <w:rsid w:val="009921D0"/>
    <w:rsid w:val="009D0982"/>
    <w:rsid w:val="00B730B6"/>
    <w:rsid w:val="00BF7E25"/>
    <w:rsid w:val="00C65BB3"/>
    <w:rsid w:val="00CA2BF6"/>
    <w:rsid w:val="00CF32CE"/>
    <w:rsid w:val="00CF557A"/>
    <w:rsid w:val="00D8768A"/>
    <w:rsid w:val="00E850FC"/>
    <w:rsid w:val="00EC4834"/>
    <w:rsid w:val="00F10A83"/>
    <w:rsid w:val="00F25A11"/>
    <w:rsid w:val="00F51E1A"/>
    <w:rsid w:val="00FD12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86C13"/>
  <w15:docId w15:val="{7DBD85EF-4B23-426B-90EB-AD2231D40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F5B"/>
  </w:style>
  <w:style w:type="paragraph" w:styleId="Heading1">
    <w:name w:val="heading 1"/>
    <w:basedOn w:val="Normal"/>
    <w:next w:val="Normal"/>
    <w:link w:val="Heading1Char"/>
    <w:uiPriority w:val="9"/>
    <w:qFormat/>
    <w:rsid w:val="002E1F5B"/>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E1F5B"/>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E1F5B"/>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2E1F5B"/>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2E1F5B"/>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2E1F5B"/>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2E1F5B"/>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2E1F5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E1F5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F5B"/>
    <w:rPr>
      <w:caps/>
      <w:color w:val="FFFFFF" w:themeColor="background1"/>
      <w:spacing w:val="15"/>
      <w:sz w:val="22"/>
      <w:szCs w:val="22"/>
      <w:shd w:val="clear" w:color="auto" w:fill="5B9BD5" w:themeFill="accent1"/>
    </w:rPr>
  </w:style>
  <w:style w:type="paragraph" w:styleId="NormalWeb">
    <w:name w:val="Normal (Web)"/>
    <w:basedOn w:val="Normal"/>
    <w:uiPriority w:val="99"/>
    <w:semiHidden/>
    <w:unhideWhenUsed/>
    <w:rsid w:val="007C609B"/>
    <w:pPr>
      <w:spacing w:beforeAutospacing="1" w:after="100" w:afterAutospacing="1" w:line="240" w:lineRule="auto"/>
    </w:pPr>
    <w:rPr>
      <w:rFonts w:ascii="Times New Roman" w:eastAsia="Times New Roman" w:hAnsi="Times New Roman" w:cs="Times New Roman"/>
      <w:szCs w:val="24"/>
    </w:rPr>
  </w:style>
  <w:style w:type="character" w:styleId="Strong">
    <w:name w:val="Strong"/>
    <w:uiPriority w:val="22"/>
    <w:qFormat/>
    <w:rsid w:val="002E1F5B"/>
    <w:rPr>
      <w:b/>
      <w:bCs/>
    </w:rPr>
  </w:style>
  <w:style w:type="character" w:customStyle="1" w:styleId="Heading3Char">
    <w:name w:val="Heading 3 Char"/>
    <w:basedOn w:val="DefaultParagraphFont"/>
    <w:link w:val="Heading3"/>
    <w:uiPriority w:val="9"/>
    <w:semiHidden/>
    <w:rsid w:val="002E1F5B"/>
    <w:rPr>
      <w:caps/>
      <w:color w:val="1F4D78" w:themeColor="accent1" w:themeShade="7F"/>
      <w:spacing w:val="15"/>
    </w:rPr>
  </w:style>
  <w:style w:type="paragraph" w:styleId="ListParagraph">
    <w:name w:val="List Paragraph"/>
    <w:basedOn w:val="Normal"/>
    <w:uiPriority w:val="34"/>
    <w:qFormat/>
    <w:rsid w:val="007C609B"/>
    <w:pPr>
      <w:ind w:left="720"/>
      <w:contextualSpacing/>
    </w:pPr>
  </w:style>
  <w:style w:type="character" w:customStyle="1" w:styleId="Heading2Char">
    <w:name w:val="Heading 2 Char"/>
    <w:basedOn w:val="DefaultParagraphFont"/>
    <w:link w:val="Heading2"/>
    <w:uiPriority w:val="9"/>
    <w:rsid w:val="002E1F5B"/>
    <w:rPr>
      <w:caps/>
      <w:spacing w:val="15"/>
      <w:shd w:val="clear" w:color="auto" w:fill="DEEAF6" w:themeFill="accent1" w:themeFillTint="33"/>
    </w:rPr>
  </w:style>
  <w:style w:type="character" w:customStyle="1" w:styleId="Heading4Char">
    <w:name w:val="Heading 4 Char"/>
    <w:basedOn w:val="DefaultParagraphFont"/>
    <w:link w:val="Heading4"/>
    <w:uiPriority w:val="9"/>
    <w:semiHidden/>
    <w:rsid w:val="002E1F5B"/>
    <w:rPr>
      <w:caps/>
      <w:color w:val="2E74B5" w:themeColor="accent1" w:themeShade="BF"/>
      <w:spacing w:val="10"/>
    </w:rPr>
  </w:style>
  <w:style w:type="character" w:customStyle="1" w:styleId="Heading5Char">
    <w:name w:val="Heading 5 Char"/>
    <w:basedOn w:val="DefaultParagraphFont"/>
    <w:link w:val="Heading5"/>
    <w:uiPriority w:val="9"/>
    <w:semiHidden/>
    <w:rsid w:val="002E1F5B"/>
    <w:rPr>
      <w:caps/>
      <w:color w:val="2E74B5" w:themeColor="accent1" w:themeShade="BF"/>
      <w:spacing w:val="10"/>
    </w:rPr>
  </w:style>
  <w:style w:type="character" w:customStyle="1" w:styleId="Heading6Char">
    <w:name w:val="Heading 6 Char"/>
    <w:basedOn w:val="DefaultParagraphFont"/>
    <w:link w:val="Heading6"/>
    <w:uiPriority w:val="9"/>
    <w:semiHidden/>
    <w:rsid w:val="002E1F5B"/>
    <w:rPr>
      <w:caps/>
      <w:color w:val="2E74B5" w:themeColor="accent1" w:themeShade="BF"/>
      <w:spacing w:val="10"/>
    </w:rPr>
  </w:style>
  <w:style w:type="character" w:customStyle="1" w:styleId="Heading7Char">
    <w:name w:val="Heading 7 Char"/>
    <w:basedOn w:val="DefaultParagraphFont"/>
    <w:link w:val="Heading7"/>
    <w:uiPriority w:val="9"/>
    <w:semiHidden/>
    <w:rsid w:val="002E1F5B"/>
    <w:rPr>
      <w:caps/>
      <w:color w:val="2E74B5" w:themeColor="accent1" w:themeShade="BF"/>
      <w:spacing w:val="10"/>
    </w:rPr>
  </w:style>
  <w:style w:type="character" w:customStyle="1" w:styleId="Heading8Char">
    <w:name w:val="Heading 8 Char"/>
    <w:basedOn w:val="DefaultParagraphFont"/>
    <w:link w:val="Heading8"/>
    <w:uiPriority w:val="9"/>
    <w:semiHidden/>
    <w:rsid w:val="002E1F5B"/>
    <w:rPr>
      <w:caps/>
      <w:spacing w:val="10"/>
      <w:sz w:val="18"/>
      <w:szCs w:val="18"/>
    </w:rPr>
  </w:style>
  <w:style w:type="character" w:customStyle="1" w:styleId="Heading9Char">
    <w:name w:val="Heading 9 Char"/>
    <w:basedOn w:val="DefaultParagraphFont"/>
    <w:link w:val="Heading9"/>
    <w:uiPriority w:val="9"/>
    <w:semiHidden/>
    <w:rsid w:val="002E1F5B"/>
    <w:rPr>
      <w:i/>
      <w:iCs/>
      <w:caps/>
      <w:spacing w:val="10"/>
      <w:sz w:val="18"/>
      <w:szCs w:val="18"/>
    </w:rPr>
  </w:style>
  <w:style w:type="paragraph" w:styleId="Caption">
    <w:name w:val="caption"/>
    <w:basedOn w:val="Normal"/>
    <w:next w:val="Normal"/>
    <w:uiPriority w:val="35"/>
    <w:semiHidden/>
    <w:unhideWhenUsed/>
    <w:qFormat/>
    <w:rsid w:val="002E1F5B"/>
    <w:rPr>
      <w:b/>
      <w:bCs/>
      <w:color w:val="2E74B5" w:themeColor="accent1" w:themeShade="BF"/>
      <w:sz w:val="16"/>
      <w:szCs w:val="16"/>
    </w:rPr>
  </w:style>
  <w:style w:type="paragraph" w:styleId="Title">
    <w:name w:val="Title"/>
    <w:basedOn w:val="Normal"/>
    <w:next w:val="Normal"/>
    <w:link w:val="TitleChar"/>
    <w:uiPriority w:val="10"/>
    <w:qFormat/>
    <w:rsid w:val="002E1F5B"/>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2E1F5B"/>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2E1F5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E1F5B"/>
    <w:rPr>
      <w:caps/>
      <w:color w:val="595959" w:themeColor="text1" w:themeTint="A6"/>
      <w:spacing w:val="10"/>
      <w:sz w:val="21"/>
      <w:szCs w:val="21"/>
    </w:rPr>
  </w:style>
  <w:style w:type="character" w:styleId="Emphasis">
    <w:name w:val="Emphasis"/>
    <w:uiPriority w:val="20"/>
    <w:qFormat/>
    <w:rsid w:val="002E1F5B"/>
    <w:rPr>
      <w:caps/>
      <w:color w:val="1F4D78" w:themeColor="accent1" w:themeShade="7F"/>
      <w:spacing w:val="5"/>
    </w:rPr>
  </w:style>
  <w:style w:type="paragraph" w:styleId="NoSpacing">
    <w:name w:val="No Spacing"/>
    <w:link w:val="NoSpacingChar"/>
    <w:uiPriority w:val="1"/>
    <w:qFormat/>
    <w:rsid w:val="002E1F5B"/>
    <w:pPr>
      <w:spacing w:after="0" w:line="240" w:lineRule="auto"/>
    </w:pPr>
  </w:style>
  <w:style w:type="paragraph" w:styleId="Quote">
    <w:name w:val="Quote"/>
    <w:basedOn w:val="Normal"/>
    <w:next w:val="Normal"/>
    <w:link w:val="QuoteChar"/>
    <w:uiPriority w:val="29"/>
    <w:qFormat/>
    <w:rsid w:val="002E1F5B"/>
    <w:rPr>
      <w:i/>
      <w:iCs/>
      <w:sz w:val="24"/>
      <w:szCs w:val="24"/>
    </w:rPr>
  </w:style>
  <w:style w:type="character" w:customStyle="1" w:styleId="QuoteChar">
    <w:name w:val="Quote Char"/>
    <w:basedOn w:val="DefaultParagraphFont"/>
    <w:link w:val="Quote"/>
    <w:uiPriority w:val="29"/>
    <w:rsid w:val="002E1F5B"/>
    <w:rPr>
      <w:i/>
      <w:iCs/>
      <w:sz w:val="24"/>
      <w:szCs w:val="24"/>
    </w:rPr>
  </w:style>
  <w:style w:type="paragraph" w:styleId="IntenseQuote">
    <w:name w:val="Intense Quote"/>
    <w:basedOn w:val="Normal"/>
    <w:next w:val="Normal"/>
    <w:link w:val="IntenseQuoteChar"/>
    <w:uiPriority w:val="30"/>
    <w:qFormat/>
    <w:rsid w:val="002E1F5B"/>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2E1F5B"/>
    <w:rPr>
      <w:color w:val="5B9BD5" w:themeColor="accent1"/>
      <w:sz w:val="24"/>
      <w:szCs w:val="24"/>
    </w:rPr>
  </w:style>
  <w:style w:type="character" w:styleId="SubtleEmphasis">
    <w:name w:val="Subtle Emphasis"/>
    <w:uiPriority w:val="19"/>
    <w:qFormat/>
    <w:rsid w:val="002E1F5B"/>
    <w:rPr>
      <w:i/>
      <w:iCs/>
      <w:color w:val="1F4D78" w:themeColor="accent1" w:themeShade="7F"/>
    </w:rPr>
  </w:style>
  <w:style w:type="character" w:styleId="IntenseEmphasis">
    <w:name w:val="Intense Emphasis"/>
    <w:uiPriority w:val="21"/>
    <w:qFormat/>
    <w:rsid w:val="002E1F5B"/>
    <w:rPr>
      <w:b/>
      <w:bCs/>
      <w:caps/>
      <w:color w:val="1F4D78" w:themeColor="accent1" w:themeShade="7F"/>
      <w:spacing w:val="10"/>
    </w:rPr>
  </w:style>
  <w:style w:type="character" w:styleId="SubtleReference">
    <w:name w:val="Subtle Reference"/>
    <w:uiPriority w:val="31"/>
    <w:qFormat/>
    <w:rsid w:val="002E1F5B"/>
    <w:rPr>
      <w:b/>
      <w:bCs/>
      <w:color w:val="5B9BD5" w:themeColor="accent1"/>
    </w:rPr>
  </w:style>
  <w:style w:type="character" w:styleId="IntenseReference">
    <w:name w:val="Intense Reference"/>
    <w:uiPriority w:val="32"/>
    <w:qFormat/>
    <w:rsid w:val="002E1F5B"/>
    <w:rPr>
      <w:b/>
      <w:bCs/>
      <w:i/>
      <w:iCs/>
      <w:caps/>
      <w:color w:val="5B9BD5" w:themeColor="accent1"/>
    </w:rPr>
  </w:style>
  <w:style w:type="character" w:styleId="BookTitle">
    <w:name w:val="Book Title"/>
    <w:uiPriority w:val="33"/>
    <w:qFormat/>
    <w:rsid w:val="002E1F5B"/>
    <w:rPr>
      <w:b/>
      <w:bCs/>
      <w:i/>
      <w:iCs/>
      <w:spacing w:val="0"/>
    </w:rPr>
  </w:style>
  <w:style w:type="paragraph" w:styleId="TOCHeading">
    <w:name w:val="TOC Heading"/>
    <w:basedOn w:val="Heading1"/>
    <w:next w:val="Normal"/>
    <w:uiPriority w:val="39"/>
    <w:semiHidden/>
    <w:unhideWhenUsed/>
    <w:qFormat/>
    <w:rsid w:val="002E1F5B"/>
    <w:pPr>
      <w:outlineLvl w:val="9"/>
    </w:pPr>
  </w:style>
  <w:style w:type="character" w:customStyle="1" w:styleId="NoSpacingChar">
    <w:name w:val="No Spacing Char"/>
    <w:basedOn w:val="DefaultParagraphFont"/>
    <w:link w:val="NoSpacing"/>
    <w:uiPriority w:val="1"/>
    <w:rsid w:val="002E1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927224">
      <w:bodyDiv w:val="1"/>
      <w:marLeft w:val="0"/>
      <w:marRight w:val="0"/>
      <w:marTop w:val="0"/>
      <w:marBottom w:val="0"/>
      <w:divBdr>
        <w:top w:val="none" w:sz="0" w:space="0" w:color="auto"/>
        <w:left w:val="none" w:sz="0" w:space="0" w:color="auto"/>
        <w:bottom w:val="none" w:sz="0" w:space="0" w:color="auto"/>
        <w:right w:val="none" w:sz="0" w:space="0" w:color="auto"/>
      </w:divBdr>
    </w:div>
    <w:div w:id="761687774">
      <w:bodyDiv w:val="1"/>
      <w:marLeft w:val="0"/>
      <w:marRight w:val="0"/>
      <w:marTop w:val="0"/>
      <w:marBottom w:val="0"/>
      <w:divBdr>
        <w:top w:val="none" w:sz="0" w:space="0" w:color="auto"/>
        <w:left w:val="none" w:sz="0" w:space="0" w:color="auto"/>
        <w:bottom w:val="none" w:sz="0" w:space="0" w:color="auto"/>
        <w:right w:val="none" w:sz="0" w:space="0" w:color="auto"/>
      </w:divBdr>
      <w:divsChild>
        <w:div w:id="2049406175">
          <w:marLeft w:val="0"/>
          <w:marRight w:val="0"/>
          <w:marTop w:val="0"/>
          <w:marBottom w:val="0"/>
          <w:divBdr>
            <w:top w:val="none" w:sz="0" w:space="0" w:color="auto"/>
            <w:left w:val="none" w:sz="0" w:space="0" w:color="auto"/>
            <w:bottom w:val="none" w:sz="0" w:space="0" w:color="auto"/>
            <w:right w:val="none" w:sz="0" w:space="0" w:color="auto"/>
          </w:divBdr>
        </w:div>
        <w:div w:id="1292057559">
          <w:marLeft w:val="0"/>
          <w:marRight w:val="0"/>
          <w:marTop w:val="0"/>
          <w:marBottom w:val="0"/>
          <w:divBdr>
            <w:top w:val="none" w:sz="0" w:space="0" w:color="auto"/>
            <w:left w:val="none" w:sz="0" w:space="0" w:color="auto"/>
            <w:bottom w:val="none" w:sz="0" w:space="0" w:color="auto"/>
            <w:right w:val="none" w:sz="0" w:space="0" w:color="auto"/>
          </w:divBdr>
        </w:div>
        <w:div w:id="1117677178">
          <w:marLeft w:val="0"/>
          <w:marRight w:val="0"/>
          <w:marTop w:val="0"/>
          <w:marBottom w:val="0"/>
          <w:divBdr>
            <w:top w:val="none" w:sz="0" w:space="0" w:color="auto"/>
            <w:left w:val="none" w:sz="0" w:space="0" w:color="auto"/>
            <w:bottom w:val="none" w:sz="0" w:space="0" w:color="auto"/>
            <w:right w:val="none" w:sz="0" w:space="0" w:color="auto"/>
          </w:divBdr>
        </w:div>
        <w:div w:id="204686309">
          <w:marLeft w:val="0"/>
          <w:marRight w:val="0"/>
          <w:marTop w:val="0"/>
          <w:marBottom w:val="0"/>
          <w:divBdr>
            <w:top w:val="none" w:sz="0" w:space="0" w:color="auto"/>
            <w:left w:val="none" w:sz="0" w:space="0" w:color="auto"/>
            <w:bottom w:val="none" w:sz="0" w:space="0" w:color="auto"/>
            <w:right w:val="none" w:sz="0" w:space="0" w:color="auto"/>
          </w:divBdr>
        </w:div>
        <w:div w:id="991760846">
          <w:marLeft w:val="0"/>
          <w:marRight w:val="0"/>
          <w:marTop w:val="0"/>
          <w:marBottom w:val="0"/>
          <w:divBdr>
            <w:top w:val="none" w:sz="0" w:space="0" w:color="auto"/>
            <w:left w:val="none" w:sz="0" w:space="0" w:color="auto"/>
            <w:bottom w:val="none" w:sz="0" w:space="0" w:color="auto"/>
            <w:right w:val="none" w:sz="0" w:space="0" w:color="auto"/>
          </w:divBdr>
        </w:div>
        <w:div w:id="111705847">
          <w:marLeft w:val="0"/>
          <w:marRight w:val="0"/>
          <w:marTop w:val="0"/>
          <w:marBottom w:val="0"/>
          <w:divBdr>
            <w:top w:val="none" w:sz="0" w:space="0" w:color="auto"/>
            <w:left w:val="none" w:sz="0" w:space="0" w:color="auto"/>
            <w:bottom w:val="none" w:sz="0" w:space="0" w:color="auto"/>
            <w:right w:val="none" w:sz="0" w:space="0" w:color="auto"/>
          </w:divBdr>
        </w:div>
        <w:div w:id="1707218033">
          <w:marLeft w:val="0"/>
          <w:marRight w:val="0"/>
          <w:marTop w:val="0"/>
          <w:marBottom w:val="0"/>
          <w:divBdr>
            <w:top w:val="none" w:sz="0" w:space="0" w:color="auto"/>
            <w:left w:val="none" w:sz="0" w:space="0" w:color="auto"/>
            <w:bottom w:val="none" w:sz="0" w:space="0" w:color="auto"/>
            <w:right w:val="none" w:sz="0" w:space="0" w:color="auto"/>
          </w:divBdr>
        </w:div>
        <w:div w:id="1351101380">
          <w:marLeft w:val="0"/>
          <w:marRight w:val="0"/>
          <w:marTop w:val="0"/>
          <w:marBottom w:val="0"/>
          <w:divBdr>
            <w:top w:val="none" w:sz="0" w:space="0" w:color="auto"/>
            <w:left w:val="none" w:sz="0" w:space="0" w:color="auto"/>
            <w:bottom w:val="none" w:sz="0" w:space="0" w:color="auto"/>
            <w:right w:val="none" w:sz="0" w:space="0" w:color="auto"/>
          </w:divBdr>
        </w:div>
        <w:div w:id="269358186">
          <w:marLeft w:val="0"/>
          <w:marRight w:val="0"/>
          <w:marTop w:val="0"/>
          <w:marBottom w:val="0"/>
          <w:divBdr>
            <w:top w:val="none" w:sz="0" w:space="0" w:color="auto"/>
            <w:left w:val="none" w:sz="0" w:space="0" w:color="auto"/>
            <w:bottom w:val="none" w:sz="0" w:space="0" w:color="auto"/>
            <w:right w:val="none" w:sz="0" w:space="0" w:color="auto"/>
          </w:divBdr>
        </w:div>
      </w:divsChild>
    </w:div>
    <w:div w:id="858547934">
      <w:bodyDiv w:val="1"/>
      <w:marLeft w:val="0"/>
      <w:marRight w:val="0"/>
      <w:marTop w:val="0"/>
      <w:marBottom w:val="0"/>
      <w:divBdr>
        <w:top w:val="none" w:sz="0" w:space="0" w:color="auto"/>
        <w:left w:val="none" w:sz="0" w:space="0" w:color="auto"/>
        <w:bottom w:val="none" w:sz="0" w:space="0" w:color="auto"/>
        <w:right w:val="none" w:sz="0" w:space="0" w:color="auto"/>
      </w:divBdr>
      <w:divsChild>
        <w:div w:id="1769619477">
          <w:marLeft w:val="0"/>
          <w:marRight w:val="0"/>
          <w:marTop w:val="0"/>
          <w:marBottom w:val="240"/>
          <w:divBdr>
            <w:top w:val="none" w:sz="0" w:space="0" w:color="auto"/>
            <w:left w:val="none" w:sz="0" w:space="0" w:color="auto"/>
            <w:bottom w:val="none" w:sz="0" w:space="0" w:color="auto"/>
            <w:right w:val="none" w:sz="0" w:space="0" w:color="auto"/>
          </w:divBdr>
        </w:div>
        <w:div w:id="328169982">
          <w:marLeft w:val="0"/>
          <w:marRight w:val="0"/>
          <w:marTop w:val="0"/>
          <w:marBottom w:val="0"/>
          <w:divBdr>
            <w:top w:val="none" w:sz="0" w:space="0" w:color="auto"/>
            <w:left w:val="none" w:sz="0" w:space="0" w:color="auto"/>
            <w:bottom w:val="none" w:sz="0" w:space="0" w:color="auto"/>
            <w:right w:val="none" w:sz="0" w:space="0" w:color="auto"/>
          </w:divBdr>
        </w:div>
      </w:divsChild>
    </w:div>
    <w:div w:id="1282878184">
      <w:bodyDiv w:val="1"/>
      <w:marLeft w:val="0"/>
      <w:marRight w:val="0"/>
      <w:marTop w:val="0"/>
      <w:marBottom w:val="0"/>
      <w:divBdr>
        <w:top w:val="none" w:sz="0" w:space="0" w:color="auto"/>
        <w:left w:val="none" w:sz="0" w:space="0" w:color="auto"/>
        <w:bottom w:val="none" w:sz="0" w:space="0" w:color="auto"/>
        <w:right w:val="none" w:sz="0" w:space="0" w:color="auto"/>
      </w:divBdr>
    </w:div>
    <w:div w:id="1707438481">
      <w:bodyDiv w:val="1"/>
      <w:marLeft w:val="0"/>
      <w:marRight w:val="0"/>
      <w:marTop w:val="0"/>
      <w:marBottom w:val="0"/>
      <w:divBdr>
        <w:top w:val="none" w:sz="0" w:space="0" w:color="auto"/>
        <w:left w:val="none" w:sz="0" w:space="0" w:color="auto"/>
        <w:bottom w:val="none" w:sz="0" w:space="0" w:color="auto"/>
        <w:right w:val="none" w:sz="0" w:space="0" w:color="auto"/>
      </w:divBdr>
    </w:div>
    <w:div w:id="1708025358">
      <w:bodyDiv w:val="1"/>
      <w:marLeft w:val="0"/>
      <w:marRight w:val="0"/>
      <w:marTop w:val="0"/>
      <w:marBottom w:val="0"/>
      <w:divBdr>
        <w:top w:val="none" w:sz="0" w:space="0" w:color="auto"/>
        <w:left w:val="none" w:sz="0" w:space="0" w:color="auto"/>
        <w:bottom w:val="none" w:sz="0" w:space="0" w:color="auto"/>
        <w:right w:val="none" w:sz="0" w:space="0" w:color="auto"/>
      </w:divBdr>
    </w:div>
    <w:div w:id="1867474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EEDD83-8811-4154-9684-DB6FAC13F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10</Pages>
  <Words>2201</Words>
  <Characters>12547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community enagement</vt:lpstr>
    </vt:vector>
  </TitlesOfParts>
  <Company/>
  <LinksUpToDate>false</LinksUpToDate>
  <CharactersWithSpaces>14719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commuty enagemen</dc:title>
  <dc:subject>AS1</dc:subject>
  <dc:creator>HP</dc:creator>
  <cp:keywords/>
  <dc:description/>
  <cp:lastModifiedBy>Svetoslav Stoianov (2023030)</cp:lastModifiedBy>
  <cp:revision>24</cp:revision>
  <dcterms:created xsi:type="dcterms:W3CDTF">2021-05-07T16:26:00Z</dcterms:created>
  <dcterms:modified xsi:type="dcterms:W3CDTF">2021-05-11T21:35:00Z</dcterms:modified>
</cp:coreProperties>
</file>