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center"/>
        <w:rPr>
          <w:rFonts w:ascii="Arial" w:hAnsi="Arial"/>
          <w:sz w:val="24"/>
          <w:szCs w:val="24"/>
        </w:rPr>
      </w:pPr>
      <w:r>
        <w:rPr>
          <w:rFonts w:ascii="Arial" w:hAnsi="Arial"/>
          <w:b/>
          <w:bCs/>
          <w:i w:val="false"/>
          <w:iCs w:val="false"/>
          <w:sz w:val="24"/>
          <w:szCs w:val="24"/>
          <w:u w:val="single"/>
        </w:rPr>
        <w:t>Portfolio of Study Skills</w:t>
      </w:r>
    </w:p>
    <w:p>
      <w:pPr>
        <w:pStyle w:val="Normal"/>
        <w:spacing w:lineRule="auto" w:line="480"/>
        <w:jc w:val="both"/>
        <w:rPr>
          <w:rFonts w:ascii="Arial" w:hAnsi="Arial"/>
          <w:b/>
          <w:b/>
          <w:bCs/>
          <w:i w:val="false"/>
          <w:i w:val="false"/>
          <w:iCs w:val="false"/>
          <w:sz w:val="24"/>
          <w:szCs w:val="24"/>
          <w:u w:val="single"/>
        </w:rPr>
      </w:pPr>
      <w:r>
        <w:rPr>
          <w:rFonts w:ascii="Arial" w:hAnsi="Arial"/>
          <w:b/>
          <w:bCs/>
          <w:i w:val="false"/>
          <w:iCs w:val="false"/>
          <w:sz w:val="24"/>
          <w:szCs w:val="24"/>
          <w:u w:val="single"/>
        </w:rPr>
      </w:r>
    </w:p>
    <w:p>
      <w:pPr>
        <w:pStyle w:val="Normal"/>
        <w:spacing w:lineRule="auto" w:line="480"/>
        <w:jc w:val="both"/>
        <w:rPr>
          <w:rFonts w:ascii="Arial" w:hAnsi="Arial"/>
          <w:sz w:val="24"/>
          <w:szCs w:val="24"/>
        </w:rPr>
      </w:pPr>
      <w:r>
        <w:rPr>
          <w:rFonts w:ascii="Arial" w:hAnsi="Arial"/>
          <w:b/>
          <w:bCs/>
          <w:i w:val="false"/>
          <w:iCs w:val="false"/>
          <w:sz w:val="24"/>
          <w:szCs w:val="24"/>
          <w:u w:val="single"/>
        </w:rPr>
        <w:t>Part 1</w:t>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Iceland and other countries believe it is important that children play outdoors. Individuals researching government papers state that playing outdoors is beneficial to </w:t>
      </w:r>
      <w:r>
        <w:rPr>
          <w:rFonts w:ascii="Arial" w:hAnsi="Arial"/>
          <w:b w:val="false"/>
          <w:bCs w:val="false"/>
          <w:i w:val="false"/>
          <w:iCs w:val="false"/>
          <w:color w:val="000000"/>
          <w:sz w:val="24"/>
          <w:szCs w:val="24"/>
          <w:u w:val="none"/>
        </w:rPr>
        <w:t>childrens’</w:t>
      </w:r>
      <w:r>
        <w:rPr>
          <w:rFonts w:ascii="Arial" w:hAnsi="Arial"/>
          <w:b w:val="false"/>
          <w:bCs w:val="false"/>
          <w:i w:val="false"/>
          <w:iCs w:val="false"/>
          <w:sz w:val="24"/>
          <w:szCs w:val="24"/>
          <w:u w:val="none"/>
        </w:rPr>
        <w:t xml:space="preserve"> overall health and well-being. According to Norodahl and Johannesson ( 2014 ) curriculum guidelines emphasise the outdoor learning environment as a great place for children to interact with and understand the natural world, encouraging exercise and healthy living. </w:t>
      </w:r>
    </w:p>
    <w:p>
      <w:pPr>
        <w:pStyle w:val="Normal"/>
        <w:spacing w:lineRule="auto" w:line="480"/>
        <w:jc w:val="both"/>
        <w:rPr>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The emphasis on outdoor learning in Iceland occurs daily in schools, with children aged one to six playing outdoors, and children aged six to sixteen engaging with friends during playtime. Outdoor learning may differ for some children, due to the teacher and their  attitude towards outdoor learning. Signs indicate that in Reyjkavik, the Capital of Iceland, 70% of </w:t>
      </w:r>
      <w:r>
        <w:rPr>
          <w:rFonts w:ascii="Arial" w:hAnsi="Arial"/>
          <w:b w:val="false"/>
          <w:bCs w:val="false"/>
          <w:i w:val="false"/>
          <w:iCs w:val="false"/>
          <w:color w:val="000000"/>
          <w:sz w:val="24"/>
          <w:szCs w:val="24"/>
          <w:u w:val="none"/>
        </w:rPr>
        <w:t>schools are consistently using outdoor learning. This increase in outdoor learning  displays that teachers’</w:t>
      </w:r>
      <w:r>
        <w:rPr>
          <w:rFonts w:ascii="Arial" w:hAnsi="Arial"/>
          <w:b w:val="false"/>
          <w:bCs w:val="false"/>
          <w:i w:val="false"/>
          <w:iCs w:val="false"/>
          <w:color w:val="C9211E"/>
          <w:sz w:val="24"/>
          <w:szCs w:val="24"/>
          <w:u w:val="none"/>
        </w:rPr>
        <w:t xml:space="preserve"> </w:t>
      </w:r>
      <w:r>
        <w:rPr>
          <w:rFonts w:ascii="Arial" w:hAnsi="Arial"/>
          <w:b w:val="false"/>
          <w:bCs w:val="false"/>
          <w:i w:val="false"/>
          <w:iCs w:val="false"/>
          <w:sz w:val="24"/>
          <w:szCs w:val="24"/>
          <w:u w:val="none"/>
        </w:rPr>
        <w:t>are using the outdoors as a place of education more than they used to (Oladottir, 2008, cited in Norodahl and Johannesson, 2014).</w:t>
      </w:r>
    </w:p>
    <w:p>
      <w:pPr>
        <w:pStyle w:val="Normal"/>
        <w:spacing w:lineRule="auto" w:line="480"/>
        <w:jc w:val="both"/>
        <w:rPr>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Adapted from: </w:t>
      </w:r>
    </w:p>
    <w:p>
      <w:pPr>
        <w:pStyle w:val="Normal"/>
        <w:spacing w:lineRule="auto" w:line="480"/>
        <w:jc w:val="both"/>
        <w:rPr>
          <w:rFonts w:ascii="Arial" w:hAnsi="Arial"/>
          <w:sz w:val="24"/>
          <w:szCs w:val="24"/>
        </w:rPr>
      </w:pPr>
      <w:bookmarkStart w:id="0" w:name="__DdeLink__108_3836327143"/>
      <w:r>
        <w:rPr>
          <w:rFonts w:ascii="Arial" w:hAnsi="Arial"/>
          <w:b w:val="false"/>
          <w:bCs w:val="false"/>
          <w:i w:val="false"/>
          <w:iCs w:val="false"/>
          <w:sz w:val="24"/>
          <w:szCs w:val="24"/>
          <w:u w:val="none"/>
        </w:rPr>
        <w:t>Noradahl, K. and Johannesson, I. (2014) ‘Icelandic teachers’, views of using the outdoors’</w:t>
      </w:r>
      <w:bookmarkEnd w:id="0"/>
      <w:r>
        <w:rPr>
          <w:rFonts w:ascii="Arial" w:hAnsi="Arial"/>
          <w:b w:val="false"/>
          <w:bCs w:val="false"/>
          <w:i w:val="false"/>
          <w:iCs w:val="false"/>
          <w:sz w:val="24"/>
          <w:szCs w:val="24"/>
          <w:u w:val="none"/>
        </w:rPr>
        <w:t xml:space="preserve"> </w:t>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Education 3-13: </w:t>
      </w:r>
      <w:r>
        <w:rPr>
          <w:rFonts w:ascii="Arial" w:hAnsi="Arial"/>
          <w:b w:val="false"/>
          <w:bCs w:val="false"/>
          <w:i/>
          <w:iCs/>
          <w:sz w:val="24"/>
          <w:szCs w:val="24"/>
          <w:u w:val="none"/>
        </w:rPr>
        <w:t>International Journal of Primary, Elementary and Early Years Education</w:t>
      </w:r>
      <w:r>
        <w:rPr>
          <w:rFonts w:ascii="Arial" w:hAnsi="Arial"/>
          <w:b w:val="false"/>
          <w:bCs w:val="false"/>
          <w:i w:val="false"/>
          <w:iCs w:val="false"/>
          <w:sz w:val="24"/>
          <w:szCs w:val="24"/>
          <w:u w:val="none"/>
        </w:rPr>
        <w:t>. Vol 44, No. (4) September 2014, pp. 391-406.</w:t>
      </w:r>
    </w:p>
    <w:p>
      <w:pPr>
        <w:pStyle w:val="Normal"/>
        <w:spacing w:lineRule="auto" w:line="480"/>
        <w:jc w:val="both"/>
        <w:rPr>
          <w:rFonts w:ascii="Arial" w:hAnsi="Arial"/>
          <w:b/>
          <w:b/>
          <w:bCs/>
          <w:i w:val="false"/>
          <w:i w:val="false"/>
          <w:iCs w:val="false"/>
          <w:sz w:val="24"/>
          <w:szCs w:val="24"/>
          <w:u w:val="single"/>
        </w:rPr>
      </w:pPr>
      <w:r>
        <w:rPr>
          <w:rFonts w:ascii="Arial" w:hAnsi="Arial"/>
          <w:b/>
          <w:bCs/>
          <w:i w:val="false"/>
          <w:iCs w:val="false"/>
          <w:sz w:val="24"/>
          <w:szCs w:val="24"/>
          <w:u w:val="single"/>
        </w:rPr>
      </w:r>
    </w:p>
    <w:p>
      <w:pPr>
        <w:pStyle w:val="Normal"/>
        <w:spacing w:lineRule="auto" w:line="480"/>
        <w:jc w:val="both"/>
        <w:rPr>
          <w:rFonts w:ascii="Arial" w:hAnsi="Arial"/>
          <w:b w:val="false"/>
          <w:b w:val="false"/>
          <w:bCs w:val="false"/>
          <w:sz w:val="24"/>
          <w:szCs w:val="24"/>
          <w:u w:val="none"/>
        </w:rPr>
      </w:pPr>
      <w:r>
        <w:rPr>
          <w:rFonts w:ascii="Arial" w:hAnsi="Arial"/>
          <w:b w:val="false"/>
          <w:bCs w:val="false"/>
          <w:sz w:val="24"/>
          <w:szCs w:val="24"/>
          <w:u w:val="none"/>
        </w:rPr>
      </w:r>
    </w:p>
    <w:p>
      <w:pPr>
        <w:pStyle w:val="Normal"/>
        <w:spacing w:lineRule="auto" w:line="480"/>
        <w:jc w:val="both"/>
        <w:rPr>
          <w:rFonts w:ascii="Arial" w:hAnsi="Arial"/>
          <w:b/>
          <w:b/>
          <w:bCs/>
          <w:i w:val="false"/>
          <w:i w:val="false"/>
          <w:iCs w:val="false"/>
          <w:sz w:val="24"/>
          <w:szCs w:val="24"/>
          <w:u w:val="single"/>
        </w:rPr>
      </w:pPr>
      <w:r>
        <w:rPr>
          <w:rFonts w:ascii="Arial" w:hAnsi="Arial"/>
          <w:b/>
          <w:bCs/>
          <w:i w:val="false"/>
          <w:iCs w:val="false"/>
          <w:sz w:val="24"/>
          <w:szCs w:val="24"/>
          <w:u w:val="single"/>
        </w:rPr>
      </w:r>
    </w:p>
    <w:p>
      <w:pPr>
        <w:pStyle w:val="Normal"/>
        <w:spacing w:lineRule="auto" w:line="480"/>
        <w:jc w:val="both"/>
        <w:rPr>
          <w:rFonts w:ascii="Arial" w:hAnsi="Arial"/>
          <w:sz w:val="24"/>
          <w:szCs w:val="24"/>
        </w:rPr>
      </w:pPr>
      <w:r>
        <w:rPr>
          <w:rFonts w:ascii="Arial" w:hAnsi="Arial"/>
          <w:b/>
          <w:bCs/>
          <w:i w:val="false"/>
          <w:iCs w:val="false"/>
          <w:sz w:val="24"/>
          <w:szCs w:val="24"/>
          <w:u w:val="single"/>
        </w:rPr>
        <w:t>Part 2a</w:t>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The following essay describes forest schools. The definition taken from the Forest School Network states that</w:t>
      </w:r>
    </w:p>
    <w:p>
      <w:pPr>
        <w:pStyle w:val="Normal"/>
        <w:spacing w:lineRule="auto" w:line="480"/>
        <w:ind w:left="709" w:right="0" w:hanging="0"/>
        <w:jc w:val="both"/>
        <w:rPr>
          <w:rFonts w:ascii="Arial" w:hAnsi="Arial"/>
          <w:sz w:val="24"/>
          <w:szCs w:val="24"/>
        </w:rPr>
      </w:pPr>
      <w:r>
        <w:rPr>
          <w:rFonts w:ascii="Arial" w:hAnsi="Arial"/>
          <w:b w:val="false"/>
          <w:bCs w:val="false"/>
          <w:i w:val="false"/>
          <w:iCs w:val="false"/>
          <w:sz w:val="24"/>
          <w:szCs w:val="24"/>
          <w:u w:val="none"/>
        </w:rPr>
        <w:t xml:space="preserve">it is an inspirational process that offers children, young people and adults regular opportunities to achieve and develop their confidence and self esteem through a hands on learning experience in a woodland environment (O’Brien and Murray, </w:t>
        <w:tab/>
        <w:t>2006, p.7).</w:t>
      </w:r>
    </w:p>
    <w:p>
      <w:pPr>
        <w:pStyle w:val="Normal"/>
        <w:spacing w:lineRule="auto" w:line="480"/>
        <w:jc w:val="both"/>
        <w:rPr>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Today, many parents are troubled that their children are not experiencing the woodlands as they would have in their childhood. On the other hand, some parents detest the thought of their children being outdoors and in danger, and would prefer them to be learning through indoor activities. O’Brien and Murray believe there is a variety of activities and learning experiences that can be carried out indoors (O’Brien and Murray, 2006).</w:t>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Research has been carried out which determines that if children miss out on access to nature whilst they are young, it may affect them physically and emotionally later on in life (Ward Thompson et al. 2004).</w:t>
      </w:r>
    </w:p>
    <w:p>
      <w:pPr>
        <w:pStyle w:val="Normal"/>
        <w:spacing w:lineRule="auto" w:line="480"/>
        <w:jc w:val="both"/>
        <w:rPr>
          <w:color w:val="000000"/>
        </w:rPr>
      </w:pPr>
      <w:r>
        <w:rPr>
          <w:rFonts w:ascii="Arial" w:hAnsi="Arial"/>
          <w:b w:val="false"/>
          <w:bCs w:val="false"/>
          <w:i w:val="false"/>
          <w:iCs w:val="false"/>
          <w:color w:val="000000"/>
          <w:sz w:val="24"/>
          <w:szCs w:val="24"/>
          <w:u w:val="none"/>
        </w:rPr>
        <w:t xml:space="preserve">The Welsh Assembly Government (2009) are encouraging teachers to include forest schools, especially during Foundation Phase as it is a contrast in learning from the classroom. </w:t>
      </w:r>
    </w:p>
    <w:p>
      <w:pPr>
        <w:pStyle w:val="Normal"/>
        <w:spacing w:lineRule="auto" w:line="480"/>
        <w:jc w:val="both"/>
        <w:rPr>
          <w:rFonts w:ascii="Arial" w:hAnsi="Arial"/>
          <w:b w:val="false"/>
          <w:b w:val="false"/>
          <w:bCs w:val="false"/>
          <w:i w:val="false"/>
          <w:i w:val="false"/>
          <w:iCs w:val="false"/>
          <w:color w:val="000000"/>
          <w:sz w:val="24"/>
          <w:szCs w:val="24"/>
          <w:u w:val="none"/>
        </w:rPr>
      </w:pPr>
      <w:r>
        <w:rPr>
          <w:rFonts w:ascii="Arial" w:hAnsi="Arial"/>
          <w:b w:val="false"/>
          <w:bCs w:val="false"/>
          <w:i w:val="false"/>
          <w:iCs w:val="false"/>
          <w:color w:val="000000"/>
          <w:sz w:val="24"/>
          <w:szCs w:val="24"/>
          <w:u w:val="none"/>
        </w:rPr>
      </w:r>
    </w:p>
    <w:p>
      <w:pPr>
        <w:pStyle w:val="Normal"/>
        <w:spacing w:lineRule="auto" w:line="480"/>
        <w:jc w:val="both"/>
        <w:rPr>
          <w:rFonts w:ascii="Arial" w:hAnsi="Arial"/>
          <w:sz w:val="24"/>
          <w:szCs w:val="24"/>
        </w:rPr>
      </w:pPr>
      <w:r>
        <w:rPr>
          <w:rFonts w:ascii="Arial" w:hAnsi="Arial"/>
          <w:b w:val="false"/>
          <w:bCs w:val="false"/>
          <w:i w:val="false"/>
          <w:iCs w:val="false"/>
          <w:color w:val="000000"/>
          <w:sz w:val="24"/>
          <w:szCs w:val="24"/>
          <w:u w:val="none"/>
        </w:rPr>
        <w:t xml:space="preserve">Reference List: </w:t>
      </w:r>
    </w:p>
    <w:p>
      <w:pPr>
        <w:pStyle w:val="Normal"/>
        <w:spacing w:lineRule="auto" w:line="480"/>
        <w:jc w:val="both"/>
        <w:rPr>
          <w:rFonts w:ascii="Arial" w:hAnsi="Arial"/>
          <w:sz w:val="24"/>
          <w:szCs w:val="24"/>
        </w:rPr>
      </w:pPr>
      <w:r>
        <w:rPr>
          <w:rFonts w:ascii="Arial" w:hAnsi="Arial"/>
          <w:b w:val="false"/>
          <w:bCs w:val="false"/>
          <w:i w:val="false"/>
          <w:iCs w:val="false"/>
          <w:color w:val="000000"/>
          <w:sz w:val="24"/>
          <w:szCs w:val="24"/>
          <w:u w:val="none"/>
        </w:rPr>
        <w:t xml:space="preserve">O’Brien, L and Murray, R. (2006) </w:t>
      </w:r>
      <w:r>
        <w:rPr>
          <w:rFonts w:ascii="Arial" w:hAnsi="Arial"/>
          <w:b w:val="false"/>
          <w:bCs w:val="false"/>
          <w:i/>
          <w:iCs/>
          <w:color w:val="000000"/>
          <w:sz w:val="24"/>
          <w:szCs w:val="24"/>
          <w:u w:val="none"/>
        </w:rPr>
        <w:t xml:space="preserve">A marvellous opportunity for children to learn: A participatory evaluation of Forest School in England and Wales. </w:t>
      </w:r>
      <w:r>
        <w:rPr>
          <w:rFonts w:ascii="Arial" w:hAnsi="Arial"/>
          <w:b w:val="false"/>
          <w:bCs w:val="false"/>
          <w:i w:val="false"/>
          <w:iCs w:val="false"/>
          <w:color w:val="000000"/>
          <w:sz w:val="24"/>
          <w:szCs w:val="24"/>
          <w:u w:val="none"/>
        </w:rPr>
        <w:t>Farnham: Forest Research.</w:t>
      </w:r>
    </w:p>
    <w:p>
      <w:pPr>
        <w:pStyle w:val="Normal"/>
        <w:spacing w:lineRule="auto" w:line="480"/>
        <w:jc w:val="both"/>
        <w:rPr>
          <w:rFonts w:ascii="Arial" w:hAnsi="Arial"/>
          <w:sz w:val="24"/>
          <w:szCs w:val="24"/>
        </w:rPr>
      </w:pPr>
      <w:r>
        <w:rPr>
          <w:rFonts w:ascii="Arial" w:hAnsi="Arial"/>
          <w:b w:val="false"/>
          <w:bCs w:val="false"/>
          <w:i w:val="false"/>
          <w:iCs w:val="false"/>
          <w:color w:val="000000"/>
          <w:sz w:val="24"/>
          <w:szCs w:val="24"/>
          <w:u w:val="none"/>
        </w:rPr>
        <w:t xml:space="preserve">Ward Thompson, C. </w:t>
      </w:r>
      <w:r>
        <w:rPr>
          <w:rFonts w:ascii="Arial" w:hAnsi="Arial"/>
          <w:b w:val="false"/>
          <w:bCs w:val="false"/>
          <w:i/>
          <w:iCs/>
          <w:color w:val="000000"/>
          <w:sz w:val="24"/>
          <w:szCs w:val="24"/>
          <w:u w:val="none"/>
        </w:rPr>
        <w:t>et al</w:t>
      </w:r>
      <w:r>
        <w:rPr>
          <w:rFonts w:ascii="Arial" w:hAnsi="Arial"/>
          <w:b w:val="false"/>
          <w:bCs w:val="false"/>
          <w:i w:val="false"/>
          <w:iCs w:val="false"/>
          <w:color w:val="000000"/>
          <w:sz w:val="24"/>
          <w:szCs w:val="24"/>
          <w:u w:val="none"/>
        </w:rPr>
        <w:t xml:space="preserve">. (2004) </w:t>
      </w:r>
      <w:r>
        <w:rPr>
          <w:rFonts w:ascii="Arial" w:hAnsi="Arial"/>
          <w:b w:val="false"/>
          <w:bCs w:val="false"/>
          <w:i/>
          <w:iCs/>
          <w:color w:val="000000"/>
          <w:sz w:val="24"/>
          <w:szCs w:val="24"/>
          <w:u w:val="none"/>
        </w:rPr>
        <w:t xml:space="preserve"> Open space and social inclusion: Local woodland use in central Scotland. </w:t>
      </w:r>
      <w:r>
        <w:rPr>
          <w:rFonts w:ascii="Arial" w:hAnsi="Arial"/>
          <w:b w:val="false"/>
          <w:bCs w:val="false"/>
          <w:i w:val="false"/>
          <w:iCs w:val="false"/>
          <w:color w:val="000000"/>
          <w:sz w:val="24"/>
          <w:szCs w:val="24"/>
          <w:u w:val="none"/>
        </w:rPr>
        <w:t xml:space="preserve">Edinburgh: Forestry Commission. </w:t>
      </w:r>
    </w:p>
    <w:p>
      <w:pPr>
        <w:pStyle w:val="Normal"/>
        <w:spacing w:lineRule="auto" w:line="480"/>
        <w:jc w:val="both"/>
        <w:rPr>
          <w:rFonts w:ascii="Arial" w:hAnsi="Arial"/>
          <w:b w:val="false"/>
          <w:b w:val="false"/>
          <w:bCs w:val="false"/>
          <w:i w:val="false"/>
          <w:i w:val="false"/>
          <w:iCs w:val="false"/>
          <w:color w:val="000000"/>
          <w:sz w:val="24"/>
          <w:szCs w:val="24"/>
          <w:u w:val="none"/>
        </w:rPr>
      </w:pPr>
      <w:r>
        <w:rPr>
          <w:rFonts w:ascii="Arial" w:hAnsi="Arial"/>
          <w:b w:val="false"/>
          <w:bCs w:val="false"/>
          <w:i w:val="false"/>
          <w:iCs w:val="false"/>
          <w:color w:val="000000"/>
          <w:sz w:val="24"/>
          <w:szCs w:val="24"/>
          <w:u w:val="none"/>
        </w:rPr>
      </w:r>
    </w:p>
    <w:p>
      <w:pPr>
        <w:pStyle w:val="Normal"/>
        <w:spacing w:lineRule="auto" w:line="480"/>
        <w:jc w:val="both"/>
        <w:rPr/>
      </w:pPr>
      <w:r>
        <w:rPr>
          <w:rFonts w:ascii="Arial" w:hAnsi="Arial"/>
          <w:b w:val="false"/>
          <w:bCs w:val="false"/>
          <w:i w:val="false"/>
          <w:iCs w:val="false"/>
          <w:sz w:val="24"/>
          <w:szCs w:val="24"/>
          <w:u w:val="none"/>
        </w:rPr>
        <w:t xml:space="preserve">Welsh Assembly Government (2009) </w:t>
      </w:r>
      <w:r>
        <w:rPr>
          <w:rFonts w:ascii="Arial" w:hAnsi="Arial"/>
          <w:b w:val="false"/>
          <w:bCs w:val="false"/>
          <w:i/>
          <w:iCs/>
          <w:sz w:val="24"/>
          <w:szCs w:val="24"/>
          <w:u w:val="none"/>
        </w:rPr>
        <w:t xml:space="preserve">Outdoor Learning Handbook. </w:t>
      </w:r>
      <w:r>
        <w:rPr>
          <w:rFonts w:ascii="Arial" w:hAnsi="Arial"/>
          <w:b w:val="false"/>
          <w:bCs w:val="false"/>
          <w:i w:val="false"/>
          <w:iCs w:val="false"/>
          <w:sz w:val="24"/>
          <w:szCs w:val="24"/>
          <w:u w:val="none"/>
        </w:rPr>
        <w:t xml:space="preserve">Available at: </w:t>
      </w:r>
      <w:hyperlink r:id="rId2">
        <w:bookmarkStart w:id="1" w:name="__DdeLink__123_3150320476"/>
        <w:r>
          <w:rPr>
            <w:rStyle w:val="InternetLink"/>
            <w:rFonts w:ascii="Arial" w:hAnsi="Arial"/>
            <w:b w:val="false"/>
            <w:bCs w:val="false"/>
            <w:i w:val="false"/>
            <w:iCs w:val="false"/>
            <w:sz w:val="24"/>
            <w:szCs w:val="24"/>
            <w:u w:val="none"/>
          </w:rPr>
          <w:t>https://hwb.gov.wales/storage/fcb8539c-9be7-4883-8542-35d7b54b56f2/foundation-phase-outdoor-learning-handbook.pdf</w:t>
        </w:r>
      </w:hyperlink>
      <w:bookmarkEnd w:id="1"/>
      <w:r>
        <w:rPr>
          <w:rFonts w:ascii="Arial" w:hAnsi="Arial"/>
          <w:b w:val="false"/>
          <w:bCs w:val="false"/>
          <w:i w:val="false"/>
          <w:iCs w:val="false"/>
          <w:sz w:val="24"/>
          <w:szCs w:val="24"/>
          <w:u w:val="none"/>
        </w:rPr>
        <w:t xml:space="preserve"> (Accessed: 6</w:t>
      </w:r>
      <w:r>
        <w:rPr>
          <w:rFonts w:ascii="Arial" w:hAnsi="Arial"/>
          <w:b w:val="false"/>
          <w:bCs w:val="false"/>
          <w:i w:val="false"/>
          <w:iCs w:val="false"/>
          <w:sz w:val="24"/>
          <w:szCs w:val="24"/>
          <w:u w:val="none"/>
          <w:vertAlign w:val="superscript"/>
        </w:rPr>
        <w:t>th</w:t>
      </w:r>
      <w:r>
        <w:rPr>
          <w:rFonts w:ascii="Arial" w:hAnsi="Arial"/>
          <w:b w:val="false"/>
          <w:bCs w:val="false"/>
          <w:i w:val="false"/>
          <w:iCs w:val="false"/>
          <w:sz w:val="24"/>
          <w:szCs w:val="24"/>
          <w:u w:val="none"/>
        </w:rPr>
        <w:t xml:space="preserve"> November 2019).</w:t>
      </w:r>
    </w:p>
    <w:p>
      <w:pPr>
        <w:pStyle w:val="Normal"/>
        <w:spacing w:lineRule="auto" w:line="480"/>
        <w:jc w:val="both"/>
        <w:rPr>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Normal"/>
        <w:spacing w:lineRule="auto" w:line="480"/>
        <w:jc w:val="both"/>
        <w:rPr>
          <w:rFonts w:ascii="Arial" w:hAnsi="Arial"/>
          <w:sz w:val="24"/>
          <w:szCs w:val="24"/>
        </w:rPr>
      </w:pPr>
      <w:r>
        <w:rPr>
          <w:rFonts w:ascii="Arial" w:hAnsi="Arial"/>
          <w:b/>
          <w:bCs/>
          <w:i w:val="false"/>
          <w:iCs w:val="false"/>
          <w:sz w:val="24"/>
          <w:szCs w:val="24"/>
          <w:u w:val="single"/>
        </w:rPr>
        <w:t>Part 2b</w:t>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1. Plagiarism. </w:t>
      </w:r>
      <w:r>
        <w:rPr>
          <w:rFonts w:ascii="Arial" w:hAnsi="Arial"/>
          <w:sz w:val="24"/>
          <w:szCs w:val="24"/>
        </w:rPr>
        <w:t xml:space="preserve">It is important to avoid plagiarism when writing academic assessments as </w:t>
      </w:r>
      <w:r>
        <w:rPr>
          <w:rFonts w:ascii="Arial" w:hAnsi="Arial"/>
          <w:color w:val="000000"/>
          <w:sz w:val="24"/>
          <w:szCs w:val="24"/>
        </w:rPr>
        <w:t xml:space="preserve">students’ may suffer consequences such as academic penalties, failure of assessment or being excluded from the course. Students’ </w:t>
      </w:r>
      <w:r>
        <w:rPr>
          <w:rFonts w:ascii="Arial" w:hAnsi="Arial"/>
          <w:sz w:val="24"/>
          <w:szCs w:val="24"/>
        </w:rPr>
        <w:t xml:space="preserve">should plan their own assessments, find the relevant resources and write the assessments themselves, not to copy and paste others work (Lancaster, 2020, p.21). </w:t>
      </w:r>
    </w:p>
    <w:p>
      <w:pPr>
        <w:pStyle w:val="Normal"/>
        <w:spacing w:lineRule="auto" w:line="480"/>
        <w:jc w:val="both"/>
        <w:rPr>
          <w:rFonts w:ascii="Arial" w:hAnsi="Arial"/>
          <w:sz w:val="24"/>
          <w:szCs w:val="24"/>
        </w:rPr>
      </w:pPr>
      <w:r>
        <w:rPr>
          <w:rFonts w:ascii="Arial" w:hAnsi="Arial"/>
          <w:sz w:val="24"/>
          <w:szCs w:val="24"/>
        </w:rPr>
      </w:r>
    </w:p>
    <w:p>
      <w:pPr>
        <w:pStyle w:val="Normal"/>
        <w:spacing w:lineRule="auto" w:line="480"/>
        <w:jc w:val="both"/>
        <w:rPr>
          <w:rFonts w:ascii="Arial" w:hAnsi="Arial"/>
          <w:sz w:val="24"/>
          <w:szCs w:val="24"/>
        </w:rPr>
      </w:pPr>
      <w:r>
        <w:rPr>
          <w:rFonts w:ascii="Arial" w:hAnsi="Arial"/>
          <w:b w:val="false"/>
          <w:bCs w:val="false"/>
          <w:sz w:val="24"/>
          <w:szCs w:val="24"/>
        </w:rPr>
        <w:t>2.</w:t>
      </w:r>
      <w:r>
        <w:rPr>
          <w:rFonts w:ascii="Arial" w:hAnsi="Arial"/>
          <w:b/>
          <w:bCs/>
          <w:sz w:val="24"/>
          <w:szCs w:val="24"/>
        </w:rPr>
        <w:t xml:space="preserve"> </w:t>
      </w:r>
      <w:r>
        <w:rPr>
          <w:rFonts w:ascii="Arial" w:hAnsi="Arial"/>
          <w:sz w:val="24"/>
          <w:szCs w:val="24"/>
        </w:rPr>
        <w:t>This statement is false, the student must reference an author if they have used direct quotation, paraphrased or summarised information. The student must acknowledge the author and not to take credit for someone else’s findings (Neville, 2010, pp. 37-38).</w:t>
      </w:r>
    </w:p>
    <w:p>
      <w:pPr>
        <w:pStyle w:val="Normal"/>
        <w:spacing w:lineRule="auto" w:line="480"/>
        <w:jc w:val="both"/>
        <w:rPr>
          <w:rFonts w:ascii="Arial" w:hAnsi="Arial"/>
          <w:b/>
          <w:b/>
          <w:bCs/>
          <w:sz w:val="24"/>
          <w:szCs w:val="24"/>
        </w:rPr>
      </w:pPr>
      <w:r>
        <w:rPr>
          <w:rFonts w:ascii="Arial" w:hAnsi="Arial"/>
          <w:b/>
          <w:bCs/>
          <w:sz w:val="24"/>
          <w:szCs w:val="24"/>
        </w:rPr>
      </w:r>
    </w:p>
    <w:p>
      <w:pPr>
        <w:pStyle w:val="Normal"/>
        <w:spacing w:lineRule="auto" w:line="480"/>
        <w:jc w:val="both"/>
        <w:rPr>
          <w:rFonts w:ascii="Arial" w:hAnsi="Arial"/>
          <w:sz w:val="24"/>
          <w:szCs w:val="24"/>
        </w:rPr>
      </w:pPr>
      <w:r>
        <w:rPr>
          <w:rFonts w:ascii="Arial" w:hAnsi="Arial"/>
          <w:b w:val="false"/>
          <w:bCs w:val="false"/>
          <w:sz w:val="24"/>
          <w:szCs w:val="24"/>
        </w:rPr>
        <w:t>3.</w:t>
      </w:r>
      <w:r>
        <w:rPr>
          <w:rFonts w:ascii="Arial" w:hAnsi="Arial"/>
          <w:b/>
          <w:bCs/>
          <w:sz w:val="24"/>
          <w:szCs w:val="24"/>
        </w:rPr>
        <w:t xml:space="preserve"> </w:t>
      </w:r>
      <w:r>
        <w:rPr>
          <w:rFonts w:ascii="Arial" w:hAnsi="Arial"/>
          <w:b w:val="false"/>
          <w:bCs w:val="false"/>
          <w:sz w:val="24"/>
          <w:szCs w:val="24"/>
        </w:rPr>
        <w:t>This is false as Wikipedia is not a reliable academic source.</w:t>
      </w:r>
      <w:r>
        <w:rPr>
          <w:rFonts w:ascii="Arial" w:hAnsi="Arial"/>
          <w:b w:val="false"/>
          <w:bCs w:val="false"/>
          <w:color w:val="000000"/>
          <w:sz w:val="24"/>
          <w:szCs w:val="24"/>
        </w:rPr>
        <w:t xml:space="preserve"> Students</w:t>
      </w:r>
      <w:r>
        <w:rPr>
          <w:rFonts w:ascii="Arial" w:hAnsi="Arial"/>
          <w:b w:val="false"/>
          <w:bCs w:val="false"/>
          <w:sz w:val="24"/>
          <w:szCs w:val="24"/>
        </w:rPr>
        <w:t xml:space="preserve"> findings on Wikipedia will be skewed as anyone can edit information on a topic of their choice, even though the person attains no qualification in the field (Coomer, 2013).</w:t>
      </w:r>
    </w:p>
    <w:p>
      <w:pPr>
        <w:pStyle w:val="Normal"/>
        <w:spacing w:lineRule="auto" w:line="480"/>
        <w:jc w:val="both"/>
        <w:rPr>
          <w:rFonts w:ascii="Arial" w:hAnsi="Arial"/>
          <w:b w:val="false"/>
          <w:b w:val="false"/>
          <w:bCs w:val="false"/>
          <w:sz w:val="24"/>
          <w:szCs w:val="24"/>
        </w:rPr>
      </w:pPr>
      <w:r>
        <w:rPr>
          <w:rFonts w:ascii="Arial" w:hAnsi="Arial"/>
          <w:b w:val="false"/>
          <w:bCs w:val="false"/>
          <w:sz w:val="24"/>
          <w:szCs w:val="24"/>
        </w:rPr>
      </w:r>
    </w:p>
    <w:p>
      <w:pPr>
        <w:pStyle w:val="Normal"/>
        <w:spacing w:lineRule="auto" w:line="480"/>
        <w:jc w:val="both"/>
        <w:rPr>
          <w:rFonts w:ascii="Arial" w:hAnsi="Arial"/>
          <w:sz w:val="24"/>
          <w:szCs w:val="24"/>
        </w:rPr>
      </w:pPr>
      <w:r>
        <w:rPr>
          <w:rFonts w:ascii="Arial" w:hAnsi="Arial"/>
          <w:b w:val="false"/>
          <w:bCs w:val="false"/>
          <w:sz w:val="24"/>
          <w:szCs w:val="24"/>
        </w:rPr>
        <w:t>4.</w:t>
      </w:r>
      <w:r>
        <w:rPr>
          <w:rFonts w:ascii="Arial" w:hAnsi="Arial"/>
          <w:b/>
          <w:bCs/>
          <w:sz w:val="24"/>
          <w:szCs w:val="24"/>
        </w:rPr>
        <w:t xml:space="preserve"> </w:t>
      </w:r>
      <w:r>
        <w:rPr>
          <w:rFonts w:ascii="Arial" w:hAnsi="Arial"/>
          <w:b w:val="false"/>
          <w:bCs w:val="false"/>
          <w:sz w:val="24"/>
          <w:szCs w:val="24"/>
        </w:rPr>
        <w:t>A</w:t>
      </w:r>
      <w:r>
        <w:rPr>
          <w:rFonts w:ascii="Arial" w:hAnsi="Arial"/>
          <w:sz w:val="24"/>
          <w:szCs w:val="24"/>
        </w:rPr>
        <w:t xml:space="preserve">ccording to the Referencing Handbook Harvard (Downes and Evans, no date) a long quotation should follow these set of instructions: </w:t>
      </w:r>
    </w:p>
    <w:p>
      <w:pPr>
        <w:pStyle w:val="Normal"/>
        <w:numPr>
          <w:ilvl w:val="0"/>
          <w:numId w:val="1"/>
        </w:numPr>
        <w:spacing w:lineRule="auto" w:line="480"/>
        <w:jc w:val="both"/>
        <w:rPr>
          <w:rFonts w:ascii="Arial" w:hAnsi="Arial"/>
          <w:sz w:val="24"/>
          <w:szCs w:val="24"/>
        </w:rPr>
      </w:pPr>
      <w:r>
        <w:rPr>
          <w:rFonts w:ascii="Arial" w:hAnsi="Arial"/>
          <w:sz w:val="24"/>
          <w:szCs w:val="24"/>
        </w:rPr>
        <w:t>Start a new paragraph</w:t>
      </w:r>
    </w:p>
    <w:p>
      <w:pPr>
        <w:pStyle w:val="Normal"/>
        <w:numPr>
          <w:ilvl w:val="0"/>
          <w:numId w:val="1"/>
        </w:numPr>
        <w:spacing w:lineRule="auto" w:line="480"/>
        <w:jc w:val="both"/>
        <w:rPr>
          <w:rFonts w:ascii="Arial" w:hAnsi="Arial"/>
          <w:sz w:val="24"/>
          <w:szCs w:val="24"/>
        </w:rPr>
      </w:pPr>
      <w:r>
        <w:rPr>
          <w:rFonts w:ascii="Arial" w:hAnsi="Arial"/>
          <w:sz w:val="24"/>
          <w:szCs w:val="24"/>
        </w:rPr>
        <w:t>Indent the selected paragraph</w:t>
      </w:r>
    </w:p>
    <w:p>
      <w:pPr>
        <w:pStyle w:val="Normal"/>
        <w:numPr>
          <w:ilvl w:val="0"/>
          <w:numId w:val="1"/>
        </w:numPr>
        <w:spacing w:lineRule="auto" w:line="480"/>
        <w:jc w:val="both"/>
        <w:rPr>
          <w:rFonts w:ascii="Arial" w:hAnsi="Arial"/>
          <w:sz w:val="24"/>
          <w:szCs w:val="24"/>
        </w:rPr>
      </w:pPr>
      <w:r>
        <w:rPr>
          <w:rFonts w:ascii="Arial" w:hAnsi="Arial"/>
          <w:sz w:val="24"/>
          <w:szCs w:val="24"/>
        </w:rPr>
        <w:t>Use the in-text citation format</w:t>
      </w:r>
    </w:p>
    <w:p>
      <w:pPr>
        <w:pStyle w:val="Normal"/>
        <w:numPr>
          <w:ilvl w:val="0"/>
          <w:numId w:val="1"/>
        </w:numPr>
        <w:spacing w:lineRule="auto" w:line="480"/>
        <w:jc w:val="both"/>
        <w:rPr>
          <w:rFonts w:ascii="Arial" w:hAnsi="Arial"/>
          <w:sz w:val="24"/>
          <w:szCs w:val="24"/>
        </w:rPr>
      </w:pPr>
      <w:r>
        <w:rPr>
          <w:rFonts w:ascii="Arial" w:hAnsi="Arial"/>
          <w:sz w:val="24"/>
          <w:szCs w:val="24"/>
        </w:rPr>
        <w:t>Don’t include quotation marks</w:t>
      </w:r>
    </w:p>
    <w:p>
      <w:pPr>
        <w:pStyle w:val="Normal"/>
        <w:numPr>
          <w:ilvl w:val="0"/>
          <w:numId w:val="0"/>
        </w:numPr>
        <w:spacing w:lineRule="auto" w:line="480"/>
        <w:ind w:left="720" w:right="0" w:hanging="0"/>
        <w:jc w:val="both"/>
        <w:rPr>
          <w:rFonts w:ascii="Arial" w:hAnsi="Arial"/>
          <w:sz w:val="24"/>
          <w:szCs w:val="24"/>
        </w:rPr>
      </w:pPr>
      <w:r>
        <w:rPr>
          <w:rFonts w:ascii="Arial" w:hAnsi="Arial"/>
          <w:sz w:val="24"/>
          <w:szCs w:val="24"/>
        </w:rPr>
      </w:r>
    </w:p>
    <w:p>
      <w:pPr>
        <w:pStyle w:val="Normal"/>
        <w:spacing w:lineRule="auto" w:line="480"/>
        <w:jc w:val="both"/>
        <w:rPr>
          <w:rFonts w:ascii="Arial" w:hAnsi="Arial"/>
          <w:sz w:val="24"/>
          <w:szCs w:val="24"/>
        </w:rPr>
      </w:pPr>
      <w:r>
        <w:rPr>
          <w:rFonts w:ascii="Arial" w:hAnsi="Arial"/>
          <w:b w:val="false"/>
          <w:bCs w:val="false"/>
          <w:sz w:val="24"/>
          <w:szCs w:val="24"/>
        </w:rPr>
        <w:t>5.</w:t>
      </w:r>
      <w:bookmarkStart w:id="2" w:name="__DdeLink__86_3782999193"/>
      <w:r>
        <w:rPr>
          <w:rFonts w:ascii="Arial" w:hAnsi="Arial"/>
          <w:b w:val="false"/>
          <w:bCs w:val="false"/>
          <w:sz w:val="24"/>
          <w:szCs w:val="24"/>
        </w:rPr>
        <w:t xml:space="preserve"> </w:t>
      </w:r>
      <w:bookmarkEnd w:id="2"/>
      <w:r>
        <w:rPr>
          <w:rFonts w:ascii="Arial" w:hAnsi="Arial"/>
          <w:b w:val="false"/>
          <w:bCs w:val="false"/>
          <w:sz w:val="24"/>
          <w:szCs w:val="24"/>
        </w:rPr>
        <w:t>To begin an academic assignment it is advised to use the following sources. The Library offers a variety of academic books, w</w:t>
      </w:r>
      <w:r>
        <w:rPr>
          <w:rFonts w:ascii="Arial" w:hAnsi="Arial"/>
          <w:b w:val="false"/>
          <w:bCs w:val="false"/>
          <w:color w:val="000000"/>
          <w:sz w:val="24"/>
          <w:szCs w:val="24"/>
        </w:rPr>
        <w:t>hich help increase the students’ knowledge in their academic field. Google scholar is useful when researching for an academic assignment as it helps find articles regarding the word or words the student has entered into the search engine. A website search can be effective when researching generically as it gives a wide range of results. It is important that the source is credible, this can be identified by the URL. Some credible sources end in .gov, .ac.uk, .edu. Another useful source is textbooks.</w:t>
      </w:r>
    </w:p>
    <w:p>
      <w:pPr>
        <w:pStyle w:val="Normal"/>
        <w:spacing w:lineRule="auto" w:line="480"/>
        <w:jc w:val="both"/>
        <w:rPr>
          <w:rFonts w:ascii="Arial" w:hAnsi="Arial"/>
          <w:sz w:val="24"/>
          <w:szCs w:val="24"/>
        </w:rPr>
      </w:pPr>
      <w:r>
        <w:rPr>
          <w:rFonts w:ascii="Arial" w:hAnsi="Arial"/>
          <w:b w:val="false"/>
          <w:bCs w:val="false"/>
          <w:color w:val="000000"/>
          <w:sz w:val="24"/>
          <w:szCs w:val="24"/>
        </w:rPr>
        <w:t xml:space="preserve">A textbook can help focus on key elements of the subject, which helps identify the argument, theme and aims. A textbook includes a reference list which may help with further reading. Government literature is seen as a reliable source. Data produced from the government is usually done in a thorough way and is funded properly to ensure a reliable result (The Open University, 2014). </w:t>
      </w:r>
    </w:p>
    <w:p>
      <w:pPr>
        <w:pStyle w:val="Normal"/>
        <w:spacing w:lineRule="auto" w:line="480"/>
        <w:jc w:val="both"/>
        <w:rPr>
          <w:rFonts w:ascii="Arial" w:hAnsi="Arial"/>
          <w:b w:val="false"/>
          <w:b w:val="false"/>
          <w:bCs w:val="false"/>
          <w:color w:val="000000"/>
          <w:sz w:val="24"/>
          <w:szCs w:val="24"/>
        </w:rPr>
      </w:pPr>
      <w:r>
        <w:rPr>
          <w:rFonts w:ascii="Arial" w:hAnsi="Arial"/>
          <w:b w:val="false"/>
          <w:bCs w:val="false"/>
          <w:color w:val="000000"/>
          <w:sz w:val="24"/>
          <w:szCs w:val="24"/>
        </w:rPr>
      </w:r>
    </w:p>
    <w:p>
      <w:pPr>
        <w:pStyle w:val="Normal"/>
        <w:spacing w:lineRule="auto" w:line="480"/>
        <w:jc w:val="both"/>
        <w:rPr>
          <w:rFonts w:ascii="Arial" w:hAnsi="Arial"/>
          <w:sz w:val="24"/>
          <w:szCs w:val="24"/>
        </w:rPr>
      </w:pPr>
      <w:r>
        <w:rPr>
          <w:rFonts w:ascii="Arial" w:hAnsi="Arial"/>
          <w:b w:val="false"/>
          <w:bCs w:val="false"/>
          <w:sz w:val="24"/>
          <w:szCs w:val="24"/>
          <w:u w:val="none"/>
        </w:rPr>
        <w:t>Reference list:</w:t>
      </w:r>
    </w:p>
    <w:p>
      <w:pPr>
        <w:pStyle w:val="Normal"/>
        <w:spacing w:lineRule="auto" w:line="480" w:before="0" w:after="0"/>
        <w:jc w:val="left"/>
        <w:rPr/>
      </w:pPr>
      <w:r>
        <w:rPr>
          <w:rFonts w:ascii="Arial" w:hAnsi="Arial"/>
          <w:b w:val="false"/>
          <w:bCs w:val="false"/>
          <w:i w:val="false"/>
          <w:iCs w:val="false"/>
          <w:sz w:val="24"/>
          <w:szCs w:val="24"/>
          <w:u w:val="none"/>
        </w:rPr>
        <w:t xml:space="preserve">Coomer, A. (2013) ‘Should university students use Wikipedia?’, </w:t>
      </w:r>
      <w:r>
        <w:rPr>
          <w:rFonts w:ascii="Arial" w:hAnsi="Arial"/>
          <w:b w:val="false"/>
          <w:bCs w:val="false"/>
          <w:i/>
          <w:iCs/>
          <w:sz w:val="24"/>
          <w:szCs w:val="24"/>
          <w:u w:val="none"/>
        </w:rPr>
        <w:t xml:space="preserve">The Guardian, </w:t>
      </w:r>
      <w:r>
        <w:rPr>
          <w:rFonts w:ascii="Arial" w:hAnsi="Arial"/>
          <w:b w:val="false"/>
          <w:bCs w:val="false"/>
          <w:i w:val="false"/>
          <w:iCs w:val="false"/>
          <w:sz w:val="24"/>
          <w:szCs w:val="24"/>
          <w:u w:val="none"/>
        </w:rPr>
        <w:t>13</w:t>
      </w:r>
      <w:r>
        <w:rPr>
          <w:rFonts w:ascii="Arial" w:hAnsi="Arial"/>
          <w:b w:val="false"/>
          <w:bCs w:val="false"/>
          <w:i w:val="false"/>
          <w:iCs w:val="false"/>
          <w:sz w:val="24"/>
          <w:szCs w:val="24"/>
          <w:u w:val="none"/>
          <w:vertAlign w:val="superscript"/>
        </w:rPr>
        <w:t>th</w:t>
      </w:r>
      <w:r>
        <w:rPr>
          <w:rFonts w:ascii="Arial" w:hAnsi="Arial"/>
          <w:b w:val="false"/>
          <w:bCs w:val="false"/>
          <w:i w:val="false"/>
          <w:iCs w:val="false"/>
          <w:sz w:val="24"/>
          <w:szCs w:val="24"/>
          <w:u w:val="none"/>
        </w:rPr>
        <w:t xml:space="preserve"> May.</w:t>
      </w:r>
      <w:bookmarkStart w:id="3" w:name="__DdeLink__82_3782999193"/>
      <w:bookmarkEnd w:id="3"/>
      <w:r>
        <w:rPr>
          <w:rFonts w:ascii="Arial" w:hAnsi="Arial"/>
          <w:b w:val="false"/>
          <w:bCs w:val="false"/>
          <w:i w:val="false"/>
          <w:iCs w:val="false"/>
          <w:sz w:val="24"/>
          <w:szCs w:val="24"/>
          <w:u w:val="none"/>
        </w:rPr>
        <w:t xml:space="preserve"> Available at: </w:t>
      </w:r>
      <w:hyperlink r:id="rId3">
        <w:r>
          <w:rPr>
            <w:rStyle w:val="InternetLink"/>
            <w:rFonts w:ascii="Arial" w:hAnsi="Arial"/>
            <w:b w:val="false"/>
            <w:bCs w:val="false"/>
            <w:i w:val="false"/>
            <w:iCs w:val="false"/>
            <w:sz w:val="24"/>
            <w:szCs w:val="24"/>
            <w:u w:val="none"/>
          </w:rPr>
          <w:t>https://www.theguardian.com/education/2013/may/13/should-university-students-use-wikipedia</w:t>
        </w:r>
      </w:hyperlink>
      <w:r>
        <w:rPr>
          <w:rFonts w:ascii="Arial" w:hAnsi="Arial"/>
          <w:b w:val="false"/>
          <w:bCs w:val="false"/>
          <w:i w:val="false"/>
          <w:iCs w:val="false"/>
          <w:sz w:val="24"/>
          <w:szCs w:val="24"/>
          <w:u w:val="none"/>
        </w:rPr>
        <w:t xml:space="preserve"> (Accessed 6</w:t>
      </w:r>
      <w:r>
        <w:rPr>
          <w:rFonts w:ascii="Arial" w:hAnsi="Arial"/>
          <w:b w:val="false"/>
          <w:bCs w:val="false"/>
          <w:i w:val="false"/>
          <w:iCs w:val="false"/>
          <w:sz w:val="24"/>
          <w:szCs w:val="24"/>
          <w:u w:val="none"/>
          <w:vertAlign w:val="superscript"/>
        </w:rPr>
        <w:t>th</w:t>
      </w:r>
      <w:r>
        <w:rPr>
          <w:rFonts w:ascii="Arial" w:hAnsi="Arial"/>
          <w:b w:val="false"/>
          <w:bCs w:val="false"/>
          <w:i w:val="false"/>
          <w:iCs w:val="false"/>
          <w:sz w:val="24"/>
          <w:szCs w:val="24"/>
          <w:u w:val="none"/>
        </w:rPr>
        <w:t xml:space="preserve"> November 2019).</w:t>
      </w:r>
    </w:p>
    <w:p>
      <w:pPr>
        <w:pStyle w:val="Normal"/>
        <w:spacing w:lineRule="auto" w:line="480" w:before="0" w:after="0"/>
        <w:jc w:val="left"/>
        <w:rPr>
          <w:b w:val="false"/>
          <w:b w:val="false"/>
          <w:bCs w:val="false"/>
          <w:i w:val="false"/>
          <w:i w:val="false"/>
          <w:iCs w:val="false"/>
          <w:u w:val="none"/>
        </w:rPr>
      </w:pPr>
      <w:r>
        <w:rPr>
          <w:rFonts w:ascii="Arial" w:hAnsi="Arial"/>
          <w:sz w:val="24"/>
          <w:szCs w:val="24"/>
        </w:rPr>
      </w:r>
    </w:p>
    <w:p>
      <w:pPr>
        <w:pStyle w:val="Normal"/>
        <w:spacing w:lineRule="auto" w:line="480" w:before="0" w:after="0"/>
        <w:jc w:val="left"/>
        <w:rPr/>
      </w:pPr>
      <w:r>
        <w:rPr>
          <w:rFonts w:ascii="Arial" w:hAnsi="Arial"/>
          <w:b w:val="false"/>
          <w:bCs w:val="false"/>
          <w:i w:val="false"/>
          <w:iCs w:val="false"/>
          <w:sz w:val="24"/>
          <w:szCs w:val="24"/>
          <w:u w:val="none"/>
        </w:rPr>
        <w:t xml:space="preserve">Downes. E and Evans. A. (no date) </w:t>
      </w:r>
      <w:r>
        <w:rPr>
          <w:rFonts w:ascii="Arial" w:hAnsi="Arial"/>
          <w:b w:val="false"/>
          <w:bCs w:val="false"/>
          <w:i/>
          <w:iCs/>
          <w:sz w:val="24"/>
          <w:szCs w:val="24"/>
          <w:u w:val="none"/>
        </w:rPr>
        <w:t xml:space="preserve">Referencing Handbook Harvard. </w:t>
      </w:r>
      <w:r>
        <w:rPr>
          <w:rFonts w:ascii="Arial" w:hAnsi="Arial"/>
          <w:b w:val="false"/>
          <w:bCs w:val="false"/>
          <w:i w:val="false"/>
          <w:iCs w:val="false"/>
          <w:sz w:val="24"/>
          <w:szCs w:val="24"/>
          <w:u w:val="none"/>
        </w:rPr>
        <w:t xml:space="preserve">Available at: </w:t>
      </w:r>
      <w:hyperlink r:id="rId4">
        <w:r>
          <w:rPr>
            <w:rStyle w:val="InternetLink"/>
            <w:rFonts w:ascii="Arial" w:hAnsi="Arial"/>
            <w:b w:val="false"/>
            <w:bCs w:val="false"/>
            <w:i w:val="false"/>
            <w:iCs w:val="false"/>
            <w:sz w:val="24"/>
            <w:szCs w:val="24"/>
            <w:u w:val="none"/>
          </w:rPr>
          <w:t>https://uwtsd.ac.uk/media/uwtsd-website/content-assets/documents/library-and-learning-resources/infoskills/Harvard-eng_v.1.2.pdf</w:t>
        </w:r>
      </w:hyperlink>
      <w:r>
        <w:rPr>
          <w:rFonts w:ascii="Arial" w:hAnsi="Arial"/>
          <w:b w:val="false"/>
          <w:bCs w:val="false"/>
          <w:i w:val="false"/>
          <w:iCs w:val="false"/>
          <w:sz w:val="24"/>
          <w:szCs w:val="24"/>
          <w:u w:val="none"/>
        </w:rPr>
        <w:t xml:space="preserve"> </w:t>
      </w:r>
    </w:p>
    <w:p>
      <w:pPr>
        <w:pStyle w:val="Normal"/>
        <w:spacing w:lineRule="auto" w:line="480" w:before="0" w:after="0"/>
        <w:jc w:val="left"/>
        <w:rPr>
          <w:b w:val="false"/>
          <w:b w:val="false"/>
          <w:bCs w:val="false"/>
          <w:i w:val="false"/>
          <w:i w:val="false"/>
          <w:iCs w:val="false"/>
          <w:u w:val="none"/>
        </w:rPr>
      </w:pPr>
      <w:r>
        <w:rPr>
          <w:rFonts w:ascii="Arial" w:hAnsi="Arial"/>
          <w:sz w:val="24"/>
          <w:szCs w:val="24"/>
        </w:rPr>
      </w:r>
    </w:p>
    <w:p>
      <w:pPr>
        <w:pStyle w:val="Normal"/>
        <w:spacing w:lineRule="auto" w:line="480" w:before="0" w:after="0"/>
        <w:jc w:val="left"/>
        <w:rPr>
          <w:rFonts w:ascii="Arial" w:hAnsi="Arial"/>
          <w:sz w:val="24"/>
          <w:szCs w:val="24"/>
        </w:rPr>
      </w:pPr>
      <w:r>
        <w:rPr>
          <w:rFonts w:ascii="Arial" w:hAnsi="Arial"/>
          <w:b w:val="false"/>
          <w:bCs w:val="false"/>
          <w:i w:val="false"/>
          <w:iCs w:val="false"/>
          <w:sz w:val="24"/>
          <w:szCs w:val="24"/>
          <w:u w:val="none"/>
        </w:rPr>
        <w:t xml:space="preserve">Lancaster, T. (2020) </w:t>
      </w:r>
      <w:r>
        <w:rPr>
          <w:rFonts w:ascii="Arial" w:hAnsi="Arial"/>
          <w:b w:val="false"/>
          <w:bCs w:val="false"/>
          <w:i/>
          <w:iCs/>
          <w:sz w:val="24"/>
          <w:szCs w:val="24"/>
          <w:u w:val="none"/>
        </w:rPr>
        <w:t xml:space="preserve">Avoid Plagiarism. </w:t>
      </w:r>
      <w:r>
        <w:rPr>
          <w:rFonts w:ascii="Arial" w:hAnsi="Arial"/>
          <w:b w:val="false"/>
          <w:bCs w:val="false"/>
          <w:i w:val="false"/>
          <w:iCs w:val="false"/>
          <w:sz w:val="24"/>
          <w:szCs w:val="24"/>
          <w:u w:val="none"/>
        </w:rPr>
        <w:t>London: SAGE Publication Ltd.</w:t>
      </w:r>
    </w:p>
    <w:p>
      <w:pPr>
        <w:pStyle w:val="Normal"/>
        <w:spacing w:lineRule="auto" w:line="480" w:before="0" w:after="0"/>
        <w:jc w:val="left"/>
        <w:rPr>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Normal"/>
        <w:spacing w:lineRule="auto" w:line="480" w:before="0" w:after="0"/>
        <w:jc w:val="left"/>
        <w:rPr>
          <w:rFonts w:ascii="Arial" w:hAnsi="Arial"/>
          <w:sz w:val="24"/>
          <w:szCs w:val="24"/>
        </w:rPr>
      </w:pPr>
      <w:r>
        <w:rPr>
          <w:rFonts w:ascii="Arial" w:hAnsi="Arial"/>
          <w:b w:val="false"/>
          <w:bCs w:val="false"/>
          <w:i w:val="false"/>
          <w:iCs w:val="false"/>
          <w:sz w:val="24"/>
          <w:szCs w:val="24"/>
          <w:u w:val="none"/>
        </w:rPr>
        <w:t xml:space="preserve">Neville, C. (2010) </w:t>
      </w:r>
      <w:r>
        <w:rPr>
          <w:rFonts w:ascii="Arial" w:hAnsi="Arial"/>
          <w:b w:val="false"/>
          <w:bCs w:val="false"/>
          <w:i/>
          <w:iCs/>
          <w:sz w:val="24"/>
          <w:szCs w:val="24"/>
          <w:u w:val="none"/>
        </w:rPr>
        <w:t xml:space="preserve">The complete guide to referencing and avoiding plagiarism. </w:t>
      </w:r>
      <w:r>
        <w:rPr>
          <w:rFonts w:ascii="Arial" w:hAnsi="Arial"/>
          <w:b w:val="false"/>
          <w:bCs w:val="false"/>
          <w:i w:val="false"/>
          <w:iCs w:val="false"/>
          <w:sz w:val="24"/>
          <w:szCs w:val="24"/>
          <w:u w:val="none"/>
        </w:rPr>
        <w:t>2</w:t>
      </w:r>
      <w:r>
        <w:rPr>
          <w:rFonts w:ascii="Arial" w:hAnsi="Arial"/>
          <w:b w:val="false"/>
          <w:bCs w:val="false"/>
          <w:i w:val="false"/>
          <w:iCs w:val="false"/>
          <w:sz w:val="24"/>
          <w:szCs w:val="24"/>
          <w:u w:val="none"/>
          <w:vertAlign w:val="superscript"/>
        </w:rPr>
        <w:t>nd</w:t>
      </w:r>
      <w:r>
        <w:rPr>
          <w:rFonts w:ascii="Arial" w:hAnsi="Arial"/>
          <w:b w:val="false"/>
          <w:bCs w:val="false"/>
          <w:i w:val="false"/>
          <w:iCs w:val="false"/>
          <w:sz w:val="24"/>
          <w:szCs w:val="24"/>
          <w:u w:val="none"/>
        </w:rPr>
        <w:t xml:space="preserve"> Ed. Berkshire: Open University Press. </w:t>
      </w:r>
    </w:p>
    <w:p>
      <w:pPr>
        <w:pStyle w:val="Normal"/>
        <w:spacing w:lineRule="auto" w:line="480" w:before="0" w:after="0"/>
        <w:jc w:val="left"/>
        <w:rPr>
          <w:rFonts w:ascii="Arial" w:hAnsi="Arial"/>
          <w:b w:val="false"/>
          <w:b w:val="false"/>
          <w:bCs w:val="false"/>
          <w:i w:val="false"/>
          <w:i w:val="false"/>
          <w:iCs w:val="false"/>
          <w:color w:val="000000"/>
          <w:sz w:val="24"/>
          <w:szCs w:val="24"/>
          <w:u w:val="none"/>
        </w:rPr>
      </w:pPr>
      <w:r>
        <w:rPr>
          <w:rFonts w:ascii="Arial" w:hAnsi="Arial"/>
          <w:b w:val="false"/>
          <w:bCs w:val="false"/>
          <w:i w:val="false"/>
          <w:iCs w:val="false"/>
          <w:color w:val="000000"/>
          <w:sz w:val="24"/>
          <w:szCs w:val="24"/>
          <w:u w:val="none"/>
        </w:rPr>
      </w:r>
    </w:p>
    <w:p>
      <w:pPr>
        <w:pStyle w:val="Normal"/>
        <w:spacing w:lineRule="auto" w:line="480" w:before="0" w:after="0"/>
        <w:jc w:val="left"/>
        <w:rPr/>
      </w:pPr>
      <w:r>
        <w:rPr>
          <w:rFonts w:ascii="Arial" w:hAnsi="Arial"/>
          <w:b w:val="false"/>
          <w:bCs w:val="false"/>
          <w:i w:val="false"/>
          <w:iCs w:val="false"/>
          <w:color w:val="000000"/>
          <w:sz w:val="24"/>
          <w:szCs w:val="24"/>
          <w:u w:val="none"/>
        </w:rPr>
        <w:t xml:space="preserve">The Open University (2014) </w:t>
      </w:r>
      <w:r>
        <w:rPr>
          <w:rFonts w:ascii="Arial" w:hAnsi="Arial"/>
          <w:b w:val="false"/>
          <w:bCs w:val="false"/>
          <w:i/>
          <w:iCs/>
          <w:color w:val="000000"/>
          <w:sz w:val="24"/>
          <w:szCs w:val="24"/>
          <w:u w:val="none"/>
        </w:rPr>
        <w:t xml:space="preserve">Postgraduate Study Skills: Comparing academic sources. </w:t>
      </w:r>
      <w:r>
        <w:rPr>
          <w:rFonts w:ascii="Arial" w:hAnsi="Arial"/>
          <w:b w:val="false"/>
          <w:bCs w:val="false"/>
          <w:i w:val="false"/>
          <w:iCs w:val="false"/>
          <w:color w:val="000000"/>
          <w:sz w:val="24"/>
          <w:szCs w:val="24"/>
          <w:u w:val="none"/>
        </w:rPr>
        <w:t>Available at:</w:t>
      </w:r>
      <w:r>
        <w:rPr>
          <w:rStyle w:val="InternetLink"/>
          <w:rFonts w:ascii="Arial" w:hAnsi="Arial"/>
          <w:b w:val="false"/>
          <w:bCs w:val="false"/>
          <w:i w:val="false"/>
          <w:iCs w:val="false"/>
          <w:color w:val="000000"/>
          <w:sz w:val="24"/>
          <w:szCs w:val="24"/>
          <w:u w:val="none"/>
        </w:rPr>
        <w:t xml:space="preserve"> </w:t>
      </w:r>
      <w:hyperlink r:id="rId5">
        <w:r>
          <w:rPr>
            <w:rStyle w:val="InternetLink"/>
            <w:rFonts w:ascii="Arial" w:hAnsi="Arial"/>
            <w:b w:val="false"/>
            <w:bCs w:val="false"/>
            <w:i w:val="false"/>
            <w:iCs w:val="false"/>
            <w:color w:val="000000"/>
            <w:sz w:val="24"/>
            <w:szCs w:val="24"/>
            <w:u w:val="none"/>
          </w:rPr>
          <w:t>https://help.open.ac.uk/comparing-academic-sources</w:t>
        </w:r>
      </w:hyperlink>
      <w:r>
        <w:rPr>
          <w:rStyle w:val="InternetLink"/>
          <w:rFonts w:ascii="Arial" w:hAnsi="Arial"/>
          <w:b w:val="false"/>
          <w:bCs w:val="false"/>
          <w:i w:val="false"/>
          <w:iCs w:val="false"/>
          <w:color w:val="000000"/>
          <w:sz w:val="24"/>
          <w:szCs w:val="24"/>
          <w:u w:val="none"/>
        </w:rPr>
        <w:t xml:space="preserve"> </w:t>
      </w:r>
      <w:r>
        <w:rPr>
          <w:rFonts w:ascii="Arial" w:hAnsi="Arial"/>
          <w:b w:val="false"/>
          <w:bCs w:val="false"/>
          <w:i w:val="false"/>
          <w:iCs w:val="false"/>
          <w:color w:val="C9211E"/>
          <w:sz w:val="24"/>
          <w:szCs w:val="24"/>
          <w:u w:val="none"/>
        </w:rPr>
        <w:t xml:space="preserve"> </w:t>
      </w:r>
      <w:r>
        <w:rPr>
          <w:rFonts w:ascii="Arial" w:hAnsi="Arial"/>
          <w:b w:val="false"/>
          <w:bCs w:val="false"/>
          <w:i w:val="false"/>
          <w:iCs w:val="false"/>
          <w:color w:val="000000"/>
          <w:sz w:val="24"/>
          <w:szCs w:val="24"/>
          <w:u w:val="none"/>
        </w:rPr>
        <w:t>(Accessed: 6</w:t>
      </w:r>
      <w:r>
        <w:rPr>
          <w:rFonts w:ascii="Arial" w:hAnsi="Arial"/>
          <w:b w:val="false"/>
          <w:bCs w:val="false"/>
          <w:i w:val="false"/>
          <w:iCs w:val="false"/>
          <w:color w:val="000000"/>
          <w:sz w:val="24"/>
          <w:szCs w:val="24"/>
          <w:u w:val="none"/>
          <w:vertAlign w:val="superscript"/>
        </w:rPr>
        <w:t>th</w:t>
      </w:r>
      <w:r>
        <w:rPr>
          <w:rFonts w:ascii="Arial" w:hAnsi="Arial"/>
          <w:b w:val="false"/>
          <w:bCs w:val="false"/>
          <w:i w:val="false"/>
          <w:iCs w:val="false"/>
          <w:color w:val="000000"/>
          <w:sz w:val="24"/>
          <w:szCs w:val="24"/>
          <w:u w:val="none"/>
        </w:rPr>
        <w:t xml:space="preserve"> November 2019).</w:t>
      </w:r>
    </w:p>
    <w:p>
      <w:pPr>
        <w:pStyle w:val="Normal"/>
        <w:spacing w:lineRule="auto" w:line="480"/>
        <w:jc w:val="both"/>
        <w:rPr>
          <w:rFonts w:ascii="Arial" w:hAnsi="Arial"/>
          <w:b w:val="false"/>
          <w:b w:val="false"/>
          <w:bCs w:val="false"/>
          <w:i w:val="false"/>
          <w:i w:val="false"/>
          <w:iCs w:val="false"/>
          <w:color w:val="C9211E"/>
          <w:sz w:val="24"/>
          <w:szCs w:val="24"/>
          <w:u w:val="none"/>
        </w:rPr>
      </w:pPr>
      <w:r>
        <w:rPr>
          <w:rFonts w:ascii="Arial" w:hAnsi="Arial"/>
          <w:b w:val="false"/>
          <w:bCs w:val="false"/>
          <w:i w:val="false"/>
          <w:iCs w:val="false"/>
          <w:color w:val="C9211E"/>
          <w:sz w:val="24"/>
          <w:szCs w:val="24"/>
          <w:u w:val="none"/>
        </w:rPr>
      </w:r>
    </w:p>
    <w:p>
      <w:pPr>
        <w:pStyle w:val="Normal"/>
        <w:spacing w:lineRule="auto" w:line="480"/>
        <w:jc w:val="both"/>
        <w:rPr>
          <w:rFonts w:ascii="Arial" w:hAnsi="Arial"/>
          <w:sz w:val="24"/>
          <w:szCs w:val="24"/>
        </w:rPr>
      </w:pPr>
      <w:r>
        <w:rPr>
          <w:rFonts w:ascii="Arial" w:hAnsi="Arial"/>
          <w:b/>
          <w:bCs/>
          <w:i w:val="false"/>
          <w:iCs w:val="false"/>
          <w:sz w:val="24"/>
          <w:szCs w:val="24"/>
          <w:u w:val="single"/>
        </w:rPr>
        <w:t>Part 3</w:t>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In this critical response, the writer will be using the article ‘ Students’ Perspectives on Cyber Bullying’, written by Agatston, Kowalski and Limber (2007). The aim of this article is to </w:t>
      </w:r>
      <w:r>
        <w:rPr>
          <w:rFonts w:ascii="Arial" w:hAnsi="Arial"/>
          <w:b w:val="false"/>
          <w:bCs w:val="false"/>
          <w:i w:val="false"/>
          <w:iCs w:val="false"/>
          <w:color w:val="000000"/>
          <w:sz w:val="24"/>
          <w:szCs w:val="24"/>
          <w:u w:val="none"/>
        </w:rPr>
        <w:t>review the students’ perspective on cyber bullying and possible ways to prevent the issue. The main focus of this article is cyber bullying in schools. The article focuses on a district in Georgia, where ‘148 middle and high school students were interviewed’ (Agatston, Kowalski and Limber, 2007, p.59) in focus groups. Cyber bullying is an ongoing issue across the globe, affecting many young lives. Although child based staff are aware of the issue, they do not always know how to prevent it. Therefore, this review will help increase the writers kno</w:t>
      </w:r>
      <w:r>
        <w:rPr>
          <w:rFonts w:ascii="Arial" w:hAnsi="Arial"/>
          <w:b w:val="false"/>
          <w:bCs w:val="false"/>
          <w:i w:val="false"/>
          <w:iCs w:val="false"/>
          <w:sz w:val="24"/>
          <w:szCs w:val="24"/>
          <w:u w:val="none"/>
        </w:rPr>
        <w:t xml:space="preserve">wledge of cyberbullying. In this response, the writer will discuss the key issues regarding cyber bullying and analyse the strengths and weaknesses of this article. The writer will then go on to suggest possible recommendations of how the article could be improved. </w:t>
      </w:r>
    </w:p>
    <w:p>
      <w:pPr>
        <w:pStyle w:val="Normal"/>
        <w:spacing w:lineRule="auto" w:line="480"/>
        <w:jc w:val="both"/>
        <w:rPr>
          <w:rFonts w:ascii="Arial" w:hAnsi="Arial"/>
          <w:b w:val="false"/>
          <w:b w:val="false"/>
          <w:bCs w:val="false"/>
          <w:i w:val="false"/>
          <w:i w:val="false"/>
          <w:iCs w:val="false"/>
          <w:sz w:val="24"/>
          <w:szCs w:val="24"/>
          <w:u w:val="single"/>
        </w:rPr>
      </w:pPr>
      <w:r>
        <w:rPr>
          <w:rFonts w:ascii="Arial" w:hAnsi="Arial"/>
          <w:b w:val="false"/>
          <w:bCs w:val="false"/>
          <w:i w:val="false"/>
          <w:iCs w:val="false"/>
          <w:sz w:val="24"/>
          <w:szCs w:val="24"/>
          <w:u w:val="singl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Th</w:t>
      </w:r>
      <w:r>
        <w:rPr>
          <w:rFonts w:ascii="Arial" w:hAnsi="Arial"/>
          <w:b w:val="false"/>
          <w:bCs w:val="false"/>
          <w:i w:val="false"/>
          <w:iCs w:val="false"/>
          <w:color w:val="000000"/>
          <w:sz w:val="24"/>
          <w:szCs w:val="24"/>
          <w:u w:val="none"/>
        </w:rPr>
        <w:t>e article suggests that schools are not doing enough to prevent cyber bullying. In the article, the authors’ carry out a study, including 148 middle and high school children. Students were in</w:t>
      </w:r>
      <w:r>
        <w:rPr>
          <w:rFonts w:ascii="Arial" w:hAnsi="Arial"/>
          <w:b w:val="false"/>
          <w:bCs w:val="false"/>
          <w:i w:val="false"/>
          <w:iCs w:val="false"/>
          <w:sz w:val="24"/>
          <w:szCs w:val="24"/>
          <w:u w:val="none"/>
        </w:rPr>
        <w:t xml:space="preserve">terviewed in same gender focus groups, interviewed by a same gender school counsellor. A similar study was undertaken including seven focus groups which were interviewed by a strong committee of professionals. This type of study was most likely more thorough and non bias </w:t>
      </w:r>
      <w:r>
        <w:rPr>
          <w:rFonts w:ascii="Arial" w:hAnsi="Arial"/>
          <w:b w:val="false"/>
          <w:bCs w:val="false"/>
          <w:i w:val="false"/>
          <w:iCs w:val="false"/>
          <w:color w:val="000000"/>
          <w:sz w:val="24"/>
          <w:szCs w:val="24"/>
          <w:u w:val="none"/>
        </w:rPr>
        <w:t xml:space="preserve">(Mishna, Saini and Solomon, 2009, p.1223). </w:t>
      </w:r>
      <w:r>
        <w:rPr>
          <w:rFonts w:ascii="Arial" w:hAnsi="Arial"/>
          <w:b w:val="false"/>
          <w:bCs w:val="false"/>
          <w:i w:val="false"/>
          <w:iCs w:val="false"/>
          <w:sz w:val="24"/>
          <w:szCs w:val="24"/>
          <w:u w:val="none"/>
        </w:rPr>
        <w:t xml:space="preserve">The article does not </w:t>
      </w:r>
      <w:r>
        <w:rPr>
          <w:rFonts w:ascii="Arial" w:hAnsi="Arial"/>
          <w:b w:val="false"/>
          <w:bCs w:val="false"/>
          <w:i w:val="false"/>
          <w:iCs w:val="false"/>
          <w:color w:val="000000"/>
          <w:sz w:val="24"/>
          <w:szCs w:val="24"/>
          <w:u w:val="none"/>
        </w:rPr>
        <w:t xml:space="preserve">explain why the focus groups were split into the same gender. According to Mishna, Saini and Solomon (2009, p.1224) having mixed gender focus groups can be highly successful, due to a variation of backgrounds and opinions. </w:t>
      </w:r>
    </w:p>
    <w:p>
      <w:pPr>
        <w:pStyle w:val="Normal"/>
        <w:spacing w:lineRule="auto" w:line="480"/>
        <w:jc w:val="both"/>
        <w:rPr>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The main </w:t>
      </w:r>
      <w:r>
        <w:rPr>
          <w:rFonts w:ascii="Arial" w:hAnsi="Arial"/>
          <w:b w:val="false"/>
          <w:bCs w:val="false"/>
          <w:i w:val="false"/>
          <w:iCs w:val="false"/>
          <w:color w:val="000000"/>
          <w:sz w:val="24"/>
          <w:szCs w:val="24"/>
          <w:u w:val="none"/>
        </w:rPr>
        <w:t>findings from this study are that generally female’s saw cyberbullying as an issue that is rarely spoken about at school. Although, Keith and Martin (2005 p.225) suggest that predominantly the main perpetrators of online abuse are female. The authors’</w:t>
      </w:r>
      <w:r>
        <w:rPr>
          <w:rFonts w:ascii="Arial" w:hAnsi="Arial"/>
          <w:b w:val="false"/>
          <w:bCs w:val="false"/>
          <w:i w:val="false"/>
          <w:iCs w:val="false"/>
          <w:sz w:val="24"/>
          <w:szCs w:val="24"/>
          <w:u w:val="none"/>
        </w:rPr>
        <w:t xml:space="preserve"> conclusion explains that schools should adopt cyber bullying policies, anti bullying prevention strategies and include lessons regarding cyber bullying into the curriculum. </w:t>
      </w:r>
    </w:p>
    <w:p>
      <w:pPr>
        <w:pStyle w:val="Normal"/>
        <w:spacing w:lineRule="auto" w:line="480"/>
        <w:jc w:val="both"/>
        <w:rPr>
          <w:rFonts w:ascii="Arial" w:hAnsi="Arial"/>
          <w:b w:val="false"/>
          <w:b w:val="false"/>
          <w:bCs w:val="false"/>
          <w:i w:val="false"/>
          <w:i w:val="false"/>
          <w:iCs w:val="false"/>
          <w:color w:val="000000"/>
          <w:sz w:val="24"/>
          <w:szCs w:val="24"/>
          <w:u w:val="single"/>
        </w:rPr>
      </w:pPr>
      <w:r>
        <w:rPr>
          <w:rFonts w:ascii="Arial" w:hAnsi="Arial"/>
          <w:b w:val="false"/>
          <w:bCs w:val="false"/>
          <w:i w:val="false"/>
          <w:iCs w:val="false"/>
          <w:color w:val="000000"/>
          <w:sz w:val="24"/>
          <w:szCs w:val="24"/>
          <w:u w:val="singl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 xml:space="preserve">The first paragraph flows well and discusses the aim, the study and conclusion. After this paragraph, the text is jumbled. The article discusses another study regarding 3767 </w:t>
      </w:r>
      <w:r>
        <w:rPr>
          <w:rFonts w:ascii="Arial" w:hAnsi="Arial"/>
          <w:b w:val="false"/>
          <w:bCs w:val="false"/>
          <w:i w:val="false"/>
          <w:iCs w:val="false"/>
          <w:color w:val="000000"/>
          <w:sz w:val="24"/>
          <w:szCs w:val="24"/>
          <w:u w:val="none"/>
        </w:rPr>
        <w:t xml:space="preserve">students’ in years six to eight. Both studies were carried out in the same district, therefore may not represent a true reflection of the scale of cyber bullying. Another study indicates they have carried out many surveys across the country, creating a broader result (Keith and Michelle, 2005, p.224). The article analyses results from the second study, stating that 78% of students have never experienced cyber bullying. This figure does not represent what the authors are saying throughout the article. According to Keith and Martin (2005, p.225) 42% of students have suffered online bullying. This article backs up the information with a relevant figure. The sub headings are useful as they direct the reader and help to gauge what they are reading. Although, the paragraphs are lengthy and in small writing, making them hard to read. </w:t>
      </w:r>
    </w:p>
    <w:p>
      <w:pPr>
        <w:pStyle w:val="Normal"/>
        <w:spacing w:lineRule="auto" w:line="480"/>
        <w:jc w:val="both"/>
        <w:rPr>
          <w:rFonts w:ascii="Arial" w:hAnsi="Arial"/>
          <w:b w:val="false"/>
          <w:b w:val="false"/>
          <w:bCs w:val="false"/>
          <w:i w:val="false"/>
          <w:i w:val="false"/>
          <w:iCs w:val="false"/>
          <w:sz w:val="24"/>
          <w:szCs w:val="24"/>
          <w:u w:val="single"/>
        </w:rPr>
      </w:pPr>
      <w:r>
        <w:rPr>
          <w:rFonts w:ascii="Arial" w:hAnsi="Arial"/>
          <w:b w:val="false"/>
          <w:bCs w:val="false"/>
          <w:i w:val="false"/>
          <w:iCs w:val="false"/>
          <w:sz w:val="24"/>
          <w:szCs w:val="24"/>
          <w:u w:val="singl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T</w:t>
      </w:r>
      <w:r>
        <w:rPr>
          <w:rFonts w:ascii="Arial" w:hAnsi="Arial"/>
          <w:b w:val="false"/>
          <w:bCs w:val="false"/>
          <w:i w:val="false"/>
          <w:iCs w:val="false"/>
          <w:color w:val="000000"/>
          <w:sz w:val="24"/>
          <w:szCs w:val="24"/>
          <w:u w:val="none"/>
        </w:rPr>
        <w:t xml:space="preserve">he authors’ mainly use objective language as it is not personal, judgmental or emotive. The authors’ do not write personally in all the text, however have not included any references other than themselves which could indicate that the article is bias (The University of Adelaide, 2014). The writers’ also use subjective language as they give their own opinion to describe young people as being sophisticated and highly technological. This opinion was not referenced meaning it is their own judgement of young people. The authors’ use of statistics and figures as evidence implies the writing is formal as it supports the argument. </w:t>
      </w:r>
    </w:p>
    <w:p>
      <w:pPr>
        <w:pStyle w:val="Normal"/>
        <w:spacing w:lineRule="auto" w:line="480"/>
        <w:jc w:val="both"/>
        <w:rPr>
          <w:rFonts w:ascii="Arial" w:hAnsi="Arial"/>
          <w:b w:val="false"/>
          <w:b w:val="false"/>
          <w:bCs w:val="false"/>
          <w:i w:val="false"/>
          <w:i w:val="false"/>
          <w:iCs w:val="false"/>
          <w:sz w:val="24"/>
          <w:szCs w:val="24"/>
          <w:u w:val="single"/>
        </w:rPr>
      </w:pPr>
      <w:r>
        <w:rPr>
          <w:rFonts w:ascii="Arial" w:hAnsi="Arial"/>
          <w:b w:val="false"/>
          <w:bCs w:val="false"/>
          <w:i w:val="false"/>
          <w:iCs w:val="false"/>
          <w:sz w:val="24"/>
          <w:szCs w:val="24"/>
          <w:u w:val="singl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From this article, the writer can see that the main problem is that cyberbullying is a topic rarely s</w:t>
      </w:r>
      <w:r>
        <w:rPr>
          <w:rFonts w:ascii="Arial" w:hAnsi="Arial"/>
          <w:b w:val="false"/>
          <w:bCs w:val="false"/>
          <w:i w:val="false"/>
          <w:iCs w:val="false"/>
          <w:color w:val="000000"/>
          <w:sz w:val="24"/>
          <w:szCs w:val="24"/>
          <w:u w:val="none"/>
        </w:rPr>
        <w:t>poken about in schools. The authors state that students feel they do not have many people to talk to about this issue in school. Throughout the ar</w:t>
      </w:r>
      <w:r>
        <w:rPr>
          <w:rFonts w:ascii="Arial" w:hAnsi="Arial"/>
          <w:b w:val="false"/>
          <w:bCs w:val="false"/>
          <w:i w:val="false"/>
          <w:iCs w:val="false"/>
          <w:sz w:val="24"/>
          <w:szCs w:val="24"/>
          <w:u w:val="none"/>
        </w:rPr>
        <w:t>ticle, the argument is not consistent, as the article ignores the first study and instead goes on to discuss figures regarding free school meals. This topic does not relate to the overall aim or conclusion. There is only evidence</w:t>
      </w:r>
      <w:r>
        <w:rPr>
          <w:rFonts w:ascii="Arial" w:hAnsi="Arial"/>
          <w:b w:val="false"/>
          <w:bCs w:val="false"/>
          <w:i w:val="false"/>
          <w:iCs w:val="false"/>
          <w:color w:val="000000"/>
          <w:sz w:val="24"/>
          <w:szCs w:val="24"/>
          <w:u w:val="none"/>
        </w:rPr>
        <w:t xml:space="preserve"> for one of the focus groups, which states that only 11% of students had ever been cyber bullied. The article was created in 2007, suggesting that the information may not be relevant for today's link between social media and bullying. The authors each have a Ph. D suggesting their expertise in this subject. There is no other sources used in this article, suggesting the article may be bias.</w:t>
      </w:r>
      <w:r>
        <w:rPr>
          <w:rFonts w:ascii="Arial" w:hAnsi="Arial"/>
          <w:b w:val="false"/>
          <w:bCs w:val="false"/>
          <w:i w:val="false"/>
          <w:iCs w:val="false"/>
          <w:sz w:val="24"/>
          <w:szCs w:val="24"/>
          <w:u w:val="none"/>
        </w:rPr>
        <w:t xml:space="preserve"> </w:t>
      </w:r>
    </w:p>
    <w:p>
      <w:pPr>
        <w:pStyle w:val="Normal"/>
        <w:spacing w:lineRule="auto" w:line="480"/>
        <w:jc w:val="both"/>
        <w:rPr>
          <w:rFonts w:ascii="Arial" w:hAnsi="Arial"/>
          <w:b w:val="false"/>
          <w:b w:val="false"/>
          <w:bCs w:val="false"/>
          <w:i w:val="false"/>
          <w:i w:val="false"/>
          <w:iCs w:val="false"/>
          <w:sz w:val="24"/>
          <w:szCs w:val="24"/>
          <w:u w:val="single"/>
        </w:rPr>
      </w:pPr>
      <w:r>
        <w:rPr>
          <w:rFonts w:ascii="Arial" w:hAnsi="Arial"/>
          <w:b w:val="false"/>
          <w:bCs w:val="false"/>
          <w:i w:val="false"/>
          <w:iCs w:val="false"/>
          <w:sz w:val="24"/>
          <w:szCs w:val="24"/>
          <w:u w:val="single"/>
        </w:rPr>
      </w:r>
    </w:p>
    <w:p>
      <w:pPr>
        <w:pStyle w:val="Normal"/>
        <w:spacing w:lineRule="auto" w:line="480"/>
        <w:jc w:val="both"/>
        <w:rPr>
          <w:rFonts w:ascii="Arial" w:hAnsi="Arial"/>
          <w:sz w:val="24"/>
          <w:szCs w:val="24"/>
        </w:rPr>
      </w:pPr>
      <w:r>
        <w:rPr>
          <w:rFonts w:ascii="Arial" w:hAnsi="Arial"/>
          <w:b w:val="false"/>
          <w:bCs w:val="false"/>
          <w:i w:val="false"/>
          <w:iCs w:val="false"/>
          <w:sz w:val="24"/>
          <w:szCs w:val="24"/>
          <w:u w:val="none"/>
        </w:rPr>
        <w:t>The writer believes that this article is effective as it has created solutions to prevent cyber bullying. Although, the article has not shown whether the solutions will be used a</w:t>
      </w:r>
      <w:r>
        <w:rPr>
          <w:rFonts w:ascii="Arial" w:hAnsi="Arial"/>
          <w:b w:val="false"/>
          <w:bCs w:val="false"/>
          <w:i w:val="false"/>
          <w:iCs w:val="false"/>
          <w:color w:val="000000"/>
          <w:sz w:val="24"/>
          <w:szCs w:val="24"/>
          <w:u w:val="none"/>
        </w:rPr>
        <w:t>t schools or how the solutions could be successful. The writer has suggested some recommendations of how the article could be improved. The article could consider mixe</w:t>
      </w:r>
      <w:r>
        <w:rPr>
          <w:rFonts w:ascii="Arial" w:hAnsi="Arial"/>
          <w:b w:val="false"/>
          <w:bCs w:val="false"/>
          <w:i w:val="false"/>
          <w:iCs w:val="false"/>
          <w:sz w:val="24"/>
          <w:szCs w:val="24"/>
          <w:u w:val="none"/>
        </w:rPr>
        <w:t>d gender focus groups, for an overview of mixed backgrounds and experiences</w:t>
      </w:r>
      <w:r>
        <w:rPr>
          <w:rFonts w:ascii="Arial" w:hAnsi="Arial"/>
          <w:b w:val="false"/>
          <w:bCs w:val="false"/>
          <w:i w:val="false"/>
          <w:iCs w:val="false"/>
          <w:color w:val="000000"/>
          <w:sz w:val="24"/>
          <w:szCs w:val="24"/>
          <w:u w:val="none"/>
        </w:rPr>
        <w:t xml:space="preserve"> (Davis and Jones, 1996; Heary and Hennessy, 2002, cited in Mishna, Saini and Solomon, 2009). </w:t>
      </w:r>
      <w:r>
        <w:rPr>
          <w:rFonts w:ascii="Arial" w:hAnsi="Arial"/>
          <w:b w:val="false"/>
          <w:bCs w:val="false"/>
          <w:i w:val="false"/>
          <w:iCs w:val="false"/>
          <w:sz w:val="24"/>
          <w:szCs w:val="24"/>
          <w:u w:val="none"/>
        </w:rPr>
        <w:t>A wider range of focus groups could be useful, stretching the information across the country to gain a clear understandi</w:t>
      </w:r>
      <w:r>
        <w:rPr>
          <w:rFonts w:ascii="Arial" w:hAnsi="Arial"/>
          <w:b w:val="false"/>
          <w:bCs w:val="false"/>
          <w:i w:val="false"/>
          <w:iCs w:val="false"/>
          <w:color w:val="000000"/>
          <w:sz w:val="24"/>
          <w:szCs w:val="24"/>
          <w:u w:val="none"/>
        </w:rPr>
        <w:t>ng of cyberbullying. Employing professionals to conduct the interviews could be more efficient and thorough due to their experience and knowledge. The use of professional sources could be used to back wh</w:t>
      </w:r>
      <w:r>
        <w:rPr>
          <w:rFonts w:ascii="Arial" w:hAnsi="Arial"/>
          <w:b w:val="false"/>
          <w:bCs w:val="false"/>
          <w:i w:val="false"/>
          <w:iCs w:val="false"/>
          <w:sz w:val="24"/>
          <w:szCs w:val="24"/>
          <w:u w:val="none"/>
        </w:rPr>
        <w:t xml:space="preserve">at the authors are trying to say. </w:t>
      </w:r>
      <w:r>
        <w:rPr>
          <w:rFonts w:ascii="Arial" w:hAnsi="Arial"/>
          <w:b w:val="false"/>
          <w:bCs w:val="false"/>
          <w:i w:val="false"/>
          <w:iCs w:val="false"/>
          <w:color w:val="000000"/>
          <w:sz w:val="24"/>
          <w:szCs w:val="24"/>
          <w:u w:val="none"/>
        </w:rPr>
        <w:t>Keith and Martin (2005, p.224)</w:t>
      </w:r>
      <w:r>
        <w:rPr>
          <w:rFonts w:ascii="Arial" w:hAnsi="Arial"/>
          <w:b w:val="false"/>
          <w:bCs w:val="false"/>
          <w:i w:val="false"/>
          <w:iCs w:val="false"/>
          <w:color w:val="C9211E"/>
          <w:sz w:val="24"/>
          <w:szCs w:val="24"/>
          <w:u w:val="none"/>
        </w:rPr>
        <w:t xml:space="preserve"> </w:t>
      </w:r>
      <w:r>
        <w:rPr>
          <w:rFonts w:ascii="Arial" w:hAnsi="Arial"/>
          <w:b w:val="false"/>
          <w:bCs w:val="false"/>
          <w:i w:val="false"/>
          <w:iCs w:val="false"/>
          <w:color w:val="000000"/>
          <w:sz w:val="24"/>
          <w:szCs w:val="24"/>
          <w:u w:val="none"/>
        </w:rPr>
        <w:t xml:space="preserve">referenced </w:t>
      </w:r>
      <w:r>
        <w:rPr>
          <w:rFonts w:ascii="Arial" w:hAnsi="Arial"/>
          <w:b w:val="false"/>
          <w:bCs w:val="false"/>
          <w:i w:val="false"/>
          <w:iCs w:val="false"/>
          <w:sz w:val="24"/>
          <w:szCs w:val="24"/>
          <w:u w:val="none"/>
        </w:rPr>
        <w:t xml:space="preserve">Bill Belsey, a well-known educator’s definition of cyberbullying which helps the reader gauge what the article is about.  </w:t>
      </w:r>
    </w:p>
    <w:p>
      <w:pPr>
        <w:pStyle w:val="Normal"/>
        <w:spacing w:lineRule="auto" w:line="480"/>
        <w:jc w:val="both"/>
        <w:rPr>
          <w:u w:val="none"/>
        </w:rPr>
      </w:pPr>
      <w:r>
        <w:rPr>
          <w:rFonts w:ascii="Arial" w:hAnsi="Arial"/>
          <w:b w:val="false"/>
          <w:bCs w:val="false"/>
          <w:i w:val="false"/>
          <w:iCs w:val="false"/>
          <w:sz w:val="24"/>
          <w:szCs w:val="24"/>
          <w:u w:val="none"/>
        </w:rPr>
        <w:t xml:space="preserve">Overall, this is not an appropriate academic assignment as it is vague and needs to be more detailed to help the reader understand how big of an issue cyber bullying is. </w:t>
      </w:r>
    </w:p>
    <w:p>
      <w:pPr>
        <w:pStyle w:val="Normal"/>
        <w:spacing w:lineRule="auto" w:line="480"/>
        <w:jc w:val="both"/>
        <w:rPr>
          <w:u w:val="single"/>
        </w:rPr>
      </w:pPr>
      <w:r>
        <w:rPr>
          <w:rFonts w:ascii="Arial" w:hAnsi="Arial"/>
          <w:b w:val="false"/>
          <w:bCs w:val="false"/>
          <w:i w:val="false"/>
          <w:iCs w:val="false"/>
          <w:sz w:val="24"/>
          <w:szCs w:val="24"/>
          <w:u w:val="single"/>
        </w:rPr>
        <w:t>Reference list</w:t>
      </w:r>
    </w:p>
    <w:p>
      <w:pPr>
        <w:pStyle w:val="Normal"/>
        <w:spacing w:lineRule="auto" w:line="480"/>
        <w:jc w:val="left"/>
        <w:rPr/>
      </w:pPr>
      <w:r>
        <w:rPr>
          <w:rFonts w:ascii="Arial" w:hAnsi="Arial"/>
          <w:b w:val="false"/>
          <w:bCs w:val="false"/>
          <w:i w:val="false"/>
          <w:iCs w:val="false"/>
          <w:sz w:val="24"/>
          <w:szCs w:val="24"/>
        </w:rPr>
        <w:t>Aga</w:t>
      </w:r>
      <w:r>
        <w:rPr>
          <w:rFonts w:ascii="Arial" w:hAnsi="Arial"/>
          <w:b w:val="false"/>
          <w:bCs w:val="false"/>
          <w:i w:val="false"/>
          <w:iCs w:val="false"/>
          <w:sz w:val="24"/>
          <w:szCs w:val="24"/>
        </w:rPr>
        <w:t>tston</w:t>
      </w:r>
      <w:r>
        <w:rPr>
          <w:rFonts w:ascii="Arial" w:hAnsi="Arial"/>
          <w:b w:val="false"/>
          <w:bCs w:val="false"/>
          <w:i w:val="false"/>
          <w:iCs w:val="false"/>
          <w:sz w:val="24"/>
          <w:szCs w:val="24"/>
        </w:rPr>
        <w:t xml:space="preserve">, </w:t>
      </w:r>
      <w:r>
        <w:rPr>
          <w:rFonts w:ascii="Arial" w:hAnsi="Arial"/>
          <w:b w:val="false"/>
          <w:bCs w:val="false"/>
          <w:i w:val="false"/>
          <w:iCs w:val="false"/>
          <w:sz w:val="24"/>
          <w:szCs w:val="24"/>
        </w:rPr>
        <w:t xml:space="preserve">P. </w:t>
      </w:r>
      <w:r>
        <w:rPr>
          <w:rFonts w:ascii="Arial" w:hAnsi="Arial"/>
          <w:b w:val="false"/>
          <w:bCs w:val="false"/>
          <w:i w:val="false"/>
          <w:iCs w:val="false"/>
          <w:sz w:val="24"/>
          <w:szCs w:val="24"/>
        </w:rPr>
        <w:t xml:space="preserve">Kowalski, </w:t>
      </w:r>
      <w:r>
        <w:rPr>
          <w:rFonts w:ascii="Arial" w:hAnsi="Arial"/>
          <w:b w:val="false"/>
          <w:bCs w:val="false"/>
          <w:i w:val="false"/>
          <w:iCs w:val="false"/>
          <w:sz w:val="24"/>
          <w:szCs w:val="24"/>
        </w:rPr>
        <w:t>R</w:t>
      </w:r>
      <w:r>
        <w:rPr>
          <w:rFonts w:ascii="Arial" w:hAnsi="Arial"/>
          <w:b w:val="false"/>
          <w:bCs w:val="false"/>
          <w:i w:val="false"/>
          <w:iCs w:val="false"/>
          <w:sz w:val="24"/>
          <w:szCs w:val="24"/>
        </w:rPr>
        <w:t xml:space="preserve"> and S, Limber. (2007) </w:t>
      </w:r>
      <w:r>
        <w:rPr>
          <w:rFonts w:ascii="Arial" w:hAnsi="Arial"/>
          <w:b w:val="false"/>
          <w:bCs w:val="false"/>
          <w:i/>
          <w:iCs/>
          <w:sz w:val="24"/>
          <w:szCs w:val="24"/>
        </w:rPr>
        <w:t>‘</w:t>
      </w:r>
      <w:r>
        <w:rPr>
          <w:rFonts w:ascii="Arial" w:hAnsi="Arial"/>
          <w:b w:val="false"/>
          <w:bCs w:val="false"/>
          <w:i w:val="false"/>
          <w:iCs w:val="false"/>
          <w:sz w:val="24"/>
          <w:szCs w:val="24"/>
        </w:rPr>
        <w:t>Student’s Perspectives on Cyber Bullying</w:t>
      </w:r>
      <w:r>
        <w:rPr>
          <w:rFonts w:ascii="Arial" w:hAnsi="Arial"/>
          <w:b w:val="false"/>
          <w:bCs w:val="false"/>
          <w:i/>
          <w:iCs/>
          <w:sz w:val="24"/>
          <w:szCs w:val="24"/>
        </w:rPr>
        <w:t xml:space="preserve">’, Journal of Adolescent Health, </w:t>
      </w:r>
      <w:r>
        <w:rPr>
          <w:rFonts w:ascii="Arial" w:hAnsi="Arial"/>
          <w:b w:val="false"/>
          <w:bCs w:val="false"/>
          <w:i w:val="false"/>
          <w:iCs w:val="false"/>
          <w:sz w:val="24"/>
          <w:szCs w:val="24"/>
        </w:rPr>
        <w:t xml:space="preserve">41(6), pp.59-60. Available at: </w:t>
      </w:r>
      <w:hyperlink r:id="rId6">
        <w:r>
          <w:rPr>
            <w:rStyle w:val="InternetLink"/>
            <w:rFonts w:ascii="Arial" w:hAnsi="Arial"/>
            <w:b w:val="false"/>
            <w:bCs w:val="false"/>
            <w:i w:val="false"/>
            <w:iCs w:val="false"/>
            <w:sz w:val="24"/>
            <w:szCs w:val="24"/>
          </w:rPr>
          <w:t>https://moodle.uwtsd.ac.uk/pluginfile.php/300587/mod_resource/content/2/Journal%20Article%20for%20Assessment%20Component%201.pdf</w:t>
        </w:r>
      </w:hyperlink>
      <w:r>
        <w:rPr>
          <w:rFonts w:ascii="Arial" w:hAnsi="Arial"/>
          <w:b w:val="false"/>
          <w:bCs w:val="false"/>
          <w:i w:val="false"/>
          <w:iCs w:val="false"/>
          <w:sz w:val="24"/>
          <w:szCs w:val="24"/>
        </w:rPr>
        <w:t xml:space="preserve"> (Accessed: 11</w:t>
      </w:r>
      <w:r>
        <w:rPr>
          <w:rFonts w:ascii="Arial" w:hAnsi="Arial"/>
          <w:b w:val="false"/>
          <w:bCs w:val="false"/>
          <w:i w:val="false"/>
          <w:iCs w:val="false"/>
          <w:sz w:val="24"/>
          <w:szCs w:val="24"/>
          <w:vertAlign w:val="superscript"/>
        </w:rPr>
        <w:t>th</w:t>
      </w:r>
      <w:r>
        <w:rPr>
          <w:rFonts w:ascii="Arial" w:hAnsi="Arial"/>
          <w:b w:val="false"/>
          <w:bCs w:val="false"/>
          <w:i w:val="false"/>
          <w:iCs w:val="false"/>
          <w:sz w:val="24"/>
          <w:szCs w:val="24"/>
        </w:rPr>
        <w:t xml:space="preserve"> November 2019). </w:t>
      </w:r>
    </w:p>
    <w:p>
      <w:pPr>
        <w:pStyle w:val="Normal"/>
        <w:spacing w:lineRule="auto" w:line="480"/>
        <w:jc w:val="left"/>
        <w:rPr>
          <w:b w:val="false"/>
          <w:b w:val="false"/>
          <w:bCs w:val="false"/>
          <w:i w:val="false"/>
          <w:i w:val="false"/>
          <w:iCs w:val="false"/>
        </w:rPr>
      </w:pPr>
      <w:r>
        <w:rPr>
          <w:rFonts w:ascii="Arial" w:hAnsi="Arial"/>
          <w:sz w:val="24"/>
          <w:szCs w:val="24"/>
        </w:rPr>
      </w:r>
    </w:p>
    <w:p>
      <w:pPr>
        <w:pStyle w:val="Normal"/>
        <w:spacing w:lineRule="auto" w:line="480"/>
        <w:jc w:val="left"/>
        <w:rPr/>
      </w:pPr>
      <w:r>
        <w:rPr>
          <w:rStyle w:val="InternetLink"/>
          <w:rFonts w:ascii="Arial" w:hAnsi="Arial"/>
          <w:b w:val="false"/>
          <w:bCs w:val="false"/>
          <w:i w:val="false"/>
          <w:iCs w:val="false"/>
          <w:color w:val="000000"/>
          <w:sz w:val="24"/>
          <w:szCs w:val="24"/>
          <w:u w:val="none"/>
        </w:rPr>
        <w:t xml:space="preserve">Mishna. F, Saini. M, S. Solomon. (2009) ' Ongoing and online: Children and youth's perceptions of cyber bullying', </w:t>
      </w:r>
      <w:r>
        <w:rPr>
          <w:rStyle w:val="InternetLink"/>
          <w:rFonts w:ascii="Arial" w:hAnsi="Arial"/>
          <w:b w:val="false"/>
          <w:bCs w:val="false"/>
          <w:i/>
          <w:iCs/>
          <w:color w:val="000000"/>
          <w:sz w:val="24"/>
          <w:szCs w:val="24"/>
          <w:u w:val="none"/>
        </w:rPr>
        <w:t xml:space="preserve">Children and Youth Services Review,  </w:t>
      </w:r>
      <w:r>
        <w:rPr>
          <w:rStyle w:val="InternetLink"/>
          <w:rFonts w:ascii="Arial" w:hAnsi="Arial"/>
          <w:b w:val="false"/>
          <w:bCs w:val="false"/>
          <w:i w:val="false"/>
          <w:iCs w:val="false"/>
          <w:color w:val="000000"/>
          <w:sz w:val="24"/>
          <w:szCs w:val="24"/>
          <w:u w:val="none"/>
        </w:rPr>
        <w:t xml:space="preserve">31(12), pp.1222-1228. Availabe at: </w:t>
      </w:r>
      <w:hyperlink r:id="rId7">
        <w:r>
          <w:rPr>
            <w:rStyle w:val="InternetLink"/>
            <w:rFonts w:ascii="Arial" w:hAnsi="Arial"/>
            <w:b w:val="false"/>
            <w:bCs w:val="false"/>
            <w:i w:val="false"/>
            <w:iCs w:val="false"/>
            <w:color w:val="000080"/>
            <w:sz w:val="24"/>
            <w:szCs w:val="24"/>
            <w:u w:val="none"/>
          </w:rPr>
          <w:t>https://moodle.uwtsd.ac.uk/pluginfile.php/319338/mod_resource/content/1/Additional%20Article%201.pdf</w:t>
        </w:r>
      </w:hyperlink>
      <w:r>
        <w:rPr>
          <w:rStyle w:val="InternetLink"/>
          <w:rFonts w:ascii="Arial" w:hAnsi="Arial"/>
          <w:b w:val="false"/>
          <w:bCs w:val="false"/>
          <w:i w:val="false"/>
          <w:iCs w:val="false"/>
          <w:color w:val="000080"/>
          <w:sz w:val="24"/>
          <w:szCs w:val="24"/>
          <w:u w:val="none"/>
        </w:rPr>
        <w:t xml:space="preserve"> </w:t>
      </w:r>
      <w:r>
        <w:rPr>
          <w:rStyle w:val="InternetLink"/>
          <w:rFonts w:ascii="Arial" w:hAnsi="Arial"/>
          <w:b w:val="false"/>
          <w:bCs w:val="false"/>
          <w:i w:val="false"/>
          <w:iCs w:val="false"/>
          <w:color w:val="000000"/>
          <w:sz w:val="24"/>
          <w:szCs w:val="24"/>
          <w:u w:val="none"/>
        </w:rPr>
        <w:t xml:space="preserve"> (Accessed on: 11</w:t>
      </w:r>
      <w:r>
        <w:rPr>
          <w:rStyle w:val="InternetLink"/>
          <w:rFonts w:ascii="Arial" w:hAnsi="Arial"/>
          <w:b w:val="false"/>
          <w:bCs w:val="false"/>
          <w:i w:val="false"/>
          <w:iCs w:val="false"/>
          <w:color w:val="000000"/>
          <w:sz w:val="24"/>
          <w:szCs w:val="24"/>
          <w:u w:val="none"/>
          <w:vertAlign w:val="superscript"/>
        </w:rPr>
        <w:t>th</w:t>
      </w:r>
      <w:r>
        <w:rPr>
          <w:rStyle w:val="InternetLink"/>
          <w:rFonts w:ascii="Arial" w:hAnsi="Arial"/>
          <w:b w:val="false"/>
          <w:bCs w:val="false"/>
          <w:i w:val="false"/>
          <w:iCs w:val="false"/>
          <w:color w:val="000000"/>
          <w:sz w:val="24"/>
          <w:szCs w:val="24"/>
          <w:u w:val="none"/>
        </w:rPr>
        <w:t xml:space="preserve"> November 2019).</w:t>
      </w:r>
    </w:p>
    <w:p>
      <w:pPr>
        <w:pStyle w:val="Normal"/>
        <w:spacing w:lineRule="auto" w:line="480"/>
        <w:jc w:val="left"/>
        <w:rPr>
          <w:rStyle w:val="InternetLink"/>
          <w:rFonts w:ascii="Arial" w:hAnsi="Arial"/>
          <w:b w:val="false"/>
          <w:b w:val="false"/>
          <w:bCs w:val="false"/>
          <w:i w:val="false"/>
          <w:i w:val="false"/>
          <w:iCs w:val="false"/>
          <w:color w:val="000000"/>
          <w:sz w:val="24"/>
          <w:szCs w:val="24"/>
          <w:u w:val="none"/>
        </w:rPr>
      </w:pPr>
      <w:r>
        <w:rPr/>
      </w:r>
    </w:p>
    <w:p>
      <w:pPr>
        <w:pStyle w:val="Normal"/>
        <w:spacing w:lineRule="auto" w:line="480"/>
        <w:jc w:val="left"/>
        <w:rPr/>
      </w:pPr>
      <w:r>
        <w:rPr>
          <w:rFonts w:ascii="Arial" w:hAnsi="Arial"/>
          <w:b w:val="false"/>
          <w:bCs w:val="false"/>
          <w:i w:val="false"/>
          <w:iCs w:val="false"/>
          <w:sz w:val="24"/>
          <w:szCs w:val="24"/>
        </w:rPr>
        <w:t xml:space="preserve">S, Keith and M.E, Martin. (2005) ‘Cyber-Bullying: Creating a Culture of Respect in a Cyber World’, </w:t>
      </w:r>
      <w:r>
        <w:rPr>
          <w:rFonts w:ascii="Arial" w:hAnsi="Arial"/>
          <w:b w:val="false"/>
          <w:bCs w:val="false"/>
          <w:i/>
          <w:iCs/>
          <w:sz w:val="24"/>
          <w:szCs w:val="24"/>
        </w:rPr>
        <w:t>crisis prevention briefs</w:t>
      </w:r>
      <w:r>
        <w:rPr>
          <w:rFonts w:ascii="Arial" w:hAnsi="Arial"/>
          <w:b w:val="false"/>
          <w:bCs w:val="false"/>
          <w:i w:val="false"/>
          <w:iCs w:val="false"/>
          <w:sz w:val="24"/>
          <w:szCs w:val="24"/>
        </w:rPr>
        <w:t xml:space="preserve">, 13,(4), pp.224-228. Available at: </w:t>
      </w:r>
      <w:hyperlink r:id="rId8">
        <w:r>
          <w:rPr>
            <w:rStyle w:val="InternetLink"/>
            <w:rFonts w:ascii="Arial" w:hAnsi="Arial"/>
            <w:b w:val="false"/>
            <w:bCs w:val="false"/>
            <w:i w:val="false"/>
            <w:iCs w:val="false"/>
            <w:sz w:val="24"/>
            <w:szCs w:val="24"/>
          </w:rPr>
          <w:t>https://moodle.uwtsd.ac.uk/pluginfile.php/319339/mod_resource/content/1/Additional%20Article%202.pdf</w:t>
        </w:r>
      </w:hyperlink>
      <w:r>
        <w:rPr>
          <w:rStyle w:val="InternetLink"/>
          <w:rFonts w:ascii="Arial" w:hAnsi="Arial"/>
          <w:b w:val="false"/>
          <w:bCs w:val="false"/>
          <w:i w:val="false"/>
          <w:iCs w:val="false"/>
          <w:sz w:val="24"/>
          <w:szCs w:val="24"/>
        </w:rPr>
        <w:t xml:space="preserve"> </w:t>
      </w:r>
      <w:r>
        <w:rPr>
          <w:rFonts w:ascii="Arial" w:hAnsi="Arial"/>
          <w:b w:val="false"/>
          <w:bCs w:val="false"/>
          <w:i w:val="false"/>
          <w:iCs w:val="false"/>
          <w:sz w:val="24"/>
          <w:szCs w:val="24"/>
        </w:rPr>
        <w:t xml:space="preserve"> (Accessed: 11</w:t>
      </w:r>
      <w:r>
        <w:rPr>
          <w:rFonts w:ascii="Arial" w:hAnsi="Arial"/>
          <w:b w:val="false"/>
          <w:bCs w:val="false"/>
          <w:i w:val="false"/>
          <w:iCs w:val="false"/>
          <w:sz w:val="24"/>
          <w:szCs w:val="24"/>
          <w:vertAlign w:val="superscript"/>
        </w:rPr>
        <w:t>th</w:t>
      </w:r>
      <w:r>
        <w:rPr>
          <w:rFonts w:ascii="Arial" w:hAnsi="Arial"/>
          <w:b w:val="false"/>
          <w:bCs w:val="false"/>
          <w:i w:val="false"/>
          <w:iCs w:val="false"/>
          <w:sz w:val="24"/>
          <w:szCs w:val="24"/>
        </w:rPr>
        <w:t xml:space="preserve"> November 2019). </w:t>
      </w:r>
    </w:p>
    <w:p>
      <w:pPr>
        <w:pStyle w:val="Normal"/>
        <w:spacing w:lineRule="auto" w:line="480"/>
        <w:jc w:val="left"/>
        <w:rPr>
          <w:rFonts w:ascii="Arial" w:hAnsi="Arial"/>
          <w:b w:val="false"/>
          <w:b w:val="false"/>
          <w:bCs w:val="false"/>
          <w:i w:val="false"/>
          <w:i w:val="false"/>
          <w:iCs w:val="false"/>
          <w:sz w:val="24"/>
          <w:szCs w:val="24"/>
        </w:rPr>
      </w:pPr>
      <w:r>
        <w:rPr>
          <w:rFonts w:ascii="Arial" w:hAnsi="Arial"/>
          <w:b w:val="false"/>
          <w:bCs w:val="false"/>
          <w:i w:val="false"/>
          <w:iCs w:val="false"/>
          <w:sz w:val="24"/>
          <w:szCs w:val="24"/>
        </w:rPr>
      </w:r>
    </w:p>
    <w:p>
      <w:pPr>
        <w:pStyle w:val="Normal"/>
        <w:spacing w:lineRule="auto" w:line="480"/>
        <w:jc w:val="left"/>
        <w:rPr/>
      </w:pPr>
      <w:r>
        <w:rPr>
          <w:rFonts w:ascii="Arial" w:hAnsi="Arial"/>
          <w:b w:val="false"/>
          <w:bCs w:val="false"/>
          <w:i w:val="false"/>
          <w:iCs w:val="false"/>
          <w:sz w:val="24"/>
          <w:szCs w:val="24"/>
        </w:rPr>
        <w:t xml:space="preserve">The University of Adelaide (2014) </w:t>
      </w:r>
      <w:r>
        <w:rPr>
          <w:rFonts w:ascii="Arial" w:hAnsi="Arial"/>
          <w:b w:val="false"/>
          <w:bCs w:val="false"/>
          <w:i/>
          <w:iCs/>
          <w:sz w:val="24"/>
          <w:szCs w:val="24"/>
        </w:rPr>
        <w:t xml:space="preserve">Objective Language. </w:t>
      </w:r>
      <w:r>
        <w:rPr>
          <w:rFonts w:ascii="Arial" w:hAnsi="Arial"/>
          <w:b w:val="false"/>
          <w:bCs w:val="false"/>
          <w:i w:val="false"/>
          <w:iCs w:val="false"/>
          <w:sz w:val="24"/>
          <w:szCs w:val="24"/>
        </w:rPr>
        <w:t xml:space="preserve">Available at: </w:t>
      </w:r>
      <w:hyperlink r:id="rId9">
        <w:r>
          <w:rPr>
            <w:rStyle w:val="InternetLink"/>
            <w:rFonts w:ascii="Arial" w:hAnsi="Arial"/>
            <w:b w:val="false"/>
            <w:bCs w:val="false"/>
            <w:i w:val="false"/>
            <w:iCs w:val="false"/>
            <w:sz w:val="24"/>
            <w:szCs w:val="24"/>
            <w:u w:val="none"/>
          </w:rPr>
          <w:t>https://www.adelaide.edu.au/writingcentre/sites/default/files/docs/learningguide-objectivelanguage.pdf</w:t>
        </w:r>
      </w:hyperlink>
      <w:r>
        <w:rPr>
          <w:rStyle w:val="InternetLink"/>
          <w:rFonts w:ascii="Arial" w:hAnsi="Arial"/>
          <w:b w:val="false"/>
          <w:bCs w:val="false"/>
          <w:i w:val="false"/>
          <w:iCs w:val="false"/>
          <w:sz w:val="24"/>
          <w:szCs w:val="24"/>
          <w:u w:val="none"/>
        </w:rPr>
        <w:t xml:space="preserve"> </w:t>
      </w:r>
      <w:r>
        <w:rPr>
          <w:rStyle w:val="InternetLink"/>
          <w:rFonts w:ascii="Arial" w:hAnsi="Arial"/>
          <w:b w:val="false"/>
          <w:bCs w:val="false"/>
          <w:i w:val="false"/>
          <w:iCs w:val="false"/>
          <w:color w:val="000000"/>
          <w:sz w:val="24"/>
          <w:szCs w:val="24"/>
          <w:u w:val="none"/>
        </w:rPr>
        <w:t>(Accessed: 11</w:t>
      </w:r>
      <w:r>
        <w:rPr>
          <w:rStyle w:val="InternetLink"/>
          <w:rFonts w:ascii="Arial" w:hAnsi="Arial"/>
          <w:b w:val="false"/>
          <w:bCs w:val="false"/>
          <w:i w:val="false"/>
          <w:iCs w:val="false"/>
          <w:color w:val="000000"/>
          <w:sz w:val="24"/>
          <w:szCs w:val="24"/>
          <w:u w:val="none"/>
          <w:vertAlign w:val="superscript"/>
        </w:rPr>
        <w:t>th</w:t>
      </w:r>
      <w:r>
        <w:rPr>
          <w:rStyle w:val="InternetLink"/>
          <w:rFonts w:ascii="Arial" w:hAnsi="Arial"/>
          <w:b w:val="false"/>
          <w:bCs w:val="false"/>
          <w:i w:val="false"/>
          <w:iCs w:val="false"/>
          <w:color w:val="000000"/>
          <w:sz w:val="24"/>
          <w:szCs w:val="24"/>
          <w:u w:val="none"/>
        </w:rPr>
        <w:t xml:space="preserve"> November 2019).</w:t>
      </w:r>
    </w:p>
    <w:p>
      <w:pPr>
        <w:pStyle w:val="Normal"/>
        <w:spacing w:lineRule="auto" w:line="480"/>
        <w:jc w:val="left"/>
        <w:rPr>
          <w:rStyle w:val="InternetLink"/>
          <w:rFonts w:ascii="Arial" w:hAnsi="Arial"/>
          <w:b w:val="false"/>
          <w:b w:val="false"/>
          <w:bCs w:val="false"/>
          <w:i w:val="false"/>
          <w:i w:val="false"/>
          <w:iCs w:val="false"/>
          <w:color w:val="000000"/>
          <w:sz w:val="24"/>
          <w:szCs w:val="24"/>
          <w:u w:val="none"/>
        </w:rPr>
      </w:pPr>
      <w:r>
        <w:rPr/>
      </w:r>
    </w:p>
    <w:p>
      <w:pPr>
        <w:pStyle w:val="Normal"/>
        <w:spacing w:lineRule="auto" w:line="360"/>
        <w:jc w:val="both"/>
        <w:rPr>
          <w:rStyle w:val="InternetLink"/>
          <w:rFonts w:ascii="Arial" w:hAnsi="Arial"/>
          <w:b w:val="false"/>
          <w:b w:val="false"/>
          <w:bCs w:val="false"/>
          <w:i w:val="false"/>
          <w:i w:val="false"/>
          <w:iCs w:val="false"/>
          <w:color w:val="000000"/>
          <w:sz w:val="24"/>
          <w:szCs w:val="24"/>
          <w:u w:val="none"/>
        </w:rPr>
      </w:pPr>
      <w:r>
        <w:rPr>
          <w:rFonts w:ascii="Arial" w:hAnsi="Arial"/>
          <w:b w:val="false"/>
          <w:bCs w:val="false"/>
          <w:i w:val="false"/>
          <w:iCs w:val="false"/>
          <w:color w:val="000000"/>
          <w:sz w:val="24"/>
          <w:szCs w:val="24"/>
          <w:u w:val="none"/>
        </w:rPr>
      </w:r>
    </w:p>
    <w:p>
      <w:pPr>
        <w:pStyle w:val="Normal"/>
        <w:spacing w:lineRule="auto" w:line="360"/>
        <w:jc w:val="both"/>
        <w:rPr>
          <w:rStyle w:val="InternetLink"/>
          <w:rFonts w:ascii="Arial" w:hAnsi="Arial"/>
          <w:b w:val="false"/>
          <w:b w:val="false"/>
          <w:bCs w:val="false"/>
          <w:i w:val="false"/>
          <w:i w:val="false"/>
          <w:iCs w:val="false"/>
          <w:color w:val="000000"/>
          <w:sz w:val="24"/>
          <w:szCs w:val="24"/>
          <w:u w:val="none"/>
        </w:rPr>
      </w:pPr>
      <w:r>
        <w:rPr>
          <w:rFonts w:ascii="Arial" w:hAnsi="Arial"/>
          <w:b w:val="false"/>
          <w:bCs w:val="false"/>
          <w:i w:val="false"/>
          <w:iCs w:val="false"/>
          <w:color w:val="000000"/>
          <w:sz w:val="24"/>
          <w:szCs w:val="24"/>
          <w:u w:val="none"/>
        </w:rPr>
      </w:r>
    </w:p>
    <w:p>
      <w:pPr>
        <w:pStyle w:val="Normal"/>
        <w:spacing w:lineRule="auto" w:line="480"/>
        <w:jc w:val="both"/>
        <w:rPr>
          <w:rFonts w:ascii="Arial" w:hAnsi="Arial"/>
          <w:b w:val="false"/>
          <w:b w:val="false"/>
          <w:bCs w:val="false"/>
          <w:i w:val="false"/>
          <w:i w:val="false"/>
          <w:iCs w:val="false"/>
          <w:sz w:val="24"/>
          <w:szCs w:val="24"/>
        </w:rPr>
      </w:pPr>
      <w:r>
        <w:rPr>
          <w:rFonts w:ascii="Arial" w:hAnsi="Arial"/>
          <w:b w:val="false"/>
          <w:bCs w:val="false"/>
          <w:i w:val="false"/>
          <w:iCs w:val="false"/>
          <w:sz w:val="24"/>
          <w:szCs w:val="24"/>
        </w:rPr>
      </w:r>
    </w:p>
    <w:p>
      <w:pPr>
        <w:pStyle w:val="Normal"/>
        <w:spacing w:lineRule="auto" w:line="480"/>
        <w:jc w:val="both"/>
        <w:rPr>
          <w:i/>
          <w:i/>
          <w:iCs/>
        </w:rPr>
      </w:pPr>
      <w:r>
        <w:rPr>
          <w:i/>
          <w:iCs/>
        </w:rPr>
      </w:r>
    </w:p>
    <w:p>
      <w:pPr>
        <w:pStyle w:val="Normal"/>
        <w:spacing w:lineRule="auto" w:line="480"/>
        <w:jc w:val="both"/>
        <w:rPr/>
      </w:pPr>
      <w:r>
        <w:rPr/>
      </w:r>
    </w:p>
    <w:sectPr>
      <w:headerReference w:type="default" r:id="rId10"/>
      <w:footerReference w:type="default" r:id="rId11"/>
      <w:type w:val="nextPage"/>
      <w:pgSz w:w="11906" w:h="16838"/>
      <w:pgMar w:left="1134" w:right="1134" w:header="1134" w:top="1739" w:footer="1134" w:bottom="1739"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1"/>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rFonts w:ascii="Arial" w:hAnsi="Arial"/>
        <w:sz w:val="28"/>
        <w:szCs w:val="28"/>
      </w:rPr>
    </w:pPr>
    <w:r>
      <w:rPr>
        <w:rFonts w:ascii="Arial" w:hAnsi="Arial"/>
        <w:sz w:val="28"/>
        <w:szCs w:val="2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lineRule="auto" w:line="360"/>
      <w:rPr/>
    </w:pPr>
    <w:r>
      <w:rPr>
        <w:rFonts w:ascii="Arial" w:hAnsi="Arial"/>
        <w:sz w:val="24"/>
        <w:szCs w:val="24"/>
      </w:rPr>
      <w:t>1910079</w:t>
      <w:tab/>
      <w:tab/>
      <w:t>ECGE4001P</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en-GB" w:eastAsia="zh-CN" w:bidi="hi-IN"/>
      </w:rPr>
    </w:rPrDefault>
    <w:pPrDefault>
      <w:pPr/>
    </w:pPrDefault>
  </w:docDefaults>
  <w:style w:type="paragraph" w:styleId="Normal">
    <w:name w:val="Normal"/>
    <w:qFormat/>
    <w:pPr>
      <w:widowControl/>
      <w:bidi w:val="0"/>
      <w:ind w:left="0" w:right="0" w:hanging="0"/>
      <w:jc w:val="both"/>
    </w:pPr>
    <w:rPr>
      <w:rFonts w:ascii="Liberation Serif" w:hAnsi="Liberation Serif" w:eastAsia="NSimSun" w:cs="Arial"/>
      <w:color w:val="auto"/>
      <w:kern w:val="2"/>
      <w:sz w:val="24"/>
      <w:szCs w:val="24"/>
      <w:lang w:val="en-GB" w:eastAsia="zh-CN" w:bidi="hi-IN"/>
    </w:rPr>
  </w:style>
  <w:style w:type="character" w:styleId="InternetLink">
    <w:name w:val="Internet Link"/>
    <w:rPr>
      <w:color w:val="000080"/>
      <w:u w:val="single"/>
      <w:lang w:val="zxx" w:eastAsia="zxx" w:bidi="zxx"/>
    </w:rPr>
  </w:style>
  <w:style w:type="character" w:styleId="ListLabel1">
    <w:name w:val="ListLabel 1"/>
    <w:qFormat/>
    <w:rPr>
      <w:rFonts w:ascii="Arial" w:hAnsi="Arial"/>
      <w:sz w:val="24"/>
      <w:szCs w:val="24"/>
    </w:rPr>
  </w:style>
  <w:style w:type="character" w:styleId="ListLabel2">
    <w:name w:val="ListLabel 2"/>
    <w:qFormat/>
    <w:rPr>
      <w:rFonts w:ascii="Arial" w:hAnsi="Arial"/>
      <w:sz w:val="24"/>
      <w:szCs w:val="24"/>
    </w:rPr>
  </w:style>
  <w:style w:type="character" w:styleId="ListLabel3">
    <w:name w:val="ListLabel 3"/>
    <w:qFormat/>
    <w:rPr>
      <w:rFonts w:ascii="Arial" w:hAnsi="Arial"/>
      <w:b w:val="false"/>
      <w:bCs w:val="false"/>
      <w:sz w:val="24"/>
      <w:szCs w:val="24"/>
    </w:rPr>
  </w:style>
  <w:style w:type="character" w:styleId="ListLabel4">
    <w:name w:val="ListLabel 4"/>
    <w:qFormat/>
    <w:rPr>
      <w:rFonts w:ascii="Arial" w:hAnsi="Arial"/>
      <w:b w:val="false"/>
      <w:bCs w:val="false"/>
      <w:sz w:val="24"/>
      <w:szCs w:val="24"/>
    </w:rPr>
  </w:style>
  <w:style w:type="character" w:styleId="Bullets">
    <w:name w:val="Bullets"/>
    <w:qFormat/>
    <w:rPr>
      <w:rFonts w:ascii="OpenSymbol" w:hAnsi="OpenSymbol" w:eastAsia="OpenSymbol"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ascii="Arial" w:hAnsi="Arial"/>
      <w:b w:val="false"/>
      <w:bCs w:val="false"/>
      <w:sz w:val="24"/>
      <w:szCs w:val="24"/>
    </w:rPr>
  </w:style>
  <w:style w:type="character" w:styleId="ListLabel15">
    <w:name w:val="ListLabel 15"/>
    <w:qFormat/>
    <w:rPr>
      <w:rFonts w:ascii="Arial" w:hAnsi="Arial"/>
      <w:b w:val="false"/>
      <w:bCs w:val="false"/>
      <w:sz w:val="24"/>
      <w:szCs w:val="24"/>
      <w:u w:val="single"/>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ascii="Arial" w:hAnsi="Arial"/>
      <w:b w:val="false"/>
      <w:bCs w:val="false"/>
      <w:sz w:val="24"/>
      <w:szCs w:val="24"/>
    </w:rPr>
  </w:style>
  <w:style w:type="character" w:styleId="ListLabel26">
    <w:name w:val="ListLabel 26"/>
    <w:qFormat/>
    <w:rPr>
      <w:rFonts w:ascii="Arial" w:hAnsi="Arial"/>
      <w:b w:val="false"/>
      <w:bCs w:val="false"/>
      <w:sz w:val="24"/>
      <w:szCs w:val="24"/>
      <w:u w:val="single"/>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ascii="Arial" w:hAnsi="Arial"/>
      <w:b w:val="false"/>
      <w:bCs w:val="false"/>
      <w:i w:val="false"/>
      <w:iCs w:val="false"/>
      <w:color w:val="000000"/>
      <w:sz w:val="24"/>
      <w:szCs w:val="24"/>
      <w:u w:val="none"/>
    </w:rPr>
  </w:style>
  <w:style w:type="character" w:styleId="ListLabel46">
    <w:name w:val="ListLabel 46"/>
    <w:qFormat/>
    <w:rPr/>
  </w:style>
  <w:style w:type="character" w:styleId="ListLabel47">
    <w:name w:val="ListLabel 47"/>
    <w:qFormat/>
    <w:rPr>
      <w:rFonts w:ascii="Arial" w:hAnsi="Arial"/>
      <w:sz w:val="24"/>
      <w:szCs w:val="24"/>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cs="OpenSymbol"/>
    </w:rPr>
  </w:style>
  <w:style w:type="character" w:styleId="ListLabel56">
    <w:name w:val="ListLabel 56"/>
    <w:qFormat/>
    <w:rPr>
      <w:rFonts w:cs="OpenSymbol"/>
    </w:rPr>
  </w:style>
  <w:style w:type="character" w:styleId="ListLabel57">
    <w:name w:val="ListLabel 57"/>
    <w:qFormat/>
    <w:rPr>
      <w:rFonts w:ascii="Arial" w:hAnsi="Arial"/>
      <w:b w:val="false"/>
      <w:bCs w:val="false"/>
      <w:i w:val="false"/>
      <w:iCs w:val="false"/>
      <w:sz w:val="24"/>
      <w:szCs w:val="24"/>
      <w:u w:val="none"/>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ascii="Arial" w:hAnsi="Arial"/>
      <w:b w:val="false"/>
      <w:bCs w:val="false"/>
      <w:i w:val="false"/>
      <w:iCs w:val="false"/>
      <w:sz w:val="24"/>
      <w:szCs w:val="24"/>
      <w:u w:val="none"/>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ascii="Arial" w:hAnsi="Arial"/>
      <w:b w:val="false"/>
      <w:bCs w:val="false"/>
      <w:i w:val="false"/>
      <w:iCs w:val="false"/>
      <w:sz w:val="24"/>
      <w:szCs w:val="24"/>
      <w:u w:val="none"/>
    </w:rPr>
  </w:style>
  <w:style w:type="character" w:styleId="ListLabel78">
    <w:name w:val="ListLabel 78"/>
    <w:qFormat/>
    <w:rPr>
      <w:rFonts w:ascii="Arial" w:hAnsi="Arial"/>
      <w:b w:val="false"/>
      <w:bCs w:val="false"/>
      <w:color w:val="C9211E"/>
      <w:sz w:val="24"/>
      <w:szCs w:val="24"/>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ascii="Arial" w:hAnsi="Arial"/>
      <w:b w:val="false"/>
      <w:bCs w:val="false"/>
      <w:i w:val="false"/>
      <w:iCs w:val="false"/>
      <w:sz w:val="24"/>
      <w:szCs w:val="24"/>
      <w:u w:val="none"/>
    </w:rPr>
  </w:style>
  <w:style w:type="character" w:styleId="ListLabel89">
    <w:name w:val="ListLabel 89"/>
    <w:qFormat/>
    <w:rPr>
      <w:rFonts w:ascii="Arial" w:hAnsi="Arial"/>
      <w:b w:val="false"/>
      <w:bCs w:val="false"/>
      <w:color w:val="C9211E"/>
      <w:sz w:val="24"/>
      <w:szCs w:val="24"/>
    </w:rPr>
  </w:style>
  <w:style w:type="character" w:styleId="ListLabel90">
    <w:name w:val="ListLabel 90"/>
    <w:qFormat/>
    <w:rPr>
      <w:rFonts w:ascii="Arial" w:hAnsi="Arial"/>
      <w:b w:val="false"/>
      <w:bCs w:val="false"/>
      <w:i w:val="false"/>
      <w:iCs w:val="false"/>
      <w:color w:val="000000"/>
      <w:sz w:val="24"/>
      <w:szCs w:val="24"/>
      <w:u w:val="none"/>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ascii="Arial" w:hAnsi="Arial"/>
      <w:b w:val="false"/>
      <w:bCs w:val="false"/>
      <w:i w:val="false"/>
      <w:iCs w:val="false"/>
      <w:sz w:val="24"/>
      <w:szCs w:val="24"/>
      <w:u w:val="none"/>
    </w:rPr>
  </w:style>
  <w:style w:type="character" w:styleId="ListLabel101">
    <w:name w:val="ListLabel 101"/>
    <w:qFormat/>
    <w:rPr>
      <w:rFonts w:ascii="Arial" w:hAnsi="Arial"/>
      <w:b w:val="false"/>
      <w:bCs w:val="false"/>
      <w:color w:val="C9211E"/>
      <w:sz w:val="24"/>
      <w:szCs w:val="24"/>
    </w:rPr>
  </w:style>
  <w:style w:type="character" w:styleId="ListLabel102">
    <w:name w:val="ListLabel 102"/>
    <w:qFormat/>
    <w:rPr>
      <w:rFonts w:ascii="Arial" w:hAnsi="Arial"/>
      <w:b w:val="false"/>
      <w:bCs w:val="false"/>
      <w:i w:val="false"/>
      <w:iCs w:val="false"/>
      <w:color w:val="000000"/>
      <w:sz w:val="24"/>
      <w:szCs w:val="24"/>
      <w:u w:val="none"/>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ascii="Arial" w:hAnsi="Arial"/>
      <w:b w:val="false"/>
      <w:bCs w:val="false"/>
      <w:i w:val="false"/>
      <w:iCs w:val="false"/>
      <w:sz w:val="24"/>
      <w:szCs w:val="24"/>
      <w:u w:val="none"/>
    </w:rPr>
  </w:style>
  <w:style w:type="character" w:styleId="ListLabel113">
    <w:name w:val="ListLabel 113"/>
    <w:qFormat/>
    <w:rPr>
      <w:rFonts w:ascii="Arial" w:hAnsi="Arial"/>
      <w:b w:val="false"/>
      <w:bCs w:val="false"/>
      <w:color w:val="C9211E"/>
      <w:sz w:val="24"/>
      <w:szCs w:val="24"/>
    </w:rPr>
  </w:style>
  <w:style w:type="character" w:styleId="ListLabel114">
    <w:name w:val="ListLabel 114"/>
    <w:qFormat/>
    <w:rPr>
      <w:rFonts w:ascii="Arial" w:hAnsi="Arial"/>
      <w:b w:val="false"/>
      <w:bCs w:val="false"/>
      <w:i w:val="false"/>
      <w:iCs w:val="false"/>
      <w:color w:val="000000"/>
      <w:sz w:val="24"/>
      <w:szCs w:val="24"/>
      <w:u w:val="none"/>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ascii="Arial" w:hAnsi="Arial"/>
      <w:b w:val="false"/>
      <w:bCs w:val="false"/>
      <w:i w:val="false"/>
      <w:iCs w:val="false"/>
      <w:sz w:val="24"/>
      <w:szCs w:val="24"/>
      <w:u w:val="none"/>
    </w:rPr>
  </w:style>
  <w:style w:type="character" w:styleId="ListLabel125">
    <w:name w:val="ListLabel 125"/>
    <w:qFormat/>
    <w:rPr>
      <w:rFonts w:ascii="Arial" w:hAnsi="Arial"/>
      <w:b w:val="false"/>
      <w:bCs w:val="false"/>
      <w:color w:val="C9211E"/>
      <w:sz w:val="24"/>
      <w:szCs w:val="24"/>
    </w:rPr>
  </w:style>
  <w:style w:type="character" w:styleId="ListLabel126">
    <w:name w:val="ListLabel 126"/>
    <w:qFormat/>
    <w:rPr>
      <w:rFonts w:ascii="Arial" w:hAnsi="Arial"/>
      <w:b w:val="false"/>
      <w:bCs w:val="false"/>
      <w:i w:val="false"/>
      <w:iCs w:val="false"/>
      <w:color w:val="000000"/>
      <w:sz w:val="24"/>
      <w:szCs w:val="24"/>
      <w:u w:val="none"/>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ascii="Arial" w:hAnsi="Arial"/>
      <w:b w:val="false"/>
      <w:bCs w:val="false"/>
      <w:i w:val="false"/>
      <w:iCs w:val="false"/>
      <w:sz w:val="24"/>
      <w:szCs w:val="24"/>
      <w:u w:val="none"/>
    </w:rPr>
  </w:style>
  <w:style w:type="character" w:styleId="ListLabel137">
    <w:name w:val="ListLabel 137"/>
    <w:qFormat/>
    <w:rPr>
      <w:rFonts w:ascii="Arial" w:hAnsi="Arial"/>
      <w:b w:val="false"/>
      <w:bCs w:val="false"/>
      <w:color w:val="C9211E"/>
      <w:sz w:val="24"/>
      <w:szCs w:val="24"/>
    </w:rPr>
  </w:style>
  <w:style w:type="character" w:styleId="ListLabel138">
    <w:name w:val="ListLabel 138"/>
    <w:qFormat/>
    <w:rPr>
      <w:rFonts w:ascii="Arial" w:hAnsi="Arial"/>
      <w:b w:val="false"/>
      <w:bCs w:val="false"/>
      <w:i w:val="false"/>
      <w:iCs w:val="false"/>
      <w:color w:val="000000"/>
      <w:sz w:val="24"/>
      <w:szCs w:val="24"/>
      <w:u w:val="none"/>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ascii="Arial" w:hAnsi="Arial"/>
      <w:b w:val="false"/>
      <w:bCs w:val="false"/>
      <w:i w:val="false"/>
      <w:iCs w:val="false"/>
      <w:sz w:val="24"/>
      <w:szCs w:val="24"/>
      <w:u w:val="none"/>
    </w:rPr>
  </w:style>
  <w:style w:type="character" w:styleId="ListLabel149">
    <w:name w:val="ListLabel 149"/>
    <w:qFormat/>
    <w:rPr>
      <w:rFonts w:ascii="Arial" w:hAnsi="Arial"/>
      <w:b w:val="false"/>
      <w:bCs w:val="false"/>
      <w:color w:val="C9211E"/>
      <w:sz w:val="24"/>
      <w:szCs w:val="24"/>
    </w:rPr>
  </w:style>
  <w:style w:type="character" w:styleId="ListLabel150">
    <w:name w:val="ListLabel 150"/>
    <w:qFormat/>
    <w:rPr>
      <w:rFonts w:ascii="Arial" w:hAnsi="Arial"/>
      <w:b w:val="false"/>
      <w:bCs w:val="false"/>
      <w:i w:val="false"/>
      <w:iCs w:val="false"/>
      <w:color w:val="000000"/>
      <w:sz w:val="24"/>
      <w:szCs w:val="24"/>
      <w:u w:val="none"/>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ascii="Arial" w:hAnsi="Arial"/>
      <w:b w:val="false"/>
      <w:bCs w:val="false"/>
      <w:i w:val="false"/>
      <w:iCs w:val="false"/>
      <w:sz w:val="24"/>
      <w:szCs w:val="24"/>
      <w:u w:val="none"/>
    </w:rPr>
  </w:style>
  <w:style w:type="character" w:styleId="ListLabel161">
    <w:name w:val="ListLabel 161"/>
    <w:qFormat/>
    <w:rPr>
      <w:rFonts w:ascii="Arial" w:hAnsi="Arial"/>
      <w:b w:val="false"/>
      <w:bCs w:val="false"/>
      <w:color w:val="000000"/>
      <w:sz w:val="24"/>
      <w:szCs w:val="24"/>
    </w:rPr>
  </w:style>
  <w:style w:type="character" w:styleId="ListLabel162">
    <w:name w:val="ListLabel 162"/>
    <w:qFormat/>
    <w:rPr>
      <w:rFonts w:ascii="Arial" w:hAnsi="Arial"/>
      <w:b w:val="false"/>
      <w:bCs w:val="false"/>
      <w:i w:val="false"/>
      <w:iCs w:val="false"/>
      <w:color w:val="000000"/>
      <w:sz w:val="24"/>
      <w:szCs w:val="24"/>
      <w:u w:val="none"/>
    </w:rPr>
  </w:style>
  <w:style w:type="character" w:styleId="ListLabel163">
    <w:name w:val="ListLabel 163"/>
    <w:qFormat/>
    <w:rPr>
      <w:rFonts w:ascii="Arial" w:hAnsi="Arial"/>
      <w:b w:val="false"/>
      <w:bCs w:val="false"/>
      <w:i w:val="false"/>
      <w:iCs w:val="false"/>
      <w:sz w:val="24"/>
      <w:szCs w:val="24"/>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ascii="Arial" w:hAnsi="Arial"/>
      <w:b w:val="false"/>
      <w:bCs w:val="false"/>
      <w:i w:val="false"/>
      <w:iCs w:val="false"/>
      <w:sz w:val="24"/>
      <w:szCs w:val="24"/>
      <w:u w:val="none"/>
    </w:rPr>
  </w:style>
  <w:style w:type="character" w:styleId="ListLabel174">
    <w:name w:val="ListLabel 174"/>
    <w:qFormat/>
    <w:rPr>
      <w:rFonts w:ascii="Arial" w:hAnsi="Arial"/>
      <w:b w:val="false"/>
      <w:bCs w:val="false"/>
      <w:color w:val="000000"/>
      <w:sz w:val="24"/>
      <w:szCs w:val="24"/>
    </w:rPr>
  </w:style>
  <w:style w:type="character" w:styleId="ListLabel175">
    <w:name w:val="ListLabel 175"/>
    <w:qFormat/>
    <w:rPr>
      <w:rFonts w:ascii="Arial" w:hAnsi="Arial"/>
      <w:b w:val="false"/>
      <w:bCs w:val="false"/>
      <w:i w:val="false"/>
      <w:iCs w:val="false"/>
      <w:color w:val="C9211E"/>
      <w:sz w:val="24"/>
      <w:szCs w:val="24"/>
      <w:u w:val="none"/>
    </w:rPr>
  </w:style>
  <w:style w:type="character" w:styleId="ListLabel176">
    <w:name w:val="ListLabel 176"/>
    <w:qFormat/>
    <w:rPr>
      <w:rFonts w:ascii="Arial" w:hAnsi="Arial"/>
      <w:b w:val="false"/>
      <w:bCs w:val="false"/>
      <w:i w:val="false"/>
      <w:iCs w:val="false"/>
      <w:sz w:val="24"/>
      <w:szCs w:val="24"/>
    </w:rPr>
  </w:style>
  <w:style w:type="character" w:styleId="ListLabel177">
    <w:name w:val="ListLabel 177"/>
    <w:qFormat/>
    <w:rPr>
      <w:rFonts w:ascii="Arial" w:hAnsi="Arial"/>
      <w:color w:val="000000"/>
      <w:u w:val="none"/>
    </w:rPr>
  </w:style>
  <w:style w:type="character" w:styleId="ListLabel178">
    <w:name w:val="ListLabel 178"/>
    <w:qFormat/>
    <w:rPr>
      <w:rFonts w:ascii="Arial" w:hAnsi="Arial"/>
      <w:b w:val="false"/>
      <w:bCs w:val="false"/>
      <w:i w:val="false"/>
      <w:iCs w:val="false"/>
      <w:color w:val="000000"/>
      <w:sz w:val="24"/>
      <w:szCs w:val="24"/>
      <w:u w:val="none"/>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ascii="Arial" w:hAnsi="Arial"/>
      <w:b w:val="false"/>
      <w:bCs w:val="false"/>
      <w:i w:val="false"/>
      <w:iCs w:val="false"/>
      <w:sz w:val="24"/>
      <w:szCs w:val="24"/>
      <w:u w:val="none"/>
    </w:rPr>
  </w:style>
  <w:style w:type="character" w:styleId="ListLabel189">
    <w:name w:val="ListLabel 189"/>
    <w:qFormat/>
    <w:rPr>
      <w:rFonts w:ascii="Arial" w:hAnsi="Arial"/>
      <w:b w:val="false"/>
      <w:bCs w:val="false"/>
      <w:i w:val="false"/>
      <w:iCs w:val="false"/>
      <w:color w:val="000000"/>
      <w:sz w:val="24"/>
      <w:szCs w:val="24"/>
      <w:u w:val="none"/>
    </w:rPr>
  </w:style>
  <w:style w:type="character" w:styleId="ListLabel190">
    <w:name w:val="ListLabel 190"/>
    <w:qFormat/>
    <w:rPr>
      <w:rFonts w:ascii="Arial" w:hAnsi="Arial"/>
      <w:b w:val="false"/>
      <w:bCs w:val="false"/>
      <w:i w:val="false"/>
      <w:iCs w:val="false"/>
      <w:sz w:val="24"/>
      <w:szCs w:val="24"/>
    </w:rPr>
  </w:style>
  <w:style w:type="character" w:styleId="ListLabel191">
    <w:name w:val="ListLabel 191"/>
    <w:qFormat/>
    <w:rPr>
      <w:rFonts w:ascii="Arial" w:hAnsi="Arial"/>
      <w:color w:val="000080"/>
      <w:u w:val="none"/>
    </w:rPr>
  </w:style>
  <w:style w:type="character" w:styleId="ListLabel192">
    <w:name w:val="ListLabel 192"/>
    <w:qFormat/>
    <w:rPr>
      <w:rFonts w:ascii="Arial" w:hAnsi="Arial"/>
      <w:b w:val="false"/>
      <w:bCs w:val="false"/>
      <w:i w:val="false"/>
      <w:iCs w:val="false"/>
      <w:color w:val="000080"/>
      <w:sz w:val="24"/>
      <w:szCs w:val="24"/>
      <w:u w:val="none"/>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ascii="Arial" w:hAnsi="Arial"/>
      <w:b w:val="false"/>
      <w:bCs w:val="false"/>
      <w:i w:val="false"/>
      <w:iCs w:val="false"/>
      <w:sz w:val="24"/>
      <w:szCs w:val="24"/>
      <w:u w:val="none"/>
    </w:rPr>
  </w:style>
  <w:style w:type="character" w:styleId="ListLabel203">
    <w:name w:val="ListLabel 203"/>
    <w:qFormat/>
    <w:rPr>
      <w:rFonts w:ascii="Arial" w:hAnsi="Arial"/>
      <w:b w:val="false"/>
      <w:bCs w:val="false"/>
      <w:i w:val="false"/>
      <w:iCs w:val="false"/>
      <w:color w:val="000000"/>
      <w:sz w:val="24"/>
      <w:szCs w:val="24"/>
      <w:u w:val="none"/>
    </w:rPr>
  </w:style>
  <w:style w:type="character" w:styleId="ListLabel204">
    <w:name w:val="ListLabel 204"/>
    <w:qFormat/>
    <w:rPr>
      <w:rFonts w:ascii="Arial" w:hAnsi="Arial"/>
      <w:b w:val="false"/>
      <w:bCs w:val="false"/>
      <w:i w:val="false"/>
      <w:iCs w:val="false"/>
      <w:sz w:val="24"/>
      <w:szCs w:val="24"/>
    </w:rPr>
  </w:style>
  <w:style w:type="character" w:styleId="ListLabel205">
    <w:name w:val="ListLabel 205"/>
    <w:qFormat/>
    <w:rPr>
      <w:rFonts w:ascii="Arial" w:hAnsi="Arial"/>
      <w:color w:val="000080"/>
      <w:u w:val="none"/>
    </w:rPr>
  </w:style>
  <w:style w:type="character" w:styleId="ListLabel206">
    <w:name w:val="ListLabel 206"/>
    <w:qFormat/>
    <w:rPr>
      <w:rFonts w:ascii="Arial" w:hAnsi="Arial"/>
      <w:b w:val="false"/>
      <w:bCs w:val="false"/>
      <w:i w:val="false"/>
      <w:iCs w:val="false"/>
      <w:color w:val="000080"/>
      <w:sz w:val="24"/>
      <w:szCs w:val="24"/>
      <w:u w:val="none"/>
    </w:rPr>
  </w:style>
  <w:style w:type="character" w:styleId="ListLabel207">
    <w:name w:val="ListLabel 207"/>
    <w:qFormat/>
    <w:rPr>
      <w:rFonts w:cs="OpenSymbol"/>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ascii="Arial" w:hAnsi="Arial"/>
      <w:b w:val="false"/>
      <w:bCs w:val="false"/>
      <w:i w:val="false"/>
      <w:iCs w:val="false"/>
      <w:sz w:val="24"/>
      <w:szCs w:val="24"/>
      <w:u w:val="none"/>
    </w:rPr>
  </w:style>
  <w:style w:type="character" w:styleId="ListLabel217">
    <w:name w:val="ListLabel 217"/>
    <w:qFormat/>
    <w:rPr>
      <w:rFonts w:ascii="Arial" w:hAnsi="Arial"/>
      <w:b w:val="false"/>
      <w:bCs w:val="false"/>
      <w:i w:val="false"/>
      <w:iCs w:val="false"/>
      <w:color w:val="000000"/>
      <w:sz w:val="24"/>
      <w:szCs w:val="24"/>
      <w:u w:val="none"/>
    </w:rPr>
  </w:style>
  <w:style w:type="character" w:styleId="ListLabel218">
    <w:name w:val="ListLabel 218"/>
    <w:qFormat/>
    <w:rPr>
      <w:rFonts w:ascii="Arial" w:hAnsi="Arial"/>
      <w:b w:val="false"/>
      <w:bCs w:val="false"/>
      <w:i w:val="false"/>
      <w:iCs w:val="false"/>
      <w:sz w:val="24"/>
      <w:szCs w:val="24"/>
    </w:rPr>
  </w:style>
  <w:style w:type="character" w:styleId="ListLabel219">
    <w:name w:val="ListLabel 219"/>
    <w:qFormat/>
    <w:rPr>
      <w:rFonts w:ascii="Arial" w:hAnsi="Arial"/>
      <w:color w:val="000080"/>
      <w:u w:val="none"/>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ascii="Arial" w:hAnsi="Arial"/>
      <w:b w:val="false"/>
      <w:bCs w:val="false"/>
      <w:i w:val="false"/>
      <w:iCs w:val="false"/>
      <w:sz w:val="24"/>
      <w:szCs w:val="24"/>
      <w:u w:val="none"/>
    </w:rPr>
  </w:style>
  <w:style w:type="character" w:styleId="ListLabel230">
    <w:name w:val="ListLabel 230"/>
    <w:qFormat/>
    <w:rPr>
      <w:rFonts w:ascii="Arial" w:hAnsi="Arial"/>
      <w:b w:val="false"/>
      <w:bCs w:val="false"/>
      <w:i w:val="false"/>
      <w:iCs w:val="false"/>
      <w:color w:val="000000"/>
      <w:sz w:val="24"/>
      <w:szCs w:val="24"/>
      <w:u w:val="none"/>
    </w:rPr>
  </w:style>
  <w:style w:type="character" w:styleId="ListLabel231">
    <w:name w:val="ListLabel 231"/>
    <w:qFormat/>
    <w:rPr>
      <w:rFonts w:ascii="Arial" w:hAnsi="Arial"/>
      <w:b w:val="false"/>
      <w:bCs w:val="false"/>
      <w:i w:val="false"/>
      <w:iCs w:val="false"/>
      <w:sz w:val="24"/>
      <w:szCs w:val="24"/>
    </w:rPr>
  </w:style>
  <w:style w:type="character" w:styleId="ListLabel232">
    <w:name w:val="ListLabel 232"/>
    <w:qFormat/>
    <w:rPr>
      <w:rFonts w:ascii="Arial" w:hAnsi="Arial"/>
      <w:b w:val="false"/>
      <w:bCs w:val="false"/>
      <w:i w:val="false"/>
      <w:iCs w:val="false"/>
      <w:color w:val="000080"/>
      <w:sz w:val="24"/>
      <w:szCs w:val="24"/>
      <w:u w:val="non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pPr>
      <w:suppressLineNumbers/>
      <w:tabs>
        <w:tab w:val="clear" w:pos="709"/>
        <w:tab w:val="center" w:pos="4819" w:leader="none"/>
        <w:tab w:val="right" w:pos="9638" w:leader="none"/>
      </w:tabs>
    </w:pPr>
    <w:rPr/>
  </w:style>
  <w:style w:type="paragraph" w:styleId="Footer">
    <w:name w:val="Footer"/>
    <w:basedOn w:val="Normal"/>
    <w:pPr>
      <w:suppressLineNumbers/>
      <w:tabs>
        <w:tab w:val="clear" w:pos="709"/>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hwb.gov.wales/storage/fcb8539c-9be7-4883-8542-35d7b54b56f2/foundation-phase-outdoor-learning-handbook.pdf" TargetMode="External"/><Relationship Id="rId3" Type="http://schemas.openxmlformats.org/officeDocument/2006/relationships/hyperlink" Target="https://www.theguardian.com/education/2013/may/13/should-university-students-use-wikipedia" TargetMode="External"/><Relationship Id="rId4" Type="http://schemas.openxmlformats.org/officeDocument/2006/relationships/hyperlink" Target="https://uwtsd.ac.uk/media/uwtsd-website/content-assets/documents/library-and-learning-resources/infoskills/Harvard-eng_v.1.2.pdf" TargetMode="External"/><Relationship Id="rId5" Type="http://schemas.openxmlformats.org/officeDocument/2006/relationships/hyperlink" Target="https://help.open.ac.uk/comparing-academic-sources" TargetMode="External"/><Relationship Id="rId6" Type="http://schemas.openxmlformats.org/officeDocument/2006/relationships/hyperlink" Target="https://moodle.uwtsd.ac.uk/pluginfile.php/300587/mod_resource/content/2/Journal Article for Assessment Component 1.pdf" TargetMode="External"/><Relationship Id="rId7" Type="http://schemas.openxmlformats.org/officeDocument/2006/relationships/hyperlink" Target="https://moodle.uwtsd.ac.uk/pluginfile.php/319338/mod_resource/content/1/Additional Article 1.pdf" TargetMode="External"/><Relationship Id="rId8" Type="http://schemas.openxmlformats.org/officeDocument/2006/relationships/hyperlink" Target="https://moodle.uwtsd.ac.uk/pluginfile.php/319339/mod_resource/content/1/Additional Article 2.pdf" TargetMode="External"/><Relationship Id="rId9" Type="http://schemas.openxmlformats.org/officeDocument/2006/relationships/hyperlink" Target="https://www.adelaide.edu.au/writingcentre/sites/default/files/docs/learningguide-objectivelanguage.pdf"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401</TotalTime>
  <Application>LibreOffice/6.2.7.1$Windows_X86_64 LibreOffice_project/23edc44b61b830b7d749943e020e96f5a7df63bf</Application>
  <Pages>9</Pages>
  <Words>1935</Words>
  <Characters>11172</Characters>
  <CharactersWithSpaces>13085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2019-10-09T12:30:23Z</dcterms:created>
  <dc:creator/>
  <dc:description/>
  <dc:language>en-GB</dc:language>
  <cp:lastModifiedBy/>
  <dcterms:modified xsi:type="dcterms:W3CDTF">2019-11-13T11:47:40Z</dcterms:modified>
  <cp:revision>47</cp:revision>
  <dc:subject/>
  <dc:title/>
</cp:coreProperties>
</file>