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3550A2" w14:textId="146AA95C" w:rsidR="00805496" w:rsidRDefault="00905255" w:rsidP="00805496">
      <w:pPr>
        <w:spacing w:line="278" w:lineRule="auto"/>
        <w:rPr>
          <w:b/>
          <w:bCs/>
        </w:rPr>
      </w:pPr>
      <w:r>
        <w:rPr>
          <w:b/>
          <w:bCs/>
        </w:rPr>
        <w:t>NAME:</w:t>
      </w:r>
      <w:r w:rsidR="005A3B7E">
        <w:rPr>
          <w:b/>
          <w:bCs/>
        </w:rPr>
        <w:t xml:space="preserve">                                        MADALITSO MAJAWA</w:t>
      </w:r>
    </w:p>
    <w:p w14:paraId="4EB211FB" w14:textId="3A965DBA" w:rsidR="00905255" w:rsidRDefault="00905255" w:rsidP="00805496">
      <w:pPr>
        <w:spacing w:line="278" w:lineRule="auto"/>
        <w:rPr>
          <w:b/>
          <w:bCs/>
        </w:rPr>
      </w:pPr>
      <w:r>
        <w:rPr>
          <w:b/>
          <w:bCs/>
        </w:rPr>
        <w:t>STUDENT NUMBER:</w:t>
      </w:r>
      <w:r w:rsidR="005A3B7E">
        <w:rPr>
          <w:b/>
          <w:bCs/>
        </w:rPr>
        <w:t xml:space="preserve">           2432520</w:t>
      </w:r>
    </w:p>
    <w:p w14:paraId="1D88D0AA" w14:textId="668FF32A" w:rsidR="00905255" w:rsidRDefault="00905255" w:rsidP="00805496">
      <w:pPr>
        <w:spacing w:line="278" w:lineRule="auto"/>
        <w:rPr>
          <w:b/>
          <w:bCs/>
        </w:rPr>
      </w:pPr>
      <w:r>
        <w:rPr>
          <w:b/>
          <w:bCs/>
        </w:rPr>
        <w:t>LECTURER NAME:</w:t>
      </w:r>
      <w:r w:rsidR="005A3B7E">
        <w:rPr>
          <w:b/>
          <w:bCs/>
        </w:rPr>
        <w:t xml:space="preserve">               ROBERT NARTOWSKI</w:t>
      </w:r>
    </w:p>
    <w:p w14:paraId="1BC44F91" w14:textId="3E5F0CB1" w:rsidR="00905255" w:rsidRDefault="00905255" w:rsidP="00805496">
      <w:pPr>
        <w:spacing w:line="278" w:lineRule="auto"/>
        <w:rPr>
          <w:b/>
          <w:bCs/>
        </w:rPr>
      </w:pPr>
      <w:r>
        <w:rPr>
          <w:b/>
          <w:bCs/>
        </w:rPr>
        <w:t>SUBJECT CODE</w:t>
      </w:r>
      <w:r w:rsidR="005A3B7E">
        <w:rPr>
          <w:b/>
          <w:bCs/>
        </w:rPr>
        <w:t xml:space="preserve">                     BMHP5023</w:t>
      </w:r>
    </w:p>
    <w:p w14:paraId="0ED8DBD7" w14:textId="77777777" w:rsidR="00905255" w:rsidRPr="00805496" w:rsidRDefault="00905255" w:rsidP="00805496">
      <w:pPr>
        <w:spacing w:line="278" w:lineRule="auto"/>
        <w:rPr>
          <w:b/>
          <w:bCs/>
        </w:rPr>
      </w:pPr>
    </w:p>
    <w:p w14:paraId="5DCAB189" w14:textId="59AE2FAA" w:rsidR="00805496" w:rsidRPr="00007AF4" w:rsidRDefault="00805496" w:rsidP="00905255">
      <w:pPr>
        <w:rPr>
          <w:rFonts w:ascii="Arial" w:hAnsi="Arial" w:cs="Arial"/>
          <w:b/>
          <w:bCs/>
          <w:sz w:val="22"/>
          <w:szCs w:val="22"/>
        </w:rPr>
      </w:pPr>
      <w:r w:rsidRPr="00007AF4">
        <w:rPr>
          <w:rFonts w:ascii="Arial" w:hAnsi="Arial" w:cs="Arial"/>
          <w:b/>
          <w:bCs/>
          <w:sz w:val="22"/>
          <w:szCs w:val="22"/>
        </w:rPr>
        <w:t>D</w:t>
      </w:r>
      <w:r w:rsidR="00905255">
        <w:rPr>
          <w:rFonts w:ascii="Arial" w:hAnsi="Arial" w:cs="Arial"/>
          <w:b/>
          <w:bCs/>
          <w:sz w:val="22"/>
          <w:szCs w:val="22"/>
        </w:rPr>
        <w:t>IABETES</w:t>
      </w:r>
    </w:p>
    <w:p w14:paraId="4409C53D" w14:textId="77777777" w:rsidR="00805496" w:rsidRPr="00007AF4" w:rsidRDefault="00805496" w:rsidP="00905255">
      <w:pPr>
        <w:rPr>
          <w:rFonts w:ascii="Arial" w:hAnsi="Arial" w:cs="Arial"/>
          <w:b/>
          <w:bCs/>
          <w:sz w:val="22"/>
          <w:szCs w:val="22"/>
        </w:rPr>
      </w:pPr>
      <w:r w:rsidRPr="00007AF4">
        <w:rPr>
          <w:rFonts w:ascii="Arial" w:hAnsi="Arial" w:cs="Arial"/>
          <w:b/>
          <w:bCs/>
          <w:sz w:val="22"/>
          <w:szCs w:val="22"/>
        </w:rPr>
        <w:t>Introduction</w:t>
      </w:r>
    </w:p>
    <w:p w14:paraId="5284888D" w14:textId="77F3404F" w:rsidR="00805496" w:rsidRPr="00007AF4" w:rsidRDefault="00B51EBF" w:rsidP="00905255">
      <w:pPr>
        <w:rPr>
          <w:rFonts w:ascii="Arial" w:hAnsi="Arial" w:cs="Arial"/>
          <w:sz w:val="22"/>
          <w:szCs w:val="22"/>
        </w:rPr>
      </w:pPr>
      <w:r w:rsidRPr="00B51EBF">
        <w:rPr>
          <w:rFonts w:ascii="Arial" w:hAnsi="Arial" w:cs="Arial"/>
          <w:sz w:val="22"/>
          <w:szCs w:val="22"/>
        </w:rPr>
        <w:t xml:space="preserve">Elevated blood glucose levels are a hallmark of diabetes mellitus, a chronic metabolic disease caused by deficiencies in insulin action, synthesis, or both. The hormone insulin, which is made by the pancreatic beta cells, controls blood glucose levels by making it easier for body cells to absorb glucose and use it as fuel. </w:t>
      </w:r>
      <w:r w:rsidRPr="00B51EBF">
        <w:rPr>
          <w:rFonts w:ascii="Arial" w:hAnsi="Arial" w:cs="Arial"/>
          <w:sz w:val="22"/>
          <w:szCs w:val="22"/>
        </w:rPr>
        <w:t>Hyperglycaemia</w:t>
      </w:r>
      <w:r w:rsidRPr="00B51EBF">
        <w:rPr>
          <w:rFonts w:ascii="Arial" w:hAnsi="Arial" w:cs="Arial"/>
          <w:sz w:val="22"/>
          <w:szCs w:val="22"/>
        </w:rPr>
        <w:t xml:space="preserve"> results from the buildup of glucose in the bloodstream caused by insufficient or missing insulin (American Diabetes Association, 2026).One of the most prevalent chronic illnesses in the world, diabetes poses a serious threat to public health. The World Health Organization (WHO, 2024) states that factors like population ageing, urbanisation, decreased physical activity, and rising obesity rates have contributed to a significant increase in the prevalence of diabetes in recent decades. If left untreated, the illness can result in major consequences such as lower limb amputations, nerve damage, kidney failure, cardiovascular disease, and eyesight impairment.</w:t>
      </w:r>
      <w:r w:rsidR="008E3619" w:rsidRPr="00007AF4">
        <w:rPr>
          <w:rFonts w:ascii="Arial" w:hAnsi="Arial" w:cs="Arial"/>
          <w:sz w:val="22"/>
          <w:szCs w:val="22"/>
        </w:rPr>
        <w:t xml:space="preserve"> </w:t>
      </w:r>
    </w:p>
    <w:p w14:paraId="1F58D0A1" w14:textId="570B0DC6" w:rsidR="001673D4" w:rsidRPr="00007AF4" w:rsidRDefault="00B51EBF" w:rsidP="001673D4">
      <w:pPr>
        <w:rPr>
          <w:rFonts w:ascii="Arial" w:hAnsi="Arial" w:cs="Arial"/>
          <w:sz w:val="22"/>
          <w:szCs w:val="22"/>
        </w:rPr>
      </w:pPr>
      <w:r w:rsidRPr="00B51EBF">
        <w:rPr>
          <w:rFonts w:ascii="Arial" w:hAnsi="Arial" w:cs="Arial"/>
          <w:sz w:val="22"/>
          <w:szCs w:val="22"/>
        </w:rPr>
        <w:t>Diabetes comes in two primary forms. The immune system of the body targets and kills the insulin-producing cells of the pancreas in type 1 diabetes, an autoimmune disease. Insulin therapy is necessary for people with Type 1 diabetes for the rest of their lives.</w:t>
      </w:r>
      <w:r>
        <w:rPr>
          <w:rFonts w:ascii="Arial" w:hAnsi="Arial" w:cs="Arial"/>
          <w:sz w:val="22"/>
          <w:szCs w:val="22"/>
        </w:rPr>
        <w:t xml:space="preserve"> </w:t>
      </w:r>
      <w:r w:rsidRPr="00B51EBF">
        <w:rPr>
          <w:rFonts w:ascii="Arial" w:hAnsi="Arial" w:cs="Arial"/>
          <w:sz w:val="22"/>
          <w:szCs w:val="22"/>
        </w:rPr>
        <w:t>About 90–95% of all occurrences of diabetes are type 2, which is caused by the body developing resistance to insulin or by the pancreas not producing enough insulin to fulfil the body's demands (NICE, 2026). An individual's risk of having Type 2 diabetes is increased by a number of risk factors. Because extra body fat leads to insulin resistance, obesity—especially central obesity—is one of the biggest risk factors. Since regular exercise promotes insulin sensitivity, being physically inactive also raises the risk. Age, ethnicity, high blood pressure, smoking, poor diet, a history of gestational diabetes during pregnancy, and a family history of diabetes are other risk factors (Diabetes UK, 2025).</w:t>
      </w:r>
      <w:r w:rsidR="00805496" w:rsidRPr="00007AF4">
        <w:rPr>
          <w:rFonts w:ascii="Arial" w:hAnsi="Arial" w:cs="Arial"/>
          <w:sz w:val="22"/>
          <w:szCs w:val="22"/>
        </w:rPr>
        <w:t xml:space="preserve"> </w:t>
      </w:r>
      <w:r w:rsidR="001673D4" w:rsidRPr="001673D4">
        <w:rPr>
          <w:rFonts w:ascii="Arial" w:hAnsi="Arial" w:cs="Arial"/>
          <w:sz w:val="22"/>
          <w:szCs w:val="22"/>
        </w:rPr>
        <w:t xml:space="preserve">Since many of these risk factors can be changed by altering one's lifestyle, it is crucial to understand </w:t>
      </w:r>
      <w:r w:rsidR="007858BD" w:rsidRPr="001673D4">
        <w:rPr>
          <w:rFonts w:ascii="Arial" w:hAnsi="Arial" w:cs="Arial"/>
          <w:sz w:val="22"/>
          <w:szCs w:val="22"/>
        </w:rPr>
        <w:t>them. This</w:t>
      </w:r>
      <w:r w:rsidR="001673D4" w:rsidRPr="001673D4">
        <w:rPr>
          <w:rFonts w:ascii="Arial" w:hAnsi="Arial" w:cs="Arial"/>
          <w:sz w:val="22"/>
          <w:szCs w:val="22"/>
        </w:rPr>
        <w:t xml:space="preserve"> report explores the significance of blood glucose monitoring in people with Type 2 diabetes, looks at how blood glucose levels are controlled, explains how glucose and oxygen are used to produce energy </w:t>
      </w:r>
      <w:r w:rsidR="001673D4" w:rsidRPr="001673D4">
        <w:rPr>
          <w:rFonts w:ascii="Arial" w:hAnsi="Arial" w:cs="Arial"/>
          <w:sz w:val="22"/>
          <w:szCs w:val="22"/>
        </w:rPr>
        <w:lastRenderedPageBreak/>
        <w:t>through cellular metabolism, and offers evidence-based suggestions for lifestyle changes that can enhance diabetes management.</w:t>
      </w:r>
    </w:p>
    <w:p w14:paraId="2D4880D0" w14:textId="06D5CA7B" w:rsidR="00805496" w:rsidRPr="00007AF4" w:rsidRDefault="00805496" w:rsidP="00905255">
      <w:pPr>
        <w:rPr>
          <w:rFonts w:ascii="Arial" w:hAnsi="Arial" w:cs="Arial"/>
          <w:sz w:val="22"/>
          <w:szCs w:val="22"/>
        </w:rPr>
      </w:pPr>
    </w:p>
    <w:p w14:paraId="51827A9C" w14:textId="77777777" w:rsidR="00805496" w:rsidRPr="00007AF4" w:rsidRDefault="00805496" w:rsidP="00905255">
      <w:pPr>
        <w:rPr>
          <w:rFonts w:ascii="Arial" w:hAnsi="Arial" w:cs="Arial"/>
          <w:b/>
          <w:bCs/>
          <w:sz w:val="22"/>
          <w:szCs w:val="22"/>
        </w:rPr>
      </w:pPr>
      <w:r w:rsidRPr="00007AF4">
        <w:rPr>
          <w:rFonts w:ascii="Arial" w:hAnsi="Arial" w:cs="Arial"/>
          <w:b/>
          <w:bCs/>
          <w:sz w:val="22"/>
          <w:szCs w:val="22"/>
        </w:rPr>
        <w:t>How Blood Sugar Levels Are Maintained at a Safe and Effective Level</w:t>
      </w:r>
    </w:p>
    <w:p w14:paraId="3509C57E" w14:textId="270807C8" w:rsidR="00805496" w:rsidRPr="00007AF4" w:rsidRDefault="001673D4" w:rsidP="00905255">
      <w:pPr>
        <w:rPr>
          <w:rFonts w:ascii="Arial" w:hAnsi="Arial" w:cs="Arial"/>
          <w:sz w:val="22"/>
          <w:szCs w:val="22"/>
        </w:rPr>
      </w:pPr>
      <w:r w:rsidRPr="001673D4">
        <w:rPr>
          <w:rFonts w:ascii="Arial" w:hAnsi="Arial" w:cs="Arial"/>
          <w:sz w:val="22"/>
          <w:szCs w:val="22"/>
        </w:rPr>
        <w:t>Since glucose is the main energy source for cells, the human body needs a steady supply of it. To maintain normal body function and avoid difficulties, blood glucose levels must, however, stay within a somewhat small range. Hormones, particularly insulin and glucagon, work intricately to accomplish this regulation</w:t>
      </w:r>
      <w:r w:rsidR="00805496" w:rsidRPr="00007AF4">
        <w:rPr>
          <w:rFonts w:ascii="Arial" w:hAnsi="Arial" w:cs="Arial"/>
          <w:sz w:val="22"/>
          <w:szCs w:val="22"/>
        </w:rPr>
        <w:t>.</w:t>
      </w:r>
      <w:r w:rsidR="00F33EB4">
        <w:rPr>
          <w:rFonts w:ascii="Arial" w:hAnsi="Arial" w:cs="Arial"/>
          <w:sz w:val="22"/>
          <w:szCs w:val="22"/>
        </w:rPr>
        <w:t xml:space="preserve"> </w:t>
      </w:r>
      <w:r w:rsidRPr="001673D4">
        <w:rPr>
          <w:rFonts w:ascii="Arial" w:hAnsi="Arial" w:cs="Arial"/>
          <w:sz w:val="22"/>
          <w:szCs w:val="22"/>
        </w:rPr>
        <w:t>Digestion converts complex carbs into glucose molecules once they are consumed. Blood glucose levels rise as a result of these glucose molecules being absorbed into the bloodstream. The pancreas responds by releasing insulin. Insulin functions as a key that opens bodily cells so that glucose can enter and be used to produce energy. Additionally, insulin encourages the muscles and liver to store extra glucose as glycogen, which lowers blood glucose levels (Hall and Hall, 2021).</w:t>
      </w:r>
    </w:p>
    <w:p w14:paraId="4A8462AB" w14:textId="5A7562BE" w:rsidR="00805496" w:rsidRPr="00007AF4" w:rsidRDefault="001673D4" w:rsidP="00905255">
      <w:pPr>
        <w:rPr>
          <w:rFonts w:ascii="Arial" w:hAnsi="Arial" w:cs="Arial"/>
          <w:sz w:val="22"/>
          <w:szCs w:val="22"/>
        </w:rPr>
      </w:pPr>
      <w:r w:rsidRPr="001673D4">
        <w:rPr>
          <w:rFonts w:ascii="Arial" w:hAnsi="Arial" w:cs="Arial"/>
          <w:sz w:val="22"/>
          <w:szCs w:val="22"/>
        </w:rPr>
        <w:t>The pancreas releases another hormone called glucagon when blood glucose levels drop, as happens during fasting, exercise, or in between meals. The liver is stimulated by glucagon to convert glycogen into glucose and release it into the bloodstream. This procedure keeps blood glucose levels from dropping too low and guarantees that cells will always have enough energy. When it comes to controlling blood sugar, the liver is especially crucial. Glycogen is stored there, and when needed, gluconeogenesis can be used to create glucose. Glucose homeostasis is maintained by insulin, glucagon, and liver function working together.</w:t>
      </w:r>
      <w:r>
        <w:rPr>
          <w:rFonts w:ascii="Arial" w:hAnsi="Arial" w:cs="Arial"/>
          <w:sz w:val="22"/>
          <w:szCs w:val="22"/>
        </w:rPr>
        <w:t xml:space="preserve"> </w:t>
      </w:r>
      <w:r w:rsidR="00F33EB4" w:rsidRPr="00F33EB4">
        <w:rPr>
          <w:rFonts w:ascii="Arial" w:hAnsi="Arial" w:cs="Arial"/>
          <w:sz w:val="22"/>
          <w:szCs w:val="22"/>
        </w:rPr>
        <w:t xml:space="preserve">This mechanism functions effectively and naturally in those without diabetes. However, insulin resistance—a condition in which cells do not react well to insulin—develops in individuals with Type 2 diabetes. The pancreas initially generates extra insulin in order to make up for this. Blood glucose levels may remain raised over time if the pancreas is unable to meet demand (NICE, 2026). Long-term </w:t>
      </w:r>
      <w:r w:rsidRPr="00F33EB4">
        <w:rPr>
          <w:rFonts w:ascii="Arial" w:hAnsi="Arial" w:cs="Arial"/>
          <w:sz w:val="22"/>
          <w:szCs w:val="22"/>
        </w:rPr>
        <w:t>hyperglycaemia</w:t>
      </w:r>
      <w:r w:rsidR="00F33EB4" w:rsidRPr="00F33EB4">
        <w:rPr>
          <w:rFonts w:ascii="Arial" w:hAnsi="Arial" w:cs="Arial"/>
          <w:sz w:val="22"/>
          <w:szCs w:val="22"/>
        </w:rPr>
        <w:t xml:space="preserve"> raises the risk of consequences such coronary heart disease, stroke, kidney disease, retinopathy, and neuropathy by damaging blood vessels and neurones. On the other hand, </w:t>
      </w:r>
      <w:r w:rsidRPr="00F33EB4">
        <w:rPr>
          <w:rFonts w:ascii="Arial" w:hAnsi="Arial" w:cs="Arial"/>
          <w:sz w:val="22"/>
          <w:szCs w:val="22"/>
        </w:rPr>
        <w:t>hypoglycaemia</w:t>
      </w:r>
      <w:r w:rsidR="00F33EB4" w:rsidRPr="00F33EB4">
        <w:rPr>
          <w:rFonts w:ascii="Arial" w:hAnsi="Arial" w:cs="Arial"/>
          <w:sz w:val="22"/>
          <w:szCs w:val="22"/>
        </w:rPr>
        <w:t xml:space="preserve">, or abnormally low blood glucose, can result in </w:t>
      </w:r>
      <w:r w:rsidRPr="00F33EB4">
        <w:rPr>
          <w:rFonts w:ascii="Arial" w:hAnsi="Arial" w:cs="Arial"/>
          <w:sz w:val="22"/>
          <w:szCs w:val="22"/>
        </w:rPr>
        <w:t>light-headedness</w:t>
      </w:r>
      <w:r w:rsidR="00F33EB4" w:rsidRPr="00F33EB4">
        <w:rPr>
          <w:rFonts w:ascii="Arial" w:hAnsi="Arial" w:cs="Arial"/>
          <w:sz w:val="22"/>
          <w:szCs w:val="22"/>
        </w:rPr>
        <w:t>, disorientation, convulsions, and unconsciousness. Therefore, it is crucial for health and well-being to keep blood glucose levels within goal ranges.</w:t>
      </w:r>
    </w:p>
    <w:p w14:paraId="53CA2318" w14:textId="77777777" w:rsidR="00805496" w:rsidRDefault="00805496" w:rsidP="00905255">
      <w:pPr>
        <w:rPr>
          <w:rFonts w:ascii="Arial" w:hAnsi="Arial" w:cs="Arial"/>
          <w:b/>
          <w:bCs/>
          <w:sz w:val="22"/>
          <w:szCs w:val="22"/>
        </w:rPr>
      </w:pPr>
      <w:r w:rsidRPr="00007AF4">
        <w:rPr>
          <w:rFonts w:ascii="Arial" w:hAnsi="Arial" w:cs="Arial"/>
          <w:b/>
          <w:bCs/>
          <w:sz w:val="22"/>
          <w:szCs w:val="22"/>
        </w:rPr>
        <w:t>How Oxygen and Glucose Are Used to Produce Energy Through Cell Metabolism</w:t>
      </w:r>
    </w:p>
    <w:p w14:paraId="02EDED0E" w14:textId="77777777" w:rsidR="00F33EB4" w:rsidRPr="00F33EB4" w:rsidRDefault="00F33EB4" w:rsidP="00F33EB4">
      <w:pPr>
        <w:rPr>
          <w:rFonts w:ascii="Arial" w:hAnsi="Arial" w:cs="Arial"/>
          <w:sz w:val="22"/>
          <w:szCs w:val="22"/>
        </w:rPr>
      </w:pPr>
      <w:r w:rsidRPr="00F33EB4">
        <w:rPr>
          <w:rFonts w:ascii="Arial" w:hAnsi="Arial" w:cs="Arial"/>
          <w:sz w:val="22"/>
          <w:szCs w:val="22"/>
        </w:rPr>
        <w:t xml:space="preserve">The chemical reactions that take place inside living cells to sustain life are referred to as cellular metabolism. Cellular respiration, which is how cells turn glucose into energy, is one of the most crucial metabolic processes. While oxygen is breathed through the respiratory </w:t>
      </w:r>
      <w:r w:rsidRPr="00F33EB4">
        <w:rPr>
          <w:rFonts w:ascii="Arial" w:hAnsi="Arial" w:cs="Arial"/>
          <w:sz w:val="22"/>
          <w:szCs w:val="22"/>
        </w:rPr>
        <w:lastRenderedPageBreak/>
        <w:t>system and delivered to cells via the bloodstream, the body acquires glucose from dietary carbohydrates. Adenosine triphosphate (ATP), the body's primary energy currency, is created via a sequence of chemical interactions between glucose and oxygen within cells.</w:t>
      </w:r>
    </w:p>
    <w:p w14:paraId="38E66B11" w14:textId="7CABDD17" w:rsidR="00F33EB4" w:rsidRPr="00F33EB4" w:rsidRDefault="00F33EB4" w:rsidP="00F33EB4">
      <w:pPr>
        <w:rPr>
          <w:rFonts w:ascii="Arial" w:hAnsi="Arial" w:cs="Arial"/>
          <w:sz w:val="22"/>
          <w:szCs w:val="22"/>
        </w:rPr>
      </w:pPr>
      <w:r w:rsidRPr="00F33EB4">
        <w:rPr>
          <w:rFonts w:ascii="Arial" w:hAnsi="Arial" w:cs="Arial"/>
          <w:sz w:val="22"/>
          <w:szCs w:val="22"/>
        </w:rPr>
        <w:t>The general aerobic respiration equation is:</w:t>
      </w:r>
    </w:p>
    <w:p w14:paraId="683A19CC" w14:textId="60E9275F" w:rsidR="00F33EB4" w:rsidRPr="00F33EB4" w:rsidRDefault="00805496" w:rsidP="00905255">
      <w:pPr>
        <w:rPr>
          <w:rFonts w:ascii="Arial" w:hAnsi="Arial" w:cs="Arial"/>
          <w:sz w:val="22"/>
          <w:szCs w:val="22"/>
        </w:rPr>
      </w:pPr>
      <w:r w:rsidRPr="00007AF4">
        <w:rPr>
          <w:rFonts w:ascii="Arial" w:hAnsi="Arial" w:cs="Arial"/>
          <w:b/>
          <w:bCs/>
          <w:sz w:val="22"/>
          <w:szCs w:val="22"/>
        </w:rPr>
        <w:t>Glucose + Oxygen → Carbon Dioxide + Water + Energy (ATP)</w:t>
      </w:r>
    </w:p>
    <w:p w14:paraId="7FC65331" w14:textId="5286DE58" w:rsidR="00805496" w:rsidRPr="00007AF4" w:rsidRDefault="00F33EB4" w:rsidP="00905255">
      <w:pPr>
        <w:rPr>
          <w:rFonts w:ascii="Arial" w:hAnsi="Arial" w:cs="Arial"/>
          <w:sz w:val="22"/>
          <w:szCs w:val="22"/>
        </w:rPr>
      </w:pPr>
      <w:r w:rsidRPr="00F33EB4">
        <w:rPr>
          <w:rFonts w:ascii="Arial" w:hAnsi="Arial" w:cs="Arial"/>
          <w:sz w:val="22"/>
          <w:szCs w:val="22"/>
        </w:rPr>
        <w:t>The mitochondria, which are specialised cell structures, are where this activity mostly takes place. Energy for muscle contraction, neurone transmission, protein synthesis, cell division, and several other physiological processes is provided by ATP generated during breathing. Aerobic respiration is a multi-stage process. In the cytoplasm of the cell, glucose is broken down into smaller molecules during glycolysis. After entering the mitochondria, these compounds produce a significant amount of ATP through the electron transport chain and Krebs cycle.</w:t>
      </w:r>
      <w:r>
        <w:rPr>
          <w:rFonts w:ascii="Arial" w:hAnsi="Arial" w:cs="Arial"/>
          <w:sz w:val="22"/>
          <w:szCs w:val="22"/>
        </w:rPr>
        <w:t xml:space="preserve"> </w:t>
      </w:r>
      <w:r w:rsidRPr="00F33EB4">
        <w:rPr>
          <w:rFonts w:ascii="Arial" w:hAnsi="Arial" w:cs="Arial"/>
          <w:sz w:val="22"/>
          <w:szCs w:val="22"/>
        </w:rPr>
        <w:t>Because it serves as the last electron acceptor during the generation of energy, oxygen is crucial. Due to insulin resistance, glucose may stay in the bloodstream rather than efficiently entering cells in persons with poorly managed diabetes. Because of this, even when blood glucose levels are high, cells may find it difficult to obtain the glucose needed for effective energy production. This may exacerbate symptoms including weakness, exhaustion, and diminished physical performance.</w:t>
      </w:r>
      <w:r>
        <w:rPr>
          <w:rFonts w:ascii="Arial" w:hAnsi="Arial" w:cs="Arial"/>
          <w:sz w:val="22"/>
          <w:szCs w:val="22"/>
        </w:rPr>
        <w:t xml:space="preserve"> </w:t>
      </w:r>
      <w:r w:rsidR="00805496" w:rsidRPr="00007AF4">
        <w:rPr>
          <w:rFonts w:ascii="Arial" w:hAnsi="Arial" w:cs="Arial"/>
          <w:sz w:val="22"/>
          <w:szCs w:val="22"/>
        </w:rPr>
        <w:t xml:space="preserve"> </w:t>
      </w:r>
    </w:p>
    <w:p w14:paraId="20E10226" w14:textId="37E32C45" w:rsidR="00805496" w:rsidRPr="00007AF4" w:rsidRDefault="002C0A12" w:rsidP="00905255">
      <w:pPr>
        <w:rPr>
          <w:rFonts w:ascii="Arial" w:hAnsi="Arial" w:cs="Arial"/>
          <w:sz w:val="22"/>
          <w:szCs w:val="22"/>
        </w:rPr>
      </w:pPr>
      <w:r w:rsidRPr="002C0A12">
        <w:rPr>
          <w:rFonts w:ascii="Arial" w:hAnsi="Arial" w:cs="Arial"/>
          <w:sz w:val="22"/>
          <w:szCs w:val="22"/>
        </w:rPr>
        <w:t>Additionally, the body may start using fat reserves as fuel when cells are unable to access glucose. Ketones may be produced as a result of this process. Diabetic ketoacidosis, a potentially fatal illness most frequently linked to Type 1 diabetes, can be brought on by excessive ketone synthesis. Patients can better understand why maintaining optimal blood glucose levels is essential for normal physiological function by understanding the link between glucose, oxygen, and cellular energy generation.</w:t>
      </w:r>
    </w:p>
    <w:p w14:paraId="731C41BF" w14:textId="77777777" w:rsidR="00805496" w:rsidRPr="00007AF4" w:rsidRDefault="00000000" w:rsidP="00905255">
      <w:pPr>
        <w:rPr>
          <w:rFonts w:ascii="Arial" w:hAnsi="Arial" w:cs="Arial"/>
          <w:sz w:val="22"/>
          <w:szCs w:val="22"/>
        </w:rPr>
      </w:pPr>
      <w:r>
        <w:rPr>
          <w:rFonts w:ascii="Arial" w:hAnsi="Arial" w:cs="Arial"/>
          <w:sz w:val="22"/>
          <w:szCs w:val="22"/>
        </w:rPr>
        <w:pict w14:anchorId="06DC5DBC">
          <v:rect id="_x0000_i1027" style="width:0;height:1.5pt" o:hralign="center" o:hrstd="t" o:hr="t" fillcolor="#a0a0a0" stroked="f"/>
        </w:pict>
      </w:r>
    </w:p>
    <w:p w14:paraId="1E132357" w14:textId="77777777" w:rsidR="00805496" w:rsidRPr="00007AF4" w:rsidRDefault="00805496" w:rsidP="00905255">
      <w:pPr>
        <w:rPr>
          <w:rFonts w:ascii="Arial" w:hAnsi="Arial" w:cs="Arial"/>
          <w:b/>
          <w:bCs/>
          <w:sz w:val="22"/>
          <w:szCs w:val="22"/>
        </w:rPr>
      </w:pPr>
      <w:r w:rsidRPr="00007AF4">
        <w:rPr>
          <w:rFonts w:ascii="Arial" w:hAnsi="Arial" w:cs="Arial"/>
          <w:b/>
          <w:bCs/>
          <w:sz w:val="22"/>
          <w:szCs w:val="22"/>
        </w:rPr>
        <w:t>How Recording and Tracking Blood Sugar Levels Helps Individuals with Type 2 Diabetes</w:t>
      </w:r>
    </w:p>
    <w:p w14:paraId="15DD34C1" w14:textId="49754DE2" w:rsidR="00805496" w:rsidRPr="00007AF4" w:rsidRDefault="002C0A12" w:rsidP="00905255">
      <w:pPr>
        <w:rPr>
          <w:rFonts w:ascii="Arial" w:hAnsi="Arial" w:cs="Arial"/>
          <w:sz w:val="22"/>
          <w:szCs w:val="22"/>
        </w:rPr>
      </w:pPr>
      <w:r w:rsidRPr="002C0A12">
        <w:rPr>
          <w:rFonts w:ascii="Arial" w:hAnsi="Arial" w:cs="Arial"/>
          <w:sz w:val="22"/>
          <w:szCs w:val="22"/>
        </w:rPr>
        <w:t xml:space="preserve">Keeping an eye on blood glucose levels is crucial to managing diabetes. Individuals and medical professionals can evaluate how well diabetes is being treated and see trends that might need attention by recording and monitoring blood glucose readings. Both continuous glucose monitoring systems and finger-prick blood tests can be used to monitor blood glucose levels. These techniques offer useful information about variations in blood sugar levels during the day. Monitoring blood glucose levels has several advantages, one of which is that it enables people to comprehend how lifestyle choices affect blood sugar management. For instance, patients can see how their glucose readings are affected by </w:t>
      </w:r>
      <w:r w:rsidRPr="002C0A12">
        <w:rPr>
          <w:rFonts w:ascii="Arial" w:hAnsi="Arial" w:cs="Arial"/>
          <w:sz w:val="22"/>
          <w:szCs w:val="22"/>
        </w:rPr>
        <w:lastRenderedPageBreak/>
        <w:t>various diets, meal times, levels of physical activity, stress, or illness. With this information, they can make well-informed choices about their nutrition, exercise, and medication compliance.</w:t>
      </w:r>
      <w:r>
        <w:rPr>
          <w:rFonts w:ascii="Arial" w:hAnsi="Arial" w:cs="Arial"/>
          <w:sz w:val="22"/>
          <w:szCs w:val="22"/>
        </w:rPr>
        <w:t xml:space="preserve"> </w:t>
      </w:r>
      <w:r w:rsidR="006546B5" w:rsidRPr="006546B5">
        <w:rPr>
          <w:rFonts w:ascii="Arial" w:hAnsi="Arial" w:cs="Arial"/>
          <w:sz w:val="22"/>
          <w:szCs w:val="22"/>
        </w:rPr>
        <w:t xml:space="preserve">Additionally, monitoring makes it easier to detect </w:t>
      </w:r>
      <w:r w:rsidRPr="006546B5">
        <w:rPr>
          <w:rFonts w:ascii="Arial" w:hAnsi="Arial" w:cs="Arial"/>
          <w:sz w:val="22"/>
          <w:szCs w:val="22"/>
        </w:rPr>
        <w:t>hyperglycaemia</w:t>
      </w:r>
      <w:r w:rsidR="006546B5" w:rsidRPr="006546B5">
        <w:rPr>
          <w:rFonts w:ascii="Arial" w:hAnsi="Arial" w:cs="Arial"/>
          <w:sz w:val="22"/>
          <w:szCs w:val="22"/>
        </w:rPr>
        <w:t xml:space="preserve"> and </w:t>
      </w:r>
      <w:r w:rsidRPr="006546B5">
        <w:rPr>
          <w:rFonts w:ascii="Arial" w:hAnsi="Arial" w:cs="Arial"/>
          <w:sz w:val="22"/>
          <w:szCs w:val="22"/>
        </w:rPr>
        <w:t>hypoglycaemia</w:t>
      </w:r>
      <w:r w:rsidR="006546B5" w:rsidRPr="006546B5">
        <w:rPr>
          <w:rFonts w:ascii="Arial" w:hAnsi="Arial" w:cs="Arial"/>
          <w:sz w:val="22"/>
          <w:szCs w:val="22"/>
        </w:rPr>
        <w:t xml:space="preserve"> early on. While </w:t>
      </w:r>
      <w:r w:rsidRPr="006546B5">
        <w:rPr>
          <w:rFonts w:ascii="Arial" w:hAnsi="Arial" w:cs="Arial"/>
          <w:sz w:val="22"/>
          <w:szCs w:val="22"/>
        </w:rPr>
        <w:t>hypoglycaemia</w:t>
      </w:r>
      <w:r w:rsidR="006546B5" w:rsidRPr="006546B5">
        <w:rPr>
          <w:rFonts w:ascii="Arial" w:hAnsi="Arial" w:cs="Arial"/>
          <w:sz w:val="22"/>
          <w:szCs w:val="22"/>
        </w:rPr>
        <w:t xml:space="preserve"> may need to be treated right away to avoid major negative consequences, persistent </w:t>
      </w:r>
      <w:r w:rsidRPr="006546B5">
        <w:rPr>
          <w:rFonts w:ascii="Arial" w:hAnsi="Arial" w:cs="Arial"/>
          <w:sz w:val="22"/>
          <w:szCs w:val="22"/>
        </w:rPr>
        <w:t>hyperglycaemia</w:t>
      </w:r>
      <w:r w:rsidR="006546B5" w:rsidRPr="006546B5">
        <w:rPr>
          <w:rFonts w:ascii="Arial" w:hAnsi="Arial" w:cs="Arial"/>
          <w:sz w:val="22"/>
          <w:szCs w:val="22"/>
        </w:rPr>
        <w:t xml:space="preserve"> can raise the risk of long-term problems. Patients can take corrective action before issues emerge by quickly spotting aberrant readings. The HbA1c test is another crucial component of diabetes monitoring. HbA1c represents the average blood glucose levels during the preceding two to three months and calculates the percentage of haemoglobin molecules that have glucose linked to </w:t>
      </w:r>
      <w:r w:rsidRPr="006546B5">
        <w:rPr>
          <w:rFonts w:ascii="Arial" w:hAnsi="Arial" w:cs="Arial"/>
          <w:sz w:val="22"/>
          <w:szCs w:val="22"/>
        </w:rPr>
        <w:t>them. In</w:t>
      </w:r>
      <w:r w:rsidR="006546B5" w:rsidRPr="006546B5">
        <w:rPr>
          <w:rFonts w:ascii="Arial" w:hAnsi="Arial" w:cs="Arial"/>
          <w:sz w:val="22"/>
          <w:szCs w:val="22"/>
        </w:rPr>
        <w:t xml:space="preserve"> order to evaluate long-term glucose control and inform treatment choices, NICE (2026) advises routine HbA1c testing. Monitoring blood glucose levels facilitates patient-provider collaboration. Nurses, physicians, and diabetes specialists can assess treatment efficacy and make necessary modifications with the help of accurate records. This could involve nutritional advice, medication adjustments, or recommendations for specialised services.</w:t>
      </w:r>
    </w:p>
    <w:p w14:paraId="7449DB8C" w14:textId="77777777" w:rsidR="006546B5" w:rsidRPr="006546B5" w:rsidRDefault="006546B5" w:rsidP="006546B5">
      <w:pPr>
        <w:rPr>
          <w:rFonts w:ascii="Arial" w:hAnsi="Arial" w:cs="Arial"/>
          <w:sz w:val="22"/>
          <w:szCs w:val="22"/>
        </w:rPr>
      </w:pPr>
      <w:r w:rsidRPr="006546B5">
        <w:rPr>
          <w:rFonts w:ascii="Arial" w:hAnsi="Arial" w:cs="Arial"/>
          <w:sz w:val="22"/>
          <w:szCs w:val="22"/>
        </w:rPr>
        <w:t>Additionally, consistent observation might enhance patients' self-management abilities and drive. Patients may be motivated to maintain healthy behaviours if they see improvements in glucose readings after making beneficial lifestyle adjustments. Higher treatment adherence and better diabetes outcomes have been linked to increased self-efficacy. Healthcare providers should, however, make sure that monitoring is personalised and useful. Unnecessary burden or increased worry might result from excessive monitoring without proper instruction. As a result, patients should be given precise instructions on goal ranges, how to evaluate results, and how to react to anomalous readings.</w:t>
      </w:r>
    </w:p>
    <w:p w14:paraId="0CD1E7BB" w14:textId="507886D7" w:rsidR="00805496" w:rsidRPr="00007AF4" w:rsidRDefault="006546B5" w:rsidP="006546B5">
      <w:pPr>
        <w:rPr>
          <w:rFonts w:ascii="Arial" w:hAnsi="Arial" w:cs="Arial"/>
          <w:sz w:val="22"/>
          <w:szCs w:val="22"/>
        </w:rPr>
      </w:pPr>
      <w:r w:rsidRPr="006546B5">
        <w:rPr>
          <w:rFonts w:ascii="Arial" w:hAnsi="Arial" w:cs="Arial"/>
          <w:sz w:val="22"/>
          <w:szCs w:val="22"/>
        </w:rPr>
        <w:t>All things considered, blood glucose monitoring is a useful tool that supports efficient diabetes treatment, encourages informed decision-making, and improves patient participation.</w:t>
      </w:r>
    </w:p>
    <w:p w14:paraId="6BB3A036" w14:textId="77777777" w:rsidR="00805496" w:rsidRDefault="00805496" w:rsidP="00905255">
      <w:pPr>
        <w:rPr>
          <w:rFonts w:ascii="Arial" w:hAnsi="Arial" w:cs="Arial"/>
          <w:b/>
          <w:bCs/>
          <w:sz w:val="22"/>
          <w:szCs w:val="22"/>
        </w:rPr>
      </w:pPr>
      <w:r w:rsidRPr="00007AF4">
        <w:rPr>
          <w:rFonts w:ascii="Arial" w:hAnsi="Arial" w:cs="Arial"/>
          <w:b/>
          <w:bCs/>
          <w:sz w:val="22"/>
          <w:szCs w:val="22"/>
        </w:rPr>
        <w:t>Evidence-Based Recommendations on Lifestyle Changes</w:t>
      </w:r>
    </w:p>
    <w:p w14:paraId="6FD4137C" w14:textId="130EEBCC" w:rsidR="0031165D" w:rsidRPr="006546B5" w:rsidRDefault="006546B5" w:rsidP="00905255">
      <w:pPr>
        <w:rPr>
          <w:rFonts w:ascii="Arial" w:hAnsi="Arial" w:cs="Arial"/>
          <w:sz w:val="22"/>
          <w:szCs w:val="22"/>
        </w:rPr>
      </w:pPr>
      <w:r w:rsidRPr="006546B5">
        <w:rPr>
          <w:rFonts w:ascii="Arial" w:hAnsi="Arial" w:cs="Arial"/>
          <w:sz w:val="22"/>
          <w:szCs w:val="22"/>
        </w:rPr>
        <w:t>One of the most important aspects of managing Type 2 diabetes is changing one's lifestyle. Research shows that leading a healthy lifestyle can lower cardiovascular risk, improve blood glucose control, and improve general quality of life.</w:t>
      </w:r>
    </w:p>
    <w:p w14:paraId="1E31FE97" w14:textId="77777777" w:rsidR="00805496" w:rsidRDefault="00805496" w:rsidP="00905255">
      <w:pPr>
        <w:rPr>
          <w:rFonts w:ascii="Arial" w:hAnsi="Arial" w:cs="Arial"/>
          <w:b/>
          <w:bCs/>
          <w:sz w:val="22"/>
          <w:szCs w:val="22"/>
        </w:rPr>
      </w:pPr>
      <w:r w:rsidRPr="00007AF4">
        <w:rPr>
          <w:rFonts w:ascii="Arial" w:hAnsi="Arial" w:cs="Arial"/>
          <w:b/>
          <w:bCs/>
          <w:sz w:val="22"/>
          <w:szCs w:val="22"/>
        </w:rPr>
        <w:t>Healthy Diet</w:t>
      </w:r>
    </w:p>
    <w:p w14:paraId="79D2FBBA" w14:textId="48E9C09D" w:rsidR="0031165D" w:rsidRPr="00007AF4" w:rsidRDefault="0031165D" w:rsidP="00905255">
      <w:pPr>
        <w:rPr>
          <w:rFonts w:ascii="Arial" w:hAnsi="Arial" w:cs="Arial"/>
          <w:b/>
          <w:bCs/>
          <w:sz w:val="22"/>
          <w:szCs w:val="22"/>
        </w:rPr>
      </w:pPr>
      <w:r w:rsidRPr="0031165D">
        <w:rPr>
          <w:rFonts w:ascii="Arial" w:hAnsi="Arial" w:cs="Arial"/>
          <w:sz w:val="22"/>
          <w:szCs w:val="22"/>
        </w:rPr>
        <w:t xml:space="preserve">An important part of managing diabetes is diet. A balanced diet full of fruits, vegetables, whole grains, legumes, lean meats, and healthy fats should be promoted. These foods support steady blood glucose levels while offering vital nutrients. Blood glucose levels can </w:t>
      </w:r>
      <w:r w:rsidRPr="0031165D">
        <w:rPr>
          <w:rFonts w:ascii="Arial" w:hAnsi="Arial" w:cs="Arial"/>
          <w:sz w:val="22"/>
          <w:szCs w:val="22"/>
        </w:rPr>
        <w:lastRenderedPageBreak/>
        <w:t>rise more slowly if sugar-filled beverages, candies, processed foods, and refined carbs are consumed less frequently. Because consuming too many calories leads to weight gain and insulin resistance, portion control is equally crucial. Modest weight loss can greatly improve glycaemic management in people with Type 2 diabetes, according to research. According to the direct study, some patients may experience diabetic remission as a result of significant weight loss (Lean et al., 2018</w:t>
      </w:r>
      <w:r w:rsidRPr="0031165D">
        <w:rPr>
          <w:rFonts w:ascii="Arial" w:hAnsi="Arial" w:cs="Arial"/>
          <w:b/>
          <w:bCs/>
          <w:sz w:val="22"/>
          <w:szCs w:val="22"/>
        </w:rPr>
        <w:t>).</w:t>
      </w:r>
    </w:p>
    <w:p w14:paraId="5D3AEC75" w14:textId="77777777" w:rsidR="00805496" w:rsidRDefault="00805496" w:rsidP="00905255">
      <w:pPr>
        <w:rPr>
          <w:rFonts w:ascii="Arial" w:hAnsi="Arial" w:cs="Arial"/>
          <w:b/>
          <w:bCs/>
          <w:sz w:val="22"/>
          <w:szCs w:val="22"/>
        </w:rPr>
      </w:pPr>
      <w:r w:rsidRPr="00007AF4">
        <w:rPr>
          <w:rFonts w:ascii="Arial" w:hAnsi="Arial" w:cs="Arial"/>
          <w:b/>
          <w:bCs/>
          <w:sz w:val="22"/>
          <w:szCs w:val="22"/>
        </w:rPr>
        <w:t>Physical Activity</w:t>
      </w:r>
    </w:p>
    <w:p w14:paraId="56B01C93" w14:textId="77777777" w:rsidR="0031165D" w:rsidRPr="0031165D" w:rsidRDefault="0031165D" w:rsidP="0031165D">
      <w:pPr>
        <w:rPr>
          <w:rFonts w:ascii="Arial" w:hAnsi="Arial" w:cs="Arial"/>
          <w:sz w:val="22"/>
          <w:szCs w:val="22"/>
        </w:rPr>
      </w:pPr>
      <w:r w:rsidRPr="0031165D">
        <w:rPr>
          <w:rFonts w:ascii="Arial" w:hAnsi="Arial" w:cs="Arial"/>
          <w:sz w:val="22"/>
          <w:szCs w:val="22"/>
        </w:rPr>
        <w:t>One of the best non-pharmacological strategies for managing diabetes is regular exercise. Exercise raises insulin sensitivity and boosts muscle cells' absorption of glucose. Adults should participate in at least 150 minutes of moderate-intensity physical exercise per week, along with two or more days of muscle-strengthening activities, according to the UK Chief Medical Officers (Department of Health and Social Care, 2019).</w:t>
      </w:r>
    </w:p>
    <w:p w14:paraId="658AB810" w14:textId="3D450779" w:rsidR="0031165D" w:rsidRPr="0031165D" w:rsidRDefault="0031165D" w:rsidP="0031165D">
      <w:pPr>
        <w:rPr>
          <w:rFonts w:ascii="Arial" w:hAnsi="Arial" w:cs="Arial"/>
          <w:sz w:val="22"/>
          <w:szCs w:val="22"/>
        </w:rPr>
      </w:pPr>
      <w:r w:rsidRPr="0031165D">
        <w:rPr>
          <w:rFonts w:ascii="Arial" w:hAnsi="Arial" w:cs="Arial"/>
          <w:sz w:val="22"/>
          <w:szCs w:val="22"/>
        </w:rPr>
        <w:t>Resistance training, cycling, swimming, and brisk walking are a few examples. Frequent exercise promotes weight management, cardiovascular health, and psychological well-being in addition to improving blood glucose control.</w:t>
      </w:r>
    </w:p>
    <w:p w14:paraId="219DFB10" w14:textId="77777777" w:rsidR="00805496" w:rsidRDefault="00805496" w:rsidP="00905255">
      <w:pPr>
        <w:rPr>
          <w:rFonts w:ascii="Arial" w:hAnsi="Arial" w:cs="Arial"/>
          <w:b/>
          <w:bCs/>
          <w:sz w:val="22"/>
          <w:szCs w:val="22"/>
        </w:rPr>
      </w:pPr>
      <w:r w:rsidRPr="00007AF4">
        <w:rPr>
          <w:rFonts w:ascii="Arial" w:hAnsi="Arial" w:cs="Arial"/>
          <w:b/>
          <w:bCs/>
          <w:sz w:val="22"/>
          <w:szCs w:val="22"/>
        </w:rPr>
        <w:t>Smoking Cessation</w:t>
      </w:r>
    </w:p>
    <w:p w14:paraId="7845F32E" w14:textId="552AEBF9" w:rsidR="0031165D" w:rsidRPr="0031165D" w:rsidRDefault="0031165D" w:rsidP="00905255">
      <w:pPr>
        <w:rPr>
          <w:rFonts w:ascii="Arial" w:hAnsi="Arial" w:cs="Arial"/>
          <w:sz w:val="22"/>
          <w:szCs w:val="22"/>
        </w:rPr>
      </w:pPr>
      <w:r w:rsidRPr="0031165D">
        <w:rPr>
          <w:rFonts w:ascii="Arial" w:hAnsi="Arial" w:cs="Arial"/>
          <w:sz w:val="22"/>
          <w:szCs w:val="22"/>
        </w:rPr>
        <w:t>The risk of complications from diabetes is greatly increased by smoking. Compared to non-smokers, smokers with diabetes have a higher risk of peripheral vascular disease, cardiovascular disease, stroke, and renal issues. Nicotine increases inflammation and insulin resistance, which makes controlling blood sugar more challenging. Health care providers should promote quitting smoking and make evidence-based support services, such as behavioural counselling and nicotine replacement treatment, accessible.</w:t>
      </w:r>
    </w:p>
    <w:p w14:paraId="49F69D1D" w14:textId="77777777" w:rsidR="00805496" w:rsidRDefault="00805496" w:rsidP="00905255">
      <w:pPr>
        <w:rPr>
          <w:rFonts w:ascii="Arial" w:hAnsi="Arial" w:cs="Arial"/>
          <w:b/>
          <w:bCs/>
          <w:sz w:val="22"/>
          <w:szCs w:val="22"/>
        </w:rPr>
      </w:pPr>
      <w:r w:rsidRPr="00007AF4">
        <w:rPr>
          <w:rFonts w:ascii="Arial" w:hAnsi="Arial" w:cs="Arial"/>
          <w:b/>
          <w:bCs/>
          <w:sz w:val="22"/>
          <w:szCs w:val="22"/>
        </w:rPr>
        <w:t>Weight Management</w:t>
      </w:r>
    </w:p>
    <w:p w14:paraId="06EBE78B" w14:textId="77777777" w:rsidR="005F78CC" w:rsidRPr="005F78CC" w:rsidRDefault="005F78CC" w:rsidP="005F78CC">
      <w:pPr>
        <w:rPr>
          <w:rFonts w:ascii="Arial" w:hAnsi="Arial" w:cs="Arial"/>
          <w:sz w:val="22"/>
          <w:szCs w:val="22"/>
        </w:rPr>
      </w:pPr>
      <w:r w:rsidRPr="005F78CC">
        <w:rPr>
          <w:rFonts w:ascii="Arial" w:hAnsi="Arial" w:cs="Arial"/>
          <w:sz w:val="22"/>
          <w:szCs w:val="22"/>
        </w:rPr>
        <w:t>Insulin resistance and excess body weight are tightly related. Even small weight losses of 5–10% of body weight can lower cardiovascular risk factors and enhance blood glucose control.</w:t>
      </w:r>
    </w:p>
    <w:p w14:paraId="3412515B" w14:textId="231E6B7B" w:rsidR="005F78CC" w:rsidRPr="005F78CC" w:rsidRDefault="005F78CC" w:rsidP="005F78CC">
      <w:pPr>
        <w:rPr>
          <w:rFonts w:ascii="Arial" w:hAnsi="Arial" w:cs="Arial"/>
          <w:sz w:val="22"/>
          <w:szCs w:val="22"/>
        </w:rPr>
      </w:pPr>
      <w:r w:rsidRPr="005F78CC">
        <w:rPr>
          <w:rFonts w:ascii="Arial" w:hAnsi="Arial" w:cs="Arial"/>
          <w:sz w:val="22"/>
          <w:szCs w:val="22"/>
        </w:rPr>
        <w:t>Particularly successful are structured weight-management programs that incorporate dietary changes, exercise, and behavioural support. Offering weight management assistance to people who are overweight or obese is advised by NICE (2026).</w:t>
      </w:r>
    </w:p>
    <w:p w14:paraId="37DE5CB7" w14:textId="77777777" w:rsidR="00805496" w:rsidRDefault="00805496" w:rsidP="00905255">
      <w:pPr>
        <w:rPr>
          <w:rFonts w:ascii="Arial" w:hAnsi="Arial" w:cs="Arial"/>
          <w:b/>
          <w:bCs/>
          <w:sz w:val="22"/>
          <w:szCs w:val="22"/>
        </w:rPr>
      </w:pPr>
      <w:r w:rsidRPr="00007AF4">
        <w:rPr>
          <w:rFonts w:ascii="Arial" w:hAnsi="Arial" w:cs="Arial"/>
          <w:b/>
          <w:bCs/>
          <w:sz w:val="22"/>
          <w:szCs w:val="22"/>
        </w:rPr>
        <w:t>Alcohol Consumption</w:t>
      </w:r>
    </w:p>
    <w:p w14:paraId="6196F4A4" w14:textId="4CF5F8CC" w:rsidR="005F78CC" w:rsidRPr="005F78CC" w:rsidRDefault="005F78CC" w:rsidP="00905255">
      <w:pPr>
        <w:rPr>
          <w:rFonts w:ascii="Arial" w:hAnsi="Arial" w:cs="Arial"/>
          <w:sz w:val="22"/>
          <w:szCs w:val="22"/>
        </w:rPr>
      </w:pPr>
      <w:r w:rsidRPr="005F78CC">
        <w:rPr>
          <w:rFonts w:ascii="Arial" w:hAnsi="Arial" w:cs="Arial"/>
          <w:sz w:val="22"/>
          <w:szCs w:val="22"/>
        </w:rPr>
        <w:t xml:space="preserve">Moderate alcohol consumption is advised. Overindulgence in alcohol can lead to weight gain, impair blood glucose balance, and raise the risk of liver disease. Patients should </w:t>
      </w:r>
      <w:r w:rsidRPr="005F78CC">
        <w:rPr>
          <w:rFonts w:ascii="Arial" w:hAnsi="Arial" w:cs="Arial"/>
          <w:sz w:val="22"/>
          <w:szCs w:val="22"/>
        </w:rPr>
        <w:lastRenderedPageBreak/>
        <w:t>adhere to UK recommendations and, as necessary, discuss alcohol use with medical specialists.</w:t>
      </w:r>
    </w:p>
    <w:p w14:paraId="1FD457A0" w14:textId="77777777" w:rsidR="00805496" w:rsidRDefault="00805496" w:rsidP="00905255">
      <w:pPr>
        <w:rPr>
          <w:rFonts w:ascii="Arial" w:hAnsi="Arial" w:cs="Arial"/>
          <w:b/>
          <w:bCs/>
          <w:sz w:val="22"/>
          <w:szCs w:val="22"/>
        </w:rPr>
      </w:pPr>
      <w:r w:rsidRPr="00007AF4">
        <w:rPr>
          <w:rFonts w:ascii="Arial" w:hAnsi="Arial" w:cs="Arial"/>
          <w:b/>
          <w:bCs/>
          <w:sz w:val="22"/>
          <w:szCs w:val="22"/>
        </w:rPr>
        <w:t>Stress Management and Sleep</w:t>
      </w:r>
    </w:p>
    <w:p w14:paraId="0EB8F5AF" w14:textId="77777777" w:rsidR="005F78CC" w:rsidRPr="005F78CC" w:rsidRDefault="005F78CC" w:rsidP="005F78CC">
      <w:pPr>
        <w:rPr>
          <w:rFonts w:ascii="Arial" w:hAnsi="Arial" w:cs="Arial"/>
          <w:sz w:val="22"/>
          <w:szCs w:val="22"/>
        </w:rPr>
      </w:pPr>
      <w:r w:rsidRPr="005F78CC">
        <w:rPr>
          <w:rFonts w:ascii="Arial" w:hAnsi="Arial" w:cs="Arial"/>
          <w:sz w:val="22"/>
          <w:szCs w:val="22"/>
        </w:rPr>
        <w:t>There is growing evidence that insulin sensitivity and glucose metabolism are adversely affected by long-term stress and inadequate sleep. Stress-reduction strategies including counselling, mindfulness, and relaxation exercises may enhance general wellness and aid in the management of diabetes.</w:t>
      </w:r>
    </w:p>
    <w:p w14:paraId="77A1F947" w14:textId="68B5E8BA" w:rsidR="005F78CC" w:rsidRPr="005F78CC" w:rsidRDefault="005F78CC" w:rsidP="005F78CC">
      <w:pPr>
        <w:rPr>
          <w:rFonts w:ascii="Arial" w:hAnsi="Arial" w:cs="Arial"/>
          <w:sz w:val="22"/>
          <w:szCs w:val="22"/>
        </w:rPr>
      </w:pPr>
      <w:r w:rsidRPr="005F78CC">
        <w:rPr>
          <w:rFonts w:ascii="Arial" w:hAnsi="Arial" w:cs="Arial"/>
          <w:sz w:val="22"/>
          <w:szCs w:val="22"/>
        </w:rPr>
        <w:t>Adults should try to get between seven and nine hours of good sleep per night. Maintaining proper sleep hygiene helps lessen fatigue and enhance glucose management.</w:t>
      </w:r>
    </w:p>
    <w:p w14:paraId="7565E61F" w14:textId="77777777" w:rsidR="00805496" w:rsidRPr="00007AF4" w:rsidRDefault="00805496" w:rsidP="00905255">
      <w:pPr>
        <w:rPr>
          <w:rFonts w:ascii="Arial" w:hAnsi="Arial" w:cs="Arial"/>
          <w:b/>
          <w:bCs/>
          <w:sz w:val="22"/>
          <w:szCs w:val="22"/>
        </w:rPr>
      </w:pPr>
      <w:r w:rsidRPr="00007AF4">
        <w:rPr>
          <w:rFonts w:ascii="Arial" w:hAnsi="Arial" w:cs="Arial"/>
          <w:b/>
          <w:bCs/>
          <w:sz w:val="22"/>
          <w:szCs w:val="22"/>
        </w:rPr>
        <w:t>Patient Education</w:t>
      </w:r>
    </w:p>
    <w:p w14:paraId="11CC62DC" w14:textId="345AAB72" w:rsidR="00805496" w:rsidRPr="00007AF4" w:rsidRDefault="005F78CC" w:rsidP="00905255">
      <w:pPr>
        <w:rPr>
          <w:rFonts w:ascii="Arial" w:hAnsi="Arial" w:cs="Arial"/>
          <w:sz w:val="22"/>
          <w:szCs w:val="22"/>
        </w:rPr>
      </w:pPr>
      <w:r w:rsidRPr="005F78CC">
        <w:rPr>
          <w:rFonts w:ascii="Arial" w:hAnsi="Arial" w:cs="Arial"/>
          <w:sz w:val="22"/>
          <w:szCs w:val="22"/>
        </w:rPr>
        <w:t>One of the most crucial interventions in the treatment of diabetes is still education. It has been demonstrated that structured education programs like DESMOND enhance knowledge, self-management abilities, and therapeutic outcomes. Patients who are well-informed are more likely to follow their treatment regimens and interact favourably with medical providers.</w:t>
      </w:r>
    </w:p>
    <w:p w14:paraId="68F942C6" w14:textId="77777777" w:rsidR="00805496" w:rsidRDefault="00805496" w:rsidP="00905255">
      <w:pPr>
        <w:rPr>
          <w:rFonts w:ascii="Arial" w:hAnsi="Arial" w:cs="Arial"/>
          <w:b/>
          <w:bCs/>
          <w:sz w:val="22"/>
          <w:szCs w:val="22"/>
        </w:rPr>
      </w:pPr>
      <w:r w:rsidRPr="00007AF4">
        <w:rPr>
          <w:rFonts w:ascii="Arial" w:hAnsi="Arial" w:cs="Arial"/>
          <w:b/>
          <w:bCs/>
          <w:sz w:val="22"/>
          <w:szCs w:val="22"/>
        </w:rPr>
        <w:t>Conclusion</w:t>
      </w:r>
    </w:p>
    <w:p w14:paraId="10471951" w14:textId="77777777" w:rsidR="008B1CBA" w:rsidRPr="008B1CBA" w:rsidRDefault="008B1CBA" w:rsidP="008B1CBA">
      <w:pPr>
        <w:rPr>
          <w:rFonts w:ascii="Arial" w:hAnsi="Arial" w:cs="Arial"/>
          <w:sz w:val="22"/>
          <w:szCs w:val="22"/>
        </w:rPr>
      </w:pPr>
      <w:r w:rsidRPr="008B1CBA">
        <w:rPr>
          <w:rFonts w:ascii="Arial" w:hAnsi="Arial" w:cs="Arial"/>
          <w:sz w:val="22"/>
          <w:szCs w:val="22"/>
        </w:rPr>
        <w:t>Diabetes is a complicated, long-term illness that needs constant care to avoid complications and preserve quality of life. Insulin and glucagon work together to control blood glucose levels, which guarantees that cells have a steady supply of energy. Cellular respiration, which generates ATP necessary for regular body function, depends on glucose and oxygen.</w:t>
      </w:r>
    </w:p>
    <w:p w14:paraId="598D32AA" w14:textId="12A2FD23" w:rsidR="008B1CBA" w:rsidRPr="008B1CBA" w:rsidRDefault="008B1CBA" w:rsidP="008B1CBA">
      <w:pPr>
        <w:rPr>
          <w:rFonts w:ascii="Arial" w:hAnsi="Arial" w:cs="Arial"/>
          <w:sz w:val="22"/>
          <w:szCs w:val="22"/>
        </w:rPr>
      </w:pPr>
      <w:r w:rsidRPr="008B1CBA">
        <w:rPr>
          <w:rFonts w:ascii="Arial" w:hAnsi="Arial" w:cs="Arial"/>
          <w:sz w:val="22"/>
          <w:szCs w:val="22"/>
        </w:rPr>
        <w:t>By spotting trends, directing treatment choices, and averting complications, monitoring and recording blood glucose levels is essential to self-management for people with Type 2 diabetes. Additionally, monitoring promotes increased engagement with care plans and fosters cooperation between patients and medical</w:t>
      </w:r>
      <w:r w:rsidRPr="008B1CBA">
        <w:rPr>
          <w:rFonts w:ascii="Arial" w:hAnsi="Arial" w:cs="Arial"/>
          <w:b/>
          <w:bCs/>
          <w:sz w:val="22"/>
          <w:szCs w:val="22"/>
        </w:rPr>
        <w:t xml:space="preserve"> </w:t>
      </w:r>
      <w:r w:rsidRPr="008B1CBA">
        <w:rPr>
          <w:rFonts w:ascii="Arial" w:hAnsi="Arial" w:cs="Arial"/>
          <w:sz w:val="22"/>
          <w:szCs w:val="22"/>
        </w:rPr>
        <w:t>staff.</w:t>
      </w:r>
    </w:p>
    <w:p w14:paraId="26848F22" w14:textId="77777777" w:rsidR="00805496" w:rsidRDefault="00805496" w:rsidP="00905255">
      <w:pPr>
        <w:rPr>
          <w:rFonts w:ascii="Arial" w:hAnsi="Arial" w:cs="Arial"/>
          <w:b/>
          <w:bCs/>
          <w:sz w:val="22"/>
          <w:szCs w:val="22"/>
        </w:rPr>
      </w:pPr>
      <w:r w:rsidRPr="00007AF4">
        <w:rPr>
          <w:rFonts w:ascii="Arial" w:hAnsi="Arial" w:cs="Arial"/>
          <w:b/>
          <w:bCs/>
          <w:sz w:val="22"/>
          <w:szCs w:val="22"/>
        </w:rPr>
        <w:t>References</w:t>
      </w:r>
    </w:p>
    <w:p w14:paraId="67BB8EA2" w14:textId="77777777" w:rsidR="008B1CBA" w:rsidRPr="00007AF4" w:rsidRDefault="008B1CBA" w:rsidP="00905255">
      <w:pPr>
        <w:rPr>
          <w:rFonts w:ascii="Arial" w:hAnsi="Arial" w:cs="Arial"/>
          <w:b/>
          <w:bCs/>
          <w:sz w:val="22"/>
          <w:szCs w:val="22"/>
        </w:rPr>
      </w:pPr>
    </w:p>
    <w:p w14:paraId="4673D694"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American Diabetes Association (2026) </w:t>
      </w:r>
      <w:r w:rsidRPr="00007AF4">
        <w:rPr>
          <w:rFonts w:ascii="Arial" w:hAnsi="Arial" w:cs="Arial"/>
          <w:i/>
          <w:iCs/>
          <w:sz w:val="22"/>
          <w:szCs w:val="22"/>
        </w:rPr>
        <w:t>Standards of Care in Diabetes—2026</w:t>
      </w:r>
      <w:r w:rsidRPr="00007AF4">
        <w:rPr>
          <w:rFonts w:ascii="Arial" w:hAnsi="Arial" w:cs="Arial"/>
          <w:sz w:val="22"/>
          <w:szCs w:val="22"/>
        </w:rPr>
        <w:t>. Diabetes Care, 49(Suppl. 1).</w:t>
      </w:r>
    </w:p>
    <w:p w14:paraId="64FBD3B0"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Department of Health and Social Care (2019) </w:t>
      </w:r>
      <w:r w:rsidRPr="00007AF4">
        <w:rPr>
          <w:rFonts w:ascii="Arial" w:hAnsi="Arial" w:cs="Arial"/>
          <w:i/>
          <w:iCs/>
          <w:sz w:val="22"/>
          <w:szCs w:val="22"/>
        </w:rPr>
        <w:t>UK Chief Medical Officers' Physical Activity Guidelines</w:t>
      </w:r>
      <w:r w:rsidRPr="00007AF4">
        <w:rPr>
          <w:rFonts w:ascii="Arial" w:hAnsi="Arial" w:cs="Arial"/>
          <w:sz w:val="22"/>
          <w:szCs w:val="22"/>
        </w:rPr>
        <w:t>. London: DHSC.</w:t>
      </w:r>
    </w:p>
    <w:p w14:paraId="2BF504AB"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Diabetes UK (2025) </w:t>
      </w:r>
      <w:r w:rsidRPr="00007AF4">
        <w:rPr>
          <w:rFonts w:ascii="Arial" w:hAnsi="Arial" w:cs="Arial"/>
          <w:i/>
          <w:iCs/>
          <w:sz w:val="22"/>
          <w:szCs w:val="22"/>
        </w:rPr>
        <w:t>Type 2 Diabetes Risk Factors</w:t>
      </w:r>
      <w:r w:rsidRPr="00007AF4">
        <w:rPr>
          <w:rFonts w:ascii="Arial" w:hAnsi="Arial" w:cs="Arial"/>
          <w:sz w:val="22"/>
          <w:szCs w:val="22"/>
        </w:rPr>
        <w:t>. London: Diabetes UK.</w:t>
      </w:r>
    </w:p>
    <w:p w14:paraId="71C0E604" w14:textId="77777777" w:rsidR="00805496" w:rsidRPr="00007AF4" w:rsidRDefault="00805496" w:rsidP="00905255">
      <w:pPr>
        <w:rPr>
          <w:rFonts w:ascii="Arial" w:hAnsi="Arial" w:cs="Arial"/>
          <w:sz w:val="22"/>
          <w:szCs w:val="22"/>
        </w:rPr>
      </w:pPr>
      <w:r w:rsidRPr="00007AF4">
        <w:rPr>
          <w:rFonts w:ascii="Arial" w:hAnsi="Arial" w:cs="Arial"/>
          <w:sz w:val="22"/>
          <w:szCs w:val="22"/>
        </w:rPr>
        <w:lastRenderedPageBreak/>
        <w:t xml:space="preserve">Hall, J.E. and Hall, M.E. (2021) </w:t>
      </w:r>
      <w:r w:rsidRPr="00007AF4">
        <w:rPr>
          <w:rFonts w:ascii="Arial" w:hAnsi="Arial" w:cs="Arial"/>
          <w:i/>
          <w:iCs/>
          <w:sz w:val="22"/>
          <w:szCs w:val="22"/>
        </w:rPr>
        <w:t>Guyton and Hall Textbook of Medical Physiology</w:t>
      </w:r>
      <w:r w:rsidRPr="00007AF4">
        <w:rPr>
          <w:rFonts w:ascii="Arial" w:hAnsi="Arial" w:cs="Arial"/>
          <w:sz w:val="22"/>
          <w:szCs w:val="22"/>
        </w:rPr>
        <w:t xml:space="preserve">. 14th </w:t>
      </w:r>
      <w:proofErr w:type="spellStart"/>
      <w:r w:rsidRPr="00007AF4">
        <w:rPr>
          <w:rFonts w:ascii="Arial" w:hAnsi="Arial" w:cs="Arial"/>
          <w:sz w:val="22"/>
          <w:szCs w:val="22"/>
        </w:rPr>
        <w:t>edn</w:t>
      </w:r>
      <w:proofErr w:type="spellEnd"/>
      <w:r w:rsidRPr="00007AF4">
        <w:rPr>
          <w:rFonts w:ascii="Arial" w:hAnsi="Arial" w:cs="Arial"/>
          <w:sz w:val="22"/>
          <w:szCs w:val="22"/>
        </w:rPr>
        <w:t>. Philadelphia: Elsevier.</w:t>
      </w:r>
    </w:p>
    <w:p w14:paraId="104515C0"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International Diabetes Federation (2025) </w:t>
      </w:r>
      <w:r w:rsidRPr="00007AF4">
        <w:rPr>
          <w:rFonts w:ascii="Arial" w:hAnsi="Arial" w:cs="Arial"/>
          <w:i/>
          <w:iCs/>
          <w:sz w:val="22"/>
          <w:szCs w:val="22"/>
        </w:rPr>
        <w:t>IDF Diabetes Atlas</w:t>
      </w:r>
      <w:r w:rsidRPr="00007AF4">
        <w:rPr>
          <w:rFonts w:ascii="Arial" w:hAnsi="Arial" w:cs="Arial"/>
          <w:sz w:val="22"/>
          <w:szCs w:val="22"/>
        </w:rPr>
        <w:t xml:space="preserve">. 11th </w:t>
      </w:r>
      <w:proofErr w:type="spellStart"/>
      <w:r w:rsidRPr="00007AF4">
        <w:rPr>
          <w:rFonts w:ascii="Arial" w:hAnsi="Arial" w:cs="Arial"/>
          <w:sz w:val="22"/>
          <w:szCs w:val="22"/>
        </w:rPr>
        <w:t>edn</w:t>
      </w:r>
      <w:proofErr w:type="spellEnd"/>
      <w:r w:rsidRPr="00007AF4">
        <w:rPr>
          <w:rFonts w:ascii="Arial" w:hAnsi="Arial" w:cs="Arial"/>
          <w:sz w:val="22"/>
          <w:szCs w:val="22"/>
        </w:rPr>
        <w:t>. Brussels: IDF.</w:t>
      </w:r>
    </w:p>
    <w:p w14:paraId="4560289D"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Lean, M.E.J., Leslie, W.S., Barnes, A.C., Brosnahan, N., Thom, G., McCombie, L., Peters, C., </w:t>
      </w:r>
      <w:proofErr w:type="spellStart"/>
      <w:r w:rsidRPr="00007AF4">
        <w:rPr>
          <w:rFonts w:ascii="Arial" w:hAnsi="Arial" w:cs="Arial"/>
          <w:sz w:val="22"/>
          <w:szCs w:val="22"/>
        </w:rPr>
        <w:t>Zhyzhneuskaya</w:t>
      </w:r>
      <w:proofErr w:type="spellEnd"/>
      <w:r w:rsidRPr="00007AF4">
        <w:rPr>
          <w:rFonts w:ascii="Arial" w:hAnsi="Arial" w:cs="Arial"/>
          <w:sz w:val="22"/>
          <w:szCs w:val="22"/>
        </w:rPr>
        <w:t>, S., Al-</w:t>
      </w:r>
      <w:proofErr w:type="spellStart"/>
      <w:r w:rsidRPr="00007AF4">
        <w:rPr>
          <w:rFonts w:ascii="Arial" w:hAnsi="Arial" w:cs="Arial"/>
          <w:sz w:val="22"/>
          <w:szCs w:val="22"/>
        </w:rPr>
        <w:t>Mrabeh</w:t>
      </w:r>
      <w:proofErr w:type="spellEnd"/>
      <w:r w:rsidRPr="00007AF4">
        <w:rPr>
          <w:rFonts w:ascii="Arial" w:hAnsi="Arial" w:cs="Arial"/>
          <w:sz w:val="22"/>
          <w:szCs w:val="22"/>
        </w:rPr>
        <w:t>, A., Hollingsworth, K.G. and Taylor, R. (2018) ‘Primary care-led weight management for remission of type 2 diabetes (</w:t>
      </w:r>
      <w:proofErr w:type="spellStart"/>
      <w:r w:rsidRPr="00007AF4">
        <w:rPr>
          <w:rFonts w:ascii="Arial" w:hAnsi="Arial" w:cs="Arial"/>
          <w:sz w:val="22"/>
          <w:szCs w:val="22"/>
        </w:rPr>
        <w:t>DiRECT</w:t>
      </w:r>
      <w:proofErr w:type="spellEnd"/>
      <w:r w:rsidRPr="00007AF4">
        <w:rPr>
          <w:rFonts w:ascii="Arial" w:hAnsi="Arial" w:cs="Arial"/>
          <w:sz w:val="22"/>
          <w:szCs w:val="22"/>
        </w:rPr>
        <w:t xml:space="preserve">)’, </w:t>
      </w:r>
      <w:r w:rsidRPr="00007AF4">
        <w:rPr>
          <w:rFonts w:ascii="Arial" w:hAnsi="Arial" w:cs="Arial"/>
          <w:i/>
          <w:iCs/>
          <w:sz w:val="22"/>
          <w:szCs w:val="22"/>
        </w:rPr>
        <w:t>The Lancet</w:t>
      </w:r>
      <w:r w:rsidRPr="00007AF4">
        <w:rPr>
          <w:rFonts w:ascii="Arial" w:hAnsi="Arial" w:cs="Arial"/>
          <w:sz w:val="22"/>
          <w:szCs w:val="22"/>
        </w:rPr>
        <w:t>, 391(10120), pp. 541–551.</w:t>
      </w:r>
    </w:p>
    <w:p w14:paraId="1502DBEA"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National Institute for Health and Care Excellence (NICE) (2026) </w:t>
      </w:r>
      <w:r w:rsidRPr="00007AF4">
        <w:rPr>
          <w:rFonts w:ascii="Arial" w:hAnsi="Arial" w:cs="Arial"/>
          <w:i/>
          <w:iCs/>
          <w:sz w:val="22"/>
          <w:szCs w:val="22"/>
        </w:rPr>
        <w:t>Type 2 Diabetes in Adults: Management (NG28)</w:t>
      </w:r>
      <w:r w:rsidRPr="00007AF4">
        <w:rPr>
          <w:rFonts w:ascii="Arial" w:hAnsi="Arial" w:cs="Arial"/>
          <w:sz w:val="22"/>
          <w:szCs w:val="22"/>
        </w:rPr>
        <w:t>. London: NICE.</w:t>
      </w:r>
    </w:p>
    <w:p w14:paraId="29BB616C"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NHS (2025) </w:t>
      </w:r>
      <w:r w:rsidRPr="00007AF4">
        <w:rPr>
          <w:rFonts w:ascii="Arial" w:hAnsi="Arial" w:cs="Arial"/>
          <w:i/>
          <w:iCs/>
          <w:sz w:val="22"/>
          <w:szCs w:val="22"/>
        </w:rPr>
        <w:t>Type 2 Diabetes – Treatment</w:t>
      </w:r>
      <w:r w:rsidRPr="00007AF4">
        <w:rPr>
          <w:rFonts w:ascii="Arial" w:hAnsi="Arial" w:cs="Arial"/>
          <w:sz w:val="22"/>
          <w:szCs w:val="22"/>
        </w:rPr>
        <w:t xml:space="preserve">. Available at: </w:t>
      </w:r>
      <w:hyperlink r:id="rId11" w:tgtFrame="_new" w:history="1">
        <w:r w:rsidRPr="00007AF4">
          <w:rPr>
            <w:rStyle w:val="Hyperlink"/>
            <w:rFonts w:ascii="Arial" w:hAnsi="Arial" w:cs="Arial"/>
            <w:sz w:val="22"/>
            <w:szCs w:val="22"/>
          </w:rPr>
          <w:t>https://www.nhs.uk</w:t>
        </w:r>
      </w:hyperlink>
    </w:p>
    <w:p w14:paraId="149535AB"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World Health Organization (2024) </w:t>
      </w:r>
      <w:r w:rsidRPr="00007AF4">
        <w:rPr>
          <w:rFonts w:ascii="Arial" w:hAnsi="Arial" w:cs="Arial"/>
          <w:i/>
          <w:iCs/>
          <w:sz w:val="22"/>
          <w:szCs w:val="22"/>
        </w:rPr>
        <w:t>Diabetes Fact Sheet</w:t>
      </w:r>
      <w:r w:rsidRPr="00007AF4">
        <w:rPr>
          <w:rFonts w:ascii="Arial" w:hAnsi="Arial" w:cs="Arial"/>
          <w:sz w:val="22"/>
          <w:szCs w:val="22"/>
        </w:rPr>
        <w:t>. Geneva: WHO.</w:t>
      </w:r>
    </w:p>
    <w:p w14:paraId="3B3894E6" w14:textId="77777777" w:rsidR="00805496" w:rsidRPr="00007AF4" w:rsidRDefault="00805496" w:rsidP="00905255">
      <w:pPr>
        <w:rPr>
          <w:rFonts w:ascii="Arial" w:hAnsi="Arial" w:cs="Arial"/>
          <w:sz w:val="22"/>
          <w:szCs w:val="22"/>
        </w:rPr>
      </w:pPr>
      <w:r w:rsidRPr="00007AF4">
        <w:rPr>
          <w:rFonts w:ascii="Arial" w:hAnsi="Arial" w:cs="Arial"/>
          <w:sz w:val="22"/>
          <w:szCs w:val="22"/>
        </w:rPr>
        <w:t xml:space="preserve">Young, V.R. and Gropper, S.S. (2023) </w:t>
      </w:r>
      <w:r w:rsidRPr="00007AF4">
        <w:rPr>
          <w:rFonts w:ascii="Arial" w:hAnsi="Arial" w:cs="Arial"/>
          <w:i/>
          <w:iCs/>
          <w:sz w:val="22"/>
          <w:szCs w:val="22"/>
        </w:rPr>
        <w:t>Advanced Nutrition and Human Metabolism</w:t>
      </w:r>
      <w:r w:rsidRPr="00007AF4">
        <w:rPr>
          <w:rFonts w:ascii="Arial" w:hAnsi="Arial" w:cs="Arial"/>
          <w:sz w:val="22"/>
          <w:szCs w:val="22"/>
        </w:rPr>
        <w:t xml:space="preserve">. 8th </w:t>
      </w:r>
      <w:proofErr w:type="spellStart"/>
      <w:r w:rsidRPr="00007AF4">
        <w:rPr>
          <w:rFonts w:ascii="Arial" w:hAnsi="Arial" w:cs="Arial"/>
          <w:sz w:val="22"/>
          <w:szCs w:val="22"/>
        </w:rPr>
        <w:t>edn</w:t>
      </w:r>
      <w:proofErr w:type="spellEnd"/>
      <w:r w:rsidRPr="00007AF4">
        <w:rPr>
          <w:rFonts w:ascii="Arial" w:hAnsi="Arial" w:cs="Arial"/>
          <w:sz w:val="22"/>
          <w:szCs w:val="22"/>
        </w:rPr>
        <w:t>. Boston: Cengage Learning.</w:t>
      </w:r>
    </w:p>
    <w:p w14:paraId="04B502BE" w14:textId="77777777" w:rsidR="00805496" w:rsidRPr="00007AF4" w:rsidRDefault="00805496" w:rsidP="00905255">
      <w:pPr>
        <w:rPr>
          <w:rFonts w:ascii="Arial" w:hAnsi="Arial" w:cs="Arial"/>
          <w:vanish/>
          <w:sz w:val="22"/>
          <w:szCs w:val="22"/>
        </w:rPr>
      </w:pPr>
      <w:r w:rsidRPr="00007AF4">
        <w:rPr>
          <w:rFonts w:ascii="Arial" w:hAnsi="Arial" w:cs="Arial"/>
          <w:vanish/>
          <w:sz w:val="22"/>
          <w:szCs w:val="22"/>
        </w:rPr>
        <w:t>Top of Form</w:t>
      </w:r>
    </w:p>
    <w:p w14:paraId="2F36D591" w14:textId="77777777" w:rsidR="00805496" w:rsidRPr="00007AF4" w:rsidRDefault="00805496" w:rsidP="00905255">
      <w:pPr>
        <w:rPr>
          <w:rFonts w:ascii="Arial" w:hAnsi="Arial" w:cs="Arial"/>
          <w:sz w:val="22"/>
          <w:szCs w:val="22"/>
        </w:rPr>
      </w:pPr>
    </w:p>
    <w:p w14:paraId="65ABEB66" w14:textId="4D112C41" w:rsidR="00805496" w:rsidRPr="00007AF4" w:rsidRDefault="00805496" w:rsidP="00905255">
      <w:pPr>
        <w:pStyle w:val="NoSpacing"/>
        <w:spacing w:line="360" w:lineRule="auto"/>
      </w:pPr>
    </w:p>
    <w:p w14:paraId="5C597333" w14:textId="77777777" w:rsidR="003723FF" w:rsidRPr="00007AF4" w:rsidRDefault="003723FF" w:rsidP="00905255">
      <w:pPr>
        <w:rPr>
          <w:rFonts w:ascii="Arial" w:hAnsi="Arial" w:cs="Arial"/>
          <w:sz w:val="22"/>
          <w:szCs w:val="22"/>
        </w:rPr>
      </w:pPr>
    </w:p>
    <w:sectPr w:rsidR="003723FF" w:rsidRPr="00007AF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684436" w14:textId="77777777" w:rsidR="004D69BD" w:rsidRDefault="004D69BD" w:rsidP="00007AF4">
      <w:pPr>
        <w:spacing w:after="0" w:line="240" w:lineRule="auto"/>
      </w:pPr>
      <w:r>
        <w:separator/>
      </w:r>
    </w:p>
  </w:endnote>
  <w:endnote w:type="continuationSeparator" w:id="0">
    <w:p w14:paraId="58FC28EB" w14:textId="77777777" w:rsidR="004D69BD" w:rsidRDefault="004D69BD" w:rsidP="00007A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7459133"/>
      <w:docPartObj>
        <w:docPartGallery w:val="Page Numbers (Bottom of Page)"/>
        <w:docPartUnique/>
      </w:docPartObj>
    </w:sdtPr>
    <w:sdtEndPr>
      <w:rPr>
        <w:noProof/>
      </w:rPr>
    </w:sdtEndPr>
    <w:sdtContent>
      <w:p w14:paraId="611B438C" w14:textId="4F6F3091" w:rsidR="00007AF4" w:rsidRDefault="00007AF4">
        <w:pPr>
          <w:pStyle w:val="Footer"/>
        </w:pPr>
        <w:r>
          <w:fldChar w:fldCharType="begin"/>
        </w:r>
        <w:r>
          <w:instrText xml:space="preserve"> PAGE   \* MERGEFORMAT </w:instrText>
        </w:r>
        <w:r>
          <w:fldChar w:fldCharType="separate"/>
        </w:r>
        <w:r>
          <w:rPr>
            <w:noProof/>
          </w:rPr>
          <w:t>2</w:t>
        </w:r>
        <w:r>
          <w:rPr>
            <w:noProof/>
          </w:rPr>
          <w:fldChar w:fldCharType="end"/>
        </w:r>
      </w:p>
    </w:sdtContent>
  </w:sdt>
  <w:p w14:paraId="7022EF89" w14:textId="77777777" w:rsidR="00007AF4" w:rsidRDefault="00007A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72A670" w14:textId="77777777" w:rsidR="004D69BD" w:rsidRDefault="004D69BD" w:rsidP="00007AF4">
      <w:pPr>
        <w:spacing w:after="0" w:line="240" w:lineRule="auto"/>
      </w:pPr>
      <w:r>
        <w:separator/>
      </w:r>
    </w:p>
  </w:footnote>
  <w:footnote w:type="continuationSeparator" w:id="0">
    <w:p w14:paraId="06667E03" w14:textId="77777777" w:rsidR="004D69BD" w:rsidRDefault="004D69BD" w:rsidP="00007A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9A2613"/>
    <w:multiLevelType w:val="multilevel"/>
    <w:tmpl w:val="C9D0C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6212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496"/>
    <w:rsid w:val="00007AF4"/>
    <w:rsid w:val="000759C0"/>
    <w:rsid w:val="001673D4"/>
    <w:rsid w:val="001F0326"/>
    <w:rsid w:val="002C0A12"/>
    <w:rsid w:val="002E502F"/>
    <w:rsid w:val="0031165D"/>
    <w:rsid w:val="003723FF"/>
    <w:rsid w:val="003D0685"/>
    <w:rsid w:val="004D69BD"/>
    <w:rsid w:val="005A3B7E"/>
    <w:rsid w:val="005F78CC"/>
    <w:rsid w:val="006546B5"/>
    <w:rsid w:val="007858BD"/>
    <w:rsid w:val="00805496"/>
    <w:rsid w:val="008B1CBA"/>
    <w:rsid w:val="008E3619"/>
    <w:rsid w:val="00905255"/>
    <w:rsid w:val="00B51EBF"/>
    <w:rsid w:val="00B8695F"/>
    <w:rsid w:val="00B9501B"/>
    <w:rsid w:val="00D553FF"/>
    <w:rsid w:val="00F33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23AC4D"/>
  <w15:chartTrackingRefBased/>
  <w15:docId w15:val="{FE34B39E-4712-4B1D-BD97-70C9DBD41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4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54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54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54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54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54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54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54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54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4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54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54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54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54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54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54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54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5496"/>
    <w:rPr>
      <w:rFonts w:eastAsiaTheme="majorEastAsia" w:cstheme="majorBidi"/>
      <w:color w:val="272727" w:themeColor="text1" w:themeTint="D8"/>
    </w:rPr>
  </w:style>
  <w:style w:type="paragraph" w:styleId="Title">
    <w:name w:val="Title"/>
    <w:basedOn w:val="Normal"/>
    <w:next w:val="Normal"/>
    <w:link w:val="TitleChar"/>
    <w:uiPriority w:val="10"/>
    <w:qFormat/>
    <w:rsid w:val="008054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54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54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54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5496"/>
    <w:pPr>
      <w:spacing w:before="160"/>
      <w:jc w:val="center"/>
    </w:pPr>
    <w:rPr>
      <w:i/>
      <w:iCs/>
      <w:color w:val="404040" w:themeColor="text1" w:themeTint="BF"/>
    </w:rPr>
  </w:style>
  <w:style w:type="character" w:customStyle="1" w:styleId="QuoteChar">
    <w:name w:val="Quote Char"/>
    <w:basedOn w:val="DefaultParagraphFont"/>
    <w:link w:val="Quote"/>
    <w:uiPriority w:val="29"/>
    <w:rsid w:val="00805496"/>
    <w:rPr>
      <w:i/>
      <w:iCs/>
      <w:color w:val="404040" w:themeColor="text1" w:themeTint="BF"/>
    </w:rPr>
  </w:style>
  <w:style w:type="paragraph" w:styleId="ListParagraph">
    <w:name w:val="List Paragraph"/>
    <w:basedOn w:val="Normal"/>
    <w:uiPriority w:val="34"/>
    <w:qFormat/>
    <w:rsid w:val="00805496"/>
    <w:pPr>
      <w:ind w:left="720"/>
      <w:contextualSpacing/>
    </w:pPr>
  </w:style>
  <w:style w:type="character" w:styleId="IntenseEmphasis">
    <w:name w:val="Intense Emphasis"/>
    <w:basedOn w:val="DefaultParagraphFont"/>
    <w:uiPriority w:val="21"/>
    <w:qFormat/>
    <w:rsid w:val="00805496"/>
    <w:rPr>
      <w:i/>
      <w:iCs/>
      <w:color w:val="0F4761" w:themeColor="accent1" w:themeShade="BF"/>
    </w:rPr>
  </w:style>
  <w:style w:type="paragraph" w:styleId="IntenseQuote">
    <w:name w:val="Intense Quote"/>
    <w:basedOn w:val="Normal"/>
    <w:next w:val="Normal"/>
    <w:link w:val="IntenseQuoteChar"/>
    <w:uiPriority w:val="30"/>
    <w:qFormat/>
    <w:rsid w:val="008054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5496"/>
    <w:rPr>
      <w:i/>
      <w:iCs/>
      <w:color w:val="0F4761" w:themeColor="accent1" w:themeShade="BF"/>
    </w:rPr>
  </w:style>
  <w:style w:type="character" w:styleId="IntenseReference">
    <w:name w:val="Intense Reference"/>
    <w:basedOn w:val="DefaultParagraphFont"/>
    <w:uiPriority w:val="32"/>
    <w:qFormat/>
    <w:rsid w:val="00805496"/>
    <w:rPr>
      <w:b/>
      <w:bCs/>
      <w:smallCaps/>
      <w:color w:val="0F4761" w:themeColor="accent1" w:themeShade="BF"/>
      <w:spacing w:val="5"/>
    </w:rPr>
  </w:style>
  <w:style w:type="character" w:styleId="Hyperlink">
    <w:name w:val="Hyperlink"/>
    <w:basedOn w:val="DefaultParagraphFont"/>
    <w:uiPriority w:val="99"/>
    <w:unhideWhenUsed/>
    <w:rsid w:val="00805496"/>
    <w:rPr>
      <w:color w:val="467886" w:themeColor="hyperlink"/>
      <w:u w:val="single"/>
    </w:rPr>
  </w:style>
  <w:style w:type="character" w:styleId="UnresolvedMention">
    <w:name w:val="Unresolved Mention"/>
    <w:basedOn w:val="DefaultParagraphFont"/>
    <w:uiPriority w:val="99"/>
    <w:semiHidden/>
    <w:unhideWhenUsed/>
    <w:rsid w:val="00805496"/>
    <w:rPr>
      <w:color w:val="605E5C"/>
      <w:shd w:val="clear" w:color="auto" w:fill="E1DFDD"/>
    </w:rPr>
  </w:style>
  <w:style w:type="paragraph" w:styleId="NoSpacing">
    <w:name w:val="No Spacing"/>
    <w:uiPriority w:val="1"/>
    <w:qFormat/>
    <w:rsid w:val="00007AF4"/>
    <w:pPr>
      <w:spacing w:after="0" w:line="240" w:lineRule="auto"/>
    </w:pPr>
  </w:style>
  <w:style w:type="paragraph" w:styleId="Header">
    <w:name w:val="header"/>
    <w:basedOn w:val="Normal"/>
    <w:link w:val="HeaderChar"/>
    <w:uiPriority w:val="99"/>
    <w:unhideWhenUsed/>
    <w:rsid w:val="00007A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AF4"/>
  </w:style>
  <w:style w:type="paragraph" w:styleId="Footer">
    <w:name w:val="footer"/>
    <w:basedOn w:val="Normal"/>
    <w:link w:val="FooterChar"/>
    <w:uiPriority w:val="99"/>
    <w:unhideWhenUsed/>
    <w:rsid w:val="00007A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A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hs.uk"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d154574ab30cf1c8fd508c0022515533">
  <xsd:schema xmlns:xsd="http://www.w3.org/2001/XMLSchema" xmlns:xs="http://www.w3.org/2001/XMLSchema" xmlns:p="http://schemas.microsoft.com/office/2006/metadata/properties" xmlns:ns3="1db24759-c936-4417-b43c-e7856b46dbfa" targetNamespace="http://schemas.microsoft.com/office/2006/metadata/properties" ma:root="true" ma:fieldsID="f82f0192ae2d06a1bbf63bd11c16cbdb"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D83354-1F7E-405D-9C51-6A79A69831E2}">
  <ds:schemaRefs>
    <ds:schemaRef ds:uri="http://schemas.microsoft.com/office/2006/metadata/properties"/>
    <ds:schemaRef ds:uri="http://schemas.microsoft.com/office/infopath/2007/PartnerControls"/>
    <ds:schemaRef ds:uri="1db24759-c936-4417-b43c-e7856b46dbfa"/>
  </ds:schemaRefs>
</ds:datastoreItem>
</file>

<file path=customXml/itemProps2.xml><?xml version="1.0" encoding="utf-8"?>
<ds:datastoreItem xmlns:ds="http://schemas.openxmlformats.org/officeDocument/2006/customXml" ds:itemID="{8AD44EF0-82DE-49E3-8AF7-1CC5FFF6B645}">
  <ds:schemaRefs>
    <ds:schemaRef ds:uri="http://schemas.microsoft.com/sharepoint/v3/contenttype/forms"/>
  </ds:schemaRefs>
</ds:datastoreItem>
</file>

<file path=customXml/itemProps3.xml><?xml version="1.0" encoding="utf-8"?>
<ds:datastoreItem xmlns:ds="http://schemas.openxmlformats.org/officeDocument/2006/customXml" ds:itemID="{06E2B821-2E55-47DA-BA32-90B4071BC1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E5AD7D3-B60A-48DE-BB1F-DBBC16162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7</Pages>
  <Words>2368</Words>
  <Characters>13503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Madalitso Majawa (2432520)</dc:creator>
  <cp:keywords/>
  <dc:description/>
  <cp:lastModifiedBy>Madalitso Majawa (2432520)</cp:lastModifiedBy>
  <cp:revision>4</cp:revision>
  <dcterms:created xsi:type="dcterms:W3CDTF">2026-06-22T21:49:00Z</dcterms:created>
  <dcterms:modified xsi:type="dcterms:W3CDTF">2026-06-22T21:58:00Z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