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20719989"/>
        <w:docPartObj>
          <w:docPartGallery w:val="Cover Pages"/>
          <w:docPartUnique/>
        </w:docPartObj>
      </w:sdtPr>
      <w:sdtEndPr>
        <w:rPr>
          <w:rFonts w:ascii="Arial" w:hAnsi="Arial" w:cs="Arial"/>
          <w:sz w:val="28"/>
          <w:szCs w:val="28"/>
        </w:rPr>
      </w:sdtEndPr>
      <w:sdtContent>
        <w:p w14:paraId="14CCE759" w14:textId="792C5C47" w:rsidR="00B81CDF" w:rsidRPr="0015132B" w:rsidRDefault="000B0BA9">
          <w:r w:rsidRPr="0015132B">
            <w:rPr>
              <w:rFonts w:ascii="Arial Nova" w:hAnsi="Arial Nova"/>
              <w:b/>
              <w:bCs/>
              <w:sz w:val="36"/>
              <w:szCs w:val="36"/>
            </w:rPr>
            <w:drawing>
              <wp:inline distT="0" distB="0" distL="0" distR="0" wp14:anchorId="35DCF8D8" wp14:editId="54CB8308">
                <wp:extent cx="5793428" cy="2743200"/>
                <wp:effectExtent l="0" t="0" r="0" b="0"/>
                <wp:docPr id="873754656" name="Picture 1" descr="A logo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754656" name="Picture 1" descr="A logo with black text&#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20909" cy="2756212"/>
                        </a:xfrm>
                        <a:prstGeom prst="rect">
                          <a:avLst/>
                        </a:prstGeom>
                        <a:noFill/>
                      </pic:spPr>
                    </pic:pic>
                  </a:graphicData>
                </a:graphic>
              </wp:inline>
            </w:drawing>
          </w:r>
        </w:p>
        <w:p w14:paraId="5DC986A8" w14:textId="173FBC5E" w:rsidR="00DB6362" w:rsidRPr="0015132B" w:rsidRDefault="00000000" w:rsidP="00DB6362">
          <w:pPr>
            <w:spacing w:after="0" w:line="360" w:lineRule="auto"/>
            <w:rPr>
              <w:rFonts w:ascii="Arial" w:hAnsi="Arial" w:cs="Arial"/>
              <w:sz w:val="28"/>
              <w:szCs w:val="28"/>
            </w:rPr>
          </w:pPr>
        </w:p>
      </w:sdtContent>
    </w:sdt>
    <w:p w14:paraId="5002CD7B" w14:textId="78869330" w:rsidR="000B0BA9" w:rsidRPr="0015132B" w:rsidRDefault="000B0BA9" w:rsidP="00DB6362">
      <w:pPr>
        <w:spacing w:after="0" w:line="360" w:lineRule="auto"/>
        <w:jc w:val="center"/>
        <w:rPr>
          <w:rFonts w:ascii="Arial" w:hAnsi="Arial" w:cs="Arial"/>
          <w:sz w:val="28"/>
          <w:szCs w:val="28"/>
        </w:rPr>
      </w:pPr>
      <w:r w:rsidRPr="0015132B">
        <w:rPr>
          <w:rFonts w:ascii="Arial Nova" w:eastAsiaTheme="minorEastAsia" w:hAnsi="Arial Nova"/>
          <w:b/>
          <w:bCs/>
          <w:kern w:val="0"/>
          <w:sz w:val="36"/>
          <w:szCs w:val="36"/>
          <w14:ligatures w14:val="none"/>
        </w:rPr>
        <w:t>Module:</w:t>
      </w:r>
      <w:r w:rsidRPr="0015132B">
        <w:rPr>
          <w:rFonts w:ascii="Arial Nova" w:eastAsiaTheme="minorEastAsia" w:hAnsi="Arial Nova"/>
          <w:kern w:val="0"/>
          <w:sz w:val="36"/>
          <w:szCs w:val="36"/>
          <w14:ligatures w14:val="none"/>
        </w:rPr>
        <w:t xml:space="preserve"> - LCLM   </w:t>
      </w:r>
      <w:r w:rsidR="00FA6CD7" w:rsidRPr="0015132B">
        <w:rPr>
          <w:rFonts w:ascii="Arial Nova" w:eastAsiaTheme="minorEastAsia" w:hAnsi="Arial Nova"/>
          <w:kern w:val="0"/>
          <w:sz w:val="36"/>
          <w:szCs w:val="36"/>
          <w14:ligatures w14:val="none"/>
        </w:rPr>
        <w:t xml:space="preserve">5001 </w:t>
      </w:r>
      <w:r w:rsidR="00FA6CD7" w:rsidRPr="0015132B">
        <w:rPr>
          <w:rFonts w:ascii="Arial Nova" w:eastAsiaTheme="minorEastAsia" w:hAnsi="Arial Nova"/>
          <w:b/>
          <w:bCs/>
          <w:kern w:val="0"/>
          <w:sz w:val="36"/>
          <w:szCs w:val="36"/>
          <w14:ligatures w14:val="none"/>
        </w:rPr>
        <w:t>Understanding and Engaging Stakeholders</w:t>
      </w:r>
      <w:r w:rsidR="00FA6CD7" w:rsidRPr="0015132B">
        <w:rPr>
          <w:rFonts w:ascii="Arial" w:eastAsiaTheme="minorEastAsia" w:hAnsi="Arial" w:cs="Arial"/>
          <w:b/>
          <w:bCs/>
          <w:kern w:val="0"/>
          <w:sz w:val="36"/>
          <w:szCs w:val="36"/>
          <w14:ligatures w14:val="none"/>
        </w:rPr>
        <w:t>  </w:t>
      </w:r>
    </w:p>
    <w:p w14:paraId="1691D083" w14:textId="77777777" w:rsidR="000B0BA9" w:rsidRPr="0015132B" w:rsidRDefault="000B0BA9" w:rsidP="000B0BA9">
      <w:pPr>
        <w:spacing w:after="0" w:line="360" w:lineRule="auto"/>
        <w:rPr>
          <w:rFonts w:ascii="Arial Nova" w:eastAsiaTheme="minorEastAsia" w:hAnsi="Arial Nova"/>
          <w:kern w:val="0"/>
          <w:sz w:val="36"/>
          <w:szCs w:val="36"/>
          <w14:ligatures w14:val="none"/>
        </w:rPr>
      </w:pPr>
    </w:p>
    <w:p w14:paraId="74538317" w14:textId="7AC80DBF" w:rsidR="00FA6CD7" w:rsidRPr="0015132B" w:rsidRDefault="00FA6CD7" w:rsidP="00FA6CD7">
      <w:pPr>
        <w:spacing w:after="0" w:line="360" w:lineRule="auto"/>
        <w:jc w:val="center"/>
        <w:rPr>
          <w:rFonts w:ascii="Arial Nova" w:eastAsiaTheme="minorEastAsia" w:hAnsi="Arial Nova"/>
          <w:b/>
          <w:bCs/>
          <w:kern w:val="0"/>
          <w:sz w:val="36"/>
          <w:szCs w:val="36"/>
          <w14:ligatures w14:val="none"/>
        </w:rPr>
      </w:pPr>
      <w:r w:rsidRPr="0015132B">
        <w:rPr>
          <w:rFonts w:ascii="Arial Nova" w:eastAsiaTheme="minorEastAsia" w:hAnsi="Arial Nova"/>
          <w:b/>
          <w:bCs/>
          <w:kern w:val="0"/>
          <w:sz w:val="36"/>
          <w:szCs w:val="36"/>
          <w14:ligatures w14:val="none"/>
        </w:rPr>
        <w:t>Academic report of using stakeholder engagement mechanisms.</w:t>
      </w:r>
    </w:p>
    <w:p w14:paraId="03475BD9" w14:textId="77777777" w:rsidR="000B0BA9" w:rsidRPr="0015132B" w:rsidRDefault="000B0BA9" w:rsidP="000B0BA9">
      <w:pPr>
        <w:spacing w:after="0" w:line="360" w:lineRule="auto"/>
        <w:rPr>
          <w:rFonts w:ascii="Arial Nova" w:eastAsiaTheme="minorEastAsia" w:hAnsi="Arial Nova"/>
          <w:kern w:val="0"/>
          <w:sz w:val="36"/>
          <w:szCs w:val="36"/>
          <w14:ligatures w14:val="none"/>
        </w:rPr>
      </w:pPr>
    </w:p>
    <w:p w14:paraId="639B58C4" w14:textId="2120C4A8" w:rsidR="000B0BA9" w:rsidRPr="0015132B" w:rsidRDefault="00442A7D" w:rsidP="00442A7D">
      <w:pPr>
        <w:spacing w:before="120" w:after="120"/>
        <w:jc w:val="center"/>
        <w:rPr>
          <w:rFonts w:ascii="Arial Nova" w:eastAsiaTheme="minorEastAsia" w:hAnsi="Arial Nova"/>
          <w:kern w:val="0"/>
          <w:sz w:val="36"/>
          <w:szCs w:val="36"/>
          <w14:ligatures w14:val="none"/>
        </w:rPr>
      </w:pPr>
      <w:r w:rsidRPr="0015132B">
        <w:rPr>
          <w:rFonts w:ascii="Arial" w:hAnsi="Arial" w:cs="Arial"/>
          <w:b/>
          <w:sz w:val="36"/>
          <w:szCs w:val="36"/>
        </w:rPr>
        <w:t>BA (Hons) Leadership and Management Skills for the Workplace</w:t>
      </w:r>
    </w:p>
    <w:p w14:paraId="669E8A87" w14:textId="77777777" w:rsidR="00442A7D" w:rsidRPr="0015132B" w:rsidRDefault="00442A7D" w:rsidP="000B0BA9">
      <w:pPr>
        <w:spacing w:after="0" w:line="360" w:lineRule="auto"/>
        <w:rPr>
          <w:rFonts w:ascii="Arial Nova" w:eastAsiaTheme="minorEastAsia" w:hAnsi="Arial Nova"/>
          <w:kern w:val="0"/>
          <w:sz w:val="36"/>
          <w:szCs w:val="36"/>
          <w14:ligatures w14:val="none"/>
        </w:rPr>
      </w:pPr>
    </w:p>
    <w:p w14:paraId="4B6C546E" w14:textId="1DBA42EE" w:rsidR="000B0BA9" w:rsidRPr="0015132B" w:rsidRDefault="000B0BA9" w:rsidP="00DB6362">
      <w:pPr>
        <w:spacing w:after="0" w:line="360" w:lineRule="auto"/>
        <w:jc w:val="center"/>
        <w:rPr>
          <w:rFonts w:ascii="Arial Nova" w:eastAsiaTheme="minorEastAsia" w:hAnsi="Arial Nova"/>
          <w:kern w:val="0"/>
          <w:sz w:val="36"/>
          <w:szCs w:val="36"/>
          <w14:ligatures w14:val="none"/>
        </w:rPr>
      </w:pPr>
      <w:r w:rsidRPr="0015132B">
        <w:rPr>
          <w:rFonts w:ascii="Arial Nova" w:eastAsiaTheme="minorEastAsia" w:hAnsi="Arial Nova"/>
          <w:b/>
          <w:bCs/>
          <w:kern w:val="0"/>
          <w:sz w:val="36"/>
          <w:szCs w:val="36"/>
          <w14:ligatures w14:val="none"/>
        </w:rPr>
        <w:t>Student Name:</w:t>
      </w:r>
      <w:r w:rsidRPr="0015132B">
        <w:rPr>
          <w:rFonts w:ascii="Arial Nova" w:eastAsiaTheme="minorEastAsia" w:hAnsi="Arial Nova"/>
          <w:kern w:val="0"/>
          <w:sz w:val="36"/>
          <w:szCs w:val="36"/>
          <w14:ligatures w14:val="none"/>
        </w:rPr>
        <w:t xml:space="preserve">  Maryna </w:t>
      </w:r>
      <w:proofErr w:type="spellStart"/>
      <w:r w:rsidRPr="0015132B">
        <w:rPr>
          <w:rFonts w:ascii="Arial Nova" w:eastAsiaTheme="minorEastAsia" w:hAnsi="Arial Nova"/>
          <w:kern w:val="0"/>
          <w:sz w:val="36"/>
          <w:szCs w:val="36"/>
          <w14:ligatures w14:val="none"/>
        </w:rPr>
        <w:t>Zhzhonykh</w:t>
      </w:r>
      <w:proofErr w:type="spellEnd"/>
    </w:p>
    <w:p w14:paraId="15EFCFB0" w14:textId="77777777" w:rsidR="000B0BA9" w:rsidRPr="0015132B" w:rsidRDefault="000B0BA9" w:rsidP="00DB6362">
      <w:pPr>
        <w:spacing w:after="0" w:line="360" w:lineRule="auto"/>
        <w:jc w:val="center"/>
        <w:rPr>
          <w:rFonts w:ascii="Arial Nova" w:eastAsiaTheme="minorEastAsia" w:hAnsi="Arial Nova"/>
          <w:kern w:val="0"/>
          <w:sz w:val="36"/>
          <w:szCs w:val="36"/>
          <w14:ligatures w14:val="none"/>
        </w:rPr>
      </w:pPr>
    </w:p>
    <w:p w14:paraId="7CC41097" w14:textId="0DA678AF" w:rsidR="000B0BA9" w:rsidRPr="0015132B" w:rsidRDefault="000B0BA9" w:rsidP="00DB6362">
      <w:pPr>
        <w:spacing w:after="0" w:line="360" w:lineRule="auto"/>
        <w:jc w:val="center"/>
        <w:rPr>
          <w:rFonts w:ascii="Arial Nova" w:eastAsiaTheme="minorEastAsia" w:hAnsi="Arial Nova"/>
          <w:kern w:val="0"/>
          <w:sz w:val="36"/>
          <w:szCs w:val="36"/>
          <w14:ligatures w14:val="none"/>
        </w:rPr>
      </w:pPr>
      <w:r w:rsidRPr="0015132B">
        <w:rPr>
          <w:rFonts w:ascii="Arial Nova" w:eastAsiaTheme="minorEastAsia" w:hAnsi="Arial Nova"/>
          <w:b/>
          <w:bCs/>
          <w:kern w:val="0"/>
          <w:sz w:val="36"/>
          <w:szCs w:val="36"/>
          <w14:ligatures w14:val="none"/>
        </w:rPr>
        <w:t>Student Number:</w:t>
      </w:r>
      <w:r w:rsidRPr="0015132B">
        <w:rPr>
          <w:rFonts w:ascii="Arial Nova" w:eastAsiaTheme="minorEastAsia" w:hAnsi="Arial Nova"/>
          <w:kern w:val="0"/>
          <w:sz w:val="36"/>
          <w:szCs w:val="36"/>
          <w14:ligatures w14:val="none"/>
        </w:rPr>
        <w:t xml:space="preserve">  2411439</w:t>
      </w:r>
    </w:p>
    <w:p w14:paraId="08BD593C" w14:textId="77777777" w:rsidR="000B0BA9" w:rsidRPr="0015132B" w:rsidRDefault="000B0BA9" w:rsidP="00DB6362">
      <w:pPr>
        <w:spacing w:after="0" w:line="360" w:lineRule="auto"/>
        <w:jc w:val="center"/>
        <w:rPr>
          <w:rFonts w:ascii="Arial Nova" w:eastAsiaTheme="minorEastAsia" w:hAnsi="Arial Nova"/>
          <w:kern w:val="0"/>
          <w:sz w:val="36"/>
          <w:szCs w:val="36"/>
          <w14:ligatures w14:val="none"/>
        </w:rPr>
      </w:pPr>
    </w:p>
    <w:p w14:paraId="63150752" w14:textId="0E1EAEDC" w:rsidR="000B0BA9" w:rsidRPr="0015132B" w:rsidRDefault="000B0BA9" w:rsidP="00DB6362">
      <w:pPr>
        <w:spacing w:after="0" w:line="360" w:lineRule="auto"/>
        <w:jc w:val="center"/>
        <w:rPr>
          <w:rFonts w:ascii="Arial Nova" w:eastAsiaTheme="minorEastAsia" w:hAnsi="Arial Nova"/>
          <w:kern w:val="0"/>
          <w:sz w:val="36"/>
          <w:szCs w:val="36"/>
          <w14:ligatures w14:val="none"/>
        </w:rPr>
      </w:pPr>
      <w:r w:rsidRPr="0015132B">
        <w:rPr>
          <w:rFonts w:ascii="Arial Nova" w:eastAsiaTheme="minorEastAsia" w:hAnsi="Arial Nova"/>
          <w:b/>
          <w:bCs/>
          <w:kern w:val="0"/>
          <w:sz w:val="36"/>
          <w:szCs w:val="36"/>
          <w14:ligatures w14:val="none"/>
        </w:rPr>
        <w:t>Lecturer’s Name:</w:t>
      </w:r>
      <w:r w:rsidRPr="0015132B">
        <w:rPr>
          <w:rFonts w:ascii="Arial Nova" w:eastAsiaTheme="minorEastAsia" w:hAnsi="Arial Nova"/>
          <w:kern w:val="0"/>
          <w:sz w:val="36"/>
          <w:szCs w:val="36"/>
          <w14:ligatures w14:val="none"/>
        </w:rPr>
        <w:t xml:space="preserve">   Dr </w:t>
      </w:r>
      <w:r w:rsidR="00DB6362" w:rsidRPr="0015132B">
        <w:rPr>
          <w:rFonts w:ascii="Arial Nova" w:eastAsiaTheme="minorEastAsia" w:hAnsi="Arial Nova"/>
          <w:kern w:val="0"/>
          <w:sz w:val="36"/>
          <w:szCs w:val="36"/>
          <w14:ligatures w14:val="none"/>
        </w:rPr>
        <w:t>Eric Osei</w:t>
      </w:r>
    </w:p>
    <w:p w14:paraId="00AA708E" w14:textId="178ACFFA" w:rsidR="00DB6362" w:rsidRPr="0015132B" w:rsidRDefault="003173EE" w:rsidP="00DB6362">
      <w:pPr>
        <w:pStyle w:val="Heading1"/>
        <w:rPr>
          <w:rFonts w:ascii="Arial" w:eastAsiaTheme="minorEastAsia" w:hAnsi="Arial" w:cs="Arial"/>
          <w:sz w:val="28"/>
          <w:szCs w:val="28"/>
        </w:rPr>
      </w:pPr>
      <w:bookmarkStart w:id="0" w:name="_Toc214389921"/>
      <w:r w:rsidRPr="0015132B">
        <w:rPr>
          <w:rFonts w:ascii="Arial" w:eastAsiaTheme="minorEastAsia" w:hAnsi="Arial" w:cs="Arial"/>
          <w:sz w:val="28"/>
          <w:szCs w:val="28"/>
        </w:rPr>
        <w:lastRenderedPageBreak/>
        <w:t xml:space="preserve">Ex </w:t>
      </w:r>
      <w:r w:rsidR="00DB6362" w:rsidRPr="0015132B">
        <w:rPr>
          <w:rFonts w:ascii="Arial" w:eastAsiaTheme="minorEastAsia" w:hAnsi="Arial" w:cs="Arial"/>
          <w:sz w:val="28"/>
          <w:szCs w:val="28"/>
        </w:rPr>
        <w:t>Summary</w:t>
      </w:r>
      <w:bookmarkEnd w:id="0"/>
    </w:p>
    <w:p w14:paraId="43BB70D9" w14:textId="6D35081E" w:rsidR="008E592E" w:rsidRPr="0015132B" w:rsidRDefault="008E592E" w:rsidP="00CF7C4C">
      <w:pPr>
        <w:spacing w:line="360" w:lineRule="auto"/>
        <w:jc w:val="both"/>
        <w:rPr>
          <w:rFonts w:ascii="Arial" w:hAnsi="Arial" w:cs="Arial"/>
          <w:sz w:val="22"/>
          <w:szCs w:val="22"/>
        </w:rPr>
      </w:pPr>
      <w:r w:rsidRPr="0015132B">
        <w:rPr>
          <w:rFonts w:ascii="Arial" w:hAnsi="Arial" w:cs="Arial"/>
          <w:sz w:val="22"/>
          <w:szCs w:val="22"/>
        </w:rPr>
        <w:t>This report explores Huma's interactions with stakeholders before a new wearable health monitoring gadget enters the market. With the help of strategic tools (SWOT, PESTEL, stakeholder matrix), the influence of different groups on operational efficiency, innovative potential and compliance with the company's ethical norms is analysed.</w:t>
      </w:r>
    </w:p>
    <w:p w14:paraId="6792FC07" w14:textId="31C73EA8" w:rsidR="00CF7C4C" w:rsidRPr="0015132B" w:rsidRDefault="00CF7C4C" w:rsidP="00CF7C4C">
      <w:pPr>
        <w:spacing w:line="360" w:lineRule="auto"/>
        <w:jc w:val="both"/>
        <w:rPr>
          <w:rFonts w:ascii="Arial" w:hAnsi="Arial" w:cs="Arial"/>
          <w:sz w:val="22"/>
          <w:szCs w:val="22"/>
        </w:rPr>
      </w:pPr>
      <w:r w:rsidRPr="0015132B">
        <w:rPr>
          <w:rFonts w:ascii="Arial" w:hAnsi="Arial" w:cs="Arial"/>
          <w:sz w:val="22"/>
          <w:szCs w:val="22"/>
        </w:rPr>
        <w:t xml:space="preserve">The analysis identifies key stakeholder groups—clinicians, patients, regulators, investors, and internal departments—and assesses their roles, interests, and impact. The stakeholder engagement process, despite increased product confidence and regulatory preparedness, has also revealed a key challenge: a significant divergence in priorities in the transatlantic business landscape. European stakeholders insist on rigorous ethical standards and data protection, while their American counterparts prioritize accelerated expansion and profitability. This opposition raises </w:t>
      </w:r>
      <w:proofErr w:type="gramStart"/>
      <w:r w:rsidRPr="0015132B">
        <w:rPr>
          <w:rFonts w:ascii="Arial" w:hAnsi="Arial" w:cs="Arial"/>
          <w:sz w:val="22"/>
          <w:szCs w:val="22"/>
        </w:rPr>
        <w:t>a number of</w:t>
      </w:r>
      <w:proofErr w:type="gramEnd"/>
      <w:r w:rsidRPr="0015132B">
        <w:rPr>
          <w:rFonts w:ascii="Arial" w:hAnsi="Arial" w:cs="Arial"/>
          <w:sz w:val="22"/>
          <w:szCs w:val="22"/>
        </w:rPr>
        <w:t xml:space="preserve"> problems, </w:t>
      </w:r>
      <w:proofErr w:type="gramStart"/>
      <w:r w:rsidRPr="0015132B">
        <w:rPr>
          <w:rFonts w:ascii="Arial" w:hAnsi="Arial" w:cs="Arial"/>
          <w:sz w:val="22"/>
          <w:szCs w:val="22"/>
        </w:rPr>
        <w:t>such as:</w:t>
      </w:r>
      <w:proofErr w:type="gramEnd"/>
      <w:r w:rsidRPr="0015132B">
        <w:rPr>
          <w:rFonts w:ascii="Arial" w:hAnsi="Arial" w:cs="Arial"/>
          <w:sz w:val="22"/>
          <w:szCs w:val="22"/>
        </w:rPr>
        <w:t xml:space="preserve"> uneven distribution of influence, conflicting interests, emotional exhaustion of employees and differences in the long-term goals of the company.</w:t>
      </w:r>
    </w:p>
    <w:p w14:paraId="39627E83" w14:textId="0CDB99A6" w:rsidR="00DB6362" w:rsidRPr="0015132B" w:rsidRDefault="00CF7C4C" w:rsidP="00CF7C4C">
      <w:pPr>
        <w:spacing w:line="360" w:lineRule="auto"/>
        <w:jc w:val="both"/>
        <w:rPr>
          <w:rFonts w:ascii="Arial" w:hAnsi="Arial" w:cs="Arial"/>
          <w:sz w:val="22"/>
          <w:szCs w:val="22"/>
        </w:rPr>
      </w:pPr>
      <w:r w:rsidRPr="0015132B">
        <w:rPr>
          <w:rFonts w:ascii="Arial" w:hAnsi="Arial" w:cs="Arial"/>
          <w:sz w:val="22"/>
          <w:szCs w:val="22"/>
        </w:rPr>
        <w:t>Ethical and flexible management of stakeholders can be based on the relationship proximity model (Ashcroft et al., 2017) and collaborative creativity methods (Lindgreen et al., 2019). The report argues for the integration of interaction with influence groups into strategic planning — not as a formal requirement, but through resource investment, ethics training, and goal alignment. Such a strategy turns interaction with stakeholders into a key factor of competitiveness.</w:t>
      </w:r>
      <w:r w:rsidRPr="0015132B">
        <w:rPr>
          <w:rFonts w:ascii="Arial" w:hAnsi="Arial" w:cs="Arial"/>
          <w:sz w:val="22"/>
          <w:szCs w:val="22"/>
        </w:rPr>
        <w:br/>
      </w:r>
      <w:r w:rsidRPr="0015132B">
        <w:rPr>
          <w:rFonts w:ascii="Arial" w:hAnsi="Arial" w:cs="Arial"/>
          <w:sz w:val="22"/>
          <w:szCs w:val="22"/>
        </w:rPr>
        <w:br/>
        <w:t>The report emphasizes that effective interaction with stakeholders should be adaptive, based on ethical principles and be an integral part of the strategy to ensure stable innovation. For Huma, technological excellence is only one component of success; equally important is the ability to build human relationships under different cultural and regulatory requirements.</w:t>
      </w:r>
      <w:r w:rsidRPr="0015132B">
        <w:rPr>
          <w:rFonts w:ascii="Arial" w:hAnsi="Arial" w:cs="Arial"/>
          <w:sz w:val="22"/>
          <w:szCs w:val="22"/>
        </w:rPr>
        <w:br/>
      </w:r>
    </w:p>
    <w:p w14:paraId="6AD27486" w14:textId="77777777" w:rsidR="00CF7C4C" w:rsidRPr="0015132B" w:rsidRDefault="00CF7C4C" w:rsidP="00CF7C4C">
      <w:pPr>
        <w:spacing w:line="360" w:lineRule="auto"/>
        <w:jc w:val="both"/>
        <w:rPr>
          <w:rFonts w:ascii="Arial" w:hAnsi="Arial" w:cs="Arial"/>
          <w:sz w:val="22"/>
          <w:szCs w:val="22"/>
        </w:rPr>
      </w:pPr>
    </w:p>
    <w:p w14:paraId="28FAF410" w14:textId="77777777" w:rsidR="00CF7C4C" w:rsidRPr="0015132B" w:rsidRDefault="00CF7C4C" w:rsidP="00CF7C4C">
      <w:pPr>
        <w:spacing w:line="360" w:lineRule="auto"/>
        <w:jc w:val="both"/>
        <w:rPr>
          <w:rFonts w:ascii="Arial" w:hAnsi="Arial" w:cs="Arial"/>
          <w:sz w:val="22"/>
          <w:szCs w:val="22"/>
        </w:rPr>
      </w:pPr>
    </w:p>
    <w:p w14:paraId="2D9424C1" w14:textId="77777777" w:rsidR="00CF7C4C" w:rsidRPr="0015132B" w:rsidRDefault="00CF7C4C" w:rsidP="00CF7C4C">
      <w:pPr>
        <w:spacing w:line="360" w:lineRule="auto"/>
        <w:jc w:val="both"/>
        <w:rPr>
          <w:rFonts w:ascii="Arial" w:hAnsi="Arial" w:cs="Arial"/>
          <w:sz w:val="22"/>
          <w:szCs w:val="22"/>
        </w:rPr>
      </w:pPr>
    </w:p>
    <w:p w14:paraId="2CC8C21F" w14:textId="77777777" w:rsidR="00CF7C4C" w:rsidRPr="0015132B" w:rsidRDefault="00CF7C4C" w:rsidP="00CF7C4C">
      <w:pPr>
        <w:spacing w:line="360" w:lineRule="auto"/>
        <w:jc w:val="both"/>
        <w:rPr>
          <w:rFonts w:ascii="Arial" w:hAnsi="Arial" w:cs="Arial"/>
          <w:sz w:val="22"/>
          <w:szCs w:val="22"/>
        </w:rPr>
      </w:pPr>
    </w:p>
    <w:p w14:paraId="19543536" w14:textId="77777777" w:rsidR="00DB6362" w:rsidRPr="0015132B" w:rsidRDefault="00DB6362">
      <w:pPr>
        <w:rPr>
          <w:rFonts w:ascii="Arial" w:eastAsiaTheme="majorEastAsia" w:hAnsi="Arial" w:cs="Arial"/>
          <w:color w:val="0F4761" w:themeColor="accent1" w:themeShade="BF"/>
          <w:sz w:val="28"/>
          <w:szCs w:val="28"/>
        </w:rPr>
      </w:pPr>
    </w:p>
    <w:p w14:paraId="2A7FF510" w14:textId="77777777" w:rsidR="00022A8C" w:rsidRPr="0015132B" w:rsidRDefault="00022A8C">
      <w:pPr>
        <w:rPr>
          <w:rFonts w:ascii="Arial" w:eastAsiaTheme="majorEastAsia" w:hAnsi="Arial" w:cs="Arial"/>
          <w:color w:val="0F4761" w:themeColor="accent1" w:themeShade="BF"/>
          <w:sz w:val="28"/>
          <w:szCs w:val="28"/>
        </w:rPr>
      </w:pPr>
    </w:p>
    <w:sdt>
      <w:sdtPr>
        <w:rPr>
          <w:rFonts w:asciiTheme="minorHAnsi" w:eastAsiaTheme="minorHAnsi" w:hAnsiTheme="minorHAnsi" w:cstheme="minorBidi"/>
          <w:color w:val="auto"/>
          <w:kern w:val="2"/>
          <w:sz w:val="24"/>
          <w:szCs w:val="24"/>
          <w:lang w:eastAsia="en-US"/>
          <w14:ligatures w14:val="standardContextual"/>
        </w:rPr>
        <w:id w:val="-1467192161"/>
        <w:docPartObj>
          <w:docPartGallery w:val="Table of Contents"/>
          <w:docPartUnique/>
        </w:docPartObj>
      </w:sdtPr>
      <w:sdtEndPr>
        <w:rPr>
          <w:b/>
          <w:bCs/>
          <w:sz w:val="22"/>
          <w:szCs w:val="22"/>
        </w:rPr>
      </w:sdtEndPr>
      <w:sdtContent>
        <w:p w14:paraId="6A2F67B0" w14:textId="77777777" w:rsidR="005E7AF9" w:rsidRDefault="00DB6362" w:rsidP="00FE4C56">
          <w:pPr>
            <w:pStyle w:val="TOCHeading"/>
            <w:rPr>
              <w:noProof/>
            </w:rPr>
          </w:pPr>
          <w:r w:rsidRPr="0015132B">
            <w:rPr>
              <w:rFonts w:ascii="Arial" w:hAnsi="Arial" w:cs="Arial"/>
              <w:sz w:val="28"/>
              <w:szCs w:val="28"/>
            </w:rPr>
            <w:t>Table of Contents</w:t>
          </w:r>
          <w:r w:rsidRPr="0015132B">
            <w:rPr>
              <w:rFonts w:ascii="Arial" w:hAnsi="Arial" w:cs="Arial"/>
              <w:sz w:val="22"/>
              <w:szCs w:val="22"/>
            </w:rPr>
            <w:fldChar w:fldCharType="begin"/>
          </w:r>
          <w:r w:rsidRPr="0015132B">
            <w:rPr>
              <w:rFonts w:ascii="Arial" w:hAnsi="Arial" w:cs="Arial"/>
              <w:sz w:val="22"/>
              <w:szCs w:val="22"/>
            </w:rPr>
            <w:instrText xml:space="preserve"> TOC \o "1-3" \h \z \u </w:instrText>
          </w:r>
          <w:r w:rsidRPr="0015132B">
            <w:rPr>
              <w:rFonts w:ascii="Arial" w:hAnsi="Arial" w:cs="Arial"/>
              <w:sz w:val="22"/>
              <w:szCs w:val="22"/>
            </w:rPr>
            <w:fldChar w:fldCharType="separate"/>
          </w:r>
        </w:p>
        <w:p w14:paraId="04D7F8CD" w14:textId="7347DE8D" w:rsidR="005E7AF9" w:rsidRPr="005E7AF9" w:rsidRDefault="005E7AF9">
          <w:pPr>
            <w:pStyle w:val="TOC1"/>
            <w:tabs>
              <w:tab w:val="right" w:leader="dot" w:pos="9016"/>
            </w:tabs>
            <w:rPr>
              <w:rFonts w:ascii="Arial" w:eastAsiaTheme="minorEastAsia" w:hAnsi="Arial" w:cs="Arial"/>
              <w:noProof/>
              <w:sz w:val="22"/>
              <w:szCs w:val="22"/>
              <w:lang w:eastAsia="en-GB"/>
            </w:rPr>
          </w:pPr>
          <w:hyperlink w:anchor="_Toc214389922" w:history="1">
            <w:r w:rsidRPr="005E7AF9">
              <w:rPr>
                <w:rStyle w:val="Hyperlink"/>
                <w:rFonts w:ascii="Arial" w:hAnsi="Arial" w:cs="Arial"/>
                <w:noProof/>
                <w:sz w:val="22"/>
                <w:szCs w:val="22"/>
              </w:rPr>
              <w:t>Introduction to Huma and product overview – wearable health device</w:t>
            </w:r>
            <w:r w:rsidRPr="005E7AF9">
              <w:rPr>
                <w:rFonts w:ascii="Arial" w:hAnsi="Arial" w:cs="Arial"/>
                <w:noProof/>
                <w:webHidden/>
                <w:sz w:val="22"/>
                <w:szCs w:val="22"/>
              </w:rPr>
              <w:tab/>
            </w:r>
            <w:r w:rsidRPr="005E7AF9">
              <w:rPr>
                <w:rFonts w:ascii="Arial" w:hAnsi="Arial" w:cs="Arial"/>
                <w:noProof/>
                <w:webHidden/>
                <w:sz w:val="22"/>
                <w:szCs w:val="22"/>
              </w:rPr>
              <w:fldChar w:fldCharType="begin"/>
            </w:r>
            <w:r w:rsidRPr="005E7AF9">
              <w:rPr>
                <w:rFonts w:ascii="Arial" w:hAnsi="Arial" w:cs="Arial"/>
                <w:noProof/>
                <w:webHidden/>
                <w:sz w:val="22"/>
                <w:szCs w:val="22"/>
              </w:rPr>
              <w:instrText xml:space="preserve"> PAGEREF _Toc214389922 \h </w:instrText>
            </w:r>
            <w:r w:rsidRPr="005E7AF9">
              <w:rPr>
                <w:rFonts w:ascii="Arial" w:hAnsi="Arial" w:cs="Arial"/>
                <w:noProof/>
                <w:webHidden/>
                <w:sz w:val="22"/>
                <w:szCs w:val="22"/>
              </w:rPr>
            </w:r>
            <w:r w:rsidRPr="005E7AF9">
              <w:rPr>
                <w:rFonts w:ascii="Arial" w:hAnsi="Arial" w:cs="Arial"/>
                <w:noProof/>
                <w:webHidden/>
                <w:sz w:val="22"/>
                <w:szCs w:val="22"/>
              </w:rPr>
              <w:fldChar w:fldCharType="separate"/>
            </w:r>
            <w:r w:rsidRPr="005E7AF9">
              <w:rPr>
                <w:rFonts w:ascii="Arial" w:hAnsi="Arial" w:cs="Arial"/>
                <w:noProof/>
                <w:webHidden/>
                <w:sz w:val="22"/>
                <w:szCs w:val="22"/>
              </w:rPr>
              <w:t>3</w:t>
            </w:r>
            <w:r w:rsidRPr="005E7AF9">
              <w:rPr>
                <w:rFonts w:ascii="Arial" w:hAnsi="Arial" w:cs="Arial"/>
                <w:noProof/>
                <w:webHidden/>
                <w:sz w:val="22"/>
                <w:szCs w:val="22"/>
              </w:rPr>
              <w:fldChar w:fldCharType="end"/>
            </w:r>
          </w:hyperlink>
        </w:p>
        <w:p w14:paraId="6C7087C4" w14:textId="39D0E863" w:rsidR="005E7AF9" w:rsidRPr="005E7AF9" w:rsidRDefault="005E7AF9">
          <w:pPr>
            <w:pStyle w:val="TOC1"/>
            <w:tabs>
              <w:tab w:val="right" w:leader="dot" w:pos="9016"/>
            </w:tabs>
            <w:rPr>
              <w:rFonts w:ascii="Arial" w:eastAsiaTheme="minorEastAsia" w:hAnsi="Arial" w:cs="Arial"/>
              <w:noProof/>
              <w:sz w:val="22"/>
              <w:szCs w:val="22"/>
              <w:lang w:eastAsia="en-GB"/>
            </w:rPr>
          </w:pPr>
          <w:hyperlink w:anchor="_Toc214389923" w:history="1">
            <w:r w:rsidRPr="005E7AF9">
              <w:rPr>
                <w:rStyle w:val="Hyperlink"/>
                <w:rFonts w:ascii="Arial" w:hAnsi="Arial" w:cs="Arial"/>
                <w:noProof/>
                <w:sz w:val="22"/>
                <w:szCs w:val="22"/>
              </w:rPr>
              <w:t>HUMA SWOT analysis, PESTLE with SMART objectives</w:t>
            </w:r>
            <w:r w:rsidRPr="005E7AF9">
              <w:rPr>
                <w:rFonts w:ascii="Arial" w:hAnsi="Arial" w:cs="Arial"/>
                <w:noProof/>
                <w:webHidden/>
                <w:sz w:val="22"/>
                <w:szCs w:val="22"/>
              </w:rPr>
              <w:tab/>
            </w:r>
            <w:r w:rsidRPr="005E7AF9">
              <w:rPr>
                <w:rFonts w:ascii="Arial" w:hAnsi="Arial" w:cs="Arial"/>
                <w:noProof/>
                <w:webHidden/>
                <w:sz w:val="22"/>
                <w:szCs w:val="22"/>
              </w:rPr>
              <w:fldChar w:fldCharType="begin"/>
            </w:r>
            <w:r w:rsidRPr="005E7AF9">
              <w:rPr>
                <w:rFonts w:ascii="Arial" w:hAnsi="Arial" w:cs="Arial"/>
                <w:noProof/>
                <w:webHidden/>
                <w:sz w:val="22"/>
                <w:szCs w:val="22"/>
              </w:rPr>
              <w:instrText xml:space="preserve"> PAGEREF _Toc214389923 \h </w:instrText>
            </w:r>
            <w:r w:rsidRPr="005E7AF9">
              <w:rPr>
                <w:rFonts w:ascii="Arial" w:hAnsi="Arial" w:cs="Arial"/>
                <w:noProof/>
                <w:webHidden/>
                <w:sz w:val="22"/>
                <w:szCs w:val="22"/>
              </w:rPr>
            </w:r>
            <w:r w:rsidRPr="005E7AF9">
              <w:rPr>
                <w:rFonts w:ascii="Arial" w:hAnsi="Arial" w:cs="Arial"/>
                <w:noProof/>
                <w:webHidden/>
                <w:sz w:val="22"/>
                <w:szCs w:val="22"/>
              </w:rPr>
              <w:fldChar w:fldCharType="separate"/>
            </w:r>
            <w:r w:rsidRPr="005E7AF9">
              <w:rPr>
                <w:rFonts w:ascii="Arial" w:hAnsi="Arial" w:cs="Arial"/>
                <w:noProof/>
                <w:webHidden/>
                <w:sz w:val="22"/>
                <w:szCs w:val="22"/>
              </w:rPr>
              <w:t>4</w:t>
            </w:r>
            <w:r w:rsidRPr="005E7AF9">
              <w:rPr>
                <w:rFonts w:ascii="Arial" w:hAnsi="Arial" w:cs="Arial"/>
                <w:noProof/>
                <w:webHidden/>
                <w:sz w:val="22"/>
                <w:szCs w:val="22"/>
              </w:rPr>
              <w:fldChar w:fldCharType="end"/>
            </w:r>
          </w:hyperlink>
        </w:p>
        <w:p w14:paraId="34156C5B" w14:textId="44D0B60E" w:rsidR="005E7AF9" w:rsidRPr="005E7AF9" w:rsidRDefault="005E7AF9">
          <w:pPr>
            <w:pStyle w:val="TOC2"/>
            <w:tabs>
              <w:tab w:val="right" w:leader="dot" w:pos="9016"/>
            </w:tabs>
            <w:rPr>
              <w:rFonts w:ascii="Arial" w:eastAsiaTheme="minorEastAsia" w:hAnsi="Arial" w:cs="Arial"/>
              <w:noProof/>
              <w:sz w:val="22"/>
              <w:szCs w:val="22"/>
              <w:lang w:eastAsia="en-GB"/>
            </w:rPr>
          </w:pPr>
          <w:hyperlink w:anchor="_Toc214389924" w:history="1">
            <w:r w:rsidRPr="005E7AF9">
              <w:rPr>
                <w:rStyle w:val="Hyperlink"/>
                <w:rFonts w:ascii="Arial" w:hAnsi="Arial" w:cs="Arial"/>
                <w:noProof/>
                <w:sz w:val="22"/>
                <w:szCs w:val="22"/>
              </w:rPr>
              <w:t>SWOT</w:t>
            </w:r>
            <w:r w:rsidRPr="005E7AF9">
              <w:rPr>
                <w:rFonts w:ascii="Arial" w:hAnsi="Arial" w:cs="Arial"/>
                <w:noProof/>
                <w:webHidden/>
                <w:sz w:val="22"/>
                <w:szCs w:val="22"/>
              </w:rPr>
              <w:tab/>
            </w:r>
            <w:r w:rsidRPr="005E7AF9">
              <w:rPr>
                <w:rFonts w:ascii="Arial" w:hAnsi="Arial" w:cs="Arial"/>
                <w:noProof/>
                <w:webHidden/>
                <w:sz w:val="22"/>
                <w:szCs w:val="22"/>
              </w:rPr>
              <w:fldChar w:fldCharType="begin"/>
            </w:r>
            <w:r w:rsidRPr="005E7AF9">
              <w:rPr>
                <w:rFonts w:ascii="Arial" w:hAnsi="Arial" w:cs="Arial"/>
                <w:noProof/>
                <w:webHidden/>
                <w:sz w:val="22"/>
                <w:szCs w:val="22"/>
              </w:rPr>
              <w:instrText xml:space="preserve"> PAGEREF _Toc214389924 \h </w:instrText>
            </w:r>
            <w:r w:rsidRPr="005E7AF9">
              <w:rPr>
                <w:rFonts w:ascii="Arial" w:hAnsi="Arial" w:cs="Arial"/>
                <w:noProof/>
                <w:webHidden/>
                <w:sz w:val="22"/>
                <w:szCs w:val="22"/>
              </w:rPr>
            </w:r>
            <w:r w:rsidRPr="005E7AF9">
              <w:rPr>
                <w:rFonts w:ascii="Arial" w:hAnsi="Arial" w:cs="Arial"/>
                <w:noProof/>
                <w:webHidden/>
                <w:sz w:val="22"/>
                <w:szCs w:val="22"/>
              </w:rPr>
              <w:fldChar w:fldCharType="separate"/>
            </w:r>
            <w:r w:rsidRPr="005E7AF9">
              <w:rPr>
                <w:rFonts w:ascii="Arial" w:hAnsi="Arial" w:cs="Arial"/>
                <w:noProof/>
                <w:webHidden/>
                <w:sz w:val="22"/>
                <w:szCs w:val="22"/>
              </w:rPr>
              <w:t>4</w:t>
            </w:r>
            <w:r w:rsidRPr="005E7AF9">
              <w:rPr>
                <w:rFonts w:ascii="Arial" w:hAnsi="Arial" w:cs="Arial"/>
                <w:noProof/>
                <w:webHidden/>
                <w:sz w:val="22"/>
                <w:szCs w:val="22"/>
              </w:rPr>
              <w:fldChar w:fldCharType="end"/>
            </w:r>
          </w:hyperlink>
        </w:p>
        <w:p w14:paraId="34EAA62B" w14:textId="11ACEFEB" w:rsidR="005E7AF9" w:rsidRPr="005E7AF9" w:rsidRDefault="005E7AF9">
          <w:pPr>
            <w:pStyle w:val="TOC2"/>
            <w:tabs>
              <w:tab w:val="left" w:pos="720"/>
              <w:tab w:val="right" w:leader="dot" w:pos="9016"/>
            </w:tabs>
            <w:rPr>
              <w:rFonts w:ascii="Arial" w:eastAsiaTheme="minorEastAsia" w:hAnsi="Arial" w:cs="Arial"/>
              <w:noProof/>
              <w:sz w:val="22"/>
              <w:szCs w:val="22"/>
              <w:lang w:eastAsia="en-GB"/>
            </w:rPr>
          </w:pPr>
          <w:hyperlink w:anchor="_Toc214389925" w:history="1">
            <w:r w:rsidRPr="005E7AF9">
              <w:rPr>
                <w:rStyle w:val="Hyperlink"/>
                <w:rFonts w:ascii="Arial" w:hAnsi="Arial" w:cs="Arial"/>
                <w:noProof/>
                <w:sz w:val="22"/>
                <w:szCs w:val="22"/>
              </w:rPr>
              <w:t></w:t>
            </w:r>
            <w:r w:rsidRPr="005E7AF9">
              <w:rPr>
                <w:rFonts w:ascii="Arial" w:eastAsiaTheme="minorEastAsia" w:hAnsi="Arial" w:cs="Arial"/>
                <w:noProof/>
                <w:sz w:val="22"/>
                <w:szCs w:val="22"/>
                <w:lang w:eastAsia="en-GB"/>
              </w:rPr>
              <w:tab/>
            </w:r>
            <w:r w:rsidRPr="005E7AF9">
              <w:rPr>
                <w:rStyle w:val="Hyperlink"/>
                <w:rFonts w:ascii="Arial" w:hAnsi="Arial" w:cs="Arial"/>
                <w:noProof/>
                <w:sz w:val="22"/>
                <w:szCs w:val="22"/>
              </w:rPr>
              <w:t>Strengths</w:t>
            </w:r>
            <w:r w:rsidRPr="005E7AF9">
              <w:rPr>
                <w:rFonts w:ascii="Arial" w:hAnsi="Arial" w:cs="Arial"/>
                <w:noProof/>
                <w:webHidden/>
                <w:sz w:val="22"/>
                <w:szCs w:val="22"/>
              </w:rPr>
              <w:tab/>
            </w:r>
            <w:r w:rsidRPr="005E7AF9">
              <w:rPr>
                <w:rFonts w:ascii="Arial" w:hAnsi="Arial" w:cs="Arial"/>
                <w:noProof/>
                <w:webHidden/>
                <w:sz w:val="22"/>
                <w:szCs w:val="22"/>
              </w:rPr>
              <w:fldChar w:fldCharType="begin"/>
            </w:r>
            <w:r w:rsidRPr="005E7AF9">
              <w:rPr>
                <w:rFonts w:ascii="Arial" w:hAnsi="Arial" w:cs="Arial"/>
                <w:noProof/>
                <w:webHidden/>
                <w:sz w:val="22"/>
                <w:szCs w:val="22"/>
              </w:rPr>
              <w:instrText xml:space="preserve"> PAGEREF _Toc214389925 \h </w:instrText>
            </w:r>
            <w:r w:rsidRPr="005E7AF9">
              <w:rPr>
                <w:rFonts w:ascii="Arial" w:hAnsi="Arial" w:cs="Arial"/>
                <w:noProof/>
                <w:webHidden/>
                <w:sz w:val="22"/>
                <w:szCs w:val="22"/>
              </w:rPr>
            </w:r>
            <w:r w:rsidRPr="005E7AF9">
              <w:rPr>
                <w:rFonts w:ascii="Arial" w:hAnsi="Arial" w:cs="Arial"/>
                <w:noProof/>
                <w:webHidden/>
                <w:sz w:val="22"/>
                <w:szCs w:val="22"/>
              </w:rPr>
              <w:fldChar w:fldCharType="separate"/>
            </w:r>
            <w:r w:rsidRPr="005E7AF9">
              <w:rPr>
                <w:rFonts w:ascii="Arial" w:hAnsi="Arial" w:cs="Arial"/>
                <w:noProof/>
                <w:webHidden/>
                <w:sz w:val="22"/>
                <w:szCs w:val="22"/>
              </w:rPr>
              <w:t>4</w:t>
            </w:r>
            <w:r w:rsidRPr="005E7AF9">
              <w:rPr>
                <w:rFonts w:ascii="Arial" w:hAnsi="Arial" w:cs="Arial"/>
                <w:noProof/>
                <w:webHidden/>
                <w:sz w:val="22"/>
                <w:szCs w:val="22"/>
              </w:rPr>
              <w:fldChar w:fldCharType="end"/>
            </w:r>
          </w:hyperlink>
        </w:p>
        <w:p w14:paraId="28F5818F" w14:textId="7597AA7E" w:rsidR="005E7AF9" w:rsidRPr="005E7AF9" w:rsidRDefault="005E7AF9">
          <w:pPr>
            <w:pStyle w:val="TOC2"/>
            <w:tabs>
              <w:tab w:val="left" w:pos="720"/>
              <w:tab w:val="right" w:leader="dot" w:pos="9016"/>
            </w:tabs>
            <w:rPr>
              <w:rFonts w:ascii="Arial" w:eastAsiaTheme="minorEastAsia" w:hAnsi="Arial" w:cs="Arial"/>
              <w:noProof/>
              <w:sz w:val="22"/>
              <w:szCs w:val="22"/>
              <w:lang w:eastAsia="en-GB"/>
            </w:rPr>
          </w:pPr>
          <w:hyperlink w:anchor="_Toc214389926" w:history="1">
            <w:r w:rsidRPr="005E7AF9">
              <w:rPr>
                <w:rStyle w:val="Hyperlink"/>
                <w:rFonts w:ascii="Arial" w:hAnsi="Arial" w:cs="Arial"/>
                <w:noProof/>
                <w:sz w:val="22"/>
                <w:szCs w:val="22"/>
              </w:rPr>
              <w:t></w:t>
            </w:r>
            <w:r w:rsidRPr="005E7AF9">
              <w:rPr>
                <w:rFonts w:ascii="Arial" w:eastAsiaTheme="minorEastAsia" w:hAnsi="Arial" w:cs="Arial"/>
                <w:noProof/>
                <w:sz w:val="22"/>
                <w:szCs w:val="22"/>
                <w:lang w:eastAsia="en-GB"/>
              </w:rPr>
              <w:tab/>
            </w:r>
            <w:r w:rsidRPr="005E7AF9">
              <w:rPr>
                <w:rStyle w:val="Hyperlink"/>
                <w:rFonts w:ascii="Arial" w:hAnsi="Arial" w:cs="Arial"/>
                <w:noProof/>
                <w:sz w:val="22"/>
                <w:szCs w:val="22"/>
              </w:rPr>
              <w:t>Weaknesses</w:t>
            </w:r>
            <w:r w:rsidRPr="005E7AF9">
              <w:rPr>
                <w:rFonts w:ascii="Arial" w:hAnsi="Arial" w:cs="Arial"/>
                <w:noProof/>
                <w:webHidden/>
                <w:sz w:val="22"/>
                <w:szCs w:val="22"/>
              </w:rPr>
              <w:tab/>
            </w:r>
            <w:r w:rsidRPr="005E7AF9">
              <w:rPr>
                <w:rFonts w:ascii="Arial" w:hAnsi="Arial" w:cs="Arial"/>
                <w:noProof/>
                <w:webHidden/>
                <w:sz w:val="22"/>
                <w:szCs w:val="22"/>
              </w:rPr>
              <w:fldChar w:fldCharType="begin"/>
            </w:r>
            <w:r w:rsidRPr="005E7AF9">
              <w:rPr>
                <w:rFonts w:ascii="Arial" w:hAnsi="Arial" w:cs="Arial"/>
                <w:noProof/>
                <w:webHidden/>
                <w:sz w:val="22"/>
                <w:szCs w:val="22"/>
              </w:rPr>
              <w:instrText xml:space="preserve"> PAGEREF _Toc214389926 \h </w:instrText>
            </w:r>
            <w:r w:rsidRPr="005E7AF9">
              <w:rPr>
                <w:rFonts w:ascii="Arial" w:hAnsi="Arial" w:cs="Arial"/>
                <w:noProof/>
                <w:webHidden/>
                <w:sz w:val="22"/>
                <w:szCs w:val="22"/>
              </w:rPr>
            </w:r>
            <w:r w:rsidRPr="005E7AF9">
              <w:rPr>
                <w:rFonts w:ascii="Arial" w:hAnsi="Arial" w:cs="Arial"/>
                <w:noProof/>
                <w:webHidden/>
                <w:sz w:val="22"/>
                <w:szCs w:val="22"/>
              </w:rPr>
              <w:fldChar w:fldCharType="separate"/>
            </w:r>
            <w:r w:rsidRPr="005E7AF9">
              <w:rPr>
                <w:rFonts w:ascii="Arial" w:hAnsi="Arial" w:cs="Arial"/>
                <w:noProof/>
                <w:webHidden/>
                <w:sz w:val="22"/>
                <w:szCs w:val="22"/>
              </w:rPr>
              <w:t>4</w:t>
            </w:r>
            <w:r w:rsidRPr="005E7AF9">
              <w:rPr>
                <w:rFonts w:ascii="Arial" w:hAnsi="Arial" w:cs="Arial"/>
                <w:noProof/>
                <w:webHidden/>
                <w:sz w:val="22"/>
                <w:szCs w:val="22"/>
              </w:rPr>
              <w:fldChar w:fldCharType="end"/>
            </w:r>
          </w:hyperlink>
        </w:p>
        <w:p w14:paraId="6D781ECB" w14:textId="5472D79A" w:rsidR="005E7AF9" w:rsidRPr="005E7AF9" w:rsidRDefault="005E7AF9">
          <w:pPr>
            <w:pStyle w:val="TOC2"/>
            <w:tabs>
              <w:tab w:val="left" w:pos="720"/>
              <w:tab w:val="right" w:leader="dot" w:pos="9016"/>
            </w:tabs>
            <w:rPr>
              <w:rFonts w:ascii="Arial" w:eastAsiaTheme="minorEastAsia" w:hAnsi="Arial" w:cs="Arial"/>
              <w:noProof/>
              <w:sz w:val="22"/>
              <w:szCs w:val="22"/>
              <w:lang w:eastAsia="en-GB"/>
            </w:rPr>
          </w:pPr>
          <w:hyperlink w:anchor="_Toc214389927" w:history="1">
            <w:r w:rsidRPr="005E7AF9">
              <w:rPr>
                <w:rStyle w:val="Hyperlink"/>
                <w:rFonts w:ascii="Arial" w:hAnsi="Arial" w:cs="Arial"/>
                <w:noProof/>
                <w:sz w:val="22"/>
                <w:szCs w:val="22"/>
              </w:rPr>
              <w:t></w:t>
            </w:r>
            <w:r w:rsidRPr="005E7AF9">
              <w:rPr>
                <w:rFonts w:ascii="Arial" w:eastAsiaTheme="minorEastAsia" w:hAnsi="Arial" w:cs="Arial"/>
                <w:noProof/>
                <w:sz w:val="22"/>
                <w:szCs w:val="22"/>
                <w:lang w:eastAsia="en-GB"/>
              </w:rPr>
              <w:tab/>
            </w:r>
            <w:r w:rsidRPr="005E7AF9">
              <w:rPr>
                <w:rStyle w:val="Hyperlink"/>
                <w:rFonts w:ascii="Arial" w:hAnsi="Arial" w:cs="Arial"/>
                <w:noProof/>
                <w:sz w:val="22"/>
                <w:szCs w:val="22"/>
              </w:rPr>
              <w:t>Opportunities</w:t>
            </w:r>
            <w:r w:rsidRPr="005E7AF9">
              <w:rPr>
                <w:rFonts w:ascii="Arial" w:hAnsi="Arial" w:cs="Arial"/>
                <w:noProof/>
                <w:webHidden/>
                <w:sz w:val="22"/>
                <w:szCs w:val="22"/>
              </w:rPr>
              <w:tab/>
            </w:r>
            <w:r w:rsidRPr="005E7AF9">
              <w:rPr>
                <w:rFonts w:ascii="Arial" w:hAnsi="Arial" w:cs="Arial"/>
                <w:noProof/>
                <w:webHidden/>
                <w:sz w:val="22"/>
                <w:szCs w:val="22"/>
              </w:rPr>
              <w:fldChar w:fldCharType="begin"/>
            </w:r>
            <w:r w:rsidRPr="005E7AF9">
              <w:rPr>
                <w:rFonts w:ascii="Arial" w:hAnsi="Arial" w:cs="Arial"/>
                <w:noProof/>
                <w:webHidden/>
                <w:sz w:val="22"/>
                <w:szCs w:val="22"/>
              </w:rPr>
              <w:instrText xml:space="preserve"> PAGEREF _Toc214389927 \h </w:instrText>
            </w:r>
            <w:r w:rsidRPr="005E7AF9">
              <w:rPr>
                <w:rFonts w:ascii="Arial" w:hAnsi="Arial" w:cs="Arial"/>
                <w:noProof/>
                <w:webHidden/>
                <w:sz w:val="22"/>
                <w:szCs w:val="22"/>
              </w:rPr>
            </w:r>
            <w:r w:rsidRPr="005E7AF9">
              <w:rPr>
                <w:rFonts w:ascii="Arial" w:hAnsi="Arial" w:cs="Arial"/>
                <w:noProof/>
                <w:webHidden/>
                <w:sz w:val="22"/>
                <w:szCs w:val="22"/>
              </w:rPr>
              <w:fldChar w:fldCharType="separate"/>
            </w:r>
            <w:r w:rsidRPr="005E7AF9">
              <w:rPr>
                <w:rFonts w:ascii="Arial" w:hAnsi="Arial" w:cs="Arial"/>
                <w:noProof/>
                <w:webHidden/>
                <w:sz w:val="22"/>
                <w:szCs w:val="22"/>
              </w:rPr>
              <w:t>4</w:t>
            </w:r>
            <w:r w:rsidRPr="005E7AF9">
              <w:rPr>
                <w:rFonts w:ascii="Arial" w:hAnsi="Arial" w:cs="Arial"/>
                <w:noProof/>
                <w:webHidden/>
                <w:sz w:val="22"/>
                <w:szCs w:val="22"/>
              </w:rPr>
              <w:fldChar w:fldCharType="end"/>
            </w:r>
          </w:hyperlink>
        </w:p>
        <w:p w14:paraId="34423567" w14:textId="4ECCDBDA" w:rsidR="005E7AF9" w:rsidRPr="005E7AF9" w:rsidRDefault="005E7AF9">
          <w:pPr>
            <w:pStyle w:val="TOC2"/>
            <w:tabs>
              <w:tab w:val="left" w:pos="720"/>
              <w:tab w:val="right" w:leader="dot" w:pos="9016"/>
            </w:tabs>
            <w:rPr>
              <w:rFonts w:ascii="Arial" w:eastAsiaTheme="minorEastAsia" w:hAnsi="Arial" w:cs="Arial"/>
              <w:noProof/>
              <w:sz w:val="22"/>
              <w:szCs w:val="22"/>
              <w:lang w:eastAsia="en-GB"/>
            </w:rPr>
          </w:pPr>
          <w:hyperlink w:anchor="_Toc214389928" w:history="1">
            <w:r w:rsidRPr="005E7AF9">
              <w:rPr>
                <w:rStyle w:val="Hyperlink"/>
                <w:rFonts w:ascii="Arial" w:hAnsi="Arial" w:cs="Arial"/>
                <w:noProof/>
                <w:sz w:val="22"/>
                <w:szCs w:val="22"/>
              </w:rPr>
              <w:t></w:t>
            </w:r>
            <w:r w:rsidRPr="005E7AF9">
              <w:rPr>
                <w:rFonts w:ascii="Arial" w:eastAsiaTheme="minorEastAsia" w:hAnsi="Arial" w:cs="Arial"/>
                <w:noProof/>
                <w:sz w:val="22"/>
                <w:szCs w:val="22"/>
                <w:lang w:eastAsia="en-GB"/>
              </w:rPr>
              <w:tab/>
            </w:r>
            <w:r w:rsidRPr="005E7AF9">
              <w:rPr>
                <w:rStyle w:val="Hyperlink"/>
                <w:rFonts w:ascii="Arial" w:hAnsi="Arial" w:cs="Arial"/>
                <w:noProof/>
                <w:sz w:val="22"/>
                <w:szCs w:val="22"/>
              </w:rPr>
              <w:t>Threats</w:t>
            </w:r>
            <w:r w:rsidRPr="005E7AF9">
              <w:rPr>
                <w:rFonts w:ascii="Arial" w:hAnsi="Arial" w:cs="Arial"/>
                <w:noProof/>
                <w:webHidden/>
                <w:sz w:val="22"/>
                <w:szCs w:val="22"/>
              </w:rPr>
              <w:tab/>
            </w:r>
            <w:r w:rsidRPr="005E7AF9">
              <w:rPr>
                <w:rFonts w:ascii="Arial" w:hAnsi="Arial" w:cs="Arial"/>
                <w:noProof/>
                <w:webHidden/>
                <w:sz w:val="22"/>
                <w:szCs w:val="22"/>
              </w:rPr>
              <w:fldChar w:fldCharType="begin"/>
            </w:r>
            <w:r w:rsidRPr="005E7AF9">
              <w:rPr>
                <w:rFonts w:ascii="Arial" w:hAnsi="Arial" w:cs="Arial"/>
                <w:noProof/>
                <w:webHidden/>
                <w:sz w:val="22"/>
                <w:szCs w:val="22"/>
              </w:rPr>
              <w:instrText xml:space="preserve"> PAGEREF _Toc214389928 \h </w:instrText>
            </w:r>
            <w:r w:rsidRPr="005E7AF9">
              <w:rPr>
                <w:rFonts w:ascii="Arial" w:hAnsi="Arial" w:cs="Arial"/>
                <w:noProof/>
                <w:webHidden/>
                <w:sz w:val="22"/>
                <w:szCs w:val="22"/>
              </w:rPr>
            </w:r>
            <w:r w:rsidRPr="005E7AF9">
              <w:rPr>
                <w:rFonts w:ascii="Arial" w:hAnsi="Arial" w:cs="Arial"/>
                <w:noProof/>
                <w:webHidden/>
                <w:sz w:val="22"/>
                <w:szCs w:val="22"/>
              </w:rPr>
              <w:fldChar w:fldCharType="separate"/>
            </w:r>
            <w:r w:rsidRPr="005E7AF9">
              <w:rPr>
                <w:rFonts w:ascii="Arial" w:hAnsi="Arial" w:cs="Arial"/>
                <w:noProof/>
                <w:webHidden/>
                <w:sz w:val="22"/>
                <w:szCs w:val="22"/>
              </w:rPr>
              <w:t>4</w:t>
            </w:r>
            <w:r w:rsidRPr="005E7AF9">
              <w:rPr>
                <w:rFonts w:ascii="Arial" w:hAnsi="Arial" w:cs="Arial"/>
                <w:noProof/>
                <w:webHidden/>
                <w:sz w:val="22"/>
                <w:szCs w:val="22"/>
              </w:rPr>
              <w:fldChar w:fldCharType="end"/>
            </w:r>
          </w:hyperlink>
        </w:p>
        <w:p w14:paraId="6B077A5F" w14:textId="3E0D4CBE" w:rsidR="005E7AF9" w:rsidRPr="005E7AF9" w:rsidRDefault="005E7AF9">
          <w:pPr>
            <w:pStyle w:val="TOC2"/>
            <w:tabs>
              <w:tab w:val="right" w:leader="dot" w:pos="9016"/>
            </w:tabs>
            <w:rPr>
              <w:rFonts w:ascii="Arial" w:eastAsiaTheme="minorEastAsia" w:hAnsi="Arial" w:cs="Arial"/>
              <w:noProof/>
              <w:sz w:val="22"/>
              <w:szCs w:val="22"/>
              <w:lang w:eastAsia="en-GB"/>
            </w:rPr>
          </w:pPr>
          <w:hyperlink w:anchor="_Toc214389929" w:history="1">
            <w:r w:rsidRPr="005E7AF9">
              <w:rPr>
                <w:rStyle w:val="Hyperlink"/>
                <w:rFonts w:ascii="Arial" w:hAnsi="Arial" w:cs="Arial"/>
                <w:noProof/>
                <w:sz w:val="22"/>
                <w:szCs w:val="22"/>
              </w:rPr>
              <w:t>SWOT Analysis Table</w:t>
            </w:r>
            <w:r w:rsidRPr="005E7AF9">
              <w:rPr>
                <w:rFonts w:ascii="Arial" w:hAnsi="Arial" w:cs="Arial"/>
                <w:noProof/>
                <w:webHidden/>
                <w:sz w:val="22"/>
                <w:szCs w:val="22"/>
              </w:rPr>
              <w:tab/>
            </w:r>
            <w:r w:rsidRPr="005E7AF9">
              <w:rPr>
                <w:rFonts w:ascii="Arial" w:hAnsi="Arial" w:cs="Arial"/>
                <w:noProof/>
                <w:webHidden/>
                <w:sz w:val="22"/>
                <w:szCs w:val="22"/>
              </w:rPr>
              <w:fldChar w:fldCharType="begin"/>
            </w:r>
            <w:r w:rsidRPr="005E7AF9">
              <w:rPr>
                <w:rFonts w:ascii="Arial" w:hAnsi="Arial" w:cs="Arial"/>
                <w:noProof/>
                <w:webHidden/>
                <w:sz w:val="22"/>
                <w:szCs w:val="22"/>
              </w:rPr>
              <w:instrText xml:space="preserve"> PAGEREF _Toc214389929 \h </w:instrText>
            </w:r>
            <w:r w:rsidRPr="005E7AF9">
              <w:rPr>
                <w:rFonts w:ascii="Arial" w:hAnsi="Arial" w:cs="Arial"/>
                <w:noProof/>
                <w:webHidden/>
                <w:sz w:val="22"/>
                <w:szCs w:val="22"/>
              </w:rPr>
            </w:r>
            <w:r w:rsidRPr="005E7AF9">
              <w:rPr>
                <w:rFonts w:ascii="Arial" w:hAnsi="Arial" w:cs="Arial"/>
                <w:noProof/>
                <w:webHidden/>
                <w:sz w:val="22"/>
                <w:szCs w:val="22"/>
              </w:rPr>
              <w:fldChar w:fldCharType="separate"/>
            </w:r>
            <w:r w:rsidRPr="005E7AF9">
              <w:rPr>
                <w:rFonts w:ascii="Arial" w:hAnsi="Arial" w:cs="Arial"/>
                <w:noProof/>
                <w:webHidden/>
                <w:sz w:val="22"/>
                <w:szCs w:val="22"/>
              </w:rPr>
              <w:t>5</w:t>
            </w:r>
            <w:r w:rsidRPr="005E7AF9">
              <w:rPr>
                <w:rFonts w:ascii="Arial" w:hAnsi="Arial" w:cs="Arial"/>
                <w:noProof/>
                <w:webHidden/>
                <w:sz w:val="22"/>
                <w:szCs w:val="22"/>
              </w:rPr>
              <w:fldChar w:fldCharType="end"/>
            </w:r>
          </w:hyperlink>
        </w:p>
        <w:p w14:paraId="0EC12407" w14:textId="630C8EBF" w:rsidR="005E7AF9" w:rsidRPr="005E7AF9" w:rsidRDefault="005E7AF9">
          <w:pPr>
            <w:pStyle w:val="TOC2"/>
            <w:tabs>
              <w:tab w:val="right" w:leader="dot" w:pos="9016"/>
            </w:tabs>
            <w:rPr>
              <w:rFonts w:ascii="Arial" w:eastAsiaTheme="minorEastAsia" w:hAnsi="Arial" w:cs="Arial"/>
              <w:noProof/>
              <w:sz w:val="22"/>
              <w:szCs w:val="22"/>
              <w:lang w:eastAsia="en-GB"/>
            </w:rPr>
          </w:pPr>
          <w:hyperlink w:anchor="_Toc214389931" w:history="1">
            <w:r w:rsidRPr="005E7AF9">
              <w:rPr>
                <w:rStyle w:val="Hyperlink"/>
                <w:rFonts w:ascii="Arial" w:hAnsi="Arial" w:cs="Arial"/>
                <w:noProof/>
                <w:sz w:val="22"/>
                <w:szCs w:val="22"/>
              </w:rPr>
              <w:t>PESTEL analysis</w:t>
            </w:r>
            <w:r w:rsidRPr="005E7AF9">
              <w:rPr>
                <w:rFonts w:ascii="Arial" w:hAnsi="Arial" w:cs="Arial"/>
                <w:noProof/>
                <w:webHidden/>
                <w:sz w:val="22"/>
                <w:szCs w:val="22"/>
              </w:rPr>
              <w:tab/>
            </w:r>
            <w:r w:rsidRPr="005E7AF9">
              <w:rPr>
                <w:rFonts w:ascii="Arial" w:hAnsi="Arial" w:cs="Arial"/>
                <w:noProof/>
                <w:webHidden/>
                <w:sz w:val="22"/>
                <w:szCs w:val="22"/>
              </w:rPr>
              <w:fldChar w:fldCharType="begin"/>
            </w:r>
            <w:r w:rsidRPr="005E7AF9">
              <w:rPr>
                <w:rFonts w:ascii="Arial" w:hAnsi="Arial" w:cs="Arial"/>
                <w:noProof/>
                <w:webHidden/>
                <w:sz w:val="22"/>
                <w:szCs w:val="22"/>
              </w:rPr>
              <w:instrText xml:space="preserve"> PAGEREF _Toc214389931 \h </w:instrText>
            </w:r>
            <w:r w:rsidRPr="005E7AF9">
              <w:rPr>
                <w:rFonts w:ascii="Arial" w:hAnsi="Arial" w:cs="Arial"/>
                <w:noProof/>
                <w:webHidden/>
                <w:sz w:val="22"/>
                <w:szCs w:val="22"/>
              </w:rPr>
            </w:r>
            <w:r w:rsidRPr="005E7AF9">
              <w:rPr>
                <w:rFonts w:ascii="Arial" w:hAnsi="Arial" w:cs="Arial"/>
                <w:noProof/>
                <w:webHidden/>
                <w:sz w:val="22"/>
                <w:szCs w:val="22"/>
              </w:rPr>
              <w:fldChar w:fldCharType="separate"/>
            </w:r>
            <w:r w:rsidRPr="005E7AF9">
              <w:rPr>
                <w:rFonts w:ascii="Arial" w:hAnsi="Arial" w:cs="Arial"/>
                <w:noProof/>
                <w:webHidden/>
                <w:sz w:val="22"/>
                <w:szCs w:val="22"/>
              </w:rPr>
              <w:t>5</w:t>
            </w:r>
            <w:r w:rsidRPr="005E7AF9">
              <w:rPr>
                <w:rFonts w:ascii="Arial" w:hAnsi="Arial" w:cs="Arial"/>
                <w:noProof/>
                <w:webHidden/>
                <w:sz w:val="22"/>
                <w:szCs w:val="22"/>
              </w:rPr>
              <w:fldChar w:fldCharType="end"/>
            </w:r>
          </w:hyperlink>
        </w:p>
        <w:p w14:paraId="228FD3A5" w14:textId="1CE214D7" w:rsidR="005E7AF9" w:rsidRPr="005E7AF9" w:rsidRDefault="005E7AF9">
          <w:pPr>
            <w:pStyle w:val="TOC2"/>
            <w:tabs>
              <w:tab w:val="right" w:leader="dot" w:pos="9016"/>
            </w:tabs>
            <w:rPr>
              <w:rFonts w:ascii="Arial" w:eastAsiaTheme="minorEastAsia" w:hAnsi="Arial" w:cs="Arial"/>
              <w:noProof/>
              <w:sz w:val="22"/>
              <w:szCs w:val="22"/>
              <w:lang w:eastAsia="en-GB"/>
            </w:rPr>
          </w:pPr>
          <w:hyperlink w:anchor="_Toc214389932" w:history="1">
            <w:r w:rsidRPr="005E7AF9">
              <w:rPr>
                <w:rStyle w:val="Hyperlink"/>
                <w:rFonts w:ascii="Arial" w:hAnsi="Arial" w:cs="Arial"/>
                <w:noProof/>
                <w:sz w:val="22"/>
                <w:szCs w:val="22"/>
              </w:rPr>
              <w:t>PESTEL Table.</w:t>
            </w:r>
            <w:r w:rsidRPr="005E7AF9">
              <w:rPr>
                <w:rFonts w:ascii="Arial" w:hAnsi="Arial" w:cs="Arial"/>
                <w:noProof/>
                <w:webHidden/>
                <w:sz w:val="22"/>
                <w:szCs w:val="22"/>
              </w:rPr>
              <w:tab/>
            </w:r>
            <w:r w:rsidRPr="005E7AF9">
              <w:rPr>
                <w:rFonts w:ascii="Arial" w:hAnsi="Arial" w:cs="Arial"/>
                <w:noProof/>
                <w:webHidden/>
                <w:sz w:val="22"/>
                <w:szCs w:val="22"/>
              </w:rPr>
              <w:fldChar w:fldCharType="begin"/>
            </w:r>
            <w:r w:rsidRPr="005E7AF9">
              <w:rPr>
                <w:rFonts w:ascii="Arial" w:hAnsi="Arial" w:cs="Arial"/>
                <w:noProof/>
                <w:webHidden/>
                <w:sz w:val="22"/>
                <w:szCs w:val="22"/>
              </w:rPr>
              <w:instrText xml:space="preserve"> PAGEREF _Toc214389932 \h </w:instrText>
            </w:r>
            <w:r w:rsidRPr="005E7AF9">
              <w:rPr>
                <w:rFonts w:ascii="Arial" w:hAnsi="Arial" w:cs="Arial"/>
                <w:noProof/>
                <w:webHidden/>
                <w:sz w:val="22"/>
                <w:szCs w:val="22"/>
              </w:rPr>
            </w:r>
            <w:r w:rsidRPr="005E7AF9">
              <w:rPr>
                <w:rFonts w:ascii="Arial" w:hAnsi="Arial" w:cs="Arial"/>
                <w:noProof/>
                <w:webHidden/>
                <w:sz w:val="22"/>
                <w:szCs w:val="22"/>
              </w:rPr>
              <w:fldChar w:fldCharType="separate"/>
            </w:r>
            <w:r w:rsidRPr="005E7AF9">
              <w:rPr>
                <w:rFonts w:ascii="Arial" w:hAnsi="Arial" w:cs="Arial"/>
                <w:noProof/>
                <w:webHidden/>
                <w:sz w:val="22"/>
                <w:szCs w:val="22"/>
              </w:rPr>
              <w:t>6</w:t>
            </w:r>
            <w:r w:rsidRPr="005E7AF9">
              <w:rPr>
                <w:rFonts w:ascii="Arial" w:hAnsi="Arial" w:cs="Arial"/>
                <w:noProof/>
                <w:webHidden/>
                <w:sz w:val="22"/>
                <w:szCs w:val="22"/>
              </w:rPr>
              <w:fldChar w:fldCharType="end"/>
            </w:r>
          </w:hyperlink>
        </w:p>
        <w:p w14:paraId="02B73624" w14:textId="28FAE906" w:rsidR="005E7AF9" w:rsidRPr="005E7AF9" w:rsidRDefault="005E7AF9">
          <w:pPr>
            <w:pStyle w:val="TOC2"/>
            <w:tabs>
              <w:tab w:val="right" w:leader="dot" w:pos="9016"/>
            </w:tabs>
            <w:rPr>
              <w:rFonts w:ascii="Arial" w:eastAsiaTheme="minorEastAsia" w:hAnsi="Arial" w:cs="Arial"/>
              <w:noProof/>
              <w:sz w:val="22"/>
              <w:szCs w:val="22"/>
              <w:lang w:eastAsia="en-GB"/>
            </w:rPr>
          </w:pPr>
          <w:hyperlink w:anchor="_Toc214389933" w:history="1">
            <w:r w:rsidRPr="005E7AF9">
              <w:rPr>
                <w:rStyle w:val="Hyperlink"/>
                <w:rFonts w:ascii="Arial" w:hAnsi="Arial" w:cs="Arial"/>
                <w:noProof/>
                <w:sz w:val="22"/>
                <w:szCs w:val="22"/>
              </w:rPr>
              <w:t>HUMA SMART objectives</w:t>
            </w:r>
            <w:r w:rsidRPr="005E7AF9">
              <w:rPr>
                <w:rFonts w:ascii="Arial" w:hAnsi="Arial" w:cs="Arial"/>
                <w:noProof/>
                <w:webHidden/>
                <w:sz w:val="22"/>
                <w:szCs w:val="22"/>
              </w:rPr>
              <w:tab/>
            </w:r>
            <w:r w:rsidRPr="005E7AF9">
              <w:rPr>
                <w:rFonts w:ascii="Arial" w:hAnsi="Arial" w:cs="Arial"/>
                <w:noProof/>
                <w:webHidden/>
                <w:sz w:val="22"/>
                <w:szCs w:val="22"/>
              </w:rPr>
              <w:fldChar w:fldCharType="begin"/>
            </w:r>
            <w:r w:rsidRPr="005E7AF9">
              <w:rPr>
                <w:rFonts w:ascii="Arial" w:hAnsi="Arial" w:cs="Arial"/>
                <w:noProof/>
                <w:webHidden/>
                <w:sz w:val="22"/>
                <w:szCs w:val="22"/>
              </w:rPr>
              <w:instrText xml:space="preserve"> PAGEREF _Toc214389933 \h </w:instrText>
            </w:r>
            <w:r w:rsidRPr="005E7AF9">
              <w:rPr>
                <w:rFonts w:ascii="Arial" w:hAnsi="Arial" w:cs="Arial"/>
                <w:noProof/>
                <w:webHidden/>
                <w:sz w:val="22"/>
                <w:szCs w:val="22"/>
              </w:rPr>
            </w:r>
            <w:r w:rsidRPr="005E7AF9">
              <w:rPr>
                <w:rFonts w:ascii="Arial" w:hAnsi="Arial" w:cs="Arial"/>
                <w:noProof/>
                <w:webHidden/>
                <w:sz w:val="22"/>
                <w:szCs w:val="22"/>
              </w:rPr>
              <w:fldChar w:fldCharType="separate"/>
            </w:r>
            <w:r w:rsidRPr="005E7AF9">
              <w:rPr>
                <w:rFonts w:ascii="Arial" w:hAnsi="Arial" w:cs="Arial"/>
                <w:noProof/>
                <w:webHidden/>
                <w:sz w:val="22"/>
                <w:szCs w:val="22"/>
              </w:rPr>
              <w:t>6</w:t>
            </w:r>
            <w:r w:rsidRPr="005E7AF9">
              <w:rPr>
                <w:rFonts w:ascii="Arial" w:hAnsi="Arial" w:cs="Arial"/>
                <w:noProof/>
                <w:webHidden/>
                <w:sz w:val="22"/>
                <w:szCs w:val="22"/>
              </w:rPr>
              <w:fldChar w:fldCharType="end"/>
            </w:r>
          </w:hyperlink>
        </w:p>
        <w:p w14:paraId="49A4A459" w14:textId="3AE5CA40" w:rsidR="005E7AF9" w:rsidRPr="005E7AF9" w:rsidRDefault="005E7AF9">
          <w:pPr>
            <w:pStyle w:val="TOC1"/>
            <w:tabs>
              <w:tab w:val="right" w:leader="dot" w:pos="9016"/>
            </w:tabs>
            <w:rPr>
              <w:rFonts w:ascii="Arial" w:eastAsiaTheme="minorEastAsia" w:hAnsi="Arial" w:cs="Arial"/>
              <w:noProof/>
              <w:sz w:val="22"/>
              <w:szCs w:val="22"/>
              <w:lang w:eastAsia="en-GB"/>
            </w:rPr>
          </w:pPr>
          <w:hyperlink w:anchor="_Toc214389934" w:history="1">
            <w:r w:rsidRPr="005E7AF9">
              <w:rPr>
                <w:rStyle w:val="Hyperlink"/>
                <w:rFonts w:ascii="Arial" w:hAnsi="Arial" w:cs="Arial"/>
                <w:noProof/>
                <w:sz w:val="22"/>
                <w:szCs w:val="22"/>
              </w:rPr>
              <w:t>Identifying key HUMA internal and external stakeholders</w:t>
            </w:r>
            <w:r w:rsidRPr="005E7AF9">
              <w:rPr>
                <w:rFonts w:ascii="Arial" w:hAnsi="Arial" w:cs="Arial"/>
                <w:noProof/>
                <w:webHidden/>
                <w:sz w:val="22"/>
                <w:szCs w:val="22"/>
              </w:rPr>
              <w:tab/>
            </w:r>
            <w:r w:rsidRPr="005E7AF9">
              <w:rPr>
                <w:rFonts w:ascii="Arial" w:hAnsi="Arial" w:cs="Arial"/>
                <w:noProof/>
                <w:webHidden/>
                <w:sz w:val="22"/>
                <w:szCs w:val="22"/>
              </w:rPr>
              <w:fldChar w:fldCharType="begin"/>
            </w:r>
            <w:r w:rsidRPr="005E7AF9">
              <w:rPr>
                <w:rFonts w:ascii="Arial" w:hAnsi="Arial" w:cs="Arial"/>
                <w:noProof/>
                <w:webHidden/>
                <w:sz w:val="22"/>
                <w:szCs w:val="22"/>
              </w:rPr>
              <w:instrText xml:space="preserve"> PAGEREF _Toc214389934 \h </w:instrText>
            </w:r>
            <w:r w:rsidRPr="005E7AF9">
              <w:rPr>
                <w:rFonts w:ascii="Arial" w:hAnsi="Arial" w:cs="Arial"/>
                <w:noProof/>
                <w:webHidden/>
                <w:sz w:val="22"/>
                <w:szCs w:val="22"/>
              </w:rPr>
            </w:r>
            <w:r w:rsidRPr="005E7AF9">
              <w:rPr>
                <w:rFonts w:ascii="Arial" w:hAnsi="Arial" w:cs="Arial"/>
                <w:noProof/>
                <w:webHidden/>
                <w:sz w:val="22"/>
                <w:szCs w:val="22"/>
              </w:rPr>
              <w:fldChar w:fldCharType="separate"/>
            </w:r>
            <w:r w:rsidRPr="005E7AF9">
              <w:rPr>
                <w:rFonts w:ascii="Arial" w:hAnsi="Arial" w:cs="Arial"/>
                <w:noProof/>
                <w:webHidden/>
                <w:sz w:val="22"/>
                <w:szCs w:val="22"/>
              </w:rPr>
              <w:t>6</w:t>
            </w:r>
            <w:r w:rsidRPr="005E7AF9">
              <w:rPr>
                <w:rFonts w:ascii="Arial" w:hAnsi="Arial" w:cs="Arial"/>
                <w:noProof/>
                <w:webHidden/>
                <w:sz w:val="22"/>
                <w:szCs w:val="22"/>
              </w:rPr>
              <w:fldChar w:fldCharType="end"/>
            </w:r>
          </w:hyperlink>
        </w:p>
        <w:p w14:paraId="4C41B6B0" w14:textId="5E495088" w:rsidR="005E7AF9" w:rsidRPr="005E7AF9" w:rsidRDefault="005E7AF9">
          <w:pPr>
            <w:pStyle w:val="TOC2"/>
            <w:tabs>
              <w:tab w:val="right" w:leader="dot" w:pos="9016"/>
            </w:tabs>
            <w:rPr>
              <w:rFonts w:ascii="Arial" w:eastAsiaTheme="minorEastAsia" w:hAnsi="Arial" w:cs="Arial"/>
              <w:noProof/>
              <w:sz w:val="22"/>
              <w:szCs w:val="22"/>
              <w:lang w:eastAsia="en-GB"/>
            </w:rPr>
          </w:pPr>
          <w:hyperlink w:anchor="_Toc214389935" w:history="1">
            <w:r w:rsidRPr="005E7AF9">
              <w:rPr>
                <w:rStyle w:val="Hyperlink"/>
                <w:rFonts w:ascii="Arial" w:hAnsi="Arial" w:cs="Arial"/>
                <w:noProof/>
                <w:sz w:val="22"/>
                <w:szCs w:val="22"/>
              </w:rPr>
              <w:t>Stakeholder identification</w:t>
            </w:r>
            <w:r w:rsidRPr="005E7AF9">
              <w:rPr>
                <w:rFonts w:ascii="Arial" w:hAnsi="Arial" w:cs="Arial"/>
                <w:noProof/>
                <w:webHidden/>
                <w:sz w:val="22"/>
                <w:szCs w:val="22"/>
              </w:rPr>
              <w:tab/>
            </w:r>
            <w:r w:rsidRPr="005E7AF9">
              <w:rPr>
                <w:rFonts w:ascii="Arial" w:hAnsi="Arial" w:cs="Arial"/>
                <w:noProof/>
                <w:webHidden/>
                <w:sz w:val="22"/>
                <w:szCs w:val="22"/>
              </w:rPr>
              <w:fldChar w:fldCharType="begin"/>
            </w:r>
            <w:r w:rsidRPr="005E7AF9">
              <w:rPr>
                <w:rFonts w:ascii="Arial" w:hAnsi="Arial" w:cs="Arial"/>
                <w:noProof/>
                <w:webHidden/>
                <w:sz w:val="22"/>
                <w:szCs w:val="22"/>
              </w:rPr>
              <w:instrText xml:space="preserve"> PAGEREF _Toc214389935 \h </w:instrText>
            </w:r>
            <w:r w:rsidRPr="005E7AF9">
              <w:rPr>
                <w:rFonts w:ascii="Arial" w:hAnsi="Arial" w:cs="Arial"/>
                <w:noProof/>
                <w:webHidden/>
                <w:sz w:val="22"/>
                <w:szCs w:val="22"/>
              </w:rPr>
            </w:r>
            <w:r w:rsidRPr="005E7AF9">
              <w:rPr>
                <w:rFonts w:ascii="Arial" w:hAnsi="Arial" w:cs="Arial"/>
                <w:noProof/>
                <w:webHidden/>
                <w:sz w:val="22"/>
                <w:szCs w:val="22"/>
              </w:rPr>
              <w:fldChar w:fldCharType="separate"/>
            </w:r>
            <w:r w:rsidRPr="005E7AF9">
              <w:rPr>
                <w:rFonts w:ascii="Arial" w:hAnsi="Arial" w:cs="Arial"/>
                <w:noProof/>
                <w:webHidden/>
                <w:sz w:val="22"/>
                <w:szCs w:val="22"/>
              </w:rPr>
              <w:t>7</w:t>
            </w:r>
            <w:r w:rsidRPr="005E7AF9">
              <w:rPr>
                <w:rFonts w:ascii="Arial" w:hAnsi="Arial" w:cs="Arial"/>
                <w:noProof/>
                <w:webHidden/>
                <w:sz w:val="22"/>
                <w:szCs w:val="22"/>
              </w:rPr>
              <w:fldChar w:fldCharType="end"/>
            </w:r>
          </w:hyperlink>
        </w:p>
        <w:p w14:paraId="100A4BF1" w14:textId="3D59783F" w:rsidR="005E7AF9" w:rsidRPr="005E7AF9" w:rsidRDefault="005E7AF9">
          <w:pPr>
            <w:pStyle w:val="TOC2"/>
            <w:tabs>
              <w:tab w:val="right" w:leader="dot" w:pos="9016"/>
            </w:tabs>
            <w:rPr>
              <w:rFonts w:ascii="Arial" w:eastAsiaTheme="minorEastAsia" w:hAnsi="Arial" w:cs="Arial"/>
              <w:noProof/>
              <w:sz w:val="22"/>
              <w:szCs w:val="22"/>
              <w:lang w:eastAsia="en-GB"/>
            </w:rPr>
          </w:pPr>
          <w:hyperlink w:anchor="_Toc214389936" w:history="1">
            <w:r w:rsidRPr="005E7AF9">
              <w:rPr>
                <w:rStyle w:val="Hyperlink"/>
                <w:rFonts w:ascii="Arial" w:hAnsi="Arial" w:cs="Arial"/>
                <w:noProof/>
                <w:sz w:val="22"/>
                <w:szCs w:val="22"/>
              </w:rPr>
              <w:t>Identified stakeholders list</w:t>
            </w:r>
            <w:r w:rsidRPr="005E7AF9">
              <w:rPr>
                <w:rFonts w:ascii="Arial" w:hAnsi="Arial" w:cs="Arial"/>
                <w:noProof/>
                <w:webHidden/>
                <w:sz w:val="22"/>
                <w:szCs w:val="22"/>
              </w:rPr>
              <w:tab/>
            </w:r>
            <w:r w:rsidRPr="005E7AF9">
              <w:rPr>
                <w:rFonts w:ascii="Arial" w:hAnsi="Arial" w:cs="Arial"/>
                <w:noProof/>
                <w:webHidden/>
                <w:sz w:val="22"/>
                <w:szCs w:val="22"/>
              </w:rPr>
              <w:fldChar w:fldCharType="begin"/>
            </w:r>
            <w:r w:rsidRPr="005E7AF9">
              <w:rPr>
                <w:rFonts w:ascii="Arial" w:hAnsi="Arial" w:cs="Arial"/>
                <w:noProof/>
                <w:webHidden/>
                <w:sz w:val="22"/>
                <w:szCs w:val="22"/>
              </w:rPr>
              <w:instrText xml:space="preserve"> PAGEREF _Toc214389936 \h </w:instrText>
            </w:r>
            <w:r w:rsidRPr="005E7AF9">
              <w:rPr>
                <w:rFonts w:ascii="Arial" w:hAnsi="Arial" w:cs="Arial"/>
                <w:noProof/>
                <w:webHidden/>
                <w:sz w:val="22"/>
                <w:szCs w:val="22"/>
              </w:rPr>
            </w:r>
            <w:r w:rsidRPr="005E7AF9">
              <w:rPr>
                <w:rFonts w:ascii="Arial" w:hAnsi="Arial" w:cs="Arial"/>
                <w:noProof/>
                <w:webHidden/>
                <w:sz w:val="22"/>
                <w:szCs w:val="22"/>
              </w:rPr>
              <w:fldChar w:fldCharType="separate"/>
            </w:r>
            <w:r w:rsidRPr="005E7AF9">
              <w:rPr>
                <w:rFonts w:ascii="Arial" w:hAnsi="Arial" w:cs="Arial"/>
                <w:noProof/>
                <w:webHidden/>
                <w:sz w:val="22"/>
                <w:szCs w:val="22"/>
              </w:rPr>
              <w:t>7</w:t>
            </w:r>
            <w:r w:rsidRPr="005E7AF9">
              <w:rPr>
                <w:rFonts w:ascii="Arial" w:hAnsi="Arial" w:cs="Arial"/>
                <w:noProof/>
                <w:webHidden/>
                <w:sz w:val="22"/>
                <w:szCs w:val="22"/>
              </w:rPr>
              <w:fldChar w:fldCharType="end"/>
            </w:r>
          </w:hyperlink>
        </w:p>
        <w:p w14:paraId="76101365" w14:textId="038A7A6F" w:rsidR="005E7AF9" w:rsidRPr="005E7AF9" w:rsidRDefault="005E7AF9">
          <w:pPr>
            <w:pStyle w:val="TOC2"/>
            <w:tabs>
              <w:tab w:val="right" w:leader="dot" w:pos="9016"/>
            </w:tabs>
            <w:rPr>
              <w:rFonts w:ascii="Arial" w:eastAsiaTheme="minorEastAsia" w:hAnsi="Arial" w:cs="Arial"/>
              <w:noProof/>
              <w:sz w:val="22"/>
              <w:szCs w:val="22"/>
              <w:lang w:eastAsia="en-GB"/>
            </w:rPr>
          </w:pPr>
          <w:hyperlink w:anchor="_Toc214389937" w:history="1">
            <w:r w:rsidRPr="005E7AF9">
              <w:rPr>
                <w:rStyle w:val="Hyperlink"/>
                <w:rFonts w:ascii="Arial" w:hAnsi="Arial" w:cs="Arial"/>
                <w:noProof/>
                <w:sz w:val="22"/>
                <w:szCs w:val="22"/>
              </w:rPr>
              <w:t>The Stakeholders map.</w:t>
            </w:r>
            <w:r w:rsidRPr="005E7AF9">
              <w:rPr>
                <w:rFonts w:ascii="Arial" w:hAnsi="Arial" w:cs="Arial"/>
                <w:noProof/>
                <w:webHidden/>
                <w:sz w:val="22"/>
                <w:szCs w:val="22"/>
              </w:rPr>
              <w:tab/>
            </w:r>
            <w:r w:rsidRPr="005E7AF9">
              <w:rPr>
                <w:rFonts w:ascii="Arial" w:hAnsi="Arial" w:cs="Arial"/>
                <w:noProof/>
                <w:webHidden/>
                <w:sz w:val="22"/>
                <w:szCs w:val="22"/>
              </w:rPr>
              <w:fldChar w:fldCharType="begin"/>
            </w:r>
            <w:r w:rsidRPr="005E7AF9">
              <w:rPr>
                <w:rFonts w:ascii="Arial" w:hAnsi="Arial" w:cs="Arial"/>
                <w:noProof/>
                <w:webHidden/>
                <w:sz w:val="22"/>
                <w:szCs w:val="22"/>
              </w:rPr>
              <w:instrText xml:space="preserve"> PAGEREF _Toc214389937 \h </w:instrText>
            </w:r>
            <w:r w:rsidRPr="005E7AF9">
              <w:rPr>
                <w:rFonts w:ascii="Arial" w:hAnsi="Arial" w:cs="Arial"/>
                <w:noProof/>
                <w:webHidden/>
                <w:sz w:val="22"/>
                <w:szCs w:val="22"/>
              </w:rPr>
            </w:r>
            <w:r w:rsidRPr="005E7AF9">
              <w:rPr>
                <w:rFonts w:ascii="Arial" w:hAnsi="Arial" w:cs="Arial"/>
                <w:noProof/>
                <w:webHidden/>
                <w:sz w:val="22"/>
                <w:szCs w:val="22"/>
              </w:rPr>
              <w:fldChar w:fldCharType="separate"/>
            </w:r>
            <w:r w:rsidRPr="005E7AF9">
              <w:rPr>
                <w:rFonts w:ascii="Arial" w:hAnsi="Arial" w:cs="Arial"/>
                <w:noProof/>
                <w:webHidden/>
                <w:sz w:val="22"/>
                <w:szCs w:val="22"/>
              </w:rPr>
              <w:t>7</w:t>
            </w:r>
            <w:r w:rsidRPr="005E7AF9">
              <w:rPr>
                <w:rFonts w:ascii="Arial" w:hAnsi="Arial" w:cs="Arial"/>
                <w:noProof/>
                <w:webHidden/>
                <w:sz w:val="22"/>
                <w:szCs w:val="22"/>
              </w:rPr>
              <w:fldChar w:fldCharType="end"/>
            </w:r>
          </w:hyperlink>
        </w:p>
        <w:p w14:paraId="61C50865" w14:textId="595FB397" w:rsidR="005E7AF9" w:rsidRPr="005E7AF9" w:rsidRDefault="005E7AF9">
          <w:pPr>
            <w:pStyle w:val="TOC1"/>
            <w:tabs>
              <w:tab w:val="right" w:leader="dot" w:pos="9016"/>
            </w:tabs>
            <w:rPr>
              <w:rFonts w:ascii="Arial" w:eastAsiaTheme="minorEastAsia" w:hAnsi="Arial" w:cs="Arial"/>
              <w:noProof/>
              <w:sz w:val="22"/>
              <w:szCs w:val="22"/>
              <w:lang w:eastAsia="en-GB"/>
            </w:rPr>
          </w:pPr>
          <w:hyperlink w:anchor="_Toc214389938" w:history="1">
            <w:r w:rsidRPr="005E7AF9">
              <w:rPr>
                <w:rStyle w:val="Hyperlink"/>
                <w:rFonts w:ascii="Arial" w:hAnsi="Arial" w:cs="Arial"/>
                <w:noProof/>
                <w:sz w:val="22"/>
                <w:szCs w:val="22"/>
              </w:rPr>
              <w:t>The roles, responsibilities, benefits, and challenges of key HUMA stakeholders</w:t>
            </w:r>
            <w:r w:rsidRPr="005E7AF9">
              <w:rPr>
                <w:rFonts w:ascii="Arial" w:hAnsi="Arial" w:cs="Arial"/>
                <w:noProof/>
                <w:webHidden/>
                <w:sz w:val="22"/>
                <w:szCs w:val="22"/>
              </w:rPr>
              <w:tab/>
            </w:r>
            <w:r w:rsidRPr="005E7AF9">
              <w:rPr>
                <w:rFonts w:ascii="Arial" w:hAnsi="Arial" w:cs="Arial"/>
                <w:noProof/>
                <w:webHidden/>
                <w:sz w:val="22"/>
                <w:szCs w:val="22"/>
              </w:rPr>
              <w:fldChar w:fldCharType="begin"/>
            </w:r>
            <w:r w:rsidRPr="005E7AF9">
              <w:rPr>
                <w:rFonts w:ascii="Arial" w:hAnsi="Arial" w:cs="Arial"/>
                <w:noProof/>
                <w:webHidden/>
                <w:sz w:val="22"/>
                <w:szCs w:val="22"/>
              </w:rPr>
              <w:instrText xml:space="preserve"> PAGEREF _Toc214389938 \h </w:instrText>
            </w:r>
            <w:r w:rsidRPr="005E7AF9">
              <w:rPr>
                <w:rFonts w:ascii="Arial" w:hAnsi="Arial" w:cs="Arial"/>
                <w:noProof/>
                <w:webHidden/>
                <w:sz w:val="22"/>
                <w:szCs w:val="22"/>
              </w:rPr>
            </w:r>
            <w:r w:rsidRPr="005E7AF9">
              <w:rPr>
                <w:rFonts w:ascii="Arial" w:hAnsi="Arial" w:cs="Arial"/>
                <w:noProof/>
                <w:webHidden/>
                <w:sz w:val="22"/>
                <w:szCs w:val="22"/>
              </w:rPr>
              <w:fldChar w:fldCharType="separate"/>
            </w:r>
            <w:r w:rsidRPr="005E7AF9">
              <w:rPr>
                <w:rFonts w:ascii="Arial" w:hAnsi="Arial" w:cs="Arial"/>
                <w:noProof/>
                <w:webHidden/>
                <w:sz w:val="22"/>
                <w:szCs w:val="22"/>
              </w:rPr>
              <w:t>8</w:t>
            </w:r>
            <w:r w:rsidRPr="005E7AF9">
              <w:rPr>
                <w:rFonts w:ascii="Arial" w:hAnsi="Arial" w:cs="Arial"/>
                <w:noProof/>
                <w:webHidden/>
                <w:sz w:val="22"/>
                <w:szCs w:val="22"/>
              </w:rPr>
              <w:fldChar w:fldCharType="end"/>
            </w:r>
          </w:hyperlink>
        </w:p>
        <w:p w14:paraId="4F34FCBB" w14:textId="09E69D14" w:rsidR="005E7AF9" w:rsidRPr="005E7AF9" w:rsidRDefault="005E7AF9">
          <w:pPr>
            <w:pStyle w:val="TOC2"/>
            <w:tabs>
              <w:tab w:val="right" w:leader="dot" w:pos="9016"/>
            </w:tabs>
            <w:rPr>
              <w:rFonts w:ascii="Arial" w:eastAsiaTheme="minorEastAsia" w:hAnsi="Arial" w:cs="Arial"/>
              <w:noProof/>
              <w:sz w:val="22"/>
              <w:szCs w:val="22"/>
              <w:lang w:eastAsia="en-GB"/>
            </w:rPr>
          </w:pPr>
          <w:hyperlink w:anchor="_Toc214389940" w:history="1">
            <w:r w:rsidRPr="005E7AF9">
              <w:rPr>
                <w:rStyle w:val="Hyperlink"/>
                <w:rFonts w:ascii="Arial" w:hAnsi="Arial" w:cs="Arial"/>
                <w:noProof/>
                <w:sz w:val="22"/>
                <w:szCs w:val="22"/>
              </w:rPr>
              <w:t>The roles and responsibilities of key stakeholder</w:t>
            </w:r>
            <w:r w:rsidRPr="005E7AF9">
              <w:rPr>
                <w:rFonts w:ascii="Arial" w:hAnsi="Arial" w:cs="Arial"/>
                <w:noProof/>
                <w:webHidden/>
                <w:sz w:val="22"/>
                <w:szCs w:val="22"/>
              </w:rPr>
              <w:tab/>
            </w:r>
            <w:r w:rsidRPr="005E7AF9">
              <w:rPr>
                <w:rFonts w:ascii="Arial" w:hAnsi="Arial" w:cs="Arial"/>
                <w:noProof/>
                <w:webHidden/>
                <w:sz w:val="22"/>
                <w:szCs w:val="22"/>
              </w:rPr>
              <w:fldChar w:fldCharType="begin"/>
            </w:r>
            <w:r w:rsidRPr="005E7AF9">
              <w:rPr>
                <w:rFonts w:ascii="Arial" w:hAnsi="Arial" w:cs="Arial"/>
                <w:noProof/>
                <w:webHidden/>
                <w:sz w:val="22"/>
                <w:szCs w:val="22"/>
              </w:rPr>
              <w:instrText xml:space="preserve"> PAGEREF _Toc214389940 \h </w:instrText>
            </w:r>
            <w:r w:rsidRPr="005E7AF9">
              <w:rPr>
                <w:rFonts w:ascii="Arial" w:hAnsi="Arial" w:cs="Arial"/>
                <w:noProof/>
                <w:webHidden/>
                <w:sz w:val="22"/>
                <w:szCs w:val="22"/>
              </w:rPr>
            </w:r>
            <w:r w:rsidRPr="005E7AF9">
              <w:rPr>
                <w:rFonts w:ascii="Arial" w:hAnsi="Arial" w:cs="Arial"/>
                <w:noProof/>
                <w:webHidden/>
                <w:sz w:val="22"/>
                <w:szCs w:val="22"/>
              </w:rPr>
              <w:fldChar w:fldCharType="separate"/>
            </w:r>
            <w:r w:rsidRPr="005E7AF9">
              <w:rPr>
                <w:rFonts w:ascii="Arial" w:hAnsi="Arial" w:cs="Arial"/>
                <w:noProof/>
                <w:webHidden/>
                <w:sz w:val="22"/>
                <w:szCs w:val="22"/>
              </w:rPr>
              <w:t>8</w:t>
            </w:r>
            <w:r w:rsidRPr="005E7AF9">
              <w:rPr>
                <w:rFonts w:ascii="Arial" w:hAnsi="Arial" w:cs="Arial"/>
                <w:noProof/>
                <w:webHidden/>
                <w:sz w:val="22"/>
                <w:szCs w:val="22"/>
              </w:rPr>
              <w:fldChar w:fldCharType="end"/>
            </w:r>
          </w:hyperlink>
        </w:p>
        <w:p w14:paraId="3ED07AE9" w14:textId="6CE1D51C" w:rsidR="005E7AF9" w:rsidRPr="005E7AF9" w:rsidRDefault="005E7AF9">
          <w:pPr>
            <w:pStyle w:val="TOC2"/>
            <w:tabs>
              <w:tab w:val="right" w:leader="dot" w:pos="9016"/>
            </w:tabs>
            <w:rPr>
              <w:rFonts w:ascii="Arial" w:eastAsiaTheme="minorEastAsia" w:hAnsi="Arial" w:cs="Arial"/>
              <w:noProof/>
              <w:sz w:val="22"/>
              <w:szCs w:val="22"/>
              <w:lang w:eastAsia="en-GB"/>
            </w:rPr>
          </w:pPr>
          <w:hyperlink w:anchor="_Toc214389941" w:history="1">
            <w:r w:rsidRPr="005E7AF9">
              <w:rPr>
                <w:rStyle w:val="Hyperlink"/>
                <w:rFonts w:ascii="Arial" w:hAnsi="Arial" w:cs="Arial"/>
                <w:noProof/>
                <w:sz w:val="22"/>
                <w:szCs w:val="22"/>
              </w:rPr>
              <w:t>Benefits</w:t>
            </w:r>
            <w:r w:rsidRPr="005E7AF9">
              <w:rPr>
                <w:rFonts w:ascii="Arial" w:hAnsi="Arial" w:cs="Arial"/>
                <w:noProof/>
                <w:webHidden/>
                <w:sz w:val="22"/>
                <w:szCs w:val="22"/>
              </w:rPr>
              <w:tab/>
            </w:r>
            <w:r w:rsidRPr="005E7AF9">
              <w:rPr>
                <w:rFonts w:ascii="Arial" w:hAnsi="Arial" w:cs="Arial"/>
                <w:noProof/>
                <w:webHidden/>
                <w:sz w:val="22"/>
                <w:szCs w:val="22"/>
              </w:rPr>
              <w:fldChar w:fldCharType="begin"/>
            </w:r>
            <w:r w:rsidRPr="005E7AF9">
              <w:rPr>
                <w:rFonts w:ascii="Arial" w:hAnsi="Arial" w:cs="Arial"/>
                <w:noProof/>
                <w:webHidden/>
                <w:sz w:val="22"/>
                <w:szCs w:val="22"/>
              </w:rPr>
              <w:instrText xml:space="preserve"> PAGEREF _Toc214389941 \h </w:instrText>
            </w:r>
            <w:r w:rsidRPr="005E7AF9">
              <w:rPr>
                <w:rFonts w:ascii="Arial" w:hAnsi="Arial" w:cs="Arial"/>
                <w:noProof/>
                <w:webHidden/>
                <w:sz w:val="22"/>
                <w:szCs w:val="22"/>
              </w:rPr>
            </w:r>
            <w:r w:rsidRPr="005E7AF9">
              <w:rPr>
                <w:rFonts w:ascii="Arial" w:hAnsi="Arial" w:cs="Arial"/>
                <w:noProof/>
                <w:webHidden/>
                <w:sz w:val="22"/>
                <w:szCs w:val="22"/>
              </w:rPr>
              <w:fldChar w:fldCharType="separate"/>
            </w:r>
            <w:r w:rsidRPr="005E7AF9">
              <w:rPr>
                <w:rFonts w:ascii="Arial" w:hAnsi="Arial" w:cs="Arial"/>
                <w:noProof/>
                <w:webHidden/>
                <w:sz w:val="22"/>
                <w:szCs w:val="22"/>
              </w:rPr>
              <w:t>9</w:t>
            </w:r>
            <w:r w:rsidRPr="005E7AF9">
              <w:rPr>
                <w:rFonts w:ascii="Arial" w:hAnsi="Arial" w:cs="Arial"/>
                <w:noProof/>
                <w:webHidden/>
                <w:sz w:val="22"/>
                <w:szCs w:val="22"/>
              </w:rPr>
              <w:fldChar w:fldCharType="end"/>
            </w:r>
          </w:hyperlink>
        </w:p>
        <w:p w14:paraId="5F08027A" w14:textId="1EFEAB25" w:rsidR="005E7AF9" w:rsidRPr="005E7AF9" w:rsidRDefault="005E7AF9">
          <w:pPr>
            <w:pStyle w:val="TOC2"/>
            <w:tabs>
              <w:tab w:val="right" w:leader="dot" w:pos="9016"/>
            </w:tabs>
            <w:rPr>
              <w:rFonts w:ascii="Arial" w:eastAsiaTheme="minorEastAsia" w:hAnsi="Arial" w:cs="Arial"/>
              <w:noProof/>
              <w:sz w:val="22"/>
              <w:szCs w:val="22"/>
              <w:lang w:eastAsia="en-GB"/>
            </w:rPr>
          </w:pPr>
          <w:hyperlink w:anchor="_Toc214389942" w:history="1">
            <w:r w:rsidRPr="005E7AF9">
              <w:rPr>
                <w:rStyle w:val="Hyperlink"/>
                <w:rFonts w:ascii="Arial" w:hAnsi="Arial" w:cs="Arial"/>
                <w:noProof/>
                <w:sz w:val="22"/>
                <w:szCs w:val="22"/>
              </w:rPr>
              <w:t>Challenges</w:t>
            </w:r>
            <w:r w:rsidRPr="005E7AF9">
              <w:rPr>
                <w:rFonts w:ascii="Arial" w:hAnsi="Arial" w:cs="Arial"/>
                <w:noProof/>
                <w:webHidden/>
                <w:sz w:val="22"/>
                <w:szCs w:val="22"/>
              </w:rPr>
              <w:tab/>
            </w:r>
            <w:r w:rsidRPr="005E7AF9">
              <w:rPr>
                <w:rFonts w:ascii="Arial" w:hAnsi="Arial" w:cs="Arial"/>
                <w:noProof/>
                <w:webHidden/>
                <w:sz w:val="22"/>
                <w:szCs w:val="22"/>
              </w:rPr>
              <w:fldChar w:fldCharType="begin"/>
            </w:r>
            <w:r w:rsidRPr="005E7AF9">
              <w:rPr>
                <w:rFonts w:ascii="Arial" w:hAnsi="Arial" w:cs="Arial"/>
                <w:noProof/>
                <w:webHidden/>
                <w:sz w:val="22"/>
                <w:szCs w:val="22"/>
              </w:rPr>
              <w:instrText xml:space="preserve"> PAGEREF _Toc214389942 \h </w:instrText>
            </w:r>
            <w:r w:rsidRPr="005E7AF9">
              <w:rPr>
                <w:rFonts w:ascii="Arial" w:hAnsi="Arial" w:cs="Arial"/>
                <w:noProof/>
                <w:webHidden/>
                <w:sz w:val="22"/>
                <w:szCs w:val="22"/>
              </w:rPr>
            </w:r>
            <w:r w:rsidRPr="005E7AF9">
              <w:rPr>
                <w:rFonts w:ascii="Arial" w:hAnsi="Arial" w:cs="Arial"/>
                <w:noProof/>
                <w:webHidden/>
                <w:sz w:val="22"/>
                <w:szCs w:val="22"/>
              </w:rPr>
              <w:fldChar w:fldCharType="separate"/>
            </w:r>
            <w:r w:rsidRPr="005E7AF9">
              <w:rPr>
                <w:rFonts w:ascii="Arial" w:hAnsi="Arial" w:cs="Arial"/>
                <w:noProof/>
                <w:webHidden/>
                <w:sz w:val="22"/>
                <w:szCs w:val="22"/>
              </w:rPr>
              <w:t>9</w:t>
            </w:r>
            <w:r w:rsidRPr="005E7AF9">
              <w:rPr>
                <w:rFonts w:ascii="Arial" w:hAnsi="Arial" w:cs="Arial"/>
                <w:noProof/>
                <w:webHidden/>
                <w:sz w:val="22"/>
                <w:szCs w:val="22"/>
              </w:rPr>
              <w:fldChar w:fldCharType="end"/>
            </w:r>
          </w:hyperlink>
        </w:p>
        <w:p w14:paraId="5153E73F" w14:textId="1590EE09" w:rsidR="005E7AF9" w:rsidRPr="005E7AF9" w:rsidRDefault="005E7AF9">
          <w:pPr>
            <w:pStyle w:val="TOC1"/>
            <w:tabs>
              <w:tab w:val="right" w:leader="dot" w:pos="9016"/>
            </w:tabs>
            <w:rPr>
              <w:rFonts w:ascii="Arial" w:eastAsiaTheme="minorEastAsia" w:hAnsi="Arial" w:cs="Arial"/>
              <w:noProof/>
              <w:sz w:val="22"/>
              <w:szCs w:val="22"/>
              <w:lang w:eastAsia="en-GB"/>
            </w:rPr>
          </w:pPr>
          <w:hyperlink w:anchor="_Toc214389943" w:history="1">
            <w:r w:rsidRPr="005E7AF9">
              <w:rPr>
                <w:rStyle w:val="Hyperlink"/>
                <w:rFonts w:ascii="Arial" w:hAnsi="Arial" w:cs="Arial"/>
                <w:noProof/>
                <w:sz w:val="22"/>
                <w:szCs w:val="22"/>
              </w:rPr>
              <w:t>HUMA engaging stakeholders: frameworks, models, and tools</w:t>
            </w:r>
            <w:r w:rsidRPr="005E7AF9">
              <w:rPr>
                <w:rFonts w:ascii="Arial" w:hAnsi="Arial" w:cs="Arial"/>
                <w:noProof/>
                <w:webHidden/>
                <w:sz w:val="22"/>
                <w:szCs w:val="22"/>
              </w:rPr>
              <w:tab/>
            </w:r>
            <w:r w:rsidRPr="005E7AF9">
              <w:rPr>
                <w:rFonts w:ascii="Arial" w:hAnsi="Arial" w:cs="Arial"/>
                <w:noProof/>
                <w:webHidden/>
                <w:sz w:val="22"/>
                <w:szCs w:val="22"/>
              </w:rPr>
              <w:fldChar w:fldCharType="begin"/>
            </w:r>
            <w:r w:rsidRPr="005E7AF9">
              <w:rPr>
                <w:rFonts w:ascii="Arial" w:hAnsi="Arial" w:cs="Arial"/>
                <w:noProof/>
                <w:webHidden/>
                <w:sz w:val="22"/>
                <w:szCs w:val="22"/>
              </w:rPr>
              <w:instrText xml:space="preserve"> PAGEREF _Toc214389943 \h </w:instrText>
            </w:r>
            <w:r w:rsidRPr="005E7AF9">
              <w:rPr>
                <w:rFonts w:ascii="Arial" w:hAnsi="Arial" w:cs="Arial"/>
                <w:noProof/>
                <w:webHidden/>
                <w:sz w:val="22"/>
                <w:szCs w:val="22"/>
              </w:rPr>
            </w:r>
            <w:r w:rsidRPr="005E7AF9">
              <w:rPr>
                <w:rFonts w:ascii="Arial" w:hAnsi="Arial" w:cs="Arial"/>
                <w:noProof/>
                <w:webHidden/>
                <w:sz w:val="22"/>
                <w:szCs w:val="22"/>
              </w:rPr>
              <w:fldChar w:fldCharType="separate"/>
            </w:r>
            <w:r w:rsidRPr="005E7AF9">
              <w:rPr>
                <w:rFonts w:ascii="Arial" w:hAnsi="Arial" w:cs="Arial"/>
                <w:noProof/>
                <w:webHidden/>
                <w:sz w:val="22"/>
                <w:szCs w:val="22"/>
              </w:rPr>
              <w:t>10</w:t>
            </w:r>
            <w:r w:rsidRPr="005E7AF9">
              <w:rPr>
                <w:rFonts w:ascii="Arial" w:hAnsi="Arial" w:cs="Arial"/>
                <w:noProof/>
                <w:webHidden/>
                <w:sz w:val="22"/>
                <w:szCs w:val="22"/>
              </w:rPr>
              <w:fldChar w:fldCharType="end"/>
            </w:r>
          </w:hyperlink>
        </w:p>
        <w:p w14:paraId="6A82E5E2" w14:textId="4F627588" w:rsidR="005E7AF9" w:rsidRPr="005E7AF9" w:rsidRDefault="005E7AF9">
          <w:pPr>
            <w:pStyle w:val="TOC2"/>
            <w:tabs>
              <w:tab w:val="right" w:leader="dot" w:pos="9016"/>
            </w:tabs>
            <w:rPr>
              <w:rFonts w:ascii="Arial" w:eastAsiaTheme="minorEastAsia" w:hAnsi="Arial" w:cs="Arial"/>
              <w:noProof/>
              <w:sz w:val="22"/>
              <w:szCs w:val="22"/>
              <w:lang w:eastAsia="en-GB"/>
            </w:rPr>
          </w:pPr>
          <w:hyperlink w:anchor="_Toc214389945" w:history="1">
            <w:r w:rsidRPr="005E7AF9">
              <w:rPr>
                <w:rStyle w:val="Hyperlink"/>
                <w:rFonts w:ascii="Arial" w:hAnsi="Arial" w:cs="Arial"/>
                <w:noProof/>
                <w:sz w:val="22"/>
                <w:szCs w:val="22"/>
              </w:rPr>
              <w:t>HUMA Stakeholder Matrix</w:t>
            </w:r>
            <w:r w:rsidRPr="005E7AF9">
              <w:rPr>
                <w:rFonts w:ascii="Arial" w:hAnsi="Arial" w:cs="Arial"/>
                <w:noProof/>
                <w:webHidden/>
                <w:sz w:val="22"/>
                <w:szCs w:val="22"/>
              </w:rPr>
              <w:tab/>
            </w:r>
            <w:r w:rsidRPr="005E7AF9">
              <w:rPr>
                <w:rFonts w:ascii="Arial" w:hAnsi="Arial" w:cs="Arial"/>
                <w:noProof/>
                <w:webHidden/>
                <w:sz w:val="22"/>
                <w:szCs w:val="22"/>
              </w:rPr>
              <w:fldChar w:fldCharType="begin"/>
            </w:r>
            <w:r w:rsidRPr="005E7AF9">
              <w:rPr>
                <w:rFonts w:ascii="Arial" w:hAnsi="Arial" w:cs="Arial"/>
                <w:noProof/>
                <w:webHidden/>
                <w:sz w:val="22"/>
                <w:szCs w:val="22"/>
              </w:rPr>
              <w:instrText xml:space="preserve"> PAGEREF _Toc214389945 \h </w:instrText>
            </w:r>
            <w:r w:rsidRPr="005E7AF9">
              <w:rPr>
                <w:rFonts w:ascii="Arial" w:hAnsi="Arial" w:cs="Arial"/>
                <w:noProof/>
                <w:webHidden/>
                <w:sz w:val="22"/>
                <w:szCs w:val="22"/>
              </w:rPr>
            </w:r>
            <w:r w:rsidRPr="005E7AF9">
              <w:rPr>
                <w:rFonts w:ascii="Arial" w:hAnsi="Arial" w:cs="Arial"/>
                <w:noProof/>
                <w:webHidden/>
                <w:sz w:val="22"/>
                <w:szCs w:val="22"/>
              </w:rPr>
              <w:fldChar w:fldCharType="separate"/>
            </w:r>
            <w:r w:rsidRPr="005E7AF9">
              <w:rPr>
                <w:rFonts w:ascii="Arial" w:hAnsi="Arial" w:cs="Arial"/>
                <w:noProof/>
                <w:webHidden/>
                <w:sz w:val="22"/>
                <w:szCs w:val="22"/>
              </w:rPr>
              <w:t>10</w:t>
            </w:r>
            <w:r w:rsidRPr="005E7AF9">
              <w:rPr>
                <w:rFonts w:ascii="Arial" w:hAnsi="Arial" w:cs="Arial"/>
                <w:noProof/>
                <w:webHidden/>
                <w:sz w:val="22"/>
                <w:szCs w:val="22"/>
              </w:rPr>
              <w:fldChar w:fldCharType="end"/>
            </w:r>
          </w:hyperlink>
        </w:p>
        <w:p w14:paraId="3AB9EE69" w14:textId="37FDA781" w:rsidR="005E7AF9" w:rsidRPr="005E7AF9" w:rsidRDefault="005E7AF9">
          <w:pPr>
            <w:pStyle w:val="TOC2"/>
            <w:tabs>
              <w:tab w:val="right" w:leader="dot" w:pos="9016"/>
            </w:tabs>
            <w:rPr>
              <w:rFonts w:ascii="Arial" w:eastAsiaTheme="minorEastAsia" w:hAnsi="Arial" w:cs="Arial"/>
              <w:noProof/>
              <w:sz w:val="22"/>
              <w:szCs w:val="22"/>
              <w:lang w:eastAsia="en-GB"/>
            </w:rPr>
          </w:pPr>
          <w:hyperlink w:anchor="_Toc214389946" w:history="1">
            <w:r w:rsidRPr="005E7AF9">
              <w:rPr>
                <w:rStyle w:val="Hyperlink"/>
                <w:rFonts w:ascii="Arial" w:hAnsi="Arial" w:cs="Arial"/>
                <w:noProof/>
                <w:sz w:val="22"/>
                <w:szCs w:val="22"/>
              </w:rPr>
              <w:t>HUMA Stakeholder Engagement Plan</w:t>
            </w:r>
            <w:r w:rsidRPr="005E7AF9">
              <w:rPr>
                <w:rFonts w:ascii="Arial" w:hAnsi="Arial" w:cs="Arial"/>
                <w:noProof/>
                <w:webHidden/>
                <w:sz w:val="22"/>
                <w:szCs w:val="22"/>
              </w:rPr>
              <w:tab/>
            </w:r>
            <w:r w:rsidRPr="005E7AF9">
              <w:rPr>
                <w:rFonts w:ascii="Arial" w:hAnsi="Arial" w:cs="Arial"/>
                <w:noProof/>
                <w:webHidden/>
                <w:sz w:val="22"/>
                <w:szCs w:val="22"/>
              </w:rPr>
              <w:fldChar w:fldCharType="begin"/>
            </w:r>
            <w:r w:rsidRPr="005E7AF9">
              <w:rPr>
                <w:rFonts w:ascii="Arial" w:hAnsi="Arial" w:cs="Arial"/>
                <w:noProof/>
                <w:webHidden/>
                <w:sz w:val="22"/>
                <w:szCs w:val="22"/>
              </w:rPr>
              <w:instrText xml:space="preserve"> PAGEREF _Toc214389946 \h </w:instrText>
            </w:r>
            <w:r w:rsidRPr="005E7AF9">
              <w:rPr>
                <w:rFonts w:ascii="Arial" w:hAnsi="Arial" w:cs="Arial"/>
                <w:noProof/>
                <w:webHidden/>
                <w:sz w:val="22"/>
                <w:szCs w:val="22"/>
              </w:rPr>
            </w:r>
            <w:r w:rsidRPr="005E7AF9">
              <w:rPr>
                <w:rFonts w:ascii="Arial" w:hAnsi="Arial" w:cs="Arial"/>
                <w:noProof/>
                <w:webHidden/>
                <w:sz w:val="22"/>
                <w:szCs w:val="22"/>
              </w:rPr>
              <w:fldChar w:fldCharType="separate"/>
            </w:r>
            <w:r w:rsidRPr="005E7AF9">
              <w:rPr>
                <w:rFonts w:ascii="Arial" w:hAnsi="Arial" w:cs="Arial"/>
                <w:noProof/>
                <w:webHidden/>
                <w:sz w:val="22"/>
                <w:szCs w:val="22"/>
              </w:rPr>
              <w:t>11</w:t>
            </w:r>
            <w:r w:rsidRPr="005E7AF9">
              <w:rPr>
                <w:rFonts w:ascii="Arial" w:hAnsi="Arial" w:cs="Arial"/>
                <w:noProof/>
                <w:webHidden/>
                <w:sz w:val="22"/>
                <w:szCs w:val="22"/>
              </w:rPr>
              <w:fldChar w:fldCharType="end"/>
            </w:r>
          </w:hyperlink>
        </w:p>
        <w:p w14:paraId="09FC0DC9" w14:textId="0D84BE12" w:rsidR="005E7AF9" w:rsidRPr="005E7AF9" w:rsidRDefault="005E7AF9">
          <w:pPr>
            <w:pStyle w:val="TOC2"/>
            <w:tabs>
              <w:tab w:val="right" w:leader="dot" w:pos="9016"/>
            </w:tabs>
            <w:rPr>
              <w:rFonts w:ascii="Arial" w:eastAsiaTheme="minorEastAsia" w:hAnsi="Arial" w:cs="Arial"/>
              <w:noProof/>
              <w:sz w:val="22"/>
              <w:szCs w:val="22"/>
              <w:lang w:eastAsia="en-GB"/>
            </w:rPr>
          </w:pPr>
          <w:hyperlink w:anchor="_Toc214389947" w:history="1">
            <w:r w:rsidRPr="005E7AF9">
              <w:rPr>
                <w:rStyle w:val="Hyperlink"/>
                <w:rFonts w:ascii="Arial" w:hAnsi="Arial" w:cs="Arial"/>
                <w:noProof/>
                <w:sz w:val="22"/>
                <w:szCs w:val="22"/>
              </w:rPr>
              <w:t>HUMA Communication Plan</w:t>
            </w:r>
            <w:r w:rsidRPr="005E7AF9">
              <w:rPr>
                <w:rFonts w:ascii="Arial" w:hAnsi="Arial" w:cs="Arial"/>
                <w:noProof/>
                <w:webHidden/>
                <w:sz w:val="22"/>
                <w:szCs w:val="22"/>
              </w:rPr>
              <w:tab/>
            </w:r>
            <w:r w:rsidRPr="005E7AF9">
              <w:rPr>
                <w:rFonts w:ascii="Arial" w:hAnsi="Arial" w:cs="Arial"/>
                <w:noProof/>
                <w:webHidden/>
                <w:sz w:val="22"/>
                <w:szCs w:val="22"/>
              </w:rPr>
              <w:fldChar w:fldCharType="begin"/>
            </w:r>
            <w:r w:rsidRPr="005E7AF9">
              <w:rPr>
                <w:rFonts w:ascii="Arial" w:hAnsi="Arial" w:cs="Arial"/>
                <w:noProof/>
                <w:webHidden/>
                <w:sz w:val="22"/>
                <w:szCs w:val="22"/>
              </w:rPr>
              <w:instrText xml:space="preserve"> PAGEREF _Toc214389947 \h </w:instrText>
            </w:r>
            <w:r w:rsidRPr="005E7AF9">
              <w:rPr>
                <w:rFonts w:ascii="Arial" w:hAnsi="Arial" w:cs="Arial"/>
                <w:noProof/>
                <w:webHidden/>
                <w:sz w:val="22"/>
                <w:szCs w:val="22"/>
              </w:rPr>
            </w:r>
            <w:r w:rsidRPr="005E7AF9">
              <w:rPr>
                <w:rFonts w:ascii="Arial" w:hAnsi="Arial" w:cs="Arial"/>
                <w:noProof/>
                <w:webHidden/>
                <w:sz w:val="22"/>
                <w:szCs w:val="22"/>
              </w:rPr>
              <w:fldChar w:fldCharType="separate"/>
            </w:r>
            <w:r w:rsidRPr="005E7AF9">
              <w:rPr>
                <w:rFonts w:ascii="Arial" w:hAnsi="Arial" w:cs="Arial"/>
                <w:noProof/>
                <w:webHidden/>
                <w:sz w:val="22"/>
                <w:szCs w:val="22"/>
              </w:rPr>
              <w:t>12</w:t>
            </w:r>
            <w:r w:rsidRPr="005E7AF9">
              <w:rPr>
                <w:rFonts w:ascii="Arial" w:hAnsi="Arial" w:cs="Arial"/>
                <w:noProof/>
                <w:webHidden/>
                <w:sz w:val="22"/>
                <w:szCs w:val="22"/>
              </w:rPr>
              <w:fldChar w:fldCharType="end"/>
            </w:r>
          </w:hyperlink>
        </w:p>
        <w:p w14:paraId="25A9911E" w14:textId="17C46D14" w:rsidR="005E7AF9" w:rsidRPr="005E7AF9" w:rsidRDefault="005E7AF9">
          <w:pPr>
            <w:pStyle w:val="TOC2"/>
            <w:tabs>
              <w:tab w:val="right" w:leader="dot" w:pos="9016"/>
            </w:tabs>
            <w:rPr>
              <w:rFonts w:ascii="Arial" w:eastAsiaTheme="minorEastAsia" w:hAnsi="Arial" w:cs="Arial"/>
              <w:noProof/>
              <w:sz w:val="22"/>
              <w:szCs w:val="22"/>
              <w:lang w:eastAsia="en-GB"/>
            </w:rPr>
          </w:pPr>
          <w:hyperlink w:anchor="_Toc214389948" w:history="1">
            <w:r w:rsidRPr="005E7AF9">
              <w:rPr>
                <w:rStyle w:val="Hyperlink"/>
                <w:rFonts w:ascii="Arial" w:hAnsi="Arial" w:cs="Arial"/>
                <w:noProof/>
                <w:sz w:val="22"/>
                <w:szCs w:val="22"/>
              </w:rPr>
              <w:t>HUMA RACI Matrix</w:t>
            </w:r>
            <w:r w:rsidRPr="005E7AF9">
              <w:rPr>
                <w:rFonts w:ascii="Arial" w:hAnsi="Arial" w:cs="Arial"/>
                <w:noProof/>
                <w:webHidden/>
                <w:sz w:val="22"/>
                <w:szCs w:val="22"/>
              </w:rPr>
              <w:tab/>
            </w:r>
            <w:r w:rsidRPr="005E7AF9">
              <w:rPr>
                <w:rFonts w:ascii="Arial" w:hAnsi="Arial" w:cs="Arial"/>
                <w:noProof/>
                <w:webHidden/>
                <w:sz w:val="22"/>
                <w:szCs w:val="22"/>
              </w:rPr>
              <w:fldChar w:fldCharType="begin"/>
            </w:r>
            <w:r w:rsidRPr="005E7AF9">
              <w:rPr>
                <w:rFonts w:ascii="Arial" w:hAnsi="Arial" w:cs="Arial"/>
                <w:noProof/>
                <w:webHidden/>
                <w:sz w:val="22"/>
                <w:szCs w:val="22"/>
              </w:rPr>
              <w:instrText xml:space="preserve"> PAGEREF _Toc214389948 \h </w:instrText>
            </w:r>
            <w:r w:rsidRPr="005E7AF9">
              <w:rPr>
                <w:rFonts w:ascii="Arial" w:hAnsi="Arial" w:cs="Arial"/>
                <w:noProof/>
                <w:webHidden/>
                <w:sz w:val="22"/>
                <w:szCs w:val="22"/>
              </w:rPr>
            </w:r>
            <w:r w:rsidRPr="005E7AF9">
              <w:rPr>
                <w:rFonts w:ascii="Arial" w:hAnsi="Arial" w:cs="Arial"/>
                <w:noProof/>
                <w:webHidden/>
                <w:sz w:val="22"/>
                <w:szCs w:val="22"/>
              </w:rPr>
              <w:fldChar w:fldCharType="separate"/>
            </w:r>
            <w:r w:rsidRPr="005E7AF9">
              <w:rPr>
                <w:rFonts w:ascii="Arial" w:hAnsi="Arial" w:cs="Arial"/>
                <w:noProof/>
                <w:webHidden/>
                <w:sz w:val="22"/>
                <w:szCs w:val="22"/>
              </w:rPr>
              <w:t>13</w:t>
            </w:r>
            <w:r w:rsidRPr="005E7AF9">
              <w:rPr>
                <w:rFonts w:ascii="Arial" w:hAnsi="Arial" w:cs="Arial"/>
                <w:noProof/>
                <w:webHidden/>
                <w:sz w:val="22"/>
                <w:szCs w:val="22"/>
              </w:rPr>
              <w:fldChar w:fldCharType="end"/>
            </w:r>
          </w:hyperlink>
        </w:p>
        <w:p w14:paraId="7530EF1B" w14:textId="44940E5A" w:rsidR="005E7AF9" w:rsidRPr="005E7AF9" w:rsidRDefault="005E7AF9">
          <w:pPr>
            <w:pStyle w:val="TOC1"/>
            <w:tabs>
              <w:tab w:val="right" w:leader="dot" w:pos="9016"/>
            </w:tabs>
            <w:rPr>
              <w:rFonts w:ascii="Arial" w:eastAsiaTheme="minorEastAsia" w:hAnsi="Arial" w:cs="Arial"/>
              <w:noProof/>
              <w:sz w:val="22"/>
              <w:szCs w:val="22"/>
              <w:lang w:eastAsia="en-GB"/>
            </w:rPr>
          </w:pPr>
          <w:hyperlink w:anchor="_Toc214389949" w:history="1">
            <w:r w:rsidRPr="005E7AF9">
              <w:rPr>
                <w:rStyle w:val="Hyperlink"/>
                <w:rFonts w:ascii="Arial" w:hAnsi="Arial" w:cs="Arial"/>
                <w:noProof/>
                <w:sz w:val="22"/>
                <w:szCs w:val="22"/>
              </w:rPr>
              <w:t>Stakeholder engagement and conflict resolution in Huma’s launch.</w:t>
            </w:r>
            <w:r w:rsidRPr="005E7AF9">
              <w:rPr>
                <w:rFonts w:ascii="Arial" w:hAnsi="Arial" w:cs="Arial"/>
                <w:noProof/>
                <w:webHidden/>
                <w:sz w:val="22"/>
                <w:szCs w:val="22"/>
              </w:rPr>
              <w:tab/>
            </w:r>
            <w:r w:rsidRPr="005E7AF9">
              <w:rPr>
                <w:rFonts w:ascii="Arial" w:hAnsi="Arial" w:cs="Arial"/>
                <w:noProof/>
                <w:webHidden/>
                <w:sz w:val="22"/>
                <w:szCs w:val="22"/>
              </w:rPr>
              <w:fldChar w:fldCharType="begin"/>
            </w:r>
            <w:r w:rsidRPr="005E7AF9">
              <w:rPr>
                <w:rFonts w:ascii="Arial" w:hAnsi="Arial" w:cs="Arial"/>
                <w:noProof/>
                <w:webHidden/>
                <w:sz w:val="22"/>
                <w:szCs w:val="22"/>
              </w:rPr>
              <w:instrText xml:space="preserve"> PAGEREF _Toc214389949 \h </w:instrText>
            </w:r>
            <w:r w:rsidRPr="005E7AF9">
              <w:rPr>
                <w:rFonts w:ascii="Arial" w:hAnsi="Arial" w:cs="Arial"/>
                <w:noProof/>
                <w:webHidden/>
                <w:sz w:val="22"/>
                <w:szCs w:val="22"/>
              </w:rPr>
            </w:r>
            <w:r w:rsidRPr="005E7AF9">
              <w:rPr>
                <w:rFonts w:ascii="Arial" w:hAnsi="Arial" w:cs="Arial"/>
                <w:noProof/>
                <w:webHidden/>
                <w:sz w:val="22"/>
                <w:szCs w:val="22"/>
              </w:rPr>
              <w:fldChar w:fldCharType="separate"/>
            </w:r>
            <w:r w:rsidRPr="005E7AF9">
              <w:rPr>
                <w:rFonts w:ascii="Arial" w:hAnsi="Arial" w:cs="Arial"/>
                <w:noProof/>
                <w:webHidden/>
                <w:sz w:val="22"/>
                <w:szCs w:val="22"/>
              </w:rPr>
              <w:t>14</w:t>
            </w:r>
            <w:r w:rsidRPr="005E7AF9">
              <w:rPr>
                <w:rFonts w:ascii="Arial" w:hAnsi="Arial" w:cs="Arial"/>
                <w:noProof/>
                <w:webHidden/>
                <w:sz w:val="22"/>
                <w:szCs w:val="22"/>
              </w:rPr>
              <w:fldChar w:fldCharType="end"/>
            </w:r>
          </w:hyperlink>
        </w:p>
        <w:p w14:paraId="7151DC63" w14:textId="7436DF02" w:rsidR="005E7AF9" w:rsidRPr="005E7AF9" w:rsidRDefault="005E7AF9">
          <w:pPr>
            <w:pStyle w:val="TOC2"/>
            <w:tabs>
              <w:tab w:val="right" w:leader="dot" w:pos="9016"/>
            </w:tabs>
            <w:rPr>
              <w:rFonts w:ascii="Arial" w:eastAsiaTheme="minorEastAsia" w:hAnsi="Arial" w:cs="Arial"/>
              <w:noProof/>
              <w:sz w:val="22"/>
              <w:szCs w:val="22"/>
              <w:lang w:eastAsia="en-GB"/>
            </w:rPr>
          </w:pPr>
          <w:hyperlink w:anchor="_Toc214389950" w:history="1">
            <w:r w:rsidRPr="005E7AF9">
              <w:rPr>
                <w:rStyle w:val="Hyperlink"/>
                <w:rFonts w:ascii="Arial" w:hAnsi="Arial" w:cs="Arial"/>
                <w:noProof/>
                <w:sz w:val="22"/>
                <w:szCs w:val="22"/>
              </w:rPr>
              <w:t>Strategic stakeholder engagement: mapping, prioritising, and evaluating</w:t>
            </w:r>
            <w:r w:rsidRPr="005E7AF9">
              <w:rPr>
                <w:rFonts w:ascii="Arial" w:hAnsi="Arial" w:cs="Arial"/>
                <w:noProof/>
                <w:webHidden/>
                <w:sz w:val="22"/>
                <w:szCs w:val="22"/>
              </w:rPr>
              <w:tab/>
            </w:r>
            <w:r w:rsidRPr="005E7AF9">
              <w:rPr>
                <w:rFonts w:ascii="Arial" w:hAnsi="Arial" w:cs="Arial"/>
                <w:noProof/>
                <w:webHidden/>
                <w:sz w:val="22"/>
                <w:szCs w:val="22"/>
              </w:rPr>
              <w:fldChar w:fldCharType="begin"/>
            </w:r>
            <w:r w:rsidRPr="005E7AF9">
              <w:rPr>
                <w:rFonts w:ascii="Arial" w:hAnsi="Arial" w:cs="Arial"/>
                <w:noProof/>
                <w:webHidden/>
                <w:sz w:val="22"/>
                <w:szCs w:val="22"/>
              </w:rPr>
              <w:instrText xml:space="preserve"> PAGEREF _Toc214389950 \h </w:instrText>
            </w:r>
            <w:r w:rsidRPr="005E7AF9">
              <w:rPr>
                <w:rFonts w:ascii="Arial" w:hAnsi="Arial" w:cs="Arial"/>
                <w:noProof/>
                <w:webHidden/>
                <w:sz w:val="22"/>
                <w:szCs w:val="22"/>
              </w:rPr>
            </w:r>
            <w:r w:rsidRPr="005E7AF9">
              <w:rPr>
                <w:rFonts w:ascii="Arial" w:hAnsi="Arial" w:cs="Arial"/>
                <w:noProof/>
                <w:webHidden/>
                <w:sz w:val="22"/>
                <w:szCs w:val="22"/>
              </w:rPr>
              <w:fldChar w:fldCharType="separate"/>
            </w:r>
            <w:r w:rsidRPr="005E7AF9">
              <w:rPr>
                <w:rFonts w:ascii="Arial" w:hAnsi="Arial" w:cs="Arial"/>
                <w:noProof/>
                <w:webHidden/>
                <w:sz w:val="22"/>
                <w:szCs w:val="22"/>
              </w:rPr>
              <w:t>14</w:t>
            </w:r>
            <w:r w:rsidRPr="005E7AF9">
              <w:rPr>
                <w:rFonts w:ascii="Arial" w:hAnsi="Arial" w:cs="Arial"/>
                <w:noProof/>
                <w:webHidden/>
                <w:sz w:val="22"/>
                <w:szCs w:val="22"/>
              </w:rPr>
              <w:fldChar w:fldCharType="end"/>
            </w:r>
          </w:hyperlink>
        </w:p>
        <w:p w14:paraId="6C80AC49" w14:textId="0AA9335A" w:rsidR="005E7AF9" w:rsidRPr="005E7AF9" w:rsidRDefault="005E7AF9">
          <w:pPr>
            <w:pStyle w:val="TOC2"/>
            <w:tabs>
              <w:tab w:val="right" w:leader="dot" w:pos="9016"/>
            </w:tabs>
            <w:rPr>
              <w:rFonts w:ascii="Arial" w:eastAsiaTheme="minorEastAsia" w:hAnsi="Arial" w:cs="Arial"/>
              <w:noProof/>
              <w:sz w:val="22"/>
              <w:szCs w:val="22"/>
              <w:lang w:eastAsia="en-GB"/>
            </w:rPr>
          </w:pPr>
          <w:hyperlink w:anchor="_Toc214389951" w:history="1">
            <w:r w:rsidRPr="005E7AF9">
              <w:rPr>
                <w:rStyle w:val="Hyperlink"/>
                <w:rFonts w:ascii="Arial" w:hAnsi="Arial" w:cs="Arial"/>
                <w:noProof/>
                <w:sz w:val="22"/>
                <w:szCs w:val="22"/>
              </w:rPr>
              <w:t>Role and responsibilities of the Project Manager. Manage conflict 4C’s model.</w:t>
            </w:r>
            <w:r w:rsidRPr="005E7AF9">
              <w:rPr>
                <w:rFonts w:ascii="Arial" w:hAnsi="Arial" w:cs="Arial"/>
                <w:noProof/>
                <w:webHidden/>
                <w:sz w:val="22"/>
                <w:szCs w:val="22"/>
              </w:rPr>
              <w:tab/>
            </w:r>
            <w:r w:rsidRPr="005E7AF9">
              <w:rPr>
                <w:rFonts w:ascii="Arial" w:hAnsi="Arial" w:cs="Arial"/>
                <w:noProof/>
                <w:webHidden/>
                <w:sz w:val="22"/>
                <w:szCs w:val="22"/>
              </w:rPr>
              <w:fldChar w:fldCharType="begin"/>
            </w:r>
            <w:r w:rsidRPr="005E7AF9">
              <w:rPr>
                <w:rFonts w:ascii="Arial" w:hAnsi="Arial" w:cs="Arial"/>
                <w:noProof/>
                <w:webHidden/>
                <w:sz w:val="22"/>
                <w:szCs w:val="22"/>
              </w:rPr>
              <w:instrText xml:space="preserve"> PAGEREF _Toc214389951 \h </w:instrText>
            </w:r>
            <w:r w:rsidRPr="005E7AF9">
              <w:rPr>
                <w:rFonts w:ascii="Arial" w:hAnsi="Arial" w:cs="Arial"/>
                <w:noProof/>
                <w:webHidden/>
                <w:sz w:val="22"/>
                <w:szCs w:val="22"/>
              </w:rPr>
            </w:r>
            <w:r w:rsidRPr="005E7AF9">
              <w:rPr>
                <w:rFonts w:ascii="Arial" w:hAnsi="Arial" w:cs="Arial"/>
                <w:noProof/>
                <w:webHidden/>
                <w:sz w:val="22"/>
                <w:szCs w:val="22"/>
              </w:rPr>
              <w:fldChar w:fldCharType="separate"/>
            </w:r>
            <w:r w:rsidRPr="005E7AF9">
              <w:rPr>
                <w:rFonts w:ascii="Arial" w:hAnsi="Arial" w:cs="Arial"/>
                <w:noProof/>
                <w:webHidden/>
                <w:sz w:val="22"/>
                <w:szCs w:val="22"/>
              </w:rPr>
              <w:t>15</w:t>
            </w:r>
            <w:r w:rsidRPr="005E7AF9">
              <w:rPr>
                <w:rFonts w:ascii="Arial" w:hAnsi="Arial" w:cs="Arial"/>
                <w:noProof/>
                <w:webHidden/>
                <w:sz w:val="22"/>
                <w:szCs w:val="22"/>
              </w:rPr>
              <w:fldChar w:fldCharType="end"/>
            </w:r>
          </w:hyperlink>
        </w:p>
        <w:p w14:paraId="1F5E6322" w14:textId="2AF7FE86" w:rsidR="005E7AF9" w:rsidRPr="005E7AF9" w:rsidRDefault="005E7AF9">
          <w:pPr>
            <w:pStyle w:val="TOC1"/>
            <w:tabs>
              <w:tab w:val="right" w:leader="dot" w:pos="9016"/>
            </w:tabs>
            <w:rPr>
              <w:rFonts w:ascii="Arial" w:eastAsiaTheme="minorEastAsia" w:hAnsi="Arial" w:cs="Arial"/>
              <w:noProof/>
              <w:sz w:val="22"/>
              <w:szCs w:val="22"/>
              <w:lang w:eastAsia="en-GB"/>
            </w:rPr>
          </w:pPr>
          <w:hyperlink w:anchor="_Toc214389952" w:history="1">
            <w:r w:rsidRPr="005E7AF9">
              <w:rPr>
                <w:rStyle w:val="Hyperlink"/>
                <w:rFonts w:ascii="Arial" w:hAnsi="Arial" w:cs="Arial"/>
                <w:noProof/>
                <w:sz w:val="22"/>
                <w:szCs w:val="22"/>
              </w:rPr>
              <w:t>The impact of stakeholders’ engagement on HUMA business performance and recommendations for future practice.</w:t>
            </w:r>
            <w:r w:rsidRPr="005E7AF9">
              <w:rPr>
                <w:rFonts w:ascii="Arial" w:hAnsi="Arial" w:cs="Arial"/>
                <w:noProof/>
                <w:webHidden/>
                <w:sz w:val="22"/>
                <w:szCs w:val="22"/>
              </w:rPr>
              <w:tab/>
            </w:r>
            <w:r w:rsidRPr="005E7AF9">
              <w:rPr>
                <w:rFonts w:ascii="Arial" w:hAnsi="Arial" w:cs="Arial"/>
                <w:noProof/>
                <w:webHidden/>
                <w:sz w:val="22"/>
                <w:szCs w:val="22"/>
              </w:rPr>
              <w:fldChar w:fldCharType="begin"/>
            </w:r>
            <w:r w:rsidRPr="005E7AF9">
              <w:rPr>
                <w:rFonts w:ascii="Arial" w:hAnsi="Arial" w:cs="Arial"/>
                <w:noProof/>
                <w:webHidden/>
                <w:sz w:val="22"/>
                <w:szCs w:val="22"/>
              </w:rPr>
              <w:instrText xml:space="preserve"> PAGEREF _Toc214389952 \h </w:instrText>
            </w:r>
            <w:r w:rsidRPr="005E7AF9">
              <w:rPr>
                <w:rFonts w:ascii="Arial" w:hAnsi="Arial" w:cs="Arial"/>
                <w:noProof/>
                <w:webHidden/>
                <w:sz w:val="22"/>
                <w:szCs w:val="22"/>
              </w:rPr>
            </w:r>
            <w:r w:rsidRPr="005E7AF9">
              <w:rPr>
                <w:rFonts w:ascii="Arial" w:hAnsi="Arial" w:cs="Arial"/>
                <w:noProof/>
                <w:webHidden/>
                <w:sz w:val="22"/>
                <w:szCs w:val="22"/>
              </w:rPr>
              <w:fldChar w:fldCharType="separate"/>
            </w:r>
            <w:r w:rsidRPr="005E7AF9">
              <w:rPr>
                <w:rFonts w:ascii="Arial" w:hAnsi="Arial" w:cs="Arial"/>
                <w:noProof/>
                <w:webHidden/>
                <w:sz w:val="22"/>
                <w:szCs w:val="22"/>
              </w:rPr>
              <w:t>16</w:t>
            </w:r>
            <w:r w:rsidRPr="005E7AF9">
              <w:rPr>
                <w:rFonts w:ascii="Arial" w:hAnsi="Arial" w:cs="Arial"/>
                <w:noProof/>
                <w:webHidden/>
                <w:sz w:val="22"/>
                <w:szCs w:val="22"/>
              </w:rPr>
              <w:fldChar w:fldCharType="end"/>
            </w:r>
          </w:hyperlink>
        </w:p>
        <w:p w14:paraId="030DD783" w14:textId="2B9F86E8" w:rsidR="005E7AF9" w:rsidRPr="005E7AF9" w:rsidRDefault="005E7AF9">
          <w:pPr>
            <w:pStyle w:val="TOC2"/>
            <w:tabs>
              <w:tab w:val="right" w:leader="dot" w:pos="9016"/>
            </w:tabs>
            <w:rPr>
              <w:rFonts w:ascii="Arial" w:eastAsiaTheme="minorEastAsia" w:hAnsi="Arial" w:cs="Arial"/>
              <w:noProof/>
              <w:sz w:val="22"/>
              <w:szCs w:val="22"/>
              <w:lang w:eastAsia="en-GB"/>
            </w:rPr>
          </w:pPr>
          <w:hyperlink w:anchor="_Toc214389953" w:history="1">
            <w:r w:rsidRPr="005E7AF9">
              <w:rPr>
                <w:rStyle w:val="Hyperlink"/>
                <w:rFonts w:ascii="Arial" w:hAnsi="Arial" w:cs="Arial"/>
                <w:noProof/>
                <w:sz w:val="22"/>
                <w:szCs w:val="22"/>
              </w:rPr>
              <w:t>Impact of stakeholders’ engagement on HUMA business performance</w:t>
            </w:r>
            <w:r w:rsidRPr="005E7AF9">
              <w:rPr>
                <w:rFonts w:ascii="Arial" w:hAnsi="Arial" w:cs="Arial"/>
                <w:noProof/>
                <w:webHidden/>
                <w:sz w:val="22"/>
                <w:szCs w:val="22"/>
              </w:rPr>
              <w:tab/>
            </w:r>
            <w:r w:rsidRPr="005E7AF9">
              <w:rPr>
                <w:rFonts w:ascii="Arial" w:hAnsi="Arial" w:cs="Arial"/>
                <w:noProof/>
                <w:webHidden/>
                <w:sz w:val="22"/>
                <w:szCs w:val="22"/>
              </w:rPr>
              <w:fldChar w:fldCharType="begin"/>
            </w:r>
            <w:r w:rsidRPr="005E7AF9">
              <w:rPr>
                <w:rFonts w:ascii="Arial" w:hAnsi="Arial" w:cs="Arial"/>
                <w:noProof/>
                <w:webHidden/>
                <w:sz w:val="22"/>
                <w:szCs w:val="22"/>
              </w:rPr>
              <w:instrText xml:space="preserve"> PAGEREF _Toc214389953 \h </w:instrText>
            </w:r>
            <w:r w:rsidRPr="005E7AF9">
              <w:rPr>
                <w:rFonts w:ascii="Arial" w:hAnsi="Arial" w:cs="Arial"/>
                <w:noProof/>
                <w:webHidden/>
                <w:sz w:val="22"/>
                <w:szCs w:val="22"/>
              </w:rPr>
            </w:r>
            <w:r w:rsidRPr="005E7AF9">
              <w:rPr>
                <w:rFonts w:ascii="Arial" w:hAnsi="Arial" w:cs="Arial"/>
                <w:noProof/>
                <w:webHidden/>
                <w:sz w:val="22"/>
                <w:szCs w:val="22"/>
              </w:rPr>
              <w:fldChar w:fldCharType="separate"/>
            </w:r>
            <w:r w:rsidRPr="005E7AF9">
              <w:rPr>
                <w:rFonts w:ascii="Arial" w:hAnsi="Arial" w:cs="Arial"/>
                <w:noProof/>
                <w:webHidden/>
                <w:sz w:val="22"/>
                <w:szCs w:val="22"/>
              </w:rPr>
              <w:t>16</w:t>
            </w:r>
            <w:r w:rsidRPr="005E7AF9">
              <w:rPr>
                <w:rFonts w:ascii="Arial" w:hAnsi="Arial" w:cs="Arial"/>
                <w:noProof/>
                <w:webHidden/>
                <w:sz w:val="22"/>
                <w:szCs w:val="22"/>
              </w:rPr>
              <w:fldChar w:fldCharType="end"/>
            </w:r>
          </w:hyperlink>
        </w:p>
        <w:p w14:paraId="45116CFE" w14:textId="0CF49374" w:rsidR="005E7AF9" w:rsidRPr="005E7AF9" w:rsidRDefault="005E7AF9">
          <w:pPr>
            <w:pStyle w:val="TOC2"/>
            <w:tabs>
              <w:tab w:val="right" w:leader="dot" w:pos="9016"/>
            </w:tabs>
            <w:rPr>
              <w:rFonts w:ascii="Arial" w:eastAsiaTheme="minorEastAsia" w:hAnsi="Arial" w:cs="Arial"/>
              <w:noProof/>
              <w:sz w:val="22"/>
              <w:szCs w:val="22"/>
              <w:lang w:eastAsia="en-GB"/>
            </w:rPr>
          </w:pPr>
          <w:hyperlink w:anchor="_Toc214389954" w:history="1">
            <w:r w:rsidRPr="005E7AF9">
              <w:rPr>
                <w:rStyle w:val="Hyperlink"/>
                <w:rFonts w:ascii="Arial" w:hAnsi="Arial" w:cs="Arial"/>
                <w:noProof/>
                <w:sz w:val="22"/>
                <w:szCs w:val="22"/>
              </w:rPr>
              <w:t>Recommendations for future practice</w:t>
            </w:r>
            <w:r w:rsidRPr="005E7AF9">
              <w:rPr>
                <w:rFonts w:ascii="Arial" w:hAnsi="Arial" w:cs="Arial"/>
                <w:noProof/>
                <w:webHidden/>
                <w:sz w:val="22"/>
                <w:szCs w:val="22"/>
              </w:rPr>
              <w:tab/>
            </w:r>
            <w:r w:rsidRPr="005E7AF9">
              <w:rPr>
                <w:rFonts w:ascii="Arial" w:hAnsi="Arial" w:cs="Arial"/>
                <w:noProof/>
                <w:webHidden/>
                <w:sz w:val="22"/>
                <w:szCs w:val="22"/>
              </w:rPr>
              <w:fldChar w:fldCharType="begin"/>
            </w:r>
            <w:r w:rsidRPr="005E7AF9">
              <w:rPr>
                <w:rFonts w:ascii="Arial" w:hAnsi="Arial" w:cs="Arial"/>
                <w:noProof/>
                <w:webHidden/>
                <w:sz w:val="22"/>
                <w:szCs w:val="22"/>
              </w:rPr>
              <w:instrText xml:space="preserve"> PAGEREF _Toc214389954 \h </w:instrText>
            </w:r>
            <w:r w:rsidRPr="005E7AF9">
              <w:rPr>
                <w:rFonts w:ascii="Arial" w:hAnsi="Arial" w:cs="Arial"/>
                <w:noProof/>
                <w:webHidden/>
                <w:sz w:val="22"/>
                <w:szCs w:val="22"/>
              </w:rPr>
            </w:r>
            <w:r w:rsidRPr="005E7AF9">
              <w:rPr>
                <w:rFonts w:ascii="Arial" w:hAnsi="Arial" w:cs="Arial"/>
                <w:noProof/>
                <w:webHidden/>
                <w:sz w:val="22"/>
                <w:szCs w:val="22"/>
              </w:rPr>
              <w:fldChar w:fldCharType="separate"/>
            </w:r>
            <w:r w:rsidRPr="005E7AF9">
              <w:rPr>
                <w:rFonts w:ascii="Arial" w:hAnsi="Arial" w:cs="Arial"/>
                <w:noProof/>
                <w:webHidden/>
                <w:sz w:val="22"/>
                <w:szCs w:val="22"/>
              </w:rPr>
              <w:t>17</w:t>
            </w:r>
            <w:r w:rsidRPr="005E7AF9">
              <w:rPr>
                <w:rFonts w:ascii="Arial" w:hAnsi="Arial" w:cs="Arial"/>
                <w:noProof/>
                <w:webHidden/>
                <w:sz w:val="22"/>
                <w:szCs w:val="22"/>
              </w:rPr>
              <w:fldChar w:fldCharType="end"/>
            </w:r>
          </w:hyperlink>
        </w:p>
        <w:p w14:paraId="488F3327" w14:textId="5825AF65" w:rsidR="005E7AF9" w:rsidRPr="005E7AF9" w:rsidRDefault="005E7AF9">
          <w:pPr>
            <w:pStyle w:val="TOC1"/>
            <w:tabs>
              <w:tab w:val="right" w:leader="dot" w:pos="9016"/>
            </w:tabs>
            <w:rPr>
              <w:rFonts w:ascii="Arial" w:eastAsiaTheme="minorEastAsia" w:hAnsi="Arial" w:cs="Arial"/>
              <w:noProof/>
              <w:sz w:val="22"/>
              <w:szCs w:val="22"/>
              <w:lang w:eastAsia="en-GB"/>
            </w:rPr>
          </w:pPr>
          <w:hyperlink w:anchor="_Toc214389955" w:history="1">
            <w:r w:rsidRPr="005E7AF9">
              <w:rPr>
                <w:rStyle w:val="Hyperlink"/>
                <w:rFonts w:ascii="Arial" w:hAnsi="Arial" w:cs="Arial"/>
                <w:noProof/>
                <w:sz w:val="22"/>
                <w:szCs w:val="22"/>
              </w:rPr>
              <w:t>Conclusion</w:t>
            </w:r>
            <w:r w:rsidRPr="005E7AF9">
              <w:rPr>
                <w:rFonts w:ascii="Arial" w:hAnsi="Arial" w:cs="Arial"/>
                <w:noProof/>
                <w:webHidden/>
                <w:sz w:val="22"/>
                <w:szCs w:val="22"/>
              </w:rPr>
              <w:tab/>
            </w:r>
            <w:r w:rsidRPr="005E7AF9">
              <w:rPr>
                <w:rFonts w:ascii="Arial" w:hAnsi="Arial" w:cs="Arial"/>
                <w:noProof/>
                <w:webHidden/>
                <w:sz w:val="22"/>
                <w:szCs w:val="22"/>
              </w:rPr>
              <w:fldChar w:fldCharType="begin"/>
            </w:r>
            <w:r w:rsidRPr="005E7AF9">
              <w:rPr>
                <w:rFonts w:ascii="Arial" w:hAnsi="Arial" w:cs="Arial"/>
                <w:noProof/>
                <w:webHidden/>
                <w:sz w:val="22"/>
                <w:szCs w:val="22"/>
              </w:rPr>
              <w:instrText xml:space="preserve"> PAGEREF _Toc214389955 \h </w:instrText>
            </w:r>
            <w:r w:rsidRPr="005E7AF9">
              <w:rPr>
                <w:rFonts w:ascii="Arial" w:hAnsi="Arial" w:cs="Arial"/>
                <w:noProof/>
                <w:webHidden/>
                <w:sz w:val="22"/>
                <w:szCs w:val="22"/>
              </w:rPr>
            </w:r>
            <w:r w:rsidRPr="005E7AF9">
              <w:rPr>
                <w:rFonts w:ascii="Arial" w:hAnsi="Arial" w:cs="Arial"/>
                <w:noProof/>
                <w:webHidden/>
                <w:sz w:val="22"/>
                <w:szCs w:val="22"/>
              </w:rPr>
              <w:fldChar w:fldCharType="separate"/>
            </w:r>
            <w:r w:rsidRPr="005E7AF9">
              <w:rPr>
                <w:rFonts w:ascii="Arial" w:hAnsi="Arial" w:cs="Arial"/>
                <w:noProof/>
                <w:webHidden/>
                <w:sz w:val="22"/>
                <w:szCs w:val="22"/>
              </w:rPr>
              <w:t>18</w:t>
            </w:r>
            <w:r w:rsidRPr="005E7AF9">
              <w:rPr>
                <w:rFonts w:ascii="Arial" w:hAnsi="Arial" w:cs="Arial"/>
                <w:noProof/>
                <w:webHidden/>
                <w:sz w:val="22"/>
                <w:szCs w:val="22"/>
              </w:rPr>
              <w:fldChar w:fldCharType="end"/>
            </w:r>
          </w:hyperlink>
        </w:p>
        <w:p w14:paraId="38AA38B5" w14:textId="347D2614" w:rsidR="005E7AF9" w:rsidRPr="005E7AF9" w:rsidRDefault="005E7AF9">
          <w:pPr>
            <w:pStyle w:val="TOC1"/>
            <w:tabs>
              <w:tab w:val="right" w:leader="dot" w:pos="9016"/>
            </w:tabs>
            <w:rPr>
              <w:rFonts w:ascii="Arial" w:eastAsiaTheme="minorEastAsia" w:hAnsi="Arial" w:cs="Arial"/>
              <w:noProof/>
              <w:sz w:val="22"/>
              <w:szCs w:val="22"/>
              <w:lang w:eastAsia="en-GB"/>
            </w:rPr>
          </w:pPr>
          <w:hyperlink w:anchor="_Toc214389956" w:history="1">
            <w:r w:rsidRPr="005E7AF9">
              <w:rPr>
                <w:rStyle w:val="Hyperlink"/>
                <w:rFonts w:ascii="Arial" w:hAnsi="Arial" w:cs="Arial"/>
                <w:noProof/>
                <w:sz w:val="22"/>
                <w:szCs w:val="22"/>
              </w:rPr>
              <w:t>Reference:</w:t>
            </w:r>
            <w:r w:rsidRPr="005E7AF9">
              <w:rPr>
                <w:rFonts w:ascii="Arial" w:hAnsi="Arial" w:cs="Arial"/>
                <w:noProof/>
                <w:webHidden/>
                <w:sz w:val="22"/>
                <w:szCs w:val="22"/>
              </w:rPr>
              <w:tab/>
            </w:r>
            <w:r w:rsidRPr="005E7AF9">
              <w:rPr>
                <w:rFonts w:ascii="Arial" w:hAnsi="Arial" w:cs="Arial"/>
                <w:noProof/>
                <w:webHidden/>
                <w:sz w:val="22"/>
                <w:szCs w:val="22"/>
              </w:rPr>
              <w:fldChar w:fldCharType="begin"/>
            </w:r>
            <w:r w:rsidRPr="005E7AF9">
              <w:rPr>
                <w:rFonts w:ascii="Arial" w:hAnsi="Arial" w:cs="Arial"/>
                <w:noProof/>
                <w:webHidden/>
                <w:sz w:val="22"/>
                <w:szCs w:val="22"/>
              </w:rPr>
              <w:instrText xml:space="preserve"> PAGEREF _Toc214389956 \h </w:instrText>
            </w:r>
            <w:r w:rsidRPr="005E7AF9">
              <w:rPr>
                <w:rFonts w:ascii="Arial" w:hAnsi="Arial" w:cs="Arial"/>
                <w:noProof/>
                <w:webHidden/>
                <w:sz w:val="22"/>
                <w:szCs w:val="22"/>
              </w:rPr>
            </w:r>
            <w:r w:rsidRPr="005E7AF9">
              <w:rPr>
                <w:rFonts w:ascii="Arial" w:hAnsi="Arial" w:cs="Arial"/>
                <w:noProof/>
                <w:webHidden/>
                <w:sz w:val="22"/>
                <w:szCs w:val="22"/>
              </w:rPr>
              <w:fldChar w:fldCharType="separate"/>
            </w:r>
            <w:r w:rsidRPr="005E7AF9">
              <w:rPr>
                <w:rFonts w:ascii="Arial" w:hAnsi="Arial" w:cs="Arial"/>
                <w:noProof/>
                <w:webHidden/>
                <w:sz w:val="22"/>
                <w:szCs w:val="22"/>
              </w:rPr>
              <w:t>20</w:t>
            </w:r>
            <w:r w:rsidRPr="005E7AF9">
              <w:rPr>
                <w:rFonts w:ascii="Arial" w:hAnsi="Arial" w:cs="Arial"/>
                <w:noProof/>
                <w:webHidden/>
                <w:sz w:val="22"/>
                <w:szCs w:val="22"/>
              </w:rPr>
              <w:fldChar w:fldCharType="end"/>
            </w:r>
          </w:hyperlink>
        </w:p>
        <w:p w14:paraId="72EC62A0" w14:textId="1D8C9AC8" w:rsidR="00DB6362" w:rsidRPr="005E7AF9" w:rsidRDefault="00DB6362">
          <w:pPr>
            <w:rPr>
              <w:rFonts w:ascii="Arial" w:eastAsiaTheme="majorEastAsia" w:hAnsi="Arial" w:cs="Arial"/>
              <w:color w:val="0F4761" w:themeColor="accent1" w:themeShade="BF"/>
              <w:sz w:val="22"/>
              <w:szCs w:val="22"/>
            </w:rPr>
          </w:pPr>
          <w:r w:rsidRPr="0015132B">
            <w:rPr>
              <w:rFonts w:ascii="Arial" w:hAnsi="Arial" w:cs="Arial"/>
              <w:b/>
              <w:bCs/>
              <w:sz w:val="22"/>
              <w:szCs w:val="22"/>
            </w:rPr>
            <w:fldChar w:fldCharType="end"/>
          </w:r>
        </w:p>
      </w:sdtContent>
    </w:sdt>
    <w:p w14:paraId="4FB08E66" w14:textId="318EAF4C" w:rsidR="00022A8C" w:rsidRPr="0015132B" w:rsidRDefault="00086C61" w:rsidP="00FE4C56">
      <w:pPr>
        <w:pStyle w:val="Heading1"/>
        <w:spacing w:line="360" w:lineRule="auto"/>
        <w:rPr>
          <w:rFonts w:ascii="Arial" w:hAnsi="Arial" w:cs="Arial"/>
          <w:sz w:val="28"/>
          <w:szCs w:val="28"/>
        </w:rPr>
      </w:pPr>
      <w:bookmarkStart w:id="1" w:name="_Toc214389922"/>
      <w:r w:rsidRPr="0015132B">
        <w:rPr>
          <w:rFonts w:ascii="Arial" w:hAnsi="Arial" w:cs="Arial"/>
          <w:sz w:val="28"/>
          <w:szCs w:val="28"/>
        </w:rPr>
        <w:lastRenderedPageBreak/>
        <w:t xml:space="preserve">Introduction to Huma and product overview – </w:t>
      </w:r>
      <w:r w:rsidR="00BD6E27" w:rsidRPr="0015132B">
        <w:rPr>
          <w:rFonts w:ascii="Arial" w:hAnsi="Arial" w:cs="Arial"/>
          <w:sz w:val="28"/>
          <w:szCs w:val="28"/>
        </w:rPr>
        <w:t>w</w:t>
      </w:r>
      <w:r w:rsidRPr="0015132B">
        <w:rPr>
          <w:rFonts w:ascii="Arial" w:hAnsi="Arial" w:cs="Arial"/>
          <w:sz w:val="28"/>
          <w:szCs w:val="28"/>
        </w:rPr>
        <w:t xml:space="preserve">earable </w:t>
      </w:r>
      <w:r w:rsidR="00BD6E27" w:rsidRPr="0015132B">
        <w:rPr>
          <w:rFonts w:ascii="Arial" w:hAnsi="Arial" w:cs="Arial"/>
          <w:sz w:val="28"/>
          <w:szCs w:val="28"/>
        </w:rPr>
        <w:t>h</w:t>
      </w:r>
      <w:r w:rsidRPr="0015132B">
        <w:rPr>
          <w:rFonts w:ascii="Arial" w:hAnsi="Arial" w:cs="Arial"/>
          <w:sz w:val="28"/>
          <w:szCs w:val="28"/>
        </w:rPr>
        <w:t xml:space="preserve">ealth </w:t>
      </w:r>
      <w:r w:rsidR="00BD6E27" w:rsidRPr="0015132B">
        <w:rPr>
          <w:rFonts w:ascii="Arial" w:hAnsi="Arial" w:cs="Arial"/>
          <w:sz w:val="28"/>
          <w:szCs w:val="28"/>
        </w:rPr>
        <w:t>d</w:t>
      </w:r>
      <w:r w:rsidRPr="0015132B">
        <w:rPr>
          <w:rFonts w:ascii="Arial" w:hAnsi="Arial" w:cs="Arial"/>
          <w:sz w:val="28"/>
          <w:szCs w:val="28"/>
        </w:rPr>
        <w:t>evice</w:t>
      </w:r>
      <w:bookmarkEnd w:id="1"/>
    </w:p>
    <w:p w14:paraId="7E6E1D5D" w14:textId="77777777" w:rsidR="007506AF" w:rsidRPr="0015132B" w:rsidRDefault="00022A8C" w:rsidP="007506AF">
      <w:pPr>
        <w:spacing w:line="360" w:lineRule="auto"/>
        <w:jc w:val="both"/>
        <w:rPr>
          <w:rFonts w:ascii="Arial" w:hAnsi="Arial" w:cs="Arial"/>
          <w:sz w:val="22"/>
          <w:szCs w:val="22"/>
        </w:rPr>
      </w:pPr>
      <w:r w:rsidRPr="0015132B">
        <w:rPr>
          <w:rFonts w:ascii="Arial" w:hAnsi="Arial" w:cs="Arial"/>
          <w:sz w:val="22"/>
          <w:szCs w:val="22"/>
        </w:rPr>
        <w:t xml:space="preserve">The British company Huma specializes in the development of digital solutions for health care aimed at remote monitoring of patients and optimization of diagnosis and treatment. The company's technology enables virtual hospitals, home «hospital models, and certified software that is a medical device (SaMD) that serves Huma 's goal of helping people live longer and better (Huma, 2024). </w:t>
      </w:r>
      <w:proofErr w:type="gramStart"/>
      <w:r w:rsidRPr="0015132B">
        <w:rPr>
          <w:rFonts w:ascii="Arial" w:hAnsi="Arial" w:cs="Arial"/>
          <w:sz w:val="22"/>
          <w:szCs w:val="22"/>
        </w:rPr>
        <w:t>In order to</w:t>
      </w:r>
      <w:proofErr w:type="gramEnd"/>
      <w:r w:rsidRPr="0015132B">
        <w:rPr>
          <w:rFonts w:ascii="Arial" w:hAnsi="Arial" w:cs="Arial"/>
          <w:sz w:val="22"/>
          <w:szCs w:val="22"/>
        </w:rPr>
        <w:t xml:space="preserve"> improve a personalized approach to health and expand its own digital infrastructure, Huma is preparing to enter the market with a wearable device for tracking heart rate, oxygen saturation and sleep patterns. </w:t>
      </w:r>
    </w:p>
    <w:p w14:paraId="2164D772" w14:textId="61698739" w:rsidR="00086C61" w:rsidRPr="0015132B" w:rsidRDefault="00022A8C" w:rsidP="007506AF">
      <w:pPr>
        <w:spacing w:line="360" w:lineRule="auto"/>
        <w:jc w:val="both"/>
        <w:rPr>
          <w:rFonts w:ascii="Arial" w:hAnsi="Arial" w:cs="Arial"/>
          <w:sz w:val="22"/>
          <w:szCs w:val="22"/>
        </w:rPr>
      </w:pPr>
      <w:r w:rsidRPr="0015132B">
        <w:rPr>
          <w:rFonts w:ascii="Arial" w:hAnsi="Arial" w:cs="Arial"/>
          <w:sz w:val="22"/>
          <w:szCs w:val="22"/>
        </w:rPr>
        <w:t xml:space="preserve">This wearable device monitors key health indicators — pulse, blood oxygenation and sleep — for early detection of disorders and personalized recommendations. By integrating with the Huma platform, the device develops the company's digital infrastructure and works to achieve its main goal of — increasing healthy life expectancy. This system provides patients with the ability to effectively manage their condition and contact doctors instantly, which promotes the development of preventive medicine and expands the possibilities of long-distance diagnosis. The equipment provides continuous monitoring of key indicators, automatic synchronization of information in cloud storage and generates intelligent notifications about dangerous abnormalities, in particular heart rhythm disorders or sleep apnoea. </w:t>
      </w:r>
      <w:r w:rsidR="00086C61" w:rsidRPr="0015132B">
        <w:rPr>
          <w:rFonts w:ascii="Arial" w:hAnsi="Arial" w:cs="Arial"/>
          <w:sz w:val="22"/>
          <w:szCs w:val="22"/>
        </w:rPr>
        <w:t xml:space="preserve"> </w:t>
      </w:r>
    </w:p>
    <w:p w14:paraId="4CB5F1C5" w14:textId="4A4A2DDD" w:rsidR="00C71181" w:rsidRPr="0015132B" w:rsidRDefault="00C71695" w:rsidP="00FE4C56">
      <w:pPr>
        <w:pStyle w:val="Heading1"/>
        <w:spacing w:line="360" w:lineRule="auto"/>
        <w:rPr>
          <w:rFonts w:ascii="Arial" w:hAnsi="Arial" w:cs="Arial"/>
          <w:sz w:val="28"/>
          <w:szCs w:val="28"/>
        </w:rPr>
      </w:pPr>
      <w:bookmarkStart w:id="2" w:name="_Toc214389923"/>
      <w:r w:rsidRPr="0015132B">
        <w:rPr>
          <w:rFonts w:ascii="Arial" w:hAnsi="Arial" w:cs="Arial"/>
          <w:sz w:val="28"/>
          <w:szCs w:val="28"/>
        </w:rPr>
        <w:t xml:space="preserve">HUMA </w:t>
      </w:r>
      <w:r w:rsidR="00B65947" w:rsidRPr="0015132B">
        <w:rPr>
          <w:rFonts w:ascii="Arial" w:hAnsi="Arial" w:cs="Arial"/>
          <w:sz w:val="28"/>
          <w:szCs w:val="28"/>
        </w:rPr>
        <w:t>SW</w:t>
      </w:r>
      <w:r w:rsidR="00555E2C" w:rsidRPr="0015132B">
        <w:rPr>
          <w:rFonts w:ascii="Arial" w:hAnsi="Arial" w:cs="Arial"/>
          <w:sz w:val="28"/>
          <w:szCs w:val="28"/>
        </w:rPr>
        <w:t>OT analysis, PESTLE with SMART objectives</w:t>
      </w:r>
      <w:bookmarkEnd w:id="2"/>
      <w:r w:rsidR="00555E2C" w:rsidRPr="0015132B">
        <w:rPr>
          <w:rFonts w:ascii="Arial" w:hAnsi="Arial" w:cs="Arial"/>
          <w:sz w:val="28"/>
          <w:szCs w:val="28"/>
        </w:rPr>
        <w:t xml:space="preserve"> </w:t>
      </w:r>
    </w:p>
    <w:p w14:paraId="7D77D9FD" w14:textId="627E98A9" w:rsidR="00022A8C" w:rsidRPr="0015132B" w:rsidRDefault="00022A8C" w:rsidP="00022A8C">
      <w:pPr>
        <w:spacing w:line="360" w:lineRule="auto"/>
        <w:jc w:val="both"/>
        <w:rPr>
          <w:rFonts w:ascii="Arial" w:hAnsi="Arial" w:cs="Arial"/>
          <w:sz w:val="22"/>
          <w:szCs w:val="22"/>
        </w:rPr>
      </w:pPr>
      <w:r w:rsidRPr="0015132B">
        <w:rPr>
          <w:rFonts w:ascii="Arial" w:hAnsi="Arial" w:cs="Arial"/>
          <w:sz w:val="22"/>
          <w:szCs w:val="22"/>
        </w:rPr>
        <w:t>A SWOT analysis validated by the study (Namugenyi et al, 2019) identifies key innovation factors for Huma by structuring the strengths, risks and alignment of stakeholders for a successful launch.</w:t>
      </w:r>
    </w:p>
    <w:p w14:paraId="04348401" w14:textId="77777777" w:rsidR="00C71181" w:rsidRPr="0015132B" w:rsidRDefault="00E85813" w:rsidP="00FE4C56">
      <w:pPr>
        <w:pStyle w:val="Heading2"/>
        <w:spacing w:line="360" w:lineRule="auto"/>
        <w:rPr>
          <w:rFonts w:ascii="Arial" w:hAnsi="Arial" w:cs="Arial"/>
          <w:sz w:val="24"/>
          <w:szCs w:val="24"/>
        </w:rPr>
      </w:pPr>
      <w:bookmarkStart w:id="3" w:name="_Toc214389924"/>
      <w:r w:rsidRPr="0015132B">
        <w:rPr>
          <w:rFonts w:ascii="Arial" w:hAnsi="Arial" w:cs="Arial"/>
          <w:sz w:val="24"/>
          <w:szCs w:val="24"/>
        </w:rPr>
        <w:t>SWOT</w:t>
      </w:r>
      <w:bookmarkEnd w:id="3"/>
    </w:p>
    <w:p w14:paraId="2C3F42C5" w14:textId="611621EE" w:rsidR="00C71181" w:rsidRPr="0015132B" w:rsidRDefault="00022A8C" w:rsidP="00FE4C56">
      <w:pPr>
        <w:spacing w:line="360" w:lineRule="auto"/>
        <w:jc w:val="both"/>
        <w:rPr>
          <w:rFonts w:ascii="Arial" w:hAnsi="Arial" w:cs="Arial"/>
          <w:sz w:val="22"/>
          <w:szCs w:val="22"/>
        </w:rPr>
      </w:pPr>
      <w:r w:rsidRPr="0015132B">
        <w:rPr>
          <w:rFonts w:ascii="Arial" w:hAnsi="Arial" w:cs="Arial"/>
          <w:sz w:val="22"/>
          <w:szCs w:val="22"/>
        </w:rPr>
        <w:t>As a UK digital health company, Huma's new vital signs monitor requires strategic planning. A SWOT analysis effectively evaluates its internal capabilities and external market dynamics to inform strategy (Belton and Stewart, 2002).</w:t>
      </w:r>
      <w:r w:rsidR="003173EE" w:rsidRPr="0015132B">
        <w:rPr>
          <w:rFonts w:ascii="Arial" w:hAnsi="Arial" w:cs="Arial"/>
          <w:sz w:val="22"/>
          <w:szCs w:val="22"/>
        </w:rPr>
        <w:t xml:space="preserve"> </w:t>
      </w:r>
    </w:p>
    <w:p w14:paraId="23EB0D48" w14:textId="77777777" w:rsidR="00CB6975" w:rsidRPr="0015132B" w:rsidRDefault="00E85813" w:rsidP="00FE4C56">
      <w:pPr>
        <w:pStyle w:val="Heading2"/>
        <w:numPr>
          <w:ilvl w:val="0"/>
          <w:numId w:val="17"/>
        </w:numPr>
        <w:spacing w:line="360" w:lineRule="auto"/>
        <w:rPr>
          <w:rFonts w:ascii="Arial" w:hAnsi="Arial" w:cs="Arial"/>
          <w:sz w:val="24"/>
          <w:szCs w:val="24"/>
        </w:rPr>
      </w:pPr>
      <w:bookmarkStart w:id="4" w:name="_Toc214389925"/>
      <w:r w:rsidRPr="0015132B">
        <w:rPr>
          <w:rFonts w:ascii="Arial" w:hAnsi="Arial" w:cs="Arial"/>
          <w:sz w:val="24"/>
          <w:szCs w:val="24"/>
        </w:rPr>
        <w:t>Strengths</w:t>
      </w:r>
      <w:bookmarkEnd w:id="4"/>
      <w:r w:rsidRPr="0015132B">
        <w:rPr>
          <w:rFonts w:ascii="Arial" w:hAnsi="Arial" w:cs="Arial"/>
          <w:sz w:val="24"/>
          <w:szCs w:val="24"/>
        </w:rPr>
        <w:t xml:space="preserve"> </w:t>
      </w:r>
    </w:p>
    <w:p w14:paraId="16711B0F" w14:textId="353F726F" w:rsidR="00CB6975" w:rsidRPr="0015132B" w:rsidRDefault="00AD1F9D" w:rsidP="00FE4C56">
      <w:pPr>
        <w:spacing w:line="360" w:lineRule="auto"/>
        <w:jc w:val="both"/>
        <w:rPr>
          <w:rFonts w:ascii="Arial" w:hAnsi="Arial" w:cs="Arial"/>
          <w:sz w:val="22"/>
          <w:szCs w:val="22"/>
        </w:rPr>
      </w:pPr>
      <w:r w:rsidRPr="0015132B">
        <w:rPr>
          <w:rFonts w:ascii="Arial" w:hAnsi="Arial" w:cs="Arial"/>
          <w:sz w:val="22"/>
          <w:szCs w:val="22"/>
        </w:rPr>
        <w:t xml:space="preserve">Huma's market position is strengthened by already available resources: professional knowledge in the field of telemedicine, cooperation with NHS and pharmaceutical corporations, experienced specialists and a stable digital platform. This creates a solid foundation for launching a new portable device (NHSX and Kent Surrey Sussex AHSN, 2020). </w:t>
      </w:r>
      <w:r w:rsidR="00B63814" w:rsidRPr="0015132B">
        <w:rPr>
          <w:rFonts w:ascii="Arial" w:hAnsi="Arial" w:cs="Arial"/>
          <w:sz w:val="22"/>
          <w:szCs w:val="22"/>
        </w:rPr>
        <w:t>(See</w:t>
      </w:r>
      <w:r w:rsidR="00B04A09" w:rsidRPr="0015132B">
        <w:rPr>
          <w:rFonts w:ascii="Arial" w:hAnsi="Arial" w:cs="Arial"/>
          <w:sz w:val="22"/>
          <w:szCs w:val="22"/>
        </w:rPr>
        <w:t xml:space="preserve"> figure 1</w:t>
      </w:r>
      <w:r w:rsidR="00B63814" w:rsidRPr="0015132B">
        <w:rPr>
          <w:rFonts w:ascii="Arial" w:hAnsi="Arial" w:cs="Arial"/>
          <w:sz w:val="22"/>
          <w:szCs w:val="22"/>
        </w:rPr>
        <w:t>)</w:t>
      </w:r>
      <w:r w:rsidR="00B04A09" w:rsidRPr="0015132B">
        <w:rPr>
          <w:rFonts w:ascii="Arial" w:hAnsi="Arial" w:cs="Arial"/>
          <w:sz w:val="22"/>
          <w:szCs w:val="22"/>
        </w:rPr>
        <w:t>.</w:t>
      </w:r>
    </w:p>
    <w:p w14:paraId="0C6A22AA" w14:textId="77777777" w:rsidR="00CB6975" w:rsidRPr="0015132B" w:rsidRDefault="00E85813" w:rsidP="00FE4C56">
      <w:pPr>
        <w:pStyle w:val="Heading2"/>
        <w:numPr>
          <w:ilvl w:val="0"/>
          <w:numId w:val="18"/>
        </w:numPr>
        <w:spacing w:line="360" w:lineRule="auto"/>
        <w:rPr>
          <w:rFonts w:ascii="Arial" w:hAnsi="Arial" w:cs="Arial"/>
          <w:sz w:val="24"/>
          <w:szCs w:val="24"/>
        </w:rPr>
      </w:pPr>
      <w:bookmarkStart w:id="5" w:name="_Toc214389926"/>
      <w:r w:rsidRPr="0015132B">
        <w:rPr>
          <w:rFonts w:ascii="Arial" w:hAnsi="Arial" w:cs="Arial"/>
          <w:sz w:val="24"/>
          <w:szCs w:val="24"/>
        </w:rPr>
        <w:lastRenderedPageBreak/>
        <w:t>Weaknesses</w:t>
      </w:r>
      <w:bookmarkEnd w:id="5"/>
    </w:p>
    <w:p w14:paraId="0C3CCE9B" w14:textId="7F292D5B" w:rsidR="00B04A09" w:rsidRPr="0015132B" w:rsidRDefault="009710FC" w:rsidP="00B04A09">
      <w:pPr>
        <w:spacing w:line="360" w:lineRule="auto"/>
        <w:jc w:val="both"/>
        <w:rPr>
          <w:rFonts w:ascii="Arial" w:hAnsi="Arial" w:cs="Arial"/>
          <w:sz w:val="22"/>
          <w:szCs w:val="22"/>
        </w:rPr>
      </w:pPr>
      <w:r w:rsidRPr="0015132B">
        <w:rPr>
          <w:rFonts w:ascii="Arial" w:hAnsi="Arial" w:cs="Arial"/>
          <w:sz w:val="22"/>
          <w:szCs w:val="22"/>
        </w:rPr>
        <w:t>Huma faces several challenges: investor pressure requires quick commercial returns, integration with existing medical systems is resource-intensive, and scaling services makes quality control and regulatory compliance difficult (UK Tech Investment News, 2024; Office for Life Sciences, 2024).</w:t>
      </w:r>
      <w:r w:rsidR="00B04A09" w:rsidRPr="0015132B">
        <w:rPr>
          <w:rFonts w:ascii="Arial" w:hAnsi="Arial" w:cs="Arial"/>
          <w:sz w:val="22"/>
          <w:szCs w:val="22"/>
        </w:rPr>
        <w:t xml:space="preserve"> </w:t>
      </w:r>
      <w:r w:rsidR="00B63814" w:rsidRPr="0015132B">
        <w:rPr>
          <w:rFonts w:ascii="Arial" w:hAnsi="Arial" w:cs="Arial"/>
          <w:sz w:val="22"/>
          <w:szCs w:val="22"/>
        </w:rPr>
        <w:t xml:space="preserve">(See </w:t>
      </w:r>
      <w:r w:rsidR="00B04A09" w:rsidRPr="0015132B">
        <w:rPr>
          <w:rFonts w:ascii="Arial" w:hAnsi="Arial" w:cs="Arial"/>
          <w:sz w:val="22"/>
          <w:szCs w:val="22"/>
        </w:rPr>
        <w:t>figure 1</w:t>
      </w:r>
      <w:r w:rsidR="00B63814" w:rsidRPr="0015132B">
        <w:rPr>
          <w:rFonts w:ascii="Arial" w:hAnsi="Arial" w:cs="Arial"/>
          <w:sz w:val="22"/>
          <w:szCs w:val="22"/>
        </w:rPr>
        <w:t>)</w:t>
      </w:r>
      <w:r w:rsidR="00B04A09" w:rsidRPr="0015132B">
        <w:rPr>
          <w:rFonts w:ascii="Arial" w:hAnsi="Arial" w:cs="Arial"/>
          <w:sz w:val="22"/>
          <w:szCs w:val="22"/>
        </w:rPr>
        <w:t>.</w:t>
      </w:r>
    </w:p>
    <w:p w14:paraId="7E9C823E" w14:textId="11B5A464" w:rsidR="00E85813" w:rsidRPr="0015132B" w:rsidRDefault="00E85813" w:rsidP="00FE4C56">
      <w:pPr>
        <w:pStyle w:val="Heading2"/>
        <w:numPr>
          <w:ilvl w:val="0"/>
          <w:numId w:val="15"/>
        </w:numPr>
        <w:spacing w:line="360" w:lineRule="auto"/>
        <w:rPr>
          <w:rFonts w:ascii="Arial" w:hAnsi="Arial" w:cs="Arial"/>
          <w:sz w:val="24"/>
          <w:szCs w:val="24"/>
        </w:rPr>
      </w:pPr>
      <w:bookmarkStart w:id="6" w:name="_Toc214389927"/>
      <w:r w:rsidRPr="0015132B">
        <w:rPr>
          <w:rFonts w:ascii="Arial" w:hAnsi="Arial" w:cs="Arial"/>
          <w:sz w:val="24"/>
          <w:szCs w:val="24"/>
        </w:rPr>
        <w:t>Opportunities</w:t>
      </w:r>
      <w:bookmarkEnd w:id="6"/>
      <w:r w:rsidRPr="0015132B">
        <w:rPr>
          <w:rFonts w:ascii="Arial" w:hAnsi="Arial" w:cs="Arial"/>
          <w:sz w:val="24"/>
          <w:szCs w:val="24"/>
        </w:rPr>
        <w:t xml:space="preserve"> </w:t>
      </w:r>
    </w:p>
    <w:p w14:paraId="3EDB6D05" w14:textId="19EBDAF0" w:rsidR="00B04A09" w:rsidRPr="0015132B" w:rsidRDefault="009C54A4" w:rsidP="00B04A09">
      <w:pPr>
        <w:spacing w:line="360" w:lineRule="auto"/>
        <w:jc w:val="both"/>
        <w:rPr>
          <w:rFonts w:ascii="Arial" w:hAnsi="Arial" w:cs="Arial"/>
          <w:sz w:val="22"/>
          <w:szCs w:val="22"/>
        </w:rPr>
      </w:pPr>
      <w:r w:rsidRPr="0015132B">
        <w:rPr>
          <w:rFonts w:ascii="Arial" w:hAnsi="Arial" w:cs="Arial"/>
          <w:sz w:val="22"/>
          <w:szCs w:val="22"/>
        </w:rPr>
        <w:t>Personalized telemedicine is showing growing demand (Khan and Duncan, 2025), and Huma's $80 million funding (Prosser, 2024) is scaling artificial intelligence for digital health care.</w:t>
      </w:r>
      <w:r w:rsidR="00B9764D" w:rsidRPr="0015132B">
        <w:rPr>
          <w:rFonts w:ascii="Arial" w:hAnsi="Arial" w:cs="Arial"/>
          <w:sz w:val="22"/>
          <w:szCs w:val="22"/>
        </w:rPr>
        <w:t xml:space="preserve"> </w:t>
      </w:r>
      <w:r w:rsidR="00B63814" w:rsidRPr="0015132B">
        <w:rPr>
          <w:rFonts w:ascii="Arial" w:hAnsi="Arial" w:cs="Arial"/>
          <w:sz w:val="22"/>
          <w:szCs w:val="22"/>
        </w:rPr>
        <w:t xml:space="preserve">(See </w:t>
      </w:r>
      <w:r w:rsidR="00B04A09" w:rsidRPr="0015132B">
        <w:rPr>
          <w:rFonts w:ascii="Arial" w:hAnsi="Arial" w:cs="Arial"/>
          <w:sz w:val="22"/>
          <w:szCs w:val="22"/>
        </w:rPr>
        <w:t>figure 1</w:t>
      </w:r>
      <w:r w:rsidR="00B63814" w:rsidRPr="0015132B">
        <w:rPr>
          <w:rFonts w:ascii="Arial" w:hAnsi="Arial" w:cs="Arial"/>
          <w:sz w:val="22"/>
          <w:szCs w:val="22"/>
        </w:rPr>
        <w:t>)</w:t>
      </w:r>
      <w:r w:rsidR="00B04A09" w:rsidRPr="0015132B">
        <w:rPr>
          <w:rFonts w:ascii="Arial" w:hAnsi="Arial" w:cs="Arial"/>
          <w:sz w:val="22"/>
          <w:szCs w:val="22"/>
        </w:rPr>
        <w:t>.</w:t>
      </w:r>
    </w:p>
    <w:p w14:paraId="356FB601" w14:textId="7F77FC75" w:rsidR="00E85813" w:rsidRPr="0015132B" w:rsidRDefault="00E85813" w:rsidP="00FE4C56">
      <w:pPr>
        <w:pStyle w:val="Heading2"/>
        <w:numPr>
          <w:ilvl w:val="0"/>
          <w:numId w:val="16"/>
        </w:numPr>
        <w:spacing w:line="360" w:lineRule="auto"/>
        <w:rPr>
          <w:rFonts w:ascii="Arial" w:hAnsi="Arial" w:cs="Arial"/>
          <w:sz w:val="24"/>
          <w:szCs w:val="24"/>
        </w:rPr>
      </w:pPr>
      <w:bookmarkStart w:id="7" w:name="_Toc214389928"/>
      <w:r w:rsidRPr="0015132B">
        <w:rPr>
          <w:rFonts w:ascii="Arial" w:hAnsi="Arial" w:cs="Arial"/>
          <w:sz w:val="24"/>
          <w:szCs w:val="24"/>
        </w:rPr>
        <w:t>Threats</w:t>
      </w:r>
      <w:bookmarkEnd w:id="7"/>
    </w:p>
    <w:p w14:paraId="1EAB3E6F" w14:textId="592117F2" w:rsidR="00B04A09" w:rsidRPr="0015132B" w:rsidRDefault="009C54A4" w:rsidP="00B04A09">
      <w:pPr>
        <w:spacing w:line="360" w:lineRule="auto"/>
        <w:jc w:val="both"/>
        <w:rPr>
          <w:rFonts w:ascii="Arial" w:hAnsi="Arial" w:cs="Arial"/>
          <w:sz w:val="22"/>
          <w:szCs w:val="22"/>
        </w:rPr>
      </w:pPr>
      <w:r w:rsidRPr="0015132B">
        <w:rPr>
          <w:rFonts w:ascii="Arial" w:hAnsi="Arial" w:cs="Arial"/>
          <w:sz w:val="22"/>
          <w:szCs w:val="22"/>
        </w:rPr>
        <w:t xml:space="preserve">Despite market prospects, Huma faces serious challenges: strong competition, regulatory uncertainty and privacy risks. Jawad (2024) estimates that this could result in delays, rising costs and loss of customer confidence. </w:t>
      </w:r>
      <w:r w:rsidR="00B04A09" w:rsidRPr="0015132B">
        <w:rPr>
          <w:rFonts w:ascii="Arial" w:hAnsi="Arial" w:cs="Arial"/>
          <w:sz w:val="22"/>
          <w:szCs w:val="22"/>
        </w:rPr>
        <w:t xml:space="preserve"> </w:t>
      </w:r>
      <w:r w:rsidR="00B63814" w:rsidRPr="0015132B">
        <w:rPr>
          <w:rFonts w:ascii="Arial" w:hAnsi="Arial" w:cs="Arial"/>
          <w:sz w:val="22"/>
          <w:szCs w:val="22"/>
        </w:rPr>
        <w:t xml:space="preserve">(See </w:t>
      </w:r>
      <w:r w:rsidR="00B04A09" w:rsidRPr="0015132B">
        <w:rPr>
          <w:rFonts w:ascii="Arial" w:hAnsi="Arial" w:cs="Arial"/>
          <w:sz w:val="22"/>
          <w:szCs w:val="22"/>
        </w:rPr>
        <w:t>figure 1</w:t>
      </w:r>
      <w:r w:rsidR="00B63814" w:rsidRPr="0015132B">
        <w:rPr>
          <w:rFonts w:ascii="Arial" w:hAnsi="Arial" w:cs="Arial"/>
          <w:sz w:val="22"/>
          <w:szCs w:val="22"/>
        </w:rPr>
        <w:t>)</w:t>
      </w:r>
      <w:r w:rsidR="00B04A09" w:rsidRPr="0015132B">
        <w:rPr>
          <w:rFonts w:ascii="Arial" w:hAnsi="Arial" w:cs="Arial"/>
          <w:sz w:val="22"/>
          <w:szCs w:val="22"/>
        </w:rPr>
        <w:t>.</w:t>
      </w:r>
    </w:p>
    <w:p w14:paraId="12663F26" w14:textId="77777777" w:rsidR="00E85813" w:rsidRPr="0015132B" w:rsidRDefault="00E85813" w:rsidP="00FE4C56">
      <w:pPr>
        <w:pStyle w:val="Heading2"/>
        <w:spacing w:line="360" w:lineRule="auto"/>
        <w:rPr>
          <w:rFonts w:ascii="Arial" w:hAnsi="Arial" w:cs="Arial"/>
          <w:sz w:val="24"/>
          <w:szCs w:val="24"/>
        </w:rPr>
      </w:pPr>
      <w:r w:rsidRPr="0015132B">
        <w:rPr>
          <w:rFonts w:eastAsiaTheme="minorHAnsi"/>
        </w:rPr>
        <w:t xml:space="preserve"> </w:t>
      </w:r>
      <w:bookmarkStart w:id="8" w:name="_Toc214389929"/>
      <w:r w:rsidRPr="0015132B">
        <w:rPr>
          <w:rFonts w:ascii="Arial" w:hAnsi="Arial" w:cs="Arial"/>
          <w:sz w:val="24"/>
          <w:szCs w:val="24"/>
        </w:rPr>
        <w:t>SWOT Analysis Table</w:t>
      </w:r>
      <w:bookmarkEnd w:id="8"/>
    </w:p>
    <w:p w14:paraId="4A742862" w14:textId="51FECB3D" w:rsidR="00862FAE" w:rsidRPr="0015132B" w:rsidRDefault="00E85813" w:rsidP="00FE4C56">
      <w:pPr>
        <w:pStyle w:val="Heading2"/>
        <w:spacing w:line="360" w:lineRule="auto"/>
        <w:jc w:val="both"/>
        <w:rPr>
          <w:rFonts w:ascii="Arial" w:eastAsiaTheme="minorHAnsi" w:hAnsi="Arial" w:cs="Arial"/>
          <w:color w:val="auto"/>
          <w:sz w:val="22"/>
          <w:szCs w:val="22"/>
        </w:rPr>
      </w:pPr>
      <w:r w:rsidRPr="0015132B">
        <w:rPr>
          <w:rFonts w:ascii="Arial" w:eastAsiaTheme="minorHAnsi" w:hAnsi="Arial" w:cs="Arial"/>
          <w:color w:val="auto"/>
          <w:sz w:val="22"/>
          <w:szCs w:val="22"/>
        </w:rPr>
        <w:t xml:space="preserve"> </w:t>
      </w:r>
      <w:bookmarkStart w:id="9" w:name="_Toc214045148"/>
      <w:bookmarkStart w:id="10" w:name="_Toc214389930"/>
      <w:r w:rsidR="00F504E7" w:rsidRPr="0015132B">
        <w:rPr>
          <w:rFonts w:ascii="Arial" w:hAnsi="Arial" w:cs="Arial"/>
          <w:sz w:val="22"/>
          <w:szCs w:val="22"/>
        </w:rPr>
        <w:drawing>
          <wp:inline distT="0" distB="0" distL="0" distR="0" wp14:anchorId="6BDF2B1D" wp14:editId="00AE93B2">
            <wp:extent cx="6094036" cy="1928191"/>
            <wp:effectExtent l="0" t="0" r="2540" b="0"/>
            <wp:docPr id="18073251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325116" name="Picture 1807325116"/>
                    <pic:cNvPicPr/>
                  </pic:nvPicPr>
                  <pic:blipFill>
                    <a:blip r:embed="rId9">
                      <a:extLst>
                        <a:ext uri="{28A0092B-C50C-407E-A947-70E740481C1C}">
                          <a14:useLocalDpi xmlns:a14="http://schemas.microsoft.com/office/drawing/2010/main" val="0"/>
                        </a:ext>
                      </a:extLst>
                    </a:blip>
                    <a:stretch>
                      <a:fillRect/>
                    </a:stretch>
                  </pic:blipFill>
                  <pic:spPr>
                    <a:xfrm>
                      <a:off x="0" y="0"/>
                      <a:ext cx="6132212" cy="1940270"/>
                    </a:xfrm>
                    <a:prstGeom prst="rect">
                      <a:avLst/>
                    </a:prstGeom>
                  </pic:spPr>
                </pic:pic>
              </a:graphicData>
            </a:graphic>
          </wp:inline>
        </w:drawing>
      </w:r>
      <w:bookmarkEnd w:id="9"/>
      <w:bookmarkEnd w:id="10"/>
    </w:p>
    <w:p w14:paraId="6B57C94E" w14:textId="1397533D" w:rsidR="003173EE" w:rsidRPr="0015132B" w:rsidRDefault="003173EE" w:rsidP="003173EE">
      <w:pPr>
        <w:rPr>
          <w:rFonts w:ascii="Arial" w:hAnsi="Arial" w:cs="Arial"/>
          <w:sz w:val="22"/>
          <w:szCs w:val="22"/>
        </w:rPr>
      </w:pPr>
      <w:r w:rsidRPr="0015132B">
        <w:rPr>
          <w:rFonts w:ascii="Arial" w:hAnsi="Arial" w:cs="Arial"/>
          <w:sz w:val="22"/>
          <w:szCs w:val="22"/>
        </w:rPr>
        <w:t>Figure 1: Summary of SWOT Analysis</w:t>
      </w:r>
    </w:p>
    <w:p w14:paraId="464D4EB0" w14:textId="77777777" w:rsidR="00B04A09" w:rsidRPr="0015132B" w:rsidRDefault="00B04A09" w:rsidP="003173EE">
      <w:pPr>
        <w:rPr>
          <w:rFonts w:ascii="Arial" w:hAnsi="Arial" w:cs="Arial"/>
          <w:sz w:val="22"/>
          <w:szCs w:val="22"/>
        </w:rPr>
      </w:pPr>
    </w:p>
    <w:p w14:paraId="1CAB8A87" w14:textId="77777777" w:rsidR="00E85813" w:rsidRPr="0015132B" w:rsidRDefault="00E85813" w:rsidP="00FE4C56">
      <w:pPr>
        <w:pStyle w:val="Heading2"/>
        <w:spacing w:line="360" w:lineRule="auto"/>
        <w:rPr>
          <w:rFonts w:ascii="Arial" w:hAnsi="Arial" w:cs="Arial"/>
          <w:sz w:val="24"/>
          <w:szCs w:val="24"/>
        </w:rPr>
      </w:pPr>
      <w:bookmarkStart w:id="11" w:name="_Toc214389931"/>
      <w:r w:rsidRPr="0015132B">
        <w:rPr>
          <w:rFonts w:ascii="Arial" w:hAnsi="Arial" w:cs="Arial"/>
          <w:sz w:val="24"/>
          <w:szCs w:val="24"/>
        </w:rPr>
        <w:t>PESTEL analysis</w:t>
      </w:r>
      <w:bookmarkEnd w:id="11"/>
    </w:p>
    <w:p w14:paraId="6858190B" w14:textId="77777777" w:rsidR="00E85813" w:rsidRPr="0015132B" w:rsidRDefault="00E85813" w:rsidP="00FE4C56">
      <w:pPr>
        <w:spacing w:line="360" w:lineRule="auto"/>
        <w:jc w:val="both"/>
        <w:rPr>
          <w:rFonts w:ascii="Arial" w:hAnsi="Arial" w:cs="Arial"/>
          <w:sz w:val="22"/>
          <w:szCs w:val="22"/>
        </w:rPr>
      </w:pPr>
      <w:r w:rsidRPr="0015132B">
        <w:rPr>
          <w:rFonts w:ascii="Arial" w:hAnsi="Arial" w:cs="Arial"/>
          <w:sz w:val="22"/>
          <w:szCs w:val="22"/>
        </w:rPr>
        <w:t xml:space="preserve">PESTEL analysis is a key strategic planning tool for digital health care, as it allows identifying external risks and reconciling stakeholder positions (Pan et al., 2018). </w:t>
      </w:r>
    </w:p>
    <w:p w14:paraId="4208F863" w14:textId="5C758AC5" w:rsidR="00B04A09" w:rsidRPr="0015132B" w:rsidRDefault="009C54A4" w:rsidP="00B04A09">
      <w:pPr>
        <w:spacing w:line="360" w:lineRule="auto"/>
        <w:jc w:val="both"/>
        <w:rPr>
          <w:rFonts w:ascii="Arial" w:hAnsi="Arial" w:cs="Arial"/>
          <w:sz w:val="22"/>
          <w:szCs w:val="22"/>
        </w:rPr>
      </w:pPr>
      <w:r w:rsidRPr="0015132B">
        <w:rPr>
          <w:rFonts w:ascii="Arial" w:hAnsi="Arial" w:cs="Arial"/>
          <w:sz w:val="22"/>
          <w:szCs w:val="22"/>
        </w:rPr>
        <w:t xml:space="preserve">The macro environment for the development of the Huma wearable device is shaped by state programs of digitalization of medicine, demographic changes and regulatory requirements. According to NHS England (2023), the policy aims to stimulate innovation (NHS Plan), but at the same time strengthens controls on data protection. In the economic sphere, there is a </w:t>
      </w:r>
      <w:r w:rsidRPr="0015132B">
        <w:rPr>
          <w:rFonts w:ascii="Arial" w:hAnsi="Arial" w:cs="Arial"/>
          <w:sz w:val="22"/>
          <w:szCs w:val="22"/>
        </w:rPr>
        <w:lastRenderedPageBreak/>
        <w:t xml:space="preserve">contradiction: the market has the potential for growth, but financial instability can limit consumer demand. A powerful stimulus for telemedicine is the aging of Europe's population, which will reach 150 million people by 2050 (Eurostat, 2022). However, technological challenges such as cyber hazards (34% of all data breaches occur in healthcare) and mandatory legal requirements are key barriers (Verizon, 2023). The environmental aspect requires eco-hereditary solutions in response to 57.4 million tons of global electronic waste (UN Global E-waste Monitor, 2021). </w:t>
      </w:r>
      <w:r w:rsidR="00B63814" w:rsidRPr="0015132B">
        <w:rPr>
          <w:rFonts w:ascii="Arial" w:hAnsi="Arial" w:cs="Arial"/>
          <w:sz w:val="22"/>
          <w:szCs w:val="22"/>
        </w:rPr>
        <w:t xml:space="preserve">(See </w:t>
      </w:r>
      <w:r w:rsidR="00B04A09" w:rsidRPr="0015132B">
        <w:rPr>
          <w:rFonts w:ascii="Arial" w:hAnsi="Arial" w:cs="Arial"/>
          <w:sz w:val="22"/>
          <w:szCs w:val="22"/>
        </w:rPr>
        <w:t xml:space="preserve">figure </w:t>
      </w:r>
      <w:proofErr w:type="gramStart"/>
      <w:r w:rsidR="00B04A09" w:rsidRPr="0015132B">
        <w:rPr>
          <w:rFonts w:ascii="Arial" w:hAnsi="Arial" w:cs="Arial"/>
          <w:sz w:val="22"/>
          <w:szCs w:val="22"/>
        </w:rPr>
        <w:t xml:space="preserve">2 </w:t>
      </w:r>
      <w:r w:rsidR="00B63814" w:rsidRPr="0015132B">
        <w:rPr>
          <w:rFonts w:ascii="Arial" w:hAnsi="Arial" w:cs="Arial"/>
          <w:sz w:val="22"/>
          <w:szCs w:val="22"/>
        </w:rPr>
        <w:t>)</w:t>
      </w:r>
      <w:proofErr w:type="gramEnd"/>
      <w:r w:rsidR="00B04A09" w:rsidRPr="0015132B">
        <w:rPr>
          <w:rFonts w:ascii="Arial" w:hAnsi="Arial" w:cs="Arial"/>
          <w:sz w:val="22"/>
          <w:szCs w:val="22"/>
        </w:rPr>
        <w:t>.</w:t>
      </w:r>
    </w:p>
    <w:p w14:paraId="7BEE202D" w14:textId="6D2DCE52" w:rsidR="00E85813" w:rsidRPr="0015132B" w:rsidRDefault="00E85813" w:rsidP="00FE4C56">
      <w:pPr>
        <w:spacing w:line="360" w:lineRule="auto"/>
        <w:jc w:val="both"/>
        <w:rPr>
          <w:rFonts w:ascii="Arial" w:hAnsi="Arial" w:cs="Arial"/>
          <w:sz w:val="22"/>
          <w:szCs w:val="22"/>
        </w:rPr>
      </w:pPr>
    </w:p>
    <w:p w14:paraId="61305108" w14:textId="79C81EC5" w:rsidR="00B73498" w:rsidRPr="0015132B" w:rsidRDefault="00F841C2" w:rsidP="00FE4C56">
      <w:pPr>
        <w:pStyle w:val="Heading2"/>
        <w:spacing w:line="360" w:lineRule="auto"/>
        <w:rPr>
          <w:rFonts w:ascii="Arial" w:hAnsi="Arial" w:cs="Arial"/>
          <w:sz w:val="24"/>
          <w:szCs w:val="24"/>
        </w:rPr>
      </w:pPr>
      <w:bookmarkStart w:id="12" w:name="_Toc214389932"/>
      <w:r w:rsidRPr="0015132B">
        <w:rPr>
          <w:rStyle w:val="Heading2Char"/>
          <w:rFonts w:ascii="Arial" w:hAnsi="Arial" w:cs="Arial"/>
          <w:sz w:val="24"/>
          <w:szCs w:val="24"/>
        </w:rPr>
        <w:t>PESTEL Table</w:t>
      </w:r>
      <w:r w:rsidR="00B73498" w:rsidRPr="0015132B">
        <w:rPr>
          <w:rFonts w:ascii="Arial" w:hAnsi="Arial" w:cs="Arial"/>
          <w:sz w:val="24"/>
          <w:szCs w:val="24"/>
        </w:rPr>
        <w:t>.</w:t>
      </w:r>
      <w:bookmarkEnd w:id="12"/>
    </w:p>
    <w:p w14:paraId="382F5938" w14:textId="0DED7146" w:rsidR="00EF159F" w:rsidRPr="0015132B" w:rsidRDefault="00EF159F" w:rsidP="00FE4C56">
      <w:pPr>
        <w:spacing w:line="360" w:lineRule="auto"/>
        <w:jc w:val="both"/>
        <w:rPr>
          <w:rFonts w:ascii="Arial" w:hAnsi="Arial" w:cs="Arial"/>
          <w:sz w:val="22"/>
          <w:szCs w:val="22"/>
        </w:rPr>
      </w:pPr>
      <w:r w:rsidRPr="0015132B">
        <w:rPr>
          <w:rFonts w:ascii="Arial" w:hAnsi="Arial" w:cs="Arial"/>
          <w:sz w:val="22"/>
          <w:szCs w:val="22"/>
        </w:rPr>
        <w:drawing>
          <wp:inline distT="0" distB="0" distL="0" distR="0" wp14:anchorId="691F3643" wp14:editId="49F537BE">
            <wp:extent cx="6162675" cy="3636429"/>
            <wp:effectExtent l="0" t="0" r="0" b="2540"/>
            <wp:docPr id="684754196" name="Picture 1" descr="A colorful rectangular box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754196" name="Picture 1" descr="A colorful rectangular box with text&#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6167307" cy="3639162"/>
                    </a:xfrm>
                    <a:prstGeom prst="rect">
                      <a:avLst/>
                    </a:prstGeom>
                  </pic:spPr>
                </pic:pic>
              </a:graphicData>
            </a:graphic>
          </wp:inline>
        </w:drawing>
      </w:r>
    </w:p>
    <w:p w14:paraId="0DC7EAE0" w14:textId="34ECB012" w:rsidR="00B04A09" w:rsidRPr="0015132B" w:rsidRDefault="00B04A09" w:rsidP="00FE4C56">
      <w:pPr>
        <w:spacing w:line="360" w:lineRule="auto"/>
        <w:jc w:val="both"/>
        <w:rPr>
          <w:rFonts w:ascii="Arial" w:hAnsi="Arial" w:cs="Arial"/>
          <w:sz w:val="22"/>
          <w:szCs w:val="22"/>
        </w:rPr>
      </w:pPr>
      <w:r w:rsidRPr="0015132B">
        <w:rPr>
          <w:rFonts w:ascii="Arial" w:hAnsi="Arial" w:cs="Arial"/>
          <w:sz w:val="22"/>
          <w:szCs w:val="22"/>
        </w:rPr>
        <w:t>Figure 2. PESTEL Analysis</w:t>
      </w:r>
    </w:p>
    <w:p w14:paraId="5758890D" w14:textId="77777777" w:rsidR="00B04A09" w:rsidRPr="0015132B" w:rsidRDefault="00B04A09" w:rsidP="00FE4C56">
      <w:pPr>
        <w:spacing w:line="360" w:lineRule="auto"/>
        <w:jc w:val="both"/>
        <w:rPr>
          <w:rFonts w:ascii="Arial" w:hAnsi="Arial" w:cs="Arial"/>
          <w:sz w:val="22"/>
          <w:szCs w:val="22"/>
        </w:rPr>
      </w:pPr>
    </w:p>
    <w:p w14:paraId="6E82874D" w14:textId="7A8E9F0C" w:rsidR="003173EE" w:rsidRPr="0015132B" w:rsidRDefault="00E60A31" w:rsidP="00B04A09">
      <w:pPr>
        <w:pStyle w:val="Heading2"/>
        <w:spacing w:line="360" w:lineRule="auto"/>
        <w:rPr>
          <w:rFonts w:ascii="Arial" w:hAnsi="Arial" w:cs="Arial"/>
          <w:sz w:val="24"/>
          <w:szCs w:val="24"/>
        </w:rPr>
      </w:pPr>
      <w:bookmarkStart w:id="13" w:name="_Toc214389933"/>
      <w:r w:rsidRPr="0015132B">
        <w:rPr>
          <w:rFonts w:ascii="Arial" w:hAnsi="Arial" w:cs="Arial"/>
          <w:sz w:val="24"/>
          <w:szCs w:val="24"/>
        </w:rPr>
        <w:t xml:space="preserve">HUMA </w:t>
      </w:r>
      <w:r w:rsidR="00E85813" w:rsidRPr="0015132B">
        <w:rPr>
          <w:rFonts w:ascii="Arial" w:hAnsi="Arial" w:cs="Arial"/>
          <w:sz w:val="24"/>
          <w:szCs w:val="24"/>
        </w:rPr>
        <w:t>SMART objectives</w:t>
      </w:r>
      <w:bookmarkEnd w:id="13"/>
    </w:p>
    <w:p w14:paraId="3C6EEA2D" w14:textId="3708B255" w:rsidR="00E85F40" w:rsidRPr="0015132B" w:rsidRDefault="00E85F40" w:rsidP="00E85F40">
      <w:pPr>
        <w:rPr>
          <w:rFonts w:ascii="Arial" w:hAnsi="Arial" w:cs="Arial"/>
          <w:sz w:val="22"/>
          <w:szCs w:val="22"/>
        </w:rPr>
      </w:pPr>
      <w:r w:rsidRPr="0015132B">
        <w:rPr>
          <w:rFonts w:ascii="Arial" w:hAnsi="Arial" w:cs="Arial"/>
          <w:sz w:val="22"/>
          <w:szCs w:val="22"/>
        </w:rPr>
        <w:t>The HUMA SMART objectives set by:</w:t>
      </w:r>
    </w:p>
    <w:p w14:paraId="36E83E6F" w14:textId="77777777" w:rsidR="003173EE" w:rsidRPr="0015132B" w:rsidRDefault="003173EE" w:rsidP="003173EE">
      <w:pPr>
        <w:pStyle w:val="ListParagraph"/>
        <w:numPr>
          <w:ilvl w:val="0"/>
          <w:numId w:val="24"/>
        </w:numPr>
        <w:spacing w:line="360" w:lineRule="auto"/>
        <w:jc w:val="both"/>
        <w:rPr>
          <w:rFonts w:ascii="Arial" w:hAnsi="Arial" w:cs="Arial"/>
          <w:sz w:val="22"/>
          <w:szCs w:val="22"/>
        </w:rPr>
      </w:pPr>
      <w:r w:rsidRPr="0015132B">
        <w:rPr>
          <w:rFonts w:ascii="Arial" w:hAnsi="Arial" w:cs="Arial"/>
          <w:sz w:val="22"/>
          <w:szCs w:val="22"/>
        </w:rPr>
        <w:t>T</w:t>
      </w:r>
      <w:r w:rsidR="00E85813" w:rsidRPr="0015132B">
        <w:rPr>
          <w:rFonts w:ascii="Arial" w:hAnsi="Arial" w:cs="Arial"/>
          <w:sz w:val="22"/>
          <w:szCs w:val="22"/>
        </w:rPr>
        <w:t xml:space="preserve">o generate £2M in online sales in year one, </w:t>
      </w:r>
    </w:p>
    <w:p w14:paraId="26A0D5D7" w14:textId="77777777" w:rsidR="003173EE" w:rsidRPr="0015132B" w:rsidRDefault="00E85813" w:rsidP="003173EE">
      <w:pPr>
        <w:pStyle w:val="ListParagraph"/>
        <w:numPr>
          <w:ilvl w:val="0"/>
          <w:numId w:val="24"/>
        </w:numPr>
        <w:spacing w:line="360" w:lineRule="auto"/>
        <w:jc w:val="both"/>
        <w:rPr>
          <w:rFonts w:ascii="Arial" w:hAnsi="Arial" w:cs="Arial"/>
          <w:sz w:val="22"/>
          <w:szCs w:val="22"/>
        </w:rPr>
      </w:pPr>
      <w:r w:rsidRPr="0015132B">
        <w:rPr>
          <w:rFonts w:ascii="Arial" w:hAnsi="Arial" w:cs="Arial"/>
          <w:sz w:val="22"/>
          <w:szCs w:val="22"/>
        </w:rPr>
        <w:t xml:space="preserve">reduce supply risk by securing a backup sensor supplier by Q4 2026, </w:t>
      </w:r>
    </w:p>
    <w:p w14:paraId="25AD35F6" w14:textId="77777777" w:rsidR="003173EE" w:rsidRPr="0015132B" w:rsidRDefault="00E85813" w:rsidP="003173EE">
      <w:pPr>
        <w:pStyle w:val="ListParagraph"/>
        <w:numPr>
          <w:ilvl w:val="0"/>
          <w:numId w:val="24"/>
        </w:numPr>
        <w:spacing w:line="360" w:lineRule="auto"/>
        <w:jc w:val="both"/>
        <w:rPr>
          <w:rFonts w:ascii="Arial" w:hAnsi="Arial" w:cs="Arial"/>
          <w:sz w:val="22"/>
          <w:szCs w:val="22"/>
        </w:rPr>
      </w:pPr>
      <w:r w:rsidRPr="0015132B">
        <w:rPr>
          <w:rFonts w:ascii="Arial" w:hAnsi="Arial" w:cs="Arial"/>
          <w:sz w:val="22"/>
          <w:szCs w:val="22"/>
        </w:rPr>
        <w:t xml:space="preserve">outperform rivals with 10% longer battery life, and </w:t>
      </w:r>
    </w:p>
    <w:p w14:paraId="390E6C29" w14:textId="033865FC" w:rsidR="00E85813" w:rsidRPr="0015132B" w:rsidRDefault="00E85813" w:rsidP="003173EE">
      <w:pPr>
        <w:pStyle w:val="ListParagraph"/>
        <w:numPr>
          <w:ilvl w:val="0"/>
          <w:numId w:val="24"/>
        </w:numPr>
        <w:spacing w:line="360" w:lineRule="auto"/>
        <w:jc w:val="both"/>
        <w:rPr>
          <w:rFonts w:ascii="Arial" w:hAnsi="Arial" w:cs="Arial"/>
          <w:sz w:val="22"/>
          <w:szCs w:val="22"/>
        </w:rPr>
      </w:pPr>
      <w:r w:rsidRPr="0015132B">
        <w:rPr>
          <w:rFonts w:ascii="Arial" w:hAnsi="Arial" w:cs="Arial"/>
          <w:sz w:val="22"/>
          <w:szCs w:val="22"/>
        </w:rPr>
        <w:t>deliver five top user-requested app features within one year.</w:t>
      </w:r>
    </w:p>
    <w:p w14:paraId="7C1F74D4" w14:textId="48EE6B30" w:rsidR="00E85813" w:rsidRPr="0015132B" w:rsidRDefault="00FB296A" w:rsidP="00FE4C56">
      <w:pPr>
        <w:spacing w:line="360" w:lineRule="auto"/>
        <w:jc w:val="both"/>
        <w:rPr>
          <w:rFonts w:ascii="Arial" w:hAnsi="Arial" w:cs="Arial"/>
          <w:sz w:val="22"/>
          <w:szCs w:val="22"/>
        </w:rPr>
      </w:pPr>
      <w:r w:rsidRPr="0015132B">
        <w:rPr>
          <w:rFonts w:ascii="Arial" w:hAnsi="Arial" w:cs="Arial"/>
          <w:sz w:val="22"/>
          <w:szCs w:val="22"/>
        </w:rPr>
        <w:lastRenderedPageBreak/>
        <w:t xml:space="preserve">A comprehensive assessment of Huma's strengths and weaknesses and the market situation </w:t>
      </w:r>
      <w:proofErr w:type="gramStart"/>
      <w:r w:rsidRPr="0015132B">
        <w:rPr>
          <w:rFonts w:ascii="Arial" w:hAnsi="Arial" w:cs="Arial"/>
          <w:sz w:val="22"/>
          <w:szCs w:val="22"/>
        </w:rPr>
        <w:t>creates</w:t>
      </w:r>
      <w:proofErr w:type="gramEnd"/>
      <w:r w:rsidRPr="0015132B">
        <w:rPr>
          <w:rFonts w:ascii="Arial" w:hAnsi="Arial" w:cs="Arial"/>
          <w:sz w:val="22"/>
          <w:szCs w:val="22"/>
        </w:rPr>
        <w:t xml:space="preserve"> a strategic foundation. This approach helps to avoid threats, find a common language with partners and launch the product in time thanks to a well-thought-out decision-making process.</w:t>
      </w:r>
    </w:p>
    <w:p w14:paraId="7D1F657E" w14:textId="25FC1513" w:rsidR="000304F6" w:rsidRPr="0015132B" w:rsidRDefault="000304F6" w:rsidP="00FE4C56">
      <w:pPr>
        <w:pStyle w:val="Heading1"/>
        <w:spacing w:line="360" w:lineRule="auto"/>
        <w:rPr>
          <w:rFonts w:ascii="Arial" w:hAnsi="Arial" w:cs="Arial"/>
          <w:sz w:val="28"/>
          <w:szCs w:val="28"/>
        </w:rPr>
      </w:pPr>
      <w:bookmarkStart w:id="14" w:name="_Toc214389934"/>
      <w:r w:rsidRPr="0015132B">
        <w:rPr>
          <w:rFonts w:ascii="Arial" w:hAnsi="Arial" w:cs="Arial"/>
          <w:sz w:val="28"/>
          <w:szCs w:val="28"/>
        </w:rPr>
        <w:t xml:space="preserve">Identifying </w:t>
      </w:r>
      <w:r w:rsidR="00BD6E27" w:rsidRPr="0015132B">
        <w:rPr>
          <w:rFonts w:ascii="Arial" w:hAnsi="Arial" w:cs="Arial"/>
          <w:sz w:val="28"/>
          <w:szCs w:val="28"/>
        </w:rPr>
        <w:t>k</w:t>
      </w:r>
      <w:r w:rsidRPr="0015132B">
        <w:rPr>
          <w:rFonts w:ascii="Arial" w:hAnsi="Arial" w:cs="Arial"/>
          <w:sz w:val="28"/>
          <w:szCs w:val="28"/>
        </w:rPr>
        <w:t xml:space="preserve">ey </w:t>
      </w:r>
      <w:r w:rsidR="00E60A31" w:rsidRPr="0015132B">
        <w:rPr>
          <w:rFonts w:ascii="Arial" w:hAnsi="Arial" w:cs="Arial"/>
          <w:sz w:val="28"/>
          <w:szCs w:val="28"/>
        </w:rPr>
        <w:t xml:space="preserve">HUMA </w:t>
      </w:r>
      <w:r w:rsidR="00BD6E27" w:rsidRPr="0015132B">
        <w:rPr>
          <w:rFonts w:ascii="Arial" w:hAnsi="Arial" w:cs="Arial"/>
          <w:sz w:val="28"/>
          <w:szCs w:val="28"/>
        </w:rPr>
        <w:t>i</w:t>
      </w:r>
      <w:r w:rsidRPr="0015132B">
        <w:rPr>
          <w:rFonts w:ascii="Arial" w:hAnsi="Arial" w:cs="Arial"/>
          <w:sz w:val="28"/>
          <w:szCs w:val="28"/>
        </w:rPr>
        <w:t xml:space="preserve">nternal and </w:t>
      </w:r>
      <w:r w:rsidR="00BD6E27" w:rsidRPr="0015132B">
        <w:rPr>
          <w:rFonts w:ascii="Arial" w:hAnsi="Arial" w:cs="Arial"/>
          <w:sz w:val="28"/>
          <w:szCs w:val="28"/>
        </w:rPr>
        <w:t>e</w:t>
      </w:r>
      <w:r w:rsidRPr="0015132B">
        <w:rPr>
          <w:rFonts w:ascii="Arial" w:hAnsi="Arial" w:cs="Arial"/>
          <w:sz w:val="28"/>
          <w:szCs w:val="28"/>
        </w:rPr>
        <w:t xml:space="preserve">xternal </w:t>
      </w:r>
      <w:r w:rsidR="00BD6E27" w:rsidRPr="0015132B">
        <w:rPr>
          <w:rFonts w:ascii="Arial" w:hAnsi="Arial" w:cs="Arial"/>
          <w:sz w:val="28"/>
          <w:szCs w:val="28"/>
        </w:rPr>
        <w:t>s</w:t>
      </w:r>
      <w:r w:rsidRPr="0015132B">
        <w:rPr>
          <w:rFonts w:ascii="Arial" w:hAnsi="Arial" w:cs="Arial"/>
          <w:sz w:val="28"/>
          <w:szCs w:val="28"/>
        </w:rPr>
        <w:t>takeholders</w:t>
      </w:r>
      <w:bookmarkEnd w:id="14"/>
    </w:p>
    <w:p w14:paraId="05D5E458" w14:textId="1780B2DE" w:rsidR="005867C8" w:rsidRPr="0015132B" w:rsidRDefault="005443ED" w:rsidP="00FE4C56">
      <w:pPr>
        <w:spacing w:line="360" w:lineRule="auto"/>
        <w:jc w:val="both"/>
        <w:rPr>
          <w:rFonts w:ascii="Arial" w:hAnsi="Arial" w:cs="Arial"/>
          <w:sz w:val="22"/>
          <w:szCs w:val="22"/>
        </w:rPr>
      </w:pPr>
      <w:r w:rsidRPr="0015132B">
        <w:rPr>
          <w:rFonts w:ascii="Arial" w:hAnsi="Arial" w:cs="Arial"/>
          <w:sz w:val="22"/>
          <w:szCs w:val="22"/>
        </w:rPr>
        <w:t xml:space="preserve">Cooper (2019) emphasizes that the </w:t>
      </w:r>
      <w:r w:rsidR="00A35D36">
        <w:rPr>
          <w:rFonts w:ascii="Arial" w:hAnsi="Arial" w:cs="Arial"/>
          <w:sz w:val="22"/>
          <w:szCs w:val="22"/>
        </w:rPr>
        <w:t xml:space="preserve">conception and rollout </w:t>
      </w:r>
      <w:r w:rsidRPr="0015132B">
        <w:rPr>
          <w:rFonts w:ascii="Arial" w:hAnsi="Arial" w:cs="Arial"/>
          <w:sz w:val="22"/>
          <w:szCs w:val="22"/>
        </w:rPr>
        <w:t xml:space="preserve">of a new device </w:t>
      </w:r>
      <w:proofErr w:type="gramStart"/>
      <w:r w:rsidRPr="0015132B">
        <w:rPr>
          <w:rFonts w:ascii="Arial" w:hAnsi="Arial" w:cs="Arial"/>
          <w:sz w:val="22"/>
          <w:szCs w:val="22"/>
        </w:rPr>
        <w:t>involves</w:t>
      </w:r>
      <w:proofErr w:type="gramEnd"/>
      <w:r w:rsidRPr="0015132B">
        <w:rPr>
          <w:rFonts w:ascii="Arial" w:hAnsi="Arial" w:cs="Arial"/>
          <w:sz w:val="22"/>
          <w:szCs w:val="22"/>
        </w:rPr>
        <w:t xml:space="preserve"> a wide range of stakeholders, each with distinct roles, interests, and influence over the project’s success.</w:t>
      </w:r>
      <w:r w:rsidR="003173EE" w:rsidRPr="0015132B">
        <w:rPr>
          <w:rFonts w:ascii="Arial" w:hAnsi="Arial" w:cs="Arial"/>
          <w:sz w:val="22"/>
          <w:szCs w:val="22"/>
        </w:rPr>
        <w:t xml:space="preserve"> </w:t>
      </w:r>
    </w:p>
    <w:p w14:paraId="7B75169F" w14:textId="592D25F1" w:rsidR="00FA1B99" w:rsidRPr="0015132B" w:rsidRDefault="001A24C8" w:rsidP="00FE4C56">
      <w:pPr>
        <w:pStyle w:val="Heading2"/>
        <w:spacing w:line="360" w:lineRule="auto"/>
        <w:rPr>
          <w:rFonts w:ascii="Arial" w:hAnsi="Arial" w:cs="Arial"/>
          <w:sz w:val="24"/>
          <w:szCs w:val="24"/>
        </w:rPr>
      </w:pPr>
      <w:r w:rsidRPr="0015132B">
        <w:t xml:space="preserve"> </w:t>
      </w:r>
      <w:bookmarkStart w:id="15" w:name="_Toc214389935"/>
      <w:r w:rsidR="00FA1B99" w:rsidRPr="0015132B">
        <w:rPr>
          <w:rFonts w:ascii="Arial" w:hAnsi="Arial" w:cs="Arial"/>
          <w:sz w:val="24"/>
          <w:szCs w:val="24"/>
        </w:rPr>
        <w:t xml:space="preserve">Stakeholder </w:t>
      </w:r>
      <w:r w:rsidR="00BD6E27" w:rsidRPr="0015132B">
        <w:rPr>
          <w:rFonts w:ascii="Arial" w:hAnsi="Arial" w:cs="Arial"/>
          <w:sz w:val="24"/>
          <w:szCs w:val="24"/>
        </w:rPr>
        <w:t>i</w:t>
      </w:r>
      <w:r w:rsidR="00FA1B99" w:rsidRPr="0015132B">
        <w:rPr>
          <w:rFonts w:ascii="Arial" w:hAnsi="Arial" w:cs="Arial"/>
          <w:sz w:val="24"/>
          <w:szCs w:val="24"/>
        </w:rPr>
        <w:t>dentification</w:t>
      </w:r>
      <w:bookmarkEnd w:id="15"/>
    </w:p>
    <w:p w14:paraId="41FD8578" w14:textId="4DE92979" w:rsidR="003E4E52" w:rsidRPr="0015132B" w:rsidRDefault="005443ED" w:rsidP="00FE4C56">
      <w:pPr>
        <w:spacing w:line="360" w:lineRule="auto"/>
        <w:jc w:val="both"/>
        <w:rPr>
          <w:rFonts w:ascii="Arial" w:hAnsi="Arial" w:cs="Arial"/>
          <w:sz w:val="22"/>
          <w:szCs w:val="22"/>
        </w:rPr>
      </w:pPr>
      <w:r w:rsidRPr="0015132B">
        <w:rPr>
          <w:rFonts w:ascii="Arial" w:hAnsi="Arial" w:cs="Arial"/>
          <w:sz w:val="22"/>
          <w:szCs w:val="22"/>
        </w:rPr>
        <w:t>Effective management of stakeholders in the Huma project on digital health care is based on systematic identification of key groups and analysis of their relationships with the initiative. The effectiveness of Huma is based on a framework that includes inter-departmental interaction (Huma, 2023b) and the implementation of anticipatory compliance (Huma, 2023a). Stratified stakeholder mapping (Huma, 2023c) serves as a prioritization tool consistent with the scientific concept of key impact determination through interdependence and participation parameters in project outcomes (Bourne and Walker, 2005). This methodology ensures optimization of communication flows and reduction of project uncertainties.</w:t>
      </w:r>
    </w:p>
    <w:p w14:paraId="35B26947" w14:textId="368BBC65" w:rsidR="00FA1B99" w:rsidRPr="0015132B" w:rsidRDefault="00FA1B99" w:rsidP="00FE4C56">
      <w:pPr>
        <w:pStyle w:val="Heading2"/>
        <w:spacing w:line="360" w:lineRule="auto"/>
        <w:rPr>
          <w:rFonts w:ascii="Arial" w:hAnsi="Arial" w:cs="Arial"/>
          <w:sz w:val="24"/>
          <w:szCs w:val="24"/>
        </w:rPr>
      </w:pPr>
      <w:bookmarkStart w:id="16" w:name="_Toc214389936"/>
      <w:r w:rsidRPr="0015132B">
        <w:rPr>
          <w:rFonts w:ascii="Arial" w:hAnsi="Arial" w:cs="Arial"/>
          <w:sz w:val="24"/>
          <w:szCs w:val="24"/>
        </w:rPr>
        <w:t xml:space="preserve">Identified </w:t>
      </w:r>
      <w:r w:rsidR="00BD6E27" w:rsidRPr="0015132B">
        <w:rPr>
          <w:rFonts w:ascii="Arial" w:hAnsi="Arial" w:cs="Arial"/>
          <w:sz w:val="24"/>
          <w:szCs w:val="24"/>
        </w:rPr>
        <w:t>s</w:t>
      </w:r>
      <w:r w:rsidRPr="0015132B">
        <w:rPr>
          <w:rFonts w:ascii="Arial" w:hAnsi="Arial" w:cs="Arial"/>
          <w:sz w:val="24"/>
          <w:szCs w:val="24"/>
        </w:rPr>
        <w:t>takeholders</w:t>
      </w:r>
      <w:r w:rsidR="00F374C7" w:rsidRPr="0015132B">
        <w:rPr>
          <w:rFonts w:ascii="Arial" w:hAnsi="Arial" w:cs="Arial"/>
          <w:sz w:val="24"/>
          <w:szCs w:val="24"/>
        </w:rPr>
        <w:t xml:space="preserve"> </w:t>
      </w:r>
      <w:r w:rsidR="00E85F40" w:rsidRPr="0015132B">
        <w:rPr>
          <w:rFonts w:ascii="Arial" w:hAnsi="Arial" w:cs="Arial"/>
          <w:sz w:val="24"/>
          <w:szCs w:val="24"/>
        </w:rPr>
        <w:t>list</w:t>
      </w:r>
      <w:bookmarkEnd w:id="16"/>
    </w:p>
    <w:p w14:paraId="3800EAB9" w14:textId="35E2EF1C" w:rsidR="00C436BC" w:rsidRPr="0015132B" w:rsidRDefault="005443ED" w:rsidP="00FE4C56">
      <w:pPr>
        <w:spacing w:line="360" w:lineRule="auto"/>
        <w:jc w:val="both"/>
        <w:rPr>
          <w:rFonts w:ascii="Arial" w:hAnsi="Arial" w:cs="Arial"/>
          <w:sz w:val="22"/>
          <w:szCs w:val="22"/>
        </w:rPr>
      </w:pPr>
      <w:r w:rsidRPr="0015132B">
        <w:rPr>
          <w:rFonts w:ascii="Arial" w:hAnsi="Arial" w:cs="Arial"/>
          <w:sz w:val="22"/>
          <w:szCs w:val="22"/>
        </w:rPr>
        <w:t>Stakeholder identification applies influence, legitimacy, and participation principles (Mitchell et al., 1997); using a map helps prioritise key groups and optimise communication for effective project engagement</w:t>
      </w:r>
      <w:r w:rsidR="00C436BC" w:rsidRPr="0015132B">
        <w:rPr>
          <w:rFonts w:ascii="Arial" w:hAnsi="Arial" w:cs="Arial"/>
          <w:sz w:val="22"/>
          <w:szCs w:val="22"/>
        </w:rPr>
        <w:t>.</w:t>
      </w:r>
    </w:p>
    <w:p w14:paraId="079AA9EB" w14:textId="77777777" w:rsidR="000953C9" w:rsidRPr="0015132B" w:rsidRDefault="000953C9" w:rsidP="00FE4C56">
      <w:pPr>
        <w:spacing w:line="360" w:lineRule="auto"/>
        <w:jc w:val="both"/>
        <w:rPr>
          <w:rFonts w:ascii="Arial" w:hAnsi="Arial" w:cs="Arial"/>
          <w:b/>
          <w:bCs/>
          <w:sz w:val="22"/>
          <w:szCs w:val="22"/>
        </w:rPr>
        <w:sectPr w:rsidR="000953C9" w:rsidRPr="0015132B" w:rsidSect="00B81CDF">
          <w:footerReference w:type="default" r:id="rId11"/>
          <w:pgSz w:w="11906" w:h="16838"/>
          <w:pgMar w:top="1440" w:right="1440" w:bottom="1440" w:left="1440" w:header="708" w:footer="708" w:gutter="0"/>
          <w:pgNumType w:start="0"/>
          <w:cols w:space="708"/>
          <w:titlePg/>
          <w:docGrid w:linePitch="360"/>
        </w:sectPr>
      </w:pPr>
    </w:p>
    <w:p w14:paraId="42A97956" w14:textId="77777777" w:rsidR="00C709C0" w:rsidRPr="0015132B" w:rsidRDefault="00C709C0" w:rsidP="00FE4C56">
      <w:pPr>
        <w:spacing w:line="360" w:lineRule="auto"/>
        <w:jc w:val="both"/>
        <w:rPr>
          <w:rFonts w:ascii="Arial" w:hAnsi="Arial" w:cs="Arial"/>
          <w:b/>
          <w:bCs/>
          <w:sz w:val="22"/>
          <w:szCs w:val="22"/>
        </w:rPr>
      </w:pPr>
      <w:r w:rsidRPr="0015132B">
        <w:rPr>
          <w:rFonts w:ascii="Arial" w:hAnsi="Arial" w:cs="Arial"/>
          <w:b/>
          <w:bCs/>
          <w:sz w:val="22"/>
          <w:szCs w:val="22"/>
        </w:rPr>
        <w:t>Internal Stakeholders</w:t>
      </w:r>
    </w:p>
    <w:p w14:paraId="46EB66B3" w14:textId="258F74FF" w:rsidR="00C709C0" w:rsidRPr="0015132B" w:rsidRDefault="00C709C0" w:rsidP="00FE4C56">
      <w:pPr>
        <w:pStyle w:val="ListParagraph"/>
        <w:numPr>
          <w:ilvl w:val="0"/>
          <w:numId w:val="20"/>
        </w:numPr>
        <w:spacing w:line="360" w:lineRule="auto"/>
        <w:jc w:val="both"/>
        <w:rPr>
          <w:rFonts w:ascii="Arial" w:hAnsi="Arial" w:cs="Arial"/>
          <w:sz w:val="22"/>
          <w:szCs w:val="22"/>
        </w:rPr>
      </w:pPr>
      <w:r w:rsidRPr="0015132B">
        <w:rPr>
          <w:rFonts w:ascii="Arial" w:hAnsi="Arial" w:cs="Arial"/>
          <w:sz w:val="22"/>
          <w:szCs w:val="22"/>
        </w:rPr>
        <w:t xml:space="preserve">Project </w:t>
      </w:r>
      <w:r w:rsidR="00B4011D" w:rsidRPr="0015132B">
        <w:rPr>
          <w:rFonts w:ascii="Arial" w:hAnsi="Arial" w:cs="Arial"/>
          <w:sz w:val="22"/>
          <w:szCs w:val="22"/>
        </w:rPr>
        <w:t>Manager</w:t>
      </w:r>
    </w:p>
    <w:p w14:paraId="5A43EF69" w14:textId="77777777" w:rsidR="00C84A2A" w:rsidRPr="0015132B" w:rsidRDefault="00C709C0" w:rsidP="00FE4C56">
      <w:pPr>
        <w:pStyle w:val="ListParagraph"/>
        <w:numPr>
          <w:ilvl w:val="0"/>
          <w:numId w:val="20"/>
        </w:numPr>
        <w:spacing w:line="360" w:lineRule="auto"/>
        <w:jc w:val="both"/>
        <w:rPr>
          <w:rFonts w:ascii="Arial" w:hAnsi="Arial" w:cs="Arial"/>
          <w:sz w:val="22"/>
          <w:szCs w:val="22"/>
        </w:rPr>
      </w:pPr>
      <w:r w:rsidRPr="0015132B">
        <w:rPr>
          <w:rFonts w:ascii="Arial" w:hAnsi="Arial" w:cs="Arial"/>
          <w:sz w:val="22"/>
          <w:szCs w:val="22"/>
        </w:rPr>
        <w:t>Executive Leadership</w:t>
      </w:r>
    </w:p>
    <w:p w14:paraId="697DAF30" w14:textId="77777777" w:rsidR="00C84A2A" w:rsidRPr="0015132B" w:rsidRDefault="00C709C0" w:rsidP="00FE4C56">
      <w:pPr>
        <w:pStyle w:val="ListParagraph"/>
        <w:numPr>
          <w:ilvl w:val="0"/>
          <w:numId w:val="20"/>
        </w:numPr>
        <w:spacing w:line="360" w:lineRule="auto"/>
        <w:jc w:val="both"/>
        <w:rPr>
          <w:rFonts w:ascii="Arial" w:hAnsi="Arial" w:cs="Arial"/>
          <w:sz w:val="22"/>
          <w:szCs w:val="22"/>
        </w:rPr>
      </w:pPr>
      <w:r w:rsidRPr="0015132B">
        <w:rPr>
          <w:rFonts w:ascii="Arial" w:hAnsi="Arial" w:cs="Arial"/>
          <w:sz w:val="22"/>
          <w:szCs w:val="22"/>
        </w:rPr>
        <w:t>Product and Engineering Department</w:t>
      </w:r>
    </w:p>
    <w:p w14:paraId="21C1DC3F" w14:textId="77777777" w:rsidR="00C84A2A" w:rsidRPr="0015132B" w:rsidRDefault="00C709C0" w:rsidP="00FE4C56">
      <w:pPr>
        <w:pStyle w:val="ListParagraph"/>
        <w:numPr>
          <w:ilvl w:val="0"/>
          <w:numId w:val="20"/>
        </w:numPr>
        <w:spacing w:line="360" w:lineRule="auto"/>
        <w:jc w:val="both"/>
        <w:rPr>
          <w:rFonts w:ascii="Arial" w:hAnsi="Arial" w:cs="Arial"/>
          <w:sz w:val="22"/>
          <w:szCs w:val="22"/>
        </w:rPr>
      </w:pPr>
      <w:r w:rsidRPr="0015132B">
        <w:rPr>
          <w:rFonts w:ascii="Arial" w:hAnsi="Arial" w:cs="Arial"/>
          <w:sz w:val="22"/>
          <w:szCs w:val="22"/>
        </w:rPr>
        <w:t>Regulatory and Clinical Affairs Department</w:t>
      </w:r>
    </w:p>
    <w:p w14:paraId="047B712F" w14:textId="77777777" w:rsidR="00C84A2A" w:rsidRPr="0015132B" w:rsidRDefault="00C709C0" w:rsidP="00FE4C56">
      <w:pPr>
        <w:pStyle w:val="ListParagraph"/>
        <w:numPr>
          <w:ilvl w:val="0"/>
          <w:numId w:val="20"/>
        </w:numPr>
        <w:spacing w:line="360" w:lineRule="auto"/>
        <w:jc w:val="both"/>
        <w:rPr>
          <w:rFonts w:ascii="Arial" w:hAnsi="Arial" w:cs="Arial"/>
          <w:sz w:val="22"/>
          <w:szCs w:val="22"/>
        </w:rPr>
      </w:pPr>
      <w:r w:rsidRPr="0015132B">
        <w:rPr>
          <w:rFonts w:ascii="Arial" w:hAnsi="Arial" w:cs="Arial"/>
          <w:sz w:val="22"/>
          <w:szCs w:val="22"/>
        </w:rPr>
        <w:t>Marketing and Sales Department</w:t>
      </w:r>
    </w:p>
    <w:p w14:paraId="3D4C4A70" w14:textId="77777777" w:rsidR="00C84A2A" w:rsidRPr="0015132B" w:rsidRDefault="00C709C0" w:rsidP="00FE4C56">
      <w:pPr>
        <w:pStyle w:val="ListParagraph"/>
        <w:numPr>
          <w:ilvl w:val="0"/>
          <w:numId w:val="20"/>
        </w:numPr>
        <w:spacing w:line="360" w:lineRule="auto"/>
        <w:jc w:val="both"/>
        <w:rPr>
          <w:rFonts w:ascii="Arial" w:hAnsi="Arial" w:cs="Arial"/>
          <w:sz w:val="22"/>
          <w:szCs w:val="22"/>
        </w:rPr>
      </w:pPr>
      <w:r w:rsidRPr="0015132B">
        <w:rPr>
          <w:rFonts w:ascii="Arial" w:hAnsi="Arial" w:cs="Arial"/>
          <w:sz w:val="22"/>
          <w:szCs w:val="22"/>
        </w:rPr>
        <w:t>Legal, Compliance and Data Security</w:t>
      </w:r>
    </w:p>
    <w:p w14:paraId="65DA9ED9" w14:textId="30300569" w:rsidR="00C709C0" w:rsidRPr="0015132B" w:rsidRDefault="00C709C0" w:rsidP="00FE4C56">
      <w:pPr>
        <w:pStyle w:val="ListParagraph"/>
        <w:numPr>
          <w:ilvl w:val="0"/>
          <w:numId w:val="20"/>
        </w:numPr>
        <w:spacing w:line="360" w:lineRule="auto"/>
        <w:jc w:val="both"/>
        <w:rPr>
          <w:rFonts w:ascii="Arial" w:hAnsi="Arial" w:cs="Arial"/>
          <w:sz w:val="22"/>
          <w:szCs w:val="22"/>
        </w:rPr>
      </w:pPr>
      <w:r w:rsidRPr="0015132B">
        <w:rPr>
          <w:rFonts w:ascii="Arial" w:hAnsi="Arial" w:cs="Arial"/>
          <w:sz w:val="22"/>
          <w:szCs w:val="22"/>
        </w:rPr>
        <w:t>Customer Support and Success</w:t>
      </w:r>
    </w:p>
    <w:p w14:paraId="0F0CC74C" w14:textId="77777777" w:rsidR="00C709C0" w:rsidRPr="0015132B" w:rsidRDefault="00C709C0" w:rsidP="00FE4C56">
      <w:pPr>
        <w:spacing w:line="360" w:lineRule="auto"/>
        <w:jc w:val="both"/>
        <w:rPr>
          <w:rFonts w:ascii="Arial" w:hAnsi="Arial" w:cs="Arial"/>
          <w:b/>
          <w:bCs/>
          <w:sz w:val="22"/>
          <w:szCs w:val="22"/>
        </w:rPr>
      </w:pPr>
      <w:r w:rsidRPr="0015132B">
        <w:rPr>
          <w:rFonts w:ascii="Arial" w:hAnsi="Arial" w:cs="Arial"/>
          <w:b/>
          <w:bCs/>
          <w:sz w:val="22"/>
          <w:szCs w:val="22"/>
        </w:rPr>
        <w:t>External Stakeholders</w:t>
      </w:r>
    </w:p>
    <w:p w14:paraId="784667A0" w14:textId="5E5C6575" w:rsidR="00C709C0" w:rsidRPr="0015132B" w:rsidRDefault="00C709C0" w:rsidP="00FE4C56">
      <w:pPr>
        <w:pStyle w:val="ListParagraph"/>
        <w:numPr>
          <w:ilvl w:val="1"/>
          <w:numId w:val="22"/>
        </w:numPr>
        <w:spacing w:line="360" w:lineRule="auto"/>
        <w:jc w:val="both"/>
        <w:rPr>
          <w:rFonts w:ascii="Arial" w:hAnsi="Arial" w:cs="Arial"/>
          <w:sz w:val="22"/>
          <w:szCs w:val="22"/>
        </w:rPr>
      </w:pPr>
      <w:r w:rsidRPr="0015132B">
        <w:rPr>
          <w:rFonts w:ascii="Arial" w:hAnsi="Arial" w:cs="Arial"/>
          <w:sz w:val="22"/>
          <w:szCs w:val="22"/>
        </w:rPr>
        <w:t>End-Users: Patients and Customers</w:t>
      </w:r>
    </w:p>
    <w:p w14:paraId="40026E18" w14:textId="1BEA5B6F" w:rsidR="00C709C0" w:rsidRPr="0015132B" w:rsidRDefault="00C709C0" w:rsidP="00FE4C56">
      <w:pPr>
        <w:pStyle w:val="ListParagraph"/>
        <w:numPr>
          <w:ilvl w:val="1"/>
          <w:numId w:val="22"/>
        </w:numPr>
        <w:spacing w:line="360" w:lineRule="auto"/>
        <w:jc w:val="both"/>
        <w:rPr>
          <w:rFonts w:ascii="Arial" w:hAnsi="Arial" w:cs="Arial"/>
          <w:sz w:val="22"/>
          <w:szCs w:val="22"/>
        </w:rPr>
      </w:pPr>
      <w:r w:rsidRPr="0015132B">
        <w:rPr>
          <w:rFonts w:ascii="Arial" w:hAnsi="Arial" w:cs="Arial"/>
          <w:sz w:val="22"/>
          <w:szCs w:val="22"/>
        </w:rPr>
        <w:t>Healthcare Professionals (HCPs)</w:t>
      </w:r>
    </w:p>
    <w:p w14:paraId="38466A0F" w14:textId="69AE818A" w:rsidR="00C709C0" w:rsidRPr="0015132B" w:rsidRDefault="00C709C0" w:rsidP="00FE4C56">
      <w:pPr>
        <w:pStyle w:val="ListParagraph"/>
        <w:numPr>
          <w:ilvl w:val="1"/>
          <w:numId w:val="22"/>
        </w:numPr>
        <w:spacing w:line="360" w:lineRule="auto"/>
        <w:jc w:val="both"/>
        <w:rPr>
          <w:rFonts w:ascii="Arial" w:hAnsi="Arial" w:cs="Arial"/>
          <w:sz w:val="22"/>
          <w:szCs w:val="22"/>
        </w:rPr>
      </w:pPr>
      <w:r w:rsidRPr="0015132B">
        <w:rPr>
          <w:rFonts w:ascii="Arial" w:hAnsi="Arial" w:cs="Arial"/>
          <w:sz w:val="22"/>
          <w:szCs w:val="22"/>
        </w:rPr>
        <w:t>Hospitals and Clinics</w:t>
      </w:r>
    </w:p>
    <w:p w14:paraId="005F850A" w14:textId="77427AB5" w:rsidR="00C709C0" w:rsidRPr="0015132B" w:rsidRDefault="00C709C0" w:rsidP="00FE4C56">
      <w:pPr>
        <w:pStyle w:val="ListParagraph"/>
        <w:numPr>
          <w:ilvl w:val="1"/>
          <w:numId w:val="22"/>
        </w:numPr>
        <w:spacing w:line="360" w:lineRule="auto"/>
        <w:jc w:val="both"/>
        <w:rPr>
          <w:rFonts w:ascii="Arial" w:hAnsi="Arial" w:cs="Arial"/>
          <w:sz w:val="22"/>
          <w:szCs w:val="22"/>
        </w:rPr>
      </w:pPr>
      <w:r w:rsidRPr="0015132B">
        <w:rPr>
          <w:rFonts w:ascii="Arial" w:hAnsi="Arial" w:cs="Arial"/>
          <w:sz w:val="22"/>
          <w:szCs w:val="22"/>
        </w:rPr>
        <w:t>Government Agencies</w:t>
      </w:r>
    </w:p>
    <w:p w14:paraId="6B7F7DF6" w14:textId="769C7241" w:rsidR="00C709C0" w:rsidRPr="0015132B" w:rsidRDefault="00C709C0" w:rsidP="00FE4C56">
      <w:pPr>
        <w:pStyle w:val="ListParagraph"/>
        <w:numPr>
          <w:ilvl w:val="1"/>
          <w:numId w:val="22"/>
        </w:numPr>
        <w:spacing w:line="360" w:lineRule="auto"/>
        <w:jc w:val="both"/>
        <w:rPr>
          <w:rFonts w:ascii="Arial" w:hAnsi="Arial" w:cs="Arial"/>
          <w:sz w:val="22"/>
          <w:szCs w:val="22"/>
        </w:rPr>
      </w:pPr>
      <w:r w:rsidRPr="0015132B">
        <w:rPr>
          <w:rFonts w:ascii="Arial" w:hAnsi="Arial" w:cs="Arial"/>
          <w:sz w:val="22"/>
          <w:szCs w:val="22"/>
        </w:rPr>
        <w:t xml:space="preserve">Investors </w:t>
      </w:r>
      <w:r w:rsidR="00C84A2A" w:rsidRPr="0015132B">
        <w:rPr>
          <w:rFonts w:ascii="Arial" w:hAnsi="Arial" w:cs="Arial"/>
          <w:sz w:val="22"/>
          <w:szCs w:val="22"/>
        </w:rPr>
        <w:t>and</w:t>
      </w:r>
      <w:r w:rsidRPr="0015132B">
        <w:rPr>
          <w:rFonts w:ascii="Arial" w:hAnsi="Arial" w:cs="Arial"/>
          <w:sz w:val="22"/>
          <w:szCs w:val="22"/>
        </w:rPr>
        <w:t xml:space="preserve"> Shareholders</w:t>
      </w:r>
    </w:p>
    <w:p w14:paraId="15104274" w14:textId="460AFD11" w:rsidR="00C709C0" w:rsidRPr="0015132B" w:rsidRDefault="00C709C0" w:rsidP="00FE4C56">
      <w:pPr>
        <w:pStyle w:val="ListParagraph"/>
        <w:numPr>
          <w:ilvl w:val="1"/>
          <w:numId w:val="22"/>
        </w:numPr>
        <w:spacing w:line="360" w:lineRule="auto"/>
        <w:jc w:val="both"/>
        <w:rPr>
          <w:rFonts w:ascii="Arial" w:hAnsi="Arial" w:cs="Arial"/>
          <w:sz w:val="22"/>
          <w:szCs w:val="22"/>
        </w:rPr>
      </w:pPr>
      <w:r w:rsidRPr="0015132B">
        <w:rPr>
          <w:rFonts w:ascii="Arial" w:hAnsi="Arial" w:cs="Arial"/>
          <w:sz w:val="22"/>
          <w:szCs w:val="22"/>
        </w:rPr>
        <w:t>Retail and Distribution Partners</w:t>
      </w:r>
    </w:p>
    <w:p w14:paraId="2BD21636" w14:textId="06FBA061" w:rsidR="00C709C0" w:rsidRPr="0015132B" w:rsidRDefault="00C709C0" w:rsidP="00FE4C56">
      <w:pPr>
        <w:pStyle w:val="ListParagraph"/>
        <w:numPr>
          <w:ilvl w:val="1"/>
          <w:numId w:val="22"/>
        </w:numPr>
        <w:spacing w:line="360" w:lineRule="auto"/>
        <w:jc w:val="both"/>
        <w:rPr>
          <w:rFonts w:ascii="Arial" w:hAnsi="Arial" w:cs="Arial"/>
          <w:sz w:val="22"/>
          <w:szCs w:val="22"/>
        </w:rPr>
      </w:pPr>
      <w:r w:rsidRPr="0015132B">
        <w:rPr>
          <w:rFonts w:ascii="Arial" w:hAnsi="Arial" w:cs="Arial"/>
          <w:sz w:val="22"/>
          <w:szCs w:val="22"/>
        </w:rPr>
        <w:t>Supply and Manufacturing Partners</w:t>
      </w:r>
    </w:p>
    <w:p w14:paraId="35AAE6B1" w14:textId="6A8D9DA7" w:rsidR="00C709C0" w:rsidRPr="0015132B" w:rsidRDefault="00C709C0" w:rsidP="00FE4C56">
      <w:pPr>
        <w:pStyle w:val="ListParagraph"/>
        <w:numPr>
          <w:ilvl w:val="1"/>
          <w:numId w:val="22"/>
        </w:numPr>
        <w:spacing w:line="360" w:lineRule="auto"/>
        <w:jc w:val="both"/>
        <w:rPr>
          <w:rFonts w:ascii="Arial" w:hAnsi="Arial" w:cs="Arial"/>
          <w:sz w:val="22"/>
          <w:szCs w:val="22"/>
        </w:rPr>
      </w:pPr>
      <w:r w:rsidRPr="0015132B">
        <w:rPr>
          <w:rFonts w:ascii="Arial" w:hAnsi="Arial" w:cs="Arial"/>
          <w:sz w:val="22"/>
          <w:szCs w:val="22"/>
        </w:rPr>
        <w:t>Patient Advocacy Groups</w:t>
      </w:r>
    </w:p>
    <w:p w14:paraId="093E2948" w14:textId="1106E85C" w:rsidR="00C4290C" w:rsidRPr="0015132B" w:rsidRDefault="00C709C0" w:rsidP="00FE4C56">
      <w:pPr>
        <w:pStyle w:val="ListParagraph"/>
        <w:numPr>
          <w:ilvl w:val="1"/>
          <w:numId w:val="22"/>
        </w:numPr>
        <w:spacing w:line="360" w:lineRule="auto"/>
        <w:jc w:val="both"/>
        <w:rPr>
          <w:rFonts w:ascii="Arial" w:hAnsi="Arial" w:cs="Arial"/>
          <w:sz w:val="22"/>
          <w:szCs w:val="22"/>
        </w:rPr>
      </w:pPr>
      <w:r w:rsidRPr="0015132B">
        <w:rPr>
          <w:rFonts w:ascii="Arial" w:hAnsi="Arial" w:cs="Arial"/>
          <w:sz w:val="22"/>
          <w:szCs w:val="22"/>
        </w:rPr>
        <w:t>Industry Media and Analysts</w:t>
      </w:r>
    </w:p>
    <w:p w14:paraId="53756221" w14:textId="77777777" w:rsidR="000953C9" w:rsidRPr="0015132B" w:rsidRDefault="000953C9" w:rsidP="00FE4C56">
      <w:pPr>
        <w:pStyle w:val="ListParagraph"/>
        <w:spacing w:line="360" w:lineRule="auto"/>
        <w:jc w:val="both"/>
        <w:rPr>
          <w:rFonts w:ascii="Arial" w:hAnsi="Arial" w:cs="Arial"/>
          <w:sz w:val="22"/>
          <w:szCs w:val="22"/>
        </w:rPr>
        <w:sectPr w:rsidR="000953C9" w:rsidRPr="0015132B" w:rsidSect="000953C9">
          <w:type w:val="continuous"/>
          <w:pgSz w:w="11906" w:h="16838"/>
          <w:pgMar w:top="1440" w:right="1440" w:bottom="1440" w:left="1440" w:header="708" w:footer="708" w:gutter="0"/>
          <w:cols w:num="2" w:space="708"/>
          <w:docGrid w:linePitch="360"/>
        </w:sectPr>
      </w:pPr>
    </w:p>
    <w:p w14:paraId="28EF2F23" w14:textId="080962E8" w:rsidR="00C5270F" w:rsidRPr="0015132B" w:rsidRDefault="00C5270F" w:rsidP="00FE4C56">
      <w:pPr>
        <w:pStyle w:val="Heading2"/>
        <w:spacing w:line="360" w:lineRule="auto"/>
        <w:rPr>
          <w:rFonts w:ascii="Arial" w:hAnsi="Arial" w:cs="Arial"/>
          <w:sz w:val="24"/>
          <w:szCs w:val="24"/>
        </w:rPr>
      </w:pPr>
      <w:bookmarkStart w:id="17" w:name="_Toc214389937"/>
      <w:r w:rsidRPr="0015132B">
        <w:rPr>
          <w:rFonts w:ascii="Arial" w:hAnsi="Arial" w:cs="Arial"/>
          <w:sz w:val="24"/>
          <w:szCs w:val="24"/>
        </w:rPr>
        <w:lastRenderedPageBreak/>
        <w:t>The Stakeholders map.</w:t>
      </w:r>
      <w:bookmarkEnd w:id="17"/>
    </w:p>
    <w:p w14:paraId="3DA8A1EA" w14:textId="52844554" w:rsidR="00C5270F" w:rsidRPr="0015132B" w:rsidRDefault="005443ED" w:rsidP="00FE4C56">
      <w:pPr>
        <w:spacing w:line="360" w:lineRule="auto"/>
        <w:jc w:val="both"/>
        <w:rPr>
          <w:rFonts w:ascii="Arial" w:hAnsi="Arial" w:cs="Arial"/>
          <w:sz w:val="22"/>
          <w:szCs w:val="22"/>
        </w:rPr>
      </w:pPr>
      <w:r w:rsidRPr="0015132B">
        <w:rPr>
          <w:rFonts w:ascii="Arial" w:hAnsi="Arial" w:cs="Arial"/>
          <w:sz w:val="22"/>
          <w:szCs w:val="22"/>
        </w:rPr>
        <w:t>Huma's performance is based on organizational architecture that integrates cross-functional collaboration (Huma, 2023b) and proactive regulatory compliance (Huma, 2023a). A critical factor in the success of the project is the external environment formed by external stakeholders: end users, medical professionals, regulatory bodies and partners. Their interaction, implemented through financial flows, fulfilment of legal requirements and exchange of information, directly affects the public perception of the product, forming the third level of influence in the general structure. Below is the stakeholder map illustrating their relationships, proximity, and influence across Huma’s wearable device development and launch.</w:t>
      </w:r>
      <w:r w:rsidRPr="0015132B">
        <w:rPr>
          <w:rFonts w:ascii="Arial" w:hAnsi="Arial" w:cs="Arial"/>
          <w:sz w:val="22"/>
          <w:szCs w:val="22"/>
        </w:rPr>
        <w:br/>
        <w:t>The application of structured methods of identification and visual mapping of stakeholders allows Huma to provide targeted interaction, which facilitates collective decision-making, minimizes resistance and guarantees the successful development and implementation of a wearable medical device</w:t>
      </w:r>
      <w:r w:rsidR="00C5270F" w:rsidRPr="0015132B">
        <w:rPr>
          <w:rFonts w:ascii="Arial" w:hAnsi="Arial" w:cs="Arial"/>
          <w:sz w:val="22"/>
          <w:szCs w:val="22"/>
        </w:rPr>
        <w:t>.</w:t>
      </w:r>
      <w:r w:rsidR="00B63814" w:rsidRPr="0015132B">
        <w:rPr>
          <w:rFonts w:ascii="Arial" w:hAnsi="Arial" w:cs="Arial"/>
          <w:sz w:val="22"/>
          <w:szCs w:val="22"/>
        </w:rPr>
        <w:t xml:space="preserve"> (See figure 3).</w:t>
      </w:r>
    </w:p>
    <w:p w14:paraId="589B114B" w14:textId="444DFD3B" w:rsidR="00E13E23" w:rsidRPr="0015132B" w:rsidRDefault="00E13E23" w:rsidP="00FE4C56">
      <w:pPr>
        <w:spacing w:line="360" w:lineRule="auto"/>
        <w:jc w:val="both"/>
        <w:rPr>
          <w:rFonts w:ascii="Arial" w:hAnsi="Arial" w:cs="Arial"/>
          <w:sz w:val="22"/>
          <w:szCs w:val="22"/>
        </w:rPr>
      </w:pPr>
      <w:r w:rsidRPr="0015132B">
        <w:rPr>
          <w:rFonts w:ascii="Arial" w:hAnsi="Arial" w:cs="Arial"/>
          <w:sz w:val="22"/>
          <w:szCs w:val="22"/>
        </w:rPr>
        <w:drawing>
          <wp:inline distT="0" distB="0" distL="0" distR="0" wp14:anchorId="7EF89ADE" wp14:editId="751A21E4">
            <wp:extent cx="5999106" cy="3352529"/>
            <wp:effectExtent l="0" t="0" r="1905" b="635"/>
            <wp:docPr id="174287606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876060" name="Picture 1742876060"/>
                    <pic:cNvPicPr/>
                  </pic:nvPicPr>
                  <pic:blipFill>
                    <a:blip r:embed="rId12">
                      <a:extLst>
                        <a:ext uri="{28A0092B-C50C-407E-A947-70E740481C1C}">
                          <a14:useLocalDpi xmlns:a14="http://schemas.microsoft.com/office/drawing/2010/main" val="0"/>
                        </a:ext>
                      </a:extLst>
                    </a:blip>
                    <a:stretch>
                      <a:fillRect/>
                    </a:stretch>
                  </pic:blipFill>
                  <pic:spPr>
                    <a:xfrm>
                      <a:off x="0" y="0"/>
                      <a:ext cx="6007897" cy="3357442"/>
                    </a:xfrm>
                    <a:prstGeom prst="rect">
                      <a:avLst/>
                    </a:prstGeom>
                  </pic:spPr>
                </pic:pic>
              </a:graphicData>
            </a:graphic>
          </wp:inline>
        </w:drawing>
      </w:r>
    </w:p>
    <w:p w14:paraId="64AD4FAF" w14:textId="77777777" w:rsidR="00E85F40" w:rsidRPr="0015132B" w:rsidRDefault="003173EE" w:rsidP="00E85F40">
      <w:pPr>
        <w:spacing w:line="360" w:lineRule="auto"/>
        <w:jc w:val="both"/>
        <w:rPr>
          <w:rFonts w:ascii="Arial" w:hAnsi="Arial" w:cs="Arial"/>
          <w:sz w:val="22"/>
          <w:szCs w:val="22"/>
        </w:rPr>
      </w:pPr>
      <w:r w:rsidRPr="0015132B">
        <w:rPr>
          <w:rFonts w:ascii="Arial" w:hAnsi="Arial" w:cs="Arial"/>
          <w:sz w:val="22"/>
          <w:szCs w:val="22"/>
        </w:rPr>
        <w:t xml:space="preserve">Figure </w:t>
      </w:r>
      <w:r w:rsidR="00E85F40" w:rsidRPr="0015132B">
        <w:rPr>
          <w:rFonts w:ascii="Arial" w:hAnsi="Arial" w:cs="Arial"/>
          <w:sz w:val="22"/>
          <w:szCs w:val="22"/>
        </w:rPr>
        <w:t>3. Stakeholders map.</w:t>
      </w:r>
    </w:p>
    <w:p w14:paraId="3971E36F" w14:textId="77777777" w:rsidR="00E85F40" w:rsidRPr="0015132B" w:rsidRDefault="00E85F40" w:rsidP="00E85F40">
      <w:pPr>
        <w:spacing w:line="360" w:lineRule="auto"/>
        <w:jc w:val="both"/>
        <w:rPr>
          <w:rFonts w:ascii="Arial" w:hAnsi="Arial" w:cs="Arial"/>
          <w:sz w:val="22"/>
          <w:szCs w:val="22"/>
        </w:rPr>
      </w:pPr>
    </w:p>
    <w:p w14:paraId="29A3C010" w14:textId="002D4B45" w:rsidR="00B421AA" w:rsidRPr="0015132B" w:rsidRDefault="00F4506B" w:rsidP="00E85F40">
      <w:pPr>
        <w:pStyle w:val="Heading1"/>
        <w:spacing w:line="360" w:lineRule="auto"/>
        <w:jc w:val="both"/>
        <w:rPr>
          <w:rFonts w:ascii="Arial" w:hAnsi="Arial" w:cs="Arial"/>
          <w:sz w:val="28"/>
          <w:szCs w:val="28"/>
        </w:rPr>
      </w:pPr>
      <w:bookmarkStart w:id="18" w:name="_Toc214389938"/>
      <w:r w:rsidRPr="0015132B">
        <w:rPr>
          <w:rFonts w:ascii="Arial" w:hAnsi="Arial" w:cs="Arial"/>
          <w:sz w:val="28"/>
          <w:szCs w:val="28"/>
        </w:rPr>
        <w:lastRenderedPageBreak/>
        <w:t>The</w:t>
      </w:r>
      <w:r w:rsidR="00AA1509" w:rsidRPr="0015132B">
        <w:rPr>
          <w:rFonts w:ascii="Arial" w:hAnsi="Arial" w:cs="Arial"/>
          <w:sz w:val="28"/>
          <w:szCs w:val="28"/>
        </w:rPr>
        <w:t xml:space="preserve"> </w:t>
      </w:r>
      <w:r w:rsidR="008D480A" w:rsidRPr="0015132B">
        <w:rPr>
          <w:rFonts w:ascii="Arial" w:hAnsi="Arial" w:cs="Arial"/>
          <w:sz w:val="28"/>
          <w:szCs w:val="28"/>
        </w:rPr>
        <w:t>r</w:t>
      </w:r>
      <w:r w:rsidR="00D421D8" w:rsidRPr="0015132B">
        <w:rPr>
          <w:rFonts w:ascii="Arial" w:hAnsi="Arial" w:cs="Arial"/>
          <w:sz w:val="28"/>
          <w:szCs w:val="28"/>
        </w:rPr>
        <w:t xml:space="preserve">oles, </w:t>
      </w:r>
      <w:r w:rsidR="008D480A" w:rsidRPr="0015132B">
        <w:rPr>
          <w:rFonts w:ascii="Arial" w:hAnsi="Arial" w:cs="Arial"/>
          <w:sz w:val="28"/>
          <w:szCs w:val="28"/>
        </w:rPr>
        <w:t>r</w:t>
      </w:r>
      <w:r w:rsidR="00D421D8" w:rsidRPr="0015132B">
        <w:rPr>
          <w:rFonts w:ascii="Arial" w:hAnsi="Arial" w:cs="Arial"/>
          <w:sz w:val="28"/>
          <w:szCs w:val="28"/>
        </w:rPr>
        <w:t xml:space="preserve">esponsibilities, </w:t>
      </w:r>
      <w:r w:rsidR="008D480A" w:rsidRPr="0015132B">
        <w:rPr>
          <w:rFonts w:ascii="Arial" w:hAnsi="Arial" w:cs="Arial"/>
          <w:sz w:val="28"/>
          <w:szCs w:val="28"/>
        </w:rPr>
        <w:t>b</w:t>
      </w:r>
      <w:r w:rsidR="00D421D8" w:rsidRPr="0015132B">
        <w:rPr>
          <w:rFonts w:ascii="Arial" w:hAnsi="Arial" w:cs="Arial"/>
          <w:sz w:val="28"/>
          <w:szCs w:val="28"/>
        </w:rPr>
        <w:t xml:space="preserve">enefits, and </w:t>
      </w:r>
      <w:r w:rsidR="008D480A" w:rsidRPr="0015132B">
        <w:rPr>
          <w:rFonts w:ascii="Arial" w:hAnsi="Arial" w:cs="Arial"/>
          <w:sz w:val="28"/>
          <w:szCs w:val="28"/>
        </w:rPr>
        <w:t>c</w:t>
      </w:r>
      <w:r w:rsidR="00D421D8" w:rsidRPr="0015132B">
        <w:rPr>
          <w:rFonts w:ascii="Arial" w:hAnsi="Arial" w:cs="Arial"/>
          <w:sz w:val="28"/>
          <w:szCs w:val="28"/>
        </w:rPr>
        <w:t xml:space="preserve">hallenges of </w:t>
      </w:r>
      <w:r w:rsidR="008D480A" w:rsidRPr="0015132B">
        <w:rPr>
          <w:rFonts w:ascii="Arial" w:hAnsi="Arial" w:cs="Arial"/>
          <w:sz w:val="28"/>
          <w:szCs w:val="28"/>
        </w:rPr>
        <w:t>k</w:t>
      </w:r>
      <w:r w:rsidR="00D421D8" w:rsidRPr="0015132B">
        <w:rPr>
          <w:rFonts w:ascii="Arial" w:hAnsi="Arial" w:cs="Arial"/>
          <w:sz w:val="28"/>
          <w:szCs w:val="28"/>
        </w:rPr>
        <w:t>ey</w:t>
      </w:r>
      <w:r w:rsidR="00A83ED9" w:rsidRPr="0015132B">
        <w:rPr>
          <w:rFonts w:ascii="Arial" w:hAnsi="Arial" w:cs="Arial"/>
          <w:sz w:val="28"/>
          <w:szCs w:val="28"/>
        </w:rPr>
        <w:t xml:space="preserve"> HUMA</w:t>
      </w:r>
      <w:r w:rsidR="00D421D8" w:rsidRPr="0015132B">
        <w:rPr>
          <w:rFonts w:ascii="Arial" w:hAnsi="Arial" w:cs="Arial"/>
          <w:sz w:val="28"/>
          <w:szCs w:val="28"/>
        </w:rPr>
        <w:t xml:space="preserve"> </w:t>
      </w:r>
      <w:r w:rsidR="008D480A" w:rsidRPr="0015132B">
        <w:rPr>
          <w:rFonts w:ascii="Arial" w:hAnsi="Arial" w:cs="Arial"/>
          <w:sz w:val="28"/>
          <w:szCs w:val="28"/>
        </w:rPr>
        <w:t>s</w:t>
      </w:r>
      <w:r w:rsidR="00D421D8" w:rsidRPr="0015132B">
        <w:rPr>
          <w:rFonts w:ascii="Arial" w:hAnsi="Arial" w:cs="Arial"/>
          <w:sz w:val="28"/>
          <w:szCs w:val="28"/>
        </w:rPr>
        <w:t>takeholders</w:t>
      </w:r>
      <w:bookmarkEnd w:id="18"/>
    </w:p>
    <w:p w14:paraId="7FF1301D" w14:textId="2C7FE407" w:rsidR="0052340B" w:rsidRPr="0015132B" w:rsidRDefault="00A10F72" w:rsidP="00E85F40">
      <w:pPr>
        <w:pStyle w:val="Heading2"/>
        <w:spacing w:line="360" w:lineRule="auto"/>
        <w:jc w:val="both"/>
        <w:rPr>
          <w:rFonts w:ascii="Arial" w:hAnsi="Arial" w:cs="Arial"/>
          <w:color w:val="auto"/>
          <w:sz w:val="22"/>
          <w:szCs w:val="22"/>
        </w:rPr>
      </w:pPr>
      <w:bookmarkStart w:id="19" w:name="_Toc214045157"/>
      <w:bookmarkStart w:id="20" w:name="_Toc214389939"/>
      <w:r w:rsidRPr="0015132B">
        <w:rPr>
          <w:rFonts w:ascii="Arial" w:hAnsi="Arial" w:cs="Arial"/>
          <w:color w:val="auto"/>
          <w:sz w:val="22"/>
          <w:szCs w:val="22"/>
        </w:rPr>
        <w:t>Strategic management of stakeholders determines the success of the development of the Huma medical wearable device, because, according to Freeman's (1984) theory, these groups directly affect and depend on the results of the project. Differentiated roles, powers and levels of influence of each participant form a unique contribution to the product life cycle – from concept to commercial launch.</w:t>
      </w:r>
      <w:bookmarkEnd w:id="19"/>
      <w:bookmarkEnd w:id="20"/>
    </w:p>
    <w:p w14:paraId="2E4FDDF9" w14:textId="756A093C" w:rsidR="00F4506B" w:rsidRPr="0015132B" w:rsidRDefault="00F4506B" w:rsidP="00FE4C56">
      <w:pPr>
        <w:pStyle w:val="Heading2"/>
        <w:spacing w:line="360" w:lineRule="auto"/>
        <w:jc w:val="both"/>
        <w:rPr>
          <w:rFonts w:ascii="Arial" w:hAnsi="Arial" w:cs="Arial"/>
          <w:sz w:val="24"/>
          <w:szCs w:val="24"/>
        </w:rPr>
      </w:pPr>
      <w:bookmarkStart w:id="21" w:name="_Toc214389940"/>
      <w:r w:rsidRPr="0015132B">
        <w:rPr>
          <w:rFonts w:ascii="Arial" w:hAnsi="Arial" w:cs="Arial"/>
          <w:sz w:val="24"/>
          <w:szCs w:val="24"/>
        </w:rPr>
        <w:t xml:space="preserve">The roles and responsibilities of </w:t>
      </w:r>
      <w:r w:rsidR="008D480A" w:rsidRPr="0015132B">
        <w:rPr>
          <w:rFonts w:ascii="Arial" w:hAnsi="Arial" w:cs="Arial"/>
          <w:sz w:val="24"/>
          <w:szCs w:val="24"/>
        </w:rPr>
        <w:t>key stakeholder</w:t>
      </w:r>
      <w:bookmarkEnd w:id="21"/>
    </w:p>
    <w:p w14:paraId="45727BD8" w14:textId="77777777" w:rsidR="001C2792" w:rsidRPr="0015132B" w:rsidRDefault="001C2792" w:rsidP="00FE4C56">
      <w:pPr>
        <w:spacing w:line="360" w:lineRule="auto"/>
        <w:jc w:val="both"/>
        <w:rPr>
          <w:rFonts w:ascii="Arial" w:hAnsi="Arial" w:cs="Arial"/>
          <w:b/>
          <w:bCs/>
          <w:sz w:val="22"/>
          <w:szCs w:val="22"/>
        </w:rPr>
      </w:pPr>
      <w:r w:rsidRPr="0015132B">
        <w:rPr>
          <w:rFonts w:ascii="Arial" w:hAnsi="Arial" w:cs="Arial"/>
          <w:b/>
          <w:bCs/>
          <w:sz w:val="22"/>
          <w:szCs w:val="22"/>
        </w:rPr>
        <w:t>Internal Stakeholders</w:t>
      </w:r>
    </w:p>
    <w:p w14:paraId="13BEEF49" w14:textId="4EBF1FC2" w:rsidR="00A30603" w:rsidRPr="0015132B" w:rsidRDefault="00A10F72" w:rsidP="00FE4C56">
      <w:pPr>
        <w:spacing w:line="360" w:lineRule="auto"/>
        <w:jc w:val="both"/>
        <w:rPr>
          <w:rFonts w:ascii="Arial" w:hAnsi="Arial" w:cs="Arial"/>
          <w:b/>
          <w:bCs/>
          <w:sz w:val="22"/>
          <w:szCs w:val="22"/>
        </w:rPr>
      </w:pPr>
      <w:r w:rsidRPr="0015132B">
        <w:rPr>
          <w:rFonts w:ascii="Arial" w:hAnsi="Arial" w:cs="Arial"/>
          <w:sz w:val="22"/>
          <w:szCs w:val="22"/>
        </w:rPr>
        <w:t>At the centre of Huma’s product development, the Project Manager ensures the wearable device is delivered on time, within budget, and to specification. The first level of operational interaction brings together engineering teams responsible for hardware and software development, regulatory affairs that ensure compliance with standards, and a support service that deals with feedback and customer retention (Huma, 2023a). The second level of strategic management covers executive management responsible for financing and external relations, marketing departments with a commercialization strategy, as well as legal-compliance services that ensure intellectual property protection and data security (Jawad, 2024). These structural units are coordinated with the project manager to solve complex issues and maintain strategic integrity. Strategic coordination of these units with the project manager ensures the solution of complex tasks and maintenance of development integrity. The joint work of these departments allows you to turn the idea into a quality product that meets standards, withstands competition and inspires customer trust.</w:t>
      </w:r>
      <w:r w:rsidR="00A30603" w:rsidRPr="0015132B">
        <w:rPr>
          <w:rFonts w:ascii="Arial" w:hAnsi="Arial" w:cs="Arial"/>
          <w:b/>
          <w:bCs/>
          <w:sz w:val="22"/>
          <w:szCs w:val="22"/>
        </w:rPr>
        <w:t xml:space="preserve"> </w:t>
      </w:r>
    </w:p>
    <w:p w14:paraId="656E8E05" w14:textId="77777777" w:rsidR="00E85F40" w:rsidRPr="0015132B" w:rsidRDefault="001C2792" w:rsidP="00E85F40">
      <w:pPr>
        <w:spacing w:line="360" w:lineRule="auto"/>
        <w:jc w:val="both"/>
        <w:rPr>
          <w:rFonts w:ascii="Arial" w:hAnsi="Arial" w:cs="Arial"/>
          <w:b/>
          <w:bCs/>
          <w:sz w:val="22"/>
          <w:szCs w:val="22"/>
        </w:rPr>
      </w:pPr>
      <w:r w:rsidRPr="0015132B">
        <w:rPr>
          <w:rFonts w:ascii="Arial" w:hAnsi="Arial" w:cs="Arial"/>
          <w:b/>
          <w:bCs/>
          <w:sz w:val="22"/>
          <w:szCs w:val="22"/>
        </w:rPr>
        <w:t>External Stakeholders</w:t>
      </w:r>
      <w:bookmarkStart w:id="22" w:name="_Toc214045159"/>
    </w:p>
    <w:p w14:paraId="714DC419" w14:textId="5D6EFD49" w:rsidR="00E86007" w:rsidRPr="0015132B" w:rsidRDefault="00A10F72" w:rsidP="00E85F40">
      <w:pPr>
        <w:spacing w:line="360" w:lineRule="auto"/>
        <w:jc w:val="both"/>
        <w:rPr>
          <w:rFonts w:ascii="Arial" w:hAnsi="Arial" w:cs="Arial"/>
          <w:b/>
          <w:bCs/>
          <w:sz w:val="22"/>
          <w:szCs w:val="22"/>
        </w:rPr>
      </w:pPr>
      <w:r w:rsidRPr="0015132B">
        <w:rPr>
          <w:rFonts w:ascii="Arial" w:hAnsi="Arial" w:cs="Arial"/>
          <w:sz w:val="22"/>
          <w:szCs w:val="22"/>
        </w:rPr>
        <w:t xml:space="preserve">Feedback from end users (patients and health monitors) on usability is key to implementing the device (Huma, 2025). </w:t>
      </w:r>
      <w:r w:rsidR="008E6A07" w:rsidRPr="008E6A07">
        <w:rPr>
          <w:rFonts w:ascii="Arial" w:hAnsi="Arial" w:cs="Arial"/>
          <w:sz w:val="22"/>
          <w:szCs w:val="22"/>
        </w:rPr>
        <w:t>Medical personnel, for their part, certify the value of the device, participate in shaping its prescribing practices, and provide regulatory authorities with data on its safety and efficacy (Khan and Duncan, 2025).</w:t>
      </w:r>
      <w:r w:rsidR="008E6A07">
        <w:rPr>
          <w:rFonts w:ascii="Arial" w:hAnsi="Arial" w:cs="Arial"/>
          <w:sz w:val="22"/>
          <w:szCs w:val="22"/>
        </w:rPr>
        <w:t xml:space="preserve"> </w:t>
      </w:r>
      <w:r w:rsidRPr="0015132B">
        <w:rPr>
          <w:rFonts w:ascii="Arial" w:hAnsi="Arial" w:cs="Arial"/>
          <w:sz w:val="22"/>
          <w:szCs w:val="22"/>
        </w:rPr>
        <w:t>Hospitals can implement the device in remote patient monitoring programs, organizing cooperation between IT and procurement departments. Regulatory bodies grant market access by evaluating safety and efficacy. Investors fund development and expect ROI. Stores and sales partners ensure the device is affordable for consumers, and component manufacturers work closely with engineers on technical specifications. Patient organisations represent user interests and raise product awareness, while scientific centres conduct clinical studies to confirm efficacy. mass media and experts, in turn, shape public opinion and the level of trust in technology</w:t>
      </w:r>
      <w:r w:rsidR="00E86007" w:rsidRPr="0015132B">
        <w:rPr>
          <w:rFonts w:ascii="Arial" w:hAnsi="Arial" w:cs="Arial"/>
          <w:sz w:val="22"/>
          <w:szCs w:val="22"/>
        </w:rPr>
        <w:t>.</w:t>
      </w:r>
      <w:bookmarkEnd w:id="22"/>
    </w:p>
    <w:p w14:paraId="2B65E4B8" w14:textId="4D77358A" w:rsidR="001C2792" w:rsidRPr="0015132B" w:rsidRDefault="001C2792" w:rsidP="00FE4C56">
      <w:pPr>
        <w:pStyle w:val="Heading2"/>
        <w:spacing w:line="360" w:lineRule="auto"/>
        <w:rPr>
          <w:rFonts w:ascii="Arial" w:hAnsi="Arial" w:cs="Arial"/>
          <w:sz w:val="24"/>
          <w:szCs w:val="24"/>
        </w:rPr>
      </w:pPr>
      <w:bookmarkStart w:id="23" w:name="_Toc214389941"/>
      <w:r w:rsidRPr="0015132B">
        <w:rPr>
          <w:rFonts w:ascii="Arial" w:hAnsi="Arial" w:cs="Arial"/>
          <w:sz w:val="24"/>
          <w:szCs w:val="24"/>
        </w:rPr>
        <w:lastRenderedPageBreak/>
        <w:t>Benefits</w:t>
      </w:r>
      <w:bookmarkEnd w:id="23"/>
    </w:p>
    <w:p w14:paraId="386EB52C" w14:textId="78713142" w:rsidR="003F3A6B" w:rsidRPr="0015132B" w:rsidRDefault="00750DEC" w:rsidP="00FE4C56">
      <w:pPr>
        <w:spacing w:line="360" w:lineRule="auto"/>
        <w:jc w:val="both"/>
        <w:rPr>
          <w:rFonts w:ascii="Arial" w:hAnsi="Arial" w:cs="Arial"/>
          <w:sz w:val="22"/>
          <w:szCs w:val="22"/>
        </w:rPr>
      </w:pPr>
      <w:r w:rsidRPr="0015132B">
        <w:rPr>
          <w:rFonts w:ascii="Arial" w:hAnsi="Arial" w:cs="Arial"/>
          <w:sz w:val="22"/>
          <w:szCs w:val="22"/>
        </w:rPr>
        <w:t>The development of the Huma medical device depends on the joint efforts of all involved: engineering and regulatory teams ensure quality and safety, management - funding, doctors and patients - medical value, and manufacturers - stable production of the product. Each stage of the product life cycle — from development to implementation — depends on the collective contribution of all participants. Patient organizations raise awareness and shape policies, building trust. Academic partners provide clinical evidence and media — public visibility. All of them together provide the key resources, expertise and support needed to succeed</w:t>
      </w:r>
      <w:r w:rsidR="003F3A6B" w:rsidRPr="0015132B">
        <w:rPr>
          <w:rFonts w:ascii="Arial" w:hAnsi="Arial" w:cs="Arial"/>
          <w:sz w:val="22"/>
          <w:szCs w:val="22"/>
        </w:rPr>
        <w:t>.</w:t>
      </w:r>
    </w:p>
    <w:p w14:paraId="5C3324CB" w14:textId="28E290D2" w:rsidR="001C2792" w:rsidRPr="0015132B" w:rsidRDefault="001C2792" w:rsidP="00FE4C56">
      <w:pPr>
        <w:pStyle w:val="Heading2"/>
        <w:spacing w:line="360" w:lineRule="auto"/>
        <w:rPr>
          <w:rFonts w:ascii="Arial" w:hAnsi="Arial" w:cs="Arial"/>
          <w:sz w:val="24"/>
          <w:szCs w:val="24"/>
        </w:rPr>
      </w:pPr>
      <w:bookmarkStart w:id="24" w:name="_Toc214389942"/>
      <w:r w:rsidRPr="0015132B">
        <w:rPr>
          <w:rFonts w:ascii="Arial" w:hAnsi="Arial" w:cs="Arial"/>
          <w:sz w:val="24"/>
          <w:szCs w:val="24"/>
        </w:rPr>
        <w:t>Challenges</w:t>
      </w:r>
      <w:bookmarkEnd w:id="24"/>
    </w:p>
    <w:p w14:paraId="73481A70" w14:textId="694370ED" w:rsidR="00AA1509" w:rsidRPr="0015132B" w:rsidRDefault="00077C88" w:rsidP="00FE4C56">
      <w:pPr>
        <w:spacing w:line="360" w:lineRule="auto"/>
        <w:jc w:val="both"/>
        <w:rPr>
          <w:rFonts w:ascii="Arial" w:hAnsi="Arial" w:cs="Arial"/>
          <w:sz w:val="22"/>
          <w:szCs w:val="22"/>
        </w:rPr>
      </w:pPr>
      <w:r w:rsidRPr="0015132B">
        <w:rPr>
          <w:rFonts w:ascii="Arial" w:hAnsi="Arial" w:cs="Arial"/>
          <w:sz w:val="22"/>
          <w:szCs w:val="22"/>
        </w:rPr>
        <w:t>In the Huma project, conflicts may arise between different groups, which affects joint work. As noted by Ashcroft et al. (2017), different expectations often lead to a loss of trust and make decision-making difficult. As noted by Rajhans (2018), the difference in — priorities, such as technical improvement in engineers and financial results in — management, is exacerbated by ineffective communication, especially when clinical needs conflict with commercial deadlines. Such contradictions arising from different value systems and motivations need to be resolved through open dialogue to preserve product integrity and develop ethical and sustainable innovations in the field of digital health care</w:t>
      </w:r>
      <w:r w:rsidR="00411D88" w:rsidRPr="0015132B">
        <w:rPr>
          <w:rFonts w:ascii="Arial" w:hAnsi="Arial" w:cs="Arial"/>
          <w:sz w:val="22"/>
          <w:szCs w:val="22"/>
        </w:rPr>
        <w:t>.</w:t>
      </w:r>
    </w:p>
    <w:p w14:paraId="061E7F99" w14:textId="28D1BD3A" w:rsidR="0054627B" w:rsidRPr="0015132B" w:rsidRDefault="0045221A" w:rsidP="00FE4C56">
      <w:pPr>
        <w:pStyle w:val="Heading1"/>
        <w:spacing w:line="360" w:lineRule="auto"/>
        <w:rPr>
          <w:rFonts w:ascii="Arial" w:hAnsi="Arial" w:cs="Arial"/>
          <w:sz w:val="28"/>
          <w:szCs w:val="28"/>
        </w:rPr>
      </w:pPr>
      <w:bookmarkStart w:id="25" w:name="_Toc214389943"/>
      <w:r w:rsidRPr="0015132B">
        <w:rPr>
          <w:rFonts w:ascii="Arial" w:hAnsi="Arial" w:cs="Arial"/>
          <w:sz w:val="28"/>
          <w:szCs w:val="28"/>
        </w:rPr>
        <w:t xml:space="preserve">HUMA </w:t>
      </w:r>
      <w:r w:rsidR="00F907CD" w:rsidRPr="0015132B">
        <w:rPr>
          <w:rFonts w:ascii="Arial" w:hAnsi="Arial" w:cs="Arial"/>
          <w:sz w:val="28"/>
          <w:szCs w:val="28"/>
        </w:rPr>
        <w:t>e</w:t>
      </w:r>
      <w:r w:rsidR="0054627B" w:rsidRPr="0015132B">
        <w:rPr>
          <w:rFonts w:ascii="Arial" w:hAnsi="Arial" w:cs="Arial"/>
          <w:sz w:val="28"/>
          <w:szCs w:val="28"/>
        </w:rPr>
        <w:t xml:space="preserve">ngaging </w:t>
      </w:r>
      <w:r w:rsidR="00F907CD" w:rsidRPr="0015132B">
        <w:rPr>
          <w:rFonts w:ascii="Arial" w:hAnsi="Arial" w:cs="Arial"/>
          <w:sz w:val="28"/>
          <w:szCs w:val="28"/>
        </w:rPr>
        <w:t>s</w:t>
      </w:r>
      <w:r w:rsidR="0054627B" w:rsidRPr="0015132B">
        <w:rPr>
          <w:rFonts w:ascii="Arial" w:hAnsi="Arial" w:cs="Arial"/>
          <w:sz w:val="28"/>
          <w:szCs w:val="28"/>
        </w:rPr>
        <w:t xml:space="preserve">takeholders: </w:t>
      </w:r>
      <w:r w:rsidR="00F907CD" w:rsidRPr="0015132B">
        <w:rPr>
          <w:rFonts w:ascii="Arial" w:hAnsi="Arial" w:cs="Arial"/>
          <w:sz w:val="28"/>
          <w:szCs w:val="28"/>
        </w:rPr>
        <w:t>f</w:t>
      </w:r>
      <w:r w:rsidR="0054627B" w:rsidRPr="0015132B">
        <w:rPr>
          <w:rFonts w:ascii="Arial" w:hAnsi="Arial" w:cs="Arial"/>
          <w:sz w:val="28"/>
          <w:szCs w:val="28"/>
        </w:rPr>
        <w:t xml:space="preserve">rameworks, </w:t>
      </w:r>
      <w:r w:rsidR="00F907CD" w:rsidRPr="0015132B">
        <w:rPr>
          <w:rFonts w:ascii="Arial" w:hAnsi="Arial" w:cs="Arial"/>
          <w:sz w:val="28"/>
          <w:szCs w:val="28"/>
        </w:rPr>
        <w:t>m</w:t>
      </w:r>
      <w:r w:rsidR="0054627B" w:rsidRPr="0015132B">
        <w:rPr>
          <w:rFonts w:ascii="Arial" w:hAnsi="Arial" w:cs="Arial"/>
          <w:sz w:val="28"/>
          <w:szCs w:val="28"/>
        </w:rPr>
        <w:t xml:space="preserve">odels, and </w:t>
      </w:r>
      <w:r w:rsidR="00F907CD" w:rsidRPr="0015132B">
        <w:rPr>
          <w:rFonts w:ascii="Arial" w:hAnsi="Arial" w:cs="Arial"/>
          <w:sz w:val="28"/>
          <w:szCs w:val="28"/>
        </w:rPr>
        <w:t>t</w:t>
      </w:r>
      <w:r w:rsidR="0054627B" w:rsidRPr="0015132B">
        <w:rPr>
          <w:rFonts w:ascii="Arial" w:hAnsi="Arial" w:cs="Arial"/>
          <w:sz w:val="28"/>
          <w:szCs w:val="28"/>
        </w:rPr>
        <w:t>ools</w:t>
      </w:r>
      <w:bookmarkEnd w:id="25"/>
    </w:p>
    <w:p w14:paraId="6B38D06B" w14:textId="0E293699" w:rsidR="008C68C4" w:rsidRPr="0015132B" w:rsidRDefault="007803B4" w:rsidP="00FE4C56">
      <w:pPr>
        <w:pStyle w:val="Heading2"/>
        <w:spacing w:line="360" w:lineRule="auto"/>
        <w:jc w:val="both"/>
        <w:rPr>
          <w:rFonts w:ascii="Arial" w:hAnsi="Arial" w:cs="Arial"/>
          <w:color w:val="auto"/>
          <w:sz w:val="22"/>
          <w:szCs w:val="22"/>
        </w:rPr>
      </w:pPr>
      <w:bookmarkStart w:id="26" w:name="_Toc214045163"/>
      <w:bookmarkStart w:id="27" w:name="_Toc214389944"/>
      <w:r w:rsidRPr="007803B4">
        <w:rPr>
          <w:rFonts w:ascii="Arial" w:hAnsi="Arial" w:cs="Arial"/>
          <w:color w:val="auto"/>
          <w:sz w:val="22"/>
          <w:szCs w:val="22"/>
        </w:rPr>
        <w:t>The importance of a structured development methodology Ashcroft et al. (2017) prove that participatory matrices and coordination strategies ensure coherence of actions and ethical collaboration at all steps of the product life cycle.</w:t>
      </w:r>
      <w:bookmarkEnd w:id="26"/>
      <w:bookmarkEnd w:id="27"/>
    </w:p>
    <w:p w14:paraId="1E7DCA1F" w14:textId="51A857CF" w:rsidR="00EA3F80" w:rsidRPr="0015132B" w:rsidRDefault="0045221A" w:rsidP="00FE4C56">
      <w:pPr>
        <w:pStyle w:val="Heading2"/>
        <w:spacing w:line="360" w:lineRule="auto"/>
        <w:rPr>
          <w:rFonts w:ascii="Arial" w:hAnsi="Arial" w:cs="Arial"/>
          <w:sz w:val="24"/>
          <w:szCs w:val="24"/>
        </w:rPr>
      </w:pPr>
      <w:bookmarkStart w:id="28" w:name="_Toc214389945"/>
      <w:r w:rsidRPr="0015132B">
        <w:rPr>
          <w:rFonts w:ascii="Arial" w:hAnsi="Arial" w:cs="Arial"/>
          <w:sz w:val="24"/>
          <w:szCs w:val="24"/>
        </w:rPr>
        <w:t>HUMA</w:t>
      </w:r>
      <w:r w:rsidR="0054627B" w:rsidRPr="0015132B">
        <w:rPr>
          <w:rFonts w:ascii="Arial" w:hAnsi="Arial" w:cs="Arial"/>
          <w:sz w:val="24"/>
          <w:szCs w:val="24"/>
        </w:rPr>
        <w:t xml:space="preserve"> Stakeholder Matrix</w:t>
      </w:r>
      <w:bookmarkEnd w:id="28"/>
      <w:r w:rsidR="0054627B" w:rsidRPr="0015132B">
        <w:rPr>
          <w:rFonts w:ascii="Arial" w:hAnsi="Arial" w:cs="Arial"/>
          <w:sz w:val="24"/>
          <w:szCs w:val="24"/>
        </w:rPr>
        <w:t xml:space="preserve"> </w:t>
      </w:r>
    </w:p>
    <w:p w14:paraId="2D4009BE" w14:textId="552EEC51" w:rsidR="005925D1" w:rsidRPr="0015132B" w:rsidRDefault="007803B4" w:rsidP="00FE4C56">
      <w:pPr>
        <w:spacing w:line="360" w:lineRule="auto"/>
        <w:jc w:val="both"/>
        <w:rPr>
          <w:rFonts w:ascii="Arial" w:hAnsi="Arial" w:cs="Arial"/>
          <w:sz w:val="22"/>
          <w:szCs w:val="22"/>
        </w:rPr>
      </w:pPr>
      <w:r w:rsidRPr="007803B4">
        <w:rPr>
          <w:rFonts w:ascii="Arial" w:hAnsi="Arial" w:cs="Arial"/>
          <w:sz w:val="22"/>
          <w:szCs w:val="22"/>
        </w:rPr>
        <w:t>As Mendelow (1991) outlines in his constituency theory, organisations can tailor involvement by participants across the industry landscape according to their power and interest. In Huma’s case, those with high power and high interest—such as regulators, executives, financiers, and the project manager—require active collaboration. Lindgreen et al. (2019) argue that interaction between parties builds trust and promotes moral innovation in health care. As a result, doctors, marketers and patients benefit from open contact, while regular users and media with little reach are regulated to protect public trust and a positive image</w:t>
      </w:r>
      <w:r w:rsidR="00A9366A" w:rsidRPr="0015132B">
        <w:rPr>
          <w:rFonts w:ascii="Arial" w:hAnsi="Arial" w:cs="Arial"/>
          <w:sz w:val="22"/>
          <w:szCs w:val="22"/>
        </w:rPr>
        <w:t xml:space="preserve">. </w:t>
      </w:r>
      <w:r w:rsidR="00E85F40" w:rsidRPr="0015132B">
        <w:rPr>
          <w:rFonts w:ascii="Arial" w:hAnsi="Arial" w:cs="Arial"/>
          <w:sz w:val="22"/>
          <w:szCs w:val="22"/>
        </w:rPr>
        <w:t xml:space="preserve"> </w:t>
      </w:r>
      <w:r w:rsidR="00D44128" w:rsidRPr="0015132B">
        <w:rPr>
          <w:rFonts w:ascii="Arial" w:hAnsi="Arial" w:cs="Arial"/>
          <w:sz w:val="22"/>
          <w:szCs w:val="22"/>
        </w:rPr>
        <w:t>(See Figure 4).</w:t>
      </w:r>
    </w:p>
    <w:p w14:paraId="5C3190C6" w14:textId="5DC219B1" w:rsidR="005E6515" w:rsidRPr="0015132B" w:rsidRDefault="009729EB" w:rsidP="00FE4C56">
      <w:pPr>
        <w:spacing w:line="360" w:lineRule="auto"/>
        <w:jc w:val="both"/>
        <w:rPr>
          <w:rFonts w:ascii="Arial" w:hAnsi="Arial" w:cs="Arial"/>
          <w:sz w:val="22"/>
          <w:szCs w:val="22"/>
        </w:rPr>
      </w:pPr>
      <w:r w:rsidRPr="0015132B">
        <w:rPr>
          <w:rFonts w:ascii="Arial" w:hAnsi="Arial" w:cs="Arial"/>
          <w:sz w:val="22"/>
          <w:szCs w:val="22"/>
        </w:rPr>
        <w:lastRenderedPageBreak/>
        <w:drawing>
          <wp:inline distT="0" distB="0" distL="0" distR="0" wp14:anchorId="7A60858C" wp14:editId="4D661C27">
            <wp:extent cx="6007735" cy="3185795"/>
            <wp:effectExtent l="0" t="0" r="0" b="0"/>
            <wp:docPr id="714592604" name="Picture 2" descr="A close-up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592604" name="Picture 2" descr="A close-up of a chart&#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6007735" cy="3185795"/>
                    </a:xfrm>
                    <a:prstGeom prst="rect">
                      <a:avLst/>
                    </a:prstGeom>
                  </pic:spPr>
                </pic:pic>
              </a:graphicData>
            </a:graphic>
          </wp:inline>
        </w:drawing>
      </w:r>
    </w:p>
    <w:p w14:paraId="2DA8B591" w14:textId="524933BE" w:rsidR="00E85F40" w:rsidRPr="0015132B" w:rsidRDefault="00E85F40" w:rsidP="00FE4C56">
      <w:pPr>
        <w:spacing w:line="360" w:lineRule="auto"/>
        <w:jc w:val="both"/>
        <w:rPr>
          <w:rFonts w:ascii="Arial" w:hAnsi="Arial" w:cs="Arial"/>
          <w:sz w:val="22"/>
          <w:szCs w:val="22"/>
        </w:rPr>
      </w:pPr>
      <w:r w:rsidRPr="0015132B">
        <w:rPr>
          <w:rFonts w:ascii="Arial" w:hAnsi="Arial" w:cs="Arial"/>
          <w:sz w:val="22"/>
          <w:szCs w:val="22"/>
        </w:rPr>
        <w:t>Figure 4. Stakeholders Matrix.</w:t>
      </w:r>
    </w:p>
    <w:p w14:paraId="22F45D50" w14:textId="77777777" w:rsidR="00C30DE8" w:rsidRPr="0015132B" w:rsidRDefault="00C30DE8" w:rsidP="00FE4C56">
      <w:pPr>
        <w:pStyle w:val="Heading2"/>
        <w:spacing w:line="360" w:lineRule="auto"/>
        <w:rPr>
          <w:rFonts w:ascii="Arial" w:hAnsi="Arial" w:cs="Arial"/>
          <w:sz w:val="24"/>
          <w:szCs w:val="24"/>
        </w:rPr>
      </w:pPr>
    </w:p>
    <w:p w14:paraId="252B1065" w14:textId="6094E28A" w:rsidR="00F6035E" w:rsidRPr="0015132B" w:rsidRDefault="0045221A" w:rsidP="00FE4C56">
      <w:pPr>
        <w:pStyle w:val="Heading2"/>
        <w:spacing w:line="360" w:lineRule="auto"/>
        <w:rPr>
          <w:rFonts w:ascii="Arial" w:hAnsi="Arial" w:cs="Arial"/>
          <w:sz w:val="24"/>
          <w:szCs w:val="24"/>
        </w:rPr>
      </w:pPr>
      <w:bookmarkStart w:id="29" w:name="_Toc214389946"/>
      <w:r w:rsidRPr="0015132B">
        <w:rPr>
          <w:rFonts w:ascii="Arial" w:hAnsi="Arial" w:cs="Arial"/>
          <w:sz w:val="24"/>
          <w:szCs w:val="24"/>
        </w:rPr>
        <w:t xml:space="preserve">HUMA </w:t>
      </w:r>
      <w:r w:rsidR="003E3D05" w:rsidRPr="0015132B">
        <w:rPr>
          <w:rFonts w:ascii="Arial" w:hAnsi="Arial" w:cs="Arial"/>
          <w:sz w:val="24"/>
          <w:szCs w:val="24"/>
        </w:rPr>
        <w:t>Stakeholder En</w:t>
      </w:r>
      <w:r w:rsidR="00404618" w:rsidRPr="0015132B">
        <w:rPr>
          <w:rFonts w:ascii="Arial" w:hAnsi="Arial" w:cs="Arial"/>
          <w:sz w:val="24"/>
          <w:szCs w:val="24"/>
        </w:rPr>
        <w:t>gagement Plan</w:t>
      </w:r>
      <w:bookmarkEnd w:id="29"/>
    </w:p>
    <w:p w14:paraId="6C9D22B7" w14:textId="588A5593" w:rsidR="003173EE" w:rsidRPr="0015132B" w:rsidRDefault="007803B4" w:rsidP="00FE4C56">
      <w:pPr>
        <w:spacing w:line="360" w:lineRule="auto"/>
        <w:jc w:val="both"/>
        <w:rPr>
          <w:rFonts w:ascii="Arial" w:hAnsi="Arial" w:cs="Arial"/>
          <w:sz w:val="22"/>
          <w:szCs w:val="22"/>
        </w:rPr>
      </w:pPr>
      <w:r w:rsidRPr="007803B4">
        <w:rPr>
          <w:rFonts w:ascii="Arial" w:hAnsi="Arial" w:cs="Arial"/>
          <w:sz w:val="22"/>
          <w:szCs w:val="22"/>
        </w:rPr>
        <w:t xml:space="preserve">The success of projects in complex, highly regulated industries directly </w:t>
      </w:r>
      <w:proofErr w:type="gramStart"/>
      <w:r w:rsidRPr="007803B4">
        <w:rPr>
          <w:rFonts w:ascii="Arial" w:hAnsi="Arial" w:cs="Arial"/>
          <w:sz w:val="22"/>
          <w:szCs w:val="22"/>
        </w:rPr>
        <w:t>depends</w:t>
      </w:r>
      <w:proofErr w:type="gramEnd"/>
      <w:r w:rsidRPr="007803B4">
        <w:rPr>
          <w:rFonts w:ascii="Arial" w:hAnsi="Arial" w:cs="Arial"/>
          <w:sz w:val="22"/>
          <w:szCs w:val="22"/>
        </w:rPr>
        <w:t xml:space="preserve"> on the presence of a strategic plan for stakeholder relations. This is confirmed by the research of </w:t>
      </w:r>
      <w:proofErr w:type="spellStart"/>
      <w:r w:rsidR="00EB3731" w:rsidRPr="0015132B">
        <w:rPr>
          <w:rFonts w:ascii="Arial" w:hAnsi="Arial" w:cs="Arial"/>
          <w:sz w:val="22"/>
          <w:szCs w:val="22"/>
        </w:rPr>
        <w:t>Prebanić</w:t>
      </w:r>
      <w:proofErr w:type="spellEnd"/>
      <w:r w:rsidR="00EB3731">
        <w:rPr>
          <w:rFonts w:ascii="Arial" w:hAnsi="Arial" w:cs="Arial"/>
          <w:sz w:val="22"/>
          <w:szCs w:val="22"/>
        </w:rPr>
        <w:t xml:space="preserve"> </w:t>
      </w:r>
      <w:r w:rsidR="00EB3731" w:rsidRPr="0015132B">
        <w:rPr>
          <w:rFonts w:ascii="Arial" w:hAnsi="Arial" w:cs="Arial"/>
          <w:sz w:val="22"/>
          <w:szCs w:val="22"/>
        </w:rPr>
        <w:t xml:space="preserve">and </w:t>
      </w:r>
      <w:proofErr w:type="spellStart"/>
      <w:r w:rsidR="00EB3731" w:rsidRPr="0015132B">
        <w:rPr>
          <w:rFonts w:ascii="Arial" w:hAnsi="Arial" w:cs="Arial"/>
          <w:sz w:val="22"/>
          <w:szCs w:val="22"/>
        </w:rPr>
        <w:t>Vukomanović</w:t>
      </w:r>
      <w:proofErr w:type="spellEnd"/>
      <w:r w:rsidR="00EB3731" w:rsidRPr="007803B4">
        <w:rPr>
          <w:rFonts w:ascii="Arial" w:hAnsi="Arial" w:cs="Arial"/>
          <w:sz w:val="22"/>
          <w:szCs w:val="22"/>
        </w:rPr>
        <w:t xml:space="preserve"> </w:t>
      </w:r>
      <w:r w:rsidRPr="007803B4">
        <w:rPr>
          <w:rFonts w:ascii="Arial" w:hAnsi="Arial" w:cs="Arial"/>
          <w:sz w:val="22"/>
          <w:szCs w:val="22"/>
        </w:rPr>
        <w:t>(2023) in the infrastructure field, where such plans structuring the process of definition, prioritization and cooperation are crucial. Launching Huma in digital medicine requires a differentiated approach to key groups. Investors and government regulators receive focused reports, and doctors and patient organizations are involved in product testing and development. At all stages, this ensures the creation of honest and convenient technologies, as well as promotes openness and helps to prevents possible problems</w:t>
      </w:r>
      <w:r w:rsidR="000F49AD" w:rsidRPr="0015132B">
        <w:rPr>
          <w:rFonts w:ascii="Arial" w:hAnsi="Arial" w:cs="Arial"/>
          <w:sz w:val="22"/>
          <w:szCs w:val="22"/>
        </w:rPr>
        <w:t>.</w:t>
      </w:r>
      <w:r w:rsidR="00D44128" w:rsidRPr="0015132B">
        <w:rPr>
          <w:rFonts w:ascii="Arial" w:hAnsi="Arial" w:cs="Arial"/>
          <w:sz w:val="22"/>
          <w:szCs w:val="22"/>
        </w:rPr>
        <w:t xml:space="preserve"> (See Table 1).</w:t>
      </w:r>
    </w:p>
    <w:p w14:paraId="2DAF956E" w14:textId="77777777" w:rsidR="00D44128" w:rsidRPr="0015132B" w:rsidRDefault="00D44128" w:rsidP="00FE4C56">
      <w:pPr>
        <w:spacing w:line="360" w:lineRule="auto"/>
        <w:jc w:val="both"/>
        <w:rPr>
          <w:rFonts w:ascii="Arial" w:hAnsi="Arial" w:cs="Arial"/>
          <w:sz w:val="22"/>
          <w:szCs w:val="22"/>
        </w:rPr>
      </w:pPr>
    </w:p>
    <w:p w14:paraId="78CD3979" w14:textId="77777777" w:rsidR="00D44128" w:rsidRPr="0015132B" w:rsidRDefault="00D44128" w:rsidP="00FE4C56">
      <w:pPr>
        <w:spacing w:line="360" w:lineRule="auto"/>
        <w:jc w:val="both"/>
        <w:rPr>
          <w:rFonts w:ascii="Arial" w:hAnsi="Arial" w:cs="Arial"/>
          <w:sz w:val="22"/>
          <w:szCs w:val="22"/>
        </w:rPr>
      </w:pPr>
    </w:p>
    <w:p w14:paraId="7418BA81" w14:textId="77777777" w:rsidR="00D44128" w:rsidRPr="0015132B" w:rsidRDefault="00D44128" w:rsidP="00FE4C56">
      <w:pPr>
        <w:spacing w:line="360" w:lineRule="auto"/>
        <w:jc w:val="both"/>
        <w:rPr>
          <w:rFonts w:ascii="Arial" w:hAnsi="Arial" w:cs="Arial"/>
          <w:sz w:val="22"/>
          <w:szCs w:val="22"/>
        </w:rPr>
      </w:pPr>
    </w:p>
    <w:p w14:paraId="71D4C129" w14:textId="77777777" w:rsidR="00D44128" w:rsidRPr="0015132B" w:rsidRDefault="00D44128" w:rsidP="00FE4C56">
      <w:pPr>
        <w:spacing w:line="360" w:lineRule="auto"/>
        <w:jc w:val="both"/>
        <w:rPr>
          <w:rFonts w:ascii="Arial" w:hAnsi="Arial" w:cs="Arial"/>
          <w:sz w:val="22"/>
          <w:szCs w:val="22"/>
        </w:rPr>
      </w:pPr>
    </w:p>
    <w:p w14:paraId="38791CEF" w14:textId="77777777" w:rsidR="00D44128" w:rsidRPr="0015132B" w:rsidRDefault="00D44128" w:rsidP="00FE4C56">
      <w:pPr>
        <w:spacing w:line="360" w:lineRule="auto"/>
        <w:jc w:val="both"/>
        <w:rPr>
          <w:rFonts w:ascii="Arial" w:hAnsi="Arial" w:cs="Arial"/>
          <w:sz w:val="22"/>
          <w:szCs w:val="22"/>
        </w:rPr>
      </w:pPr>
    </w:p>
    <w:p w14:paraId="5B069B97" w14:textId="77777777" w:rsidR="00D44128" w:rsidRPr="0015132B" w:rsidRDefault="00D44128" w:rsidP="00FE4C56">
      <w:pPr>
        <w:spacing w:line="360" w:lineRule="auto"/>
        <w:jc w:val="both"/>
        <w:rPr>
          <w:rFonts w:ascii="Arial" w:hAnsi="Arial" w:cs="Arial"/>
          <w:sz w:val="22"/>
          <w:szCs w:val="22"/>
        </w:rPr>
      </w:pPr>
    </w:p>
    <w:p w14:paraId="3B9CC29E" w14:textId="77777777" w:rsidR="00D44128" w:rsidRPr="0015132B" w:rsidRDefault="00D44128" w:rsidP="00FE4C56">
      <w:pPr>
        <w:spacing w:line="360" w:lineRule="auto"/>
        <w:jc w:val="both"/>
        <w:rPr>
          <w:rFonts w:ascii="Arial" w:hAnsi="Arial" w:cs="Arial"/>
          <w:sz w:val="22"/>
          <w:szCs w:val="22"/>
        </w:rPr>
      </w:pPr>
    </w:p>
    <w:p w14:paraId="4EE792E3" w14:textId="6DB03C17" w:rsidR="00131938" w:rsidRPr="0015132B" w:rsidRDefault="00131938" w:rsidP="00FE4C56">
      <w:pPr>
        <w:spacing w:line="360" w:lineRule="auto"/>
        <w:jc w:val="both"/>
        <w:rPr>
          <w:rFonts w:ascii="Arial" w:hAnsi="Arial" w:cs="Arial"/>
          <w:sz w:val="22"/>
          <w:szCs w:val="22"/>
        </w:rPr>
      </w:pPr>
      <w:r w:rsidRPr="0015132B">
        <w:rPr>
          <w:rFonts w:ascii="Arial" w:hAnsi="Arial" w:cs="Arial"/>
          <w:sz w:val="22"/>
          <w:szCs w:val="22"/>
        </w:rPr>
        <w:t>Table 1. Stakeholder Engagement Plan</w:t>
      </w:r>
    </w:p>
    <w:p w14:paraId="2E2D9BB9" w14:textId="6349C52F" w:rsidR="00522BD8" w:rsidRPr="0015132B" w:rsidRDefault="00592FA2" w:rsidP="00FE4C56">
      <w:pPr>
        <w:spacing w:line="360" w:lineRule="auto"/>
        <w:jc w:val="both"/>
        <w:rPr>
          <w:rFonts w:ascii="Arial" w:hAnsi="Arial" w:cs="Arial"/>
          <w:sz w:val="22"/>
          <w:szCs w:val="22"/>
        </w:rPr>
      </w:pPr>
      <w:r w:rsidRPr="0015132B">
        <w:rPr>
          <w:rFonts w:ascii="Arial" w:hAnsi="Arial" w:cs="Arial"/>
          <w:sz w:val="22"/>
          <w:szCs w:val="22"/>
        </w:rPr>
        <w:drawing>
          <wp:inline distT="0" distB="0" distL="0" distR="0" wp14:anchorId="7DCF28C6" wp14:editId="3AB7BC97">
            <wp:extent cx="5731510" cy="3199130"/>
            <wp:effectExtent l="0" t="0" r="2540" b="1270"/>
            <wp:docPr id="348977922" name="Picture 2"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977922" name="Picture 2" descr="A table with text on it&#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5731510" cy="3199130"/>
                    </a:xfrm>
                    <a:prstGeom prst="rect">
                      <a:avLst/>
                    </a:prstGeom>
                  </pic:spPr>
                </pic:pic>
              </a:graphicData>
            </a:graphic>
          </wp:inline>
        </w:drawing>
      </w:r>
    </w:p>
    <w:p w14:paraId="6E5467EB" w14:textId="77777777" w:rsidR="00131938" w:rsidRPr="0015132B" w:rsidRDefault="00131938" w:rsidP="00FE4C56">
      <w:pPr>
        <w:spacing w:line="360" w:lineRule="auto"/>
        <w:jc w:val="both"/>
        <w:rPr>
          <w:rFonts w:ascii="Arial" w:hAnsi="Arial" w:cs="Arial"/>
          <w:sz w:val="22"/>
          <w:szCs w:val="22"/>
        </w:rPr>
      </w:pPr>
    </w:p>
    <w:p w14:paraId="759C5DAD" w14:textId="7CF860BD" w:rsidR="00EB42A1" w:rsidRPr="0015132B" w:rsidRDefault="0045221A" w:rsidP="00FE4C56">
      <w:pPr>
        <w:pStyle w:val="Heading2"/>
        <w:spacing w:line="360" w:lineRule="auto"/>
        <w:rPr>
          <w:rFonts w:ascii="Arial" w:hAnsi="Arial" w:cs="Arial"/>
          <w:sz w:val="24"/>
          <w:szCs w:val="24"/>
        </w:rPr>
      </w:pPr>
      <w:bookmarkStart w:id="30" w:name="_Toc214389947"/>
      <w:r w:rsidRPr="0015132B">
        <w:rPr>
          <w:rFonts w:ascii="Arial" w:hAnsi="Arial" w:cs="Arial"/>
          <w:sz w:val="24"/>
          <w:szCs w:val="24"/>
        </w:rPr>
        <w:t xml:space="preserve">HUMA </w:t>
      </w:r>
      <w:r w:rsidR="00EB42A1" w:rsidRPr="0015132B">
        <w:rPr>
          <w:rFonts w:ascii="Arial" w:hAnsi="Arial" w:cs="Arial"/>
          <w:sz w:val="24"/>
          <w:szCs w:val="24"/>
        </w:rPr>
        <w:t xml:space="preserve">Communication </w:t>
      </w:r>
      <w:r w:rsidR="002B2AE0" w:rsidRPr="0015132B">
        <w:rPr>
          <w:rFonts w:ascii="Arial" w:hAnsi="Arial" w:cs="Arial"/>
          <w:sz w:val="24"/>
          <w:szCs w:val="24"/>
        </w:rPr>
        <w:t>P</w:t>
      </w:r>
      <w:r w:rsidR="00EB42A1" w:rsidRPr="0015132B">
        <w:rPr>
          <w:rFonts w:ascii="Arial" w:hAnsi="Arial" w:cs="Arial"/>
          <w:sz w:val="24"/>
          <w:szCs w:val="24"/>
        </w:rPr>
        <w:t>lan</w:t>
      </w:r>
      <w:bookmarkEnd w:id="30"/>
      <w:r w:rsidR="002B2AE0" w:rsidRPr="0015132B">
        <w:rPr>
          <w:rFonts w:ascii="Arial" w:hAnsi="Arial" w:cs="Arial"/>
          <w:sz w:val="24"/>
          <w:szCs w:val="24"/>
        </w:rPr>
        <w:t xml:space="preserve"> </w:t>
      </w:r>
    </w:p>
    <w:p w14:paraId="26BC4F5D" w14:textId="3E5D3D09" w:rsidR="00974A2B" w:rsidRPr="0015132B" w:rsidRDefault="007803B4" w:rsidP="00FE4C56">
      <w:pPr>
        <w:spacing w:line="360" w:lineRule="auto"/>
        <w:jc w:val="both"/>
        <w:rPr>
          <w:rFonts w:ascii="Arial" w:hAnsi="Arial" w:cs="Arial"/>
          <w:sz w:val="22"/>
          <w:szCs w:val="22"/>
        </w:rPr>
      </w:pPr>
      <w:r w:rsidRPr="007803B4">
        <w:rPr>
          <w:rFonts w:ascii="Arial" w:hAnsi="Arial" w:cs="Arial"/>
          <w:sz w:val="22"/>
          <w:szCs w:val="22"/>
        </w:rPr>
        <w:t>The task of the communication plan is to structure details flows among all project participants to maintain mutual agreement, reliability and synchronization of actions. According to Rajhans (2018), coherent interaction is considered critical to preventing project disruptions and disagreements. As Ashcroft (2017) notes, constant personalized interaction forms sustainable connections that directly increases trust among stakeholders. For Huma, this plan supports ethical modernization by coordinating outreach with stakeholder power, interest, and role It includes structures, summaries, responsible potential buyers and a feedback system to ensure clarity and responsiveness throughout the product's life</w:t>
      </w:r>
      <w:r w:rsidR="00150E91" w:rsidRPr="0015132B">
        <w:rPr>
          <w:rFonts w:ascii="Arial" w:hAnsi="Arial" w:cs="Arial"/>
          <w:sz w:val="22"/>
          <w:szCs w:val="22"/>
        </w:rPr>
        <w:t>.</w:t>
      </w:r>
      <w:r w:rsidR="00D44128" w:rsidRPr="0015132B">
        <w:rPr>
          <w:rFonts w:ascii="Arial" w:hAnsi="Arial" w:cs="Arial"/>
          <w:sz w:val="22"/>
          <w:szCs w:val="22"/>
        </w:rPr>
        <w:t xml:space="preserve"> (See Table 2).</w:t>
      </w:r>
    </w:p>
    <w:p w14:paraId="299C7F61" w14:textId="77777777" w:rsidR="00D44128" w:rsidRPr="0015132B" w:rsidRDefault="00D44128" w:rsidP="00FE4C56">
      <w:pPr>
        <w:spacing w:line="360" w:lineRule="auto"/>
        <w:jc w:val="both"/>
        <w:rPr>
          <w:rFonts w:ascii="Arial" w:hAnsi="Arial" w:cs="Arial"/>
          <w:sz w:val="22"/>
          <w:szCs w:val="22"/>
        </w:rPr>
      </w:pPr>
    </w:p>
    <w:p w14:paraId="77F0861F" w14:textId="77777777" w:rsidR="00D44128" w:rsidRPr="0015132B" w:rsidRDefault="00D44128" w:rsidP="00FE4C56">
      <w:pPr>
        <w:spacing w:line="360" w:lineRule="auto"/>
        <w:jc w:val="both"/>
        <w:rPr>
          <w:rFonts w:ascii="Arial" w:hAnsi="Arial" w:cs="Arial"/>
          <w:sz w:val="22"/>
          <w:szCs w:val="22"/>
        </w:rPr>
      </w:pPr>
    </w:p>
    <w:p w14:paraId="45266C80" w14:textId="77777777" w:rsidR="00D44128" w:rsidRPr="0015132B" w:rsidRDefault="00D44128" w:rsidP="00FE4C56">
      <w:pPr>
        <w:spacing w:line="360" w:lineRule="auto"/>
        <w:jc w:val="both"/>
        <w:rPr>
          <w:rFonts w:ascii="Arial" w:hAnsi="Arial" w:cs="Arial"/>
          <w:sz w:val="22"/>
          <w:szCs w:val="22"/>
        </w:rPr>
      </w:pPr>
    </w:p>
    <w:p w14:paraId="71134EF6" w14:textId="77777777" w:rsidR="00D44128" w:rsidRPr="0015132B" w:rsidRDefault="00D44128" w:rsidP="00FE4C56">
      <w:pPr>
        <w:spacing w:line="360" w:lineRule="auto"/>
        <w:jc w:val="both"/>
        <w:rPr>
          <w:rFonts w:ascii="Arial" w:hAnsi="Arial" w:cs="Arial"/>
          <w:sz w:val="22"/>
          <w:szCs w:val="22"/>
        </w:rPr>
      </w:pPr>
    </w:p>
    <w:p w14:paraId="19D2A792" w14:textId="77777777" w:rsidR="00D44128" w:rsidRPr="0015132B" w:rsidRDefault="00D44128" w:rsidP="00FE4C56">
      <w:pPr>
        <w:spacing w:line="360" w:lineRule="auto"/>
        <w:jc w:val="both"/>
        <w:rPr>
          <w:rFonts w:ascii="Arial" w:hAnsi="Arial" w:cs="Arial"/>
          <w:sz w:val="22"/>
          <w:szCs w:val="22"/>
        </w:rPr>
      </w:pPr>
    </w:p>
    <w:p w14:paraId="7E7ACF8F" w14:textId="77777777" w:rsidR="00D44128" w:rsidRPr="0015132B" w:rsidRDefault="00D44128" w:rsidP="00FE4C56">
      <w:pPr>
        <w:spacing w:line="360" w:lineRule="auto"/>
        <w:jc w:val="both"/>
        <w:rPr>
          <w:rFonts w:ascii="Arial" w:hAnsi="Arial" w:cs="Arial"/>
          <w:sz w:val="22"/>
          <w:szCs w:val="22"/>
        </w:rPr>
      </w:pPr>
    </w:p>
    <w:p w14:paraId="7DF43DCE" w14:textId="77777777" w:rsidR="00D44128" w:rsidRPr="0015132B" w:rsidRDefault="00D44128" w:rsidP="00FE4C56">
      <w:pPr>
        <w:spacing w:line="360" w:lineRule="auto"/>
        <w:jc w:val="both"/>
        <w:rPr>
          <w:rFonts w:ascii="Arial" w:hAnsi="Arial" w:cs="Arial"/>
          <w:sz w:val="22"/>
          <w:szCs w:val="22"/>
        </w:rPr>
      </w:pPr>
    </w:p>
    <w:p w14:paraId="6DA20D41" w14:textId="5219B193" w:rsidR="00131938" w:rsidRPr="0015132B" w:rsidRDefault="00131938" w:rsidP="00FE4C56">
      <w:pPr>
        <w:spacing w:line="360" w:lineRule="auto"/>
        <w:jc w:val="both"/>
        <w:rPr>
          <w:rFonts w:ascii="Arial" w:hAnsi="Arial" w:cs="Arial"/>
          <w:sz w:val="22"/>
          <w:szCs w:val="22"/>
        </w:rPr>
      </w:pPr>
      <w:r w:rsidRPr="0015132B">
        <w:rPr>
          <w:rFonts w:ascii="Arial" w:hAnsi="Arial" w:cs="Arial"/>
          <w:sz w:val="22"/>
          <w:szCs w:val="22"/>
        </w:rPr>
        <w:t>Table 2. Communication Plan</w:t>
      </w:r>
    </w:p>
    <w:p w14:paraId="4962572B" w14:textId="75768031" w:rsidR="00974A2B" w:rsidRPr="0015132B" w:rsidRDefault="00423761" w:rsidP="00FE4C56">
      <w:pPr>
        <w:spacing w:line="360" w:lineRule="auto"/>
        <w:jc w:val="both"/>
        <w:rPr>
          <w:rFonts w:ascii="Arial" w:hAnsi="Arial" w:cs="Arial"/>
          <w:sz w:val="22"/>
          <w:szCs w:val="22"/>
        </w:rPr>
      </w:pPr>
      <w:r w:rsidRPr="0015132B">
        <w:rPr>
          <w:rFonts w:ascii="Arial" w:hAnsi="Arial" w:cs="Arial"/>
          <w:sz w:val="22"/>
          <w:szCs w:val="22"/>
        </w:rPr>
        <w:drawing>
          <wp:inline distT="0" distB="0" distL="0" distR="0" wp14:anchorId="5E20C9FD" wp14:editId="2B6150A4">
            <wp:extent cx="6190162" cy="2693504"/>
            <wp:effectExtent l="0" t="0" r="1270" b="0"/>
            <wp:docPr id="1688042016" name="Picture 4" descr="A chart of a produ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042016" name="Picture 4" descr="A chart of a product&#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6213532" cy="2703673"/>
                    </a:xfrm>
                    <a:prstGeom prst="rect">
                      <a:avLst/>
                    </a:prstGeom>
                  </pic:spPr>
                </pic:pic>
              </a:graphicData>
            </a:graphic>
          </wp:inline>
        </w:drawing>
      </w:r>
    </w:p>
    <w:p w14:paraId="102A8A10" w14:textId="77777777" w:rsidR="00131938" w:rsidRPr="0015132B" w:rsidRDefault="00131938" w:rsidP="00FE4C56">
      <w:pPr>
        <w:spacing w:line="360" w:lineRule="auto"/>
        <w:jc w:val="both"/>
        <w:rPr>
          <w:rFonts w:ascii="Arial" w:hAnsi="Arial" w:cs="Arial"/>
          <w:sz w:val="22"/>
          <w:szCs w:val="22"/>
        </w:rPr>
      </w:pPr>
    </w:p>
    <w:p w14:paraId="60A20941" w14:textId="55B05CA1" w:rsidR="009C4AE7" w:rsidRPr="0015132B" w:rsidRDefault="00975D0A" w:rsidP="00FE4C56">
      <w:pPr>
        <w:pStyle w:val="Heading2"/>
        <w:spacing w:line="360" w:lineRule="auto"/>
        <w:rPr>
          <w:rFonts w:ascii="Arial" w:hAnsi="Arial" w:cs="Arial"/>
          <w:sz w:val="24"/>
          <w:szCs w:val="24"/>
        </w:rPr>
      </w:pPr>
      <w:bookmarkStart w:id="31" w:name="_Toc214389948"/>
      <w:r w:rsidRPr="0015132B">
        <w:rPr>
          <w:rFonts w:ascii="Arial" w:hAnsi="Arial" w:cs="Arial"/>
          <w:sz w:val="24"/>
          <w:szCs w:val="24"/>
        </w:rPr>
        <w:t>HUMA RACI Matrix</w:t>
      </w:r>
      <w:bookmarkEnd w:id="31"/>
    </w:p>
    <w:p w14:paraId="4DAF066F" w14:textId="3713A087" w:rsidR="00863C4E" w:rsidRPr="0015132B" w:rsidRDefault="007803B4" w:rsidP="00FE4C56">
      <w:pPr>
        <w:spacing w:line="360" w:lineRule="auto"/>
        <w:jc w:val="both"/>
        <w:rPr>
          <w:rFonts w:ascii="Arial" w:hAnsi="Arial" w:cs="Arial"/>
          <w:sz w:val="22"/>
          <w:szCs w:val="22"/>
        </w:rPr>
      </w:pPr>
      <w:r w:rsidRPr="007803B4">
        <w:rPr>
          <w:rFonts w:ascii="Arial" w:hAnsi="Arial" w:cs="Arial"/>
          <w:sz w:val="22"/>
          <w:szCs w:val="22"/>
        </w:rPr>
        <w:t xml:space="preserve">The RACI matrix allocates the roles </w:t>
      </w:r>
      <w:proofErr w:type="gramStart"/>
      <w:r w:rsidRPr="007803B4">
        <w:rPr>
          <w:rFonts w:ascii="Arial" w:hAnsi="Arial" w:cs="Arial"/>
          <w:sz w:val="22"/>
          <w:szCs w:val="22"/>
        </w:rPr>
        <w:t>of:</w:t>
      </w:r>
      <w:proofErr w:type="gramEnd"/>
      <w:r w:rsidRPr="007803B4">
        <w:rPr>
          <w:rFonts w:ascii="Arial" w:hAnsi="Arial" w:cs="Arial"/>
          <w:sz w:val="22"/>
          <w:szCs w:val="22"/>
        </w:rPr>
        <w:t xml:space="preserve"> executor, approver, participant of consultations and persons informed, ensuring clarity and consistency of actions between all project participants. To ensure structured interaction during the launch of Huma, this tool coordinates the work of internal departments with external partners on specific goals, including clinical verification, regulatory compliance and the co-design process. According to Ashcroft (2017), the value derived from stakeholder partnerships depends on the clarity of roles and the quality of communication. Lindgreen et al. (2019) add that transparent delineation of responsibilities is a prerequisite for conducting reliable business that meets the expectations of all stakeholders. By applying the RACI framework, Huma fosters ethical innovation, reduces ambiguity, and ensures that strategic decisions are executed with shared accountability</w:t>
      </w:r>
      <w:r w:rsidR="00863C4E" w:rsidRPr="0015132B">
        <w:rPr>
          <w:rFonts w:ascii="Arial" w:hAnsi="Arial" w:cs="Arial"/>
          <w:sz w:val="22"/>
          <w:szCs w:val="22"/>
        </w:rPr>
        <w:t>.</w:t>
      </w:r>
      <w:r w:rsidR="00D44128" w:rsidRPr="0015132B">
        <w:rPr>
          <w:rFonts w:ascii="Arial" w:hAnsi="Arial" w:cs="Arial"/>
          <w:sz w:val="22"/>
          <w:szCs w:val="22"/>
        </w:rPr>
        <w:t xml:space="preserve"> (See Table 3).</w:t>
      </w:r>
    </w:p>
    <w:p w14:paraId="477055B4" w14:textId="77777777" w:rsidR="00D44128" w:rsidRPr="0015132B" w:rsidRDefault="00D44128" w:rsidP="00FE4C56">
      <w:pPr>
        <w:spacing w:line="360" w:lineRule="auto"/>
        <w:jc w:val="both"/>
        <w:rPr>
          <w:rFonts w:ascii="Arial" w:hAnsi="Arial" w:cs="Arial"/>
          <w:sz w:val="22"/>
          <w:szCs w:val="22"/>
        </w:rPr>
      </w:pPr>
    </w:p>
    <w:p w14:paraId="53688661" w14:textId="77777777" w:rsidR="00D44128" w:rsidRPr="0015132B" w:rsidRDefault="00D44128" w:rsidP="00FE4C56">
      <w:pPr>
        <w:spacing w:line="360" w:lineRule="auto"/>
        <w:jc w:val="both"/>
        <w:rPr>
          <w:rFonts w:ascii="Arial" w:hAnsi="Arial" w:cs="Arial"/>
          <w:sz w:val="22"/>
          <w:szCs w:val="22"/>
        </w:rPr>
      </w:pPr>
    </w:p>
    <w:p w14:paraId="2904234C" w14:textId="77777777" w:rsidR="00D44128" w:rsidRPr="0015132B" w:rsidRDefault="00D44128" w:rsidP="00FE4C56">
      <w:pPr>
        <w:spacing w:line="360" w:lineRule="auto"/>
        <w:jc w:val="both"/>
        <w:rPr>
          <w:rFonts w:ascii="Arial" w:hAnsi="Arial" w:cs="Arial"/>
          <w:sz w:val="22"/>
          <w:szCs w:val="22"/>
        </w:rPr>
      </w:pPr>
    </w:p>
    <w:p w14:paraId="344FEBB1" w14:textId="77777777" w:rsidR="00D44128" w:rsidRPr="0015132B" w:rsidRDefault="00D44128" w:rsidP="00FE4C56">
      <w:pPr>
        <w:spacing w:line="360" w:lineRule="auto"/>
        <w:jc w:val="both"/>
        <w:rPr>
          <w:rFonts w:ascii="Arial" w:hAnsi="Arial" w:cs="Arial"/>
          <w:sz w:val="22"/>
          <w:szCs w:val="22"/>
        </w:rPr>
      </w:pPr>
    </w:p>
    <w:p w14:paraId="35FBDAFD" w14:textId="77777777" w:rsidR="00D44128" w:rsidRPr="0015132B" w:rsidRDefault="00D44128" w:rsidP="00FE4C56">
      <w:pPr>
        <w:spacing w:line="360" w:lineRule="auto"/>
        <w:jc w:val="both"/>
        <w:rPr>
          <w:rFonts w:ascii="Arial" w:hAnsi="Arial" w:cs="Arial"/>
          <w:sz w:val="22"/>
          <w:szCs w:val="22"/>
        </w:rPr>
      </w:pPr>
    </w:p>
    <w:p w14:paraId="7BEC730F" w14:textId="77777777" w:rsidR="00D44128" w:rsidRPr="0015132B" w:rsidRDefault="00D44128" w:rsidP="00FE4C56">
      <w:pPr>
        <w:spacing w:line="360" w:lineRule="auto"/>
        <w:jc w:val="both"/>
        <w:rPr>
          <w:rFonts w:ascii="Arial" w:hAnsi="Arial" w:cs="Arial"/>
          <w:sz w:val="22"/>
          <w:szCs w:val="22"/>
        </w:rPr>
      </w:pPr>
    </w:p>
    <w:p w14:paraId="31CBEEB6" w14:textId="77777777" w:rsidR="00131938" w:rsidRPr="0015132B" w:rsidRDefault="00131938" w:rsidP="00131938">
      <w:pPr>
        <w:rPr>
          <w:rFonts w:ascii="Arial" w:hAnsi="Arial" w:cs="Arial"/>
          <w:sz w:val="22"/>
          <w:szCs w:val="22"/>
        </w:rPr>
      </w:pPr>
      <w:r w:rsidRPr="0015132B">
        <w:rPr>
          <w:rFonts w:ascii="Arial" w:hAnsi="Arial" w:cs="Arial"/>
          <w:sz w:val="22"/>
          <w:szCs w:val="22"/>
        </w:rPr>
        <w:lastRenderedPageBreak/>
        <w:t>Table 3. RACI Matrix</w:t>
      </w:r>
    </w:p>
    <w:p w14:paraId="0D4186CF" w14:textId="3B9BB6CB" w:rsidR="002D52B0" w:rsidRPr="0015132B" w:rsidRDefault="002D52B0" w:rsidP="00FE4C56">
      <w:pPr>
        <w:spacing w:line="360" w:lineRule="auto"/>
        <w:jc w:val="both"/>
        <w:rPr>
          <w:rFonts w:ascii="Arial" w:hAnsi="Arial" w:cs="Arial"/>
          <w:sz w:val="22"/>
          <w:szCs w:val="22"/>
        </w:rPr>
      </w:pPr>
      <w:r w:rsidRPr="0015132B">
        <w:rPr>
          <w:rFonts w:ascii="Arial" w:hAnsi="Arial" w:cs="Arial"/>
          <w:sz w:val="22"/>
          <w:szCs w:val="22"/>
        </w:rPr>
        <w:drawing>
          <wp:inline distT="0" distB="0" distL="0" distR="0" wp14:anchorId="5FC06156" wp14:editId="43BA7FC1">
            <wp:extent cx="5991225" cy="3230245"/>
            <wp:effectExtent l="0" t="0" r="9525" b="8255"/>
            <wp:docPr id="1238141268" name="Picture 5" descr="A chart with colorful letter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141268" name="Picture 5" descr="A chart with colorful letters and numbers&#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5991225" cy="3230245"/>
                    </a:xfrm>
                    <a:prstGeom prst="rect">
                      <a:avLst/>
                    </a:prstGeom>
                  </pic:spPr>
                </pic:pic>
              </a:graphicData>
            </a:graphic>
          </wp:inline>
        </w:drawing>
      </w:r>
    </w:p>
    <w:p w14:paraId="05009445" w14:textId="127E36EB" w:rsidR="00AA1509" w:rsidRPr="0015132B" w:rsidRDefault="007803B4" w:rsidP="00FE4C56">
      <w:pPr>
        <w:spacing w:line="360" w:lineRule="auto"/>
        <w:jc w:val="both"/>
        <w:rPr>
          <w:rFonts w:ascii="Arial" w:hAnsi="Arial" w:cs="Arial"/>
          <w:sz w:val="22"/>
          <w:szCs w:val="22"/>
        </w:rPr>
      </w:pPr>
      <w:r w:rsidRPr="007803B4">
        <w:rPr>
          <w:rFonts w:ascii="Arial" w:hAnsi="Arial" w:cs="Arial"/>
          <w:sz w:val="22"/>
          <w:szCs w:val="22"/>
        </w:rPr>
        <w:t>The implementation of Huma is based on a thorough approach to working via collaborative initiatives with participant groups drawing up matrices of their influence, forming a coordinating policy, implementing interaction programs and establishing the distribution allocation of duties based on the RACI method. Such a methodology provides a basis for openness, adherence to ethical norms and increased mutual trust between different units and groups. Inclusivity, technical compatibility and strategic compliance with stakeholders' expectations of the Huma digital solution in health care are founded on two key principles. If Ashcroft (2017) considers building close relationships a necessary condition for successful cooperation, then Lindgren et al. (2019) call transparency the main criterion of socially responsible business.</w:t>
      </w:r>
    </w:p>
    <w:p w14:paraId="3FF579C8" w14:textId="77777777" w:rsidR="00734C93" w:rsidRPr="0015132B" w:rsidRDefault="00734C93" w:rsidP="00FE4C56">
      <w:pPr>
        <w:spacing w:line="360" w:lineRule="auto"/>
        <w:jc w:val="both"/>
        <w:rPr>
          <w:rStyle w:val="Heading1Char"/>
          <w:rFonts w:ascii="Arial" w:hAnsi="Arial" w:cs="Arial"/>
          <w:sz w:val="28"/>
          <w:szCs w:val="28"/>
        </w:rPr>
      </w:pPr>
    </w:p>
    <w:p w14:paraId="0468C619" w14:textId="1CF7DD7E" w:rsidR="00E06FE1" w:rsidRPr="0015132B" w:rsidRDefault="00E06FE1" w:rsidP="00694C82">
      <w:pPr>
        <w:spacing w:line="360" w:lineRule="auto"/>
        <w:jc w:val="both"/>
        <w:rPr>
          <w:rFonts w:ascii="Arial" w:eastAsiaTheme="majorEastAsia" w:hAnsi="Arial" w:cs="Arial"/>
          <w:color w:val="0F4761" w:themeColor="accent1" w:themeShade="BF"/>
          <w:sz w:val="28"/>
          <w:szCs w:val="28"/>
        </w:rPr>
      </w:pPr>
      <w:bookmarkStart w:id="32" w:name="_Toc214389949"/>
      <w:r w:rsidRPr="0015132B">
        <w:rPr>
          <w:rStyle w:val="Heading1Char"/>
          <w:rFonts w:ascii="Arial" w:hAnsi="Arial" w:cs="Arial"/>
          <w:sz w:val="28"/>
          <w:szCs w:val="28"/>
        </w:rPr>
        <w:t xml:space="preserve">Stakeholder </w:t>
      </w:r>
      <w:r w:rsidR="00F907CD" w:rsidRPr="0015132B">
        <w:rPr>
          <w:rStyle w:val="Heading1Char"/>
          <w:rFonts w:ascii="Arial" w:hAnsi="Arial" w:cs="Arial"/>
          <w:sz w:val="28"/>
          <w:szCs w:val="28"/>
        </w:rPr>
        <w:t>e</w:t>
      </w:r>
      <w:r w:rsidRPr="0015132B">
        <w:rPr>
          <w:rStyle w:val="Heading1Char"/>
          <w:rFonts w:ascii="Arial" w:hAnsi="Arial" w:cs="Arial"/>
          <w:sz w:val="28"/>
          <w:szCs w:val="28"/>
        </w:rPr>
        <w:t xml:space="preserve">ngagement and </w:t>
      </w:r>
      <w:r w:rsidR="00F907CD" w:rsidRPr="0015132B">
        <w:rPr>
          <w:rStyle w:val="Heading1Char"/>
          <w:rFonts w:ascii="Arial" w:hAnsi="Arial" w:cs="Arial"/>
          <w:sz w:val="28"/>
          <w:szCs w:val="28"/>
        </w:rPr>
        <w:t>c</w:t>
      </w:r>
      <w:r w:rsidRPr="0015132B">
        <w:rPr>
          <w:rStyle w:val="Heading1Char"/>
          <w:rFonts w:ascii="Arial" w:hAnsi="Arial" w:cs="Arial"/>
          <w:sz w:val="28"/>
          <w:szCs w:val="28"/>
        </w:rPr>
        <w:t xml:space="preserve">onflict </w:t>
      </w:r>
      <w:r w:rsidR="00F907CD" w:rsidRPr="0015132B">
        <w:rPr>
          <w:rStyle w:val="Heading1Char"/>
          <w:rFonts w:ascii="Arial" w:hAnsi="Arial" w:cs="Arial"/>
          <w:sz w:val="28"/>
          <w:szCs w:val="28"/>
        </w:rPr>
        <w:t>r</w:t>
      </w:r>
      <w:r w:rsidRPr="0015132B">
        <w:rPr>
          <w:rStyle w:val="Heading1Char"/>
          <w:rFonts w:ascii="Arial" w:hAnsi="Arial" w:cs="Arial"/>
          <w:sz w:val="28"/>
          <w:szCs w:val="28"/>
        </w:rPr>
        <w:t xml:space="preserve">esolution in Huma’s </w:t>
      </w:r>
      <w:r w:rsidR="00F907CD" w:rsidRPr="0015132B">
        <w:rPr>
          <w:rStyle w:val="Heading1Char"/>
          <w:rFonts w:ascii="Arial" w:hAnsi="Arial" w:cs="Arial"/>
          <w:sz w:val="28"/>
          <w:szCs w:val="28"/>
        </w:rPr>
        <w:t>l</w:t>
      </w:r>
      <w:r w:rsidRPr="0015132B">
        <w:rPr>
          <w:rStyle w:val="Heading1Char"/>
          <w:rFonts w:ascii="Arial" w:hAnsi="Arial" w:cs="Arial"/>
          <w:sz w:val="28"/>
          <w:szCs w:val="28"/>
        </w:rPr>
        <w:t>aunch</w:t>
      </w:r>
      <w:r w:rsidR="000F7BA0" w:rsidRPr="0015132B">
        <w:rPr>
          <w:rStyle w:val="Heading1Char"/>
          <w:rFonts w:ascii="Arial" w:hAnsi="Arial" w:cs="Arial"/>
          <w:sz w:val="28"/>
          <w:szCs w:val="28"/>
        </w:rPr>
        <w:t>.</w:t>
      </w:r>
      <w:bookmarkEnd w:id="32"/>
    </w:p>
    <w:p w14:paraId="091273A4" w14:textId="393CA258" w:rsidR="00E06FE1" w:rsidRPr="0015132B" w:rsidRDefault="00E06FE1" w:rsidP="00694C82">
      <w:pPr>
        <w:pStyle w:val="Heading2"/>
        <w:spacing w:line="360" w:lineRule="auto"/>
        <w:rPr>
          <w:rFonts w:ascii="Arial" w:hAnsi="Arial" w:cs="Arial"/>
          <w:sz w:val="24"/>
          <w:szCs w:val="24"/>
        </w:rPr>
      </w:pPr>
      <w:bookmarkStart w:id="33" w:name="_Toc214389950"/>
      <w:r w:rsidRPr="0015132B">
        <w:rPr>
          <w:rFonts w:ascii="Arial" w:hAnsi="Arial" w:cs="Arial"/>
          <w:sz w:val="24"/>
          <w:szCs w:val="24"/>
        </w:rPr>
        <w:t xml:space="preserve">Strategic </w:t>
      </w:r>
      <w:r w:rsidR="00F907CD" w:rsidRPr="0015132B">
        <w:rPr>
          <w:rFonts w:ascii="Arial" w:hAnsi="Arial" w:cs="Arial"/>
          <w:sz w:val="24"/>
          <w:szCs w:val="24"/>
        </w:rPr>
        <w:t>s</w:t>
      </w:r>
      <w:r w:rsidRPr="0015132B">
        <w:rPr>
          <w:rFonts w:ascii="Arial" w:hAnsi="Arial" w:cs="Arial"/>
          <w:sz w:val="24"/>
          <w:szCs w:val="24"/>
        </w:rPr>
        <w:t xml:space="preserve">takeholder </w:t>
      </w:r>
      <w:r w:rsidR="00F907CD" w:rsidRPr="0015132B">
        <w:rPr>
          <w:rFonts w:ascii="Arial" w:hAnsi="Arial" w:cs="Arial"/>
          <w:sz w:val="24"/>
          <w:szCs w:val="24"/>
        </w:rPr>
        <w:t>e</w:t>
      </w:r>
      <w:r w:rsidRPr="0015132B">
        <w:rPr>
          <w:rFonts w:ascii="Arial" w:hAnsi="Arial" w:cs="Arial"/>
          <w:sz w:val="24"/>
          <w:szCs w:val="24"/>
        </w:rPr>
        <w:t xml:space="preserve">ngagement: </w:t>
      </w:r>
      <w:r w:rsidR="00F907CD" w:rsidRPr="0015132B">
        <w:rPr>
          <w:rFonts w:ascii="Arial" w:hAnsi="Arial" w:cs="Arial"/>
          <w:sz w:val="24"/>
          <w:szCs w:val="24"/>
        </w:rPr>
        <w:t>m</w:t>
      </w:r>
      <w:r w:rsidRPr="0015132B">
        <w:rPr>
          <w:rFonts w:ascii="Arial" w:hAnsi="Arial" w:cs="Arial"/>
          <w:sz w:val="24"/>
          <w:szCs w:val="24"/>
        </w:rPr>
        <w:t xml:space="preserve">apping, </w:t>
      </w:r>
      <w:r w:rsidR="00F907CD" w:rsidRPr="0015132B">
        <w:rPr>
          <w:rFonts w:ascii="Arial" w:hAnsi="Arial" w:cs="Arial"/>
          <w:sz w:val="24"/>
          <w:szCs w:val="24"/>
        </w:rPr>
        <w:t>p</w:t>
      </w:r>
      <w:r w:rsidRPr="0015132B">
        <w:rPr>
          <w:rFonts w:ascii="Arial" w:hAnsi="Arial" w:cs="Arial"/>
          <w:sz w:val="24"/>
          <w:szCs w:val="24"/>
        </w:rPr>
        <w:t xml:space="preserve">rioritising, and </w:t>
      </w:r>
      <w:r w:rsidR="00F907CD" w:rsidRPr="0015132B">
        <w:rPr>
          <w:rFonts w:ascii="Arial" w:hAnsi="Arial" w:cs="Arial"/>
          <w:sz w:val="24"/>
          <w:szCs w:val="24"/>
        </w:rPr>
        <w:t>e</w:t>
      </w:r>
      <w:r w:rsidRPr="0015132B">
        <w:rPr>
          <w:rFonts w:ascii="Arial" w:hAnsi="Arial" w:cs="Arial"/>
          <w:sz w:val="24"/>
          <w:szCs w:val="24"/>
        </w:rPr>
        <w:t>valuating</w:t>
      </w:r>
      <w:bookmarkEnd w:id="33"/>
    </w:p>
    <w:p w14:paraId="70BBD99A" w14:textId="5C8DB92E" w:rsidR="0039767E" w:rsidRPr="0015132B" w:rsidRDefault="0039767E" w:rsidP="0039767E">
      <w:pPr>
        <w:spacing w:line="360" w:lineRule="auto"/>
        <w:jc w:val="both"/>
        <w:rPr>
          <w:rFonts w:ascii="Arial" w:hAnsi="Arial" w:cs="Arial"/>
          <w:sz w:val="22"/>
          <w:szCs w:val="22"/>
        </w:rPr>
      </w:pPr>
      <w:r w:rsidRPr="0015132B">
        <w:rPr>
          <w:rFonts w:ascii="Arial" w:hAnsi="Arial" w:cs="Arial"/>
          <w:sz w:val="22"/>
          <w:szCs w:val="22"/>
        </w:rPr>
        <w:t>Stakeholder engagement in Huma’s wearable launch must be structured, ethical, and responsive. Stakeholder analysis is initiated using the Mendelow matrix (Mendelow, 1991), which makes it possible to rank them by level of impact and interest. To compensate for the disadvantage of the Mendelo</w:t>
      </w:r>
      <w:r w:rsidR="007E1432" w:rsidRPr="0015132B">
        <w:rPr>
          <w:rFonts w:ascii="Arial" w:hAnsi="Arial" w:cs="Arial"/>
          <w:sz w:val="22"/>
          <w:szCs w:val="22"/>
        </w:rPr>
        <w:t>w</w:t>
      </w:r>
      <w:r w:rsidRPr="0015132B">
        <w:rPr>
          <w:rFonts w:ascii="Arial" w:hAnsi="Arial" w:cs="Arial"/>
          <w:sz w:val="22"/>
          <w:szCs w:val="22"/>
        </w:rPr>
        <w:t xml:space="preserve"> matrix, which is manifested in the inability to flexibly manage interaction processes, its combination with the Belbin model is proposed (Belbin, 2010). This will allow </w:t>
      </w:r>
      <w:proofErr w:type="gramStart"/>
      <w:r w:rsidRPr="0015132B">
        <w:rPr>
          <w:rFonts w:ascii="Arial" w:hAnsi="Arial" w:cs="Arial"/>
          <w:sz w:val="22"/>
          <w:szCs w:val="22"/>
        </w:rPr>
        <w:t>taking into account</w:t>
      </w:r>
      <w:proofErr w:type="gramEnd"/>
      <w:r w:rsidRPr="0015132B">
        <w:rPr>
          <w:rFonts w:ascii="Arial" w:hAnsi="Arial" w:cs="Arial"/>
          <w:sz w:val="22"/>
          <w:szCs w:val="22"/>
        </w:rPr>
        <w:t xml:space="preserve"> changes in operational tasks and ethical aspects, since the static approach of the matrix is not sufficient for dynamic digital </w:t>
      </w:r>
      <w:r w:rsidR="00D7165E" w:rsidRPr="0015132B">
        <w:rPr>
          <w:rFonts w:ascii="Arial" w:hAnsi="Arial" w:cs="Arial"/>
          <w:sz w:val="22"/>
          <w:szCs w:val="22"/>
        </w:rPr>
        <w:t>projects. This</w:t>
      </w:r>
      <w:r w:rsidRPr="0015132B">
        <w:rPr>
          <w:rFonts w:ascii="Arial" w:hAnsi="Arial" w:cs="Arial"/>
          <w:sz w:val="22"/>
          <w:szCs w:val="22"/>
        </w:rPr>
        <w:t xml:space="preserve"> allows the manager </w:t>
      </w:r>
      <w:r w:rsidRPr="0015132B">
        <w:rPr>
          <w:rFonts w:ascii="Arial" w:hAnsi="Arial" w:cs="Arial"/>
          <w:sz w:val="22"/>
          <w:szCs w:val="22"/>
        </w:rPr>
        <w:lastRenderedPageBreak/>
        <w:t xml:space="preserve">to build communication </w:t>
      </w:r>
      <w:proofErr w:type="gramStart"/>
      <w:r w:rsidRPr="0015132B">
        <w:rPr>
          <w:rFonts w:ascii="Arial" w:hAnsi="Arial" w:cs="Arial"/>
          <w:sz w:val="22"/>
          <w:szCs w:val="22"/>
        </w:rPr>
        <w:t>taking into account</w:t>
      </w:r>
      <w:proofErr w:type="gramEnd"/>
      <w:r w:rsidRPr="0015132B">
        <w:rPr>
          <w:rFonts w:ascii="Arial" w:hAnsi="Arial" w:cs="Arial"/>
          <w:sz w:val="22"/>
          <w:szCs w:val="22"/>
        </w:rPr>
        <w:t xml:space="preserve"> both the position of influence and the peculiarities of work practices.</w:t>
      </w:r>
    </w:p>
    <w:p w14:paraId="0C2747F0" w14:textId="4934BFE4" w:rsidR="0039767E" w:rsidRPr="0015132B" w:rsidRDefault="0039767E" w:rsidP="0039767E">
      <w:pPr>
        <w:spacing w:line="360" w:lineRule="auto"/>
        <w:jc w:val="both"/>
        <w:rPr>
          <w:rFonts w:ascii="Arial" w:hAnsi="Arial" w:cs="Arial"/>
          <w:sz w:val="22"/>
          <w:szCs w:val="22"/>
        </w:rPr>
      </w:pPr>
      <w:r w:rsidRPr="0015132B">
        <w:rPr>
          <w:rFonts w:ascii="Arial" w:hAnsi="Arial" w:cs="Arial"/>
          <w:sz w:val="22"/>
          <w:szCs w:val="22"/>
        </w:rPr>
        <w:t>Despite RACI's effectiveness in assigning responsibilities, its rigid design can make adaptation in stressful environments difficult (Griffith and Dunham, 2015). In line with the approach of Quintanilla and Waal (2020), the solution is to combine this framework with flexible co</w:t>
      </w:r>
      <w:r w:rsidR="00064AB5">
        <w:rPr>
          <w:rFonts w:ascii="Arial" w:hAnsi="Arial" w:cs="Arial"/>
          <w:sz w:val="22"/>
          <w:szCs w:val="22"/>
        </w:rPr>
        <w:t>ordination</w:t>
      </w:r>
      <w:r w:rsidRPr="0015132B">
        <w:rPr>
          <w:rFonts w:ascii="Arial" w:hAnsi="Arial" w:cs="Arial"/>
          <w:sz w:val="22"/>
          <w:szCs w:val="22"/>
        </w:rPr>
        <w:t xml:space="preserve"> that </w:t>
      </w:r>
      <w:proofErr w:type="gramStart"/>
      <w:r w:rsidRPr="0015132B">
        <w:rPr>
          <w:rFonts w:ascii="Arial" w:hAnsi="Arial" w:cs="Arial"/>
          <w:sz w:val="22"/>
          <w:szCs w:val="22"/>
        </w:rPr>
        <w:t>takes into account</w:t>
      </w:r>
      <w:proofErr w:type="gramEnd"/>
      <w:r w:rsidRPr="0015132B">
        <w:rPr>
          <w:rFonts w:ascii="Arial" w:hAnsi="Arial" w:cs="Arial"/>
          <w:sz w:val="22"/>
          <w:szCs w:val="22"/>
        </w:rPr>
        <w:t xml:space="preserve"> the expectations of all participants in the process. </w:t>
      </w:r>
      <w:r w:rsidRPr="0015132B">
        <w:rPr>
          <w:rFonts w:ascii="Arial" w:hAnsi="Arial" w:cs="Arial"/>
          <w:sz w:val="22"/>
          <w:szCs w:val="22"/>
        </w:rPr>
        <w:br/>
        <w:t>Involvement should not be seen as an operational process, but as a form of relationship. Cameron (2013) notes that it is trust and the ability to interact that shape value for stakeholders. In the context of Huma, this is implemented through joint planning, iterative consultations and collective discussion of ethical aspects. The task of the manager is to integrate these approaches to achieve synergy that combines strategic orientations and the interests of all participants.</w:t>
      </w:r>
    </w:p>
    <w:p w14:paraId="07D3CBB6" w14:textId="1BF42626" w:rsidR="00E06FE1" w:rsidRPr="0015132B" w:rsidRDefault="00E06FE1" w:rsidP="00FE4C56">
      <w:pPr>
        <w:pStyle w:val="Heading2"/>
        <w:spacing w:line="360" w:lineRule="auto"/>
        <w:rPr>
          <w:rFonts w:ascii="Arial" w:hAnsi="Arial" w:cs="Arial"/>
          <w:sz w:val="24"/>
          <w:szCs w:val="24"/>
        </w:rPr>
      </w:pPr>
      <w:bookmarkStart w:id="34" w:name="_Toc214389951"/>
      <w:r w:rsidRPr="0015132B">
        <w:rPr>
          <w:rFonts w:ascii="Arial" w:hAnsi="Arial" w:cs="Arial"/>
          <w:sz w:val="24"/>
          <w:szCs w:val="24"/>
        </w:rPr>
        <w:t xml:space="preserve">Role and </w:t>
      </w:r>
      <w:r w:rsidR="00307933" w:rsidRPr="0015132B">
        <w:rPr>
          <w:rFonts w:ascii="Arial" w:hAnsi="Arial" w:cs="Arial"/>
          <w:sz w:val="24"/>
          <w:szCs w:val="24"/>
        </w:rPr>
        <w:t>r</w:t>
      </w:r>
      <w:r w:rsidRPr="0015132B">
        <w:rPr>
          <w:rFonts w:ascii="Arial" w:hAnsi="Arial" w:cs="Arial"/>
          <w:sz w:val="24"/>
          <w:szCs w:val="24"/>
        </w:rPr>
        <w:t>esponsibilities of the Project Manager</w:t>
      </w:r>
      <w:r w:rsidR="007714C9" w:rsidRPr="0015132B">
        <w:rPr>
          <w:rFonts w:ascii="Arial" w:hAnsi="Arial" w:cs="Arial"/>
          <w:sz w:val="24"/>
          <w:szCs w:val="24"/>
        </w:rPr>
        <w:t xml:space="preserve">. </w:t>
      </w:r>
      <w:r w:rsidR="00C736A3" w:rsidRPr="0015132B">
        <w:rPr>
          <w:rFonts w:ascii="Arial" w:hAnsi="Arial" w:cs="Arial"/>
          <w:sz w:val="24"/>
          <w:szCs w:val="24"/>
        </w:rPr>
        <w:t>Manage conflict 4C</w:t>
      </w:r>
      <w:r w:rsidR="00307933" w:rsidRPr="0015132B">
        <w:rPr>
          <w:rFonts w:ascii="Arial" w:hAnsi="Arial" w:cs="Arial"/>
          <w:sz w:val="24"/>
          <w:szCs w:val="24"/>
        </w:rPr>
        <w:t>’s</w:t>
      </w:r>
      <w:r w:rsidR="00C736A3" w:rsidRPr="0015132B">
        <w:rPr>
          <w:rFonts w:ascii="Arial" w:hAnsi="Arial" w:cs="Arial"/>
          <w:sz w:val="24"/>
          <w:szCs w:val="24"/>
        </w:rPr>
        <w:t xml:space="preserve"> model</w:t>
      </w:r>
      <w:r w:rsidR="00307933" w:rsidRPr="0015132B">
        <w:rPr>
          <w:rFonts w:ascii="Arial" w:hAnsi="Arial" w:cs="Arial"/>
          <w:sz w:val="24"/>
          <w:szCs w:val="24"/>
        </w:rPr>
        <w:t>.</w:t>
      </w:r>
      <w:bookmarkEnd w:id="34"/>
    </w:p>
    <w:p w14:paraId="3C3F424E" w14:textId="77777777" w:rsidR="0039767E" w:rsidRPr="0015132B" w:rsidRDefault="0039767E" w:rsidP="00FE4C56">
      <w:pPr>
        <w:spacing w:line="360" w:lineRule="auto"/>
        <w:jc w:val="both"/>
        <w:rPr>
          <w:rFonts w:ascii="Arial" w:hAnsi="Arial" w:cs="Arial"/>
          <w:sz w:val="22"/>
          <w:szCs w:val="22"/>
        </w:rPr>
      </w:pPr>
      <w:r w:rsidRPr="0015132B">
        <w:rPr>
          <w:rFonts w:ascii="Arial" w:hAnsi="Arial" w:cs="Arial"/>
          <w:sz w:val="22"/>
          <w:szCs w:val="22"/>
        </w:rPr>
        <w:t xml:space="preserve">In managing stakeholder conflict during the launch of Huma’s wearable health device, the project manager must apply structured frameworks that support both operational clarity and relational trust. To manage group activities, </w:t>
      </w:r>
      <w:proofErr w:type="gramStart"/>
      <w:r w:rsidRPr="0015132B">
        <w:rPr>
          <w:rFonts w:ascii="Arial" w:hAnsi="Arial" w:cs="Arial"/>
          <w:sz w:val="22"/>
          <w:szCs w:val="22"/>
        </w:rPr>
        <w:t>in particular in</w:t>
      </w:r>
      <w:proofErr w:type="gramEnd"/>
      <w:r w:rsidRPr="0015132B">
        <w:rPr>
          <w:rFonts w:ascii="Arial" w:hAnsi="Arial" w:cs="Arial"/>
          <w:sz w:val="22"/>
          <w:szCs w:val="22"/>
        </w:rPr>
        <w:t xml:space="preserve"> distributed collectives, the 4C model can be used, which is based on four elements: communication, coordination, cooperation and collaboration (Ellis et al., 1991). Despite this, the use of this model in conditions of high responsibility with the participation of numerous stakeholders requires careful analysis and strategic adaptation.</w:t>
      </w:r>
    </w:p>
    <w:p w14:paraId="6689326D" w14:textId="77777777" w:rsidR="0039767E" w:rsidRPr="0015132B" w:rsidRDefault="0039767E" w:rsidP="00FE4C56">
      <w:pPr>
        <w:spacing w:line="360" w:lineRule="auto"/>
        <w:jc w:val="both"/>
        <w:rPr>
          <w:rFonts w:ascii="Arial" w:hAnsi="Arial" w:cs="Arial"/>
          <w:sz w:val="22"/>
          <w:szCs w:val="22"/>
        </w:rPr>
      </w:pPr>
      <w:r w:rsidRPr="0015132B">
        <w:rPr>
          <w:rFonts w:ascii="Arial" w:hAnsi="Arial" w:cs="Arial"/>
          <w:sz w:val="22"/>
          <w:szCs w:val="22"/>
        </w:rPr>
        <w:t>In the view of Duck and McMahan (2021), effective communication should consider audiences and adhere to ethical norms. In contrast, the 4C model, focused only on clarity, ignores power disparities and emotional factors important for overcoming ambiguities. According to Shaw et al. (2009) it is inclusiveness and empathy that are key in such settings. The solution to this problem is to incorporate the principles of emotional intelligence and flexible approaches to message construction.</w:t>
      </w:r>
    </w:p>
    <w:p w14:paraId="6AB492DD" w14:textId="77777777" w:rsidR="0039767E" w:rsidRPr="0015132B" w:rsidRDefault="0039767E" w:rsidP="00FE4C56">
      <w:pPr>
        <w:spacing w:line="360" w:lineRule="auto"/>
        <w:jc w:val="both"/>
        <w:rPr>
          <w:rFonts w:ascii="Arial" w:hAnsi="Arial" w:cs="Arial"/>
          <w:sz w:val="22"/>
          <w:szCs w:val="22"/>
        </w:rPr>
      </w:pPr>
      <w:r w:rsidRPr="0015132B">
        <w:rPr>
          <w:rFonts w:ascii="Arial" w:hAnsi="Arial" w:cs="Arial"/>
          <w:sz w:val="22"/>
          <w:szCs w:val="22"/>
        </w:rPr>
        <w:t>A clear definition of responsibilities through tools such as the RACI matrix helps align participants' actions with project goals but can increase hierarchy and reduce flexibility. The effectiveness of teamwork, as noted by Whelan (2009), directly depends on the stage of its formation and the consent of the participants to joint actions. That is why tools such as iterative techniques and public digital panels act as optimal solutions for organizing interaction (Griffith and Dunham, 2015).</w:t>
      </w:r>
    </w:p>
    <w:p w14:paraId="60478430" w14:textId="77777777" w:rsidR="0039767E" w:rsidRPr="0015132B" w:rsidRDefault="0039767E" w:rsidP="00FE4C56">
      <w:pPr>
        <w:spacing w:line="360" w:lineRule="auto"/>
        <w:jc w:val="both"/>
        <w:rPr>
          <w:rFonts w:ascii="Arial" w:hAnsi="Arial" w:cs="Arial"/>
          <w:sz w:val="22"/>
          <w:szCs w:val="22"/>
        </w:rPr>
      </w:pPr>
      <w:r w:rsidRPr="0015132B">
        <w:rPr>
          <w:rFonts w:ascii="Arial" w:hAnsi="Arial" w:cs="Arial"/>
          <w:sz w:val="22"/>
          <w:szCs w:val="22"/>
        </w:rPr>
        <w:lastRenderedPageBreak/>
        <w:t xml:space="preserve">The model organizes joint work </w:t>
      </w:r>
      <w:proofErr w:type="gramStart"/>
      <w:r w:rsidRPr="0015132B">
        <w:rPr>
          <w:rFonts w:ascii="Arial" w:hAnsi="Arial" w:cs="Arial"/>
          <w:sz w:val="22"/>
          <w:szCs w:val="22"/>
        </w:rPr>
        <w:t>well, but</w:t>
      </w:r>
      <w:proofErr w:type="gramEnd"/>
      <w:r w:rsidRPr="0015132B">
        <w:rPr>
          <w:rFonts w:ascii="Arial" w:hAnsi="Arial" w:cs="Arial"/>
          <w:sz w:val="22"/>
          <w:szCs w:val="22"/>
        </w:rPr>
        <w:t xml:space="preserve"> ignores hidden conflicts and informal connections. However, real cooperation is only possible if the restrictions are mutually respected and observed together.</w:t>
      </w:r>
    </w:p>
    <w:p w14:paraId="1648A687" w14:textId="77777777" w:rsidR="0039767E" w:rsidRPr="0015132B" w:rsidRDefault="0039767E" w:rsidP="00FE4C56">
      <w:pPr>
        <w:spacing w:line="360" w:lineRule="auto"/>
        <w:jc w:val="both"/>
        <w:rPr>
          <w:rFonts w:ascii="Arial" w:hAnsi="Arial" w:cs="Arial"/>
          <w:sz w:val="22"/>
          <w:szCs w:val="22"/>
        </w:rPr>
      </w:pPr>
      <w:r w:rsidRPr="0015132B">
        <w:rPr>
          <w:rFonts w:ascii="Arial" w:hAnsi="Arial" w:cs="Arial"/>
          <w:sz w:val="22"/>
          <w:szCs w:val="22"/>
        </w:rPr>
        <w:t>The effectiveness of means such as anonymous feedback mechanisms to detect implicit tension (Shaw et al., 2009) remains low without providing psychological security, which Edmondson (1999) identifies as critical to collective learning and cooperation. The creation of an enabling environment is facilitated by the practices proposed by West (2012): cyclical change of presenters and conducting internal reviews of activities that reduce the benefits of influence and activate group responsibility.</w:t>
      </w:r>
    </w:p>
    <w:p w14:paraId="1EB16E08" w14:textId="7C294E0C" w:rsidR="00915E7A" w:rsidRPr="0015132B" w:rsidRDefault="0039767E" w:rsidP="00FE4C56">
      <w:pPr>
        <w:spacing w:line="360" w:lineRule="auto"/>
        <w:jc w:val="both"/>
        <w:rPr>
          <w:rFonts w:ascii="Arial" w:hAnsi="Arial" w:cs="Arial"/>
          <w:sz w:val="22"/>
          <w:szCs w:val="22"/>
        </w:rPr>
      </w:pPr>
      <w:r w:rsidRPr="0015132B">
        <w:rPr>
          <w:rFonts w:ascii="Arial" w:hAnsi="Arial" w:cs="Arial"/>
          <w:sz w:val="22"/>
          <w:szCs w:val="22"/>
        </w:rPr>
        <w:t>Successful cooperation requires joint creation and collective responsibility, but this process often requires a lot of effort and can cause fatigue from constantly reaching an agreement. According to a study by Christopher et al. (2013), it is trusting and transparent relationships that form value for stakeholders. Simultaneously, Ellis et al. (1991) warn of the risk of collective projects ceasing in the absence of proper organization of interaction. The proposed Griffith and Dunham (2015) timelines during workshops help balance effectiveness and broad engagement.</w:t>
      </w:r>
      <w:r w:rsidRPr="0015132B">
        <w:rPr>
          <w:rFonts w:ascii="Arial" w:hAnsi="Arial" w:cs="Arial"/>
          <w:sz w:val="22"/>
          <w:szCs w:val="22"/>
        </w:rPr>
        <w:br/>
        <w:t>The 4C model is evaluated as a fundamental but incomplete approach to conflict resolution. The analysis carried out integrates behavioural models, flexible tools and inclusive approaches to address existing gaps. The key priorities are the development of emotional intelligence, building trust and joint planning, where the manager acts as a facilitator, combining the structuring of approaches with emotional sensitivity to generate common value.</w:t>
      </w:r>
    </w:p>
    <w:p w14:paraId="79BED785" w14:textId="77777777" w:rsidR="00931E0F" w:rsidRPr="0015132B" w:rsidRDefault="00931E0F" w:rsidP="00FE4C56">
      <w:pPr>
        <w:spacing w:line="360" w:lineRule="auto"/>
        <w:jc w:val="both"/>
        <w:rPr>
          <w:rFonts w:ascii="Arial" w:hAnsi="Arial" w:cs="Arial"/>
          <w:sz w:val="22"/>
          <w:szCs w:val="22"/>
        </w:rPr>
      </w:pPr>
    </w:p>
    <w:p w14:paraId="70CD5F57" w14:textId="5D31C74B" w:rsidR="00EC5940" w:rsidRPr="0015132B" w:rsidRDefault="00931E0F" w:rsidP="00FE4C56">
      <w:pPr>
        <w:pStyle w:val="Heading1"/>
        <w:spacing w:line="360" w:lineRule="auto"/>
        <w:jc w:val="both"/>
        <w:rPr>
          <w:rFonts w:ascii="Arial" w:hAnsi="Arial" w:cs="Arial"/>
          <w:sz w:val="28"/>
          <w:szCs w:val="28"/>
        </w:rPr>
      </w:pPr>
      <w:bookmarkStart w:id="35" w:name="_Toc214045171"/>
      <w:bookmarkStart w:id="36" w:name="_Toc214389952"/>
      <w:r w:rsidRPr="0015132B">
        <w:rPr>
          <w:rFonts w:ascii="Arial" w:hAnsi="Arial" w:cs="Arial"/>
          <w:sz w:val="28"/>
          <w:szCs w:val="28"/>
        </w:rPr>
        <w:t>T</w:t>
      </w:r>
      <w:r w:rsidR="00EE7830" w:rsidRPr="0015132B">
        <w:rPr>
          <w:rFonts w:ascii="Arial" w:hAnsi="Arial" w:cs="Arial"/>
          <w:sz w:val="28"/>
          <w:szCs w:val="28"/>
        </w:rPr>
        <w:t xml:space="preserve">he impact of </w:t>
      </w:r>
      <w:bookmarkStart w:id="37" w:name="_Hlk214030020"/>
      <w:r w:rsidR="00EE7830" w:rsidRPr="0015132B">
        <w:rPr>
          <w:rFonts w:ascii="Arial" w:hAnsi="Arial" w:cs="Arial"/>
          <w:sz w:val="28"/>
          <w:szCs w:val="28"/>
        </w:rPr>
        <w:t xml:space="preserve">stakeholders’ engagement on </w:t>
      </w:r>
      <w:r w:rsidRPr="0015132B">
        <w:rPr>
          <w:rFonts w:ascii="Arial" w:hAnsi="Arial" w:cs="Arial"/>
          <w:sz w:val="28"/>
          <w:szCs w:val="28"/>
        </w:rPr>
        <w:t xml:space="preserve">HUMA </w:t>
      </w:r>
      <w:r w:rsidR="00EE7830" w:rsidRPr="0015132B">
        <w:rPr>
          <w:rFonts w:ascii="Arial" w:hAnsi="Arial" w:cs="Arial"/>
          <w:sz w:val="28"/>
          <w:szCs w:val="28"/>
        </w:rPr>
        <w:t>business performance</w:t>
      </w:r>
      <w:r w:rsidR="008D00EF" w:rsidRPr="0015132B">
        <w:rPr>
          <w:rFonts w:ascii="Arial" w:hAnsi="Arial" w:cs="Arial"/>
          <w:sz w:val="28"/>
          <w:szCs w:val="28"/>
        </w:rPr>
        <w:t xml:space="preserve"> </w:t>
      </w:r>
      <w:bookmarkEnd w:id="37"/>
      <w:r w:rsidR="008D00EF" w:rsidRPr="0015132B">
        <w:rPr>
          <w:rFonts w:ascii="Arial" w:hAnsi="Arial" w:cs="Arial"/>
          <w:sz w:val="28"/>
          <w:szCs w:val="28"/>
        </w:rPr>
        <w:t>and recommendations for future practice.</w:t>
      </w:r>
      <w:bookmarkEnd w:id="35"/>
      <w:bookmarkEnd w:id="36"/>
      <w:r w:rsidR="008D00EF" w:rsidRPr="0015132B">
        <w:rPr>
          <w:rFonts w:ascii="Arial" w:hAnsi="Arial" w:cs="Arial"/>
          <w:sz w:val="28"/>
          <w:szCs w:val="28"/>
        </w:rPr>
        <w:t xml:space="preserve"> </w:t>
      </w:r>
    </w:p>
    <w:p w14:paraId="40244680" w14:textId="77777777" w:rsidR="0095779D" w:rsidRPr="0015132B" w:rsidRDefault="0095779D" w:rsidP="00FE4C56">
      <w:pPr>
        <w:pStyle w:val="Heading2"/>
        <w:spacing w:line="360" w:lineRule="auto"/>
        <w:rPr>
          <w:rFonts w:ascii="Arial" w:hAnsi="Arial" w:cs="Arial"/>
          <w:sz w:val="24"/>
          <w:szCs w:val="24"/>
        </w:rPr>
      </w:pPr>
      <w:bookmarkStart w:id="38" w:name="_Toc214389953"/>
      <w:r w:rsidRPr="0015132B">
        <w:rPr>
          <w:rFonts w:ascii="Arial" w:hAnsi="Arial" w:cs="Arial"/>
          <w:sz w:val="24"/>
          <w:szCs w:val="24"/>
        </w:rPr>
        <w:t>Impact of stakeholders’ engagement on HUMA business performance</w:t>
      </w:r>
      <w:bookmarkEnd w:id="38"/>
    </w:p>
    <w:p w14:paraId="02FBE507" w14:textId="77777777" w:rsidR="00456051" w:rsidRPr="0015132B" w:rsidRDefault="00456051" w:rsidP="00FE4C56">
      <w:pPr>
        <w:spacing w:line="360" w:lineRule="auto"/>
        <w:jc w:val="both"/>
        <w:rPr>
          <w:rFonts w:ascii="Arial" w:hAnsi="Arial" w:cs="Arial"/>
          <w:sz w:val="22"/>
          <w:szCs w:val="22"/>
        </w:rPr>
      </w:pPr>
      <w:r w:rsidRPr="0015132B">
        <w:rPr>
          <w:rFonts w:ascii="Arial" w:hAnsi="Arial" w:cs="Arial"/>
          <w:sz w:val="22"/>
          <w:szCs w:val="22"/>
        </w:rPr>
        <w:t xml:space="preserve">For Huma, which is developing a portable medical gadget for monitoring heart rhythm, blood oxygenation and sleep, effective interaction with all influential groups is a priority. This process, which according to Ashcroft et al. (2017) covers the identification, analysis and integration of those who influence or depend on a business project, is crucial for achieving ethical legitimacy, market relevance and commercial success of the product. Such involvement provides strategic certainty, regulatory harmonisation and opportunities for innovation. At the same time, it creates certain challenges: contradictions of interests, psychological exhaustion and uneven distribution of influence. This section analyses the impact of interaction with </w:t>
      </w:r>
      <w:r w:rsidRPr="0015132B">
        <w:rPr>
          <w:rFonts w:ascii="Arial" w:hAnsi="Arial" w:cs="Arial"/>
          <w:sz w:val="22"/>
          <w:szCs w:val="22"/>
        </w:rPr>
        <w:lastRenderedPageBreak/>
        <w:t xml:space="preserve">stakeholders on the effectiveness of </w:t>
      </w:r>
      <w:proofErr w:type="gramStart"/>
      <w:r w:rsidRPr="0015132B">
        <w:rPr>
          <w:rFonts w:ascii="Arial" w:hAnsi="Arial" w:cs="Arial"/>
          <w:sz w:val="22"/>
          <w:szCs w:val="22"/>
        </w:rPr>
        <w:t>Huma, and</w:t>
      </w:r>
      <w:proofErr w:type="gramEnd"/>
      <w:r w:rsidRPr="0015132B">
        <w:rPr>
          <w:rFonts w:ascii="Arial" w:hAnsi="Arial" w:cs="Arial"/>
          <w:sz w:val="22"/>
          <w:szCs w:val="22"/>
        </w:rPr>
        <w:t xml:space="preserve"> provides well-founded recommendations for further activities.</w:t>
      </w:r>
    </w:p>
    <w:p w14:paraId="25B56ED8" w14:textId="77777777" w:rsidR="00456051" w:rsidRPr="0015132B" w:rsidRDefault="00456051" w:rsidP="00FE4C56">
      <w:pPr>
        <w:spacing w:line="360" w:lineRule="auto"/>
        <w:jc w:val="both"/>
        <w:rPr>
          <w:rFonts w:ascii="Arial" w:hAnsi="Arial" w:cs="Arial"/>
          <w:sz w:val="22"/>
          <w:szCs w:val="22"/>
        </w:rPr>
      </w:pPr>
      <w:r w:rsidRPr="0015132B">
        <w:rPr>
          <w:rFonts w:ascii="Arial" w:hAnsi="Arial" w:cs="Arial"/>
          <w:sz w:val="22"/>
          <w:szCs w:val="22"/>
        </w:rPr>
        <w:t xml:space="preserve">The inclusion of clinicians and patients during the design phase strengthened the legitimacy and market relevance of the Huma product (Hristov and </w:t>
      </w:r>
      <w:proofErr w:type="spellStart"/>
      <w:r w:rsidRPr="0015132B">
        <w:rPr>
          <w:rFonts w:ascii="Arial" w:hAnsi="Arial" w:cs="Arial"/>
          <w:sz w:val="22"/>
          <w:szCs w:val="22"/>
        </w:rPr>
        <w:t>Appolloni</w:t>
      </w:r>
      <w:proofErr w:type="spellEnd"/>
      <w:r w:rsidRPr="0015132B">
        <w:rPr>
          <w:rFonts w:ascii="Arial" w:hAnsi="Arial" w:cs="Arial"/>
          <w:sz w:val="22"/>
          <w:szCs w:val="22"/>
        </w:rPr>
        <w:t xml:space="preserve">, 2022). The consequence was a conflict of interest: on the one hand, medical stakeholders demanded thorough testing, on the other - the business side preferred accelerated entry into the market. As evidenced by Ashcroft et al. (2017), such a disparity in interaction creates conditions for an uneven distribution of influence and a departure from the main strategic guidelines. The consequence of this inconvenience for Huma was </w:t>
      </w:r>
      <w:proofErr w:type="gramStart"/>
      <w:r w:rsidRPr="0015132B">
        <w:rPr>
          <w:rFonts w:ascii="Arial" w:hAnsi="Arial" w:cs="Arial"/>
          <w:sz w:val="22"/>
          <w:szCs w:val="22"/>
        </w:rPr>
        <w:t>delays</w:t>
      </w:r>
      <w:proofErr w:type="gramEnd"/>
      <w:r w:rsidRPr="0015132B">
        <w:rPr>
          <w:rFonts w:ascii="Arial" w:hAnsi="Arial" w:cs="Arial"/>
          <w:sz w:val="22"/>
          <w:szCs w:val="22"/>
        </w:rPr>
        <w:t xml:space="preserve"> in the execution of regulatory documents and a decrease in the efficiency of internal coordination. The need for structured management became apparent as the impact of involvement on innovation proved heterogeneous and needed to curb the dominance of powerful parties. </w:t>
      </w:r>
    </w:p>
    <w:p w14:paraId="1090D33D" w14:textId="28991759" w:rsidR="00456051" w:rsidRPr="0015132B" w:rsidRDefault="00456051" w:rsidP="00FE4C56">
      <w:pPr>
        <w:spacing w:line="360" w:lineRule="auto"/>
        <w:jc w:val="both"/>
        <w:rPr>
          <w:rFonts w:ascii="Arial" w:hAnsi="Arial" w:cs="Arial"/>
          <w:sz w:val="22"/>
          <w:szCs w:val="22"/>
        </w:rPr>
      </w:pPr>
      <w:r w:rsidRPr="0015132B">
        <w:rPr>
          <w:rFonts w:ascii="Arial" w:hAnsi="Arial" w:cs="Arial"/>
          <w:sz w:val="22"/>
          <w:szCs w:val="22"/>
        </w:rPr>
        <w:t xml:space="preserve">Conflicts of interest, where the same professionals are both developers and business owners, create ethical uncertainty as a separate problem. Habsa et al. (2022) note that uncontrolled conflicts of interest can undermine transparency and objectivity in decision-making. Huma's practice demonstrated that the lack of formalized risk control mechanisms led to distortion of results and unclear division of responsibility. An excessive amount of discussion led to mental exhaustion, which is consistent with a study by Haring et al. (2023) on the harmful health effects of </w:t>
      </w:r>
      <w:r w:rsidRPr="0015132B">
        <w:rPr>
          <w:rFonts w:ascii="Arial" w:hAnsi="Arial" w:cs="Arial"/>
          <w:sz w:val="22"/>
          <w:szCs w:val="22"/>
        </w:rPr>
        <w:t>over cooperation</w:t>
      </w:r>
      <w:r w:rsidRPr="0015132B">
        <w:rPr>
          <w:rFonts w:ascii="Arial" w:hAnsi="Arial" w:cs="Arial"/>
          <w:sz w:val="22"/>
          <w:szCs w:val="22"/>
        </w:rPr>
        <w:t>. Thus, the stakeholder engagement process requires clear ethical frameworks and structural limits to maintain effectiveness.</w:t>
      </w:r>
    </w:p>
    <w:p w14:paraId="524A9C2E" w14:textId="04588CB2" w:rsidR="003811FF" w:rsidRPr="0015132B" w:rsidRDefault="00456051" w:rsidP="00FE4C56">
      <w:pPr>
        <w:spacing w:line="360" w:lineRule="auto"/>
        <w:jc w:val="both"/>
        <w:rPr>
          <w:rFonts w:ascii="Arial" w:hAnsi="Arial" w:cs="Arial"/>
          <w:sz w:val="22"/>
          <w:szCs w:val="22"/>
        </w:rPr>
      </w:pPr>
      <w:r w:rsidRPr="0015132B">
        <w:rPr>
          <w:rFonts w:ascii="Arial" w:hAnsi="Arial" w:cs="Arial"/>
          <w:sz w:val="22"/>
          <w:szCs w:val="22"/>
        </w:rPr>
        <w:t>Adapting the strategy of working with stakeholders is a key factor for overcoming regulatory and cultural differences between the European and American markets. According to the data (Ashcroft et al, 2017), the contradiction between European information protection requirements and the American orientation towards expansion formed significant obstacles for Huma. That communication had to be adapted to regional conditions was a direct consequence of the risks that created the lack of a differentiated approach and the difficulty of combining operational efficiency with ethical principles –, namely the risks of moral violations and the breakdown of partnerships.</w:t>
      </w:r>
      <w:r w:rsidR="0095779D" w:rsidRPr="0015132B">
        <w:rPr>
          <w:rFonts w:ascii="Arial" w:hAnsi="Arial" w:cs="Arial"/>
          <w:sz w:val="22"/>
          <w:szCs w:val="22"/>
        </w:rPr>
        <w:t xml:space="preserve"> </w:t>
      </w:r>
    </w:p>
    <w:p w14:paraId="755F3399" w14:textId="182E984E" w:rsidR="003811FF" w:rsidRPr="0015132B" w:rsidRDefault="0095779D" w:rsidP="00FE4C56">
      <w:pPr>
        <w:pStyle w:val="Heading2"/>
        <w:spacing w:line="360" w:lineRule="auto"/>
        <w:rPr>
          <w:rFonts w:ascii="Arial" w:hAnsi="Arial" w:cs="Arial"/>
          <w:sz w:val="24"/>
          <w:szCs w:val="24"/>
        </w:rPr>
      </w:pPr>
      <w:bookmarkStart w:id="39" w:name="_Toc214389954"/>
      <w:r w:rsidRPr="0015132B">
        <w:rPr>
          <w:rFonts w:ascii="Arial" w:hAnsi="Arial" w:cs="Arial"/>
          <w:sz w:val="24"/>
          <w:szCs w:val="24"/>
        </w:rPr>
        <w:t xml:space="preserve">Recommendations for </w:t>
      </w:r>
      <w:r w:rsidR="00C84D21" w:rsidRPr="0015132B">
        <w:rPr>
          <w:rFonts w:ascii="Arial" w:hAnsi="Arial" w:cs="Arial"/>
          <w:sz w:val="24"/>
          <w:szCs w:val="24"/>
        </w:rPr>
        <w:t>f</w:t>
      </w:r>
      <w:r w:rsidRPr="0015132B">
        <w:rPr>
          <w:rFonts w:ascii="Arial" w:hAnsi="Arial" w:cs="Arial"/>
          <w:sz w:val="24"/>
          <w:szCs w:val="24"/>
        </w:rPr>
        <w:t xml:space="preserve">uture </w:t>
      </w:r>
      <w:r w:rsidR="00C84D21" w:rsidRPr="0015132B">
        <w:rPr>
          <w:rFonts w:ascii="Arial" w:hAnsi="Arial" w:cs="Arial"/>
          <w:sz w:val="24"/>
          <w:szCs w:val="24"/>
        </w:rPr>
        <w:t>p</w:t>
      </w:r>
      <w:r w:rsidRPr="0015132B">
        <w:rPr>
          <w:rFonts w:ascii="Arial" w:hAnsi="Arial" w:cs="Arial"/>
          <w:sz w:val="24"/>
          <w:szCs w:val="24"/>
        </w:rPr>
        <w:t>ractice</w:t>
      </w:r>
      <w:bookmarkEnd w:id="39"/>
    </w:p>
    <w:p w14:paraId="3B7766CB" w14:textId="77777777" w:rsidR="0063731D" w:rsidRPr="0015132B" w:rsidRDefault="0063731D" w:rsidP="0063731D">
      <w:pPr>
        <w:spacing w:line="360" w:lineRule="auto"/>
        <w:jc w:val="both"/>
        <w:rPr>
          <w:rFonts w:ascii="Arial" w:hAnsi="Arial" w:cs="Arial"/>
          <w:sz w:val="22"/>
          <w:szCs w:val="22"/>
        </w:rPr>
      </w:pPr>
      <w:r w:rsidRPr="0015132B">
        <w:rPr>
          <w:rFonts w:ascii="Arial" w:hAnsi="Arial" w:cs="Arial"/>
          <w:sz w:val="22"/>
          <w:szCs w:val="22"/>
        </w:rPr>
        <w:t>Proposed by Ashcroft et al. (2017), the Relational Proximity framework, which measures the quality of relationships through criteria of sustainability, parity and common benchmarks, could be a tool for Huma in identifying imbalances. This will allow for a context and relationship-based adjustment of the engagement strategy, optimizing interaction with impact groups and protecting operational effectiveness.</w:t>
      </w:r>
    </w:p>
    <w:p w14:paraId="59D4DEF3" w14:textId="596F0659" w:rsidR="0063731D" w:rsidRPr="0015132B" w:rsidRDefault="0063731D" w:rsidP="0063731D">
      <w:pPr>
        <w:spacing w:line="360" w:lineRule="auto"/>
        <w:jc w:val="both"/>
        <w:rPr>
          <w:rFonts w:ascii="Arial" w:hAnsi="Arial" w:cs="Arial"/>
          <w:sz w:val="22"/>
          <w:szCs w:val="22"/>
        </w:rPr>
      </w:pPr>
      <w:r w:rsidRPr="0015132B">
        <w:rPr>
          <w:rFonts w:ascii="Arial" w:hAnsi="Arial" w:cs="Arial"/>
          <w:sz w:val="22"/>
          <w:szCs w:val="22"/>
        </w:rPr>
        <w:lastRenderedPageBreak/>
        <w:t xml:space="preserve">In the field of digital health, the blurring between innovation and financial interests poses a threat to public trust, so Huma must clearly separate expert functions from investment functions, particularly in clinical alliances. The Huma strategy must integrate two components: internal control mechanisms and external communication. According to </w:t>
      </w:r>
      <w:proofErr w:type="spellStart"/>
      <w:r w:rsidRPr="0015132B">
        <w:rPr>
          <w:rFonts w:ascii="Arial" w:hAnsi="Arial" w:cs="Arial"/>
          <w:sz w:val="22"/>
          <w:szCs w:val="22"/>
        </w:rPr>
        <w:t>Khabsa</w:t>
      </w:r>
      <w:proofErr w:type="spellEnd"/>
      <w:r w:rsidRPr="0015132B">
        <w:rPr>
          <w:rFonts w:ascii="Arial" w:hAnsi="Arial" w:cs="Arial"/>
          <w:sz w:val="22"/>
          <w:szCs w:val="22"/>
        </w:rPr>
        <w:t xml:space="preserve"> et al. (2022), the former </w:t>
      </w:r>
      <w:proofErr w:type="gramStart"/>
      <w:r w:rsidRPr="0015132B">
        <w:rPr>
          <w:rFonts w:ascii="Arial" w:hAnsi="Arial" w:cs="Arial"/>
          <w:sz w:val="22"/>
          <w:szCs w:val="22"/>
        </w:rPr>
        <w:t>include</w:t>
      </w:r>
      <w:proofErr w:type="gramEnd"/>
      <w:r w:rsidRPr="0015132B">
        <w:rPr>
          <w:rFonts w:ascii="Arial" w:hAnsi="Arial" w:cs="Arial"/>
          <w:sz w:val="22"/>
          <w:szCs w:val="22"/>
        </w:rPr>
        <w:t xml:space="preserve"> transparent declaration, ethics commissions, and stratification of stakeholders to address conflicts of interest. </w:t>
      </w:r>
      <w:proofErr w:type="gramStart"/>
      <w:r w:rsidRPr="0015132B">
        <w:rPr>
          <w:rFonts w:ascii="Arial" w:hAnsi="Arial" w:cs="Arial"/>
          <w:sz w:val="22"/>
          <w:szCs w:val="22"/>
        </w:rPr>
        <w:t>The second pillar,</w:t>
      </w:r>
      <w:proofErr w:type="gramEnd"/>
      <w:r w:rsidRPr="0015132B">
        <w:rPr>
          <w:rFonts w:ascii="Arial" w:hAnsi="Arial" w:cs="Arial"/>
          <w:sz w:val="22"/>
          <w:szCs w:val="22"/>
        </w:rPr>
        <w:t xml:space="preserve"> should </w:t>
      </w:r>
      <w:proofErr w:type="gramStart"/>
      <w:r w:rsidRPr="0015132B">
        <w:rPr>
          <w:rFonts w:ascii="Arial" w:hAnsi="Arial" w:cs="Arial"/>
          <w:sz w:val="22"/>
          <w:szCs w:val="22"/>
        </w:rPr>
        <w:t>take into account</w:t>
      </w:r>
      <w:proofErr w:type="gramEnd"/>
      <w:r w:rsidRPr="0015132B">
        <w:rPr>
          <w:rFonts w:ascii="Arial" w:hAnsi="Arial" w:cs="Arial"/>
          <w:sz w:val="22"/>
          <w:szCs w:val="22"/>
        </w:rPr>
        <w:t xml:space="preserve"> regional specificities: European partners expect to be involved in data management and protection, while American partners expect business flexibility and financial results. This two-pronged strategy calls for communication, policies and initiatives to be adapted to the regional context.</w:t>
      </w:r>
    </w:p>
    <w:p w14:paraId="47F92F65" w14:textId="77777777" w:rsidR="0063731D" w:rsidRPr="0015132B" w:rsidRDefault="0063731D" w:rsidP="0063731D">
      <w:pPr>
        <w:spacing w:line="360" w:lineRule="auto"/>
        <w:jc w:val="both"/>
        <w:rPr>
          <w:rFonts w:ascii="Arial" w:hAnsi="Arial" w:cs="Arial"/>
          <w:sz w:val="22"/>
          <w:szCs w:val="22"/>
        </w:rPr>
      </w:pPr>
      <w:r w:rsidRPr="0015132B">
        <w:rPr>
          <w:rFonts w:ascii="Arial" w:hAnsi="Arial" w:cs="Arial"/>
          <w:sz w:val="22"/>
          <w:szCs w:val="22"/>
        </w:rPr>
        <w:t>According to Lindgreen et al. (2019), the implementation of structured co-creation processes with clear time frames and feedback monitoring helps overcome psychological stress and complexity in decision-making. Thanks to the functionality of non-synchronous communication, open monitoring of decisions made and individual dashboards for stakeholders, modern digital platforms provide Huma with the opportunity to monitor the effectiveness of communication and quickly update approaches.</w:t>
      </w:r>
    </w:p>
    <w:p w14:paraId="3C2C7676" w14:textId="3D9C1693" w:rsidR="0063731D" w:rsidRPr="0015132B" w:rsidRDefault="0063731D" w:rsidP="0063731D">
      <w:pPr>
        <w:spacing w:line="360" w:lineRule="auto"/>
        <w:jc w:val="both"/>
        <w:rPr>
          <w:rFonts w:ascii="Arial" w:hAnsi="Arial" w:cs="Arial"/>
          <w:sz w:val="22"/>
          <w:szCs w:val="22"/>
        </w:rPr>
      </w:pPr>
      <w:r w:rsidRPr="0015132B">
        <w:rPr>
          <w:rFonts w:ascii="Arial" w:hAnsi="Arial" w:cs="Arial"/>
          <w:sz w:val="22"/>
          <w:szCs w:val="22"/>
        </w:rPr>
        <w:t>Integrating stakeholder work into strategic planning — not as a formal requirement, but through resource allocation, team training in relationship ethics, and the inclusion of appropriate criteria in KPI — will allow Huma to transform this process from a risk factor into a competitive advantage (Lindgreen et al., 2019; Ashcroft et al., 2017). This alignment of ethical management with a relational approach will enhance innovation, trust and stability in the European and American markets.</w:t>
      </w:r>
    </w:p>
    <w:p w14:paraId="7465351C" w14:textId="7014BE35" w:rsidR="00101A1D" w:rsidRPr="0015132B" w:rsidRDefault="0095779D" w:rsidP="00FE4C56">
      <w:pPr>
        <w:spacing w:line="360" w:lineRule="auto"/>
        <w:jc w:val="both"/>
        <w:rPr>
          <w:rFonts w:ascii="Arial" w:hAnsi="Arial" w:cs="Arial"/>
          <w:sz w:val="22"/>
          <w:szCs w:val="22"/>
        </w:rPr>
      </w:pPr>
      <w:r w:rsidRPr="0015132B">
        <w:rPr>
          <w:rFonts w:ascii="Arial" w:hAnsi="Arial" w:cs="Arial"/>
          <w:sz w:val="22"/>
          <w:szCs w:val="22"/>
        </w:rPr>
        <w:t>.</w:t>
      </w:r>
    </w:p>
    <w:p w14:paraId="2372A95D" w14:textId="77777777" w:rsidR="00B630AB" w:rsidRPr="0015132B" w:rsidRDefault="00B630AB" w:rsidP="00FE4C56">
      <w:pPr>
        <w:pStyle w:val="Heading1"/>
        <w:spacing w:line="360" w:lineRule="auto"/>
        <w:rPr>
          <w:rFonts w:ascii="Arial" w:hAnsi="Arial" w:cs="Arial"/>
          <w:sz w:val="28"/>
          <w:szCs w:val="28"/>
        </w:rPr>
      </w:pPr>
      <w:bookmarkStart w:id="40" w:name="_Toc214389955"/>
      <w:r w:rsidRPr="0015132B">
        <w:rPr>
          <w:rFonts w:ascii="Arial" w:hAnsi="Arial" w:cs="Arial"/>
          <w:sz w:val="28"/>
          <w:szCs w:val="28"/>
        </w:rPr>
        <w:t>Conclusion</w:t>
      </w:r>
      <w:bookmarkEnd w:id="40"/>
    </w:p>
    <w:p w14:paraId="660603D2" w14:textId="77777777" w:rsidR="0063731D" w:rsidRPr="0015132B" w:rsidRDefault="0063731D" w:rsidP="00FE4C56">
      <w:pPr>
        <w:spacing w:line="360" w:lineRule="auto"/>
        <w:jc w:val="both"/>
        <w:rPr>
          <w:rFonts w:ascii="Arial" w:hAnsi="Arial" w:cs="Arial"/>
          <w:sz w:val="22"/>
          <w:szCs w:val="22"/>
        </w:rPr>
      </w:pPr>
      <w:r w:rsidRPr="0015132B">
        <w:rPr>
          <w:rFonts w:ascii="Arial" w:hAnsi="Arial" w:cs="Arial"/>
          <w:sz w:val="22"/>
          <w:szCs w:val="22"/>
        </w:rPr>
        <w:t xml:space="preserve">As the study found, interaction with all — exposure groups from medical professionals and patients to regulators and — investors constitute a strategic basis for Huma's activities, not a secondary function. Despite the significant advantages of — strengthening the market value, ethical legitimacy and practical availability of the product —, the comprehensive involvement of stakeholders has also revealed critical problems. Threats to productivity in the form of conflicts of interest, power disparities, psychological exhaustion and interregional regulatory differences need to be systematically addressed. As demonstrated by the data, achieving sustainable innovation is only possible through structured engagement frameworks, ethical oversight and a quality-oriented relationship. Adaptive management and strong relationships of trust are necessary to overcome reputational risks, regulatory obstacles and loss of support </w:t>
      </w:r>
      <w:r w:rsidRPr="0015132B">
        <w:rPr>
          <w:rFonts w:ascii="Arial" w:hAnsi="Arial" w:cs="Arial"/>
          <w:sz w:val="22"/>
          <w:szCs w:val="22"/>
        </w:rPr>
        <w:lastRenderedPageBreak/>
        <w:t>of participants, as even advanced technologies do not guarantee success. The practical guide here is the structured joint design models and the Relational Proximity approach, which make it possible to effectively coordinate interests, manage multi-level complexity and increase the openness of interaction in international markets.</w:t>
      </w:r>
    </w:p>
    <w:p w14:paraId="18624758" w14:textId="77777777" w:rsidR="0063731D" w:rsidRPr="0015132B" w:rsidRDefault="0063731D" w:rsidP="00FE4C56">
      <w:pPr>
        <w:spacing w:line="360" w:lineRule="auto"/>
        <w:jc w:val="both"/>
        <w:rPr>
          <w:rFonts w:ascii="Arial" w:hAnsi="Arial" w:cs="Arial"/>
          <w:sz w:val="22"/>
          <w:szCs w:val="22"/>
        </w:rPr>
      </w:pPr>
      <w:r w:rsidRPr="0015132B">
        <w:rPr>
          <w:rFonts w:ascii="Arial" w:hAnsi="Arial" w:cs="Arial"/>
          <w:sz w:val="22"/>
          <w:szCs w:val="22"/>
        </w:rPr>
        <w:t>For Huma and the entire digital health industry, a key challenge in the face of accelerated technological change and increased regulatory control is finding a balance between innovation and moral responsibility. The conclusions obtained are of fundamental importance here. The effective performance of industry leaders, including Huma, depends on the integration of stakeholder management into the core strategy as an important component of productivity, rather than formal compliance.</w:t>
      </w:r>
    </w:p>
    <w:p w14:paraId="33B912BE" w14:textId="78A69341" w:rsidR="00B630AB" w:rsidRPr="0015132B" w:rsidRDefault="0063731D" w:rsidP="00FE4C56">
      <w:pPr>
        <w:spacing w:line="360" w:lineRule="auto"/>
        <w:jc w:val="both"/>
        <w:rPr>
          <w:rFonts w:ascii="Arial" w:hAnsi="Arial" w:cs="Arial"/>
          <w:sz w:val="22"/>
          <w:szCs w:val="22"/>
        </w:rPr>
      </w:pPr>
      <w:r w:rsidRPr="0015132B">
        <w:rPr>
          <w:rFonts w:ascii="Arial" w:hAnsi="Arial" w:cs="Arial"/>
          <w:sz w:val="22"/>
          <w:szCs w:val="22"/>
        </w:rPr>
        <w:t>The ability to transform work with all participants from a source of risk to a decisive advantage depends on combining ethical management with the entire Huma strategy. In the current conditions, which require ethical responsibility, leadership will be determined by the ability to build complex interpersonal connections. Because of this, managers need to direct resources not only to technological development, but also to the formation of a relationship infrastructure that will ensure stable trust, innovative potential and competitiveness on the world stage.</w:t>
      </w:r>
    </w:p>
    <w:p w14:paraId="3B879F9E" w14:textId="77777777" w:rsidR="00931E0F" w:rsidRPr="0015132B" w:rsidRDefault="00931E0F" w:rsidP="00FE4C56">
      <w:pPr>
        <w:spacing w:line="360" w:lineRule="auto"/>
        <w:jc w:val="both"/>
        <w:rPr>
          <w:rFonts w:ascii="Arial" w:hAnsi="Arial" w:cs="Arial"/>
          <w:sz w:val="22"/>
          <w:szCs w:val="22"/>
        </w:rPr>
      </w:pPr>
    </w:p>
    <w:p w14:paraId="33CA8350" w14:textId="77777777" w:rsidR="0063731D" w:rsidRPr="0015132B" w:rsidRDefault="0063731D" w:rsidP="00FE4C56">
      <w:pPr>
        <w:spacing w:line="360" w:lineRule="auto"/>
        <w:jc w:val="both"/>
        <w:rPr>
          <w:rFonts w:ascii="Arial" w:hAnsi="Arial" w:cs="Arial"/>
          <w:sz w:val="22"/>
          <w:szCs w:val="22"/>
        </w:rPr>
      </w:pPr>
    </w:p>
    <w:p w14:paraId="0BC27354" w14:textId="77777777" w:rsidR="0063731D" w:rsidRPr="0015132B" w:rsidRDefault="0063731D" w:rsidP="00FE4C56">
      <w:pPr>
        <w:spacing w:line="360" w:lineRule="auto"/>
        <w:jc w:val="both"/>
        <w:rPr>
          <w:rFonts w:ascii="Arial" w:hAnsi="Arial" w:cs="Arial"/>
          <w:sz w:val="22"/>
          <w:szCs w:val="22"/>
        </w:rPr>
      </w:pPr>
    </w:p>
    <w:p w14:paraId="1C7DADE0" w14:textId="77777777" w:rsidR="0063731D" w:rsidRPr="0015132B" w:rsidRDefault="0063731D" w:rsidP="00FE4C56">
      <w:pPr>
        <w:spacing w:line="360" w:lineRule="auto"/>
        <w:jc w:val="both"/>
        <w:rPr>
          <w:rFonts w:ascii="Arial" w:hAnsi="Arial" w:cs="Arial"/>
          <w:sz w:val="22"/>
          <w:szCs w:val="22"/>
        </w:rPr>
      </w:pPr>
    </w:p>
    <w:p w14:paraId="0DCDC64A" w14:textId="77777777" w:rsidR="0063731D" w:rsidRPr="0015132B" w:rsidRDefault="0063731D" w:rsidP="00FE4C56">
      <w:pPr>
        <w:spacing w:line="360" w:lineRule="auto"/>
        <w:jc w:val="both"/>
        <w:rPr>
          <w:rFonts w:ascii="Arial" w:hAnsi="Arial" w:cs="Arial"/>
          <w:sz w:val="22"/>
          <w:szCs w:val="22"/>
        </w:rPr>
      </w:pPr>
    </w:p>
    <w:p w14:paraId="6B56F719" w14:textId="77777777" w:rsidR="0063731D" w:rsidRPr="0015132B" w:rsidRDefault="0063731D" w:rsidP="00FE4C56">
      <w:pPr>
        <w:spacing w:line="360" w:lineRule="auto"/>
        <w:jc w:val="both"/>
        <w:rPr>
          <w:rFonts w:ascii="Arial" w:hAnsi="Arial" w:cs="Arial"/>
          <w:sz w:val="22"/>
          <w:szCs w:val="22"/>
        </w:rPr>
      </w:pPr>
    </w:p>
    <w:p w14:paraId="5515E683" w14:textId="77777777" w:rsidR="0063731D" w:rsidRPr="0015132B" w:rsidRDefault="0063731D" w:rsidP="00FE4C56">
      <w:pPr>
        <w:spacing w:line="360" w:lineRule="auto"/>
        <w:jc w:val="both"/>
        <w:rPr>
          <w:rFonts w:ascii="Arial" w:hAnsi="Arial" w:cs="Arial"/>
          <w:sz w:val="22"/>
          <w:szCs w:val="22"/>
        </w:rPr>
      </w:pPr>
    </w:p>
    <w:p w14:paraId="2C25131D" w14:textId="77777777" w:rsidR="0063731D" w:rsidRPr="0015132B" w:rsidRDefault="0063731D" w:rsidP="00FE4C56">
      <w:pPr>
        <w:spacing w:line="360" w:lineRule="auto"/>
        <w:jc w:val="both"/>
        <w:rPr>
          <w:rFonts w:ascii="Arial" w:hAnsi="Arial" w:cs="Arial"/>
          <w:sz w:val="22"/>
          <w:szCs w:val="22"/>
        </w:rPr>
      </w:pPr>
    </w:p>
    <w:p w14:paraId="01331AE5" w14:textId="77777777" w:rsidR="0063731D" w:rsidRPr="0015132B" w:rsidRDefault="0063731D" w:rsidP="00FE4C56">
      <w:pPr>
        <w:spacing w:line="360" w:lineRule="auto"/>
        <w:jc w:val="both"/>
        <w:rPr>
          <w:rFonts w:ascii="Arial" w:hAnsi="Arial" w:cs="Arial"/>
          <w:sz w:val="22"/>
          <w:szCs w:val="22"/>
        </w:rPr>
      </w:pPr>
    </w:p>
    <w:p w14:paraId="76856BDB" w14:textId="77777777" w:rsidR="0063731D" w:rsidRPr="0015132B" w:rsidRDefault="0063731D" w:rsidP="00FE4C56">
      <w:pPr>
        <w:spacing w:line="360" w:lineRule="auto"/>
        <w:jc w:val="both"/>
        <w:rPr>
          <w:rFonts w:ascii="Arial" w:hAnsi="Arial" w:cs="Arial"/>
          <w:sz w:val="22"/>
          <w:szCs w:val="22"/>
        </w:rPr>
      </w:pPr>
    </w:p>
    <w:p w14:paraId="3E2C6AA3" w14:textId="77777777" w:rsidR="0063731D" w:rsidRPr="0015132B" w:rsidRDefault="0063731D" w:rsidP="00FE4C56">
      <w:pPr>
        <w:spacing w:line="360" w:lineRule="auto"/>
        <w:jc w:val="both"/>
        <w:rPr>
          <w:rFonts w:ascii="Arial" w:hAnsi="Arial" w:cs="Arial"/>
          <w:sz w:val="22"/>
          <w:szCs w:val="22"/>
        </w:rPr>
      </w:pPr>
    </w:p>
    <w:p w14:paraId="557F4EC9" w14:textId="77777777" w:rsidR="0063731D" w:rsidRPr="0015132B" w:rsidRDefault="0063731D" w:rsidP="00FE4C56">
      <w:pPr>
        <w:spacing w:line="360" w:lineRule="auto"/>
        <w:jc w:val="both"/>
        <w:rPr>
          <w:rFonts w:ascii="Arial" w:hAnsi="Arial" w:cs="Arial"/>
          <w:sz w:val="22"/>
          <w:szCs w:val="22"/>
        </w:rPr>
      </w:pPr>
    </w:p>
    <w:p w14:paraId="6175163A" w14:textId="77777777" w:rsidR="00F1493A" w:rsidRPr="0015132B" w:rsidRDefault="00F1493A" w:rsidP="00FE4C56">
      <w:pPr>
        <w:pStyle w:val="Heading1"/>
        <w:spacing w:line="360" w:lineRule="auto"/>
        <w:rPr>
          <w:rFonts w:ascii="Arial" w:hAnsi="Arial" w:cs="Arial"/>
          <w:sz w:val="28"/>
          <w:szCs w:val="28"/>
        </w:rPr>
      </w:pPr>
      <w:bookmarkStart w:id="41" w:name="_Toc214389956"/>
      <w:r w:rsidRPr="0015132B">
        <w:rPr>
          <w:rFonts w:ascii="Arial" w:hAnsi="Arial" w:cs="Arial"/>
          <w:sz w:val="28"/>
          <w:szCs w:val="28"/>
        </w:rPr>
        <w:lastRenderedPageBreak/>
        <w:t>Reference:</w:t>
      </w:r>
      <w:bookmarkEnd w:id="41"/>
    </w:p>
    <w:p w14:paraId="2FD0F3BF" w14:textId="2E68C8F5" w:rsidR="00A5512B" w:rsidRPr="005E7AF9" w:rsidRDefault="00A5512B" w:rsidP="005E7AF9">
      <w:pPr>
        <w:pStyle w:val="ListParagraph"/>
        <w:numPr>
          <w:ilvl w:val="0"/>
          <w:numId w:val="26"/>
        </w:numPr>
        <w:spacing w:line="360" w:lineRule="auto"/>
        <w:jc w:val="both"/>
        <w:rPr>
          <w:rFonts w:ascii="Arial" w:hAnsi="Arial" w:cs="Arial"/>
          <w:sz w:val="22"/>
          <w:szCs w:val="22"/>
        </w:rPr>
      </w:pPr>
      <w:r w:rsidRPr="005E7AF9">
        <w:rPr>
          <w:rFonts w:ascii="Arial" w:hAnsi="Arial" w:cs="Arial"/>
          <w:sz w:val="22"/>
          <w:szCs w:val="22"/>
        </w:rPr>
        <w:t xml:space="preserve">Ashcroft, J., Atkins, P., Noble, D. and Robertson, R. (2017). </w:t>
      </w:r>
      <w:r w:rsidRPr="005E7AF9">
        <w:rPr>
          <w:rFonts w:ascii="Arial" w:hAnsi="Arial" w:cs="Arial"/>
          <w:i/>
          <w:iCs/>
          <w:sz w:val="22"/>
          <w:szCs w:val="22"/>
        </w:rPr>
        <w:t>The relational lens: understanding, measuring and managing stakeholder relationships</w:t>
      </w:r>
      <w:r w:rsidRPr="005E7AF9">
        <w:rPr>
          <w:rFonts w:ascii="Arial" w:hAnsi="Arial" w:cs="Arial"/>
          <w:sz w:val="22"/>
          <w:szCs w:val="22"/>
        </w:rPr>
        <w:t>. Cambridge: Cambridge University Press.</w:t>
      </w:r>
    </w:p>
    <w:p w14:paraId="2B33F2EB" w14:textId="6C2083B5" w:rsidR="0015132B" w:rsidRPr="005E7AF9" w:rsidRDefault="0015132B" w:rsidP="005E7AF9">
      <w:pPr>
        <w:pStyle w:val="ListParagraph"/>
        <w:numPr>
          <w:ilvl w:val="0"/>
          <w:numId w:val="26"/>
        </w:numPr>
        <w:spacing w:line="360" w:lineRule="auto"/>
        <w:jc w:val="both"/>
        <w:rPr>
          <w:rFonts w:ascii="Arial" w:hAnsi="Arial" w:cs="Arial"/>
          <w:sz w:val="22"/>
          <w:szCs w:val="22"/>
          <w:lang w:val="uk-UA"/>
        </w:rPr>
      </w:pPr>
      <w:r w:rsidRPr="005E7AF9">
        <w:rPr>
          <w:rFonts w:ascii="Arial" w:hAnsi="Arial" w:cs="Arial"/>
          <w:sz w:val="22"/>
          <w:szCs w:val="22"/>
        </w:rPr>
        <w:t xml:space="preserve">Belbin, R.M. (2010). </w:t>
      </w:r>
      <w:r w:rsidRPr="005E7AF9">
        <w:rPr>
          <w:rFonts w:ascii="Arial" w:hAnsi="Arial" w:cs="Arial"/>
          <w:i/>
          <w:iCs/>
          <w:sz w:val="22"/>
          <w:szCs w:val="22"/>
        </w:rPr>
        <w:t>Team roles at work.</w:t>
      </w:r>
      <w:r w:rsidRPr="005E7AF9">
        <w:rPr>
          <w:rFonts w:ascii="Arial" w:hAnsi="Arial" w:cs="Arial"/>
          <w:sz w:val="22"/>
          <w:szCs w:val="22"/>
        </w:rPr>
        <w:t xml:space="preserve"> 2nd ed. Oxford: Butterworth-Heinemann.</w:t>
      </w:r>
    </w:p>
    <w:p w14:paraId="02FADBBF" w14:textId="07DD06D4" w:rsidR="0015132B" w:rsidRPr="005E7AF9" w:rsidRDefault="0015132B" w:rsidP="005E7AF9">
      <w:pPr>
        <w:pStyle w:val="ListParagraph"/>
        <w:numPr>
          <w:ilvl w:val="0"/>
          <w:numId w:val="26"/>
        </w:numPr>
        <w:spacing w:line="360" w:lineRule="auto"/>
        <w:jc w:val="both"/>
        <w:rPr>
          <w:rFonts w:ascii="Arial" w:hAnsi="Arial" w:cs="Arial"/>
          <w:sz w:val="22"/>
          <w:szCs w:val="22"/>
        </w:rPr>
      </w:pPr>
      <w:r w:rsidRPr="005E7AF9">
        <w:rPr>
          <w:rFonts w:ascii="Arial" w:hAnsi="Arial" w:cs="Arial"/>
          <w:sz w:val="22"/>
          <w:szCs w:val="22"/>
        </w:rPr>
        <w:t xml:space="preserve">Belton, V. and Stewart, T. (2002). </w:t>
      </w:r>
      <w:r w:rsidRPr="005E7AF9">
        <w:rPr>
          <w:rFonts w:ascii="Arial" w:hAnsi="Arial" w:cs="Arial"/>
          <w:i/>
          <w:iCs/>
          <w:sz w:val="22"/>
          <w:szCs w:val="22"/>
        </w:rPr>
        <w:t>Multiple Criteria Decision Analysis: An Integrated Approach.</w:t>
      </w:r>
      <w:r w:rsidRPr="005E7AF9">
        <w:rPr>
          <w:rFonts w:ascii="Arial" w:hAnsi="Arial" w:cs="Arial"/>
          <w:sz w:val="22"/>
          <w:szCs w:val="22"/>
        </w:rPr>
        <w:t xml:space="preserve"> 1st ed. New York: Springer. Available at</w:t>
      </w:r>
      <w:r w:rsidR="00A5512B" w:rsidRPr="005E7AF9">
        <w:rPr>
          <w:rFonts w:ascii="Arial" w:hAnsi="Arial" w:cs="Arial"/>
          <w:sz w:val="22"/>
          <w:szCs w:val="22"/>
        </w:rPr>
        <w:t xml:space="preserve">: </w:t>
      </w:r>
      <w:hyperlink r:id="rId17" w:history="1">
        <w:r w:rsidR="00A5512B" w:rsidRPr="005E7AF9">
          <w:rPr>
            <w:rStyle w:val="Hyperlink"/>
            <w:rFonts w:ascii="Arial" w:hAnsi="Arial" w:cs="Arial"/>
            <w:sz w:val="22"/>
            <w:szCs w:val="22"/>
          </w:rPr>
          <w:t>https://link.springer.com</w:t>
        </w:r>
      </w:hyperlink>
      <w:r w:rsidR="00A5512B" w:rsidRPr="005E7AF9">
        <w:rPr>
          <w:rFonts w:ascii="Arial" w:hAnsi="Arial" w:cs="Arial"/>
          <w:sz w:val="22"/>
          <w:szCs w:val="22"/>
        </w:rPr>
        <w:t xml:space="preserve"> </w:t>
      </w:r>
      <w:r w:rsidRPr="005E7AF9">
        <w:rPr>
          <w:rFonts w:ascii="Arial" w:hAnsi="Arial" w:cs="Arial"/>
          <w:sz w:val="22"/>
          <w:szCs w:val="22"/>
        </w:rPr>
        <w:t>[Accessed 1 November 2025].</w:t>
      </w:r>
    </w:p>
    <w:p w14:paraId="6CCCCE9A" w14:textId="6A9E63F5" w:rsidR="0015132B" w:rsidRPr="005E7AF9" w:rsidRDefault="0015132B" w:rsidP="005E7AF9">
      <w:pPr>
        <w:pStyle w:val="ListParagraph"/>
        <w:numPr>
          <w:ilvl w:val="0"/>
          <w:numId w:val="26"/>
        </w:numPr>
        <w:spacing w:line="360" w:lineRule="auto"/>
        <w:jc w:val="both"/>
        <w:rPr>
          <w:rFonts w:ascii="Arial" w:hAnsi="Arial" w:cs="Arial"/>
          <w:sz w:val="22"/>
          <w:szCs w:val="22"/>
        </w:rPr>
      </w:pPr>
      <w:r w:rsidRPr="005E7AF9">
        <w:rPr>
          <w:rFonts w:ascii="Arial" w:hAnsi="Arial" w:cs="Arial"/>
          <w:sz w:val="22"/>
          <w:szCs w:val="22"/>
        </w:rPr>
        <w:t xml:space="preserve">Bourne, L. and Walker, D.H.T. (2005). Visualising and mapping stakeholder influence. </w:t>
      </w:r>
      <w:r w:rsidRPr="005E7AF9">
        <w:rPr>
          <w:rFonts w:ascii="Arial" w:hAnsi="Arial" w:cs="Arial"/>
          <w:i/>
          <w:iCs/>
          <w:sz w:val="22"/>
          <w:szCs w:val="22"/>
        </w:rPr>
        <w:t>Management Decision</w:t>
      </w:r>
      <w:r w:rsidRPr="005E7AF9">
        <w:rPr>
          <w:rFonts w:ascii="Arial" w:hAnsi="Arial" w:cs="Arial"/>
          <w:sz w:val="22"/>
          <w:szCs w:val="22"/>
        </w:rPr>
        <w:t xml:space="preserve">, 43(5), pp.649–660. </w:t>
      </w:r>
      <w:hyperlink r:id="rId18" w:history="1">
        <w:r w:rsidR="00A5512B" w:rsidRPr="005E7AF9">
          <w:rPr>
            <w:rStyle w:val="Hyperlink"/>
            <w:rFonts w:ascii="Arial" w:hAnsi="Arial" w:cs="Arial"/>
            <w:sz w:val="22"/>
            <w:szCs w:val="22"/>
          </w:rPr>
          <w:t>https://doi.org/10.1108/00251740510597680</w:t>
        </w:r>
      </w:hyperlink>
    </w:p>
    <w:p w14:paraId="081EEE33" w14:textId="7BF710B6" w:rsidR="0015132B" w:rsidRPr="005E7AF9" w:rsidRDefault="0015132B" w:rsidP="005E7AF9">
      <w:pPr>
        <w:pStyle w:val="ListParagraph"/>
        <w:numPr>
          <w:ilvl w:val="0"/>
          <w:numId w:val="26"/>
        </w:numPr>
        <w:spacing w:line="360" w:lineRule="auto"/>
        <w:jc w:val="both"/>
        <w:rPr>
          <w:rFonts w:ascii="Arial" w:hAnsi="Arial" w:cs="Arial"/>
          <w:sz w:val="22"/>
          <w:szCs w:val="22"/>
        </w:rPr>
      </w:pPr>
      <w:r w:rsidRPr="005E7AF9">
        <w:rPr>
          <w:rFonts w:ascii="Arial" w:hAnsi="Arial" w:cs="Arial"/>
          <w:sz w:val="22"/>
          <w:szCs w:val="22"/>
        </w:rPr>
        <w:t xml:space="preserve">Cameron, S. (2013). </w:t>
      </w:r>
      <w:r w:rsidRPr="005E7AF9">
        <w:rPr>
          <w:rFonts w:ascii="Arial" w:hAnsi="Arial" w:cs="Arial"/>
          <w:i/>
          <w:iCs/>
          <w:sz w:val="22"/>
          <w:szCs w:val="22"/>
        </w:rPr>
        <w:t>The business student's handbook: skills for study and employment.</w:t>
      </w:r>
      <w:r w:rsidRPr="005E7AF9">
        <w:rPr>
          <w:rFonts w:ascii="Arial" w:hAnsi="Arial" w:cs="Arial"/>
          <w:sz w:val="22"/>
          <w:szCs w:val="22"/>
        </w:rPr>
        <w:t xml:space="preserve"> Harlow: Financial Times Prentice Hall.</w:t>
      </w:r>
    </w:p>
    <w:p w14:paraId="25A4D57F" w14:textId="6483794B" w:rsidR="0015132B" w:rsidRPr="005E7AF9" w:rsidRDefault="0015132B" w:rsidP="005E7AF9">
      <w:pPr>
        <w:pStyle w:val="ListParagraph"/>
        <w:numPr>
          <w:ilvl w:val="0"/>
          <w:numId w:val="26"/>
        </w:numPr>
        <w:spacing w:line="360" w:lineRule="auto"/>
        <w:jc w:val="both"/>
        <w:rPr>
          <w:rFonts w:ascii="Arial" w:hAnsi="Arial" w:cs="Arial"/>
          <w:sz w:val="22"/>
          <w:szCs w:val="22"/>
        </w:rPr>
      </w:pPr>
      <w:r w:rsidRPr="005E7AF9">
        <w:rPr>
          <w:rFonts w:ascii="Arial" w:hAnsi="Arial" w:cs="Arial"/>
          <w:sz w:val="22"/>
          <w:szCs w:val="22"/>
        </w:rPr>
        <w:t xml:space="preserve">Christopher, M., Payne, A. and Ballantyne, D. (2013). </w:t>
      </w:r>
      <w:r w:rsidRPr="005E7AF9">
        <w:rPr>
          <w:rFonts w:ascii="Arial" w:hAnsi="Arial" w:cs="Arial"/>
          <w:i/>
          <w:iCs/>
          <w:sz w:val="22"/>
          <w:szCs w:val="22"/>
        </w:rPr>
        <w:t>Relationship marketing: creating stakeholder value</w:t>
      </w:r>
      <w:r w:rsidRPr="005E7AF9">
        <w:rPr>
          <w:rFonts w:ascii="Arial" w:hAnsi="Arial" w:cs="Arial"/>
          <w:sz w:val="22"/>
          <w:szCs w:val="22"/>
        </w:rPr>
        <w:t>. Saint Louis: Taylor and Francis.</w:t>
      </w:r>
    </w:p>
    <w:p w14:paraId="3F9F411A" w14:textId="22D4062D" w:rsidR="0015132B" w:rsidRPr="005E7AF9" w:rsidRDefault="0015132B" w:rsidP="005E7AF9">
      <w:pPr>
        <w:pStyle w:val="ListParagraph"/>
        <w:numPr>
          <w:ilvl w:val="0"/>
          <w:numId w:val="26"/>
        </w:numPr>
        <w:spacing w:line="360" w:lineRule="auto"/>
        <w:jc w:val="both"/>
        <w:rPr>
          <w:rFonts w:ascii="Arial" w:hAnsi="Arial" w:cs="Arial"/>
          <w:sz w:val="22"/>
          <w:szCs w:val="22"/>
        </w:rPr>
      </w:pPr>
      <w:r w:rsidRPr="005E7AF9">
        <w:rPr>
          <w:rFonts w:ascii="Arial" w:hAnsi="Arial" w:cs="Arial"/>
          <w:sz w:val="22"/>
          <w:szCs w:val="22"/>
        </w:rPr>
        <w:t xml:space="preserve">Cooper, R.G. (2019). The drivers of success in new-product development. </w:t>
      </w:r>
      <w:r w:rsidRPr="005E7AF9">
        <w:rPr>
          <w:rFonts w:ascii="Arial" w:hAnsi="Arial" w:cs="Arial"/>
          <w:i/>
          <w:iCs/>
          <w:sz w:val="22"/>
          <w:szCs w:val="22"/>
        </w:rPr>
        <w:t>Industrial Marketing Management</w:t>
      </w:r>
      <w:r w:rsidRPr="005E7AF9">
        <w:rPr>
          <w:rFonts w:ascii="Arial" w:hAnsi="Arial" w:cs="Arial"/>
          <w:sz w:val="22"/>
          <w:szCs w:val="22"/>
        </w:rPr>
        <w:t xml:space="preserve">, 76, pp.36–47. </w:t>
      </w:r>
      <w:hyperlink r:id="rId19" w:history="1">
        <w:r w:rsidR="007D51B8" w:rsidRPr="005E7AF9">
          <w:rPr>
            <w:rStyle w:val="Hyperlink"/>
            <w:rFonts w:ascii="Arial" w:hAnsi="Arial" w:cs="Arial"/>
            <w:sz w:val="22"/>
            <w:szCs w:val="22"/>
          </w:rPr>
          <w:t>https://doi.org/10.1016/j.indmarman.2018.07.005</w:t>
        </w:r>
      </w:hyperlink>
      <w:r w:rsidR="007D51B8" w:rsidRPr="005E7AF9">
        <w:rPr>
          <w:rFonts w:ascii="Arial" w:hAnsi="Arial" w:cs="Arial"/>
          <w:sz w:val="22"/>
          <w:szCs w:val="22"/>
        </w:rPr>
        <w:t xml:space="preserve"> </w:t>
      </w:r>
      <w:r w:rsidRPr="005E7AF9">
        <w:rPr>
          <w:rFonts w:ascii="Arial" w:hAnsi="Arial" w:cs="Arial"/>
          <w:sz w:val="22"/>
          <w:szCs w:val="22"/>
        </w:rPr>
        <w:t>[Accessed 5 November 2025].</w:t>
      </w:r>
    </w:p>
    <w:p w14:paraId="5B9165B9" w14:textId="0A8B4E57" w:rsidR="0015132B" w:rsidRPr="005E7AF9" w:rsidRDefault="0015132B" w:rsidP="005E7AF9">
      <w:pPr>
        <w:pStyle w:val="ListParagraph"/>
        <w:numPr>
          <w:ilvl w:val="0"/>
          <w:numId w:val="26"/>
        </w:numPr>
        <w:spacing w:line="360" w:lineRule="auto"/>
        <w:jc w:val="both"/>
        <w:rPr>
          <w:rFonts w:ascii="Arial" w:hAnsi="Arial" w:cs="Arial"/>
          <w:sz w:val="22"/>
          <w:szCs w:val="22"/>
        </w:rPr>
      </w:pPr>
      <w:r w:rsidRPr="005E7AF9">
        <w:rPr>
          <w:rFonts w:ascii="Arial" w:hAnsi="Arial" w:cs="Arial"/>
          <w:sz w:val="22"/>
          <w:szCs w:val="22"/>
        </w:rPr>
        <w:t xml:space="preserve">Duck, S. and McMahan, D.T. (2021). </w:t>
      </w:r>
      <w:r w:rsidRPr="005E7AF9">
        <w:rPr>
          <w:rFonts w:ascii="Arial" w:hAnsi="Arial" w:cs="Arial"/>
          <w:i/>
          <w:iCs/>
          <w:sz w:val="22"/>
          <w:szCs w:val="22"/>
        </w:rPr>
        <w:t>Communication in everyday life: a survey of communication</w:t>
      </w:r>
      <w:r w:rsidRPr="005E7AF9">
        <w:rPr>
          <w:rFonts w:ascii="Arial" w:hAnsi="Arial" w:cs="Arial"/>
          <w:sz w:val="22"/>
          <w:szCs w:val="22"/>
        </w:rPr>
        <w:t>. 4th ed. Los Angeles: SAGE. Chapter 12.</w:t>
      </w:r>
    </w:p>
    <w:p w14:paraId="1A37056B" w14:textId="01D35E92" w:rsidR="0015132B" w:rsidRPr="005E7AF9" w:rsidRDefault="0015132B" w:rsidP="005E7AF9">
      <w:pPr>
        <w:pStyle w:val="ListParagraph"/>
        <w:numPr>
          <w:ilvl w:val="0"/>
          <w:numId w:val="26"/>
        </w:numPr>
        <w:spacing w:line="360" w:lineRule="auto"/>
        <w:jc w:val="both"/>
        <w:rPr>
          <w:rFonts w:ascii="Arial" w:hAnsi="Arial" w:cs="Arial"/>
          <w:sz w:val="22"/>
          <w:szCs w:val="22"/>
        </w:rPr>
      </w:pPr>
      <w:r w:rsidRPr="005E7AF9">
        <w:rPr>
          <w:rFonts w:ascii="Arial" w:hAnsi="Arial" w:cs="Arial"/>
          <w:sz w:val="22"/>
          <w:szCs w:val="22"/>
        </w:rPr>
        <w:t xml:space="preserve">Edmondson, A. (1999). Psychological safety and learning behaviour in work teams. </w:t>
      </w:r>
      <w:r w:rsidRPr="005E7AF9">
        <w:rPr>
          <w:rFonts w:ascii="Arial" w:hAnsi="Arial" w:cs="Arial"/>
          <w:i/>
          <w:iCs/>
          <w:sz w:val="22"/>
          <w:szCs w:val="22"/>
        </w:rPr>
        <w:t>Administrative Science Quarterly</w:t>
      </w:r>
      <w:r w:rsidRPr="005E7AF9">
        <w:rPr>
          <w:rFonts w:ascii="Arial" w:hAnsi="Arial" w:cs="Arial"/>
          <w:sz w:val="22"/>
          <w:szCs w:val="22"/>
        </w:rPr>
        <w:t xml:space="preserve">, 44(2), pp.350–383. </w:t>
      </w:r>
      <w:hyperlink r:id="rId20" w:history="1">
        <w:r w:rsidR="00E8314D" w:rsidRPr="005E7AF9">
          <w:rPr>
            <w:rStyle w:val="Hyperlink"/>
            <w:rFonts w:ascii="Arial" w:hAnsi="Arial" w:cs="Arial"/>
            <w:sz w:val="22"/>
            <w:szCs w:val="22"/>
          </w:rPr>
          <w:t>https://doi.org/10.2307/2666999</w:t>
        </w:r>
      </w:hyperlink>
    </w:p>
    <w:p w14:paraId="4BD78AA6" w14:textId="6F3A0B1C" w:rsidR="0015132B" w:rsidRPr="005E7AF9" w:rsidRDefault="0015132B" w:rsidP="005E7AF9">
      <w:pPr>
        <w:pStyle w:val="ListParagraph"/>
        <w:numPr>
          <w:ilvl w:val="0"/>
          <w:numId w:val="26"/>
        </w:numPr>
        <w:spacing w:line="360" w:lineRule="auto"/>
        <w:jc w:val="both"/>
        <w:rPr>
          <w:rFonts w:ascii="Arial" w:hAnsi="Arial" w:cs="Arial"/>
          <w:sz w:val="22"/>
          <w:szCs w:val="22"/>
        </w:rPr>
      </w:pPr>
      <w:r w:rsidRPr="005E7AF9">
        <w:rPr>
          <w:rFonts w:ascii="Arial" w:hAnsi="Arial" w:cs="Arial"/>
          <w:sz w:val="22"/>
          <w:szCs w:val="22"/>
        </w:rPr>
        <w:t xml:space="preserve">Ellis, C.A., Gibbs, S.J. and Rein, G.L. (1991). Groupware: Some issues and experiences. </w:t>
      </w:r>
      <w:r w:rsidRPr="005E7AF9">
        <w:rPr>
          <w:rFonts w:ascii="Arial" w:hAnsi="Arial" w:cs="Arial"/>
          <w:i/>
          <w:iCs/>
          <w:sz w:val="22"/>
          <w:szCs w:val="22"/>
        </w:rPr>
        <w:t>Communications of the ACM</w:t>
      </w:r>
      <w:r w:rsidRPr="005E7AF9">
        <w:rPr>
          <w:rFonts w:ascii="Arial" w:hAnsi="Arial" w:cs="Arial"/>
          <w:sz w:val="22"/>
          <w:szCs w:val="22"/>
        </w:rPr>
        <w:t xml:space="preserve">, 34(1), pp.38–58. </w:t>
      </w:r>
      <w:hyperlink r:id="rId21" w:history="1">
        <w:r w:rsidRPr="005E7AF9">
          <w:rPr>
            <w:rStyle w:val="Hyperlink"/>
            <w:rFonts w:ascii="Arial" w:hAnsi="Arial" w:cs="Arial"/>
            <w:sz w:val="22"/>
            <w:szCs w:val="22"/>
          </w:rPr>
          <w:t>https://doi.org/10.1145/99977.99987</w:t>
        </w:r>
      </w:hyperlink>
    </w:p>
    <w:p w14:paraId="26EEE5A9" w14:textId="56296121" w:rsidR="0015132B" w:rsidRPr="005E7AF9" w:rsidRDefault="0015132B" w:rsidP="005E7AF9">
      <w:pPr>
        <w:pStyle w:val="ListParagraph"/>
        <w:numPr>
          <w:ilvl w:val="0"/>
          <w:numId w:val="26"/>
        </w:numPr>
        <w:spacing w:line="360" w:lineRule="auto"/>
        <w:jc w:val="both"/>
        <w:rPr>
          <w:rFonts w:ascii="Arial" w:hAnsi="Arial" w:cs="Arial"/>
          <w:sz w:val="22"/>
          <w:szCs w:val="22"/>
        </w:rPr>
      </w:pPr>
      <w:r w:rsidRPr="005E7AF9">
        <w:rPr>
          <w:rFonts w:ascii="Arial" w:hAnsi="Arial" w:cs="Arial"/>
          <w:sz w:val="22"/>
          <w:szCs w:val="22"/>
        </w:rPr>
        <w:t xml:space="preserve">Eurostat (2022) Ageing Europe – </w:t>
      </w:r>
      <w:r w:rsidRPr="005E7AF9">
        <w:rPr>
          <w:rFonts w:ascii="Arial" w:hAnsi="Arial" w:cs="Arial"/>
          <w:i/>
          <w:iCs/>
          <w:sz w:val="22"/>
          <w:szCs w:val="22"/>
        </w:rPr>
        <w:t>Looking at the lives of older people in the EU</w:t>
      </w:r>
      <w:r w:rsidRPr="005E7AF9">
        <w:rPr>
          <w:rFonts w:ascii="Arial" w:hAnsi="Arial" w:cs="Arial"/>
          <w:sz w:val="22"/>
          <w:szCs w:val="22"/>
        </w:rPr>
        <w:t xml:space="preserve">. Available at: </w:t>
      </w:r>
      <w:hyperlink r:id="rId22" w:history="1">
        <w:r w:rsidRPr="005E7AF9">
          <w:rPr>
            <w:rStyle w:val="Hyperlink"/>
            <w:rFonts w:ascii="Arial" w:hAnsi="Arial" w:cs="Arial"/>
            <w:sz w:val="22"/>
            <w:szCs w:val="22"/>
          </w:rPr>
          <w:t>https://ec.europa.eu/eurostat</w:t>
        </w:r>
      </w:hyperlink>
      <w:r w:rsidRPr="005E7AF9">
        <w:rPr>
          <w:rFonts w:ascii="Arial" w:hAnsi="Arial" w:cs="Arial"/>
          <w:sz w:val="22"/>
          <w:szCs w:val="22"/>
        </w:rPr>
        <w:t xml:space="preserve"> (Accessed: 07 November 2025).</w:t>
      </w:r>
    </w:p>
    <w:p w14:paraId="35ED58B1" w14:textId="30E71756" w:rsidR="0015132B" w:rsidRPr="005E7AF9" w:rsidRDefault="0015132B" w:rsidP="005E7AF9">
      <w:pPr>
        <w:pStyle w:val="ListParagraph"/>
        <w:numPr>
          <w:ilvl w:val="0"/>
          <w:numId w:val="26"/>
        </w:numPr>
        <w:spacing w:line="360" w:lineRule="auto"/>
        <w:jc w:val="both"/>
        <w:rPr>
          <w:rFonts w:ascii="Arial" w:hAnsi="Arial" w:cs="Arial"/>
          <w:sz w:val="22"/>
          <w:szCs w:val="22"/>
        </w:rPr>
      </w:pPr>
      <w:r w:rsidRPr="005E7AF9">
        <w:rPr>
          <w:rFonts w:ascii="Arial" w:hAnsi="Arial" w:cs="Arial"/>
          <w:sz w:val="22"/>
          <w:szCs w:val="22"/>
        </w:rPr>
        <w:t xml:space="preserve">Freeman, R.E. (1984) </w:t>
      </w:r>
      <w:r w:rsidRPr="005E7AF9">
        <w:rPr>
          <w:rFonts w:ascii="Arial" w:hAnsi="Arial" w:cs="Arial"/>
          <w:i/>
          <w:iCs/>
          <w:sz w:val="22"/>
          <w:szCs w:val="22"/>
        </w:rPr>
        <w:t>Strategic Management: A Stakeholder Approach</w:t>
      </w:r>
      <w:r w:rsidRPr="005E7AF9">
        <w:rPr>
          <w:rFonts w:ascii="Arial" w:hAnsi="Arial" w:cs="Arial"/>
          <w:sz w:val="22"/>
          <w:szCs w:val="22"/>
        </w:rPr>
        <w:t>. Boston: Pitman.</w:t>
      </w:r>
    </w:p>
    <w:p w14:paraId="6D703F09" w14:textId="2D31E1B6" w:rsidR="0015132B" w:rsidRPr="005E7AF9" w:rsidRDefault="0015132B" w:rsidP="005E7AF9">
      <w:pPr>
        <w:pStyle w:val="ListParagraph"/>
        <w:numPr>
          <w:ilvl w:val="0"/>
          <w:numId w:val="26"/>
        </w:numPr>
        <w:spacing w:line="360" w:lineRule="auto"/>
        <w:jc w:val="both"/>
        <w:rPr>
          <w:rFonts w:ascii="Arial" w:hAnsi="Arial" w:cs="Arial"/>
          <w:sz w:val="22"/>
          <w:szCs w:val="22"/>
        </w:rPr>
      </w:pPr>
      <w:r w:rsidRPr="005E7AF9">
        <w:rPr>
          <w:rFonts w:ascii="Arial" w:hAnsi="Arial" w:cs="Arial"/>
          <w:sz w:val="22"/>
          <w:szCs w:val="22"/>
        </w:rPr>
        <w:t xml:space="preserve">Griffith, B.A. and Dunham, E.B. (2015). </w:t>
      </w:r>
      <w:r w:rsidRPr="005E7AF9">
        <w:rPr>
          <w:rFonts w:ascii="Arial" w:hAnsi="Arial" w:cs="Arial"/>
          <w:i/>
          <w:iCs/>
          <w:sz w:val="22"/>
          <w:szCs w:val="22"/>
        </w:rPr>
        <w:t>Working in teams: moving from high potential to high performance</w:t>
      </w:r>
      <w:r w:rsidRPr="005E7AF9">
        <w:rPr>
          <w:rFonts w:ascii="Arial" w:hAnsi="Arial" w:cs="Arial"/>
          <w:sz w:val="22"/>
          <w:szCs w:val="22"/>
        </w:rPr>
        <w:t>. Los Angeles: SAGE.</w:t>
      </w:r>
    </w:p>
    <w:p w14:paraId="185A77E1" w14:textId="24392E88" w:rsidR="00E8314D" w:rsidRPr="005E7AF9" w:rsidRDefault="0015132B" w:rsidP="005E7AF9">
      <w:pPr>
        <w:pStyle w:val="ListParagraph"/>
        <w:numPr>
          <w:ilvl w:val="0"/>
          <w:numId w:val="26"/>
        </w:numPr>
        <w:rPr>
          <w:rFonts w:ascii="Arial" w:hAnsi="Arial" w:cs="Arial"/>
          <w:sz w:val="22"/>
          <w:szCs w:val="22"/>
        </w:rPr>
      </w:pPr>
      <w:r w:rsidRPr="005E7AF9">
        <w:rPr>
          <w:rFonts w:ascii="Arial" w:hAnsi="Arial" w:cs="Arial"/>
          <w:sz w:val="22"/>
          <w:szCs w:val="22"/>
        </w:rPr>
        <w:t xml:space="preserve">Haring, M. et al. (2023). Tensions in collaborative innovation in healthcare. </w:t>
      </w:r>
      <w:r w:rsidRPr="005E7AF9">
        <w:rPr>
          <w:rFonts w:ascii="Arial" w:hAnsi="Arial" w:cs="Arial"/>
          <w:i/>
          <w:iCs/>
          <w:sz w:val="22"/>
          <w:szCs w:val="22"/>
        </w:rPr>
        <w:t>BMC Health Services Research,</w:t>
      </w:r>
      <w:r w:rsidRPr="005E7AF9">
        <w:rPr>
          <w:rFonts w:ascii="Arial" w:hAnsi="Arial" w:cs="Arial"/>
          <w:sz w:val="22"/>
          <w:szCs w:val="22"/>
        </w:rPr>
        <w:t xml:space="preserve"> 23(1292).</w:t>
      </w:r>
      <w:r w:rsidR="00E8314D" w:rsidRPr="005E7AF9">
        <w:rPr>
          <w:rFonts w:ascii="Arial" w:hAnsi="Arial" w:cs="Arial"/>
          <w:sz w:val="22"/>
          <w:szCs w:val="22"/>
        </w:rPr>
        <w:t xml:space="preserve"> </w:t>
      </w:r>
      <w:hyperlink r:id="rId23" w:history="1">
        <w:r w:rsidR="00E8314D" w:rsidRPr="005E7AF9">
          <w:rPr>
            <w:rStyle w:val="Hyperlink"/>
            <w:rFonts w:ascii="Arial" w:hAnsi="Arial" w:cs="Arial"/>
            <w:sz w:val="22"/>
            <w:szCs w:val="22"/>
          </w:rPr>
          <w:t>https://doi.org/10.1186/s12913-023-09876-2</w:t>
        </w:r>
      </w:hyperlink>
    </w:p>
    <w:p w14:paraId="062F3A14" w14:textId="61B59F52" w:rsidR="0015132B" w:rsidRPr="0015132B" w:rsidRDefault="0015132B" w:rsidP="0015132B">
      <w:pPr>
        <w:spacing w:line="360" w:lineRule="auto"/>
        <w:jc w:val="both"/>
        <w:rPr>
          <w:rFonts w:ascii="Arial" w:hAnsi="Arial" w:cs="Arial"/>
          <w:sz w:val="22"/>
          <w:szCs w:val="22"/>
        </w:rPr>
      </w:pPr>
    </w:p>
    <w:p w14:paraId="5CD3C3D7" w14:textId="53E575D2" w:rsidR="0015132B" w:rsidRPr="005E7AF9" w:rsidRDefault="0015132B" w:rsidP="005E7AF9">
      <w:pPr>
        <w:pStyle w:val="ListParagraph"/>
        <w:numPr>
          <w:ilvl w:val="0"/>
          <w:numId w:val="26"/>
        </w:numPr>
        <w:spacing w:line="360" w:lineRule="auto"/>
        <w:jc w:val="both"/>
        <w:rPr>
          <w:rFonts w:ascii="Arial" w:hAnsi="Arial" w:cs="Arial"/>
          <w:sz w:val="22"/>
          <w:szCs w:val="22"/>
        </w:rPr>
      </w:pPr>
      <w:r w:rsidRPr="005E7AF9">
        <w:rPr>
          <w:rFonts w:ascii="Arial" w:hAnsi="Arial" w:cs="Arial"/>
          <w:sz w:val="22"/>
          <w:szCs w:val="22"/>
        </w:rPr>
        <w:lastRenderedPageBreak/>
        <w:t xml:space="preserve">Hristov, I. </w:t>
      </w:r>
      <w:proofErr w:type="gramStart"/>
      <w:r w:rsidR="00431D96" w:rsidRPr="005E7AF9">
        <w:rPr>
          <w:rFonts w:ascii="Arial" w:hAnsi="Arial" w:cs="Arial"/>
          <w:sz w:val="22"/>
          <w:szCs w:val="22"/>
        </w:rPr>
        <w:t xml:space="preserve">and </w:t>
      </w:r>
      <w:r w:rsidRPr="005E7AF9">
        <w:rPr>
          <w:rFonts w:ascii="Arial" w:hAnsi="Arial" w:cs="Arial"/>
          <w:sz w:val="22"/>
          <w:szCs w:val="22"/>
        </w:rPr>
        <w:t xml:space="preserve"> </w:t>
      </w:r>
      <w:proofErr w:type="spellStart"/>
      <w:r w:rsidRPr="005E7AF9">
        <w:rPr>
          <w:rFonts w:ascii="Arial" w:hAnsi="Arial" w:cs="Arial"/>
          <w:sz w:val="22"/>
          <w:szCs w:val="22"/>
        </w:rPr>
        <w:t>Appolloni</w:t>
      </w:r>
      <w:proofErr w:type="spellEnd"/>
      <w:proofErr w:type="gramEnd"/>
      <w:r w:rsidRPr="005E7AF9">
        <w:rPr>
          <w:rFonts w:ascii="Arial" w:hAnsi="Arial" w:cs="Arial"/>
          <w:sz w:val="22"/>
          <w:szCs w:val="22"/>
        </w:rPr>
        <w:t>, A. (2022). Stakeholders' engagement in the business strategy as a key driver to increase companies' performance</w:t>
      </w:r>
      <w:r w:rsidRPr="005E7AF9">
        <w:rPr>
          <w:rFonts w:ascii="Arial" w:hAnsi="Arial" w:cs="Arial"/>
          <w:i/>
          <w:iCs/>
          <w:sz w:val="22"/>
          <w:szCs w:val="22"/>
        </w:rPr>
        <w:t>. Business Strategy and the Environment,</w:t>
      </w:r>
      <w:r w:rsidRPr="005E7AF9">
        <w:rPr>
          <w:rFonts w:ascii="Arial" w:hAnsi="Arial" w:cs="Arial"/>
          <w:sz w:val="22"/>
          <w:szCs w:val="22"/>
        </w:rPr>
        <w:t xml:space="preserve"> 31(4), 1488–1503.</w:t>
      </w:r>
      <w:r w:rsidR="00E8314D" w:rsidRPr="00E8314D">
        <w:t xml:space="preserve"> </w:t>
      </w:r>
      <w:hyperlink r:id="rId24" w:history="1">
        <w:r w:rsidR="00E8314D" w:rsidRPr="005E7AF9">
          <w:rPr>
            <w:rStyle w:val="Hyperlink"/>
            <w:rFonts w:ascii="Arial" w:hAnsi="Arial" w:cs="Arial"/>
            <w:sz w:val="22"/>
            <w:szCs w:val="22"/>
          </w:rPr>
          <w:t>https://doi.org/10.1002/bse.2964</w:t>
        </w:r>
      </w:hyperlink>
    </w:p>
    <w:p w14:paraId="430D003F" w14:textId="40D6F7B2" w:rsidR="0015132B" w:rsidRPr="005E7AF9" w:rsidRDefault="0015132B" w:rsidP="005E7AF9">
      <w:pPr>
        <w:pStyle w:val="ListParagraph"/>
        <w:numPr>
          <w:ilvl w:val="0"/>
          <w:numId w:val="26"/>
        </w:numPr>
        <w:spacing w:line="360" w:lineRule="auto"/>
        <w:jc w:val="both"/>
        <w:rPr>
          <w:rFonts w:ascii="Arial" w:hAnsi="Arial" w:cs="Arial"/>
          <w:sz w:val="22"/>
          <w:szCs w:val="22"/>
        </w:rPr>
      </w:pPr>
      <w:r w:rsidRPr="005E7AF9">
        <w:rPr>
          <w:rFonts w:ascii="Arial" w:hAnsi="Arial" w:cs="Arial"/>
          <w:sz w:val="22"/>
          <w:szCs w:val="22"/>
        </w:rPr>
        <w:t xml:space="preserve">Huma (2025) </w:t>
      </w:r>
      <w:r w:rsidRPr="005E7AF9">
        <w:rPr>
          <w:rFonts w:ascii="Arial" w:hAnsi="Arial" w:cs="Arial"/>
          <w:i/>
          <w:iCs/>
          <w:sz w:val="22"/>
          <w:szCs w:val="22"/>
        </w:rPr>
        <w:t>Longer, fuller lives</w:t>
      </w:r>
      <w:r w:rsidRPr="005E7AF9">
        <w:rPr>
          <w:rFonts w:ascii="Arial" w:hAnsi="Arial" w:cs="Arial"/>
          <w:sz w:val="22"/>
          <w:szCs w:val="22"/>
        </w:rPr>
        <w:t xml:space="preserve">. Available at: </w:t>
      </w:r>
      <w:hyperlink r:id="rId25" w:history="1">
        <w:r w:rsidRPr="005E7AF9">
          <w:rPr>
            <w:rStyle w:val="Hyperlink"/>
            <w:rFonts w:ascii="Arial" w:hAnsi="Arial" w:cs="Arial"/>
            <w:sz w:val="22"/>
            <w:szCs w:val="22"/>
          </w:rPr>
          <w:t>https://huma.com/</w:t>
        </w:r>
      </w:hyperlink>
      <w:r w:rsidRPr="005E7AF9">
        <w:rPr>
          <w:rFonts w:ascii="Arial" w:hAnsi="Arial" w:cs="Arial"/>
          <w:sz w:val="22"/>
          <w:szCs w:val="22"/>
        </w:rPr>
        <w:t xml:space="preserve"> (Accessed: 21 October 2025).</w:t>
      </w:r>
    </w:p>
    <w:p w14:paraId="64CF555D" w14:textId="7FBD6B60" w:rsidR="0015132B" w:rsidRPr="005E7AF9" w:rsidRDefault="0015132B" w:rsidP="005E7AF9">
      <w:pPr>
        <w:pStyle w:val="ListParagraph"/>
        <w:numPr>
          <w:ilvl w:val="0"/>
          <w:numId w:val="26"/>
        </w:numPr>
        <w:spacing w:line="360" w:lineRule="auto"/>
        <w:jc w:val="both"/>
        <w:rPr>
          <w:rFonts w:ascii="Arial" w:hAnsi="Arial" w:cs="Arial"/>
          <w:sz w:val="22"/>
          <w:szCs w:val="22"/>
        </w:rPr>
      </w:pPr>
      <w:r w:rsidRPr="005E7AF9">
        <w:rPr>
          <w:rFonts w:ascii="Arial" w:hAnsi="Arial" w:cs="Arial"/>
          <w:sz w:val="22"/>
          <w:szCs w:val="22"/>
        </w:rPr>
        <w:t xml:space="preserve">Huma, (2023a). </w:t>
      </w:r>
      <w:r w:rsidRPr="005E7AF9">
        <w:rPr>
          <w:rFonts w:ascii="Arial" w:hAnsi="Arial" w:cs="Arial"/>
          <w:i/>
          <w:iCs/>
          <w:sz w:val="22"/>
          <w:szCs w:val="22"/>
        </w:rPr>
        <w:t xml:space="preserve">Quality &amp; Regulatory. </w:t>
      </w:r>
      <w:r w:rsidRPr="005E7AF9">
        <w:rPr>
          <w:rFonts w:ascii="Arial" w:hAnsi="Arial" w:cs="Arial"/>
          <w:sz w:val="22"/>
          <w:szCs w:val="22"/>
        </w:rPr>
        <w:t xml:space="preserve">Available at: </w:t>
      </w:r>
      <w:hyperlink r:id="rId26" w:history="1">
        <w:r w:rsidRPr="005E7AF9">
          <w:rPr>
            <w:rStyle w:val="Hyperlink"/>
            <w:rFonts w:ascii="Arial" w:hAnsi="Arial" w:cs="Arial"/>
            <w:sz w:val="22"/>
            <w:szCs w:val="22"/>
          </w:rPr>
          <w:t>https://huma.com/footer/quality-regulatory</w:t>
        </w:r>
      </w:hyperlink>
      <w:r w:rsidRPr="005E7AF9">
        <w:rPr>
          <w:rFonts w:ascii="Arial" w:hAnsi="Arial" w:cs="Arial"/>
          <w:sz w:val="22"/>
          <w:szCs w:val="22"/>
        </w:rPr>
        <w:t xml:space="preserve"> [Accessed 5 November 2025].</w:t>
      </w:r>
    </w:p>
    <w:p w14:paraId="010AC0E2" w14:textId="4DAAF6D3" w:rsidR="0015132B" w:rsidRPr="005E7AF9" w:rsidRDefault="0015132B" w:rsidP="005E7AF9">
      <w:pPr>
        <w:pStyle w:val="ListParagraph"/>
        <w:numPr>
          <w:ilvl w:val="0"/>
          <w:numId w:val="26"/>
        </w:numPr>
        <w:spacing w:line="360" w:lineRule="auto"/>
        <w:jc w:val="both"/>
        <w:rPr>
          <w:rFonts w:ascii="Arial" w:hAnsi="Arial" w:cs="Arial"/>
          <w:sz w:val="22"/>
          <w:szCs w:val="22"/>
        </w:rPr>
      </w:pPr>
      <w:r w:rsidRPr="005E7AF9">
        <w:rPr>
          <w:rFonts w:ascii="Arial" w:hAnsi="Arial" w:cs="Arial"/>
          <w:sz w:val="22"/>
          <w:szCs w:val="22"/>
        </w:rPr>
        <w:t xml:space="preserve">Huma, (2023b). </w:t>
      </w:r>
      <w:r w:rsidRPr="005E7AF9">
        <w:rPr>
          <w:rFonts w:ascii="Arial" w:hAnsi="Arial" w:cs="Arial"/>
          <w:i/>
          <w:iCs/>
          <w:sz w:val="22"/>
          <w:szCs w:val="22"/>
        </w:rPr>
        <w:t>Documentation Portal: Workspace Overview</w:t>
      </w:r>
      <w:r w:rsidRPr="005E7AF9">
        <w:rPr>
          <w:rFonts w:ascii="Arial" w:hAnsi="Arial" w:cs="Arial"/>
          <w:sz w:val="22"/>
          <w:szCs w:val="22"/>
        </w:rPr>
        <w:t xml:space="preserve">. Available at: </w:t>
      </w:r>
      <w:hyperlink r:id="rId27" w:history="1">
        <w:r w:rsidRPr="005E7AF9">
          <w:rPr>
            <w:rStyle w:val="Hyperlink"/>
            <w:rFonts w:ascii="Arial" w:hAnsi="Arial" w:cs="Arial"/>
            <w:sz w:val="22"/>
            <w:szCs w:val="22"/>
          </w:rPr>
          <w:t>https://docs.huma.com/workspace/</w:t>
        </w:r>
      </w:hyperlink>
      <w:r w:rsidRPr="005E7AF9">
        <w:rPr>
          <w:rFonts w:ascii="Arial" w:hAnsi="Arial" w:cs="Arial"/>
          <w:sz w:val="22"/>
          <w:szCs w:val="22"/>
        </w:rPr>
        <w:t xml:space="preserve"> [Accessed 5 November 2025].</w:t>
      </w:r>
    </w:p>
    <w:p w14:paraId="14964764" w14:textId="4F71BD35" w:rsidR="0015132B" w:rsidRPr="005E7AF9" w:rsidRDefault="0015132B" w:rsidP="005E7AF9">
      <w:pPr>
        <w:pStyle w:val="ListParagraph"/>
        <w:numPr>
          <w:ilvl w:val="0"/>
          <w:numId w:val="26"/>
        </w:numPr>
        <w:spacing w:line="360" w:lineRule="auto"/>
        <w:jc w:val="both"/>
        <w:rPr>
          <w:rFonts w:ascii="Arial" w:hAnsi="Arial" w:cs="Arial"/>
          <w:sz w:val="22"/>
          <w:szCs w:val="22"/>
        </w:rPr>
      </w:pPr>
      <w:r w:rsidRPr="005E7AF9">
        <w:rPr>
          <w:rFonts w:ascii="Arial" w:hAnsi="Arial" w:cs="Arial"/>
          <w:sz w:val="22"/>
          <w:szCs w:val="22"/>
        </w:rPr>
        <w:t xml:space="preserve">Huma, (2023c). </w:t>
      </w:r>
      <w:r w:rsidRPr="005E7AF9">
        <w:rPr>
          <w:rFonts w:ascii="Arial" w:hAnsi="Arial" w:cs="Arial"/>
          <w:i/>
          <w:iCs/>
          <w:sz w:val="22"/>
          <w:szCs w:val="22"/>
        </w:rPr>
        <w:t>Software as a Medical Device (SaMD) – Pharma Solutions</w:t>
      </w:r>
      <w:r w:rsidRPr="005E7AF9">
        <w:rPr>
          <w:rFonts w:ascii="Arial" w:hAnsi="Arial" w:cs="Arial"/>
          <w:sz w:val="22"/>
          <w:szCs w:val="22"/>
        </w:rPr>
        <w:t xml:space="preserve">. Available at: </w:t>
      </w:r>
      <w:hyperlink r:id="rId28" w:history="1">
        <w:r w:rsidRPr="005E7AF9">
          <w:rPr>
            <w:rStyle w:val="Hyperlink"/>
            <w:rFonts w:ascii="Arial" w:hAnsi="Arial" w:cs="Arial"/>
            <w:sz w:val="22"/>
            <w:szCs w:val="22"/>
          </w:rPr>
          <w:t>https://huma.com/solutions/software-medical-device-samd-pharma</w:t>
        </w:r>
      </w:hyperlink>
      <w:r w:rsidRPr="005E7AF9">
        <w:rPr>
          <w:rFonts w:ascii="Arial" w:hAnsi="Arial" w:cs="Arial"/>
          <w:sz w:val="22"/>
          <w:szCs w:val="22"/>
        </w:rPr>
        <w:t xml:space="preserve"> [Accessed 5 November 2025].</w:t>
      </w:r>
    </w:p>
    <w:p w14:paraId="643D7E06" w14:textId="4D0AB922" w:rsidR="0015132B" w:rsidRPr="005E7AF9" w:rsidRDefault="0015132B" w:rsidP="005E7AF9">
      <w:pPr>
        <w:pStyle w:val="ListParagraph"/>
        <w:numPr>
          <w:ilvl w:val="0"/>
          <w:numId w:val="26"/>
        </w:numPr>
        <w:spacing w:line="360" w:lineRule="auto"/>
        <w:jc w:val="both"/>
        <w:rPr>
          <w:rFonts w:ascii="Arial" w:hAnsi="Arial" w:cs="Arial"/>
          <w:sz w:val="22"/>
          <w:szCs w:val="22"/>
        </w:rPr>
      </w:pPr>
      <w:r w:rsidRPr="005E7AF9">
        <w:rPr>
          <w:rFonts w:ascii="Arial" w:hAnsi="Arial" w:cs="Arial"/>
          <w:sz w:val="22"/>
          <w:szCs w:val="22"/>
        </w:rPr>
        <w:t xml:space="preserve">Jawad, L. (2024). Security and Privacy in Digital Healthcare Systems: Challenges and Mitigation Strategies. </w:t>
      </w:r>
      <w:r w:rsidRPr="005E7AF9">
        <w:rPr>
          <w:rFonts w:ascii="Arial" w:hAnsi="Arial" w:cs="Arial"/>
          <w:i/>
          <w:iCs/>
          <w:sz w:val="22"/>
          <w:szCs w:val="22"/>
        </w:rPr>
        <w:t>Abhigyan</w:t>
      </w:r>
      <w:r w:rsidRPr="005E7AF9">
        <w:rPr>
          <w:rFonts w:ascii="Arial" w:hAnsi="Arial" w:cs="Arial"/>
          <w:sz w:val="22"/>
          <w:szCs w:val="22"/>
        </w:rPr>
        <w:t xml:space="preserve">, 42(1), pp.23–31. Available at: </w:t>
      </w:r>
      <w:hyperlink r:id="rId29" w:history="1">
        <w:r w:rsidRPr="005E7AF9">
          <w:rPr>
            <w:rStyle w:val="Hyperlink"/>
            <w:rFonts w:ascii="Arial" w:hAnsi="Arial" w:cs="Arial"/>
            <w:sz w:val="22"/>
            <w:szCs w:val="22"/>
          </w:rPr>
          <w:t>https://doi.org/10.1177/09702385241233073</w:t>
        </w:r>
      </w:hyperlink>
      <w:r w:rsidRPr="005E7AF9">
        <w:rPr>
          <w:rFonts w:ascii="Arial" w:hAnsi="Arial" w:cs="Arial"/>
          <w:sz w:val="22"/>
          <w:szCs w:val="22"/>
        </w:rPr>
        <w:t xml:space="preserve"> [Accessed 1 November 2025].</w:t>
      </w:r>
    </w:p>
    <w:p w14:paraId="2618A873" w14:textId="102BC85F" w:rsidR="0015132B" w:rsidRPr="005E7AF9" w:rsidRDefault="0015132B" w:rsidP="005E7AF9">
      <w:pPr>
        <w:pStyle w:val="ListParagraph"/>
        <w:numPr>
          <w:ilvl w:val="0"/>
          <w:numId w:val="26"/>
        </w:numPr>
        <w:spacing w:line="360" w:lineRule="auto"/>
        <w:jc w:val="both"/>
        <w:rPr>
          <w:rFonts w:ascii="Arial" w:hAnsi="Arial" w:cs="Arial"/>
          <w:sz w:val="22"/>
          <w:szCs w:val="22"/>
        </w:rPr>
      </w:pPr>
      <w:r w:rsidRPr="005E7AF9">
        <w:rPr>
          <w:rFonts w:ascii="Arial" w:hAnsi="Arial" w:cs="Arial"/>
          <w:sz w:val="22"/>
          <w:szCs w:val="22"/>
        </w:rPr>
        <w:t xml:space="preserve">Khan, A. and Duncan, D. (2025). Remote Patient Monitoring Applications in Healthcare: Lessons from COVID-19 and </w:t>
      </w:r>
      <w:proofErr w:type="gramStart"/>
      <w:r w:rsidRPr="005E7AF9">
        <w:rPr>
          <w:rFonts w:ascii="Arial" w:hAnsi="Arial" w:cs="Arial"/>
          <w:sz w:val="22"/>
          <w:szCs w:val="22"/>
        </w:rPr>
        <w:t>Beyond</w:t>
      </w:r>
      <w:proofErr w:type="gramEnd"/>
      <w:r w:rsidRPr="005E7AF9">
        <w:rPr>
          <w:rFonts w:ascii="Arial" w:hAnsi="Arial" w:cs="Arial"/>
          <w:sz w:val="22"/>
          <w:szCs w:val="22"/>
        </w:rPr>
        <w:t xml:space="preserve">. </w:t>
      </w:r>
      <w:r w:rsidRPr="005E7AF9">
        <w:rPr>
          <w:rFonts w:ascii="Arial" w:hAnsi="Arial" w:cs="Arial"/>
          <w:i/>
          <w:iCs/>
          <w:sz w:val="22"/>
          <w:szCs w:val="22"/>
        </w:rPr>
        <w:t>Electronics</w:t>
      </w:r>
      <w:r w:rsidRPr="005E7AF9">
        <w:rPr>
          <w:rFonts w:ascii="Arial" w:hAnsi="Arial" w:cs="Arial"/>
          <w:sz w:val="22"/>
          <w:szCs w:val="22"/>
        </w:rPr>
        <w:t xml:space="preserve">, 14(15), p.3084. Available at: </w:t>
      </w:r>
      <w:hyperlink r:id="rId30" w:history="1">
        <w:r w:rsidRPr="005E7AF9">
          <w:rPr>
            <w:rStyle w:val="Hyperlink"/>
            <w:rFonts w:ascii="Arial" w:hAnsi="Arial" w:cs="Arial"/>
            <w:sz w:val="22"/>
            <w:szCs w:val="22"/>
          </w:rPr>
          <w:t>https://doi.org/10.3390/electronics14153084</w:t>
        </w:r>
      </w:hyperlink>
      <w:r w:rsidRPr="005E7AF9">
        <w:rPr>
          <w:rFonts w:ascii="Arial" w:hAnsi="Arial" w:cs="Arial"/>
          <w:sz w:val="22"/>
          <w:szCs w:val="22"/>
        </w:rPr>
        <w:t xml:space="preserve"> [Accessed 1 November 2025].</w:t>
      </w:r>
    </w:p>
    <w:p w14:paraId="1B03141A" w14:textId="0070C65F" w:rsidR="0015132B" w:rsidRPr="005E7AF9" w:rsidRDefault="0015132B" w:rsidP="005E7AF9">
      <w:pPr>
        <w:pStyle w:val="ListParagraph"/>
        <w:numPr>
          <w:ilvl w:val="0"/>
          <w:numId w:val="26"/>
        </w:numPr>
        <w:spacing w:line="360" w:lineRule="auto"/>
        <w:jc w:val="both"/>
        <w:rPr>
          <w:rFonts w:ascii="Arial" w:hAnsi="Arial" w:cs="Arial"/>
          <w:i/>
          <w:iCs/>
          <w:sz w:val="22"/>
          <w:szCs w:val="22"/>
        </w:rPr>
      </w:pPr>
      <w:proofErr w:type="spellStart"/>
      <w:r w:rsidRPr="005E7AF9">
        <w:rPr>
          <w:rFonts w:ascii="Arial" w:hAnsi="Arial" w:cs="Arial"/>
          <w:sz w:val="22"/>
          <w:szCs w:val="22"/>
        </w:rPr>
        <w:t>Khabsa</w:t>
      </w:r>
      <w:proofErr w:type="spellEnd"/>
      <w:r w:rsidRPr="005E7AF9">
        <w:rPr>
          <w:rFonts w:ascii="Arial" w:hAnsi="Arial" w:cs="Arial"/>
          <w:sz w:val="22"/>
          <w:szCs w:val="22"/>
        </w:rPr>
        <w:t xml:space="preserve">, J. et al. (2022). Conflict of interest issues when engaging stakeholders in health and healthcare guideline development: a systematic review. </w:t>
      </w:r>
      <w:r w:rsidRPr="005E7AF9">
        <w:rPr>
          <w:rFonts w:ascii="Arial" w:hAnsi="Arial" w:cs="Arial"/>
          <w:i/>
          <w:iCs/>
          <w:sz w:val="22"/>
          <w:szCs w:val="22"/>
        </w:rPr>
        <w:t>Campbell Systematic Reviews.</w:t>
      </w:r>
      <w:r w:rsidR="001A4823" w:rsidRPr="005E7AF9">
        <w:rPr>
          <w:rFonts w:ascii="Arial" w:hAnsi="Arial" w:cs="Arial"/>
          <w:i/>
          <w:iCs/>
          <w:sz w:val="22"/>
          <w:szCs w:val="22"/>
        </w:rPr>
        <w:t xml:space="preserve"> </w:t>
      </w:r>
      <w:hyperlink r:id="rId31" w:history="1">
        <w:r w:rsidR="001A4823" w:rsidRPr="005E7AF9">
          <w:rPr>
            <w:rStyle w:val="Hyperlink"/>
            <w:rFonts w:ascii="Arial" w:hAnsi="Arial" w:cs="Arial"/>
            <w:sz w:val="22"/>
            <w:szCs w:val="22"/>
          </w:rPr>
          <w:t>https://doi.org/10.1002/cl2.1232</w:t>
        </w:r>
      </w:hyperlink>
    </w:p>
    <w:p w14:paraId="6026F87E" w14:textId="51999533" w:rsidR="0015132B" w:rsidRPr="005E7AF9" w:rsidRDefault="0015132B" w:rsidP="005E7AF9">
      <w:pPr>
        <w:pStyle w:val="ListParagraph"/>
        <w:numPr>
          <w:ilvl w:val="0"/>
          <w:numId w:val="26"/>
        </w:numPr>
        <w:spacing w:line="360" w:lineRule="auto"/>
        <w:jc w:val="both"/>
        <w:rPr>
          <w:rFonts w:ascii="Arial" w:hAnsi="Arial" w:cs="Arial"/>
          <w:sz w:val="22"/>
          <w:szCs w:val="22"/>
        </w:rPr>
      </w:pPr>
      <w:r w:rsidRPr="005E7AF9">
        <w:rPr>
          <w:rFonts w:ascii="Arial" w:hAnsi="Arial" w:cs="Arial"/>
          <w:sz w:val="22"/>
          <w:szCs w:val="22"/>
        </w:rPr>
        <w:t xml:space="preserve">Lindgreen, A. (ed.) (2019). </w:t>
      </w:r>
      <w:r w:rsidRPr="005E7AF9">
        <w:rPr>
          <w:rFonts w:ascii="Arial" w:hAnsi="Arial" w:cs="Arial"/>
          <w:i/>
          <w:iCs/>
          <w:sz w:val="22"/>
          <w:szCs w:val="22"/>
        </w:rPr>
        <w:t>Engaging with stakeholders: a relational perspective on responsible business.</w:t>
      </w:r>
      <w:r w:rsidRPr="005E7AF9">
        <w:rPr>
          <w:rFonts w:ascii="Arial" w:hAnsi="Arial" w:cs="Arial"/>
          <w:sz w:val="22"/>
          <w:szCs w:val="22"/>
        </w:rPr>
        <w:t xml:space="preserve"> Abingdon, Oxon: Routledge, Taylor &amp; Francis Group.</w:t>
      </w:r>
    </w:p>
    <w:p w14:paraId="77BF36D3" w14:textId="17C7B08D" w:rsidR="0015132B" w:rsidRPr="005E7AF9" w:rsidRDefault="0015132B" w:rsidP="005E7AF9">
      <w:pPr>
        <w:pStyle w:val="ListParagraph"/>
        <w:numPr>
          <w:ilvl w:val="0"/>
          <w:numId w:val="26"/>
        </w:numPr>
        <w:spacing w:line="360" w:lineRule="auto"/>
        <w:jc w:val="both"/>
        <w:rPr>
          <w:rFonts w:ascii="Arial" w:hAnsi="Arial" w:cs="Arial"/>
          <w:sz w:val="22"/>
          <w:szCs w:val="22"/>
        </w:rPr>
      </w:pPr>
      <w:r w:rsidRPr="005E7AF9">
        <w:rPr>
          <w:rFonts w:ascii="Arial" w:hAnsi="Arial" w:cs="Arial"/>
          <w:sz w:val="22"/>
          <w:szCs w:val="22"/>
        </w:rPr>
        <w:t xml:space="preserve">Mendelow, A.L. (1991). </w:t>
      </w:r>
      <w:r w:rsidRPr="005E7AF9">
        <w:rPr>
          <w:rFonts w:ascii="Arial" w:hAnsi="Arial" w:cs="Arial"/>
          <w:i/>
          <w:iCs/>
          <w:sz w:val="22"/>
          <w:szCs w:val="22"/>
        </w:rPr>
        <w:t>Environmental scanning: the impact of the stakeholder concept. In: Proceedings of the International Conference on Information Systems</w:t>
      </w:r>
      <w:r w:rsidRPr="005E7AF9">
        <w:rPr>
          <w:rFonts w:ascii="Arial" w:hAnsi="Arial" w:cs="Arial"/>
          <w:sz w:val="22"/>
          <w:szCs w:val="22"/>
        </w:rPr>
        <w:t>. New York: ICIS, pp. 407–417.</w:t>
      </w:r>
    </w:p>
    <w:p w14:paraId="7DA73728" w14:textId="08BDEDD0" w:rsidR="0015132B" w:rsidRPr="005E7AF9" w:rsidRDefault="0015132B" w:rsidP="005E7AF9">
      <w:pPr>
        <w:pStyle w:val="ListParagraph"/>
        <w:numPr>
          <w:ilvl w:val="0"/>
          <w:numId w:val="26"/>
        </w:numPr>
        <w:spacing w:line="360" w:lineRule="auto"/>
        <w:jc w:val="both"/>
        <w:rPr>
          <w:rFonts w:ascii="Arial" w:hAnsi="Arial" w:cs="Arial"/>
          <w:sz w:val="22"/>
          <w:szCs w:val="22"/>
        </w:rPr>
      </w:pPr>
      <w:r w:rsidRPr="005E7AF9">
        <w:rPr>
          <w:rFonts w:ascii="Arial" w:hAnsi="Arial" w:cs="Arial"/>
          <w:sz w:val="22"/>
          <w:szCs w:val="22"/>
        </w:rPr>
        <w:t xml:space="preserve">Mitchell, R.K., Agle, B.R. and Wood, D.J. (1997). Toward a theory of stakeholder identification and salience: Defining the principle of who and what really counts. </w:t>
      </w:r>
      <w:r w:rsidRPr="005E7AF9">
        <w:rPr>
          <w:rFonts w:ascii="Arial" w:hAnsi="Arial" w:cs="Arial"/>
          <w:i/>
          <w:iCs/>
          <w:sz w:val="22"/>
          <w:szCs w:val="22"/>
        </w:rPr>
        <w:t>Academy of Management Review,</w:t>
      </w:r>
      <w:r w:rsidRPr="005E7AF9">
        <w:rPr>
          <w:rFonts w:ascii="Arial" w:hAnsi="Arial" w:cs="Arial"/>
          <w:sz w:val="22"/>
          <w:szCs w:val="22"/>
        </w:rPr>
        <w:t xml:space="preserve"> 22(4), pp.853–886. </w:t>
      </w:r>
      <w:hyperlink r:id="rId32" w:history="1">
        <w:r w:rsidRPr="005E7AF9">
          <w:rPr>
            <w:rStyle w:val="Hyperlink"/>
            <w:rFonts w:ascii="Arial" w:hAnsi="Arial" w:cs="Arial"/>
            <w:sz w:val="22"/>
            <w:szCs w:val="22"/>
          </w:rPr>
          <w:t>https://doi.org/10.5465/amr.1997.9711022105</w:t>
        </w:r>
      </w:hyperlink>
    </w:p>
    <w:p w14:paraId="12FBF923" w14:textId="519E3ADF" w:rsidR="0015132B" w:rsidRPr="005E7AF9" w:rsidRDefault="0015132B" w:rsidP="005E7AF9">
      <w:pPr>
        <w:pStyle w:val="ListParagraph"/>
        <w:numPr>
          <w:ilvl w:val="0"/>
          <w:numId w:val="26"/>
        </w:numPr>
        <w:spacing w:line="360" w:lineRule="auto"/>
        <w:jc w:val="both"/>
        <w:rPr>
          <w:rFonts w:ascii="Arial" w:hAnsi="Arial" w:cs="Arial"/>
          <w:sz w:val="22"/>
          <w:szCs w:val="22"/>
        </w:rPr>
      </w:pPr>
      <w:proofErr w:type="spellStart"/>
      <w:r w:rsidRPr="005E7AF9">
        <w:rPr>
          <w:rFonts w:ascii="Arial" w:hAnsi="Arial" w:cs="Arial"/>
          <w:sz w:val="22"/>
          <w:szCs w:val="22"/>
        </w:rPr>
        <w:t>Namugenyia</w:t>
      </w:r>
      <w:proofErr w:type="spellEnd"/>
      <w:r w:rsidRPr="005E7AF9">
        <w:rPr>
          <w:rFonts w:ascii="Arial" w:hAnsi="Arial" w:cs="Arial"/>
          <w:sz w:val="22"/>
          <w:szCs w:val="22"/>
        </w:rPr>
        <w:t xml:space="preserve">, C., Nimmagadda, S.L. and Reiners, T. (2019) ‘Design of a SWOT analysis model and its evaluation in diverse digital business ecosystem contexts’, 23rd International Conference on Knowledge-Based and Intelligent Information &amp; Engineering Systems, </w:t>
      </w:r>
      <w:r w:rsidRPr="005E7AF9">
        <w:rPr>
          <w:rFonts w:ascii="Arial" w:hAnsi="Arial" w:cs="Arial"/>
          <w:i/>
          <w:iCs/>
          <w:sz w:val="22"/>
          <w:szCs w:val="22"/>
        </w:rPr>
        <w:t>Procedia Computer Science</w:t>
      </w:r>
      <w:r w:rsidRPr="005E7AF9">
        <w:rPr>
          <w:rFonts w:ascii="Arial" w:hAnsi="Arial" w:cs="Arial"/>
          <w:sz w:val="22"/>
          <w:szCs w:val="22"/>
        </w:rPr>
        <w:t>, 159, pp. 1145–1154.</w:t>
      </w:r>
      <w:r w:rsidR="001A4823" w:rsidRPr="005E7AF9">
        <w:rPr>
          <w:rFonts w:ascii="Arial" w:hAnsi="Arial" w:cs="Arial"/>
          <w:sz w:val="22"/>
          <w:szCs w:val="22"/>
        </w:rPr>
        <w:t xml:space="preserve"> </w:t>
      </w:r>
      <w:hyperlink r:id="rId33" w:history="1">
        <w:r w:rsidR="001A4823" w:rsidRPr="005E7AF9">
          <w:rPr>
            <w:rStyle w:val="Hyperlink"/>
            <w:rFonts w:ascii="Arial" w:hAnsi="Arial" w:cs="Arial"/>
            <w:sz w:val="22"/>
            <w:szCs w:val="22"/>
          </w:rPr>
          <w:t>https://doi.org/10.1016/j.procs.2019.09.283</w:t>
        </w:r>
      </w:hyperlink>
    </w:p>
    <w:p w14:paraId="67917413" w14:textId="3E456B75" w:rsidR="0015132B" w:rsidRPr="005E7AF9" w:rsidRDefault="0015132B" w:rsidP="005E7AF9">
      <w:pPr>
        <w:pStyle w:val="ListParagraph"/>
        <w:numPr>
          <w:ilvl w:val="0"/>
          <w:numId w:val="26"/>
        </w:numPr>
        <w:spacing w:line="360" w:lineRule="auto"/>
        <w:jc w:val="both"/>
        <w:rPr>
          <w:rFonts w:ascii="Arial" w:hAnsi="Arial" w:cs="Arial"/>
          <w:sz w:val="22"/>
          <w:szCs w:val="22"/>
        </w:rPr>
      </w:pPr>
      <w:r w:rsidRPr="005E7AF9">
        <w:rPr>
          <w:rFonts w:ascii="Arial" w:hAnsi="Arial" w:cs="Arial"/>
          <w:sz w:val="22"/>
          <w:szCs w:val="22"/>
        </w:rPr>
        <w:lastRenderedPageBreak/>
        <w:t xml:space="preserve">NHS England (2023) </w:t>
      </w:r>
      <w:r w:rsidRPr="005E7AF9">
        <w:rPr>
          <w:rFonts w:ascii="Arial" w:hAnsi="Arial" w:cs="Arial"/>
          <w:i/>
          <w:iCs/>
          <w:sz w:val="22"/>
          <w:szCs w:val="22"/>
        </w:rPr>
        <w:t>The NHS Long Term Plan</w:t>
      </w:r>
      <w:r w:rsidRPr="005E7AF9">
        <w:rPr>
          <w:rFonts w:ascii="Arial" w:hAnsi="Arial" w:cs="Arial"/>
          <w:sz w:val="22"/>
          <w:szCs w:val="22"/>
        </w:rPr>
        <w:t>. Available at: https://www.longtermplan.nhs.uk (Accessed: 07 November 2025).</w:t>
      </w:r>
    </w:p>
    <w:p w14:paraId="521EFE3A" w14:textId="090F7D69" w:rsidR="0015132B" w:rsidRPr="005E7AF9" w:rsidRDefault="0015132B" w:rsidP="005E7AF9">
      <w:pPr>
        <w:pStyle w:val="ListParagraph"/>
        <w:numPr>
          <w:ilvl w:val="0"/>
          <w:numId w:val="26"/>
        </w:numPr>
        <w:spacing w:line="360" w:lineRule="auto"/>
        <w:jc w:val="both"/>
        <w:rPr>
          <w:rFonts w:ascii="Arial" w:hAnsi="Arial" w:cs="Arial"/>
          <w:sz w:val="22"/>
          <w:szCs w:val="22"/>
        </w:rPr>
      </w:pPr>
      <w:r w:rsidRPr="005E7AF9">
        <w:rPr>
          <w:rFonts w:ascii="Arial" w:hAnsi="Arial" w:cs="Arial"/>
          <w:sz w:val="22"/>
          <w:szCs w:val="22"/>
        </w:rPr>
        <w:t xml:space="preserve">NHSX and Kent Surrey Sussex AHSN. (2020). </w:t>
      </w:r>
      <w:r w:rsidRPr="005E7AF9">
        <w:rPr>
          <w:rFonts w:ascii="Arial" w:hAnsi="Arial" w:cs="Arial"/>
          <w:i/>
          <w:iCs/>
          <w:sz w:val="22"/>
          <w:szCs w:val="22"/>
        </w:rPr>
        <w:t xml:space="preserve">Huma: </w:t>
      </w:r>
      <w:proofErr w:type="spellStart"/>
      <w:r w:rsidRPr="005E7AF9">
        <w:rPr>
          <w:rFonts w:ascii="Arial" w:hAnsi="Arial" w:cs="Arial"/>
          <w:i/>
          <w:iCs/>
          <w:sz w:val="22"/>
          <w:szCs w:val="22"/>
        </w:rPr>
        <w:t>Medopad</w:t>
      </w:r>
      <w:proofErr w:type="spellEnd"/>
      <w:r w:rsidRPr="005E7AF9">
        <w:rPr>
          <w:rFonts w:ascii="Arial" w:hAnsi="Arial" w:cs="Arial"/>
          <w:i/>
          <w:iCs/>
          <w:sz w:val="22"/>
          <w:szCs w:val="22"/>
        </w:rPr>
        <w:t>, evaluation of the remote digital care platform. NHS Transformation Directorate</w:t>
      </w:r>
      <w:r w:rsidRPr="005E7AF9">
        <w:rPr>
          <w:rFonts w:ascii="Arial" w:hAnsi="Arial" w:cs="Arial"/>
          <w:sz w:val="22"/>
          <w:szCs w:val="22"/>
        </w:rPr>
        <w:t xml:space="preserve">. Available at: </w:t>
      </w:r>
      <w:hyperlink r:id="rId34" w:history="1">
        <w:r w:rsidRPr="005E7AF9">
          <w:rPr>
            <w:rStyle w:val="Hyperlink"/>
            <w:rFonts w:ascii="Arial" w:hAnsi="Arial" w:cs="Arial"/>
            <w:sz w:val="22"/>
            <w:szCs w:val="22"/>
          </w:rPr>
          <w:t>https://transform.england.nhs.uk/covid-19-response/technology-nhs/huma-medopad-evaluation-remote-digital-care-platform/</w:t>
        </w:r>
      </w:hyperlink>
      <w:r w:rsidRPr="005E7AF9">
        <w:rPr>
          <w:rFonts w:ascii="Arial" w:hAnsi="Arial" w:cs="Arial"/>
          <w:sz w:val="22"/>
          <w:szCs w:val="22"/>
        </w:rPr>
        <w:t xml:space="preserve"> [Accessed 1 November 2025].</w:t>
      </w:r>
    </w:p>
    <w:p w14:paraId="0A0BE48B" w14:textId="637F5579" w:rsidR="0015132B" w:rsidRPr="005E7AF9" w:rsidRDefault="0015132B" w:rsidP="005E7AF9">
      <w:pPr>
        <w:pStyle w:val="ListParagraph"/>
        <w:numPr>
          <w:ilvl w:val="0"/>
          <w:numId w:val="26"/>
        </w:numPr>
        <w:spacing w:line="360" w:lineRule="auto"/>
        <w:jc w:val="both"/>
        <w:rPr>
          <w:rFonts w:ascii="Arial" w:hAnsi="Arial" w:cs="Arial"/>
          <w:sz w:val="22"/>
          <w:szCs w:val="22"/>
        </w:rPr>
      </w:pPr>
      <w:r w:rsidRPr="005E7AF9">
        <w:rPr>
          <w:rFonts w:ascii="Arial" w:hAnsi="Arial" w:cs="Arial"/>
          <w:sz w:val="22"/>
          <w:szCs w:val="22"/>
        </w:rPr>
        <w:t xml:space="preserve">Office for Life Sciences. (2024) </w:t>
      </w:r>
      <w:r w:rsidRPr="005E7AF9">
        <w:rPr>
          <w:rFonts w:ascii="Arial" w:hAnsi="Arial" w:cs="Arial"/>
          <w:i/>
          <w:iCs/>
          <w:sz w:val="22"/>
          <w:szCs w:val="22"/>
        </w:rPr>
        <w:t>Unlocking the potential of UK HealthTech</w:t>
      </w:r>
      <w:r w:rsidRPr="005E7AF9">
        <w:rPr>
          <w:rFonts w:ascii="Arial" w:hAnsi="Arial" w:cs="Arial"/>
          <w:sz w:val="22"/>
          <w:szCs w:val="22"/>
        </w:rPr>
        <w:t xml:space="preserve">. GOV.UK. Available at: </w:t>
      </w:r>
      <w:hyperlink r:id="rId35" w:history="1">
        <w:r w:rsidRPr="005E7AF9">
          <w:rPr>
            <w:rStyle w:val="Hyperlink"/>
            <w:rFonts w:ascii="Arial" w:hAnsi="Arial" w:cs="Arial"/>
            <w:sz w:val="22"/>
            <w:szCs w:val="22"/>
          </w:rPr>
          <w:t>https://www.gov.uk/government/publications/unlocking-the-potential-of-uk-healthtech</w:t>
        </w:r>
      </w:hyperlink>
      <w:r w:rsidRPr="005E7AF9">
        <w:rPr>
          <w:rFonts w:ascii="Arial" w:hAnsi="Arial" w:cs="Arial"/>
          <w:sz w:val="22"/>
          <w:szCs w:val="22"/>
        </w:rPr>
        <w:t xml:space="preserve"> (Accessed: 25 October 2025).</w:t>
      </w:r>
    </w:p>
    <w:p w14:paraId="054B6A70" w14:textId="50634D14" w:rsidR="0015132B" w:rsidRPr="005E7AF9" w:rsidRDefault="0015132B" w:rsidP="005E7AF9">
      <w:pPr>
        <w:pStyle w:val="ListParagraph"/>
        <w:numPr>
          <w:ilvl w:val="0"/>
          <w:numId w:val="26"/>
        </w:numPr>
        <w:spacing w:line="360" w:lineRule="auto"/>
        <w:jc w:val="both"/>
        <w:rPr>
          <w:rFonts w:ascii="Arial" w:hAnsi="Arial" w:cs="Arial"/>
          <w:sz w:val="22"/>
          <w:szCs w:val="22"/>
        </w:rPr>
      </w:pPr>
      <w:r w:rsidRPr="005E7AF9">
        <w:rPr>
          <w:rFonts w:ascii="Arial" w:hAnsi="Arial" w:cs="Arial"/>
          <w:sz w:val="22"/>
          <w:szCs w:val="22"/>
        </w:rPr>
        <w:t xml:space="preserve">Pan, W., Chen, L. and Zhan, W. (2018). PESTEL Analysis of Construction Productivity Enhancement Strategies: A Case Study of Three Economies. </w:t>
      </w:r>
      <w:r w:rsidRPr="005E7AF9">
        <w:rPr>
          <w:rFonts w:ascii="Arial" w:hAnsi="Arial" w:cs="Arial"/>
          <w:i/>
          <w:iCs/>
          <w:sz w:val="22"/>
          <w:szCs w:val="22"/>
        </w:rPr>
        <w:t>Journal of Management in Engineering</w:t>
      </w:r>
      <w:r w:rsidRPr="005E7AF9">
        <w:rPr>
          <w:rFonts w:ascii="Arial" w:hAnsi="Arial" w:cs="Arial"/>
          <w:sz w:val="22"/>
          <w:szCs w:val="22"/>
        </w:rPr>
        <w:t xml:space="preserve">, 35(1). Available at: </w:t>
      </w:r>
      <w:hyperlink r:id="rId36" w:history="1">
        <w:r w:rsidRPr="005E7AF9">
          <w:rPr>
            <w:rStyle w:val="Hyperlink"/>
            <w:rFonts w:ascii="Arial" w:hAnsi="Arial" w:cs="Arial"/>
            <w:sz w:val="22"/>
            <w:szCs w:val="22"/>
          </w:rPr>
          <w:t>https://doi.org/10.1061/(ASCE)ME.1943-5479.0000662</w:t>
        </w:r>
      </w:hyperlink>
      <w:r w:rsidRPr="005E7AF9">
        <w:rPr>
          <w:rFonts w:ascii="Arial" w:hAnsi="Arial" w:cs="Arial"/>
          <w:sz w:val="22"/>
          <w:szCs w:val="22"/>
        </w:rPr>
        <w:t xml:space="preserve"> [Accessed 3 November 2025].</w:t>
      </w:r>
    </w:p>
    <w:p w14:paraId="393EF82B" w14:textId="04AE1065" w:rsidR="0015132B" w:rsidRPr="005E7AF9" w:rsidRDefault="0015132B" w:rsidP="005E7AF9">
      <w:pPr>
        <w:pStyle w:val="ListParagraph"/>
        <w:numPr>
          <w:ilvl w:val="0"/>
          <w:numId w:val="26"/>
        </w:numPr>
        <w:spacing w:line="360" w:lineRule="auto"/>
        <w:jc w:val="both"/>
        <w:rPr>
          <w:rFonts w:ascii="Arial" w:hAnsi="Arial" w:cs="Arial"/>
          <w:sz w:val="22"/>
          <w:szCs w:val="22"/>
        </w:rPr>
      </w:pPr>
      <w:proofErr w:type="spellStart"/>
      <w:r w:rsidRPr="005E7AF9">
        <w:rPr>
          <w:rFonts w:ascii="Arial" w:hAnsi="Arial" w:cs="Arial"/>
          <w:sz w:val="22"/>
          <w:szCs w:val="22"/>
        </w:rPr>
        <w:t>Prebanić</w:t>
      </w:r>
      <w:proofErr w:type="spellEnd"/>
      <w:r w:rsidRPr="005E7AF9">
        <w:rPr>
          <w:rFonts w:ascii="Arial" w:hAnsi="Arial" w:cs="Arial"/>
          <w:sz w:val="22"/>
          <w:szCs w:val="22"/>
        </w:rPr>
        <w:t xml:space="preserve">, K.R. and </w:t>
      </w:r>
      <w:proofErr w:type="spellStart"/>
      <w:r w:rsidRPr="005E7AF9">
        <w:rPr>
          <w:rFonts w:ascii="Arial" w:hAnsi="Arial" w:cs="Arial"/>
          <w:sz w:val="22"/>
          <w:szCs w:val="22"/>
        </w:rPr>
        <w:t>Vukomanović</w:t>
      </w:r>
      <w:proofErr w:type="spellEnd"/>
      <w:r w:rsidRPr="005E7AF9">
        <w:rPr>
          <w:rFonts w:ascii="Arial" w:hAnsi="Arial" w:cs="Arial"/>
          <w:sz w:val="22"/>
          <w:szCs w:val="22"/>
        </w:rPr>
        <w:t xml:space="preserve">, M. (2023). Exploring Stakeholder Engagement Process as the Success Factor for Infrastructure Projects. </w:t>
      </w:r>
      <w:r w:rsidRPr="005E7AF9">
        <w:rPr>
          <w:rFonts w:ascii="Arial" w:hAnsi="Arial" w:cs="Arial"/>
          <w:i/>
          <w:iCs/>
          <w:sz w:val="22"/>
          <w:szCs w:val="22"/>
        </w:rPr>
        <w:t>Buildings</w:t>
      </w:r>
      <w:r w:rsidRPr="005E7AF9">
        <w:rPr>
          <w:rFonts w:ascii="Arial" w:hAnsi="Arial" w:cs="Arial"/>
          <w:sz w:val="22"/>
          <w:szCs w:val="22"/>
        </w:rPr>
        <w:t xml:space="preserve"> (Basel), 13(7), p.1785.</w:t>
      </w:r>
    </w:p>
    <w:p w14:paraId="3FC36D47" w14:textId="0C0F1726" w:rsidR="0015132B" w:rsidRPr="005E7AF9" w:rsidRDefault="0015132B" w:rsidP="005E7AF9">
      <w:pPr>
        <w:pStyle w:val="ListParagraph"/>
        <w:numPr>
          <w:ilvl w:val="0"/>
          <w:numId w:val="26"/>
        </w:numPr>
        <w:spacing w:line="360" w:lineRule="auto"/>
        <w:jc w:val="both"/>
        <w:rPr>
          <w:rFonts w:ascii="Arial" w:hAnsi="Arial" w:cs="Arial"/>
          <w:sz w:val="22"/>
          <w:szCs w:val="22"/>
        </w:rPr>
      </w:pPr>
      <w:r w:rsidRPr="005E7AF9">
        <w:rPr>
          <w:rFonts w:ascii="Arial" w:hAnsi="Arial" w:cs="Arial"/>
          <w:sz w:val="22"/>
          <w:szCs w:val="22"/>
        </w:rPr>
        <w:t xml:space="preserve">Prosser, D. (2024). </w:t>
      </w:r>
      <w:r w:rsidRPr="005E7AF9">
        <w:rPr>
          <w:rFonts w:ascii="Arial" w:hAnsi="Arial" w:cs="Arial"/>
          <w:i/>
          <w:iCs/>
          <w:sz w:val="22"/>
          <w:szCs w:val="22"/>
        </w:rPr>
        <w:t>Huma Raises $80 Million As It Opens Up Its Digital Healthcare Platform. Forbes</w:t>
      </w:r>
      <w:r w:rsidRPr="005E7AF9">
        <w:rPr>
          <w:rFonts w:ascii="Arial" w:hAnsi="Arial" w:cs="Arial"/>
          <w:sz w:val="22"/>
          <w:szCs w:val="22"/>
        </w:rPr>
        <w:t xml:space="preserve">. Available at: </w:t>
      </w:r>
      <w:hyperlink r:id="rId37" w:history="1">
        <w:r w:rsidRPr="005E7AF9">
          <w:rPr>
            <w:rStyle w:val="Hyperlink"/>
            <w:rFonts w:ascii="Arial" w:hAnsi="Arial" w:cs="Arial"/>
            <w:sz w:val="22"/>
            <w:szCs w:val="22"/>
          </w:rPr>
          <w:t>https://www.forbes.com/sites/davidprosser/2024/07/16/huma-raises-80-million-as-it-opens-up-its-digital-healthcare-platform/</w:t>
        </w:r>
      </w:hyperlink>
      <w:r w:rsidRPr="005E7AF9">
        <w:rPr>
          <w:rFonts w:ascii="Arial" w:hAnsi="Arial" w:cs="Arial"/>
          <w:sz w:val="22"/>
          <w:szCs w:val="22"/>
        </w:rPr>
        <w:t xml:space="preserve"> [Accessed 1 November 2025].</w:t>
      </w:r>
    </w:p>
    <w:p w14:paraId="47440699" w14:textId="1A65C6AB" w:rsidR="0015132B" w:rsidRPr="005E7AF9" w:rsidRDefault="0015132B" w:rsidP="005E7AF9">
      <w:pPr>
        <w:pStyle w:val="ListParagraph"/>
        <w:numPr>
          <w:ilvl w:val="0"/>
          <w:numId w:val="26"/>
        </w:numPr>
        <w:spacing w:line="360" w:lineRule="auto"/>
        <w:jc w:val="both"/>
        <w:rPr>
          <w:rFonts w:ascii="Arial" w:hAnsi="Arial" w:cs="Arial"/>
          <w:sz w:val="22"/>
          <w:szCs w:val="22"/>
        </w:rPr>
      </w:pPr>
      <w:r w:rsidRPr="005E7AF9">
        <w:rPr>
          <w:rFonts w:ascii="Arial" w:hAnsi="Arial" w:cs="Arial"/>
          <w:sz w:val="22"/>
          <w:szCs w:val="22"/>
        </w:rPr>
        <w:t xml:space="preserve">Quintanilla, K.M. and Wahl, S.T. (2020). </w:t>
      </w:r>
      <w:r w:rsidRPr="005E7AF9">
        <w:rPr>
          <w:rFonts w:ascii="Arial" w:hAnsi="Arial" w:cs="Arial"/>
          <w:i/>
          <w:iCs/>
          <w:sz w:val="22"/>
          <w:szCs w:val="22"/>
        </w:rPr>
        <w:t>Business and professional communication: KEYS for workplace excellence.</w:t>
      </w:r>
      <w:r w:rsidRPr="005E7AF9">
        <w:rPr>
          <w:rFonts w:ascii="Arial" w:hAnsi="Arial" w:cs="Arial"/>
          <w:sz w:val="22"/>
          <w:szCs w:val="22"/>
        </w:rPr>
        <w:t xml:space="preserve"> 4th ed. Los Angeles: SAGE.</w:t>
      </w:r>
    </w:p>
    <w:p w14:paraId="17BDF234" w14:textId="4D8348A4" w:rsidR="0015132B" w:rsidRPr="005E7AF9" w:rsidRDefault="0015132B" w:rsidP="005E7AF9">
      <w:pPr>
        <w:pStyle w:val="ListParagraph"/>
        <w:numPr>
          <w:ilvl w:val="0"/>
          <w:numId w:val="26"/>
        </w:numPr>
        <w:spacing w:line="360" w:lineRule="auto"/>
        <w:jc w:val="both"/>
        <w:rPr>
          <w:rFonts w:ascii="Arial" w:hAnsi="Arial" w:cs="Arial"/>
          <w:sz w:val="22"/>
          <w:szCs w:val="22"/>
        </w:rPr>
      </w:pPr>
      <w:r w:rsidRPr="005E7AF9">
        <w:rPr>
          <w:rFonts w:ascii="Arial" w:hAnsi="Arial" w:cs="Arial"/>
          <w:sz w:val="22"/>
          <w:szCs w:val="22"/>
        </w:rPr>
        <w:t xml:space="preserve">Rajhans, K. (2018). Effective communication management: a key to stakeholder relationship management in project-based organizations. </w:t>
      </w:r>
      <w:r w:rsidRPr="005E7AF9">
        <w:rPr>
          <w:rFonts w:ascii="Arial" w:hAnsi="Arial" w:cs="Arial"/>
          <w:i/>
          <w:iCs/>
          <w:sz w:val="22"/>
          <w:szCs w:val="22"/>
        </w:rPr>
        <w:t>The ICFAI Journal of Soft Skills</w:t>
      </w:r>
      <w:r w:rsidRPr="005E7AF9">
        <w:rPr>
          <w:rFonts w:ascii="Arial" w:hAnsi="Arial" w:cs="Arial"/>
          <w:sz w:val="22"/>
          <w:szCs w:val="22"/>
        </w:rPr>
        <w:t>, 12(4), pp.47–66.</w:t>
      </w:r>
    </w:p>
    <w:p w14:paraId="6D016777" w14:textId="36304913" w:rsidR="0015132B" w:rsidRPr="005E7AF9" w:rsidRDefault="0015132B" w:rsidP="005E7AF9">
      <w:pPr>
        <w:pStyle w:val="ListParagraph"/>
        <w:numPr>
          <w:ilvl w:val="0"/>
          <w:numId w:val="26"/>
        </w:numPr>
        <w:spacing w:line="360" w:lineRule="auto"/>
        <w:jc w:val="both"/>
        <w:rPr>
          <w:rFonts w:ascii="Arial" w:hAnsi="Arial" w:cs="Arial"/>
          <w:sz w:val="22"/>
          <w:szCs w:val="22"/>
        </w:rPr>
      </w:pPr>
      <w:r w:rsidRPr="005E7AF9">
        <w:rPr>
          <w:rFonts w:ascii="Arial" w:hAnsi="Arial" w:cs="Arial"/>
          <w:sz w:val="22"/>
          <w:szCs w:val="22"/>
        </w:rPr>
        <w:t>Shaw, A., Elliott, B. and Dunhill, A. (2009</w:t>
      </w:r>
      <w:r w:rsidRPr="005E7AF9">
        <w:rPr>
          <w:rFonts w:ascii="Arial" w:hAnsi="Arial" w:cs="Arial"/>
          <w:i/>
          <w:iCs/>
          <w:sz w:val="22"/>
          <w:szCs w:val="22"/>
        </w:rPr>
        <w:t>). Effective communication and engagement with children and young people, their families and carers</w:t>
      </w:r>
      <w:r w:rsidRPr="005E7AF9">
        <w:rPr>
          <w:rFonts w:ascii="Arial" w:hAnsi="Arial" w:cs="Arial"/>
          <w:sz w:val="22"/>
          <w:szCs w:val="22"/>
        </w:rPr>
        <w:t>. Exeter: Learning Matters.</w:t>
      </w:r>
    </w:p>
    <w:p w14:paraId="53CDEBCA" w14:textId="77777777" w:rsidR="005E7AF9" w:rsidRPr="005E7AF9" w:rsidRDefault="0015132B" w:rsidP="005E7AF9">
      <w:pPr>
        <w:pStyle w:val="ListParagraph"/>
        <w:numPr>
          <w:ilvl w:val="0"/>
          <w:numId w:val="26"/>
        </w:numPr>
        <w:spacing w:line="360" w:lineRule="auto"/>
        <w:jc w:val="both"/>
        <w:rPr>
          <w:rFonts w:ascii="Arial" w:hAnsi="Arial" w:cs="Arial"/>
          <w:sz w:val="22"/>
          <w:szCs w:val="22"/>
        </w:rPr>
      </w:pPr>
      <w:r w:rsidRPr="005E7AF9">
        <w:rPr>
          <w:rFonts w:ascii="Arial" w:hAnsi="Arial" w:cs="Arial"/>
          <w:sz w:val="22"/>
          <w:szCs w:val="22"/>
        </w:rPr>
        <w:t xml:space="preserve">UK Tech Investment News. (2024) Huma secures £61.7 million Series D Investment from investors including AstraZeneca. Available at: </w:t>
      </w:r>
      <w:hyperlink r:id="rId38" w:history="1">
        <w:r w:rsidRPr="005E7AF9">
          <w:rPr>
            <w:rStyle w:val="Hyperlink"/>
            <w:rFonts w:ascii="Arial" w:hAnsi="Arial" w:cs="Arial"/>
            <w:sz w:val="22"/>
            <w:szCs w:val="22"/>
          </w:rPr>
          <w:t>https://www.uktechnews.info/2024/07/16/huma-secures-61-7-million-series-d-investment-from-investors-including-astrazeneca</w:t>
        </w:r>
      </w:hyperlink>
      <w:r w:rsidRPr="005E7AF9">
        <w:rPr>
          <w:rFonts w:ascii="Arial" w:hAnsi="Arial" w:cs="Arial"/>
          <w:sz w:val="22"/>
          <w:szCs w:val="22"/>
        </w:rPr>
        <w:t xml:space="preserve"> (Accessed: 25 October 2025).</w:t>
      </w:r>
    </w:p>
    <w:p w14:paraId="46412F64" w14:textId="0B16C87B" w:rsidR="005E7AF9" w:rsidRPr="005E7AF9" w:rsidRDefault="005E7AF9" w:rsidP="005E7AF9">
      <w:pPr>
        <w:pStyle w:val="ListParagraph"/>
        <w:numPr>
          <w:ilvl w:val="0"/>
          <w:numId w:val="26"/>
        </w:numPr>
        <w:spacing w:line="360" w:lineRule="auto"/>
        <w:jc w:val="both"/>
        <w:rPr>
          <w:rFonts w:ascii="Arial" w:hAnsi="Arial" w:cs="Arial"/>
          <w:sz w:val="22"/>
          <w:szCs w:val="22"/>
        </w:rPr>
      </w:pPr>
      <w:r w:rsidRPr="005E7AF9">
        <w:rPr>
          <w:rFonts w:ascii="Arial" w:hAnsi="Arial" w:cs="Arial"/>
          <w:sz w:val="22"/>
          <w:szCs w:val="22"/>
        </w:rPr>
        <w:t xml:space="preserve">Forti, V., Baldé, C.P., </w:t>
      </w:r>
      <w:proofErr w:type="spellStart"/>
      <w:r w:rsidRPr="005E7AF9">
        <w:rPr>
          <w:rFonts w:ascii="Arial" w:hAnsi="Arial" w:cs="Arial"/>
          <w:sz w:val="22"/>
          <w:szCs w:val="22"/>
        </w:rPr>
        <w:t>Kuehr</w:t>
      </w:r>
      <w:proofErr w:type="spellEnd"/>
      <w:r w:rsidRPr="005E7AF9">
        <w:rPr>
          <w:rFonts w:ascii="Arial" w:hAnsi="Arial" w:cs="Arial"/>
          <w:sz w:val="22"/>
          <w:szCs w:val="22"/>
        </w:rPr>
        <w:t xml:space="preserve">, R. and Bel, G. (2020). </w:t>
      </w:r>
      <w:r w:rsidRPr="005E7AF9">
        <w:rPr>
          <w:rFonts w:ascii="Arial" w:hAnsi="Arial" w:cs="Arial"/>
          <w:i/>
          <w:iCs/>
          <w:sz w:val="22"/>
          <w:szCs w:val="22"/>
        </w:rPr>
        <w:t>The Global E-waste Monitor 2020: Quantities, flows and the circular economy potential.</w:t>
      </w:r>
      <w:r w:rsidRPr="005E7AF9">
        <w:rPr>
          <w:rFonts w:ascii="Arial" w:hAnsi="Arial" w:cs="Arial"/>
          <w:sz w:val="22"/>
          <w:szCs w:val="22"/>
        </w:rPr>
        <w:t xml:space="preserve"> Bonn/Geneva/Rotterdam: United Nations University (UNU), United Nations Institute for Training and Research (UNITAR), International Telecommunication Union (ITU) </w:t>
      </w:r>
      <w:r w:rsidRPr="005E7AF9">
        <w:rPr>
          <w:rFonts w:ascii="Arial" w:hAnsi="Arial" w:cs="Arial"/>
          <w:sz w:val="22"/>
          <w:szCs w:val="22"/>
        </w:rPr>
        <w:t>and</w:t>
      </w:r>
      <w:r w:rsidRPr="005E7AF9">
        <w:rPr>
          <w:rFonts w:ascii="Arial" w:hAnsi="Arial" w:cs="Arial"/>
          <w:sz w:val="22"/>
          <w:szCs w:val="22"/>
        </w:rPr>
        <w:t xml:space="preserve"> International Solid Waste Association (ISWA). Available at: </w:t>
      </w:r>
      <w:hyperlink r:id="rId39" w:history="1">
        <w:r w:rsidRPr="005E7AF9">
          <w:rPr>
            <w:rStyle w:val="Hyperlink"/>
            <w:rFonts w:ascii="Arial" w:hAnsi="Arial" w:cs="Arial"/>
            <w:sz w:val="22"/>
            <w:szCs w:val="22"/>
          </w:rPr>
          <w:t>https://ewastemonitor.info/gem-2020/</w:t>
        </w:r>
      </w:hyperlink>
      <w:r w:rsidRPr="005E7AF9">
        <w:rPr>
          <w:rFonts w:ascii="Arial" w:hAnsi="Arial" w:cs="Arial"/>
          <w:sz w:val="22"/>
          <w:szCs w:val="22"/>
        </w:rPr>
        <w:t xml:space="preserve"> (Accessed: 25 October 2025).</w:t>
      </w:r>
    </w:p>
    <w:sectPr w:rsidR="005E7AF9" w:rsidRPr="005E7AF9" w:rsidSect="000953C9">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014E6B" w14:textId="77777777" w:rsidR="00723A58" w:rsidRPr="0015132B" w:rsidRDefault="00723A58" w:rsidP="00FE4C56">
      <w:pPr>
        <w:spacing w:after="0" w:line="240" w:lineRule="auto"/>
      </w:pPr>
      <w:r w:rsidRPr="0015132B">
        <w:separator/>
      </w:r>
    </w:p>
  </w:endnote>
  <w:endnote w:type="continuationSeparator" w:id="0">
    <w:p w14:paraId="6B5869A7" w14:textId="77777777" w:rsidR="00723A58" w:rsidRPr="0015132B" w:rsidRDefault="00723A58" w:rsidP="00FE4C56">
      <w:pPr>
        <w:spacing w:after="0" w:line="240" w:lineRule="auto"/>
      </w:pPr>
      <w:r w:rsidRPr="0015132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ova">
    <w:panose1 w:val="020B0504020202020204"/>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504111"/>
      <w:docPartObj>
        <w:docPartGallery w:val="Page Numbers (Bottom of Page)"/>
        <w:docPartUnique/>
      </w:docPartObj>
    </w:sdtPr>
    <w:sdtContent>
      <w:p w14:paraId="4DD6A5F8" w14:textId="308BFF0C" w:rsidR="00FE4C56" w:rsidRPr="0015132B" w:rsidRDefault="00FE4C56">
        <w:pPr>
          <w:pStyle w:val="Footer"/>
          <w:jc w:val="center"/>
        </w:pPr>
        <w:r w:rsidRPr="0015132B">
          <w:fldChar w:fldCharType="begin"/>
        </w:r>
        <w:r w:rsidRPr="0015132B">
          <w:instrText>PAGE   \* MERGEFORMAT</w:instrText>
        </w:r>
        <w:r w:rsidRPr="0015132B">
          <w:fldChar w:fldCharType="separate"/>
        </w:r>
        <w:r w:rsidRPr="0015132B">
          <w:t>2</w:t>
        </w:r>
        <w:r w:rsidRPr="0015132B">
          <w:fldChar w:fldCharType="end"/>
        </w:r>
      </w:p>
    </w:sdtContent>
  </w:sdt>
  <w:p w14:paraId="05B92577" w14:textId="77777777" w:rsidR="00FE4C56" w:rsidRPr="0015132B" w:rsidRDefault="00FE4C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9D784D" w14:textId="77777777" w:rsidR="00723A58" w:rsidRPr="0015132B" w:rsidRDefault="00723A58" w:rsidP="00FE4C56">
      <w:pPr>
        <w:spacing w:after="0" w:line="240" w:lineRule="auto"/>
      </w:pPr>
      <w:r w:rsidRPr="0015132B">
        <w:separator/>
      </w:r>
    </w:p>
  </w:footnote>
  <w:footnote w:type="continuationSeparator" w:id="0">
    <w:p w14:paraId="71EB5C20" w14:textId="77777777" w:rsidR="00723A58" w:rsidRPr="0015132B" w:rsidRDefault="00723A58" w:rsidP="00FE4C56">
      <w:pPr>
        <w:spacing w:after="0" w:line="240" w:lineRule="auto"/>
      </w:pPr>
      <w:r w:rsidRPr="0015132B">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E48A4"/>
    <w:multiLevelType w:val="hybridMultilevel"/>
    <w:tmpl w:val="DAD006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9A48BB"/>
    <w:multiLevelType w:val="hybridMultilevel"/>
    <w:tmpl w:val="636EEBE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8C16225"/>
    <w:multiLevelType w:val="hybridMultilevel"/>
    <w:tmpl w:val="08D89864"/>
    <w:lvl w:ilvl="0" w:tplc="08090001">
      <w:start w:val="1"/>
      <w:numFmt w:val="bullet"/>
      <w:lvlText w:val=""/>
      <w:lvlJc w:val="left"/>
      <w:pPr>
        <w:ind w:left="720" w:hanging="360"/>
      </w:pPr>
      <w:rPr>
        <w:rFonts w:ascii="Symbol" w:hAnsi="Symbol" w:hint="default"/>
      </w:rPr>
    </w:lvl>
    <w:lvl w:ilvl="1" w:tplc="C67291A0">
      <w:numFmt w:val="bullet"/>
      <w:lvlText w:val="•"/>
      <w:lvlJc w:val="left"/>
      <w:pPr>
        <w:ind w:left="1800" w:hanging="72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7A6DE0"/>
    <w:multiLevelType w:val="hybridMultilevel"/>
    <w:tmpl w:val="E39EA01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202728BE"/>
    <w:multiLevelType w:val="hybridMultilevel"/>
    <w:tmpl w:val="DDBCFA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695468"/>
    <w:multiLevelType w:val="multilevel"/>
    <w:tmpl w:val="E56AC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9D6CB6"/>
    <w:multiLevelType w:val="hybridMultilevel"/>
    <w:tmpl w:val="AFC4918A"/>
    <w:lvl w:ilvl="0" w:tplc="0809000D">
      <w:start w:val="1"/>
      <w:numFmt w:val="bullet"/>
      <w:lvlText w:val=""/>
      <w:lvlJc w:val="left"/>
      <w:pPr>
        <w:ind w:left="720" w:hanging="360"/>
      </w:pPr>
      <w:rPr>
        <w:rFonts w:ascii="Wingdings" w:hAnsi="Wingdings" w:hint="default"/>
      </w:rPr>
    </w:lvl>
    <w:lvl w:ilvl="1" w:tplc="01F6B70C">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EA5025"/>
    <w:multiLevelType w:val="hybridMultilevel"/>
    <w:tmpl w:val="CA743C5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CF1EA2"/>
    <w:multiLevelType w:val="hybridMultilevel"/>
    <w:tmpl w:val="FAA8A4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356273"/>
    <w:multiLevelType w:val="hybridMultilevel"/>
    <w:tmpl w:val="9F5287E0"/>
    <w:lvl w:ilvl="0" w:tplc="CEE8423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E83C1B"/>
    <w:multiLevelType w:val="hybridMultilevel"/>
    <w:tmpl w:val="52A86E3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B10DF7"/>
    <w:multiLevelType w:val="hybridMultilevel"/>
    <w:tmpl w:val="F762183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DF07ED"/>
    <w:multiLevelType w:val="hybridMultilevel"/>
    <w:tmpl w:val="6C22DE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DB2709A"/>
    <w:multiLevelType w:val="hybridMultilevel"/>
    <w:tmpl w:val="46D61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9F72C2"/>
    <w:multiLevelType w:val="hybridMultilevel"/>
    <w:tmpl w:val="0D2A6722"/>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54797639"/>
    <w:multiLevelType w:val="hybridMultilevel"/>
    <w:tmpl w:val="FE1C0C6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C8151A"/>
    <w:multiLevelType w:val="hybridMultilevel"/>
    <w:tmpl w:val="153889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3545808"/>
    <w:multiLevelType w:val="hybridMultilevel"/>
    <w:tmpl w:val="8CFE771C"/>
    <w:lvl w:ilvl="0" w:tplc="49B884B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C30E88"/>
    <w:multiLevelType w:val="hybridMultilevel"/>
    <w:tmpl w:val="645234B4"/>
    <w:lvl w:ilvl="0" w:tplc="0809000D">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9FE7980"/>
    <w:multiLevelType w:val="hybridMultilevel"/>
    <w:tmpl w:val="D9B6C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A550BAE"/>
    <w:multiLevelType w:val="hybridMultilevel"/>
    <w:tmpl w:val="8DB016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837757"/>
    <w:multiLevelType w:val="hybridMultilevel"/>
    <w:tmpl w:val="538A2E3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EDC2B11"/>
    <w:multiLevelType w:val="hybridMultilevel"/>
    <w:tmpl w:val="79E496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47213CA"/>
    <w:multiLevelType w:val="hybridMultilevel"/>
    <w:tmpl w:val="B69E5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47A43CA"/>
    <w:multiLevelType w:val="hybridMultilevel"/>
    <w:tmpl w:val="CBF2898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738706E"/>
    <w:multiLevelType w:val="hybridMultilevel"/>
    <w:tmpl w:val="032874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2062379">
    <w:abstractNumId w:val="4"/>
  </w:num>
  <w:num w:numId="2" w16cid:durableId="462697051">
    <w:abstractNumId w:val="16"/>
  </w:num>
  <w:num w:numId="3" w16cid:durableId="1099906416">
    <w:abstractNumId w:val="22"/>
  </w:num>
  <w:num w:numId="4" w16cid:durableId="16154041">
    <w:abstractNumId w:val="19"/>
  </w:num>
  <w:num w:numId="5" w16cid:durableId="1879967314">
    <w:abstractNumId w:val="2"/>
  </w:num>
  <w:num w:numId="6" w16cid:durableId="2144301326">
    <w:abstractNumId w:val="25"/>
  </w:num>
  <w:num w:numId="7" w16cid:durableId="230971069">
    <w:abstractNumId w:val="9"/>
  </w:num>
  <w:num w:numId="8" w16cid:durableId="1800025764">
    <w:abstractNumId w:val="3"/>
  </w:num>
  <w:num w:numId="9" w16cid:durableId="1797681128">
    <w:abstractNumId w:val="15"/>
  </w:num>
  <w:num w:numId="10" w16cid:durableId="350452903">
    <w:abstractNumId w:val="23"/>
  </w:num>
  <w:num w:numId="11" w16cid:durableId="332220539">
    <w:abstractNumId w:val="13"/>
  </w:num>
  <w:num w:numId="12" w16cid:durableId="704989515">
    <w:abstractNumId w:val="24"/>
  </w:num>
  <w:num w:numId="13" w16cid:durableId="1939095510">
    <w:abstractNumId w:val="10"/>
  </w:num>
  <w:num w:numId="14" w16cid:durableId="241136676">
    <w:abstractNumId w:val="18"/>
  </w:num>
  <w:num w:numId="15" w16cid:durableId="467014193">
    <w:abstractNumId w:val="6"/>
  </w:num>
  <w:num w:numId="16" w16cid:durableId="388386492">
    <w:abstractNumId w:val="11"/>
  </w:num>
  <w:num w:numId="17" w16cid:durableId="998922418">
    <w:abstractNumId w:val="21"/>
  </w:num>
  <w:num w:numId="18" w16cid:durableId="972171917">
    <w:abstractNumId w:val="7"/>
  </w:num>
  <w:num w:numId="19" w16cid:durableId="496458853">
    <w:abstractNumId w:val="20"/>
  </w:num>
  <w:num w:numId="20" w16cid:durableId="203754247">
    <w:abstractNumId w:val="8"/>
  </w:num>
  <w:num w:numId="21" w16cid:durableId="1961065486">
    <w:abstractNumId w:val="0"/>
  </w:num>
  <w:num w:numId="22" w16cid:durableId="1431075230">
    <w:abstractNumId w:val="14"/>
  </w:num>
  <w:num w:numId="23" w16cid:durableId="1410999776">
    <w:abstractNumId w:val="5"/>
  </w:num>
  <w:num w:numId="24" w16cid:durableId="687634664">
    <w:abstractNumId w:val="1"/>
  </w:num>
  <w:num w:numId="25" w16cid:durableId="1993365080">
    <w:abstractNumId w:val="17"/>
  </w:num>
  <w:num w:numId="26" w16cid:durableId="104198158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E34"/>
    <w:rsid w:val="0002196B"/>
    <w:rsid w:val="00022A8C"/>
    <w:rsid w:val="00025F6D"/>
    <w:rsid w:val="000304F6"/>
    <w:rsid w:val="00046D1B"/>
    <w:rsid w:val="00050291"/>
    <w:rsid w:val="00060206"/>
    <w:rsid w:val="00064AB5"/>
    <w:rsid w:val="00070934"/>
    <w:rsid w:val="00075D2F"/>
    <w:rsid w:val="00076D76"/>
    <w:rsid w:val="00077C88"/>
    <w:rsid w:val="00077E29"/>
    <w:rsid w:val="00086C61"/>
    <w:rsid w:val="00087531"/>
    <w:rsid w:val="00090722"/>
    <w:rsid w:val="000953C9"/>
    <w:rsid w:val="000A2DBB"/>
    <w:rsid w:val="000B0BA9"/>
    <w:rsid w:val="000C5AE4"/>
    <w:rsid w:val="000D0BD2"/>
    <w:rsid w:val="000D21C8"/>
    <w:rsid w:val="000E5F7A"/>
    <w:rsid w:val="000E750D"/>
    <w:rsid w:val="000F2B24"/>
    <w:rsid w:val="000F49AD"/>
    <w:rsid w:val="000F4A31"/>
    <w:rsid w:val="000F7BA0"/>
    <w:rsid w:val="00101A1D"/>
    <w:rsid w:val="001253EE"/>
    <w:rsid w:val="00127DFE"/>
    <w:rsid w:val="00130E99"/>
    <w:rsid w:val="00131938"/>
    <w:rsid w:val="00140A35"/>
    <w:rsid w:val="00142745"/>
    <w:rsid w:val="00150E91"/>
    <w:rsid w:val="0015132B"/>
    <w:rsid w:val="0016671E"/>
    <w:rsid w:val="00195044"/>
    <w:rsid w:val="001A24C8"/>
    <w:rsid w:val="001A2F9B"/>
    <w:rsid w:val="001A4823"/>
    <w:rsid w:val="001A4937"/>
    <w:rsid w:val="001A7F92"/>
    <w:rsid w:val="001C1414"/>
    <w:rsid w:val="001C2792"/>
    <w:rsid w:val="001D67D5"/>
    <w:rsid w:val="001D6CC4"/>
    <w:rsid w:val="0020083A"/>
    <w:rsid w:val="002138DA"/>
    <w:rsid w:val="00213D34"/>
    <w:rsid w:val="002154D1"/>
    <w:rsid w:val="00222804"/>
    <w:rsid w:val="00223AA5"/>
    <w:rsid w:val="002368A1"/>
    <w:rsid w:val="00245155"/>
    <w:rsid w:val="002528B5"/>
    <w:rsid w:val="002632AB"/>
    <w:rsid w:val="0026446F"/>
    <w:rsid w:val="002851D0"/>
    <w:rsid w:val="002A7F94"/>
    <w:rsid w:val="002B2AE0"/>
    <w:rsid w:val="002C525F"/>
    <w:rsid w:val="002C5C41"/>
    <w:rsid w:val="002D52B0"/>
    <w:rsid w:val="00306439"/>
    <w:rsid w:val="00307933"/>
    <w:rsid w:val="003173EE"/>
    <w:rsid w:val="00332672"/>
    <w:rsid w:val="0036094E"/>
    <w:rsid w:val="003609E0"/>
    <w:rsid w:val="00366F4B"/>
    <w:rsid w:val="003811FF"/>
    <w:rsid w:val="0038731F"/>
    <w:rsid w:val="0038792A"/>
    <w:rsid w:val="0039767E"/>
    <w:rsid w:val="003A44C5"/>
    <w:rsid w:val="003B64DE"/>
    <w:rsid w:val="003D636B"/>
    <w:rsid w:val="003E3D05"/>
    <w:rsid w:val="003E455D"/>
    <w:rsid w:val="003E4E52"/>
    <w:rsid w:val="003F3A6B"/>
    <w:rsid w:val="00404618"/>
    <w:rsid w:val="00411D88"/>
    <w:rsid w:val="004218BD"/>
    <w:rsid w:val="00423761"/>
    <w:rsid w:val="004302AB"/>
    <w:rsid w:val="00431D96"/>
    <w:rsid w:val="00442A7D"/>
    <w:rsid w:val="00443342"/>
    <w:rsid w:val="0045221A"/>
    <w:rsid w:val="00456051"/>
    <w:rsid w:val="004679B4"/>
    <w:rsid w:val="00471021"/>
    <w:rsid w:val="00480119"/>
    <w:rsid w:val="004802A9"/>
    <w:rsid w:val="00484399"/>
    <w:rsid w:val="00485AF2"/>
    <w:rsid w:val="00490D35"/>
    <w:rsid w:val="004A4FE3"/>
    <w:rsid w:val="004B44CE"/>
    <w:rsid w:val="004C5F01"/>
    <w:rsid w:val="004E17F9"/>
    <w:rsid w:val="004E2BC0"/>
    <w:rsid w:val="005075D0"/>
    <w:rsid w:val="00511ABA"/>
    <w:rsid w:val="00522BD8"/>
    <w:rsid w:val="0052340B"/>
    <w:rsid w:val="005300B1"/>
    <w:rsid w:val="005443ED"/>
    <w:rsid w:val="0054627B"/>
    <w:rsid w:val="00547E34"/>
    <w:rsid w:val="00555E2C"/>
    <w:rsid w:val="00584F30"/>
    <w:rsid w:val="005867C8"/>
    <w:rsid w:val="005925D1"/>
    <w:rsid w:val="00592FA2"/>
    <w:rsid w:val="005A66D7"/>
    <w:rsid w:val="005A7DB8"/>
    <w:rsid w:val="005B0B01"/>
    <w:rsid w:val="005C0ADE"/>
    <w:rsid w:val="005C19A4"/>
    <w:rsid w:val="005E6515"/>
    <w:rsid w:val="005E7AF9"/>
    <w:rsid w:val="005F1CD2"/>
    <w:rsid w:val="006121D1"/>
    <w:rsid w:val="00621DBA"/>
    <w:rsid w:val="00625B9B"/>
    <w:rsid w:val="0063731D"/>
    <w:rsid w:val="0063732D"/>
    <w:rsid w:val="00640EC7"/>
    <w:rsid w:val="006639FA"/>
    <w:rsid w:val="0067685A"/>
    <w:rsid w:val="00677244"/>
    <w:rsid w:val="006818C7"/>
    <w:rsid w:val="00683021"/>
    <w:rsid w:val="00692498"/>
    <w:rsid w:val="00693F73"/>
    <w:rsid w:val="00694C82"/>
    <w:rsid w:val="006B721B"/>
    <w:rsid w:val="006C6935"/>
    <w:rsid w:val="006D0436"/>
    <w:rsid w:val="006D1B71"/>
    <w:rsid w:val="006D4C3E"/>
    <w:rsid w:val="006E55EF"/>
    <w:rsid w:val="006E560C"/>
    <w:rsid w:val="006F6B0E"/>
    <w:rsid w:val="00701960"/>
    <w:rsid w:val="007156E1"/>
    <w:rsid w:val="00723A58"/>
    <w:rsid w:val="00734C93"/>
    <w:rsid w:val="00746518"/>
    <w:rsid w:val="007506AF"/>
    <w:rsid w:val="00750DEC"/>
    <w:rsid w:val="00757925"/>
    <w:rsid w:val="007714C9"/>
    <w:rsid w:val="007714D5"/>
    <w:rsid w:val="007803B4"/>
    <w:rsid w:val="007A6C0B"/>
    <w:rsid w:val="007B632D"/>
    <w:rsid w:val="007C401F"/>
    <w:rsid w:val="007C662C"/>
    <w:rsid w:val="007D51B8"/>
    <w:rsid w:val="007E1432"/>
    <w:rsid w:val="007E49B2"/>
    <w:rsid w:val="007E5590"/>
    <w:rsid w:val="007E69EB"/>
    <w:rsid w:val="007F5102"/>
    <w:rsid w:val="007F6A9E"/>
    <w:rsid w:val="00806C97"/>
    <w:rsid w:val="0083695C"/>
    <w:rsid w:val="00856FDA"/>
    <w:rsid w:val="00862FAE"/>
    <w:rsid w:val="0086349E"/>
    <w:rsid w:val="00863C4E"/>
    <w:rsid w:val="00866398"/>
    <w:rsid w:val="00873E49"/>
    <w:rsid w:val="00873FB0"/>
    <w:rsid w:val="00880F29"/>
    <w:rsid w:val="008A483A"/>
    <w:rsid w:val="008A6453"/>
    <w:rsid w:val="008B2552"/>
    <w:rsid w:val="008C68C4"/>
    <w:rsid w:val="008D00EF"/>
    <w:rsid w:val="008D480A"/>
    <w:rsid w:val="008E283A"/>
    <w:rsid w:val="008E592E"/>
    <w:rsid w:val="008E5F98"/>
    <w:rsid w:val="008E6A07"/>
    <w:rsid w:val="0090478D"/>
    <w:rsid w:val="00915E7A"/>
    <w:rsid w:val="00927BAB"/>
    <w:rsid w:val="00931E0F"/>
    <w:rsid w:val="00934DFD"/>
    <w:rsid w:val="0095779D"/>
    <w:rsid w:val="00967180"/>
    <w:rsid w:val="009710FC"/>
    <w:rsid w:val="009729EB"/>
    <w:rsid w:val="00974A2B"/>
    <w:rsid w:val="00975D0A"/>
    <w:rsid w:val="0099216D"/>
    <w:rsid w:val="00995F29"/>
    <w:rsid w:val="009B2080"/>
    <w:rsid w:val="009B38B1"/>
    <w:rsid w:val="009C4AE7"/>
    <w:rsid w:val="009C54A4"/>
    <w:rsid w:val="009C5FF7"/>
    <w:rsid w:val="009D6DAA"/>
    <w:rsid w:val="009E40C4"/>
    <w:rsid w:val="009E4518"/>
    <w:rsid w:val="00A0140E"/>
    <w:rsid w:val="00A10F72"/>
    <w:rsid w:val="00A30603"/>
    <w:rsid w:val="00A35D36"/>
    <w:rsid w:val="00A52F8B"/>
    <w:rsid w:val="00A5512B"/>
    <w:rsid w:val="00A6745C"/>
    <w:rsid w:val="00A83ED9"/>
    <w:rsid w:val="00A9366A"/>
    <w:rsid w:val="00A97358"/>
    <w:rsid w:val="00A97B19"/>
    <w:rsid w:val="00AA1509"/>
    <w:rsid w:val="00AA4096"/>
    <w:rsid w:val="00AA4AF5"/>
    <w:rsid w:val="00AA7E74"/>
    <w:rsid w:val="00AC18F7"/>
    <w:rsid w:val="00AC1954"/>
    <w:rsid w:val="00AD0BE3"/>
    <w:rsid w:val="00AD1F9D"/>
    <w:rsid w:val="00AD4360"/>
    <w:rsid w:val="00AD6CB6"/>
    <w:rsid w:val="00AE0D4A"/>
    <w:rsid w:val="00B01ACE"/>
    <w:rsid w:val="00B03493"/>
    <w:rsid w:val="00B04A09"/>
    <w:rsid w:val="00B25C9F"/>
    <w:rsid w:val="00B31A1A"/>
    <w:rsid w:val="00B322B8"/>
    <w:rsid w:val="00B33006"/>
    <w:rsid w:val="00B35C9D"/>
    <w:rsid w:val="00B4011D"/>
    <w:rsid w:val="00B421AA"/>
    <w:rsid w:val="00B5445E"/>
    <w:rsid w:val="00B630AB"/>
    <w:rsid w:val="00B63814"/>
    <w:rsid w:val="00B65815"/>
    <w:rsid w:val="00B65947"/>
    <w:rsid w:val="00B73498"/>
    <w:rsid w:val="00B80FA6"/>
    <w:rsid w:val="00B81CDF"/>
    <w:rsid w:val="00B9764D"/>
    <w:rsid w:val="00BA666E"/>
    <w:rsid w:val="00BA69EA"/>
    <w:rsid w:val="00BD6E27"/>
    <w:rsid w:val="00BF1318"/>
    <w:rsid w:val="00BF2EBC"/>
    <w:rsid w:val="00BF677D"/>
    <w:rsid w:val="00C0625B"/>
    <w:rsid w:val="00C227C4"/>
    <w:rsid w:val="00C30DE8"/>
    <w:rsid w:val="00C337FD"/>
    <w:rsid w:val="00C408BF"/>
    <w:rsid w:val="00C4290C"/>
    <w:rsid w:val="00C436BC"/>
    <w:rsid w:val="00C5270F"/>
    <w:rsid w:val="00C52BD3"/>
    <w:rsid w:val="00C709C0"/>
    <w:rsid w:val="00C71181"/>
    <w:rsid w:val="00C71695"/>
    <w:rsid w:val="00C736A3"/>
    <w:rsid w:val="00C76D7F"/>
    <w:rsid w:val="00C84A2A"/>
    <w:rsid w:val="00C84D21"/>
    <w:rsid w:val="00C90FF8"/>
    <w:rsid w:val="00C95173"/>
    <w:rsid w:val="00CB35F3"/>
    <w:rsid w:val="00CB6975"/>
    <w:rsid w:val="00CB7E48"/>
    <w:rsid w:val="00CF0680"/>
    <w:rsid w:val="00CF4139"/>
    <w:rsid w:val="00CF4BB1"/>
    <w:rsid w:val="00CF7C4C"/>
    <w:rsid w:val="00D13D59"/>
    <w:rsid w:val="00D140A9"/>
    <w:rsid w:val="00D3217F"/>
    <w:rsid w:val="00D421D8"/>
    <w:rsid w:val="00D44128"/>
    <w:rsid w:val="00D44614"/>
    <w:rsid w:val="00D51E12"/>
    <w:rsid w:val="00D55699"/>
    <w:rsid w:val="00D7165E"/>
    <w:rsid w:val="00D72317"/>
    <w:rsid w:val="00D825AF"/>
    <w:rsid w:val="00D86532"/>
    <w:rsid w:val="00D87801"/>
    <w:rsid w:val="00D94A4E"/>
    <w:rsid w:val="00DA03D4"/>
    <w:rsid w:val="00DB3864"/>
    <w:rsid w:val="00DB6362"/>
    <w:rsid w:val="00DC136B"/>
    <w:rsid w:val="00E02826"/>
    <w:rsid w:val="00E06FE1"/>
    <w:rsid w:val="00E07F41"/>
    <w:rsid w:val="00E13E23"/>
    <w:rsid w:val="00E338DD"/>
    <w:rsid w:val="00E53649"/>
    <w:rsid w:val="00E60A31"/>
    <w:rsid w:val="00E6447A"/>
    <w:rsid w:val="00E77829"/>
    <w:rsid w:val="00E8314D"/>
    <w:rsid w:val="00E83632"/>
    <w:rsid w:val="00E85813"/>
    <w:rsid w:val="00E85F40"/>
    <w:rsid w:val="00E86007"/>
    <w:rsid w:val="00EA3F80"/>
    <w:rsid w:val="00EB3731"/>
    <w:rsid w:val="00EB379F"/>
    <w:rsid w:val="00EB42A1"/>
    <w:rsid w:val="00EB786A"/>
    <w:rsid w:val="00EC5940"/>
    <w:rsid w:val="00EE4820"/>
    <w:rsid w:val="00EE7830"/>
    <w:rsid w:val="00EF159F"/>
    <w:rsid w:val="00EF2277"/>
    <w:rsid w:val="00F113E0"/>
    <w:rsid w:val="00F1493A"/>
    <w:rsid w:val="00F1582B"/>
    <w:rsid w:val="00F374C7"/>
    <w:rsid w:val="00F4506B"/>
    <w:rsid w:val="00F504E7"/>
    <w:rsid w:val="00F5312C"/>
    <w:rsid w:val="00F6035E"/>
    <w:rsid w:val="00F72C3E"/>
    <w:rsid w:val="00F8097D"/>
    <w:rsid w:val="00F824A9"/>
    <w:rsid w:val="00F841C2"/>
    <w:rsid w:val="00F907CD"/>
    <w:rsid w:val="00F958AB"/>
    <w:rsid w:val="00FA1B99"/>
    <w:rsid w:val="00FA3544"/>
    <w:rsid w:val="00FA499C"/>
    <w:rsid w:val="00FA6CD7"/>
    <w:rsid w:val="00FB296A"/>
    <w:rsid w:val="00FB6A9F"/>
    <w:rsid w:val="00FE4C56"/>
    <w:rsid w:val="00FE7A0D"/>
    <w:rsid w:val="00FF0993"/>
    <w:rsid w:val="00FF1C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E01A1"/>
  <w15:chartTrackingRefBased/>
  <w15:docId w15:val="{D43EDAE3-4120-43AE-8041-C196BC126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47E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47E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47E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547E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7E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7E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7E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7E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7E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7E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47E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47E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547E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7E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7E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7E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7E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7E34"/>
    <w:rPr>
      <w:rFonts w:eastAsiaTheme="majorEastAsia" w:cstheme="majorBidi"/>
      <w:color w:val="272727" w:themeColor="text1" w:themeTint="D8"/>
    </w:rPr>
  </w:style>
  <w:style w:type="paragraph" w:styleId="Title">
    <w:name w:val="Title"/>
    <w:basedOn w:val="Normal"/>
    <w:next w:val="Normal"/>
    <w:link w:val="TitleChar"/>
    <w:uiPriority w:val="10"/>
    <w:qFormat/>
    <w:rsid w:val="00547E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7E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7E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7E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7E34"/>
    <w:pPr>
      <w:spacing w:before="160"/>
      <w:jc w:val="center"/>
    </w:pPr>
    <w:rPr>
      <w:i/>
      <w:iCs/>
      <w:color w:val="404040" w:themeColor="text1" w:themeTint="BF"/>
    </w:rPr>
  </w:style>
  <w:style w:type="character" w:customStyle="1" w:styleId="QuoteChar">
    <w:name w:val="Quote Char"/>
    <w:basedOn w:val="DefaultParagraphFont"/>
    <w:link w:val="Quote"/>
    <w:uiPriority w:val="29"/>
    <w:rsid w:val="00547E34"/>
    <w:rPr>
      <w:i/>
      <w:iCs/>
      <w:color w:val="404040" w:themeColor="text1" w:themeTint="BF"/>
    </w:rPr>
  </w:style>
  <w:style w:type="paragraph" w:styleId="ListParagraph">
    <w:name w:val="List Paragraph"/>
    <w:basedOn w:val="Normal"/>
    <w:uiPriority w:val="34"/>
    <w:qFormat/>
    <w:rsid w:val="00547E34"/>
    <w:pPr>
      <w:ind w:left="720"/>
      <w:contextualSpacing/>
    </w:pPr>
  </w:style>
  <w:style w:type="character" w:styleId="IntenseEmphasis">
    <w:name w:val="Intense Emphasis"/>
    <w:basedOn w:val="DefaultParagraphFont"/>
    <w:uiPriority w:val="21"/>
    <w:qFormat/>
    <w:rsid w:val="00547E34"/>
    <w:rPr>
      <w:i/>
      <w:iCs/>
      <w:color w:val="0F4761" w:themeColor="accent1" w:themeShade="BF"/>
    </w:rPr>
  </w:style>
  <w:style w:type="paragraph" w:styleId="IntenseQuote">
    <w:name w:val="Intense Quote"/>
    <w:basedOn w:val="Normal"/>
    <w:next w:val="Normal"/>
    <w:link w:val="IntenseQuoteChar"/>
    <w:uiPriority w:val="30"/>
    <w:qFormat/>
    <w:rsid w:val="00547E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7E34"/>
    <w:rPr>
      <w:i/>
      <w:iCs/>
      <w:color w:val="0F4761" w:themeColor="accent1" w:themeShade="BF"/>
    </w:rPr>
  </w:style>
  <w:style w:type="character" w:styleId="IntenseReference">
    <w:name w:val="Intense Reference"/>
    <w:basedOn w:val="DefaultParagraphFont"/>
    <w:uiPriority w:val="32"/>
    <w:qFormat/>
    <w:rsid w:val="00547E34"/>
    <w:rPr>
      <w:b/>
      <w:bCs/>
      <w:smallCaps/>
      <w:color w:val="0F4761" w:themeColor="accent1" w:themeShade="BF"/>
      <w:spacing w:val="5"/>
    </w:rPr>
  </w:style>
  <w:style w:type="character" w:styleId="Hyperlink">
    <w:name w:val="Hyperlink"/>
    <w:basedOn w:val="DefaultParagraphFont"/>
    <w:uiPriority w:val="99"/>
    <w:unhideWhenUsed/>
    <w:rsid w:val="009E4518"/>
    <w:rPr>
      <w:color w:val="467886" w:themeColor="hyperlink"/>
      <w:u w:val="single"/>
    </w:rPr>
  </w:style>
  <w:style w:type="character" w:styleId="UnresolvedMention">
    <w:name w:val="Unresolved Mention"/>
    <w:basedOn w:val="DefaultParagraphFont"/>
    <w:uiPriority w:val="99"/>
    <w:semiHidden/>
    <w:unhideWhenUsed/>
    <w:rsid w:val="009E4518"/>
    <w:rPr>
      <w:color w:val="605E5C"/>
      <w:shd w:val="clear" w:color="auto" w:fill="E1DFDD"/>
    </w:rPr>
  </w:style>
  <w:style w:type="table" w:styleId="TableGrid">
    <w:name w:val="Table Grid"/>
    <w:basedOn w:val="TableNormal"/>
    <w:uiPriority w:val="39"/>
    <w:rsid w:val="003609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81CDF"/>
    <w:pPr>
      <w:spacing w:after="0" w:line="240" w:lineRule="auto"/>
    </w:pPr>
    <w:rPr>
      <w:color w:val="0E2841" w:themeColor="text2"/>
      <w:kern w:val="0"/>
      <w:sz w:val="20"/>
      <w:szCs w:val="20"/>
      <w:lang w:val="en-US"/>
      <w14:ligatures w14:val="none"/>
    </w:rPr>
  </w:style>
  <w:style w:type="paragraph" w:styleId="TOCHeading">
    <w:name w:val="TOC Heading"/>
    <w:basedOn w:val="Heading1"/>
    <w:next w:val="Normal"/>
    <w:uiPriority w:val="39"/>
    <w:unhideWhenUsed/>
    <w:qFormat/>
    <w:rsid w:val="00DB6362"/>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DB6362"/>
    <w:pPr>
      <w:spacing w:after="100"/>
    </w:pPr>
  </w:style>
  <w:style w:type="paragraph" w:styleId="TOC2">
    <w:name w:val="toc 2"/>
    <w:basedOn w:val="Normal"/>
    <w:next w:val="Normal"/>
    <w:autoRedefine/>
    <w:uiPriority w:val="39"/>
    <w:unhideWhenUsed/>
    <w:rsid w:val="00DB6362"/>
    <w:pPr>
      <w:spacing w:after="100"/>
      <w:ind w:left="240"/>
    </w:pPr>
  </w:style>
  <w:style w:type="paragraph" w:styleId="Header">
    <w:name w:val="header"/>
    <w:basedOn w:val="Normal"/>
    <w:link w:val="HeaderChar"/>
    <w:uiPriority w:val="99"/>
    <w:unhideWhenUsed/>
    <w:rsid w:val="00FE4C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4C56"/>
  </w:style>
  <w:style w:type="paragraph" w:styleId="Footer">
    <w:name w:val="footer"/>
    <w:basedOn w:val="Normal"/>
    <w:link w:val="FooterChar"/>
    <w:uiPriority w:val="99"/>
    <w:unhideWhenUsed/>
    <w:rsid w:val="00FE4C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4C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doi.org/10.1108/00251740510597680" TargetMode="External"/><Relationship Id="rId26" Type="http://schemas.openxmlformats.org/officeDocument/2006/relationships/hyperlink" Target="https://huma.com/footer/quality-regulatory" TargetMode="External"/><Relationship Id="rId39" Type="http://schemas.openxmlformats.org/officeDocument/2006/relationships/hyperlink" Target="https://ewastemonitor.info/gem-2020/%20" TargetMode="External"/><Relationship Id="rId21" Type="http://schemas.openxmlformats.org/officeDocument/2006/relationships/hyperlink" Target="https://doi.org/10.1145/99977.99987" TargetMode="External"/><Relationship Id="rId34" Type="http://schemas.openxmlformats.org/officeDocument/2006/relationships/hyperlink" Target="https://transform.england.nhs.uk/covid-19-response/technology-nhs/huma-medopad-evaluation-remote-digital-care-platform/%20"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doi.org/10.2307/2666999" TargetMode="External"/><Relationship Id="rId29" Type="http://schemas.openxmlformats.org/officeDocument/2006/relationships/hyperlink" Target="https://doi.org/10.1177/09702385241233073%20"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doi.org/10.1002/bse.2964" TargetMode="External"/><Relationship Id="rId32" Type="http://schemas.openxmlformats.org/officeDocument/2006/relationships/hyperlink" Target="https://doi.org/10.5465/amr.1997.9711022105" TargetMode="External"/><Relationship Id="rId37" Type="http://schemas.openxmlformats.org/officeDocument/2006/relationships/hyperlink" Target="https://www.forbes.com/sites/davidprosser/2024/07/16/huma-raises-80-million-as-it-opens-up-its-digital-healthcare-platform/%20"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doi.org/10.1186/s12913-023-09876-2" TargetMode="External"/><Relationship Id="rId28" Type="http://schemas.openxmlformats.org/officeDocument/2006/relationships/hyperlink" Target="https://huma.com/solutions/software-medical-device-samd-pharma%20" TargetMode="External"/><Relationship Id="rId36" Type="http://schemas.openxmlformats.org/officeDocument/2006/relationships/hyperlink" Target="https://doi.org/10.1061/(ASCE)ME.1943-5479.0000662" TargetMode="External"/><Relationship Id="rId10" Type="http://schemas.openxmlformats.org/officeDocument/2006/relationships/image" Target="media/image3.png"/><Relationship Id="rId19" Type="http://schemas.openxmlformats.org/officeDocument/2006/relationships/hyperlink" Target="https://doi.org/10.1016/j.indmarman.2018.07.005" TargetMode="External"/><Relationship Id="rId31" Type="http://schemas.openxmlformats.org/officeDocument/2006/relationships/hyperlink" Target="https://doi.org/10.1002/cl2.123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s://ec.europa.eu/eurostat%20" TargetMode="External"/><Relationship Id="rId27" Type="http://schemas.openxmlformats.org/officeDocument/2006/relationships/hyperlink" Target="https://docs.huma.com/workspace/%20" TargetMode="External"/><Relationship Id="rId30" Type="http://schemas.openxmlformats.org/officeDocument/2006/relationships/hyperlink" Target="https://doi.org/10.3390/electronics14153084%20" TargetMode="External"/><Relationship Id="rId35" Type="http://schemas.openxmlformats.org/officeDocument/2006/relationships/hyperlink" Target="https://www.gov.uk/government/publications/unlocking-the-potential-of-uk-healthtech%20"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link.springer.com" TargetMode="External"/><Relationship Id="rId25" Type="http://schemas.openxmlformats.org/officeDocument/2006/relationships/hyperlink" Target="https://huma.com/%20" TargetMode="External"/><Relationship Id="rId33" Type="http://schemas.openxmlformats.org/officeDocument/2006/relationships/hyperlink" Target="https://doi.org/10.1016/j.procs.2019.09.283" TargetMode="External"/><Relationship Id="rId38" Type="http://schemas.openxmlformats.org/officeDocument/2006/relationships/hyperlink" Target="https://www.uktechnews.info/2024/07/16/huma-secures-61-7-million-series-d-investment-from-investors-including-astrazene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01BDC8-EBC3-4801-B24C-83AFC95D3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6461</Words>
  <Characters>36828</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Maryna Zhzhonyhk</dc:creator>
  <cp:keywords/>
  <dc:description/>
  <cp:lastModifiedBy>Maryna Zhzhonyhk</cp:lastModifiedBy>
  <cp:revision>2</cp:revision>
  <dcterms:created xsi:type="dcterms:W3CDTF">2025-11-18T20:29:00Z</dcterms:created>
  <dcterms:modified xsi:type="dcterms:W3CDTF">2025-11-18T20:29:00Z</dcterms:modified>
</cp:coreProperties>
</file>