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 Generated by Aspose.Words for .NET 10.4.0.0 -->
  <w:body>
    <w:p w:rsidR="005D7EE3" w:rsidRPr="000F79D8" w:rsidP="00D3440D">
      <w:pPr>
        <w:pStyle w:val="DMVMGeneralHeading1ARF"/>
        <w:pageBreakBefore/>
        <w:spacing w:before="200" w:after="160"/>
        <w:rPr>
          <w:color w:val="2F283D"/>
        </w:rPr>
      </w:pPr>
      <w:r w:rsidRPr="00762DBA" w:rsidR="00762DBA">
        <w:rPr>
          <w:noProof/>
          <w:color w:val="2F283D"/>
        </w:rPr>
        <w:t>Marks</w:t>
      </w:r>
      <w:r w:rsidRPr="00762DBA" w:rsidR="00762DBA">
        <w:rPr>
          <w:noProof/>
          <w:color w:val="2F283D"/>
        </w:rPr>
        <w:t xml:space="preserve"> </w:t>
      </w:r>
      <w:r w:rsidRPr="00762DBA" w:rsidR="00762DBA">
        <w:rPr>
          <w:noProof/>
          <w:color w:val="2F283D"/>
        </w:rPr>
        <w:t>and</w:t>
      </w:r>
      <w:r w:rsidRPr="00762DBA" w:rsidR="00762DBA">
        <w:rPr>
          <w:noProof/>
          <w:color w:val="2F283D"/>
        </w:rPr>
        <w:t xml:space="preserve"> </w:t>
      </w:r>
      <w:r w:rsidRPr="00762DBA" w:rsidR="00762DBA">
        <w:rPr>
          <w:noProof/>
          <w:color w:val="2F283D"/>
        </w:rPr>
        <w:t>Spencer</w:t>
      </w:r>
      <w:r w:rsidRPr="00762DBA" w:rsidR="00762DBA">
        <w:rPr>
          <w:noProof/>
          <w:color w:val="2F283D"/>
        </w:rPr>
        <w:t xml:space="preserve"> </w:t>
      </w:r>
      <w:r w:rsidRPr="00762DBA" w:rsidR="00762DBA">
        <w:rPr>
          <w:noProof/>
          <w:color w:val="2F283D"/>
        </w:rPr>
        <w:t>Group</w:t>
      </w:r>
      <w:r w:rsidRPr="00762DBA" w:rsidR="00762DBA">
        <w:rPr>
          <w:noProof/>
          <w:color w:val="2F283D"/>
        </w:rPr>
        <w:t xml:space="preserve"> </w:t>
      </w:r>
      <w:r>
        <w:rPr>
          <w:noProof/>
          <w:color w:val="2F283D"/>
        </w:rPr>
        <w:t>plc</w:t>
      </w:r>
      <w:r>
        <w:rPr>
          <w:noProof/>
          <w:color w:val="2F283D"/>
        </w:rPr>
        <w:t xml:space="preserve"> - SWOT Analysis</w:t>
      </w:r>
      <w:r w:rsidRPr="000F79D8" w:rsidR="00C02B99">
        <w:rPr>
          <w:color w:val="2F283D"/>
        </w:rPr>
        <w:t xml:space="preserve"> </w:t>
      </w:r>
    </w:p>
    <w:p w:rsidR="005D7EE3" w:rsidP="009D29CA">
      <w:pPr>
        <w:pStyle w:val="DMVMGeneralHeading2ARF"/>
        <w:jc w:val="both"/>
      </w:pPr>
      <w:r w:rsidRPr="00762DBA" w:rsidR="00762DBA">
        <w:rPr>
          <w:b w:val="0"/>
          <w:noProof/>
          <w:color w:val="auto"/>
          <w:sz w:val="20"/>
        </w:rPr>
        <w:t>Marks</w:t>
      </w:r>
      <w:r>
        <w:rPr>
          <w:b w:val="0"/>
          <w:noProof/>
          <w:color w:val="auto"/>
          <w:sz w:val="20"/>
        </w:rPr>
        <w:t xml:space="preserve"> </w:t>
      </w:r>
      <w:r>
        <w:rPr>
          <w:b w:val="0"/>
          <w:noProof/>
          <w:color w:val="auto"/>
          <w:sz w:val="20"/>
        </w:rPr>
        <w:t>and Spencer Group plc (M&amp;S or 'the company') is one of the leading retailers of general merchandise and food in the UK. Diversified portfolio of services and store network are its key strengths; even as financial performance remains a cause for concern. Growing retail market in the UK, online retail in the UK and partnership with Deliveroo and BP could provide ample growth opportunities for the company. However, rate of change in fashion trends, risks associated with the suppliers and increasing manpower costs could affect its future growth operations.</w:t>
      </w:r>
    </w:p>
    <w:p w:rsidR="00890ADB" w:rsidRPr="000F79D8" w:rsidP="00890ADB">
      <w:pPr>
        <w:pStyle w:val="DMVMGeneralHeading2ARF"/>
        <w:spacing w:before="160" w:after="0"/>
        <w:rPr>
          <w:color w:val="2F283D"/>
        </w:rPr>
      </w:pPr>
      <w:r w:rsidRPr="00762DBA" w:rsidR="00762DBA">
        <w:rPr>
          <w:noProof/>
          <w:color w:val="2F283D"/>
        </w:rPr>
        <w:t>Marks</w:t>
      </w:r>
      <w:r w:rsidRPr="00762DBA" w:rsidR="00762DBA">
        <w:rPr>
          <w:noProof/>
          <w:color w:val="2F283D"/>
        </w:rPr>
        <w:t xml:space="preserve"> </w:t>
      </w:r>
      <w:r w:rsidRPr="00762DBA" w:rsidR="00762DBA">
        <w:rPr>
          <w:noProof/>
          <w:color w:val="2F283D"/>
        </w:rPr>
        <w:t>and</w:t>
      </w:r>
      <w:r w:rsidRPr="00762DBA" w:rsidR="00762DBA">
        <w:rPr>
          <w:noProof/>
          <w:color w:val="2F283D"/>
        </w:rPr>
        <w:t xml:space="preserve"> </w:t>
      </w:r>
      <w:r w:rsidRPr="00762DBA" w:rsidR="00762DBA">
        <w:rPr>
          <w:noProof/>
          <w:color w:val="2F283D"/>
        </w:rPr>
        <w:t>Spencer</w:t>
      </w:r>
      <w:r>
        <w:rPr>
          <w:noProof/>
          <w:color w:val="2F283D"/>
        </w:rPr>
        <w:t xml:space="preserve"> </w:t>
      </w:r>
      <w:r>
        <w:rPr>
          <w:noProof/>
          <w:color w:val="2F283D"/>
        </w:rPr>
        <w:t>Group plc- Strengths</w:t>
      </w:r>
    </w:p>
    <w:p w:rsidR="00890ADB" w:rsidP="00890ADB">
      <w:pPr>
        <w:pStyle w:val="DMVMGeneralHeading3ARF"/>
      </w:pPr>
    </w:p>
    <w:p w:rsidR="00890ADB" w:rsidRPr="000F79D8" w:rsidP="00890ADB">
      <w:pPr>
        <w:pStyle w:val="DMVMGeneralHeading3ARF"/>
        <w:rPr>
          <w:color w:val="2F283D"/>
          <w:sz w:val="20"/>
        </w:rPr>
      </w:pPr>
      <w:r w:rsidRPr="00762DBA" w:rsidR="00762DBA">
        <w:rPr>
          <w:noProof/>
          <w:color w:val="2F283D"/>
          <w:sz w:val="20"/>
        </w:rPr>
        <w:t>Strengths</w:t>
      </w:r>
      <w:r w:rsidRPr="000F79D8">
        <w:rPr>
          <w:color w:val="2F283D"/>
          <w:sz w:val="20"/>
        </w:rPr>
        <w:t xml:space="preserve"> </w:t>
      </w:r>
      <w:r w:rsidRPr="00762DBA" w:rsidR="00762DBA">
        <w:rPr>
          <w:noProof/>
          <w:color w:val="2F283D"/>
          <w:sz w:val="20"/>
        </w:rPr>
        <w:t>-</w:t>
      </w:r>
      <w:r w:rsidRPr="00762DBA" w:rsidR="00762DBA">
        <w:rPr>
          <w:noProof/>
          <w:color w:val="2F283D"/>
          <w:sz w:val="20"/>
        </w:rPr>
        <w:t xml:space="preserve"> </w:t>
      </w:r>
      <w:r w:rsidRPr="00762DBA" w:rsidR="00762DBA">
        <w:rPr>
          <w:noProof/>
          <w:color w:val="2F283D"/>
          <w:sz w:val="20"/>
        </w:rPr>
        <w:t>Store</w:t>
      </w:r>
      <w:r w:rsidRPr="00762DBA" w:rsidR="00762DBA">
        <w:rPr>
          <w:noProof/>
          <w:color w:val="2F283D"/>
          <w:sz w:val="20"/>
        </w:rPr>
        <w:t xml:space="preserve"> </w:t>
      </w:r>
      <w:r>
        <w:rPr>
          <w:noProof/>
          <w:color w:val="2F283D"/>
          <w:sz w:val="20"/>
        </w:rPr>
        <w:t>network</w:t>
      </w:r>
    </w:p>
    <w:p w:rsidR="00890ADB" w:rsidRPr="00AD24E2" w:rsidP="00890ADB">
      <w:pPr>
        <w:pStyle w:val="DMVMFrPgNormalARF"/>
        <w:rPr>
          <w:sz w:val="20"/>
        </w:rPr>
      </w:pPr>
      <w:r w:rsidRPr="00762DBA" w:rsidR="00762DBA">
        <w:rPr>
          <w:noProof/>
          <w:sz w:val="20"/>
        </w:rPr>
        <w:t>The</w:t>
      </w:r>
      <w:r>
        <w:rPr>
          <w:noProof/>
          <w:sz w:val="20"/>
        </w:rPr>
        <w:t xml:space="preserve"> </w:t>
      </w:r>
      <w:r>
        <w:rPr>
          <w:noProof/>
          <w:sz w:val="20"/>
        </w:rPr>
        <w:t>company has strong store network. It merchandises apparels, home products and food items through the company-owned and franchised stores. As of FY2020, the company operated 1,519 stores in 62 countries across the world with 1,038 stores in the UK and 481 stores outside the UK. M&amp;S serves approximately 31 million customers across the world every year. The company also sells its products through online platforms. It had over 44 e-commerce sites operating worldwide. The company has a selling space of over 16.8 million sq ft in the UK and 5 million sq ft internationally. such diversified store network enhances customer reach and market presence.</w:t>
      </w:r>
    </w:p>
    <w:p w:rsidR="00890ADB" w:rsidP="00890ADB">
      <w:pPr>
        <w:pStyle w:val="DMVMGeneralHeading3ARF"/>
      </w:pPr>
    </w:p>
    <w:p w:rsidR="00890ADB" w:rsidRPr="000F79D8" w:rsidP="00890ADB">
      <w:pPr>
        <w:pStyle w:val="DMVMGeneralHeading3ARF"/>
        <w:rPr>
          <w:color w:val="2F283D"/>
          <w:sz w:val="20"/>
        </w:rPr>
      </w:pPr>
      <w:r w:rsidRPr="00762DBA" w:rsidR="00762DBA">
        <w:rPr>
          <w:noProof/>
          <w:color w:val="2F283D"/>
          <w:sz w:val="20"/>
        </w:rPr>
        <w:t>Strengths</w:t>
      </w:r>
      <w:r w:rsidRPr="000F79D8">
        <w:rPr>
          <w:color w:val="2F283D"/>
          <w:sz w:val="20"/>
        </w:rPr>
        <w:t xml:space="preserve"> </w:t>
      </w:r>
      <w:r w:rsidRPr="00762DBA" w:rsidR="00762DBA">
        <w:rPr>
          <w:noProof/>
          <w:color w:val="2F283D"/>
          <w:sz w:val="20"/>
        </w:rPr>
        <w:t>-</w:t>
      </w:r>
      <w:r w:rsidRPr="00762DBA" w:rsidR="00762DBA">
        <w:rPr>
          <w:noProof/>
          <w:color w:val="2F283D"/>
          <w:sz w:val="20"/>
        </w:rPr>
        <w:t xml:space="preserve"> </w:t>
      </w:r>
      <w:r w:rsidRPr="00762DBA" w:rsidR="00762DBA">
        <w:rPr>
          <w:noProof/>
          <w:color w:val="2F283D"/>
          <w:sz w:val="20"/>
        </w:rPr>
        <w:t>Diversified</w:t>
      </w:r>
      <w:r w:rsidRPr="00762DBA" w:rsidR="00762DBA">
        <w:rPr>
          <w:noProof/>
          <w:color w:val="2F283D"/>
          <w:sz w:val="20"/>
        </w:rPr>
        <w:t xml:space="preserve"> </w:t>
      </w:r>
      <w:r>
        <w:rPr>
          <w:noProof/>
          <w:color w:val="2F283D"/>
          <w:sz w:val="20"/>
        </w:rPr>
        <w:t>portfolio</w:t>
      </w:r>
      <w:r>
        <w:rPr>
          <w:noProof/>
          <w:color w:val="2F283D"/>
          <w:sz w:val="20"/>
        </w:rPr>
        <w:t xml:space="preserve"> of services</w:t>
      </w:r>
    </w:p>
    <w:p w:rsidR="00890ADB" w:rsidRPr="00AD24E2" w:rsidP="00890ADB">
      <w:pPr>
        <w:pStyle w:val="DMVMFrPgNormalARF"/>
        <w:rPr>
          <w:sz w:val="20"/>
        </w:rPr>
      </w:pPr>
      <w:r w:rsidRPr="00762DBA" w:rsidR="00762DBA">
        <w:rPr>
          <w:noProof/>
          <w:sz w:val="20"/>
        </w:rPr>
        <w:t>M</w:t>
      </w:r>
      <w:r>
        <w:rPr>
          <w:noProof/>
          <w:sz w:val="20"/>
        </w:rPr>
        <w:t>&amp;</w:t>
      </w:r>
      <w:r>
        <w:rPr>
          <w:noProof/>
          <w:sz w:val="20"/>
        </w:rPr>
        <w:t>S's diversified service offerings enables it to serve various new and potential customers residing across various markets. It allows its customers to track various orders through its portal and also delivers various products to its users through standard deliveries, nominated-day deliveries and time slot deliveries approaches at various competitive prices for its users based on their preferences. M&amp;S also allows various users to place their orders online and collect them at their respective stores and pickup collection points residing across various strategic locations in the region and also offers free-return policy for its users with in 14 days of order placement. The company conducts eye tests through its M&amp;S Opticians, and offers various financial services through its M&amp;S Bank. It also provides corporate gifts, e-gift cards for its end users. Such activities increase the frequency of visits to its portals and also increases its store footfall compared to other key players in the market.</w:t>
      </w:r>
    </w:p>
    <w:p w:rsidR="00890ADB" w:rsidP="00890ADB">
      <w:pPr>
        <w:pStyle w:val="DMVMGeneralHeading3ARF"/>
      </w:pPr>
    </w:p>
    <w:p w:rsidR="00890ADB" w:rsidRPr="000F79D8" w:rsidP="00890ADB">
      <w:pPr>
        <w:pStyle w:val="DMVMGeneralHeading3ARF"/>
        <w:rPr>
          <w:color w:val="2F283D"/>
          <w:sz w:val="20"/>
        </w:rPr>
      </w:pPr>
      <w:r w:rsidRPr="00762DBA" w:rsidR="00762DBA">
        <w:rPr>
          <w:noProof/>
          <w:color w:val="2F283D"/>
          <w:sz w:val="20"/>
        </w:rPr>
        <w:t>Strengths</w:t>
      </w:r>
      <w:r w:rsidRPr="000F79D8">
        <w:rPr>
          <w:color w:val="2F283D"/>
          <w:sz w:val="20"/>
        </w:rPr>
        <w:t xml:space="preserve"> </w:t>
      </w:r>
      <w:r w:rsidRPr="00762DBA" w:rsidR="00762DBA">
        <w:rPr>
          <w:noProof/>
          <w:color w:val="2F283D"/>
          <w:sz w:val="20"/>
        </w:rPr>
        <w:t>-</w:t>
      </w:r>
      <w:r w:rsidRPr="00762DBA" w:rsidR="00762DBA">
        <w:rPr>
          <w:noProof/>
          <w:color w:val="2F283D"/>
          <w:sz w:val="20"/>
        </w:rPr>
        <w:t xml:space="preserve"> </w:t>
      </w:r>
      <w:r w:rsidRPr="00762DBA" w:rsidR="00762DBA">
        <w:rPr>
          <w:noProof/>
          <w:color w:val="2F283D"/>
          <w:sz w:val="20"/>
        </w:rPr>
        <w:t>High</w:t>
      </w:r>
      <w:r w:rsidRPr="00762DBA" w:rsidR="00762DBA">
        <w:rPr>
          <w:noProof/>
          <w:color w:val="2F283D"/>
          <w:sz w:val="20"/>
        </w:rPr>
        <w:t xml:space="preserve"> </w:t>
      </w:r>
      <w:r>
        <w:rPr>
          <w:noProof/>
          <w:color w:val="2F283D"/>
          <w:sz w:val="20"/>
        </w:rPr>
        <w:t>Liquidity</w:t>
      </w:r>
      <w:r>
        <w:rPr>
          <w:noProof/>
          <w:color w:val="2F283D"/>
          <w:sz w:val="20"/>
        </w:rPr>
        <w:t xml:space="preserve"> Position provides stability</w:t>
      </w:r>
    </w:p>
    <w:p w:rsidR="00890ADB" w:rsidRPr="00AD24E2" w:rsidP="00890ADB">
      <w:pPr>
        <w:pStyle w:val="DMVMFrPgNormalARF"/>
        <w:rPr>
          <w:sz w:val="20"/>
        </w:rPr>
      </w:pPr>
      <w:r w:rsidRPr="00762DBA" w:rsidR="00762DBA">
        <w:rPr>
          <w:noProof/>
          <w:sz w:val="20"/>
        </w:rPr>
        <w:t>Higher</w:t>
      </w:r>
      <w:r>
        <w:rPr>
          <w:noProof/>
          <w:sz w:val="20"/>
        </w:rPr>
        <w:t xml:space="preserve"> </w:t>
      </w:r>
      <w:r>
        <w:rPr>
          <w:noProof/>
          <w:sz w:val="20"/>
        </w:rPr>
        <w:t>liquidity places M&amp;S at an advantage, enabling it to capture potential opportunities arising in the market. The company reported an increase in current ratio in FY2020, which could provide it financial stability and enhance its ability to meet short-term obligations. At the end of FY2020, the current ratio of the company was 0.66 as compared to 0.62 in FY2019. This current ratio indicates that the company is better placed to payout its obligations.</w:t>
      </w:r>
    </w:p>
    <w:p w:rsidR="00890ADB" w:rsidRPr="000F79D8" w:rsidP="00890ADB">
      <w:pPr>
        <w:pStyle w:val="DMVMGeneralHeading2ARF"/>
        <w:jc w:val="both"/>
        <w:rPr>
          <w:color w:val="2F283D"/>
        </w:rPr>
      </w:pPr>
    </w:p>
    <w:p w:rsidR="00890ADB" w:rsidRPr="000F79D8" w:rsidP="00890ADB">
      <w:pPr>
        <w:pStyle w:val="DMVMGeneralHeading2ARF"/>
        <w:spacing w:before="160" w:after="0"/>
        <w:rPr>
          <w:color w:val="2F283D"/>
        </w:rPr>
      </w:pPr>
      <w:r w:rsidRPr="00762DBA" w:rsidR="00762DBA">
        <w:rPr>
          <w:noProof/>
          <w:color w:val="2F283D"/>
        </w:rPr>
        <w:t>Marks</w:t>
      </w:r>
      <w:r w:rsidRPr="00762DBA" w:rsidR="00762DBA">
        <w:rPr>
          <w:noProof/>
          <w:color w:val="2F283D"/>
        </w:rPr>
        <w:t xml:space="preserve"> </w:t>
      </w:r>
      <w:r w:rsidRPr="00762DBA" w:rsidR="00762DBA">
        <w:rPr>
          <w:noProof/>
          <w:color w:val="2F283D"/>
        </w:rPr>
        <w:t>and</w:t>
      </w:r>
      <w:r w:rsidRPr="00762DBA" w:rsidR="00762DBA">
        <w:rPr>
          <w:noProof/>
          <w:color w:val="2F283D"/>
        </w:rPr>
        <w:t xml:space="preserve"> </w:t>
      </w:r>
      <w:r w:rsidRPr="00762DBA" w:rsidR="00762DBA">
        <w:rPr>
          <w:noProof/>
          <w:color w:val="2F283D"/>
        </w:rPr>
        <w:t>Spencer</w:t>
      </w:r>
      <w:r w:rsidRPr="00762DBA" w:rsidR="00762DBA">
        <w:rPr>
          <w:noProof/>
          <w:color w:val="2F283D"/>
        </w:rPr>
        <w:t xml:space="preserve"> </w:t>
      </w:r>
      <w:r>
        <w:rPr>
          <w:noProof/>
          <w:color w:val="2F283D"/>
        </w:rPr>
        <w:t>Group</w:t>
      </w:r>
      <w:r>
        <w:rPr>
          <w:noProof/>
          <w:color w:val="2F283D"/>
        </w:rPr>
        <w:t xml:space="preserve"> plc - Weaknesses</w:t>
      </w:r>
    </w:p>
    <w:p w:rsidR="00890ADB" w:rsidP="00890ADB">
      <w:pPr>
        <w:pStyle w:val="DMVMGeneralHeading3ARF"/>
      </w:pPr>
    </w:p>
    <w:p w:rsidR="00890ADB" w:rsidRPr="000F79D8" w:rsidP="00890ADB">
      <w:pPr>
        <w:pStyle w:val="DMVMGeneralHeading3ARF"/>
        <w:rPr>
          <w:color w:val="2F283D"/>
          <w:sz w:val="20"/>
        </w:rPr>
      </w:pPr>
      <w:r w:rsidRPr="00762DBA" w:rsidR="00762DBA">
        <w:rPr>
          <w:noProof/>
          <w:color w:val="2F283D"/>
          <w:sz w:val="20"/>
        </w:rPr>
        <w:t>Weaknesses</w:t>
      </w:r>
      <w:r w:rsidRPr="000F79D8">
        <w:rPr>
          <w:color w:val="2F283D"/>
          <w:sz w:val="20"/>
        </w:rPr>
        <w:t xml:space="preserve">  </w:t>
      </w:r>
      <w:r w:rsidRPr="00762DBA" w:rsidR="00762DBA">
        <w:rPr>
          <w:noProof/>
          <w:color w:val="2F283D"/>
          <w:sz w:val="20"/>
        </w:rPr>
        <w:t>-</w:t>
      </w:r>
      <w:r w:rsidRPr="00762DBA" w:rsidR="00762DBA">
        <w:rPr>
          <w:noProof/>
          <w:color w:val="2F283D"/>
          <w:sz w:val="20"/>
        </w:rPr>
        <w:t xml:space="preserve"> </w:t>
      </w:r>
      <w:r w:rsidRPr="00762DBA" w:rsidR="00762DBA">
        <w:rPr>
          <w:noProof/>
          <w:color w:val="2F283D"/>
          <w:sz w:val="20"/>
        </w:rPr>
        <w:t>Financial</w:t>
      </w:r>
      <w:r w:rsidRPr="00762DBA" w:rsidR="00762DBA">
        <w:rPr>
          <w:noProof/>
          <w:color w:val="2F283D"/>
          <w:sz w:val="20"/>
        </w:rPr>
        <w:t xml:space="preserve"> </w:t>
      </w:r>
      <w:r>
        <w:rPr>
          <w:noProof/>
          <w:color w:val="2F283D"/>
          <w:sz w:val="20"/>
        </w:rPr>
        <w:t>performance</w:t>
      </w:r>
    </w:p>
    <w:p w:rsidR="00890ADB" w:rsidRPr="00AD24E2" w:rsidP="00890ADB">
      <w:pPr>
        <w:pStyle w:val="DMVMFrPgNormalARF"/>
        <w:rPr>
          <w:sz w:val="20"/>
        </w:rPr>
      </w:pPr>
      <w:r w:rsidRPr="00762DBA" w:rsidR="00762DBA">
        <w:rPr>
          <w:noProof/>
          <w:sz w:val="20"/>
        </w:rPr>
        <w:t>The</w:t>
      </w:r>
      <w:r>
        <w:rPr>
          <w:noProof/>
          <w:sz w:val="20"/>
        </w:rPr>
        <w:t xml:space="preserve"> </w:t>
      </w:r>
      <w:r>
        <w:rPr>
          <w:noProof/>
          <w:sz w:val="20"/>
        </w:rPr>
        <w:t>financial performance of the company declined in FY2020, which enables it to provide lower returns to its shareholders, and attract further investments. In FY2020, the company reported revenue of GBP10,181.9 million as compared to GBP10,377.3 million in FY2018, which indicates annual decline of 1.9%. The decrease in revenue was due to lower sales from UK Clothing and Home segment. In FY2020, the company’s operating margin was 2.5%, compared to an operating margin of 2.9% in FY2019. Weak operational performance indicates lack of focus by the company on cost management. In FY2020, the company recorded a net margin of 0.2%, compared to a net margin of 0.4% in FY2019.</w:t>
      </w:r>
    </w:p>
    <w:p w:rsidR="00890ADB" w:rsidRPr="000F79D8" w:rsidP="00890ADB">
      <w:pPr>
        <w:pStyle w:val="DMVMGeneralHeading2ARF"/>
        <w:jc w:val="both"/>
        <w:rPr>
          <w:color w:val="2F283D"/>
        </w:rPr>
      </w:pPr>
    </w:p>
    <w:p w:rsidR="00890ADB" w:rsidRPr="000F79D8" w:rsidP="00890ADB">
      <w:pPr>
        <w:pStyle w:val="DMVMGeneralHeading2ARF"/>
        <w:spacing w:before="160" w:after="0"/>
        <w:rPr>
          <w:color w:val="2F283D"/>
        </w:rPr>
      </w:pPr>
      <w:r w:rsidRPr="00762DBA" w:rsidR="00762DBA">
        <w:rPr>
          <w:noProof/>
          <w:color w:val="2F283D"/>
        </w:rPr>
        <w:t>Marks</w:t>
      </w:r>
      <w:r w:rsidRPr="00762DBA" w:rsidR="00762DBA">
        <w:rPr>
          <w:noProof/>
          <w:color w:val="2F283D"/>
        </w:rPr>
        <w:t xml:space="preserve"> </w:t>
      </w:r>
      <w:r w:rsidRPr="00762DBA" w:rsidR="00762DBA">
        <w:rPr>
          <w:noProof/>
          <w:color w:val="2F283D"/>
        </w:rPr>
        <w:t>and</w:t>
      </w:r>
      <w:r w:rsidRPr="00762DBA" w:rsidR="00762DBA">
        <w:rPr>
          <w:noProof/>
          <w:color w:val="2F283D"/>
        </w:rPr>
        <w:t xml:space="preserve"> </w:t>
      </w:r>
      <w:r w:rsidRPr="00762DBA" w:rsidR="00762DBA">
        <w:rPr>
          <w:noProof/>
          <w:color w:val="2F283D"/>
        </w:rPr>
        <w:t>Spencer</w:t>
      </w:r>
      <w:r w:rsidRPr="00762DBA" w:rsidR="00762DBA">
        <w:rPr>
          <w:noProof/>
          <w:color w:val="2F283D"/>
        </w:rPr>
        <w:t xml:space="preserve"> </w:t>
      </w:r>
      <w:r>
        <w:rPr>
          <w:noProof/>
          <w:color w:val="2F283D"/>
        </w:rPr>
        <w:t>Group</w:t>
      </w:r>
      <w:r>
        <w:rPr>
          <w:noProof/>
          <w:color w:val="2F283D"/>
        </w:rPr>
        <w:t xml:space="preserve"> plc- Opportunities </w:t>
      </w:r>
    </w:p>
    <w:p w:rsidR="00890ADB" w:rsidP="00890ADB">
      <w:pPr>
        <w:pStyle w:val="DMVMGeneralHeading3ARF"/>
      </w:pPr>
    </w:p>
    <w:p w:rsidR="00890ADB" w:rsidRPr="000F79D8" w:rsidP="00890ADB">
      <w:pPr>
        <w:pStyle w:val="DMVMGeneralHeading3ARF"/>
        <w:rPr>
          <w:color w:val="2F283D"/>
          <w:sz w:val="20"/>
        </w:rPr>
      </w:pPr>
      <w:r w:rsidRPr="00762DBA" w:rsidR="00762DBA">
        <w:rPr>
          <w:noProof/>
          <w:color w:val="2F283D"/>
          <w:sz w:val="20"/>
        </w:rPr>
        <w:t>Opportunities</w:t>
      </w:r>
      <w:r w:rsidRPr="000F79D8">
        <w:rPr>
          <w:color w:val="2F283D"/>
          <w:sz w:val="20"/>
        </w:rPr>
        <w:t xml:space="preserve"> </w:t>
      </w:r>
      <w:r w:rsidRPr="00762DBA" w:rsidR="00762DBA">
        <w:rPr>
          <w:noProof/>
          <w:color w:val="2F283D"/>
          <w:sz w:val="20"/>
        </w:rPr>
        <w:t>-</w:t>
      </w:r>
      <w:r w:rsidRPr="00762DBA" w:rsidR="00762DBA">
        <w:rPr>
          <w:noProof/>
          <w:color w:val="2F283D"/>
          <w:sz w:val="20"/>
        </w:rPr>
        <w:t xml:space="preserve"> </w:t>
      </w:r>
      <w:r w:rsidRPr="00762DBA" w:rsidR="00762DBA">
        <w:rPr>
          <w:noProof/>
          <w:color w:val="2F283D"/>
          <w:sz w:val="20"/>
        </w:rPr>
        <w:t>Partnership</w:t>
      </w:r>
      <w:r w:rsidRPr="00762DBA" w:rsidR="00762DBA">
        <w:rPr>
          <w:noProof/>
          <w:color w:val="2F283D"/>
          <w:sz w:val="20"/>
        </w:rPr>
        <w:t xml:space="preserve"> </w:t>
      </w:r>
      <w:r>
        <w:rPr>
          <w:noProof/>
          <w:color w:val="2F283D"/>
          <w:sz w:val="20"/>
        </w:rPr>
        <w:t>with</w:t>
      </w:r>
      <w:r>
        <w:rPr>
          <w:noProof/>
          <w:color w:val="2F283D"/>
          <w:sz w:val="20"/>
        </w:rPr>
        <w:t xml:space="preserve"> Deliveroo and BP</w:t>
      </w:r>
    </w:p>
    <w:p w:rsidR="00890ADB" w:rsidRPr="00AD24E2" w:rsidP="00890ADB">
      <w:pPr>
        <w:pStyle w:val="DMVMFrPgNormalARF"/>
        <w:rPr>
          <w:sz w:val="20"/>
        </w:rPr>
      </w:pPr>
      <w:r w:rsidRPr="00762DBA" w:rsidR="00762DBA">
        <w:rPr>
          <w:noProof/>
          <w:sz w:val="20"/>
        </w:rPr>
        <w:t>M</w:t>
      </w:r>
      <w:r>
        <w:rPr>
          <w:noProof/>
          <w:sz w:val="20"/>
        </w:rPr>
        <w:t>&amp;</w:t>
      </w:r>
      <w:r>
        <w:rPr>
          <w:noProof/>
          <w:sz w:val="20"/>
        </w:rPr>
        <w:t>S focuses on strengthening its business through various strategic partnerships. In March 2020, the company entered into partnership with Deliveroo and BP to deliver basic essentials for households in self-isolation due to the Corona pandemic. Under this partnership, M&amp;S enables customers to order selected range of 60 M&amp;S products through Deliveroo app.</w:t>
      </w:r>
    </w:p>
    <w:p w:rsidR="00890ADB" w:rsidP="00890ADB">
      <w:pPr>
        <w:pStyle w:val="DMVMGeneralHeading3ARF"/>
      </w:pPr>
    </w:p>
    <w:p w:rsidR="00890ADB" w:rsidRPr="000F79D8" w:rsidP="00890ADB">
      <w:pPr>
        <w:pStyle w:val="DMVMGeneralHeading3ARF"/>
        <w:rPr>
          <w:color w:val="2F283D"/>
          <w:sz w:val="20"/>
        </w:rPr>
      </w:pPr>
      <w:r w:rsidRPr="00762DBA" w:rsidR="00762DBA">
        <w:rPr>
          <w:noProof/>
          <w:color w:val="2F283D"/>
          <w:sz w:val="20"/>
        </w:rPr>
        <w:t>Opportunities</w:t>
      </w:r>
      <w:r w:rsidRPr="000F79D8">
        <w:rPr>
          <w:color w:val="2F283D"/>
          <w:sz w:val="20"/>
        </w:rPr>
        <w:t xml:space="preserve"> </w:t>
      </w:r>
      <w:r w:rsidRPr="00762DBA" w:rsidR="00762DBA">
        <w:rPr>
          <w:noProof/>
          <w:color w:val="2F283D"/>
          <w:sz w:val="20"/>
        </w:rPr>
        <w:t>-</w:t>
      </w:r>
      <w:r w:rsidRPr="00762DBA" w:rsidR="00762DBA">
        <w:rPr>
          <w:noProof/>
          <w:color w:val="2F283D"/>
          <w:sz w:val="20"/>
        </w:rPr>
        <w:t xml:space="preserve"> </w:t>
      </w:r>
      <w:r w:rsidRPr="00762DBA" w:rsidR="00762DBA">
        <w:rPr>
          <w:noProof/>
          <w:color w:val="2F283D"/>
          <w:sz w:val="20"/>
        </w:rPr>
        <w:t>Expanding</w:t>
      </w:r>
      <w:r w:rsidRPr="00762DBA" w:rsidR="00762DBA">
        <w:rPr>
          <w:noProof/>
          <w:color w:val="2F283D"/>
          <w:sz w:val="20"/>
        </w:rPr>
        <w:t xml:space="preserve"> </w:t>
      </w:r>
      <w:r>
        <w:rPr>
          <w:noProof/>
          <w:color w:val="2F283D"/>
          <w:sz w:val="20"/>
        </w:rPr>
        <w:t>retail</w:t>
      </w:r>
      <w:r>
        <w:rPr>
          <w:noProof/>
          <w:color w:val="2F283D"/>
          <w:sz w:val="20"/>
        </w:rPr>
        <w:t xml:space="preserve"> market in the UK</w:t>
      </w:r>
    </w:p>
    <w:p w:rsidR="00890ADB" w:rsidRPr="00AD24E2" w:rsidP="00890ADB">
      <w:pPr>
        <w:pStyle w:val="DMVMFrPgNormalARF"/>
        <w:rPr>
          <w:sz w:val="20"/>
        </w:rPr>
      </w:pPr>
      <w:r w:rsidRPr="00762DBA" w:rsidR="00762DBA">
        <w:rPr>
          <w:noProof/>
          <w:sz w:val="20"/>
        </w:rPr>
        <w:t>The</w:t>
      </w:r>
      <w:r>
        <w:rPr>
          <w:noProof/>
          <w:sz w:val="20"/>
        </w:rPr>
        <w:t xml:space="preserve"> </w:t>
      </w:r>
      <w:r>
        <w:rPr>
          <w:noProof/>
          <w:sz w:val="20"/>
        </w:rPr>
        <w:t>company stands to benefit from growing retail market in the UK. According to in-house research, retail market in the UK is expected to reach EUR52,669 million by 2022. The company prioritized development in both the existing and new markets. The Health and Beauty market is expected to lead the share of 27.3% towards the retail sales followed by clothing &amp; footwear with 24.8%, food &amp; grocery (20.2%), home wares (11.3%), DIY &amp; gardening (7.8%), furniture &amp; floor coverings (3.8%), electrical (2%) and other (7.3%). The company being a retailer of apparel, home and food products in the UK stands to benefit from the expanding retail market in the UK.</w:t>
      </w:r>
    </w:p>
    <w:p w:rsidR="00890ADB" w:rsidP="00890ADB">
      <w:pPr>
        <w:pStyle w:val="DMVMGeneralHeading3ARF"/>
      </w:pPr>
    </w:p>
    <w:p w:rsidR="00890ADB" w:rsidRPr="000F79D8" w:rsidP="00890ADB">
      <w:pPr>
        <w:pStyle w:val="DMVMGeneralHeading3ARF"/>
        <w:rPr>
          <w:color w:val="2F283D"/>
          <w:sz w:val="20"/>
        </w:rPr>
      </w:pPr>
      <w:r w:rsidRPr="00762DBA" w:rsidR="00762DBA">
        <w:rPr>
          <w:noProof/>
          <w:color w:val="2F283D"/>
          <w:sz w:val="20"/>
        </w:rPr>
        <w:t>Opportunities</w:t>
      </w:r>
      <w:r w:rsidRPr="000F79D8">
        <w:rPr>
          <w:color w:val="2F283D"/>
          <w:sz w:val="20"/>
        </w:rPr>
        <w:t xml:space="preserve"> </w:t>
      </w:r>
      <w:r w:rsidRPr="00762DBA" w:rsidR="00762DBA">
        <w:rPr>
          <w:noProof/>
          <w:color w:val="2F283D"/>
          <w:sz w:val="20"/>
        </w:rPr>
        <w:t>-</w:t>
      </w:r>
      <w:r w:rsidRPr="00762DBA" w:rsidR="00762DBA">
        <w:rPr>
          <w:noProof/>
          <w:color w:val="2F283D"/>
          <w:sz w:val="20"/>
        </w:rPr>
        <w:t xml:space="preserve"> </w:t>
      </w:r>
      <w:r w:rsidRPr="00762DBA" w:rsidR="00762DBA">
        <w:rPr>
          <w:noProof/>
          <w:color w:val="2F283D"/>
          <w:sz w:val="20"/>
        </w:rPr>
        <w:t>Positive</w:t>
      </w:r>
      <w:r w:rsidRPr="00762DBA" w:rsidR="00762DBA">
        <w:rPr>
          <w:noProof/>
          <w:color w:val="2F283D"/>
          <w:sz w:val="20"/>
        </w:rPr>
        <w:t xml:space="preserve"> </w:t>
      </w:r>
      <w:r>
        <w:rPr>
          <w:noProof/>
          <w:color w:val="2F283D"/>
          <w:sz w:val="20"/>
        </w:rPr>
        <w:t>outlook</w:t>
      </w:r>
      <w:r>
        <w:rPr>
          <w:noProof/>
          <w:color w:val="2F283D"/>
          <w:sz w:val="20"/>
        </w:rPr>
        <w:t xml:space="preserve"> for online retail market in the UK</w:t>
      </w:r>
    </w:p>
    <w:p w:rsidR="00890ADB" w:rsidRPr="00AD24E2" w:rsidP="00890ADB">
      <w:pPr>
        <w:pStyle w:val="DMVMFrPgNormalARF"/>
        <w:rPr>
          <w:sz w:val="20"/>
        </w:rPr>
      </w:pPr>
      <w:r w:rsidRPr="00762DBA" w:rsidR="00762DBA">
        <w:rPr>
          <w:noProof/>
          <w:sz w:val="20"/>
        </w:rPr>
        <w:t>M</w:t>
      </w:r>
      <w:r>
        <w:rPr>
          <w:noProof/>
          <w:sz w:val="20"/>
        </w:rPr>
        <w:t>&amp;</w:t>
      </w:r>
      <w:r>
        <w:rPr>
          <w:noProof/>
          <w:sz w:val="20"/>
        </w:rPr>
        <w:t>S stands to benefit from the growing online retail market in the UK, which provides consumers the convenience of shopping from home. With increase in interactive methods and limitless content, retail e-commerce is growing at a faster rate. According to in-house research, the online retail sector in the UK is forecast to reach a value of US$60.6 billion by 2022. The UK accounts for 23.9% of the European online retail sector value. Apparel retail is the largest segment of the market, accounting for 25.8% of the total value, followed by food and grocery retail (25.7%), electrical and electronics retail (23%), home and garden products (6.2%), furniture and floor coverings (4.5%), and footwear (4.1%). Other category accounted for 10.8%. Multi-Channel Retail was the leading mode of sales in the UK online retail sector, followed by online pureplay.</w:t>
      </w:r>
    </w:p>
    <w:p w:rsidR="00890ADB" w:rsidRPr="000F79D8" w:rsidP="00890ADB">
      <w:pPr>
        <w:pStyle w:val="DMVMGeneralHeading2ARF"/>
        <w:jc w:val="both"/>
        <w:rPr>
          <w:color w:val="2F283D"/>
        </w:rPr>
      </w:pPr>
    </w:p>
    <w:p w:rsidR="00890ADB" w:rsidRPr="000F79D8" w:rsidP="00890ADB">
      <w:pPr>
        <w:pStyle w:val="DMVMGeneralHeading2ARF"/>
        <w:spacing w:before="160" w:after="0"/>
        <w:rPr>
          <w:color w:val="2F283D"/>
        </w:rPr>
      </w:pPr>
      <w:r w:rsidRPr="00762DBA" w:rsidR="00762DBA">
        <w:rPr>
          <w:noProof/>
          <w:color w:val="2F283D"/>
        </w:rPr>
        <w:t>Marks</w:t>
      </w:r>
      <w:r w:rsidRPr="00762DBA" w:rsidR="00762DBA">
        <w:rPr>
          <w:noProof/>
          <w:color w:val="2F283D"/>
        </w:rPr>
        <w:t xml:space="preserve"> </w:t>
      </w:r>
      <w:r w:rsidRPr="00762DBA" w:rsidR="00762DBA">
        <w:rPr>
          <w:noProof/>
          <w:color w:val="2F283D"/>
        </w:rPr>
        <w:t>and</w:t>
      </w:r>
      <w:r w:rsidRPr="00762DBA" w:rsidR="00762DBA">
        <w:rPr>
          <w:noProof/>
          <w:color w:val="2F283D"/>
        </w:rPr>
        <w:t xml:space="preserve"> </w:t>
      </w:r>
      <w:r w:rsidRPr="00762DBA" w:rsidR="00762DBA">
        <w:rPr>
          <w:noProof/>
          <w:color w:val="2F283D"/>
        </w:rPr>
        <w:t>Spencer</w:t>
      </w:r>
      <w:r w:rsidRPr="00762DBA" w:rsidR="00762DBA">
        <w:rPr>
          <w:noProof/>
          <w:color w:val="2F283D"/>
        </w:rPr>
        <w:t xml:space="preserve"> </w:t>
      </w:r>
      <w:r>
        <w:rPr>
          <w:noProof/>
          <w:color w:val="2F283D"/>
        </w:rPr>
        <w:t>Group</w:t>
      </w:r>
      <w:r>
        <w:rPr>
          <w:noProof/>
          <w:color w:val="2F283D"/>
        </w:rPr>
        <w:t xml:space="preserve"> plc - Threats</w:t>
      </w:r>
    </w:p>
    <w:p w:rsidR="00890ADB" w:rsidP="00890ADB">
      <w:pPr>
        <w:pStyle w:val="DMVMGeneralHeading3ARF"/>
      </w:pPr>
    </w:p>
    <w:p w:rsidR="00890ADB" w:rsidRPr="000F79D8" w:rsidP="00890ADB">
      <w:pPr>
        <w:pStyle w:val="DMVMGeneralHeading3ARF"/>
        <w:rPr>
          <w:color w:val="2F283D"/>
          <w:sz w:val="20"/>
        </w:rPr>
      </w:pPr>
      <w:r w:rsidRPr="00762DBA" w:rsidR="00762DBA">
        <w:rPr>
          <w:noProof/>
          <w:color w:val="2F283D"/>
          <w:sz w:val="20"/>
        </w:rPr>
        <w:t>Threats</w:t>
      </w:r>
      <w:r w:rsidRPr="000F79D8">
        <w:rPr>
          <w:color w:val="2F283D"/>
          <w:sz w:val="20"/>
        </w:rPr>
        <w:t xml:space="preserve"> </w:t>
      </w:r>
      <w:r w:rsidRPr="00762DBA" w:rsidR="00762DBA">
        <w:rPr>
          <w:noProof/>
          <w:color w:val="2F283D"/>
          <w:sz w:val="20"/>
        </w:rPr>
        <w:t>-</w:t>
      </w:r>
      <w:r w:rsidRPr="00762DBA" w:rsidR="00762DBA">
        <w:rPr>
          <w:noProof/>
          <w:color w:val="2F283D"/>
          <w:sz w:val="20"/>
        </w:rPr>
        <w:t xml:space="preserve"> </w:t>
      </w:r>
      <w:r w:rsidRPr="00762DBA" w:rsidR="00762DBA">
        <w:rPr>
          <w:noProof/>
          <w:color w:val="2F283D"/>
          <w:sz w:val="20"/>
        </w:rPr>
        <w:t>Labor</w:t>
      </w:r>
      <w:r w:rsidRPr="00762DBA" w:rsidR="00762DBA">
        <w:rPr>
          <w:noProof/>
          <w:color w:val="2F283D"/>
          <w:sz w:val="20"/>
        </w:rPr>
        <w:t xml:space="preserve"> </w:t>
      </w:r>
      <w:r>
        <w:rPr>
          <w:noProof/>
          <w:color w:val="2F283D"/>
          <w:sz w:val="20"/>
        </w:rPr>
        <w:t>costs</w:t>
      </w:r>
      <w:r>
        <w:rPr>
          <w:noProof/>
          <w:color w:val="2F283D"/>
          <w:sz w:val="20"/>
        </w:rPr>
        <w:t xml:space="preserve"> in the UK</w:t>
      </w:r>
    </w:p>
    <w:p w:rsidR="00890ADB" w:rsidRPr="00AD24E2" w:rsidP="00890ADB">
      <w:pPr>
        <w:pStyle w:val="DMVMFrPgNormalARF"/>
        <w:rPr>
          <w:sz w:val="20"/>
        </w:rPr>
      </w:pPr>
      <w:r w:rsidRPr="00762DBA" w:rsidR="00762DBA">
        <w:rPr>
          <w:noProof/>
          <w:sz w:val="20"/>
        </w:rPr>
        <w:t>Increasing</w:t>
      </w:r>
      <w:r>
        <w:rPr>
          <w:noProof/>
          <w:sz w:val="20"/>
        </w:rPr>
        <w:t xml:space="preserve"> </w:t>
      </w:r>
      <w:r>
        <w:rPr>
          <w:noProof/>
          <w:sz w:val="20"/>
        </w:rPr>
        <w:t>manpower costs could have a negative effect on the company. In FY2019, the company employed 75,505 people. Further rise in the rising wages could increase the operating costs of the company. The tight labor markets, government mandated increases in minimum wages and a higher proportion of full-time employees are resulting in an increase in labor costs. According to the government of UK, the minimum wage rates increased to GBP8.2 in April 2019 for workers aged 25 and above from GBP7.8 in April 2018. During the same period, the hourly wage rates for workers in the age group of 18 to 20 increased from GBP6.1 to GBP5.9. The hourly wage rates for the group of workers aged less than 18 grew from GBP4.2 in April 2018 to GBP4.3 in April 2019 and for workers in 21 to 24 years age group, wages increased to GBP7.7 from April 2019 from GBP7.4 in April 2018.</w:t>
      </w:r>
    </w:p>
    <w:p w:rsidR="00890ADB" w:rsidP="00890ADB">
      <w:pPr>
        <w:pStyle w:val="DMVMGeneralHeading3ARF"/>
      </w:pPr>
    </w:p>
    <w:p w:rsidR="00890ADB" w:rsidRPr="000F79D8" w:rsidP="00890ADB">
      <w:pPr>
        <w:pStyle w:val="DMVMGeneralHeading3ARF"/>
        <w:rPr>
          <w:color w:val="2F283D"/>
          <w:sz w:val="20"/>
        </w:rPr>
      </w:pPr>
      <w:r w:rsidRPr="00762DBA" w:rsidR="00762DBA">
        <w:rPr>
          <w:noProof/>
          <w:color w:val="2F283D"/>
          <w:sz w:val="20"/>
        </w:rPr>
        <w:t>Threats</w:t>
      </w:r>
      <w:r w:rsidRPr="000F79D8">
        <w:rPr>
          <w:color w:val="2F283D"/>
          <w:sz w:val="20"/>
        </w:rPr>
        <w:t xml:space="preserve"> </w:t>
      </w:r>
      <w:r w:rsidRPr="00762DBA" w:rsidR="00762DBA">
        <w:rPr>
          <w:noProof/>
          <w:color w:val="2F283D"/>
          <w:sz w:val="20"/>
        </w:rPr>
        <w:t>-</w:t>
      </w:r>
      <w:r w:rsidRPr="00762DBA" w:rsidR="00762DBA">
        <w:rPr>
          <w:noProof/>
          <w:color w:val="2F283D"/>
          <w:sz w:val="20"/>
        </w:rPr>
        <w:t xml:space="preserve"> </w:t>
      </w:r>
      <w:r w:rsidRPr="00762DBA" w:rsidR="00762DBA">
        <w:rPr>
          <w:noProof/>
          <w:color w:val="2F283D"/>
          <w:sz w:val="20"/>
        </w:rPr>
        <w:t>Changes</w:t>
      </w:r>
      <w:r w:rsidRPr="00762DBA" w:rsidR="00762DBA">
        <w:rPr>
          <w:noProof/>
          <w:color w:val="2F283D"/>
          <w:sz w:val="20"/>
        </w:rPr>
        <w:t xml:space="preserve"> </w:t>
      </w:r>
      <w:r>
        <w:rPr>
          <w:noProof/>
          <w:color w:val="2F283D"/>
          <w:sz w:val="20"/>
        </w:rPr>
        <w:t>in</w:t>
      </w:r>
      <w:r>
        <w:rPr>
          <w:noProof/>
          <w:color w:val="2F283D"/>
          <w:sz w:val="20"/>
        </w:rPr>
        <w:t xml:space="preserve"> fashion trends</w:t>
      </w:r>
    </w:p>
    <w:p w:rsidR="00890ADB" w:rsidRPr="00AD24E2" w:rsidP="00890ADB">
      <w:pPr>
        <w:pStyle w:val="DMVMFrPgNormalARF"/>
        <w:rPr>
          <w:sz w:val="20"/>
        </w:rPr>
      </w:pPr>
      <w:r w:rsidRPr="00762DBA" w:rsidR="00762DBA">
        <w:rPr>
          <w:noProof/>
          <w:sz w:val="20"/>
        </w:rPr>
        <w:t>M</w:t>
      </w:r>
      <w:r>
        <w:rPr>
          <w:noProof/>
          <w:sz w:val="20"/>
        </w:rPr>
        <w:t>&amp;</w:t>
      </w:r>
      <w:r>
        <w:rPr>
          <w:noProof/>
          <w:sz w:val="20"/>
        </w:rPr>
        <w:t>S’s performance could be impacted by the frequent evolution in the fashion trends. The rate of change in fashion trends has been increasing over the years, thereby forcing companies such as M&amp;S to constantly update its product offerings with the latest market trends. To adopt the latest fashion trends, customers often shift their loyalties to those brands that offer these trendy merchandises. Inability of the company to change or update its collection, according to the fashion trends and varying customer preferences could negatively affect its customer base.</w:t>
      </w:r>
    </w:p>
    <w:p w:rsidR="00890ADB" w:rsidP="00890ADB">
      <w:pPr>
        <w:pStyle w:val="DMVMGeneralHeading3ARF"/>
      </w:pPr>
    </w:p>
    <w:p w:rsidR="00890ADB" w:rsidRPr="000F79D8" w:rsidP="00890ADB">
      <w:pPr>
        <w:pStyle w:val="DMVMGeneralHeading3ARF"/>
        <w:rPr>
          <w:color w:val="2F283D"/>
          <w:sz w:val="20"/>
        </w:rPr>
      </w:pPr>
      <w:r w:rsidRPr="00762DBA" w:rsidR="00762DBA">
        <w:rPr>
          <w:noProof/>
          <w:color w:val="2F283D"/>
          <w:sz w:val="20"/>
        </w:rPr>
        <w:t>Threats</w:t>
      </w:r>
      <w:r w:rsidRPr="000F79D8">
        <w:rPr>
          <w:color w:val="2F283D"/>
          <w:sz w:val="20"/>
        </w:rPr>
        <w:t xml:space="preserve"> </w:t>
      </w:r>
      <w:r w:rsidRPr="00762DBA" w:rsidR="00762DBA">
        <w:rPr>
          <w:noProof/>
          <w:color w:val="2F283D"/>
          <w:sz w:val="20"/>
        </w:rPr>
        <w:t>-</w:t>
      </w:r>
      <w:r w:rsidRPr="00762DBA" w:rsidR="00762DBA">
        <w:rPr>
          <w:noProof/>
          <w:color w:val="2F283D"/>
          <w:sz w:val="20"/>
        </w:rPr>
        <w:t xml:space="preserve"> </w:t>
      </w:r>
      <w:r w:rsidRPr="00762DBA" w:rsidR="00762DBA">
        <w:rPr>
          <w:noProof/>
          <w:color w:val="2F283D"/>
          <w:sz w:val="20"/>
        </w:rPr>
        <w:t>Extensive</w:t>
      </w:r>
      <w:r w:rsidRPr="00762DBA" w:rsidR="00762DBA">
        <w:rPr>
          <w:noProof/>
          <w:color w:val="2F283D"/>
          <w:sz w:val="20"/>
        </w:rPr>
        <w:t xml:space="preserve"> </w:t>
      </w:r>
      <w:r>
        <w:rPr>
          <w:noProof/>
          <w:color w:val="2F283D"/>
          <w:sz w:val="20"/>
        </w:rPr>
        <w:t>competitive</w:t>
      </w:r>
      <w:r>
        <w:rPr>
          <w:noProof/>
          <w:color w:val="2F283D"/>
          <w:sz w:val="20"/>
        </w:rPr>
        <w:t xml:space="preserve"> environment</w:t>
      </w:r>
    </w:p>
    <w:p w:rsidR="00890ADB" w:rsidRPr="00AD24E2" w:rsidP="00890ADB">
      <w:pPr>
        <w:pStyle w:val="DMVMFrPgNormalARF"/>
        <w:rPr>
          <w:sz w:val="20"/>
        </w:rPr>
      </w:pPr>
      <w:r w:rsidRPr="00762DBA" w:rsidR="00762DBA">
        <w:rPr>
          <w:noProof/>
          <w:sz w:val="20"/>
        </w:rPr>
        <w:t>M</w:t>
      </w:r>
      <w:r>
        <w:rPr>
          <w:noProof/>
          <w:sz w:val="20"/>
        </w:rPr>
        <w:t>&amp;</w:t>
      </w:r>
      <w:r>
        <w:rPr>
          <w:noProof/>
          <w:sz w:val="20"/>
        </w:rPr>
        <w:t>S operates in a highly competitive retail market. The factors that determine the level of competition within the industry include price, breadth of offerings, quality, store location, service and marketing and promotional activities. Its major competitors include Asda Stores Ltd, French Connection Group Plc, Debenhams plc, H &amp; M Hennes &amp; Mauritz AB, J Sainsbury plc, Selfridges Retail Ltd, Inditex SA and Tesco PLC. Some of these competitors have higher operating histories, technical, marketing, distribution and support resources; greater brand recognition and higher financial capability than the company, could restrict the creation of innovative products and business expansion.</w:t>
      </w:r>
    </w:p>
    <w:p w:rsidR="00D3440D" w:rsidP="00B27BB2">
      <w:pPr>
        <w:pStyle w:val="DMVMGeneralHeading2ARF"/>
        <w:spacing w:before="160" w:after="100"/>
      </w:pPr>
    </w:p>
    <w:p w:rsidR="005D7EE3" w:rsidRPr="001410A7" w:rsidP="001410A7">
      <w:pPr>
        <w:tabs>
          <w:tab w:val="left" w:pos="1920"/>
        </w:tabs>
        <w:jc w:val="left"/>
        <w:rPr>
          <w:lang w:val="en-GB" w:eastAsia="en-GB"/>
        </w:rPr>
      </w:pPr>
      <w:r>
        <w:rPr>
          <w:lang w:val="en-GB" w:eastAsia="en-GB"/>
        </w:rPr>
        <w:tab/>
      </w:r>
      <w:r w:rsidRPr="001410A7">
        <w:rPr>
          <w:lang w:val="en-GB" w:eastAsia="en-GB"/>
        </w:rPr>
        <w:br/>
      </w:r>
      <w:r w:rsidRPr="001410A7">
        <w:rPr>
          <w:lang w:val="en-GB" w:eastAsia="en-GB"/>
        </w:rPr>
        <w:br/>
      </w:r>
      <w:r>
        <w:t xml:space="preserve">Disclaimer: </w:t>
      </w:r>
      <w:r>
        <w:br/>
      </w:r>
      <w:r>
        <w:br/>
      </w:r>
      <w:r>
        <w:t>All Rights Reserved.</w:t>
      </w:r>
      <w:r>
        <w:br/>
      </w:r>
      <w:r>
        <w:br/>
      </w:r>
      <w:r>
        <w:t xml:space="preserve">This information has been extracted from MarketLine by a registered user </w:t>
      </w:r>
      <w:r>
        <w:br/>
      </w:r>
      <w:r>
        <w:br/>
      </w:r>
      <w:r>
        <w:t>No part of this publication may be reproduced, stored in a retrieval system or transmitted in any form by any means, electronic, mechanical, photocopying, recording or otherwise, without the prior permission of the publisher, MarketLine.</w:t>
      </w:r>
      <w:r>
        <w:br/>
      </w:r>
      <w:r>
        <w:br/>
      </w:r>
      <w:r>
        <w:t>The facts of this report are believed to be correct at the time of publication but cannot be guaranteed. Please note that the findings, conclusions and recommendations that MarketLine delivers will be based on information gathered in good faith from both primary and secondary sources, whose accuracy we are not always in a position to guarantee. As such MarketLine can accept no liability whatever for actions taken based on any information that may subsequently prove to be incorrect.</w:t>
      </w:r>
    </w:p>
    <w:sectPr w:rsidSect="00D505DA">
      <w:headerReference w:type="even" r:id="rId5"/>
      <w:headerReference w:type="default" r:id="rId6"/>
      <w:footerReference w:type="even" r:id="rId7"/>
      <w:footerReference w:type="default" r:id="rId8"/>
      <w:headerReference w:type="first" r:id="rId9"/>
      <w:footerReference w:type="first" r:id="rId10"/>
      <w:pgSz w:w="11907" w:h="16839" w:code="9"/>
      <w:pgMar w:top="800" w:right="1800" w:bottom="800" w:left="1800" w:header="708" w:footer="708" w:gutter="0"/>
      <w:cols w:space="708"/>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62DBA">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Borders>
        <w:top w:val="single" w:sz="4" w:space="0" w:color="4F81BD" w:themeColor="accent1"/>
      </w:tblBorders>
      <w:tblLayout w:type="fixed"/>
      <w:tblCellMar>
        <w:left w:w="0" w:type="dxa"/>
        <w:right w:w="0" w:type="dxa"/>
      </w:tblCellMar>
      <w:tblLook w:val="0000"/>
    </w:tblPr>
    <w:tblGrid>
      <w:gridCol w:w="8307"/>
    </w:tblGrid>
    <w:tr w:rsidTr="00762DBA">
      <w:tblPrEx>
        <w:tblW w:w="5000" w:type="pct"/>
        <w:tblBorders>
          <w:top w:val="single" w:sz="4" w:space="0" w:color="4F81BD" w:themeColor="accent1"/>
        </w:tblBorders>
        <w:tblLayout w:type="fixed"/>
        <w:tblCellMar>
          <w:left w:w="0" w:type="dxa"/>
          <w:right w:w="0" w:type="dxa"/>
        </w:tblCellMar>
        <w:tblLook w:val="0000"/>
      </w:tblPrEx>
      <w:trPr>
        <w:trHeight w:val="132"/>
      </w:trPr>
      <w:tc>
        <w:tcPr>
          <w:tcW w:w="8307" w:type="dxa"/>
        </w:tcPr>
        <w:p w:rsidR="000F79D8" w:rsidP="007729EE">
          <w:pPr>
            <w:rPr>
              <w:rFonts w:ascii="Arial" w:eastAsia="Arial" w:hAnsi="Arial" w:cs="Arial"/>
              <w:color w:val="4E7EA0"/>
              <w:sz w:val="20"/>
            </w:rPr>
          </w:pPr>
        </w:p>
      </w:tc>
    </w:tr>
    <w:tr w:rsidTr="00762DBA">
      <w:tblPrEx>
        <w:tblW w:w="5000" w:type="pct"/>
        <w:tblBorders>
          <w:top w:val="single" w:sz="4" w:space="0" w:color="4F81BD" w:themeColor="accent1"/>
        </w:tblBorders>
        <w:tblLayout w:type="fixed"/>
        <w:tblCellMar>
          <w:left w:w="0" w:type="dxa"/>
          <w:right w:w="0" w:type="dxa"/>
        </w:tblCellMar>
        <w:tblLook w:val="0000"/>
      </w:tblPrEx>
      <w:trPr>
        <w:trHeight w:val="125"/>
      </w:trPr>
      <w:tc>
        <w:tcPr>
          <w:tcW w:w="8307" w:type="dxa"/>
        </w:tcPr>
        <w:tbl>
          <w:tblPr>
            <w:tblW w:w="5000" w:type="pct"/>
            <w:tblLayout w:type="fixed"/>
            <w:tblCellMar>
              <w:left w:w="0" w:type="dxa"/>
              <w:right w:w="0" w:type="dxa"/>
            </w:tblCellMar>
            <w:tblLook w:val="0000"/>
          </w:tblPr>
          <w:tblGrid>
            <w:gridCol w:w="8307"/>
          </w:tblGrid>
          <w:tr w:rsidTr="00DE4C4B">
            <w:tblPrEx>
              <w:tblW w:w="5000" w:type="pct"/>
              <w:tblLayout w:type="fixed"/>
              <w:tblCellMar>
                <w:left w:w="0" w:type="dxa"/>
                <w:right w:w="0" w:type="dxa"/>
              </w:tblCellMar>
              <w:tblLook w:val="0000"/>
            </w:tblPrEx>
            <w:trPr>
              <w:trHeight w:val="125"/>
            </w:trPr>
            <w:tc>
              <w:tcPr>
                <w:tcW w:w="8307" w:type="dxa"/>
                <w:vAlign w:val="center"/>
              </w:tcPr>
              <w:p w:rsidR="00762DBA" w:rsidRPr="009B3685" w:rsidP="00DE4C4B">
                <w:pPr>
                  <w:pStyle w:val="DMVMFrPgTableBodyARF"/>
                  <w:tabs>
                    <w:tab w:val="left" w:pos="1644"/>
                  </w:tabs>
                  <w:jc w:val="both"/>
                  <w:rPr>
                    <w:color w:val="4E7EA0"/>
                    <w:sz w:val="20"/>
                  </w:rPr>
                </w:pPr>
                <w:r w:rsidRPr="009B3685">
                  <w:rPr>
                    <w:color w:val="4F81BD" w:themeColor="accent1"/>
                    <w:sz w:val="20"/>
                  </w:rPr>
                  <w:t>Published</w:t>
                </w:r>
                <w:r w:rsidRPr="009B3685">
                  <w:rPr>
                    <w:color w:val="4E7EA0"/>
                    <w:sz w:val="20"/>
                  </w:rPr>
                  <w:t xml:space="preserve">: </w:t>
                </w:r>
                <w:r w:rsidRPr="009B3685">
                  <w:rPr>
                    <w:noProof/>
                    <w:color w:val="4F81BD" w:themeColor="accent1"/>
                  </w:rPr>
                  <w:t>13</w:t>
                </w:r>
                <w:r w:rsidRPr="009B3685">
                  <w:rPr>
                    <w:color w:val="4F81BD" w:themeColor="accent1"/>
                  </w:rPr>
                  <w:t xml:space="preserve"> </w:t>
                </w:r>
                <w:r w:rsidRPr="009B3685">
                  <w:rPr>
                    <w:color w:val="4F81BD" w:themeColor="accent1"/>
                  </w:rPr>
                  <w:t>Jan 2021</w:t>
                </w:r>
                <w:r w:rsidRPr="009B3685">
                  <w:rPr>
                    <w:b/>
                    <w:noProof/>
                    <w:sz w:val="20"/>
                  </w:rPr>
                  <w:t xml:space="preserve">                                                                                   </w:t>
                </w:r>
                <w:r w:rsidRPr="009B3685">
                  <w:rPr>
                    <w:color w:val="4F81BD" w:themeColor="accent1"/>
                    <w:sz w:val="20"/>
                  </w:rPr>
                  <w:t xml:space="preserve">Page </w:t>
                </w:r>
                <w:r w:rsidRPr="009B3685">
                  <w:rPr>
                    <w:color w:val="4F81BD" w:themeColor="accent1"/>
                    <w:sz w:val="20"/>
                  </w:rPr>
                  <w:fldChar w:fldCharType="begin"/>
                </w:r>
                <w:r w:rsidRPr="009B3685">
                  <w:rPr>
                    <w:color w:val="4F81BD" w:themeColor="accent1"/>
                    <w:sz w:val="20"/>
                  </w:rPr>
                  <w:instrText>PAGE</w:instrText>
                </w:r>
                <w:r w:rsidRPr="009B3685">
                  <w:rPr>
                    <w:color w:val="4F81BD" w:themeColor="accent1"/>
                    <w:sz w:val="20"/>
                  </w:rPr>
                  <w:fldChar w:fldCharType="separate"/>
                </w:r>
                <w:r w:rsidRPr="009B3685">
                  <w:rPr>
                    <w:rStyle w:val="DefaultParagraphFont"/>
                    <w:rFonts w:ascii="Arial" w:eastAsia="Arial" w:hAnsi="Arial" w:cs="Arial"/>
                    <w:color w:val="4F81BD" w:themeColor="accent1"/>
                    <w:sz w:val="20"/>
                  </w:rPr>
                  <w:t>3</w:t>
                </w:r>
                <w:r w:rsidRPr="009B3685">
                  <w:rPr>
                    <w:color w:val="4F81BD" w:themeColor="accent1"/>
                    <w:sz w:val="20"/>
                  </w:rPr>
                  <w:fldChar w:fldCharType="end"/>
                </w:r>
              </w:p>
            </w:tc>
          </w:tr>
        </w:tbl>
        <w:p w:rsidR="00762DBA" w:rsidRPr="009B3685" w:rsidP="00335CEF">
          <w:pPr>
            <w:pStyle w:val="Footer"/>
            <w:rPr>
              <w:b w:val="0"/>
              <w:color w:val="4F81BD" w:themeColor="accent1"/>
            </w:rPr>
          </w:pPr>
          <w:r w:rsidRPr="009B3685">
            <w:rPr>
              <w:b w:val="0"/>
              <w:color w:val="4F81BD" w:themeColor="accent1"/>
            </w:rPr>
            <w:t xml:space="preserve">Extracted:  </w:t>
          </w:r>
          <w:r w:rsidRPr="009B3685">
            <w:rPr>
              <w:b w:val="0"/>
              <w:color w:val="4F81BD" w:themeColor="accent1"/>
              <w:sz w:val="18"/>
              <w:szCs w:val="18"/>
            </w:rPr>
            <w:fldChar w:fldCharType="begin"/>
          </w:r>
          <w:r w:rsidRPr="009B3685">
            <w:rPr>
              <w:b w:val="0"/>
              <w:color w:val="4F81BD" w:themeColor="accent1"/>
              <w:sz w:val="18"/>
              <w:szCs w:val="18"/>
            </w:rPr>
            <w:instrText xml:space="preserve"> DATE  \@ "dd MMM yyyy" </w:instrText>
          </w:r>
          <w:r w:rsidRPr="009B3685">
            <w:rPr>
              <w:b w:val="0"/>
              <w:color w:val="4F81BD" w:themeColor="accent1"/>
              <w:sz w:val="18"/>
              <w:szCs w:val="18"/>
            </w:rPr>
            <w:fldChar w:fldCharType="separate"/>
          </w:r>
          <w:r w:rsidRPr="009B3685">
            <w:rPr>
              <w:rStyle w:val="DefaultParagraphFont"/>
              <w:rFonts w:ascii="Arial" w:eastAsia="Arial" w:hAnsi="Arial" w:cs="Arial"/>
              <w:b w:val="0"/>
              <w:color w:val="4F81BD" w:themeColor="accent1"/>
              <w:sz w:val="18"/>
              <w:szCs w:val="18"/>
            </w:rPr>
            <w:t>04 May 2021</w:t>
          </w:r>
          <w:r w:rsidRPr="009B3685">
            <w:rPr>
              <w:b w:val="0"/>
              <w:color w:val="4F81BD" w:themeColor="accent1"/>
              <w:sz w:val="18"/>
              <w:szCs w:val="18"/>
            </w:rPr>
            <w:fldChar w:fldCharType="end"/>
          </w:r>
        </w:p>
      </w:tc>
    </w:tr>
  </w:tbl>
  <w:p w:rsidR="000F79D8" w:rsidRPr="00D32547" w:rsidP="00762DBA">
    <w:pPr>
      <w:pStyle w:val="Footer"/>
    </w:pPr>
    <w:bookmarkStart w:id="0" w:name="_GoBack"/>
    <w:bookmarkEnd w:id="0"/>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Layout w:type="fixed"/>
      <w:tblCellMar>
        <w:left w:w="0" w:type="dxa"/>
        <w:right w:w="0" w:type="dxa"/>
      </w:tblCellMar>
      <w:tblLook w:val="0000"/>
    </w:tblPr>
    <w:tblGrid>
      <w:gridCol w:w="8307"/>
    </w:tblGrid>
    <w:tr w:rsidTr="00762DBA">
      <w:tblPrEx>
        <w:tblW w:w="5000" w:type="pct"/>
        <w:tblLayout w:type="fixed"/>
        <w:tblCellMar>
          <w:left w:w="0" w:type="dxa"/>
          <w:right w:w="0" w:type="dxa"/>
        </w:tblCellMar>
        <w:tblLook w:val="0000"/>
      </w:tblPrEx>
      <w:trPr>
        <w:trHeight w:val="132"/>
      </w:trPr>
      <w:tc>
        <w:tcPr>
          <w:tcW w:w="8307" w:type="dxa"/>
          <w:tcBorders>
            <w:top w:val="single" w:sz="4" w:space="0" w:color="4F81BD" w:themeColor="accent1"/>
          </w:tcBorders>
        </w:tcPr>
        <w:p w:rsidR="000F79D8" w:rsidP="007729EE">
          <w:pPr>
            <w:rPr>
              <w:rFonts w:ascii="Arial" w:eastAsia="Arial" w:hAnsi="Arial" w:cs="Arial"/>
              <w:color w:val="4E7EA0"/>
              <w:sz w:val="20"/>
            </w:rPr>
          </w:pPr>
        </w:p>
      </w:tc>
    </w:tr>
    <w:tr w:rsidTr="00335CEF">
      <w:tblPrEx>
        <w:tblW w:w="5000" w:type="pct"/>
        <w:tblLayout w:type="fixed"/>
        <w:tblCellMar>
          <w:left w:w="0" w:type="dxa"/>
          <w:right w:w="0" w:type="dxa"/>
        </w:tblCellMar>
        <w:tblLook w:val="0000"/>
      </w:tblPrEx>
      <w:trPr>
        <w:trHeight w:val="125"/>
      </w:trPr>
      <w:tc>
        <w:tcPr>
          <w:tcW w:w="8307" w:type="dxa"/>
          <w:vAlign w:val="center"/>
        </w:tcPr>
        <w:p w:rsidR="00762DBA" w:rsidP="00335CEF">
          <w:pPr>
            <w:pStyle w:val="DMVMFrPgTableBodyARF"/>
            <w:tabs>
              <w:tab w:val="left" w:pos="1644"/>
            </w:tabs>
            <w:jc w:val="both"/>
            <w:rPr>
              <w:color w:val="4E7EA0"/>
              <w:sz w:val="20"/>
            </w:rPr>
          </w:pPr>
          <w:r w:rsidRPr="00FA5CAD">
            <w:rPr>
              <w:color w:val="4F81BD" w:themeColor="accent1"/>
              <w:sz w:val="20"/>
            </w:rPr>
            <w:t>Published</w:t>
          </w:r>
          <w:r>
            <w:rPr>
              <w:color w:val="4E7EA0"/>
              <w:sz w:val="20"/>
            </w:rPr>
            <w:t xml:space="preserve">: </w:t>
          </w:r>
          <w:r>
            <w:rPr>
              <w:noProof/>
              <w:color w:val="4F81BD" w:themeColor="accent1"/>
            </w:rPr>
            <w:t>13</w:t>
          </w:r>
          <w:r>
            <w:rPr>
              <w:color w:val="4F81BD" w:themeColor="accent1"/>
            </w:rPr>
            <w:t xml:space="preserve"> </w:t>
          </w:r>
          <w:r>
            <w:rPr>
              <w:color w:val="4F81BD" w:themeColor="accent1"/>
            </w:rPr>
            <w:t>Jan 2021</w:t>
          </w:r>
          <w:r>
            <w:rPr>
              <w:b/>
              <w:noProof/>
              <w:sz w:val="20"/>
            </w:rPr>
            <w:t xml:space="preserve">                                                                                   </w:t>
          </w:r>
          <w:r w:rsidRPr="00FA5CAD">
            <w:rPr>
              <w:color w:val="4F81BD" w:themeColor="accent1"/>
              <w:sz w:val="20"/>
            </w:rPr>
            <w:t xml:space="preserve">Page </w:t>
          </w:r>
          <w:r w:rsidRPr="00FA5CAD">
            <w:rPr>
              <w:color w:val="4F81BD" w:themeColor="accent1"/>
              <w:sz w:val="20"/>
            </w:rPr>
            <w:fldChar w:fldCharType="begin"/>
          </w:r>
          <w:r w:rsidRPr="00FA5CAD">
            <w:rPr>
              <w:color w:val="4F81BD" w:themeColor="accent1"/>
              <w:sz w:val="20"/>
            </w:rPr>
            <w:instrText>PAGE</w:instrText>
          </w:r>
          <w:r w:rsidRPr="00FA5CAD">
            <w:rPr>
              <w:color w:val="4F81BD" w:themeColor="accent1"/>
              <w:sz w:val="20"/>
            </w:rPr>
            <w:fldChar w:fldCharType="separate"/>
          </w:r>
          <w:r w:rsidRPr="00FA5CAD">
            <w:rPr>
              <w:rStyle w:val="DefaultParagraphFont"/>
              <w:rFonts w:ascii="Arial" w:eastAsia="Arial" w:hAnsi="Arial" w:cs="Arial"/>
              <w:color w:val="4F81BD" w:themeColor="accent1"/>
              <w:sz w:val="20"/>
            </w:rPr>
            <w:t>1</w:t>
          </w:r>
          <w:r w:rsidRPr="00FA5CAD">
            <w:rPr>
              <w:color w:val="4F81BD" w:themeColor="accent1"/>
              <w:sz w:val="20"/>
            </w:rPr>
            <w:fldChar w:fldCharType="end"/>
          </w:r>
        </w:p>
      </w:tc>
    </w:tr>
  </w:tbl>
  <w:p w:rsidR="00762DBA" w:rsidRPr="008037F9" w:rsidP="00762DBA">
    <w:pPr>
      <w:pStyle w:val="Footer"/>
      <w:rPr>
        <w:b w:val="0"/>
        <w:color w:val="4F81BD" w:themeColor="accent1"/>
      </w:rPr>
    </w:pPr>
    <w:r w:rsidRPr="008037F9">
      <w:rPr>
        <w:b w:val="0"/>
        <w:color w:val="4F81BD" w:themeColor="accent1"/>
      </w:rPr>
      <w:t>Extracted:</w:t>
    </w:r>
    <w:r>
      <w:rPr>
        <w:b w:val="0"/>
        <w:color w:val="4F81BD" w:themeColor="accent1"/>
      </w:rPr>
      <w:t xml:space="preserve">  </w:t>
    </w:r>
    <w:r>
      <w:rPr>
        <w:b w:val="0"/>
        <w:color w:val="4F81BD" w:themeColor="accent1"/>
        <w:sz w:val="18"/>
        <w:szCs w:val="18"/>
      </w:rPr>
      <w:fldChar w:fldCharType="begin"/>
    </w:r>
    <w:r>
      <w:rPr>
        <w:b w:val="0"/>
        <w:color w:val="4F81BD" w:themeColor="accent1"/>
        <w:sz w:val="18"/>
        <w:szCs w:val="18"/>
      </w:rPr>
      <w:instrText xml:space="preserve"> DATE  \@ "dd MMM yyyy" </w:instrText>
    </w:r>
    <w:r>
      <w:rPr>
        <w:b w:val="0"/>
        <w:color w:val="4F81BD" w:themeColor="accent1"/>
        <w:sz w:val="18"/>
        <w:szCs w:val="18"/>
      </w:rPr>
      <w:fldChar w:fldCharType="separate"/>
    </w:r>
    <w:r>
      <w:rPr>
        <w:b w:val="0"/>
        <w:color w:val="4F81BD" w:themeColor="accent1"/>
        <w:sz w:val="18"/>
        <w:szCs w:val="18"/>
      </w:rPr>
      <w:t>04 May 2021</w:t>
    </w:r>
    <w:r>
      <w:rPr>
        <w:b w:val="0"/>
        <w:color w:val="4F81BD" w:themeColor="accent1"/>
        <w:sz w:val="18"/>
        <w:szCs w:val="18"/>
      </w:rPr>
      <w:fldChar w:fldCharType="end"/>
    </w:r>
    <w:r w:rsidRPr="00245D74">
      <w:rPr>
        <w:b w:val="0"/>
        <w:color w:val="4F81BD" w:themeColor="accent1"/>
      </w:rPr>
      <w:tab/>
    </w:r>
    <w:r>
      <w:rPr>
        <w:b w:val="0"/>
        <w:color w:val="4F81BD" w:themeColor="accent1"/>
      </w:rPr>
      <w:tab/>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62DBA">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Layout w:type="fixed"/>
      <w:tblCellMar>
        <w:left w:w="0" w:type="dxa"/>
        <w:right w:w="0" w:type="dxa"/>
      </w:tblCellMar>
      <w:tblLook w:val="0000"/>
    </w:tblPr>
    <w:tblGrid>
      <w:gridCol w:w="4320"/>
      <w:gridCol w:w="3987"/>
    </w:tblGrid>
    <w:tr w:rsidTr="00D505DA">
      <w:tblPrEx>
        <w:tblW w:w="5000" w:type="pct"/>
        <w:tblLayout w:type="fixed"/>
        <w:tblCellMar>
          <w:left w:w="0" w:type="dxa"/>
          <w:right w:w="0" w:type="dxa"/>
        </w:tblCellMar>
        <w:tblLook w:val="0000"/>
      </w:tblPrEx>
      <w:tc>
        <w:tcPr>
          <w:tcW w:w="4320" w:type="dxa"/>
          <w:tcBorders>
            <w:bottom w:val="thick" w:sz="0" w:space="0" w:color="4E7EA0"/>
          </w:tcBorders>
          <w:vAlign w:val="center"/>
        </w:tcPr>
        <w:p w:rsidR="000F79D8">
          <w:pPr>
            <w:pStyle w:val="Normal3"/>
            <w:rPr>
              <w:sz w:val="24"/>
            </w:rPr>
          </w:pPr>
          <w:r w:rsidRPr="00762DBA" w:rsidR="00762DBA">
            <w:rPr>
              <w:noProof/>
              <w:sz w:val="24"/>
            </w:rPr>
            <w:t>Marks</w:t>
          </w:r>
          <w:r>
            <w:rPr>
              <w:noProof/>
              <w:sz w:val="24"/>
            </w:rPr>
            <w:t xml:space="preserve"> </w:t>
          </w:r>
          <w:r>
            <w:rPr>
              <w:noProof/>
              <w:sz w:val="24"/>
            </w:rPr>
            <w:t>and Spencer Group plc</w:t>
          </w:r>
        </w:p>
      </w:tc>
      <w:tc>
        <w:tcPr>
          <w:tcW w:w="3987" w:type="dxa"/>
          <w:tcBorders>
            <w:bottom w:val="thick" w:sz="0" w:space="0" w:color="4E7EA0"/>
          </w:tcBorders>
          <w:vAlign w:val="center"/>
        </w:tcPr>
        <w:p w:rsidR="000F79D8">
          <w:pPr>
            <w:jc w:val="right"/>
            <w:rPr>
              <w:rFonts w:ascii="Arial" w:eastAsia="Arial" w:hAnsi="Arial" w:cs="Arial"/>
              <w:color w:val="5598BA"/>
            </w:rPr>
          </w:pPr>
          <w:r>
            <w:rPr>
              <w:rFonts w:ascii="Arial" w:eastAsia="Arial" w:hAnsi="Arial" w:cs="Arial"/>
              <w:color w:val="5598BA"/>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2049" type="#_x0000_t75" style="height:32pt;width:163pt">
                <v:imagedata r:id="rId1" o:title=""/>
              </v:shape>
            </w:pict>
          </w:r>
        </w:p>
      </w:tc>
    </w:tr>
  </w:tbl>
  <w:p w:rsidR="000F79D8"/>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Borders>
        <w:top w:val="nil"/>
        <w:left w:val="nil"/>
        <w:bottom w:val="nil"/>
        <w:right w:val="nil"/>
        <w:insideH w:val="nil"/>
        <w:insideV w:val="nil"/>
      </w:tblBorders>
      <w:tblCellMar>
        <w:left w:w="0" w:type="dxa"/>
        <w:right w:w="0" w:type="dxa"/>
      </w:tblCellMar>
      <w:tblLook w:val="0000"/>
    </w:tblPr>
    <w:tblGrid>
      <w:gridCol w:w="4316"/>
      <w:gridCol w:w="3991"/>
    </w:tblGrid>
    <w:tr w:rsidTr="008E2A67">
      <w:tblPrEx>
        <w:tblW w:w="5000" w:type="pct"/>
        <w:tblBorders>
          <w:top w:val="nil"/>
          <w:left w:val="nil"/>
          <w:bottom w:val="nil"/>
          <w:right w:val="nil"/>
          <w:insideH w:val="nil"/>
          <w:insideV w:val="nil"/>
        </w:tblBorders>
        <w:tblCellMar>
          <w:left w:w="0" w:type="dxa"/>
          <w:right w:w="0" w:type="dxa"/>
        </w:tblCellMar>
        <w:tblLook w:val="0000"/>
      </w:tblPrEx>
      <w:tc>
        <w:tcPr>
          <w:tcW w:w="2598" w:type="pct"/>
          <w:tcBorders>
            <w:bottom w:val="thick" w:sz="0" w:space="0" w:color="4E7EA0"/>
          </w:tcBorders>
          <w:vAlign w:val="center"/>
        </w:tcPr>
        <w:p w:rsidR="000F79D8">
          <w:pPr>
            <w:pStyle w:val="Normal3"/>
            <w:rPr>
              <w:sz w:val="24"/>
            </w:rPr>
          </w:pPr>
          <w:r w:rsidRPr="00762DBA" w:rsidR="00762DBA">
            <w:rPr>
              <w:noProof/>
              <w:sz w:val="24"/>
            </w:rPr>
            <w:t>Marks</w:t>
          </w:r>
          <w:r>
            <w:rPr>
              <w:noProof/>
              <w:sz w:val="24"/>
            </w:rPr>
            <w:t xml:space="preserve"> </w:t>
          </w:r>
          <w:r>
            <w:rPr>
              <w:noProof/>
              <w:sz w:val="24"/>
            </w:rPr>
            <w:t>and Spencer Group plc</w:t>
          </w:r>
        </w:p>
      </w:tc>
      <w:tc>
        <w:tcPr>
          <w:tcW w:w="2402" w:type="pct"/>
          <w:tcBorders>
            <w:bottom w:val="thick" w:sz="0" w:space="0" w:color="4E7EA0"/>
          </w:tcBorders>
          <w:vAlign w:val="center"/>
        </w:tcPr>
        <w:p w:rsidR="000F79D8">
          <w:pPr>
            <w:jc w:val="right"/>
            <w:rPr>
              <w:rFonts w:ascii="Arial" w:eastAsia="Arial" w:hAnsi="Arial" w:cs="Arial"/>
              <w:color w:val="5598BA"/>
            </w:rPr>
          </w:pPr>
          <w:r>
            <w:rPr>
              <w:rFonts w:ascii="Arial" w:eastAsia="Arial" w:hAnsi="Arial" w:cs="Arial"/>
              <w:color w:val="5598BA"/>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2050" type="#_x0000_t75" style="height:32pt;width:163pt">
                <v:imagedata r:id="rId1" o:title=""/>
              </v:shape>
            </w:pict>
          </w:r>
        </w:p>
      </w:tc>
    </w:tr>
  </w:tbl>
  <w:p w:rsidR="000F79D8"/>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7C"/>
    <w:multiLevelType w:val="singleLevel"/>
    <w:tmpl w:val="698C93CC"/>
    <w:lvl w:ilvl="0">
      <w:start w:val="1"/>
      <w:numFmt w:val="decimal"/>
      <w:lvlText w:val="%1."/>
      <w:lvlJc w:val="left"/>
      <w:pPr>
        <w:tabs>
          <w:tab w:val="num" w:pos="1492"/>
        </w:tabs>
        <w:ind w:left="1492" w:hanging="360"/>
      </w:pPr>
    </w:lvl>
  </w:abstractNum>
  <w:abstractNum w:abstractNumId="1">
    <w:nsid w:val="FFFFFF7D"/>
    <w:multiLevelType w:val="singleLevel"/>
    <w:tmpl w:val="A54CC9BA"/>
    <w:lvl w:ilvl="0">
      <w:start w:val="1"/>
      <w:numFmt w:val="decimal"/>
      <w:lvlText w:val="%1."/>
      <w:lvlJc w:val="left"/>
      <w:pPr>
        <w:tabs>
          <w:tab w:val="num" w:pos="1209"/>
        </w:tabs>
        <w:ind w:left="1209" w:hanging="360"/>
      </w:pPr>
    </w:lvl>
  </w:abstractNum>
  <w:abstractNum w:abstractNumId="2">
    <w:nsid w:val="FFFFFF7E"/>
    <w:multiLevelType w:val="singleLevel"/>
    <w:tmpl w:val="D7080A2C"/>
    <w:lvl w:ilvl="0">
      <w:start w:val="1"/>
      <w:numFmt w:val="decimal"/>
      <w:lvlText w:val="%1."/>
      <w:lvlJc w:val="left"/>
      <w:pPr>
        <w:tabs>
          <w:tab w:val="num" w:pos="926"/>
        </w:tabs>
        <w:ind w:left="926" w:hanging="360"/>
      </w:pPr>
    </w:lvl>
  </w:abstractNum>
  <w:abstractNum w:abstractNumId="3">
    <w:nsid w:val="FFFFFF7F"/>
    <w:multiLevelType w:val="singleLevel"/>
    <w:tmpl w:val="13364F8A"/>
    <w:lvl w:ilvl="0">
      <w:start w:val="1"/>
      <w:numFmt w:val="decimal"/>
      <w:lvlText w:val="%1."/>
      <w:lvlJc w:val="left"/>
      <w:pPr>
        <w:tabs>
          <w:tab w:val="num" w:pos="643"/>
        </w:tabs>
        <w:ind w:left="643" w:hanging="360"/>
      </w:pPr>
    </w:lvl>
  </w:abstractNum>
  <w:abstractNum w:abstractNumId="4">
    <w:nsid w:val="FFFFFF80"/>
    <w:multiLevelType w:val="singleLevel"/>
    <w:tmpl w:val="DF38E870"/>
    <w:lvl w:ilvl="0">
      <w:start w:val="1"/>
      <w:numFmt w:val="bullet"/>
      <w:lvlText w:val=""/>
      <w:lvlJc w:val="left"/>
      <w:pPr>
        <w:tabs>
          <w:tab w:val="num" w:pos="1492"/>
        </w:tabs>
        <w:ind w:left="1492" w:hanging="360"/>
      </w:pPr>
      <w:rPr>
        <w:rFonts w:ascii="Symbol" w:hAnsi="Symbol" w:hint="default"/>
      </w:rPr>
    </w:lvl>
  </w:abstractNum>
  <w:abstractNum w:abstractNumId="5">
    <w:nsid w:val="FFFFFF81"/>
    <w:multiLevelType w:val="singleLevel"/>
    <w:tmpl w:val="4A088F86"/>
    <w:lvl w:ilvl="0">
      <w:start w:val="1"/>
      <w:numFmt w:val="bullet"/>
      <w:lvlText w:val=""/>
      <w:lvlJc w:val="left"/>
      <w:pPr>
        <w:tabs>
          <w:tab w:val="num" w:pos="1209"/>
        </w:tabs>
        <w:ind w:left="1209" w:hanging="360"/>
      </w:pPr>
      <w:rPr>
        <w:rFonts w:ascii="Symbol" w:hAnsi="Symbol" w:hint="default"/>
      </w:rPr>
    </w:lvl>
  </w:abstractNum>
  <w:abstractNum w:abstractNumId="6">
    <w:nsid w:val="FFFFFF82"/>
    <w:multiLevelType w:val="singleLevel"/>
    <w:tmpl w:val="5080B5FA"/>
    <w:lvl w:ilvl="0">
      <w:start w:val="1"/>
      <w:numFmt w:val="bullet"/>
      <w:lvlText w:val=""/>
      <w:lvlJc w:val="left"/>
      <w:pPr>
        <w:tabs>
          <w:tab w:val="num" w:pos="926"/>
        </w:tabs>
        <w:ind w:left="926" w:hanging="360"/>
      </w:pPr>
      <w:rPr>
        <w:rFonts w:ascii="Symbol" w:hAnsi="Symbol" w:hint="default"/>
      </w:rPr>
    </w:lvl>
  </w:abstractNum>
  <w:abstractNum w:abstractNumId="7">
    <w:nsid w:val="FFFFFF83"/>
    <w:multiLevelType w:val="singleLevel"/>
    <w:tmpl w:val="A6E420D8"/>
    <w:lvl w:ilvl="0">
      <w:start w:val="1"/>
      <w:numFmt w:val="bullet"/>
      <w:lvlText w:val=""/>
      <w:lvlJc w:val="left"/>
      <w:pPr>
        <w:tabs>
          <w:tab w:val="num" w:pos="643"/>
        </w:tabs>
        <w:ind w:left="643" w:hanging="360"/>
      </w:pPr>
      <w:rPr>
        <w:rFonts w:ascii="Symbol" w:hAnsi="Symbol" w:hint="default"/>
      </w:rPr>
    </w:lvl>
  </w:abstractNum>
  <w:abstractNum w:abstractNumId="8">
    <w:nsid w:val="FFFFFF88"/>
    <w:multiLevelType w:val="singleLevel"/>
    <w:tmpl w:val="546C24C0"/>
    <w:lvl w:ilvl="0">
      <w:start w:val="1"/>
      <w:numFmt w:val="decimal"/>
      <w:lvlText w:val="%1."/>
      <w:lvlJc w:val="left"/>
      <w:pPr>
        <w:tabs>
          <w:tab w:val="num" w:pos="360"/>
        </w:tabs>
        <w:ind w:left="360" w:hanging="360"/>
      </w:pPr>
    </w:lvl>
  </w:abstractNum>
  <w:abstractNum w:abstractNumId="9">
    <w:nsid w:val="FFFFFF89"/>
    <w:multiLevelType w:val="singleLevel"/>
    <w:tmpl w:val="F8CA00D2"/>
    <w:lvl w:ilvl="0">
      <w:start w:val="1"/>
      <w:numFmt w:val="bullet"/>
      <w:lvlText w:val=""/>
      <w:lvlJc w:val="left"/>
      <w:pPr>
        <w:tabs>
          <w:tab w:val="num" w:pos="360"/>
        </w:tabs>
        <w:ind w:left="360" w:hanging="360"/>
      </w:pPr>
      <w:rPr>
        <w:rFonts w:ascii="Symbol" w:hAnsi="Symbol"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oNotTrackMoves/>
  <w:defaultTabStop w:val="720"/>
  <w:drawingGridHorizontalSpacing w:val="120"/>
  <w:displayHorizontalDrawingGridEvery w:val="2"/>
  <w:noPunctuationKerning/>
  <w:characterSpacingControl w:val="doNotCompress"/>
  <m:mathPr>
    <m:mathFont m:val="Cambria Math"/>
  </m:mathPr>
  <w:compat/>
  <w:themeFontLang w:val="en-US"/>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uiPriority="22"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8921F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gBody">
    <w:name w:val="FigBody"/>
    <w:rsid w:val="008921F9"/>
    <w:rPr>
      <w:rFonts w:ascii="Arial" w:eastAsia="Arial" w:hAnsi="Arial" w:cs="Arial"/>
      <w:sz w:val="14"/>
    </w:rPr>
  </w:style>
  <w:style w:type="paragraph" w:customStyle="1" w:styleId="Tab-Title">
    <w:name w:val="Tab-Title"/>
    <w:rsid w:val="008921F9"/>
  </w:style>
  <w:style w:type="paragraph" w:customStyle="1" w:styleId="Tab-Title1">
    <w:name w:val="Tab-Title1"/>
    <w:rsid w:val="008921F9"/>
  </w:style>
  <w:style w:type="paragraph" w:customStyle="1" w:styleId="FigTitle">
    <w:name w:val="FigTitle"/>
    <w:rsid w:val="008921F9"/>
  </w:style>
  <w:style w:type="paragraph" w:customStyle="1" w:styleId="TableBody">
    <w:name w:val="TableBody"/>
    <w:rsid w:val="008921F9"/>
    <w:rPr>
      <w:rFonts w:ascii="Arial" w:eastAsia="Arial" w:hAnsi="Arial" w:cs="Arial"/>
      <w:sz w:val="14"/>
    </w:rPr>
  </w:style>
  <w:style w:type="paragraph" w:styleId="Footer">
    <w:name w:val="footer"/>
    <w:link w:val="FooterChar"/>
    <w:rsid w:val="008921F9"/>
    <w:rPr>
      <w:rFonts w:ascii="Arial" w:eastAsia="Arial" w:hAnsi="Arial" w:cs="Arial"/>
      <w:b/>
      <w:color w:val="5598BA"/>
    </w:rPr>
  </w:style>
  <w:style w:type="paragraph" w:customStyle="1" w:styleId="FrontCoverTitle">
    <w:name w:val="FrontCoverTitle"/>
    <w:rsid w:val="008921F9"/>
    <w:rPr>
      <w:rFonts w:ascii="Arial" w:eastAsia="Arial" w:hAnsi="Arial" w:cs="Arial"/>
      <w:b/>
      <w:sz w:val="56"/>
    </w:rPr>
  </w:style>
  <w:style w:type="paragraph" w:customStyle="1" w:styleId="Normal1">
    <w:name w:val="Normal1"/>
    <w:rsid w:val="008921F9"/>
    <w:pPr>
      <w:shd w:val="clear" w:color="auto" w:fill="000F99"/>
    </w:pPr>
    <w:rPr>
      <w:rFonts w:ascii="Arial" w:eastAsia="Arial" w:hAnsi="Arial" w:cs="Arial"/>
      <w:sz w:val="18"/>
    </w:rPr>
  </w:style>
  <w:style w:type="paragraph" w:customStyle="1" w:styleId="Normal2">
    <w:name w:val="Normal2"/>
    <w:rsid w:val="008921F9"/>
    <w:pPr>
      <w:jc w:val="both"/>
    </w:pPr>
    <w:rPr>
      <w:rFonts w:ascii="Arial" w:eastAsia="Arial" w:hAnsi="Arial" w:cs="Arial"/>
      <w:color w:val="000000"/>
    </w:rPr>
  </w:style>
  <w:style w:type="paragraph" w:customStyle="1" w:styleId="Normal3">
    <w:name w:val="Normal3"/>
    <w:rsid w:val="008921F9"/>
    <w:rPr>
      <w:rFonts w:ascii="Arial" w:eastAsia="Arial" w:hAnsi="Arial" w:cs="Arial"/>
      <w:color w:val="000000"/>
    </w:rPr>
  </w:style>
  <w:style w:type="paragraph" w:customStyle="1" w:styleId="Normal5">
    <w:name w:val="Normal5"/>
    <w:rsid w:val="008921F9"/>
    <w:rPr>
      <w:rFonts w:ascii="Arial" w:eastAsia="Arial" w:hAnsi="Arial" w:cs="Arial"/>
      <w:color w:val="000000"/>
    </w:rPr>
  </w:style>
  <w:style w:type="paragraph" w:customStyle="1" w:styleId="BulletRound">
    <w:name w:val="BulletRound"/>
    <w:rsid w:val="008921F9"/>
    <w:rPr>
      <w:rFonts w:ascii="Arial" w:eastAsia="Arial" w:hAnsi="Arial" w:cs="Arial"/>
      <w:color w:val="000000"/>
      <w:sz w:val="14"/>
    </w:rPr>
  </w:style>
  <w:style w:type="paragraph" w:customStyle="1" w:styleId="SourceLogo">
    <w:name w:val="SourceLogo"/>
    <w:rsid w:val="008921F9"/>
    <w:rPr>
      <w:rFonts w:ascii="Arial" w:eastAsia="Arial" w:hAnsi="Arial" w:cs="Arial"/>
      <w:b/>
      <w:color w:val="000000"/>
      <w:sz w:val="14"/>
    </w:rPr>
  </w:style>
  <w:style w:type="paragraph" w:customStyle="1" w:styleId="TableSource">
    <w:name w:val="TableSource"/>
    <w:rsid w:val="008921F9"/>
    <w:rPr>
      <w:rFonts w:ascii="Arial" w:eastAsia="Arial" w:hAnsi="Arial" w:cs="Arial"/>
      <w:b/>
      <w:color w:val="000000"/>
      <w:sz w:val="14"/>
    </w:rPr>
  </w:style>
  <w:style w:type="paragraph" w:customStyle="1" w:styleId="Tab-Title2">
    <w:name w:val="Tab-Title2"/>
    <w:rsid w:val="008921F9"/>
  </w:style>
  <w:style w:type="paragraph" w:customStyle="1" w:styleId="DMVMFrPgHeading1ARF">
    <w:name w:val="DMV_M_FrPg_Heading1_ARF"/>
    <w:rsid w:val="008921F9"/>
    <w:rPr>
      <w:rFonts w:ascii="Arial" w:eastAsia="Arial" w:hAnsi="Arial" w:cs="Arial"/>
      <w:b/>
      <w:color w:val="0A467D"/>
      <w:sz w:val="24"/>
    </w:rPr>
  </w:style>
  <w:style w:type="paragraph" w:customStyle="1" w:styleId="DMVMFrPgHeading1SubARF">
    <w:name w:val="DMV_M_FrPg_Heading1_Sub_ARF"/>
    <w:rsid w:val="008921F9"/>
    <w:pPr>
      <w:spacing w:before="40" w:after="40"/>
    </w:pPr>
    <w:rPr>
      <w:rFonts w:ascii="Arial" w:eastAsia="Arial" w:hAnsi="Arial" w:cs="Arial"/>
      <w:b/>
      <w:color w:val="1360A3"/>
      <w:sz w:val="22"/>
    </w:rPr>
  </w:style>
  <w:style w:type="paragraph" w:customStyle="1" w:styleId="DMVMFrPgTableTitleARF">
    <w:name w:val="DMV_M_FrPg_TableTitle_ARF"/>
    <w:rsid w:val="008921F9"/>
    <w:pPr>
      <w:shd w:val="clear" w:color="auto" w:fill="4E7EA0"/>
      <w:spacing w:before="20" w:after="20"/>
    </w:pPr>
    <w:rPr>
      <w:rFonts w:ascii="Arial" w:eastAsia="Arial" w:hAnsi="Arial" w:cs="Arial"/>
      <w:b/>
      <w:color w:val="FFFFFF"/>
    </w:rPr>
  </w:style>
  <w:style w:type="paragraph" w:customStyle="1" w:styleId="DMVMFrPgTableBodyARF">
    <w:name w:val="DMV_M_FrPg_TableBody_ARF"/>
    <w:rsid w:val="008921F9"/>
    <w:pPr>
      <w:spacing w:before="40" w:after="40"/>
    </w:pPr>
    <w:rPr>
      <w:rFonts w:ascii="Arial" w:eastAsia="Arial" w:hAnsi="Arial" w:cs="Arial"/>
      <w:sz w:val="18"/>
    </w:rPr>
  </w:style>
  <w:style w:type="paragraph" w:customStyle="1" w:styleId="DMVMFrPgTableBodyRTARF">
    <w:name w:val="DMV_M_FrPg_TableBody_RT_ARF"/>
    <w:rsid w:val="008921F9"/>
    <w:pPr>
      <w:spacing w:before="40" w:after="40"/>
      <w:jc w:val="right"/>
    </w:pPr>
    <w:rPr>
      <w:rFonts w:ascii="Arial" w:eastAsia="Arial" w:hAnsi="Arial" w:cs="Arial"/>
      <w:sz w:val="18"/>
    </w:rPr>
  </w:style>
  <w:style w:type="paragraph" w:customStyle="1" w:styleId="DMVMFrPgTableBodyLTARF">
    <w:name w:val="DMV_M_FrPg_TableBody_LT_ARF"/>
    <w:rsid w:val="008921F9"/>
    <w:pPr>
      <w:spacing w:before="40" w:after="40"/>
    </w:pPr>
    <w:rPr>
      <w:rFonts w:ascii="Arial" w:eastAsia="Arial" w:hAnsi="Arial" w:cs="Arial"/>
      <w:sz w:val="18"/>
    </w:rPr>
  </w:style>
  <w:style w:type="paragraph" w:customStyle="1" w:styleId="DMVMFrPgTableBodyCTARF">
    <w:name w:val="DMV_M_FrPg_TableBody_CT_ARF"/>
    <w:rsid w:val="008921F9"/>
    <w:pPr>
      <w:spacing w:before="40" w:after="40"/>
      <w:jc w:val="center"/>
    </w:pPr>
    <w:rPr>
      <w:rFonts w:ascii="Arial" w:eastAsia="Arial" w:hAnsi="Arial" w:cs="Arial"/>
      <w:sz w:val="18"/>
    </w:rPr>
  </w:style>
  <w:style w:type="paragraph" w:customStyle="1" w:styleId="DMVMFrPgNormalARF">
    <w:name w:val="DMV_M_FrPg_Normal_ARF"/>
    <w:rsid w:val="008921F9"/>
    <w:pPr>
      <w:jc w:val="both"/>
    </w:pPr>
    <w:rPr>
      <w:rFonts w:ascii="Arial" w:eastAsia="Arial" w:hAnsi="Arial" w:cs="Arial"/>
      <w:sz w:val="18"/>
    </w:rPr>
  </w:style>
  <w:style w:type="paragraph" w:customStyle="1" w:styleId="DMVMGeneralHeading1ARF">
    <w:name w:val="DMV_M_General_Heading1_ARF"/>
    <w:rsid w:val="008921F9"/>
    <w:pPr>
      <w:spacing w:before="40" w:after="40"/>
    </w:pPr>
    <w:rPr>
      <w:rFonts w:ascii="Arial" w:eastAsia="Arial" w:hAnsi="Arial" w:cs="Arial"/>
      <w:b/>
      <w:color w:val="4E7EA0"/>
      <w:sz w:val="24"/>
    </w:rPr>
  </w:style>
  <w:style w:type="paragraph" w:customStyle="1" w:styleId="DMVMGeneralHeading2ARF">
    <w:name w:val="DMV_M_General_Heading2_ARF"/>
    <w:rsid w:val="008921F9"/>
    <w:pPr>
      <w:spacing w:before="40" w:after="40"/>
    </w:pPr>
    <w:rPr>
      <w:rFonts w:ascii="Arial" w:eastAsia="Arial" w:hAnsi="Arial" w:cs="Arial"/>
      <w:b/>
      <w:color w:val="4E7EA0"/>
      <w:sz w:val="22"/>
    </w:rPr>
  </w:style>
  <w:style w:type="paragraph" w:customStyle="1" w:styleId="DMVMTableDataHeaderARF">
    <w:name w:val="DMV_M_Table_DataHeader_ARF"/>
    <w:rsid w:val="008921F9"/>
    <w:pPr>
      <w:spacing w:before="40" w:after="40"/>
      <w:jc w:val="center"/>
    </w:pPr>
    <w:rPr>
      <w:rFonts w:ascii="Arial" w:eastAsia="Arial" w:hAnsi="Arial" w:cs="Arial"/>
      <w:b/>
    </w:rPr>
  </w:style>
  <w:style w:type="paragraph" w:customStyle="1" w:styleId="DMVMTableTableBodyOrARF">
    <w:name w:val="DMV_M_Table_TableBody_Or_ARF"/>
    <w:rsid w:val="008921F9"/>
    <w:pPr>
      <w:spacing w:before="40" w:after="40"/>
    </w:pPr>
    <w:rPr>
      <w:rFonts w:ascii="Arial" w:eastAsia="Arial" w:hAnsi="Arial" w:cs="Arial"/>
      <w:b/>
      <w:color w:val="000000"/>
    </w:rPr>
  </w:style>
  <w:style w:type="paragraph" w:customStyle="1" w:styleId="DMVMTableTableBodyblARF">
    <w:name w:val="DMV_M_Table_TableBody_bl_ARF"/>
    <w:rsid w:val="008921F9"/>
    <w:pPr>
      <w:spacing w:before="40" w:after="40"/>
    </w:pPr>
    <w:rPr>
      <w:rFonts w:ascii="Arial" w:eastAsia="Arial" w:hAnsi="Arial" w:cs="Arial"/>
      <w:b/>
    </w:rPr>
  </w:style>
  <w:style w:type="paragraph" w:customStyle="1" w:styleId="DMVMTableTableSourceARF">
    <w:name w:val="DMV_M_Table_TableSource_ARF"/>
    <w:rsid w:val="008921F9"/>
    <w:pPr>
      <w:spacing w:before="40" w:after="40"/>
    </w:pPr>
    <w:rPr>
      <w:rFonts w:ascii="Arial" w:eastAsia="Arial" w:hAnsi="Arial" w:cs="Arial"/>
      <w:sz w:val="16"/>
    </w:rPr>
  </w:style>
  <w:style w:type="paragraph" w:customStyle="1" w:styleId="DMVMGeneralHeading3ARF">
    <w:name w:val="DMV_M_General_Heading3_ARF"/>
    <w:rsid w:val="008921F9"/>
    <w:pPr>
      <w:spacing w:before="40" w:after="40"/>
    </w:pPr>
    <w:rPr>
      <w:rFonts w:ascii="Arial" w:eastAsia="Arial" w:hAnsi="Arial" w:cs="Arial"/>
      <w:b/>
      <w:color w:val="2878BE"/>
      <w:sz w:val="22"/>
    </w:rPr>
  </w:style>
  <w:style w:type="paragraph" w:customStyle="1" w:styleId="DMVMGeneralHeading4ARF">
    <w:name w:val="DMV_M_General_Heading4_ARF"/>
    <w:rsid w:val="008921F9"/>
  </w:style>
  <w:style w:type="paragraph" w:customStyle="1" w:styleId="DMVMGeneralHeading4subARF">
    <w:name w:val="DMV_M_General_Heading4_sub_ARF"/>
    <w:rsid w:val="008921F9"/>
  </w:style>
  <w:style w:type="paragraph" w:customStyle="1" w:styleId="DMVMGeneralNormalsubARF">
    <w:name w:val="DMV_M_General_Normal_sub_ARF"/>
    <w:rsid w:val="008921F9"/>
  </w:style>
  <w:style w:type="paragraph" w:customStyle="1" w:styleId="DMVMGeneralNormalBulletRoundARF">
    <w:name w:val="DMV_M_General_Normal_BulletRound_ARF"/>
    <w:rsid w:val="008921F9"/>
  </w:style>
  <w:style w:type="paragraph" w:customStyle="1" w:styleId="DMVMFRCVRTitleARF">
    <w:name w:val="DMV_M_FRCVR_Title_ARF"/>
    <w:rsid w:val="008921F9"/>
    <w:rPr>
      <w:rFonts w:ascii="Arial" w:eastAsia="Arial" w:hAnsi="Arial" w:cs="Arial"/>
      <w:b/>
      <w:color w:val="4E7EA0"/>
      <w:sz w:val="32"/>
    </w:rPr>
  </w:style>
  <w:style w:type="paragraph" w:customStyle="1" w:styleId="DMVMFrPgTableBodyCARF">
    <w:name w:val="DMV_M_FrPg_TableBody_C_ARF"/>
    <w:rsid w:val="008921F9"/>
    <w:pPr>
      <w:spacing w:before="40" w:after="40"/>
      <w:jc w:val="center"/>
    </w:pPr>
    <w:rPr>
      <w:rFonts w:ascii="Arial" w:eastAsia="Arial" w:hAnsi="Arial" w:cs="Arial"/>
      <w:sz w:val="18"/>
    </w:rPr>
  </w:style>
  <w:style w:type="paragraph" w:customStyle="1" w:styleId="DMVMFrPgNormalJARF">
    <w:name w:val="DMV_M_FrPg_Normal_J_ARF"/>
    <w:rsid w:val="008921F9"/>
    <w:pPr>
      <w:jc w:val="both"/>
    </w:pPr>
    <w:rPr>
      <w:rFonts w:ascii="Arial" w:eastAsia="Arial" w:hAnsi="Arial" w:cs="Arial"/>
      <w:sz w:val="18"/>
    </w:rPr>
  </w:style>
  <w:style w:type="paragraph" w:customStyle="1" w:styleId="TableFooter">
    <w:name w:val="TableFooter"/>
    <w:rsid w:val="008921F9"/>
  </w:style>
  <w:style w:type="paragraph" w:styleId="Header">
    <w:name w:val="header"/>
    <w:basedOn w:val="Normal"/>
    <w:link w:val="HeaderChar"/>
    <w:rsid w:val="00AC34B4"/>
    <w:pPr>
      <w:tabs>
        <w:tab w:val="center" w:pos="4513"/>
        <w:tab w:val="right" w:pos="9026"/>
      </w:tabs>
    </w:pPr>
  </w:style>
  <w:style w:type="character" w:customStyle="1" w:styleId="HeaderChar">
    <w:name w:val="Header Char"/>
    <w:basedOn w:val="DefaultParagraphFont"/>
    <w:link w:val="Header"/>
    <w:rsid w:val="00AC34B4"/>
    <w:rPr>
      <w:sz w:val="24"/>
      <w:szCs w:val="24"/>
      <w:lang w:val="en-US" w:eastAsia="en-US"/>
    </w:rPr>
  </w:style>
  <w:style w:type="paragraph" w:styleId="BodyText">
    <w:name w:val="Body Text"/>
    <w:basedOn w:val="Normal"/>
    <w:link w:val="BodyTextChar"/>
    <w:rsid w:val="00875BAE"/>
    <w:pPr>
      <w:spacing w:after="120"/>
    </w:pPr>
  </w:style>
  <w:style w:type="character" w:customStyle="1" w:styleId="BodyTextChar">
    <w:name w:val="Body Text Char"/>
    <w:basedOn w:val="DefaultParagraphFont"/>
    <w:link w:val="BodyText"/>
    <w:rsid w:val="00875BAE"/>
    <w:rPr>
      <w:sz w:val="24"/>
      <w:szCs w:val="24"/>
      <w:lang w:val="en-US" w:eastAsia="en-US"/>
    </w:rPr>
  </w:style>
  <w:style w:type="paragraph" w:styleId="BodyText2">
    <w:name w:val="Body Text 2"/>
    <w:basedOn w:val="Normal"/>
    <w:link w:val="BodyText2Char"/>
    <w:rsid w:val="00875BAE"/>
    <w:pPr>
      <w:spacing w:after="120" w:line="480" w:lineRule="auto"/>
    </w:pPr>
  </w:style>
  <w:style w:type="character" w:customStyle="1" w:styleId="BodyText2Char">
    <w:name w:val="Body Text 2 Char"/>
    <w:basedOn w:val="DefaultParagraphFont"/>
    <w:link w:val="BodyText2"/>
    <w:rsid w:val="00875BAE"/>
    <w:rPr>
      <w:sz w:val="24"/>
      <w:szCs w:val="24"/>
      <w:lang w:val="en-US" w:eastAsia="en-US"/>
    </w:rPr>
  </w:style>
  <w:style w:type="paragraph" w:styleId="BodyText3">
    <w:name w:val="Body Text 3"/>
    <w:basedOn w:val="Normal"/>
    <w:link w:val="BodyText3Char"/>
    <w:rsid w:val="00875BAE"/>
    <w:pPr>
      <w:spacing w:after="120"/>
    </w:pPr>
    <w:rPr>
      <w:sz w:val="16"/>
      <w:szCs w:val="16"/>
    </w:rPr>
  </w:style>
  <w:style w:type="character" w:customStyle="1" w:styleId="BodyText3Char">
    <w:name w:val="Body Text 3 Char"/>
    <w:basedOn w:val="DefaultParagraphFont"/>
    <w:link w:val="BodyText3"/>
    <w:rsid w:val="00875BAE"/>
    <w:rPr>
      <w:sz w:val="16"/>
      <w:szCs w:val="16"/>
      <w:lang w:val="en-US" w:eastAsia="en-US"/>
    </w:rPr>
  </w:style>
  <w:style w:type="paragraph" w:styleId="BlockText">
    <w:name w:val="Block Text"/>
    <w:basedOn w:val="Normal"/>
    <w:rsid w:val="00875BAE"/>
    <w:pPr>
      <w:spacing w:after="120"/>
      <w:ind w:left="1440" w:right="1440"/>
    </w:pPr>
  </w:style>
  <w:style w:type="paragraph" w:styleId="NormalIndent">
    <w:name w:val="Normal Indent"/>
    <w:basedOn w:val="Normal"/>
    <w:rsid w:val="00C02B99"/>
    <w:pPr>
      <w:ind w:left="720"/>
    </w:pPr>
  </w:style>
  <w:style w:type="paragraph" w:styleId="BalloonText">
    <w:name w:val="Balloon Text"/>
    <w:basedOn w:val="Normal"/>
    <w:link w:val="BalloonTextChar"/>
    <w:rsid w:val="00780207"/>
    <w:rPr>
      <w:rFonts w:ascii="Tahoma" w:hAnsi="Tahoma" w:cs="Tahoma"/>
      <w:sz w:val="16"/>
      <w:szCs w:val="16"/>
    </w:rPr>
  </w:style>
  <w:style w:type="character" w:customStyle="1" w:styleId="BalloonTextChar">
    <w:name w:val="Balloon Text Char"/>
    <w:basedOn w:val="DefaultParagraphFont"/>
    <w:link w:val="BalloonText"/>
    <w:rsid w:val="00780207"/>
    <w:rPr>
      <w:rFonts w:ascii="Tahoma" w:hAnsi="Tahoma" w:cs="Tahoma"/>
      <w:sz w:val="16"/>
      <w:szCs w:val="16"/>
      <w:lang w:val="en-US" w:eastAsia="en-US"/>
    </w:rPr>
  </w:style>
  <w:style w:type="table" w:styleId="TableGrid">
    <w:name w:val="Table Grid"/>
    <w:basedOn w:val="TableNormal"/>
    <w:rsid w:val="00712524"/>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nhideWhenUsed/>
    <w:qFormat/>
    <w:rsid w:val="00712524"/>
    <w:pPr>
      <w:spacing w:after="200"/>
    </w:pPr>
    <w:rPr>
      <w:b/>
      <w:bCs/>
      <w:color w:val="4F81BD" w:themeColor="accent1"/>
      <w:sz w:val="18"/>
      <w:szCs w:val="18"/>
    </w:rPr>
  </w:style>
  <w:style w:type="character" w:styleId="Strong">
    <w:name w:val="Strong"/>
    <w:basedOn w:val="DefaultParagraphFont"/>
    <w:uiPriority w:val="22"/>
    <w:qFormat/>
    <w:rsid w:val="0027090F"/>
    <w:rPr>
      <w:b/>
      <w:bCs/>
    </w:rPr>
  </w:style>
  <w:style w:type="paragraph" w:styleId="CommentText">
    <w:name w:val="annotation text"/>
    <w:basedOn w:val="Normal"/>
    <w:link w:val="CommentTextChar"/>
    <w:rsid w:val="00F5193B"/>
    <w:rPr>
      <w:sz w:val="20"/>
      <w:szCs w:val="20"/>
    </w:rPr>
  </w:style>
  <w:style w:type="character" w:customStyle="1" w:styleId="CommentTextChar">
    <w:name w:val="Comment Text Char"/>
    <w:basedOn w:val="DefaultParagraphFont"/>
    <w:link w:val="CommentText"/>
    <w:rsid w:val="00F5193B"/>
    <w:rPr>
      <w:lang w:val="en-US" w:eastAsia="en-US"/>
    </w:rPr>
  </w:style>
  <w:style w:type="character" w:customStyle="1" w:styleId="FooterChar">
    <w:name w:val="Footer Char"/>
    <w:basedOn w:val="DefaultParagraphFont"/>
    <w:link w:val="Footer"/>
    <w:rsid w:val="00D32547"/>
    <w:rPr>
      <w:rFonts w:ascii="Arial" w:eastAsia="Arial" w:hAnsi="Arial" w:cs="Arial"/>
      <w:b/>
      <w:color w:val="5598BA"/>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footer" Target="footer3.xml" /><Relationship Id="rId11" Type="http://schemas.openxmlformats.org/officeDocument/2006/relationships/theme" Target="theme/theme1.xml" /><Relationship Id="rId12" Type="http://schemas.openxmlformats.org/officeDocument/2006/relationships/numbering" Target="numbering.xml" /><Relationship Id="rId13"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header" Target="header1.xml" /><Relationship Id="rId6" Type="http://schemas.openxmlformats.org/officeDocument/2006/relationships/header" Target="header2.xml" /><Relationship Id="rId7" Type="http://schemas.openxmlformats.org/officeDocument/2006/relationships/footer" Target="footer1.xml" /><Relationship Id="rId8" Type="http://schemas.openxmlformats.org/officeDocument/2006/relationships/footer" Target="footer2.xml" /><Relationship Id="rId9" Type="http://schemas.openxmlformats.org/officeDocument/2006/relationships/header" Target="header3.xml" /></Relationships>
</file>

<file path=word/_rels/header2.xml.rels>&#65279;<?xml version="1.0" encoding="utf-8" standalone="yes"?><Relationships xmlns="http://schemas.openxmlformats.org/package/2006/relationships"><Relationship Id="rId1" Type="http://schemas.openxmlformats.org/officeDocument/2006/relationships/image" Target="media/image1.png" /></Relationships>
</file>

<file path=word/_rels/header3.xml.rels>&#65279;<?xml version="1.0" encoding="utf-8" standalone="yes"?><Relationships xmlns="http://schemas.openxmlformats.org/package/2006/relationships"><Relationship Id="rId1"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9CC5673-6840-43AE-809F-C040DFF26F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CompanySectionsTemplate_new</Template>
  <TotalTime>3</TotalTime>
  <Pages>19</Pages>
  <Words>3930</Words>
  <Characters>22403</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Marks and Spencer Group plc</dc:title>
  <dc:creator>MarketLineIC</dc:creator>
  <cp:lastModifiedBy>Assad Imran</cp:lastModifiedBy>
  <cp:revision>1</cp:revision>
  <cp:lastPrinted>1900-12-31T23:00:00Z</cp:lastPrinted>
  <dcterms:created xsi:type="dcterms:W3CDTF">2019-09-05T08:47:00Z</dcterms:created>
  <dcterms:modified xsi:type="dcterms:W3CDTF">2019-09-05T08:51:00Z</dcterms:modified>
</cp:coreProperties>
</file>