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r w:rsidR="00D33AA1">
        <w:rPr>
          <w:rFonts w:ascii="Calibri" w:hAnsi="Calibri"/>
          <w:sz w:val="32"/>
          <w:szCs w:val="32"/>
        </w:rPr>
        <w:t xml:space="preserve"> By Soyful Khan 1704983</w:t>
      </w:r>
    </w:p>
    <w:p w:rsidR="00BF4C15" w:rsidRDefault="00BF4C15" w:rsidP="00BF4C15">
      <w:pPr>
        <w:rPr>
          <w:rFonts w:ascii="Calibri" w:hAnsi="Calibri"/>
        </w:rPr>
      </w:pPr>
    </w:p>
    <w:p w:rsidR="00BF4C15" w:rsidRPr="00A426CF" w:rsidRDefault="004002F3" w:rsidP="00BF4C15">
      <w:pPr>
        <w:rPr>
          <w:rFonts w:ascii="Arial" w:hAnsi="Arial" w:cs="Arial"/>
          <w:sz w:val="24"/>
          <w:szCs w:val="24"/>
        </w:rPr>
      </w:pPr>
      <w:r>
        <w:rPr>
          <w:rFonts w:ascii="Calibri" w:hAnsi="Calibri"/>
        </w:rPr>
        <w:t>Title</w:t>
      </w:r>
      <w:r w:rsidR="00BF4C15" w:rsidRPr="00A426CF">
        <w:rPr>
          <w:rFonts w:ascii="Arial" w:hAnsi="Arial" w:cs="Arial"/>
          <w:sz w:val="24"/>
          <w:szCs w:val="24"/>
        </w:rPr>
        <w:t>:</w:t>
      </w:r>
      <w:r w:rsidR="00A426CF" w:rsidRPr="00A426CF">
        <w:rPr>
          <w:rFonts w:ascii="Arial" w:hAnsi="Arial" w:cs="Arial"/>
          <w:sz w:val="24"/>
          <w:szCs w:val="24"/>
        </w:rPr>
        <w:t xml:space="preserve"> Brangwyn Hall</w:t>
      </w:r>
    </w:p>
    <w:p w:rsidR="00BF4C15" w:rsidRDefault="004002F3" w:rsidP="00BF4C15">
      <w:pPr>
        <w:rPr>
          <w:rFonts w:ascii="Calibri" w:hAnsi="Calibri"/>
        </w:rPr>
      </w:pPr>
      <w:r>
        <w:rPr>
          <w:rFonts w:ascii="Calibri" w:hAnsi="Calibri"/>
        </w:rPr>
        <w:t>Date:</w:t>
      </w:r>
      <w:r w:rsidR="00A426CF">
        <w:rPr>
          <w:rFonts w:ascii="Calibri" w:hAnsi="Calibri"/>
        </w:rPr>
        <w:t xml:space="preserve"> 24/10/19</w:t>
      </w:r>
    </w:p>
    <w:p w:rsidR="004002F3" w:rsidRPr="00367A62" w:rsidRDefault="00367A62" w:rsidP="00BF4C15">
      <w:pPr>
        <w:rPr>
          <w:rFonts w:ascii="Calibri" w:hAnsi="Calibri"/>
          <w:i/>
          <w:iCs/>
        </w:rPr>
      </w:pPr>
      <w:bookmarkStart w:id="0" w:name="_GoBack"/>
      <w:r w:rsidRPr="00367A62">
        <w:rPr>
          <w:rFonts w:ascii="Calibri" w:hAnsi="Calibri"/>
          <w:i/>
          <w:iCs/>
        </w:rPr>
        <w:t>Only complete the following where relevant: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60"/>
        <w:gridCol w:w="5862"/>
      </w:tblGrid>
      <w:tr w:rsidR="00BF4C15" w:rsidRPr="009A70EC" w:rsidTr="00562087">
        <w:tc>
          <w:tcPr>
            <w:tcW w:w="2660" w:type="dxa"/>
            <w:shd w:val="clear" w:color="auto" w:fill="auto"/>
          </w:tcPr>
          <w:bookmarkEnd w:id="0"/>
          <w:p w:rsidR="00BF4C15" w:rsidRPr="0011458E" w:rsidRDefault="00BF4C15" w:rsidP="00562087">
            <w:pPr>
              <w:rPr>
                <w:rFonts w:cs="Arial"/>
              </w:rPr>
            </w:pPr>
            <w:r w:rsidRPr="0011458E">
              <w:rPr>
                <w:rFonts w:cs="Arial"/>
              </w:rPr>
              <w:t>Event Description</w:t>
            </w:r>
          </w:p>
        </w:tc>
        <w:tc>
          <w:tcPr>
            <w:tcW w:w="5862" w:type="dxa"/>
            <w:shd w:val="clear" w:color="auto" w:fill="auto"/>
          </w:tcPr>
          <w:p w:rsidR="00BF4C15" w:rsidRPr="000F3B1F" w:rsidRDefault="00A426CF" w:rsidP="00562087">
            <w:pPr>
              <w:rPr>
                <w:rFonts w:cs="Arial"/>
                <w:sz w:val="24"/>
                <w:szCs w:val="24"/>
              </w:rPr>
            </w:pPr>
            <w:r w:rsidRPr="000F3B1F">
              <w:rPr>
                <w:rFonts w:cs="Arial"/>
                <w:sz w:val="24"/>
                <w:szCs w:val="24"/>
              </w:rPr>
              <w:t>Transforming Health and Care in Wales</w:t>
            </w:r>
          </w:p>
        </w:tc>
      </w:tr>
      <w:tr w:rsidR="00BF4C15" w:rsidRPr="009A70EC" w:rsidTr="00562087">
        <w:tc>
          <w:tcPr>
            <w:tcW w:w="2660" w:type="dxa"/>
            <w:shd w:val="clear" w:color="auto" w:fill="auto"/>
          </w:tcPr>
          <w:p w:rsidR="00BF4C15" w:rsidRPr="0011458E" w:rsidRDefault="00BF4C15" w:rsidP="00562087">
            <w:pPr>
              <w:rPr>
                <w:rFonts w:cs="Arial"/>
              </w:rPr>
            </w:pPr>
            <w:r w:rsidRPr="0011458E">
              <w:rPr>
                <w:rFonts w:cs="Arial"/>
              </w:rPr>
              <w:t>Department:</w:t>
            </w:r>
          </w:p>
        </w:tc>
        <w:tc>
          <w:tcPr>
            <w:tcW w:w="5862" w:type="dxa"/>
            <w:shd w:val="clear" w:color="auto" w:fill="auto"/>
          </w:tcPr>
          <w:p w:rsidR="00BF4C15" w:rsidRPr="000F3B1F" w:rsidRDefault="00A426CF" w:rsidP="00562087">
            <w:pPr>
              <w:rPr>
                <w:rFonts w:cs="Arial"/>
              </w:rPr>
            </w:pPr>
            <w:r w:rsidRPr="000F3B1F">
              <w:rPr>
                <w:rFonts w:cs="Arial"/>
              </w:rPr>
              <w:t>Main Hall</w:t>
            </w:r>
          </w:p>
        </w:tc>
      </w:tr>
      <w:tr w:rsidR="00BF4C15" w:rsidRPr="009A70EC" w:rsidTr="00562087">
        <w:tc>
          <w:tcPr>
            <w:tcW w:w="2660" w:type="dxa"/>
            <w:shd w:val="clear" w:color="auto" w:fill="auto"/>
          </w:tcPr>
          <w:p w:rsidR="00BF4C15" w:rsidRPr="0011458E" w:rsidRDefault="00BF4C15" w:rsidP="00562087">
            <w:pPr>
              <w:rPr>
                <w:rFonts w:cs="Arial"/>
              </w:rPr>
            </w:pPr>
            <w:r w:rsidRPr="0011458E">
              <w:rPr>
                <w:rFonts w:cs="Arial"/>
              </w:rPr>
              <w:t>Event Location:</w:t>
            </w:r>
          </w:p>
        </w:tc>
        <w:tc>
          <w:tcPr>
            <w:tcW w:w="5862" w:type="dxa"/>
            <w:shd w:val="clear" w:color="auto" w:fill="auto"/>
          </w:tcPr>
          <w:p w:rsidR="00BF4C15" w:rsidRPr="000F3B1F" w:rsidRDefault="00A426CF" w:rsidP="00562087">
            <w:pPr>
              <w:rPr>
                <w:rFonts w:cs="Arial"/>
              </w:rPr>
            </w:pPr>
            <w:r w:rsidRPr="000F3B1F">
              <w:rPr>
                <w:rFonts w:cs="Arial"/>
              </w:rPr>
              <w:t>Brangwyn Hall</w:t>
            </w:r>
          </w:p>
        </w:tc>
      </w:tr>
      <w:tr w:rsidR="00BF4C15" w:rsidRPr="009A70EC" w:rsidTr="00562087">
        <w:tc>
          <w:tcPr>
            <w:tcW w:w="2660" w:type="dxa"/>
            <w:shd w:val="clear" w:color="auto" w:fill="auto"/>
          </w:tcPr>
          <w:p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rsidR="00BF4C15" w:rsidRPr="00A426CF" w:rsidRDefault="00BF4C15" w:rsidP="00562087">
            <w:pPr>
              <w:rPr>
                <w:rFonts w:ascii="Arial" w:hAnsi="Arial" w:cs="Arial"/>
                <w:sz w:val="24"/>
                <w:szCs w:val="24"/>
              </w:rPr>
            </w:pPr>
          </w:p>
        </w:tc>
      </w:tr>
      <w:tr w:rsidR="00FB6D7F" w:rsidRPr="009A70EC" w:rsidTr="00562087">
        <w:tc>
          <w:tcPr>
            <w:tcW w:w="2660" w:type="dxa"/>
            <w:shd w:val="clear" w:color="auto" w:fill="auto"/>
          </w:tcPr>
          <w:p w:rsidR="00FB6D7F" w:rsidRPr="0011458E" w:rsidRDefault="00FB6D7F" w:rsidP="00562087">
            <w:pPr>
              <w:rPr>
                <w:rFonts w:cs="Arial"/>
              </w:rPr>
            </w:pPr>
            <w:r>
              <w:rPr>
                <w:rFonts w:cs="Arial"/>
              </w:rPr>
              <w:t xml:space="preserve">Student Event Manager </w:t>
            </w:r>
          </w:p>
        </w:tc>
        <w:tc>
          <w:tcPr>
            <w:tcW w:w="5862" w:type="dxa"/>
            <w:shd w:val="clear" w:color="auto" w:fill="auto"/>
          </w:tcPr>
          <w:p w:rsidR="00FB6D7F" w:rsidRPr="0011458E" w:rsidRDefault="000F3B1F" w:rsidP="00562087">
            <w:pPr>
              <w:rPr>
                <w:rFonts w:cs="Arial"/>
              </w:rPr>
            </w:pPr>
            <w:r>
              <w:rPr>
                <w:rFonts w:cs="Arial"/>
              </w:rPr>
              <w:t>Kathryn Baker</w:t>
            </w:r>
          </w:p>
        </w:tc>
      </w:tr>
      <w:tr w:rsidR="00FB6D7F" w:rsidRPr="009A70EC" w:rsidTr="00562087">
        <w:tc>
          <w:tcPr>
            <w:tcW w:w="2660" w:type="dxa"/>
            <w:shd w:val="clear" w:color="auto" w:fill="auto"/>
          </w:tcPr>
          <w:p w:rsidR="00FB6D7F" w:rsidRPr="0011458E" w:rsidRDefault="00FB6D7F" w:rsidP="00562087">
            <w:pPr>
              <w:rPr>
                <w:rFonts w:cs="Arial"/>
              </w:rPr>
            </w:pPr>
            <w:r>
              <w:rPr>
                <w:rFonts w:cs="Arial"/>
              </w:rPr>
              <w:t>Student Treasurer</w:t>
            </w:r>
          </w:p>
        </w:tc>
        <w:tc>
          <w:tcPr>
            <w:tcW w:w="5862" w:type="dxa"/>
            <w:shd w:val="clear" w:color="auto" w:fill="auto"/>
          </w:tcPr>
          <w:p w:rsidR="00FB6D7F" w:rsidRPr="0011458E" w:rsidRDefault="00FB6D7F" w:rsidP="00562087">
            <w:pPr>
              <w:rPr>
                <w:rFonts w:cs="Arial"/>
              </w:rPr>
            </w:pPr>
          </w:p>
        </w:tc>
      </w:tr>
      <w:tr w:rsidR="00BF4C15" w:rsidRPr="009A70EC" w:rsidTr="00562087">
        <w:tc>
          <w:tcPr>
            <w:tcW w:w="2660" w:type="dxa"/>
            <w:shd w:val="clear" w:color="auto" w:fill="auto"/>
          </w:tcPr>
          <w:p w:rsidR="00BF4C15" w:rsidRPr="0011458E" w:rsidRDefault="00BF4C15" w:rsidP="00562087">
            <w:pPr>
              <w:rPr>
                <w:rFonts w:cs="Arial"/>
              </w:rPr>
            </w:pPr>
            <w:r>
              <w:rPr>
                <w:rFonts w:cs="Arial"/>
              </w:rPr>
              <w:t>Numbers of students attending</w:t>
            </w:r>
          </w:p>
        </w:tc>
        <w:tc>
          <w:tcPr>
            <w:tcW w:w="5862" w:type="dxa"/>
            <w:shd w:val="clear" w:color="auto" w:fill="auto"/>
          </w:tcPr>
          <w:p w:rsidR="00BF4C15" w:rsidRPr="0011458E" w:rsidRDefault="000F3B1F" w:rsidP="00562087">
            <w:pPr>
              <w:rPr>
                <w:rFonts w:cs="Arial"/>
              </w:rPr>
            </w:pPr>
            <w:r>
              <w:rPr>
                <w:rFonts w:cs="Arial"/>
              </w:rPr>
              <w:t>10</w:t>
            </w:r>
          </w:p>
        </w:tc>
      </w:tr>
      <w:tr w:rsidR="00BF4C15" w:rsidRPr="009A70EC" w:rsidTr="00562087">
        <w:tc>
          <w:tcPr>
            <w:tcW w:w="2660" w:type="dxa"/>
            <w:shd w:val="clear" w:color="auto" w:fill="auto"/>
          </w:tcPr>
          <w:p w:rsidR="00BF4C15" w:rsidRPr="0011458E" w:rsidRDefault="00BF4C15" w:rsidP="00562087">
            <w:pPr>
              <w:rPr>
                <w:rFonts w:cs="Arial"/>
              </w:rPr>
            </w:pPr>
            <w:r>
              <w:rPr>
                <w:rFonts w:cs="Arial"/>
              </w:rPr>
              <w:t>Students with additional needs (please describe)</w:t>
            </w:r>
          </w:p>
        </w:tc>
        <w:tc>
          <w:tcPr>
            <w:tcW w:w="5862" w:type="dxa"/>
            <w:shd w:val="clear" w:color="auto" w:fill="auto"/>
          </w:tcPr>
          <w:p w:rsidR="00BF4C15" w:rsidRPr="0011458E" w:rsidRDefault="000F3B1F" w:rsidP="00562087">
            <w:pPr>
              <w:rPr>
                <w:rFonts w:cs="Arial"/>
              </w:rPr>
            </w:pPr>
            <w:r>
              <w:rPr>
                <w:rFonts w:cs="Arial"/>
              </w:rPr>
              <w:t>0</w:t>
            </w:r>
          </w:p>
        </w:tc>
      </w:tr>
      <w:tr w:rsidR="00BF4C15" w:rsidRPr="009A70EC" w:rsidTr="00562087">
        <w:tc>
          <w:tcPr>
            <w:tcW w:w="2660" w:type="dxa"/>
            <w:shd w:val="clear" w:color="auto" w:fill="auto"/>
          </w:tcPr>
          <w:p w:rsidR="00BF4C15" w:rsidRDefault="00BF4C15" w:rsidP="00562087">
            <w:pPr>
              <w:rPr>
                <w:rFonts w:cs="Arial"/>
              </w:rPr>
            </w:pPr>
            <w:r>
              <w:rPr>
                <w:rFonts w:cs="Arial"/>
              </w:rPr>
              <w:t>Numbers of staff attending</w:t>
            </w:r>
          </w:p>
        </w:tc>
        <w:tc>
          <w:tcPr>
            <w:tcW w:w="5862" w:type="dxa"/>
            <w:shd w:val="clear" w:color="auto" w:fill="auto"/>
          </w:tcPr>
          <w:p w:rsidR="00BF4C15" w:rsidRPr="0011458E" w:rsidRDefault="000F3B1F" w:rsidP="00562087">
            <w:pPr>
              <w:rPr>
                <w:rFonts w:cs="Arial"/>
              </w:rPr>
            </w:pPr>
            <w:r>
              <w:rPr>
                <w:rFonts w:cs="Arial"/>
              </w:rPr>
              <w:t>0</w:t>
            </w:r>
          </w:p>
        </w:tc>
      </w:tr>
      <w:tr w:rsidR="00BF4C15" w:rsidRPr="009A70EC" w:rsidTr="00562087">
        <w:tc>
          <w:tcPr>
            <w:tcW w:w="2660" w:type="dxa"/>
            <w:shd w:val="clear" w:color="auto" w:fill="auto"/>
          </w:tcPr>
          <w:p w:rsidR="00BF4C15" w:rsidRDefault="00BF4C15" w:rsidP="00562087">
            <w:pPr>
              <w:rPr>
                <w:rFonts w:cs="Arial"/>
              </w:rPr>
            </w:pPr>
            <w:r>
              <w:rPr>
                <w:rFonts w:cs="Arial"/>
              </w:rPr>
              <w:t>Number of first aiders attending</w:t>
            </w:r>
          </w:p>
        </w:tc>
        <w:tc>
          <w:tcPr>
            <w:tcW w:w="5862" w:type="dxa"/>
            <w:shd w:val="clear" w:color="auto" w:fill="auto"/>
          </w:tcPr>
          <w:p w:rsidR="00BF4C15" w:rsidRPr="0011458E" w:rsidRDefault="000F3B1F" w:rsidP="00562087">
            <w:pPr>
              <w:rPr>
                <w:rFonts w:cs="Arial"/>
              </w:rPr>
            </w:pPr>
            <w:r>
              <w:rPr>
                <w:rFonts w:cs="Arial"/>
              </w:rPr>
              <w:t>1</w:t>
            </w:r>
          </w:p>
        </w:tc>
      </w:tr>
      <w:tr w:rsidR="00BF4C15" w:rsidRPr="009A70EC" w:rsidTr="00562087">
        <w:tc>
          <w:tcPr>
            <w:tcW w:w="2660" w:type="dxa"/>
            <w:shd w:val="clear" w:color="auto" w:fill="auto"/>
          </w:tcPr>
          <w:p w:rsidR="00BF4C15" w:rsidRPr="0011458E" w:rsidRDefault="00BF4C15" w:rsidP="00562087">
            <w:pPr>
              <w:rPr>
                <w:rFonts w:cs="Arial"/>
              </w:rPr>
            </w:pPr>
            <w:r w:rsidRPr="0011458E">
              <w:rPr>
                <w:rFonts w:cs="Arial"/>
              </w:rPr>
              <w:t>Start Date:</w:t>
            </w:r>
          </w:p>
        </w:tc>
        <w:tc>
          <w:tcPr>
            <w:tcW w:w="5862" w:type="dxa"/>
            <w:shd w:val="clear" w:color="auto" w:fill="auto"/>
          </w:tcPr>
          <w:p w:rsidR="00BF4C15" w:rsidRPr="0011458E" w:rsidRDefault="000F3B1F" w:rsidP="00562087">
            <w:pPr>
              <w:rPr>
                <w:rFonts w:cs="Arial"/>
              </w:rPr>
            </w:pPr>
            <w:r>
              <w:rPr>
                <w:rStyle w:val="PlaceholderText"/>
              </w:rPr>
              <w:t>24/10/19</w:t>
            </w:r>
          </w:p>
        </w:tc>
      </w:tr>
      <w:tr w:rsidR="00BF4C15" w:rsidRPr="009A70EC" w:rsidTr="00562087">
        <w:tc>
          <w:tcPr>
            <w:tcW w:w="2660" w:type="dxa"/>
            <w:shd w:val="clear" w:color="auto" w:fill="auto"/>
          </w:tcPr>
          <w:p w:rsidR="00BF4C15" w:rsidRPr="0011458E" w:rsidRDefault="00BF4C15" w:rsidP="00562087">
            <w:pPr>
              <w:rPr>
                <w:rFonts w:cs="Arial"/>
              </w:rPr>
            </w:pPr>
            <w:r w:rsidRPr="0011458E">
              <w:rPr>
                <w:rFonts w:cs="Arial"/>
              </w:rPr>
              <w:t>Return Date:</w:t>
            </w:r>
          </w:p>
        </w:tc>
        <w:tc>
          <w:tcPr>
            <w:tcW w:w="5862" w:type="dxa"/>
            <w:shd w:val="clear" w:color="auto" w:fill="auto"/>
          </w:tcPr>
          <w:p w:rsidR="00BF4C15" w:rsidRPr="0011458E" w:rsidRDefault="000F3B1F" w:rsidP="00562087">
            <w:pPr>
              <w:rPr>
                <w:rFonts w:cs="Arial"/>
              </w:rPr>
            </w:pPr>
            <w:r>
              <w:rPr>
                <w:rStyle w:val="PlaceholderText"/>
              </w:rPr>
              <w:t>24/10/19</w:t>
            </w:r>
          </w:p>
        </w:tc>
      </w:tr>
      <w:tr w:rsidR="00BF4C15" w:rsidRPr="009A70EC" w:rsidTr="00562087">
        <w:tc>
          <w:tcPr>
            <w:tcW w:w="2660" w:type="dxa"/>
            <w:shd w:val="clear" w:color="auto" w:fill="auto"/>
          </w:tcPr>
          <w:p w:rsidR="00BF4C15" w:rsidRPr="0011458E" w:rsidRDefault="004002F3" w:rsidP="00562087">
            <w:pPr>
              <w:rPr>
                <w:rFonts w:cs="Arial"/>
              </w:rPr>
            </w:pPr>
            <w:r>
              <w:rPr>
                <w:rFonts w:cs="Arial"/>
              </w:rPr>
              <w:t>Event Details:</w:t>
            </w:r>
          </w:p>
        </w:tc>
        <w:tc>
          <w:tcPr>
            <w:tcW w:w="5862" w:type="dxa"/>
            <w:shd w:val="clear" w:color="auto" w:fill="auto"/>
          </w:tcPr>
          <w:p w:rsidR="00BF4C15" w:rsidRPr="0011458E" w:rsidRDefault="000F3B1F" w:rsidP="00FB6D7F">
            <w:pPr>
              <w:rPr>
                <w:rFonts w:cs="Arial"/>
              </w:rPr>
            </w:pPr>
            <w:r>
              <w:rPr>
                <w:rFonts w:cs="Arial"/>
              </w:rPr>
              <w:t>Lecture on how everyone can collaborate to make a healthier Wales.</w:t>
            </w:r>
          </w:p>
        </w:tc>
      </w:tr>
    </w:tbl>
    <w:p w:rsidR="00BF4C15" w:rsidRDefault="00BF4C15" w:rsidP="00BF4C15">
      <w:pPr>
        <w:rPr>
          <w:rFonts w:ascii="Calibri" w:hAnsi="Calibri"/>
        </w:rPr>
      </w:pPr>
    </w:p>
    <w:p w:rsidR="00CA76BF" w:rsidRDefault="00CA76BF" w:rsidP="00BF4C15">
      <w:pPr>
        <w:rPr>
          <w:rFonts w:ascii="Calibri" w:hAnsi="Calibri"/>
        </w:rPr>
      </w:pPr>
    </w:p>
    <w:p w:rsidR="00CA76BF" w:rsidRDefault="00CA76BF" w:rsidP="00BF4C15">
      <w:pPr>
        <w:rPr>
          <w:rFonts w:ascii="Calibri" w:hAnsi="Calibri"/>
        </w:rPr>
      </w:pPr>
    </w:p>
    <w:p w:rsidR="00FE350B" w:rsidRPr="009374D3" w:rsidRDefault="00FE350B" w:rsidP="00BF4C15">
      <w:pPr>
        <w:rPr>
          <w:rFonts w:ascii="Calibri" w:hAnsi="Calibri"/>
        </w:rPr>
      </w:pPr>
    </w:p>
    <w:p w:rsidR="00BF4C15" w:rsidRPr="00E920EE" w:rsidRDefault="00BF4C15" w:rsidP="00BF4C15">
      <w:pPr>
        <w:rPr>
          <w:rFonts w:cs="Arial"/>
        </w:rPr>
      </w:pPr>
    </w:p>
    <w:p w:rsidR="00FE350B" w:rsidRDefault="00FE350B" w:rsidP="00A57B0E">
      <w:pPr>
        <w:rPr>
          <w:rFonts w:ascii="Calibri" w:hAnsi="Calibri"/>
          <w:sz w:val="32"/>
          <w:szCs w:val="32"/>
        </w:rPr>
      </w:pPr>
      <w:r>
        <w:rPr>
          <w:rFonts w:ascii="Calibri" w:hAnsi="Calibri"/>
          <w:sz w:val="32"/>
          <w:szCs w:val="32"/>
        </w:rPr>
        <w:lastRenderedPageBreak/>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13"/>
      </w:tblGrid>
      <w:tr w:rsidR="00FE350B" w:rsidRPr="009A70EC" w:rsidTr="00141D6E">
        <w:tc>
          <w:tcPr>
            <w:tcW w:w="8613" w:type="dxa"/>
            <w:shd w:val="clear" w:color="auto" w:fill="auto"/>
          </w:tcPr>
          <w:p w:rsidR="00E67B40" w:rsidRDefault="00E67B40" w:rsidP="00A57B0E">
            <w:pPr>
              <w:pStyle w:val="paragraph"/>
              <w:spacing w:before="0" w:beforeAutospacing="0" w:after="0" w:afterAutospacing="0"/>
              <w:textAlignment w:val="baseline"/>
              <w:rPr>
                <w:rStyle w:val="eop"/>
                <w:rFonts w:ascii="Arial" w:eastAsiaTheme="minorEastAsia" w:hAnsi="Arial" w:cs="Arial"/>
              </w:rPr>
            </w:pPr>
            <w:r>
              <w:rPr>
                <w:rStyle w:val="normaltextrun"/>
                <w:rFonts w:ascii="Arial" w:hAnsi="Arial" w:cs="Arial"/>
                <w:lang w:val="en-US"/>
              </w:rPr>
              <w:t>A group of students did a risk assessment in Brangwyn Hall, examination of the risk assessment indicated areas of concern. This is a detailed description of Health and Safety Legislations concerning their findings.</w:t>
            </w:r>
            <w:r>
              <w:rPr>
                <w:rStyle w:val="eop"/>
                <w:rFonts w:ascii="Arial" w:eastAsiaTheme="minorEastAsia" w:hAnsi="Arial" w:cs="Arial"/>
              </w:rPr>
              <w:t> </w:t>
            </w:r>
          </w:p>
          <w:p w:rsidR="00D5753B" w:rsidRDefault="00D5753B" w:rsidP="00A57B0E">
            <w:pPr>
              <w:pStyle w:val="paragraph"/>
              <w:spacing w:before="0" w:beforeAutospacing="0" w:after="0" w:afterAutospacing="0"/>
              <w:textAlignment w:val="baseline"/>
              <w:rPr>
                <w:rFonts w:ascii="Segoe UI" w:hAnsi="Segoe UI" w:cs="Segoe UI"/>
                <w:sz w:val="17"/>
                <w:szCs w:val="17"/>
              </w:rPr>
            </w:pP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Upon arrival at the Brangwyn Hall the student’s examination indicated there were not enough clear markings or signs to indicate the l</w:t>
            </w:r>
            <w:r w:rsidR="008F71C4">
              <w:rPr>
                <w:rStyle w:val="normaltextrun"/>
                <w:rFonts w:ascii="Arial" w:hAnsi="Arial" w:cs="Arial"/>
                <w:lang w:val="en-US"/>
              </w:rPr>
              <w:t>ocation of disabled access which</w:t>
            </w:r>
            <w:r>
              <w:rPr>
                <w:rStyle w:val="normaltextrun"/>
                <w:rFonts w:ascii="Arial" w:hAnsi="Arial" w:cs="Arial"/>
                <w:lang w:val="en-US"/>
              </w:rPr>
              <w:t xml:space="preserve"> would cause inconvenience for disabled people</w:t>
            </w:r>
            <w:r w:rsidR="008F71C4">
              <w:rPr>
                <w:rStyle w:val="normaltextrun"/>
                <w:rFonts w:ascii="Arial" w:hAnsi="Arial" w:cs="Arial"/>
                <w:lang w:val="en-US"/>
              </w:rPr>
              <w:t>. The students referred to the Health and Safety Act of 1974 when they did the risk assessment but t</w:t>
            </w:r>
            <w:r>
              <w:rPr>
                <w:rStyle w:val="normaltextrun"/>
                <w:rFonts w:ascii="Arial" w:hAnsi="Arial" w:cs="Arial"/>
                <w:lang w:val="en-US"/>
              </w:rPr>
              <w:t>he assets publishing (2019) guidance for the Equality Act 2010</w:t>
            </w:r>
            <w:r w:rsidR="00091F63">
              <w:rPr>
                <w:rStyle w:val="normaltextrun"/>
                <w:rFonts w:ascii="Arial" w:hAnsi="Arial" w:cs="Arial"/>
                <w:lang w:val="en-US"/>
              </w:rPr>
              <w:t xml:space="preserve"> </w:t>
            </w:r>
            <w:r w:rsidR="008F71C4">
              <w:rPr>
                <w:rStyle w:val="normaltextrun"/>
                <w:rFonts w:ascii="Arial" w:hAnsi="Arial" w:cs="Arial"/>
                <w:lang w:val="en-US"/>
              </w:rPr>
              <w:t>also</w:t>
            </w:r>
            <w:r>
              <w:rPr>
                <w:rStyle w:val="normaltextrun"/>
                <w:rFonts w:ascii="Arial" w:hAnsi="Arial" w:cs="Arial"/>
                <w:lang w:val="en-US"/>
              </w:rPr>
              <w:t xml:space="preserve"> states, someone providing a service needs to make reasonable adjustments for disabled people, to enable them to get into a bank, shop or council. According to Citizens advice (2019) which also states, necessary adjustments should be made for disabled people in a council office, this includes signs, entrances and exits. Brangwyn Hall is well known as a council building, a</w:t>
            </w:r>
            <w:r>
              <w:rPr>
                <w:rStyle w:val="normaltextrun"/>
                <w:rFonts w:ascii="Arial" w:hAnsi="Arial" w:cs="Arial"/>
                <w:b/>
                <w:bCs/>
                <w:lang w:val="en-US"/>
              </w:rPr>
              <w:t> </w:t>
            </w:r>
            <w:r>
              <w:rPr>
                <w:rStyle w:val="normaltextrun"/>
                <w:rFonts w:ascii="Arial" w:hAnsi="Arial" w:cs="Arial"/>
                <w:lang w:val="en-US"/>
              </w:rPr>
              <w:t>few more signs or markings showing location of disabled access would be reasonable adjustments by the council. Further examination by students revealed slippery surface at the entrance due to wet weather. There were no signs or precautions present to warn people about slippery surface, if precautions were taken people would be more cautious. The Health and Safety Executive (2019) states, under the Workplace (Health Safety and Welfare) Regulati</w:t>
            </w:r>
            <w:r w:rsidR="00141D6E">
              <w:rPr>
                <w:rStyle w:val="normaltextrun"/>
                <w:rFonts w:ascii="Arial" w:hAnsi="Arial" w:cs="Arial"/>
                <w:lang w:val="en-US"/>
              </w:rPr>
              <w:t xml:space="preserve">ons 1992, (Regulations 12) that all flooring </w:t>
            </w:r>
            <w:r w:rsidR="00B73255">
              <w:rPr>
                <w:rStyle w:val="normaltextrun"/>
                <w:rFonts w:ascii="Arial" w:hAnsi="Arial" w:cs="Arial"/>
                <w:lang w:val="en-US"/>
              </w:rPr>
              <w:t>need to be in satisfactory,</w:t>
            </w:r>
            <w:r>
              <w:rPr>
                <w:rStyle w:val="normaltextrun"/>
                <w:rFonts w:ascii="Arial" w:hAnsi="Arial" w:cs="Arial"/>
                <w:lang w:val="en-US"/>
              </w:rPr>
              <w:t xml:space="preserve"> to enable people to move around safely. The HSE (2019) states, under the Health and Safety Act 1974, necessary steps need to be taken to control the risks of slips and trips. The HSE (2019) also states, under the Management of Health and Safety at Work Regulations 1999, employers with more than five employees need to do a written risk assessment. The risk assessment must be planned according to what needs to be achieved and how success will be measured. Possible changes must be included in the plan, risks need to be identified, managed and prioritized accurately. The plan needs to be implemented, monitored and reviewed. The council management is legally required to do a risk assessment to control all risks including slips and trips. Management of health and safety should have taken the wet weather into consideration and reviewed their risk assessment.  A few caution wet floor signs would have made everyone aware of the wet floor. The students risk assessment showed that there were six emergency exits in the main hall, of which two were obstructed. The main hall had 200 visitors alone not including any employees or workers, if an emergency occurred the obstructed doors would have caused chaos. According to Legislation (2019) The regulatory Reform (Fire Safety) Order 2005 article 14 clearly states, the person responsible for safety must make sure that emergency exit</w:t>
            </w:r>
            <w:r w:rsidR="00091F63">
              <w:rPr>
                <w:rStyle w:val="normaltextrun"/>
                <w:rFonts w:ascii="Arial" w:hAnsi="Arial" w:cs="Arial"/>
                <w:lang w:val="en-US"/>
              </w:rPr>
              <w:t>s and routes</w:t>
            </w:r>
            <w:r>
              <w:rPr>
                <w:rStyle w:val="normaltextrun"/>
                <w:rFonts w:ascii="Arial" w:hAnsi="Arial" w:cs="Arial"/>
                <w:lang w:val="en-US"/>
              </w:rPr>
              <w:t>, shou</w:t>
            </w:r>
            <w:r w:rsidR="00091F63">
              <w:rPr>
                <w:rStyle w:val="normaltextrun"/>
                <w:rFonts w:ascii="Arial" w:hAnsi="Arial" w:cs="Arial"/>
                <w:lang w:val="en-US"/>
              </w:rPr>
              <w:t>ld never be blocked</w:t>
            </w:r>
            <w:r>
              <w:rPr>
                <w:rStyle w:val="normaltextrun"/>
                <w:rFonts w:ascii="Arial" w:hAnsi="Arial" w:cs="Arial"/>
                <w:lang w:val="en-US"/>
              </w:rPr>
              <w:t xml:space="preserve">. The Health and Safety Authority (2019) states under the </w:t>
            </w:r>
            <w:r>
              <w:rPr>
                <w:rStyle w:val="normaltextrun"/>
                <w:rFonts w:ascii="Arial" w:hAnsi="Arial" w:cs="Arial"/>
                <w:lang w:val="en-US"/>
              </w:rPr>
              <w:lastRenderedPageBreak/>
              <w:t>Safety, Health and Welfare Act 2005, Doors on escape routes should always be kept clear and lead to a safe place. These legislations clearly state that emergency exits should not be blocked. The student’s final examination revealed there were loose cables behind the speakers which could cause trips and falls. The HSE (2019) states, under the Health and Safety Act 1974 that it is the employer’s duty to reduce risks and injuries to their employees and visitors, this includes the prevention of trips and slips too. According to HSE (2019) under Management of Health and Safety at Work Regu</w:t>
            </w:r>
            <w:r w:rsidR="004F6AA6">
              <w:rPr>
                <w:rStyle w:val="normaltextrun"/>
                <w:rFonts w:ascii="Arial" w:hAnsi="Arial" w:cs="Arial"/>
                <w:lang w:val="en-US"/>
              </w:rPr>
              <w:t>lations 1999, employers need to assess all</w:t>
            </w:r>
            <w:r>
              <w:rPr>
                <w:rStyle w:val="normaltextrun"/>
                <w:rFonts w:ascii="Arial" w:hAnsi="Arial" w:cs="Arial"/>
                <w:lang w:val="en-US"/>
              </w:rPr>
              <w:t xml:space="preserve"> health and safety in the workplace including hazards such as trips and slips. It is also stated under the Workplace (HSW) Regulations 1992 that workplace floo</w:t>
            </w:r>
            <w:r w:rsidR="00091F63">
              <w:rPr>
                <w:rStyle w:val="normaltextrun"/>
                <w:rFonts w:ascii="Arial" w:hAnsi="Arial" w:cs="Arial"/>
                <w:lang w:val="en-US"/>
              </w:rPr>
              <w:t>rs should not have any holes, blockages</w:t>
            </w:r>
            <w:r>
              <w:rPr>
                <w:rStyle w:val="normaltextrun"/>
                <w:rFonts w:ascii="Arial" w:hAnsi="Arial" w:cs="Arial"/>
                <w:lang w:val="en-US"/>
              </w:rPr>
              <w:t>, substances, uneven surfaces which could cause falls, trips and slips. All these regulations clearly suggest that hazards such as falls, slips and trips should be prevented. If the person responsible for prevention of hazards just had the cables tidied away it wouldn’t cause any risk</w:t>
            </w:r>
            <w:r w:rsidR="00091F63">
              <w:rPr>
                <w:rStyle w:val="normaltextrun"/>
                <w:rFonts w:ascii="Arial" w:hAnsi="Arial" w:cs="Arial"/>
                <w:lang w:val="en-US"/>
              </w:rPr>
              <w:t>s.</w:t>
            </w:r>
          </w:p>
          <w:p w:rsidR="00091F63" w:rsidRDefault="00091F63" w:rsidP="00A57B0E">
            <w:pPr>
              <w:pStyle w:val="paragraph"/>
              <w:spacing w:before="0" w:beforeAutospacing="0" w:after="0" w:afterAutospacing="0"/>
              <w:textAlignment w:val="baseline"/>
              <w:rPr>
                <w:rFonts w:ascii="Segoe UI" w:hAnsi="Segoe UI" w:cs="Segoe UI"/>
                <w:sz w:val="17"/>
                <w:szCs w:val="17"/>
              </w:rPr>
            </w:pP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normaltextrun"/>
                <w:rFonts w:ascii="Arial" w:hAnsi="Arial" w:cs="Arial"/>
                <w:lang w:val="en-US"/>
              </w:rPr>
              <w:t>The student’s examination identifies that there are not enough signs and markings for disabled access, no signs or cautions of wet floor, obstructions to two emergency exits and loose cables which are risks and inconvenience for the public. No action was taken in addressing these risks and inconveniences. Management of Health and Safety in Brangwyn Hall are legally required to do a written risk assessment, which should be monitored and reviewed. These findings should have been included i</w:t>
            </w:r>
            <w:r w:rsidR="007A31BD">
              <w:rPr>
                <w:rStyle w:val="normaltextrun"/>
                <w:rFonts w:ascii="Arial" w:hAnsi="Arial" w:cs="Arial"/>
                <w:lang w:val="en-US"/>
              </w:rPr>
              <w:t xml:space="preserve">n the risk assessment and </w:t>
            </w:r>
            <w:r w:rsidR="0067630B">
              <w:rPr>
                <w:rStyle w:val="normaltextrun"/>
                <w:rFonts w:ascii="Arial" w:hAnsi="Arial" w:cs="Arial"/>
                <w:lang w:val="en-US"/>
              </w:rPr>
              <w:t xml:space="preserve">health and safety </w:t>
            </w:r>
            <w:r w:rsidR="007A31BD">
              <w:rPr>
                <w:rStyle w:val="normaltextrun"/>
                <w:rFonts w:ascii="Arial" w:hAnsi="Arial" w:cs="Arial"/>
                <w:lang w:val="en-US"/>
              </w:rPr>
              <w:t>management should have addresse</w:t>
            </w:r>
            <w:r w:rsidR="0067630B">
              <w:rPr>
                <w:rStyle w:val="normaltextrun"/>
                <w:rFonts w:ascii="Arial" w:hAnsi="Arial" w:cs="Arial"/>
                <w:lang w:val="en-US"/>
              </w:rPr>
              <w:t>d them responsibly.</w:t>
            </w:r>
            <w:r w:rsidR="0067630B">
              <w:rPr>
                <w:rStyle w:val="eop"/>
                <w:rFonts w:ascii="Arial" w:eastAsiaTheme="minorEastAsia" w:hAnsi="Arial" w:cs="Arial"/>
              </w:rPr>
              <w:t> </w:t>
            </w: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5C17A8" w:rsidRDefault="005C17A8" w:rsidP="00A57B0E">
            <w:pPr>
              <w:pStyle w:val="paragraph"/>
              <w:spacing w:before="0" w:beforeAutospacing="0" w:after="0" w:afterAutospacing="0"/>
              <w:textAlignment w:val="baseline"/>
              <w:rPr>
                <w:rFonts w:ascii="Segoe UI" w:hAnsi="Segoe UI" w:cs="Segoe UI"/>
                <w:sz w:val="17"/>
                <w:szCs w:val="17"/>
              </w:rPr>
            </w:pP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jc w:val="center"/>
              <w:textAlignment w:val="baseline"/>
              <w:rPr>
                <w:rFonts w:ascii="Segoe UI" w:hAnsi="Segoe UI" w:cs="Segoe UI"/>
                <w:sz w:val="17"/>
                <w:szCs w:val="17"/>
              </w:rPr>
            </w:pPr>
            <w:r>
              <w:rPr>
                <w:rStyle w:val="normaltextrun"/>
                <w:rFonts w:ascii="Arial" w:hAnsi="Arial" w:cs="Arial"/>
                <w:b/>
                <w:bCs/>
                <w:u w:val="single"/>
                <w:lang w:val="en-US"/>
              </w:rPr>
              <w:t>Reference List</w:t>
            </w:r>
            <w:r>
              <w:rPr>
                <w:rStyle w:val="eop"/>
                <w:rFonts w:ascii="Arial" w:eastAsiaTheme="minorEastAsia" w:hAnsi="Arial" w:cs="Arial"/>
              </w:rPr>
              <w:t> </w:t>
            </w:r>
          </w:p>
          <w:p w:rsidR="00E67B40" w:rsidRDefault="00E67B40" w:rsidP="00A57B0E">
            <w:pPr>
              <w:pStyle w:val="paragraph"/>
              <w:spacing w:before="0" w:beforeAutospacing="0" w:after="0" w:afterAutospacing="0"/>
              <w:jc w:val="center"/>
              <w:textAlignment w:val="baseline"/>
              <w:rPr>
                <w:rFonts w:ascii="Segoe UI" w:hAnsi="Segoe UI" w:cs="Segoe UI"/>
                <w:sz w:val="17"/>
                <w:szCs w:val="17"/>
              </w:rPr>
            </w:pPr>
          </w:p>
          <w:p w:rsidR="005C17A8" w:rsidRDefault="005C17A8" w:rsidP="00A57B0E">
            <w:pPr>
              <w:pStyle w:val="paragraph"/>
              <w:spacing w:before="0" w:beforeAutospacing="0" w:after="0" w:afterAutospacing="0"/>
              <w:jc w:val="center"/>
              <w:textAlignment w:val="baseline"/>
              <w:rPr>
                <w:rFonts w:ascii="Segoe UI" w:hAnsi="Segoe UI" w:cs="Segoe UI"/>
                <w:sz w:val="17"/>
                <w:szCs w:val="17"/>
              </w:rPr>
            </w:pPr>
          </w:p>
          <w:p w:rsidR="005C17A8" w:rsidRDefault="005C17A8" w:rsidP="00A57B0E">
            <w:pPr>
              <w:pStyle w:val="paragraph"/>
              <w:spacing w:before="0" w:beforeAutospacing="0" w:after="0" w:afterAutospacing="0"/>
              <w:jc w:val="center"/>
              <w:textAlignment w:val="baseline"/>
              <w:rPr>
                <w:rFonts w:ascii="Segoe UI" w:hAnsi="Segoe UI" w:cs="Segoe UI"/>
                <w:sz w:val="17"/>
                <w:szCs w:val="17"/>
              </w:rPr>
            </w:pPr>
          </w:p>
          <w:p w:rsidR="00E67B40"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Assetts publishing (2019) </w:t>
            </w:r>
            <w:r>
              <w:rPr>
                <w:rStyle w:val="normaltextrun"/>
                <w:rFonts w:ascii="Arial" w:hAnsi="Arial" w:cs="Arial"/>
                <w:i/>
                <w:iCs/>
                <w:lang w:val="en-US"/>
              </w:rPr>
              <w:t>Guidance for Equality Act. </w:t>
            </w:r>
            <w:r>
              <w:rPr>
                <w:rStyle w:val="normaltextrun"/>
                <w:rFonts w:ascii="Arial" w:hAnsi="Arial" w:cs="Arial"/>
                <w:lang w:val="en-US"/>
              </w:rPr>
              <w:t>Available at</w:t>
            </w:r>
            <w:r w:rsidRPr="00E67B40">
              <w:rPr>
                <w:rStyle w:val="normaltextrun"/>
                <w:rFonts w:ascii="Arial" w:hAnsi="Arial" w:cs="Arial"/>
                <w:lang w:val="en-US"/>
              </w:rPr>
              <w:t>: </w:t>
            </w:r>
            <w:hyperlink r:id="rId10" w:tgtFrame="_blank" w:history="1">
              <w:r w:rsidRPr="00E67B40">
                <w:rPr>
                  <w:rStyle w:val="normaltextrun"/>
                  <w:rFonts w:ascii="Arial" w:hAnsi="Arial" w:cs="Arial"/>
                  <w:lang w:val="en-US"/>
                </w:rPr>
                <w:t>https://assets.publishing.service.gov.uk/government/uploads/system/uploads/attachment-data/file/85039/easy.read.pdf</w:t>
              </w:r>
            </w:hyperlink>
            <w:r>
              <w:rPr>
                <w:rStyle w:val="normaltextrun"/>
                <w:rFonts w:ascii="Arial" w:hAnsi="Arial" w:cs="Arial"/>
                <w:lang w:val="en-US"/>
              </w:rPr>
              <w:t>. (Accessed 18 November 2019).</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Citizens Advice (2019) </w:t>
            </w:r>
            <w:r>
              <w:rPr>
                <w:rStyle w:val="normaltextrun"/>
                <w:rFonts w:ascii="Arial" w:hAnsi="Arial" w:cs="Arial"/>
                <w:i/>
                <w:iCs/>
                <w:lang w:val="en-US"/>
              </w:rPr>
              <w:t>Duty to make reasonable adjustments for disabled people.</w:t>
            </w:r>
            <w:r>
              <w:rPr>
                <w:rStyle w:val="normaltextrun"/>
                <w:rFonts w:ascii="Arial" w:hAnsi="Arial" w:cs="Arial"/>
                <w:lang w:val="en-US"/>
              </w:rPr>
              <w:t> Available at: citizensadvice.org.uk/wales/law-and-courts/discrimination/what-are-the-different-types-of-discrimination/duty-to-make-reasonable-adjustments-for-disabled-people. (Accessed 19 November 2019).</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D5753B"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Health and Safety Authority (2019) </w:t>
            </w:r>
            <w:r>
              <w:rPr>
                <w:rStyle w:val="normaltextrun"/>
                <w:rFonts w:ascii="Arial" w:hAnsi="Arial" w:cs="Arial"/>
                <w:i/>
                <w:iCs/>
                <w:lang w:val="en-US"/>
              </w:rPr>
              <w:t>Emergency Escape and Fire Fighting. </w:t>
            </w:r>
            <w:r>
              <w:rPr>
                <w:rStyle w:val="normaltextrun"/>
                <w:rFonts w:ascii="Arial" w:hAnsi="Arial" w:cs="Arial"/>
                <w:lang w:val="en-US"/>
              </w:rPr>
              <w:t>Available</w:t>
            </w:r>
            <w:r w:rsidR="00D5753B">
              <w:rPr>
                <w:rStyle w:val="normaltextrun"/>
                <w:rFonts w:ascii="Arial" w:hAnsi="Arial" w:cs="Arial"/>
                <w:lang w:val="en-US"/>
              </w:rPr>
              <w:t xml:space="preserve"> at:</w:t>
            </w:r>
          </w:p>
          <w:p w:rsidR="00E67B40" w:rsidRDefault="00E67B40" w:rsidP="00A57B0E">
            <w:pPr>
              <w:pStyle w:val="paragraph"/>
              <w:spacing w:before="0" w:beforeAutospacing="0" w:after="0" w:afterAutospacing="0"/>
              <w:textAlignment w:val="baseline"/>
              <w:rPr>
                <w:rStyle w:val="normaltextrun"/>
                <w:rFonts w:ascii="Arial" w:hAnsi="Arial" w:cs="Arial"/>
                <w:lang w:val="en-US"/>
              </w:rPr>
            </w:pPr>
            <w:r>
              <w:rPr>
                <w:rStyle w:val="textrun"/>
                <w:rFonts w:ascii="Arial" w:eastAsiaTheme="minorEastAsia" w:hAnsi="Arial" w:cs="Arial"/>
                <w:sz w:val="19"/>
                <w:szCs w:val="19"/>
                <w:vertAlign w:val="superscript"/>
                <w:lang w:val="en-US"/>
              </w:rPr>
              <w:t>i</w:t>
            </w:r>
            <w:r>
              <w:rPr>
                <w:rStyle w:val="normaltextrun"/>
                <w:rFonts w:ascii="Arial" w:hAnsi="Arial" w:cs="Arial"/>
                <w:lang w:val="en-US"/>
              </w:rPr>
              <w:t>hsa.ie/eng/Topics/Fire/Emergency_Escape_and_Fire_Fighting/. (Accessed 21 November 2019).</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D5753B"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Health and Safety Executive (2019) </w:t>
            </w:r>
            <w:r>
              <w:rPr>
                <w:rStyle w:val="normaltextrun"/>
                <w:rFonts w:ascii="Arial" w:hAnsi="Arial" w:cs="Arial"/>
                <w:i/>
                <w:iCs/>
                <w:lang w:val="en-US"/>
              </w:rPr>
              <w:t>Slips and Trips. </w:t>
            </w:r>
            <w:r>
              <w:rPr>
                <w:rStyle w:val="normaltextrun"/>
                <w:rFonts w:ascii="Arial" w:hAnsi="Arial" w:cs="Arial"/>
                <w:lang w:val="en-US"/>
              </w:rPr>
              <w:t>Available at:  hse.gov.uk/pubns/ck4.pdf. (Accessed 21 November 2019)</w:t>
            </w:r>
            <w:r w:rsidR="00D5753B">
              <w:rPr>
                <w:rStyle w:val="normaltextrun"/>
                <w:rFonts w:ascii="Arial" w:hAnsi="Arial" w:cs="Arial"/>
                <w:lang w:val="en-US"/>
              </w:rPr>
              <w:t>.</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D5753B"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Health and Safety Executive (2019) </w:t>
            </w:r>
            <w:r>
              <w:rPr>
                <w:rStyle w:val="normaltextrun"/>
                <w:rFonts w:ascii="Arial" w:hAnsi="Arial" w:cs="Arial"/>
                <w:i/>
                <w:iCs/>
                <w:lang w:val="en-US"/>
              </w:rPr>
              <w:t>Health Safety and Welfare. </w:t>
            </w:r>
            <w:r>
              <w:rPr>
                <w:rStyle w:val="normaltextrun"/>
                <w:rFonts w:ascii="Arial" w:hAnsi="Arial" w:cs="Arial"/>
                <w:lang w:val="en-US"/>
              </w:rPr>
              <w:t>Available</w:t>
            </w:r>
            <w:r>
              <w:rPr>
                <w:rStyle w:val="normaltextrun"/>
                <w:rFonts w:ascii="Arial" w:hAnsi="Arial" w:cs="Arial"/>
                <w:i/>
                <w:iCs/>
                <w:lang w:val="en-US"/>
              </w:rPr>
              <w:t> </w:t>
            </w:r>
            <w:r>
              <w:rPr>
                <w:rStyle w:val="normaltextrun"/>
                <w:rFonts w:ascii="Arial" w:hAnsi="Arial" w:cs="Arial"/>
                <w:lang w:val="en-US"/>
              </w:rPr>
              <w:t>at: hse.gov.uk/pubns/indg225.pdf. (Accessed 19 November 2019)</w:t>
            </w:r>
            <w:r w:rsidR="00D5753B">
              <w:rPr>
                <w:rStyle w:val="normaltextrun"/>
                <w:rFonts w:ascii="Arial" w:hAnsi="Arial" w:cs="Arial"/>
                <w:lang w:val="en-US"/>
              </w:rPr>
              <w:t>.</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D5753B"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Health and Safety Executive (2019) </w:t>
            </w:r>
            <w:r>
              <w:rPr>
                <w:rStyle w:val="normaltextrun"/>
                <w:rFonts w:ascii="Arial" w:hAnsi="Arial" w:cs="Arial"/>
                <w:i/>
                <w:iCs/>
                <w:lang w:val="en-US"/>
              </w:rPr>
              <w:t>Health and Safety at Work. </w:t>
            </w:r>
            <w:r>
              <w:rPr>
                <w:rStyle w:val="normaltextrun"/>
                <w:rFonts w:ascii="Arial" w:hAnsi="Arial" w:cs="Arial"/>
                <w:lang w:val="en-US"/>
              </w:rPr>
              <w:t>Available at: hse.gov.uk/pUbns/priced/124.pdf. (Accessed 20 November 2019)</w:t>
            </w:r>
            <w:r w:rsidR="00D5753B">
              <w:rPr>
                <w:rStyle w:val="normaltextrun"/>
                <w:rFonts w:ascii="Arial" w:hAnsi="Arial" w:cs="Arial"/>
                <w:lang w:val="en-US"/>
              </w:rPr>
              <w:t>.</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D5753B" w:rsidRDefault="00E67B40" w:rsidP="00A57B0E">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Health and Safety Executive (2019) </w:t>
            </w:r>
            <w:r>
              <w:rPr>
                <w:rStyle w:val="normaltextrun"/>
                <w:rFonts w:ascii="Arial" w:hAnsi="Arial" w:cs="Arial"/>
                <w:i/>
                <w:iCs/>
                <w:lang w:val="en-US"/>
              </w:rPr>
              <w:t>The </w:t>
            </w:r>
            <w:r>
              <w:rPr>
                <w:rStyle w:val="normaltextrun"/>
                <w:rFonts w:ascii="Arial" w:hAnsi="Arial" w:cs="Arial"/>
                <w:lang w:val="en-US"/>
              </w:rPr>
              <w:t>Law. Available at: hse.gov.uk/slips/law.htm. (Accessed 19 November 2019).</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eop"/>
                <w:rFonts w:ascii="Arial" w:eastAsiaTheme="minorEastAsia" w:hAnsi="Arial" w:cs="Arial"/>
              </w:rPr>
              <w:t> </w:t>
            </w:r>
          </w:p>
          <w:p w:rsidR="00E67B40" w:rsidRDefault="00E67B40" w:rsidP="00A57B0E">
            <w:pPr>
              <w:pStyle w:val="paragraph"/>
              <w:spacing w:before="0" w:beforeAutospacing="0" w:after="0" w:afterAutospacing="0"/>
              <w:textAlignment w:val="baseline"/>
              <w:rPr>
                <w:rFonts w:ascii="Segoe UI" w:hAnsi="Segoe UI" w:cs="Segoe UI"/>
                <w:sz w:val="17"/>
                <w:szCs w:val="17"/>
              </w:rPr>
            </w:pPr>
            <w:r>
              <w:rPr>
                <w:rStyle w:val="normaltextrun"/>
                <w:rFonts w:ascii="Arial" w:hAnsi="Arial" w:cs="Arial"/>
                <w:lang w:val="en-US"/>
              </w:rPr>
              <w:t>Legislation (2019) </w:t>
            </w:r>
            <w:r>
              <w:rPr>
                <w:rStyle w:val="normaltextrun"/>
                <w:rFonts w:ascii="Arial" w:hAnsi="Arial" w:cs="Arial"/>
                <w:i/>
                <w:iCs/>
                <w:lang w:val="en-US"/>
              </w:rPr>
              <w:t>The Regulatory Reform (Fire Safety) Order 2005. Available at: </w:t>
            </w:r>
            <w:r>
              <w:rPr>
                <w:rStyle w:val="normaltextrun"/>
                <w:rFonts w:ascii="Arial" w:hAnsi="Arial" w:cs="Arial"/>
                <w:lang w:val="en-US"/>
              </w:rPr>
              <w:t>legislation.gov.uk/uksi/2005/1541/article/14/made. (Accessed 21 November 2019).</w:t>
            </w:r>
            <w:r>
              <w:rPr>
                <w:rStyle w:val="eop"/>
                <w:rFonts w:ascii="Arial" w:eastAsiaTheme="minorEastAsia" w:hAnsi="Arial" w:cs="Arial"/>
              </w:rPr>
              <w:t> </w:t>
            </w:r>
          </w:p>
          <w:p w:rsidR="00FE350B" w:rsidRPr="0011458E" w:rsidRDefault="00FE350B" w:rsidP="00A57B0E">
            <w:pPr>
              <w:rPr>
                <w:rFonts w:cs="Arial"/>
              </w:rPr>
            </w:pPr>
          </w:p>
        </w:tc>
      </w:tr>
    </w:tbl>
    <w:p w:rsidR="00FE350B" w:rsidRDefault="00FE350B" w:rsidP="00FE350B">
      <w:pPr>
        <w:jc w:val="both"/>
        <w:rPr>
          <w:rFonts w:cs="Arial"/>
          <w:b/>
          <w:szCs w:val="20"/>
          <w:u w:val="single"/>
        </w:rPr>
      </w:pPr>
    </w:p>
    <w:p w:rsidR="00BF4C15" w:rsidRPr="009374D3" w:rsidRDefault="00BF4C15" w:rsidP="00BF4C15">
      <w:pPr>
        <w:rPr>
          <w:rFonts w:ascii="Calibri" w:hAnsi="Calibri"/>
        </w:rPr>
        <w:sectPr w:rsidR="00BF4C15" w:rsidRPr="009374D3" w:rsidSect="00F02572">
          <w:headerReference w:type="default" r:id="rId11"/>
          <w:footerReference w:type="default" r:id="rId12"/>
          <w:headerReference w:type="first" r:id="rId13"/>
          <w:pgSz w:w="11907" w:h="16840" w:code="9"/>
          <w:pgMar w:top="1701" w:right="1701" w:bottom="1559" w:left="1701" w:header="709" w:footer="709" w:gutter="0"/>
          <w:cols w:space="708"/>
          <w:titlePg/>
          <w:docGrid w:linePitch="360"/>
        </w:sectPr>
      </w:pPr>
    </w:p>
    <w:p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3260"/>
        <w:gridCol w:w="2126"/>
        <w:gridCol w:w="3119"/>
        <w:gridCol w:w="2693"/>
        <w:gridCol w:w="1134"/>
        <w:gridCol w:w="1134"/>
      </w:tblGrid>
      <w:tr w:rsidR="00BF4C15" w:rsidRPr="009374D3" w:rsidTr="00562087">
        <w:trPr>
          <w:trHeight w:val="322"/>
        </w:trPr>
        <w:tc>
          <w:tcPr>
            <w:tcW w:w="534" w:type="dxa"/>
            <w:shd w:val="clear" w:color="auto" w:fill="C0C0C0"/>
          </w:tcPr>
          <w:p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rsidR="00BF4C15" w:rsidRPr="009374D3" w:rsidRDefault="00BF4C15" w:rsidP="00562087">
            <w:pPr>
              <w:rPr>
                <w:rFonts w:ascii="Calibri" w:hAnsi="Calibri"/>
              </w:rPr>
            </w:pPr>
            <w:r>
              <w:rPr>
                <w:rFonts w:ascii="Calibri" w:hAnsi="Calibri"/>
              </w:rPr>
              <w:t>Action By When</w:t>
            </w:r>
          </w:p>
        </w:tc>
      </w:tr>
      <w:tr w:rsidR="00BF4C15" w:rsidRPr="009374D3" w:rsidTr="00562087">
        <w:trPr>
          <w:trHeight w:val="659"/>
        </w:trPr>
        <w:tc>
          <w:tcPr>
            <w:tcW w:w="534" w:type="dxa"/>
            <w:shd w:val="clear" w:color="auto" w:fill="auto"/>
          </w:tcPr>
          <w:p w:rsidR="00BF4C15" w:rsidRPr="009374D3" w:rsidRDefault="00BF4C15" w:rsidP="00562087">
            <w:pPr>
              <w:rPr>
                <w:rFonts w:ascii="Calibri" w:hAnsi="Calibri"/>
              </w:rPr>
            </w:pPr>
          </w:p>
          <w:p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rsidR="00BF4C15" w:rsidRPr="009374D3" w:rsidRDefault="00E902F5" w:rsidP="00562087">
            <w:pPr>
              <w:rPr>
                <w:rFonts w:ascii="Calibri" w:hAnsi="Calibri"/>
              </w:rPr>
            </w:pPr>
            <w:r>
              <w:rPr>
                <w:rFonts w:ascii="Calibri" w:hAnsi="Calibri"/>
              </w:rPr>
              <w:t>Slippery Surface (Entrance)</w:t>
            </w:r>
          </w:p>
        </w:tc>
        <w:tc>
          <w:tcPr>
            <w:tcW w:w="2126" w:type="dxa"/>
            <w:shd w:val="clear" w:color="auto" w:fill="auto"/>
          </w:tcPr>
          <w:p w:rsidR="00BF4C15" w:rsidRPr="009374D3" w:rsidRDefault="00E902F5" w:rsidP="00562087">
            <w:pPr>
              <w:rPr>
                <w:rFonts w:ascii="Calibri" w:hAnsi="Calibri"/>
              </w:rPr>
            </w:pPr>
            <w:r>
              <w:rPr>
                <w:rFonts w:ascii="Calibri" w:hAnsi="Calibri"/>
              </w:rPr>
              <w:t>All</w:t>
            </w:r>
          </w:p>
        </w:tc>
        <w:tc>
          <w:tcPr>
            <w:tcW w:w="3119" w:type="dxa"/>
            <w:shd w:val="clear" w:color="auto" w:fill="auto"/>
          </w:tcPr>
          <w:p w:rsidR="00BF4C15" w:rsidRPr="009374D3" w:rsidRDefault="00E902F5" w:rsidP="00562087">
            <w:pPr>
              <w:rPr>
                <w:rFonts w:ascii="Calibri" w:hAnsi="Calibri"/>
              </w:rPr>
            </w:pPr>
            <w:r>
              <w:rPr>
                <w:rFonts w:ascii="Calibri" w:hAnsi="Calibri"/>
              </w:rPr>
              <w:t>None</w:t>
            </w:r>
          </w:p>
        </w:tc>
        <w:tc>
          <w:tcPr>
            <w:tcW w:w="2693" w:type="dxa"/>
            <w:shd w:val="clear" w:color="auto" w:fill="auto"/>
          </w:tcPr>
          <w:p w:rsidR="00BF4C15" w:rsidRPr="009374D3" w:rsidRDefault="00E902F5" w:rsidP="00562087">
            <w:pPr>
              <w:rPr>
                <w:rFonts w:ascii="Calibri" w:hAnsi="Calibri"/>
              </w:rPr>
            </w:pPr>
            <w:r>
              <w:rPr>
                <w:rFonts w:ascii="Calibri" w:hAnsi="Calibri"/>
              </w:rPr>
              <w:t>More checks</w:t>
            </w:r>
          </w:p>
        </w:tc>
        <w:tc>
          <w:tcPr>
            <w:tcW w:w="1134" w:type="dxa"/>
            <w:shd w:val="clear" w:color="auto" w:fill="auto"/>
          </w:tcPr>
          <w:p w:rsidR="00BF4C15" w:rsidRPr="0095077A" w:rsidRDefault="00E902F5" w:rsidP="00562087">
            <w:pPr>
              <w:rPr>
                <w:rFonts w:ascii="Calibri" w:hAnsi="Calibri"/>
                <w:b/>
              </w:rPr>
            </w:pPr>
            <w:r>
              <w:rPr>
                <w:rFonts w:ascii="Calibri" w:hAnsi="Calibri"/>
                <w:b/>
              </w:rPr>
              <w:t>House keeping</w:t>
            </w:r>
            <w:r w:rsidR="00306CE5">
              <w:rPr>
                <w:rFonts w:ascii="Calibri" w:hAnsi="Calibri"/>
                <w:b/>
              </w:rPr>
              <w:t>/maintenance.</w:t>
            </w:r>
          </w:p>
        </w:tc>
        <w:tc>
          <w:tcPr>
            <w:tcW w:w="1134" w:type="dxa"/>
            <w:shd w:val="clear" w:color="auto" w:fill="auto"/>
          </w:tcPr>
          <w:p w:rsidR="00BF4C15" w:rsidRPr="009374D3" w:rsidRDefault="00E902F5" w:rsidP="00562087">
            <w:pPr>
              <w:rPr>
                <w:rFonts w:ascii="Calibri" w:hAnsi="Calibri"/>
              </w:rPr>
            </w:pPr>
            <w:r>
              <w:rPr>
                <w:rFonts w:ascii="Calibri" w:hAnsi="Calibri"/>
              </w:rPr>
              <w:t>A</w:t>
            </w:r>
            <w:r w:rsidR="00306CE5">
              <w:rPr>
                <w:rFonts w:ascii="Calibri" w:hAnsi="Calibri"/>
              </w:rPr>
              <w:t>s soon as possible.</w:t>
            </w:r>
          </w:p>
        </w:tc>
      </w:tr>
      <w:tr w:rsidR="00BF4C15" w:rsidRPr="009374D3" w:rsidTr="00562087">
        <w:trPr>
          <w:trHeight w:val="642"/>
        </w:trPr>
        <w:tc>
          <w:tcPr>
            <w:tcW w:w="534" w:type="dxa"/>
            <w:shd w:val="clear" w:color="auto" w:fill="auto"/>
          </w:tcPr>
          <w:p w:rsidR="00BF4C15" w:rsidRPr="009374D3" w:rsidRDefault="00BF4C15" w:rsidP="00562087">
            <w:pPr>
              <w:rPr>
                <w:rFonts w:ascii="Calibri" w:hAnsi="Calibri"/>
              </w:rPr>
            </w:pPr>
          </w:p>
          <w:p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rsidR="00BF4C15" w:rsidRPr="009374D3" w:rsidRDefault="00E902F5" w:rsidP="00562087">
            <w:pPr>
              <w:rPr>
                <w:rFonts w:ascii="Calibri" w:hAnsi="Calibri"/>
              </w:rPr>
            </w:pPr>
            <w:r>
              <w:rPr>
                <w:rFonts w:ascii="Calibri" w:hAnsi="Calibri"/>
              </w:rPr>
              <w:t>Disabled Access need more clear markings/signs</w:t>
            </w:r>
          </w:p>
        </w:tc>
        <w:tc>
          <w:tcPr>
            <w:tcW w:w="2126" w:type="dxa"/>
            <w:shd w:val="clear" w:color="auto" w:fill="auto"/>
          </w:tcPr>
          <w:p w:rsidR="00BF4C15" w:rsidRPr="009374D3" w:rsidRDefault="00E902F5" w:rsidP="00562087">
            <w:pPr>
              <w:rPr>
                <w:rFonts w:ascii="Calibri" w:hAnsi="Calibri"/>
              </w:rPr>
            </w:pPr>
            <w:r>
              <w:rPr>
                <w:rFonts w:ascii="Calibri" w:hAnsi="Calibri"/>
              </w:rPr>
              <w:t>Disabled people</w:t>
            </w:r>
          </w:p>
        </w:tc>
        <w:tc>
          <w:tcPr>
            <w:tcW w:w="3119" w:type="dxa"/>
            <w:shd w:val="clear" w:color="auto" w:fill="auto"/>
          </w:tcPr>
          <w:p w:rsidR="00BF4C15" w:rsidRPr="009374D3" w:rsidRDefault="00E902F5" w:rsidP="00562087">
            <w:pPr>
              <w:rPr>
                <w:rFonts w:ascii="Calibri" w:hAnsi="Calibri"/>
              </w:rPr>
            </w:pPr>
            <w:r>
              <w:rPr>
                <w:rFonts w:ascii="Calibri" w:hAnsi="Calibri"/>
              </w:rPr>
              <w:t>Signs/markings on the right of the building.</w:t>
            </w:r>
          </w:p>
        </w:tc>
        <w:tc>
          <w:tcPr>
            <w:tcW w:w="2693" w:type="dxa"/>
            <w:shd w:val="clear" w:color="auto" w:fill="auto"/>
          </w:tcPr>
          <w:p w:rsidR="00BF4C15" w:rsidRPr="009374D3" w:rsidRDefault="00E902F5" w:rsidP="00562087">
            <w:pPr>
              <w:rPr>
                <w:rFonts w:ascii="Calibri" w:hAnsi="Calibri"/>
              </w:rPr>
            </w:pPr>
            <w:r>
              <w:rPr>
                <w:rFonts w:ascii="Calibri" w:hAnsi="Calibri"/>
              </w:rPr>
              <w:t>More signs/markings.</w:t>
            </w:r>
          </w:p>
        </w:tc>
        <w:tc>
          <w:tcPr>
            <w:tcW w:w="1134" w:type="dxa"/>
            <w:shd w:val="clear" w:color="auto" w:fill="auto"/>
          </w:tcPr>
          <w:p w:rsidR="00BF4C15" w:rsidRPr="0095077A" w:rsidRDefault="00E902F5" w:rsidP="00562087">
            <w:pPr>
              <w:rPr>
                <w:rFonts w:ascii="Calibri" w:hAnsi="Calibri"/>
                <w:b/>
              </w:rPr>
            </w:pPr>
            <w:r>
              <w:rPr>
                <w:rFonts w:ascii="Calibri" w:hAnsi="Calibri"/>
                <w:b/>
              </w:rPr>
              <w:t>Council</w:t>
            </w:r>
            <w:r w:rsidR="00306CE5">
              <w:rPr>
                <w:rFonts w:ascii="Calibri" w:hAnsi="Calibri"/>
                <w:b/>
              </w:rPr>
              <w:t>/ Management of Health and Safety.</w:t>
            </w:r>
          </w:p>
        </w:tc>
        <w:tc>
          <w:tcPr>
            <w:tcW w:w="1134" w:type="dxa"/>
            <w:shd w:val="clear" w:color="auto" w:fill="auto"/>
          </w:tcPr>
          <w:p w:rsidR="00BF4C15" w:rsidRPr="009374D3" w:rsidRDefault="00306CE5" w:rsidP="00562087">
            <w:pPr>
              <w:rPr>
                <w:rFonts w:ascii="Calibri" w:hAnsi="Calibri"/>
              </w:rPr>
            </w:pPr>
            <w:r>
              <w:rPr>
                <w:rFonts w:ascii="Calibri" w:hAnsi="Calibri"/>
              </w:rPr>
              <w:t>As s</w:t>
            </w:r>
            <w:r w:rsidR="00E902F5">
              <w:rPr>
                <w:rFonts w:ascii="Calibri" w:hAnsi="Calibri"/>
              </w:rPr>
              <w:t>oon as possible</w:t>
            </w:r>
          </w:p>
        </w:tc>
      </w:tr>
      <w:tr w:rsidR="00BF4C15" w:rsidRPr="009374D3" w:rsidTr="00562087">
        <w:trPr>
          <w:trHeight w:val="659"/>
        </w:trPr>
        <w:tc>
          <w:tcPr>
            <w:tcW w:w="534" w:type="dxa"/>
            <w:shd w:val="clear" w:color="auto" w:fill="auto"/>
          </w:tcPr>
          <w:p w:rsidR="00BF4C15" w:rsidRPr="009374D3" w:rsidRDefault="00BF4C15" w:rsidP="00562087">
            <w:pPr>
              <w:rPr>
                <w:rFonts w:ascii="Calibri" w:hAnsi="Calibri"/>
              </w:rPr>
            </w:pPr>
          </w:p>
          <w:p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rsidR="00BF4C15" w:rsidRPr="009374D3" w:rsidRDefault="00E902F5" w:rsidP="00562087">
            <w:pPr>
              <w:rPr>
                <w:rFonts w:ascii="Calibri" w:hAnsi="Calibri"/>
              </w:rPr>
            </w:pPr>
            <w:r>
              <w:rPr>
                <w:rFonts w:ascii="Calibri" w:hAnsi="Calibri"/>
              </w:rPr>
              <w:t>Loose cables</w:t>
            </w:r>
          </w:p>
        </w:tc>
        <w:tc>
          <w:tcPr>
            <w:tcW w:w="2126" w:type="dxa"/>
            <w:shd w:val="clear" w:color="auto" w:fill="auto"/>
          </w:tcPr>
          <w:p w:rsidR="00BF4C15" w:rsidRPr="009374D3" w:rsidRDefault="00E902F5" w:rsidP="00562087">
            <w:pPr>
              <w:rPr>
                <w:rFonts w:ascii="Calibri" w:hAnsi="Calibri"/>
              </w:rPr>
            </w:pPr>
            <w:r>
              <w:rPr>
                <w:rFonts w:ascii="Calibri" w:hAnsi="Calibri"/>
              </w:rPr>
              <w:t>All</w:t>
            </w:r>
          </w:p>
        </w:tc>
        <w:tc>
          <w:tcPr>
            <w:tcW w:w="3119" w:type="dxa"/>
            <w:shd w:val="clear" w:color="auto" w:fill="auto"/>
          </w:tcPr>
          <w:p w:rsidR="00BF4C15" w:rsidRPr="009374D3" w:rsidRDefault="00E902F5" w:rsidP="00562087">
            <w:pPr>
              <w:rPr>
                <w:rFonts w:ascii="Calibri" w:hAnsi="Calibri"/>
              </w:rPr>
            </w:pPr>
            <w:r>
              <w:rPr>
                <w:rFonts w:ascii="Calibri" w:hAnsi="Calibri"/>
              </w:rPr>
              <w:t>None visible.</w:t>
            </w:r>
          </w:p>
        </w:tc>
        <w:tc>
          <w:tcPr>
            <w:tcW w:w="2693" w:type="dxa"/>
            <w:shd w:val="clear" w:color="auto" w:fill="auto"/>
          </w:tcPr>
          <w:p w:rsidR="00BF4C15" w:rsidRPr="009374D3" w:rsidRDefault="00E902F5" w:rsidP="00562087">
            <w:pPr>
              <w:rPr>
                <w:rFonts w:ascii="Calibri" w:hAnsi="Calibri"/>
              </w:rPr>
            </w:pPr>
            <w:r>
              <w:rPr>
                <w:rFonts w:ascii="Calibri" w:hAnsi="Calibri"/>
              </w:rPr>
              <w:t>Need to be secured.</w:t>
            </w:r>
          </w:p>
        </w:tc>
        <w:tc>
          <w:tcPr>
            <w:tcW w:w="1134" w:type="dxa"/>
            <w:shd w:val="clear" w:color="auto" w:fill="auto"/>
          </w:tcPr>
          <w:p w:rsidR="00BF4C15" w:rsidRPr="0095077A" w:rsidRDefault="00306CE5" w:rsidP="00562087">
            <w:pPr>
              <w:rPr>
                <w:rFonts w:ascii="Calibri" w:hAnsi="Calibri"/>
                <w:b/>
              </w:rPr>
            </w:pPr>
            <w:r>
              <w:rPr>
                <w:rFonts w:ascii="Calibri" w:hAnsi="Calibri"/>
                <w:b/>
              </w:rPr>
              <w:t>Housekeeping</w:t>
            </w:r>
            <w:r w:rsidR="00E902F5">
              <w:rPr>
                <w:rFonts w:ascii="Calibri" w:hAnsi="Calibri"/>
                <w:b/>
              </w:rPr>
              <w:t>/</w:t>
            </w:r>
            <w:r>
              <w:rPr>
                <w:rFonts w:ascii="Calibri" w:hAnsi="Calibri"/>
                <w:b/>
              </w:rPr>
              <w:t xml:space="preserve"> Maintenance.</w:t>
            </w:r>
          </w:p>
        </w:tc>
        <w:tc>
          <w:tcPr>
            <w:tcW w:w="1134" w:type="dxa"/>
            <w:shd w:val="clear" w:color="auto" w:fill="auto"/>
          </w:tcPr>
          <w:p w:rsidR="00BF4C15" w:rsidRPr="009374D3" w:rsidRDefault="00306CE5" w:rsidP="00562087">
            <w:pPr>
              <w:rPr>
                <w:rFonts w:ascii="Calibri" w:hAnsi="Calibri"/>
              </w:rPr>
            </w:pPr>
            <w:r>
              <w:rPr>
                <w:rFonts w:ascii="Calibri" w:hAnsi="Calibri"/>
              </w:rPr>
              <w:t>As soon as possible.</w:t>
            </w:r>
          </w:p>
        </w:tc>
      </w:tr>
      <w:tr w:rsidR="00BF4C15" w:rsidRPr="009374D3" w:rsidTr="00562087">
        <w:trPr>
          <w:trHeight w:val="659"/>
        </w:trPr>
        <w:tc>
          <w:tcPr>
            <w:tcW w:w="534" w:type="dxa"/>
            <w:shd w:val="clear" w:color="auto" w:fill="auto"/>
          </w:tcPr>
          <w:p w:rsidR="00BF4C15" w:rsidRPr="009374D3" w:rsidRDefault="00BF4C15" w:rsidP="00562087">
            <w:pPr>
              <w:rPr>
                <w:rFonts w:ascii="Calibri" w:hAnsi="Calibri"/>
              </w:rPr>
            </w:pPr>
          </w:p>
          <w:p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rsidR="00BF4C15" w:rsidRPr="009374D3" w:rsidRDefault="00306CE5" w:rsidP="00562087">
            <w:pPr>
              <w:rPr>
                <w:rFonts w:ascii="Calibri" w:hAnsi="Calibri"/>
              </w:rPr>
            </w:pPr>
            <w:r>
              <w:rPr>
                <w:rFonts w:ascii="Calibri" w:hAnsi="Calibri"/>
              </w:rPr>
              <w:t>Two fire exit doors blocked.</w:t>
            </w:r>
          </w:p>
        </w:tc>
        <w:tc>
          <w:tcPr>
            <w:tcW w:w="2126" w:type="dxa"/>
            <w:shd w:val="clear" w:color="auto" w:fill="auto"/>
          </w:tcPr>
          <w:p w:rsidR="00BF4C15" w:rsidRPr="009374D3" w:rsidRDefault="00306CE5" w:rsidP="00562087">
            <w:pPr>
              <w:rPr>
                <w:rFonts w:ascii="Calibri" w:hAnsi="Calibri"/>
              </w:rPr>
            </w:pPr>
            <w:r>
              <w:rPr>
                <w:rFonts w:ascii="Calibri" w:hAnsi="Calibri"/>
              </w:rPr>
              <w:t>All</w:t>
            </w:r>
          </w:p>
        </w:tc>
        <w:tc>
          <w:tcPr>
            <w:tcW w:w="3119" w:type="dxa"/>
            <w:shd w:val="clear" w:color="auto" w:fill="auto"/>
          </w:tcPr>
          <w:p w:rsidR="00BF4C15" w:rsidRPr="009374D3" w:rsidRDefault="00306CE5" w:rsidP="00562087">
            <w:pPr>
              <w:rPr>
                <w:rFonts w:ascii="Calibri" w:hAnsi="Calibri"/>
              </w:rPr>
            </w:pPr>
            <w:r>
              <w:rPr>
                <w:rFonts w:ascii="Calibri" w:hAnsi="Calibri"/>
              </w:rPr>
              <w:t>None</w:t>
            </w:r>
          </w:p>
        </w:tc>
        <w:tc>
          <w:tcPr>
            <w:tcW w:w="2693" w:type="dxa"/>
            <w:shd w:val="clear" w:color="auto" w:fill="auto"/>
          </w:tcPr>
          <w:p w:rsidR="00BF4C15" w:rsidRPr="009374D3" w:rsidRDefault="00306CE5" w:rsidP="00562087">
            <w:pPr>
              <w:rPr>
                <w:rFonts w:ascii="Calibri" w:hAnsi="Calibri"/>
              </w:rPr>
            </w:pPr>
            <w:r>
              <w:rPr>
                <w:rFonts w:ascii="Calibri" w:hAnsi="Calibri"/>
              </w:rPr>
              <w:t>Unblock exits.</w:t>
            </w:r>
          </w:p>
        </w:tc>
        <w:tc>
          <w:tcPr>
            <w:tcW w:w="1134" w:type="dxa"/>
            <w:shd w:val="clear" w:color="auto" w:fill="auto"/>
          </w:tcPr>
          <w:p w:rsidR="00BF4C15" w:rsidRPr="0095077A" w:rsidRDefault="00306CE5" w:rsidP="00562087">
            <w:pPr>
              <w:rPr>
                <w:rFonts w:ascii="Calibri" w:hAnsi="Calibri"/>
                <w:b/>
              </w:rPr>
            </w:pPr>
            <w:r>
              <w:rPr>
                <w:rFonts w:ascii="Calibri" w:hAnsi="Calibri"/>
                <w:b/>
              </w:rPr>
              <w:t>Management of Health and Safety.</w:t>
            </w:r>
          </w:p>
        </w:tc>
        <w:tc>
          <w:tcPr>
            <w:tcW w:w="1134" w:type="dxa"/>
            <w:shd w:val="clear" w:color="auto" w:fill="auto"/>
          </w:tcPr>
          <w:p w:rsidR="00BF4C15" w:rsidRPr="009374D3" w:rsidRDefault="00306CE5" w:rsidP="00562087">
            <w:pPr>
              <w:rPr>
                <w:rFonts w:ascii="Calibri" w:hAnsi="Calibri"/>
              </w:rPr>
            </w:pPr>
            <w:r>
              <w:rPr>
                <w:rFonts w:ascii="Calibri" w:hAnsi="Calibri"/>
              </w:rPr>
              <w:t>As soon as possible.</w:t>
            </w:r>
          </w:p>
        </w:tc>
      </w:tr>
      <w:tr w:rsidR="00BF4C15" w:rsidRPr="009374D3" w:rsidTr="00562087">
        <w:trPr>
          <w:trHeight w:val="642"/>
        </w:trPr>
        <w:tc>
          <w:tcPr>
            <w:tcW w:w="534" w:type="dxa"/>
            <w:shd w:val="clear" w:color="auto" w:fill="auto"/>
          </w:tcPr>
          <w:p w:rsidR="00BF4C15" w:rsidRPr="009374D3" w:rsidRDefault="00BF4C15" w:rsidP="00562087">
            <w:pPr>
              <w:rPr>
                <w:rFonts w:ascii="Calibri" w:hAnsi="Calibri"/>
              </w:rPr>
            </w:pPr>
          </w:p>
          <w:p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rsidR="00BF4C15" w:rsidRPr="009374D3" w:rsidRDefault="00BF4C15" w:rsidP="00562087">
            <w:pPr>
              <w:rPr>
                <w:rFonts w:ascii="Calibri" w:hAnsi="Calibri"/>
              </w:rPr>
            </w:pPr>
          </w:p>
        </w:tc>
        <w:tc>
          <w:tcPr>
            <w:tcW w:w="2126" w:type="dxa"/>
            <w:shd w:val="clear" w:color="auto" w:fill="auto"/>
          </w:tcPr>
          <w:p w:rsidR="00BF4C15" w:rsidRPr="009374D3" w:rsidRDefault="00BF4C15" w:rsidP="00562087">
            <w:pPr>
              <w:rPr>
                <w:rFonts w:ascii="Calibri" w:hAnsi="Calibri"/>
              </w:rPr>
            </w:pPr>
          </w:p>
        </w:tc>
        <w:tc>
          <w:tcPr>
            <w:tcW w:w="3119" w:type="dxa"/>
            <w:shd w:val="clear" w:color="auto" w:fill="auto"/>
          </w:tcPr>
          <w:p w:rsidR="00BF4C15" w:rsidRPr="009374D3" w:rsidRDefault="00BF4C15" w:rsidP="00562087">
            <w:pPr>
              <w:rPr>
                <w:rFonts w:ascii="Calibri" w:hAnsi="Calibri"/>
              </w:rPr>
            </w:pPr>
          </w:p>
        </w:tc>
        <w:tc>
          <w:tcPr>
            <w:tcW w:w="2693" w:type="dxa"/>
            <w:shd w:val="clear" w:color="auto" w:fill="auto"/>
          </w:tcPr>
          <w:p w:rsidR="00BF4C15" w:rsidRPr="009374D3" w:rsidRDefault="00BF4C15" w:rsidP="00562087">
            <w:pPr>
              <w:rPr>
                <w:rFonts w:ascii="Calibri" w:hAnsi="Calibri"/>
              </w:rPr>
            </w:pPr>
          </w:p>
        </w:tc>
        <w:tc>
          <w:tcPr>
            <w:tcW w:w="1134" w:type="dxa"/>
            <w:shd w:val="clear" w:color="auto" w:fill="auto"/>
          </w:tcPr>
          <w:p w:rsidR="00BF4C15" w:rsidRPr="0095077A" w:rsidRDefault="00BF4C15" w:rsidP="00562087">
            <w:pPr>
              <w:rPr>
                <w:rFonts w:ascii="Calibri" w:hAnsi="Calibri"/>
                <w:b/>
              </w:rPr>
            </w:pPr>
          </w:p>
        </w:tc>
        <w:tc>
          <w:tcPr>
            <w:tcW w:w="1134" w:type="dxa"/>
            <w:shd w:val="clear" w:color="auto" w:fill="auto"/>
          </w:tcPr>
          <w:p w:rsidR="00BF4C15" w:rsidRPr="009374D3" w:rsidRDefault="00BF4C15" w:rsidP="00562087">
            <w:pPr>
              <w:rPr>
                <w:rFonts w:ascii="Calibri" w:hAnsi="Calibri"/>
              </w:rPr>
            </w:pPr>
          </w:p>
        </w:tc>
      </w:tr>
    </w:tbl>
    <w:p w:rsidR="00BF4C15" w:rsidRPr="009374D3" w:rsidRDefault="00BF4C15" w:rsidP="00BF4C15">
      <w:pPr>
        <w:rPr>
          <w:rFonts w:ascii="Calibri" w:hAnsi="Calibri"/>
          <w:sz w:val="18"/>
          <w:szCs w:val="18"/>
        </w:rPr>
      </w:pPr>
    </w:p>
    <w:p w:rsidR="00941DE8" w:rsidRDefault="00F36DC1" w:rsidP="00BF4C15"/>
    <w:p w:rsidR="00BF4C15" w:rsidRDefault="00BF4C15" w:rsidP="00BF4C15">
      <w:pPr>
        <w:sectPr w:rsidR="00BF4C15" w:rsidSect="00672C2C">
          <w:headerReference w:type="default" r:id="rId14"/>
          <w:footerReference w:type="default" r:id="rId15"/>
          <w:headerReference w:type="first" r:id="rId16"/>
          <w:pgSz w:w="16838" w:h="11906" w:orient="landscape"/>
          <w:pgMar w:top="1440" w:right="1440" w:bottom="1440" w:left="1440" w:header="708" w:footer="708" w:gutter="0"/>
          <w:cols w:space="708"/>
          <w:docGrid w:linePitch="360"/>
        </w:sectPr>
      </w:pPr>
    </w:p>
    <w:p w:rsidR="00BF4C15" w:rsidRDefault="00BF4C15" w:rsidP="00BF4C15"/>
    <w:p w:rsidR="00BF4C15" w:rsidRDefault="00FB6D7F" w:rsidP="00BF4C15">
      <w:pPr>
        <w:rPr>
          <w:rFonts w:ascii="Calibri" w:hAnsi="Calibri"/>
          <w:sz w:val="32"/>
          <w:szCs w:val="32"/>
        </w:rPr>
      </w:pPr>
      <w:r>
        <w:rPr>
          <w:rFonts w:ascii="Calibri" w:hAnsi="Calibri"/>
          <w:sz w:val="32"/>
          <w:szCs w:val="32"/>
        </w:rPr>
        <w:t>Review of Risk Assessment</w:t>
      </w:r>
      <w:r w:rsidR="00591468">
        <w:rPr>
          <w:rFonts w:ascii="Calibri" w:hAnsi="Calibri"/>
          <w:sz w:val="32"/>
          <w:szCs w:val="32"/>
        </w:rPr>
        <w:t xml:space="preserve"> Process</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250</w:t>
      </w:r>
      <w:r w:rsidR="00591468">
        <w:rPr>
          <w:rFonts w:ascii="Calibri" w:hAnsi="Calibri"/>
          <w:sz w:val="28"/>
          <w:szCs w:val="28"/>
        </w:rPr>
        <w:t xml:space="preserve"> words</w:t>
      </w:r>
      <w:r w:rsidR="00FE350B" w:rsidRPr="00FE350B">
        <w:rPr>
          <w:rFonts w:ascii="Calibri" w:hAnsi="Calibri"/>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18"/>
        <w:gridCol w:w="6704"/>
      </w:tblGrid>
      <w:tr w:rsidR="00BF4C15" w:rsidRPr="009A70EC" w:rsidTr="00562087">
        <w:tc>
          <w:tcPr>
            <w:tcW w:w="1818" w:type="dxa"/>
            <w:shd w:val="clear" w:color="auto" w:fill="auto"/>
          </w:tcPr>
          <w:p w:rsidR="00BF4C15" w:rsidRPr="0011458E" w:rsidRDefault="00BF4C15" w:rsidP="00562087">
            <w:pPr>
              <w:rPr>
                <w:rFonts w:cs="Arial"/>
              </w:rPr>
            </w:pPr>
            <w:r w:rsidRPr="0011458E">
              <w:rPr>
                <w:rFonts w:cs="Arial"/>
              </w:rPr>
              <w:t>Review Date:</w:t>
            </w:r>
          </w:p>
        </w:tc>
        <w:tc>
          <w:tcPr>
            <w:tcW w:w="6704" w:type="dxa"/>
            <w:shd w:val="clear" w:color="auto" w:fill="auto"/>
          </w:tcPr>
          <w:p w:rsidR="00BF4C15" w:rsidRPr="0011458E" w:rsidRDefault="00E67B40" w:rsidP="00562087">
            <w:pPr>
              <w:rPr>
                <w:rFonts w:cs="Arial"/>
              </w:rPr>
            </w:pPr>
            <w:r>
              <w:rPr>
                <w:rStyle w:val="PlaceholderText"/>
              </w:rPr>
              <w:t>24/10/19</w:t>
            </w:r>
          </w:p>
        </w:tc>
      </w:tr>
      <w:tr w:rsidR="00FB6D7F" w:rsidRPr="009A70EC" w:rsidTr="00A25164">
        <w:tc>
          <w:tcPr>
            <w:tcW w:w="8522" w:type="dxa"/>
            <w:gridSpan w:val="2"/>
            <w:shd w:val="clear" w:color="auto" w:fill="auto"/>
          </w:tcPr>
          <w:p w:rsidR="00214763" w:rsidRDefault="00FC6CB5" w:rsidP="00214763">
            <w:pPr>
              <w:pStyle w:val="paragraph"/>
              <w:spacing w:before="0" w:beforeAutospacing="0" w:after="0" w:afterAutospacing="0"/>
              <w:textAlignment w:val="baseline"/>
              <w:rPr>
                <w:rStyle w:val="normaltextrun"/>
                <w:rFonts w:ascii="Arial" w:eastAsiaTheme="minorEastAsia" w:hAnsi="Arial" w:cs="Arial"/>
                <w:color w:val="000000"/>
                <w:shd w:val="clear" w:color="auto" w:fill="FFFFFF"/>
                <w:lang w:val="en-US"/>
              </w:rPr>
            </w:pPr>
            <w:r>
              <w:rPr>
                <w:rStyle w:val="normaltextrun"/>
                <w:rFonts w:ascii="Arial" w:eastAsiaTheme="minorEastAsia" w:hAnsi="Arial" w:cs="Arial"/>
                <w:color w:val="000000"/>
                <w:shd w:val="clear" w:color="auto" w:fill="FFFFFF"/>
                <w:lang w:val="en-US"/>
              </w:rPr>
              <w:t>On 24/10/19 a group of ten health and social care students visited the Brangwyn Hall to attend an event on Transforming Health and Care in Wales and perform a risk assessment referring to the Health and Safety Act 1974 (HASAWA). According to Legislation (2019) employers need to protect the health, safety and welfare at work of anyone on their premises, this includes visitors and the general public as well as temporary and fulltime employees. The Student’s that parked their car on the left of the building did not notice any signs for disabled access. People coming from the left requiring disabled access would need to ask someone for directions. This could be difficult and inconvenient for disabled people because there are stairs going up to the main entrance. Brangwyn Hall is a council building and Citizens advice (2019) states, under the Equality Act 2010, changes need to be made to ensure a disabled person can access a council building, the changes may include entrances, exits and signs. After entering the building, the students noticed slippery surface, but no signs there to warn people of the wet floor. The students were directed to the main hall, shown where the facilities and fi</w:t>
            </w:r>
            <w:r>
              <w:rPr>
                <w:rStyle w:val="normaltextrun"/>
                <w:rFonts w:ascii="Arial" w:hAnsi="Arial" w:cs="Arial"/>
                <w:color w:val="000000"/>
                <w:shd w:val="clear" w:color="auto" w:fill="FFFFFF"/>
                <w:lang w:val="en-US"/>
              </w:rPr>
              <w:t>re exits were located. There were</w:t>
            </w:r>
            <w:r>
              <w:rPr>
                <w:rStyle w:val="normaltextrun"/>
                <w:rFonts w:ascii="Arial" w:eastAsiaTheme="minorEastAsia" w:hAnsi="Arial" w:cs="Arial"/>
                <w:color w:val="000000"/>
                <w:shd w:val="clear" w:color="auto" w:fill="FFFFFF"/>
                <w:lang w:val="en-US"/>
              </w:rPr>
              <w:t xml:space="preserve"> a total of six fire exits but two of them had been blocked. The students also noticed loo</w:t>
            </w:r>
            <w:r>
              <w:rPr>
                <w:rStyle w:val="normaltextrun"/>
                <w:rFonts w:ascii="Arial" w:hAnsi="Arial" w:cs="Arial"/>
                <w:color w:val="000000"/>
                <w:shd w:val="clear" w:color="auto" w:fill="FFFFFF"/>
                <w:lang w:val="en-US"/>
              </w:rPr>
              <w:t>se cables in the main hall, which</w:t>
            </w:r>
            <w:r>
              <w:rPr>
                <w:rStyle w:val="normaltextrun"/>
                <w:rFonts w:ascii="Arial" w:eastAsiaTheme="minorEastAsia" w:hAnsi="Arial" w:cs="Arial"/>
                <w:color w:val="000000"/>
                <w:shd w:val="clear" w:color="auto" w:fill="FFFFFF"/>
                <w:lang w:val="en-US"/>
              </w:rPr>
              <w:t xml:space="preserve"> could have caused someone to trip and fall over. The students completed their risk assessments and left at break time.</w:t>
            </w:r>
          </w:p>
          <w:p w:rsidR="00214763" w:rsidRDefault="00214763" w:rsidP="00214763">
            <w:pPr>
              <w:pStyle w:val="paragraph"/>
              <w:spacing w:before="0" w:beforeAutospacing="0" w:after="0" w:afterAutospacing="0"/>
              <w:textAlignment w:val="baseline"/>
              <w:rPr>
                <w:rStyle w:val="normaltextrun"/>
                <w:rFonts w:ascii="Arial" w:eastAsiaTheme="minorEastAsia" w:hAnsi="Arial" w:cs="Arial"/>
                <w:color w:val="000000"/>
                <w:shd w:val="clear" w:color="auto" w:fill="FFFFFF"/>
                <w:lang w:val="en-US"/>
              </w:rPr>
            </w:pPr>
          </w:p>
          <w:p w:rsidR="00214763" w:rsidRDefault="00214763" w:rsidP="00214763">
            <w:pPr>
              <w:pStyle w:val="paragraph"/>
              <w:spacing w:before="0" w:beforeAutospacing="0" w:after="0" w:afterAutospacing="0"/>
              <w:textAlignment w:val="baseline"/>
              <w:rPr>
                <w:rStyle w:val="normaltextrun"/>
                <w:rFonts w:ascii="Arial" w:eastAsiaTheme="minorEastAsia" w:hAnsi="Arial" w:cs="Arial"/>
                <w:color w:val="000000"/>
                <w:shd w:val="clear" w:color="auto" w:fill="FFFFFF"/>
                <w:lang w:val="en-US"/>
              </w:rPr>
            </w:pPr>
          </w:p>
          <w:p w:rsidR="00214763" w:rsidRDefault="00214763" w:rsidP="00214763">
            <w:pPr>
              <w:pStyle w:val="paragraph"/>
              <w:spacing w:before="0" w:beforeAutospacing="0" w:after="0" w:afterAutospacing="0"/>
              <w:textAlignment w:val="baseline"/>
              <w:rPr>
                <w:rStyle w:val="normaltextrun"/>
                <w:rFonts w:ascii="Arial" w:hAnsi="Arial" w:cs="Arial"/>
                <w:lang w:val="en-US"/>
              </w:rPr>
            </w:pPr>
            <w:r>
              <w:rPr>
                <w:rStyle w:val="HeaderChar"/>
                <w:rFonts w:ascii="Arial" w:hAnsi="Arial" w:cs="Arial"/>
                <w:u w:val="single"/>
                <w:lang w:val="en-US"/>
              </w:rPr>
              <w:t xml:space="preserve"> </w:t>
            </w:r>
            <w:r>
              <w:rPr>
                <w:rStyle w:val="normaltextrun"/>
                <w:rFonts w:ascii="Arial" w:hAnsi="Arial" w:cs="Arial"/>
                <w:u w:val="single"/>
                <w:lang w:val="en-US"/>
              </w:rPr>
              <w:t>Reference</w:t>
            </w:r>
            <w:r>
              <w:rPr>
                <w:rStyle w:val="normaltextrun"/>
                <w:rFonts w:ascii="Arial" w:hAnsi="Arial" w:cs="Arial"/>
                <w:lang w:val="en-US"/>
              </w:rPr>
              <w:t> </w:t>
            </w:r>
          </w:p>
          <w:p w:rsidR="00214763" w:rsidRDefault="00214763" w:rsidP="00214763">
            <w:pPr>
              <w:pStyle w:val="paragraph"/>
              <w:spacing w:before="0" w:beforeAutospacing="0" w:after="0" w:afterAutospacing="0"/>
              <w:textAlignment w:val="baseline"/>
              <w:rPr>
                <w:rFonts w:ascii="Segoe UI" w:hAnsi="Segoe UI" w:cs="Segoe UI"/>
                <w:sz w:val="21"/>
                <w:szCs w:val="21"/>
              </w:rPr>
            </w:pPr>
            <w:r>
              <w:rPr>
                <w:rStyle w:val="eop"/>
                <w:rFonts w:ascii="Arial" w:eastAsiaTheme="minorEastAsia" w:hAnsi="Arial" w:cs="Arial"/>
              </w:rPr>
              <w:t> </w:t>
            </w:r>
          </w:p>
          <w:p w:rsidR="00214763" w:rsidRDefault="00214763" w:rsidP="00214763">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Citizen’s advice (2019) </w:t>
            </w:r>
            <w:r>
              <w:rPr>
                <w:rStyle w:val="normaltextrun"/>
                <w:rFonts w:ascii="Arial" w:hAnsi="Arial" w:cs="Arial"/>
                <w:i/>
                <w:iCs/>
                <w:lang w:val="en-US"/>
              </w:rPr>
              <w:t>Duty to make reasonable adjustment for disabled people.</w:t>
            </w:r>
            <w:r>
              <w:rPr>
                <w:rStyle w:val="normaltextrun"/>
                <w:rFonts w:ascii="Arial" w:hAnsi="Arial" w:cs="Arial"/>
                <w:lang w:val="en-US"/>
              </w:rPr>
              <w:t> available at: citizensadvice.org.uk/wales/law-and-courts/discrimination/what-are-the-different-types-of-discrimination/duty-to-make-reasonable-adjustments-for-disabled-people/. (Accessed 19 November 2019) </w:t>
            </w:r>
          </w:p>
          <w:p w:rsidR="002E7887" w:rsidRDefault="002E7887" w:rsidP="00214763">
            <w:pPr>
              <w:pStyle w:val="paragraph"/>
              <w:spacing w:before="0" w:beforeAutospacing="0" w:after="0" w:afterAutospacing="0"/>
              <w:textAlignment w:val="baseline"/>
              <w:rPr>
                <w:rStyle w:val="normaltextrun"/>
                <w:rFonts w:ascii="Arial" w:hAnsi="Arial" w:cs="Arial"/>
                <w:lang w:val="en-US"/>
              </w:rPr>
            </w:pPr>
          </w:p>
          <w:p w:rsidR="002E7887" w:rsidRPr="00141D6E" w:rsidRDefault="002E7887" w:rsidP="00214763">
            <w:pPr>
              <w:pStyle w:val="paragraph"/>
              <w:spacing w:before="0" w:beforeAutospacing="0" w:after="0" w:afterAutospacing="0"/>
              <w:textAlignment w:val="baseline"/>
              <w:rPr>
                <w:rStyle w:val="normaltextrun"/>
                <w:rFonts w:ascii="Arial" w:hAnsi="Arial" w:cs="Arial"/>
                <w:lang w:val="en-US"/>
              </w:rPr>
            </w:pPr>
            <w:r>
              <w:rPr>
                <w:rStyle w:val="normaltextrun"/>
                <w:rFonts w:ascii="Arial" w:hAnsi="Arial" w:cs="Arial"/>
                <w:lang w:val="en-US"/>
              </w:rPr>
              <w:t>Legislation (2019)</w:t>
            </w:r>
            <w:r w:rsidR="00141D6E">
              <w:rPr>
                <w:rStyle w:val="normaltextrun"/>
                <w:rFonts w:ascii="Arial" w:hAnsi="Arial" w:cs="Arial"/>
                <w:lang w:val="en-US"/>
              </w:rPr>
              <w:t xml:space="preserve"> </w:t>
            </w:r>
            <w:r w:rsidR="00141D6E">
              <w:rPr>
                <w:rStyle w:val="normaltextrun"/>
                <w:rFonts w:ascii="Arial" w:hAnsi="Arial" w:cs="Arial"/>
                <w:i/>
                <w:lang w:val="en-US"/>
              </w:rPr>
              <w:t>Legislation.gov.uk</w:t>
            </w:r>
            <w:r w:rsidR="00141D6E">
              <w:rPr>
                <w:rStyle w:val="normaltextrun"/>
                <w:rFonts w:ascii="Arial" w:hAnsi="Arial" w:cs="Arial"/>
                <w:lang w:val="en-US"/>
              </w:rPr>
              <w:t xml:space="preserve"> available at: </w:t>
            </w:r>
            <w:hyperlink r:id="rId17" w:history="1">
              <w:r w:rsidR="00141D6E" w:rsidRPr="00141D6E">
                <w:rPr>
                  <w:rStyle w:val="Hyperlink"/>
                  <w:rFonts w:ascii="Arial" w:hAnsi="Arial" w:cs="Arial"/>
                  <w:color w:val="auto"/>
                  <w:u w:val="none"/>
                  <w:lang w:val="en-US"/>
                </w:rPr>
                <w:t>http://www.legislation.uk/ukpga/1974/37 .(Accessed</w:t>
              </w:r>
            </w:hyperlink>
            <w:r w:rsidR="00141D6E" w:rsidRPr="00141D6E">
              <w:rPr>
                <w:rStyle w:val="normaltextrun"/>
                <w:rFonts w:ascii="Arial" w:hAnsi="Arial" w:cs="Arial"/>
                <w:lang w:val="en-US"/>
              </w:rPr>
              <w:t xml:space="preserve"> 19 November 2019)</w:t>
            </w:r>
          </w:p>
          <w:p w:rsidR="002E7887" w:rsidRDefault="002E7887" w:rsidP="00214763">
            <w:pPr>
              <w:pStyle w:val="paragraph"/>
              <w:spacing w:before="0" w:beforeAutospacing="0" w:after="0" w:afterAutospacing="0"/>
              <w:textAlignment w:val="baseline"/>
              <w:rPr>
                <w:rStyle w:val="normaltextrun"/>
                <w:rFonts w:ascii="Arial" w:hAnsi="Arial" w:cs="Arial"/>
                <w:lang w:val="en-US"/>
              </w:rPr>
            </w:pPr>
          </w:p>
          <w:p w:rsidR="00214763" w:rsidRDefault="00214763" w:rsidP="00214763">
            <w:pPr>
              <w:pStyle w:val="paragraph"/>
              <w:spacing w:before="0" w:beforeAutospacing="0" w:after="0" w:afterAutospacing="0"/>
              <w:textAlignment w:val="baseline"/>
              <w:rPr>
                <w:rFonts w:ascii="Segoe UI" w:hAnsi="Segoe UI" w:cs="Segoe UI"/>
                <w:sz w:val="21"/>
                <w:szCs w:val="21"/>
              </w:rPr>
            </w:pPr>
          </w:p>
          <w:p w:rsidR="00FC6CB5" w:rsidRDefault="00FC6CB5" w:rsidP="00562087">
            <w:pPr>
              <w:rPr>
                <w:rStyle w:val="normaltextrun"/>
                <w:rFonts w:ascii="Arial" w:hAnsi="Arial" w:cs="Arial"/>
                <w:color w:val="000000"/>
                <w:shd w:val="clear" w:color="auto" w:fill="FFFFFF"/>
                <w:lang w:val="en-US"/>
              </w:rPr>
            </w:pPr>
          </w:p>
          <w:p w:rsidR="00214763" w:rsidRDefault="00214763" w:rsidP="00562087">
            <w:pPr>
              <w:rPr>
                <w:rStyle w:val="normaltextrun"/>
                <w:rFonts w:ascii="Arial" w:hAnsi="Arial" w:cs="Arial"/>
                <w:color w:val="000000"/>
                <w:shd w:val="clear" w:color="auto" w:fill="FFFFFF"/>
                <w:lang w:val="en-US"/>
              </w:rPr>
            </w:pPr>
          </w:p>
          <w:p w:rsidR="00FC6CB5" w:rsidRDefault="00FC6CB5" w:rsidP="00562087">
            <w:pPr>
              <w:rPr>
                <w:rStyle w:val="normaltextrun"/>
                <w:rFonts w:ascii="Arial" w:hAnsi="Arial" w:cs="Arial"/>
                <w:color w:val="000000"/>
                <w:shd w:val="clear" w:color="auto" w:fill="FFFFFF"/>
                <w:lang w:val="en-US"/>
              </w:rPr>
            </w:pPr>
          </w:p>
          <w:p w:rsidR="00FB6D7F" w:rsidRPr="0011458E" w:rsidRDefault="00FC6CB5" w:rsidP="00562087">
            <w:pPr>
              <w:rPr>
                <w:rFonts w:cs="Arial"/>
              </w:rPr>
            </w:pPr>
            <w:r>
              <w:rPr>
                <w:rStyle w:val="eop"/>
                <w:rFonts w:ascii="Arial" w:hAnsi="Arial" w:cs="Arial"/>
                <w:color w:val="000000"/>
                <w:shd w:val="clear" w:color="auto" w:fill="FFFFFF"/>
              </w:rPr>
              <w:t> </w:t>
            </w:r>
          </w:p>
        </w:tc>
      </w:tr>
    </w:tbl>
    <w:p w:rsidR="00FB6D7F" w:rsidRDefault="00FB6D7F" w:rsidP="00BF4C15">
      <w:pPr>
        <w:jc w:val="both"/>
        <w:rPr>
          <w:rFonts w:cs="Arial"/>
          <w:b/>
          <w:szCs w:val="20"/>
          <w:u w:val="single"/>
        </w:rPr>
      </w:pPr>
    </w:p>
    <w:p w:rsidR="00BF4C15" w:rsidRDefault="00BF4C15" w:rsidP="00BF4C15">
      <w:pPr>
        <w:jc w:val="both"/>
        <w:rPr>
          <w:rFonts w:cs="Arial"/>
          <w:b/>
          <w:szCs w:val="20"/>
          <w:u w:val="single"/>
        </w:rPr>
      </w:pPr>
      <w:r>
        <w:rPr>
          <w:rFonts w:cs="Arial"/>
          <w:b/>
          <w:szCs w:val="20"/>
          <w:u w:val="single"/>
        </w:rPr>
        <w:t>FULL RISK ASSESSMENTS MUST BE COMPLETED FOR ALL VISITS</w:t>
      </w:r>
    </w:p>
    <w:p w:rsidR="00BF4C15" w:rsidRPr="00FB6D7F" w:rsidRDefault="00BF4C15" w:rsidP="00FB6D7F">
      <w:pPr>
        <w:jc w:val="both"/>
        <w:rPr>
          <w:rFonts w:cs="Arial"/>
          <w:b/>
          <w:szCs w:val="20"/>
        </w:rPr>
      </w:pPr>
      <w:r w:rsidRPr="00FB6D7F">
        <w:rPr>
          <w:rFonts w:cs="Arial"/>
          <w:b/>
          <w:szCs w:val="20"/>
        </w:rPr>
        <w:lastRenderedPageBreak/>
        <w:t>NOTES:</w:t>
      </w:r>
      <w:r w:rsidRPr="00FB6D7F">
        <w:rPr>
          <w:rFonts w:cs="Arial"/>
          <w:b/>
          <w:szCs w:val="20"/>
        </w:rPr>
        <w:tab/>
      </w:r>
    </w:p>
    <w:p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rsidR="00FB6D7F" w:rsidRDefault="00FB6D7F" w:rsidP="00FB6D7F">
      <w:pPr>
        <w:spacing w:after="0" w:line="240" w:lineRule="auto"/>
        <w:ind w:left="720"/>
        <w:jc w:val="both"/>
        <w:rPr>
          <w:rFonts w:cs="Arial"/>
          <w:b/>
          <w:szCs w:val="20"/>
        </w:rPr>
      </w:pPr>
    </w:p>
    <w:p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rsidR="00BF4C15" w:rsidRDefault="00BF4C15" w:rsidP="00BF4C15"/>
    <w:p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6DC1" w:rsidRDefault="00F36DC1" w:rsidP="0095454D">
      <w:pPr>
        <w:spacing w:after="0" w:line="240" w:lineRule="auto"/>
      </w:pPr>
      <w:r>
        <w:separator/>
      </w:r>
    </w:p>
  </w:endnote>
  <w:endnote w:type="continuationSeparator" w:id="0">
    <w:p w:rsidR="00F36DC1" w:rsidRDefault="00F36DC1" w:rsidP="009545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Pr="00044EDE" w:rsidRDefault="00DF34B4" w:rsidP="004470DB">
    <w:pPr>
      <w:pStyle w:val="Footer"/>
      <w:tabs>
        <w:tab w:val="right" w:pos="8505"/>
      </w:tabs>
      <w:ind w:right="-96"/>
      <w:jc w:val="both"/>
      <w:rPr>
        <w:rFonts w:cs="Arial"/>
      </w:rPr>
    </w:pPr>
    <w:r w:rsidRPr="00DF34B4">
      <w:rPr>
        <w:rFonts w:cs="Arial"/>
        <w:iCs/>
        <w:noProof/>
      </w:rPr>
      <w:pict>
        <v:line id="Straight Connector 7" o:spid="_x0000_s4099" style="position:absolute;left:0;text-align:left;z-index:251664384;visibility:visibl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w:r>
    <w:r w:rsidR="00BF4C15">
      <w:rPr>
        <w:rFonts w:cs="Arial"/>
      </w:rPr>
      <w:t>Trinity St. David</w:t>
    </w:r>
    <w:r w:rsidR="00BF4C15" w:rsidRPr="00044EDE">
      <w:rPr>
        <w:rFonts w:cs="Arial"/>
      </w:rPr>
      <w:tab/>
    </w:r>
    <w:r w:rsidR="00BF4C15" w:rsidRPr="008E11BC">
      <w:rPr>
        <w:rFonts w:cs="Arial"/>
      </w:rPr>
      <w:t xml:space="preserve">Page </w:t>
    </w:r>
    <w:r>
      <w:rPr>
        <w:rStyle w:val="PageNumber"/>
      </w:rPr>
      <w:fldChar w:fldCharType="begin"/>
    </w:r>
    <w:r w:rsidR="00BF4C15">
      <w:rPr>
        <w:rStyle w:val="PageNumber"/>
      </w:rPr>
      <w:instrText xml:space="preserve"> PAGE </w:instrText>
    </w:r>
    <w:r>
      <w:rPr>
        <w:rStyle w:val="PageNumber"/>
      </w:rPr>
      <w:fldChar w:fldCharType="separate"/>
    </w:r>
    <w:r w:rsidR="004F6AA6">
      <w:rPr>
        <w:rStyle w:val="PageNumber"/>
        <w:noProof/>
      </w:rPr>
      <w:t>3</w:t>
    </w:r>
    <w:r>
      <w:rPr>
        <w:rStyle w:val="PageNumber"/>
      </w:rPr>
      <w:fldChar w:fldCharType="end"/>
    </w:r>
    <w:r w:rsidR="00BF4C15" w:rsidRPr="008E11BC">
      <w:rPr>
        <w:rStyle w:val="PageNumber"/>
        <w:rFonts w:cs="Arial"/>
      </w:rPr>
      <w:t xml:space="preserve"> of </w:t>
    </w:r>
    <w:r w:rsidRPr="008E11BC">
      <w:rPr>
        <w:rStyle w:val="PageNumber"/>
        <w:rFonts w:cs="Arial"/>
      </w:rPr>
      <w:fldChar w:fldCharType="begin"/>
    </w:r>
    <w:r w:rsidR="00BF4C15" w:rsidRPr="008E11BC">
      <w:rPr>
        <w:rStyle w:val="PageNumber"/>
        <w:rFonts w:cs="Arial"/>
      </w:rPr>
      <w:instrText xml:space="preserve"> NUMPAGES </w:instrText>
    </w:r>
    <w:r w:rsidRPr="008E11BC">
      <w:rPr>
        <w:rStyle w:val="PageNumber"/>
        <w:rFonts w:cs="Arial"/>
      </w:rPr>
      <w:fldChar w:fldCharType="separate"/>
    </w:r>
    <w:r w:rsidR="004F6AA6">
      <w:rPr>
        <w:rStyle w:val="PageNumber"/>
        <w:rFonts w:cs="Arial"/>
        <w:noProof/>
      </w:rPr>
      <w:t>8</w:t>
    </w:r>
    <w:r w:rsidRPr="008E11BC">
      <w:rPr>
        <w:rStyle w:val="PageNumber"/>
        <w:rFonts w:cs="Arial"/>
      </w:rPr>
      <w:fldChar w:fldCharType="end"/>
    </w:r>
  </w:p>
  <w:p w:rsidR="00BF4C15" w:rsidRDefault="00BF4C15" w:rsidP="004470DB">
    <w:pPr>
      <w:pStyle w:val="Footer"/>
      <w:jc w:val="both"/>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Pr="00044EDE" w:rsidRDefault="00DF34B4" w:rsidP="004470DB">
    <w:pPr>
      <w:pStyle w:val="Footer"/>
      <w:tabs>
        <w:tab w:val="right" w:pos="8505"/>
      </w:tabs>
      <w:ind w:right="-96"/>
      <w:jc w:val="both"/>
      <w:rPr>
        <w:rFonts w:cs="Arial"/>
      </w:rPr>
    </w:pPr>
    <w:r w:rsidRPr="00DF34B4">
      <w:rPr>
        <w:rFonts w:cs="Arial"/>
        <w:iCs/>
        <w:noProof/>
      </w:rPr>
      <w:pict>
        <v:line id="Straight Connector 3" o:spid="_x0000_s4098" style="position:absolute;left:0;text-align:left;z-index:251659264;visibility:visibl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w:r>
    <w:r w:rsidR="00672C2C">
      <w:rPr>
        <w:rFonts w:cs="Arial"/>
      </w:rPr>
      <w:t>Trinity St. David</w:t>
    </w:r>
    <w:r w:rsidR="00672C2C" w:rsidRPr="00044EDE">
      <w:rPr>
        <w:rFonts w:cs="Arial"/>
      </w:rPr>
      <w:tab/>
    </w:r>
    <w:r w:rsidR="00672C2C" w:rsidRPr="008E11BC">
      <w:rPr>
        <w:rFonts w:cs="Arial"/>
      </w:rPr>
      <w:t xml:space="preserve">Page </w:t>
    </w:r>
    <w:r>
      <w:rPr>
        <w:rStyle w:val="PageNumber"/>
      </w:rPr>
      <w:fldChar w:fldCharType="begin"/>
    </w:r>
    <w:r w:rsidR="00672C2C">
      <w:rPr>
        <w:rStyle w:val="PageNumber"/>
      </w:rPr>
      <w:instrText xml:space="preserve"> PAGE </w:instrText>
    </w:r>
    <w:r>
      <w:rPr>
        <w:rStyle w:val="PageNumber"/>
      </w:rPr>
      <w:fldChar w:fldCharType="separate"/>
    </w:r>
    <w:r w:rsidR="0067630B">
      <w:rPr>
        <w:rStyle w:val="PageNumber"/>
        <w:noProof/>
      </w:rPr>
      <w:t>5</w:t>
    </w:r>
    <w:r>
      <w:rPr>
        <w:rStyle w:val="PageNumber"/>
      </w:rPr>
      <w:fldChar w:fldCharType="end"/>
    </w:r>
    <w:r w:rsidR="00672C2C" w:rsidRPr="008E11BC">
      <w:rPr>
        <w:rStyle w:val="PageNumber"/>
        <w:rFonts w:cs="Arial"/>
      </w:rPr>
      <w:t xml:space="preserve"> of </w:t>
    </w:r>
    <w:r w:rsidRPr="008E11BC">
      <w:rPr>
        <w:rStyle w:val="PageNumber"/>
        <w:rFonts w:cs="Arial"/>
      </w:rPr>
      <w:fldChar w:fldCharType="begin"/>
    </w:r>
    <w:r w:rsidR="00672C2C" w:rsidRPr="008E11BC">
      <w:rPr>
        <w:rStyle w:val="PageNumber"/>
        <w:rFonts w:cs="Arial"/>
      </w:rPr>
      <w:instrText xml:space="preserve"> NUMPAGES </w:instrText>
    </w:r>
    <w:r w:rsidRPr="008E11BC">
      <w:rPr>
        <w:rStyle w:val="PageNumber"/>
        <w:rFonts w:cs="Arial"/>
      </w:rPr>
      <w:fldChar w:fldCharType="separate"/>
    </w:r>
    <w:r w:rsidR="0067630B">
      <w:rPr>
        <w:rStyle w:val="PageNumber"/>
        <w:rFonts w:cs="Arial"/>
        <w:noProof/>
      </w:rPr>
      <w:t>8</w:t>
    </w:r>
    <w:r w:rsidRPr="008E11BC">
      <w:rPr>
        <w:rStyle w:val="PageNumber"/>
        <w:rFonts w:cs="Arial"/>
      </w:rPr>
      <w:fldChar w:fldCharType="end"/>
    </w:r>
  </w:p>
  <w:p w:rsidR="00672C2C" w:rsidRDefault="00672C2C" w:rsidP="004470DB">
    <w:pPr>
      <w:pStyle w:val="Footer"/>
      <w:jc w:val="both"/>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6DC1" w:rsidRDefault="00F36DC1" w:rsidP="0095454D">
      <w:pPr>
        <w:spacing w:after="0" w:line="240" w:lineRule="auto"/>
      </w:pPr>
      <w:r>
        <w:separator/>
      </w:r>
    </w:p>
  </w:footnote>
  <w:footnote w:type="continuationSeparator" w:id="0">
    <w:p w:rsidR="00F36DC1" w:rsidRDefault="00F36DC1" w:rsidP="0095454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Default="00BF4C15" w:rsidP="00631E7B">
    <w:pPr>
      <w:pStyle w:val="Header"/>
      <w:jc w:val="right"/>
      <w:rPr>
        <w:rFonts w:cs="Arial"/>
        <w:sz w:val="16"/>
        <w:szCs w:val="16"/>
      </w:rPr>
    </w:pPr>
    <w:r>
      <w:rPr>
        <w:noProof/>
      </w:rPr>
      <w:drawing>
        <wp:inline distT="0" distB="0" distL="0" distR="0">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9300" cy="438150"/>
                  </a:xfrm>
                  <a:prstGeom prst="rect">
                    <a:avLst/>
                  </a:prstGeom>
                  <a:noFill/>
                  <a:ln>
                    <a:noFill/>
                  </a:ln>
                </pic:spPr>
              </pic:pic>
            </a:graphicData>
          </a:graphic>
        </wp:inline>
      </w:drawing>
    </w:r>
  </w:p>
  <w:p w:rsidR="00BF4C15" w:rsidRDefault="00BF4C15" w:rsidP="004470DB">
    <w:pPr>
      <w:pStyle w:val="Header"/>
      <w:rPr>
        <w:rFonts w:cs="Arial"/>
        <w:sz w:val="16"/>
        <w:szCs w:val="16"/>
      </w:rPr>
    </w:pPr>
  </w:p>
  <w:p w:rsidR="00BF4C15" w:rsidRDefault="00DF34B4" w:rsidP="004470DB">
    <w:pPr>
      <w:pStyle w:val="Header"/>
      <w:tabs>
        <w:tab w:val="right" w:pos="8505"/>
      </w:tabs>
    </w:pPr>
    <w:r w:rsidRPr="00DF34B4">
      <w:rPr>
        <w:rFonts w:cs="Arial"/>
        <w:noProof/>
        <w:sz w:val="16"/>
        <w:szCs w:val="16"/>
      </w:rPr>
      <w:pict>
        <v:line id="Straight Connector 8" o:spid="_x0000_s4100" style="position:absolute;z-index:251663360;visibility:visibl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w:r>
    <w:r w:rsidR="00BF4C15">
      <w:rPr>
        <w:rFonts w:cs="Arial"/>
        <w:sz w:val="16"/>
        <w:szCs w:val="16"/>
      </w:rPr>
      <w:t xml:space="preserve">Event Risk Assessment </w:t>
    </w:r>
    <w:r w:rsidR="00BF4C15">
      <w:rPr>
        <w:rFonts w:cs="Arial"/>
        <w:sz w:val="16"/>
        <w:szCs w:val="16"/>
      </w:rPr>
      <w:tab/>
    </w:r>
    <w:r w:rsidR="00BF4C15" w:rsidRPr="00044EDE">
      <w:rPr>
        <w:rFonts w:cs="Arial"/>
        <w:sz w:val="16"/>
        <w:szCs w:val="16"/>
      </w:rPr>
      <w:tab/>
    </w:r>
  </w:p>
  <w:p w:rsidR="00BF4C15" w:rsidRDefault="00BF4C15" w:rsidP="004470DB"/>
  <w:p w:rsidR="00BF4C15" w:rsidRDefault="00BF4C15" w:rsidP="00B235BB">
    <w:pPr>
      <w:pStyle w:val="Header"/>
      <w:tabs>
        <w:tab w:val="right" w:pos="15876"/>
      </w:tabs>
    </w:pPr>
    <w:r w:rsidRPr="00044EDE">
      <w:tab/>
    </w:r>
    <w:r w:rsidRPr="00044EDE">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4C15" w:rsidRDefault="00BF4C15" w:rsidP="00F90E5B">
    <w:pPr>
      <w:pStyle w:val="Header"/>
      <w:jc w:val="right"/>
    </w:pPr>
    <w:r>
      <w:rPr>
        <w:noProof/>
      </w:rPr>
      <w:drawing>
        <wp:inline distT="0" distB="0" distL="0" distR="0">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Pr="002D7C61" w:rsidRDefault="0095454D" w:rsidP="0095454D">
    <w:pPr>
      <w:pStyle w:val="Header"/>
      <w:jc w:val="right"/>
    </w:pPr>
    <w:r>
      <w:rPr>
        <w:noProof/>
      </w:rPr>
      <w:drawing>
        <wp:anchor distT="0" distB="0" distL="114300" distR="114300" simplePos="0" relativeHeight="251661312" behindDoc="0" locked="0" layoutInCell="1" allowOverlap="1">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53559" cy="622772"/>
                  </a:xfrm>
                  <a:prstGeom prst="rect">
                    <a:avLst/>
                  </a:prstGeom>
                  <a:noFill/>
                  <a:ln>
                    <a:noFill/>
                  </a:ln>
                </pic:spPr>
              </pic:pic>
            </a:graphicData>
          </a:graphic>
        </wp:anchor>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2C2C" w:rsidRDefault="00DF34B4" w:rsidP="004A67C8">
    <w:pPr>
      <w:pStyle w:val="Header"/>
      <w:tabs>
        <w:tab w:val="right" w:pos="8505"/>
      </w:tabs>
    </w:pPr>
    <w:r w:rsidRPr="00DF34B4">
      <w:rPr>
        <w:rFonts w:cs="Arial"/>
        <w:noProof/>
        <w:sz w:val="16"/>
        <w:szCs w:val="16"/>
      </w:rPr>
      <w:pict>
        <v:line id="Straight Connector 1" o:spid="_x0000_s4097" style="position:absolute;z-index:251660288;visibility:visibl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w:r>
    <w:r w:rsidR="00672C2C">
      <w:rPr>
        <w:rFonts w:cs="Arial"/>
        <w:noProof/>
        <w:sz w:val="16"/>
        <w:szCs w:val="16"/>
        <w:lang w:val="en-US"/>
      </w:rPr>
      <w:t>Risk Assessments</w:t>
    </w:r>
    <w:r w:rsidR="00672C2C">
      <w:rPr>
        <w:rFonts w:cs="Arial"/>
        <w:sz w:val="16"/>
        <w:szCs w:val="16"/>
      </w:rPr>
      <w:t xml:space="preserve"> </w:t>
    </w:r>
    <w:r w:rsidR="00672C2C">
      <w:rPr>
        <w:rFonts w:cs="Arial"/>
        <w:sz w:val="16"/>
        <w:szCs w:val="16"/>
      </w:rPr>
      <w:tab/>
    </w:r>
    <w:r w:rsidR="00672C2C" w:rsidRPr="00044EDE">
      <w:rPr>
        <w:rFonts w:cs="Arial"/>
        <w:sz w:val="16"/>
        <w:szCs w:val="16"/>
      </w:rPr>
      <w:tab/>
    </w:r>
  </w:p>
  <w:p w:rsidR="00672C2C" w:rsidRPr="002D7C61" w:rsidRDefault="00672C2C" w:rsidP="002D7C6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B886D2C"/>
    <w:multiLevelType w:val="singleLevel"/>
    <w:tmpl w:val="08090013"/>
    <w:lvl w:ilvl="0">
      <w:start w:val="1"/>
      <w:numFmt w:val="upperRoman"/>
      <w:lvlText w:val="%1."/>
      <w:lvlJc w:val="right"/>
      <w:pPr>
        <w:ind w:left="360" w:hanging="360"/>
      </w:pPr>
    </w:lvl>
  </w:abstractNum>
  <w:abstractNum w:abstractNumId="3">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proofState w:spelling="clean" w:grammar="clean"/>
  <w:defaultTabStop w:val="720"/>
  <w:characterSpacingControl w:val="doNotCompress"/>
  <w:hdrShapeDefaults>
    <o:shapedefaults v:ext="edit" spidmax="13314"/>
    <o:shapelayout v:ext="edit">
      <o:idmap v:ext="edit" data="4"/>
    </o:shapelayout>
  </w:hdrShapeDefaults>
  <w:footnotePr>
    <w:footnote w:id="-1"/>
    <w:footnote w:id="0"/>
  </w:footnotePr>
  <w:endnotePr>
    <w:endnote w:id="-1"/>
    <w:endnote w:id="0"/>
  </w:endnotePr>
  <w:compat/>
  <w:rsids>
    <w:rsidRoot w:val="00672C2C"/>
    <w:rsid w:val="00011D0F"/>
    <w:rsid w:val="00091F63"/>
    <w:rsid w:val="000D45D4"/>
    <w:rsid w:val="000F3B1F"/>
    <w:rsid w:val="0013693F"/>
    <w:rsid w:val="00141D6E"/>
    <w:rsid w:val="001A161E"/>
    <w:rsid w:val="002008DE"/>
    <w:rsid w:val="00214763"/>
    <w:rsid w:val="00283AEA"/>
    <w:rsid w:val="002A3A20"/>
    <w:rsid w:val="002C0121"/>
    <w:rsid w:val="002E7887"/>
    <w:rsid w:val="00306CE5"/>
    <w:rsid w:val="00367A62"/>
    <w:rsid w:val="004002F3"/>
    <w:rsid w:val="004C30DB"/>
    <w:rsid w:val="004E0774"/>
    <w:rsid w:val="004F6AA6"/>
    <w:rsid w:val="00580151"/>
    <w:rsid w:val="00591468"/>
    <w:rsid w:val="005C17A8"/>
    <w:rsid w:val="0062771E"/>
    <w:rsid w:val="00672C2C"/>
    <w:rsid w:val="0067630B"/>
    <w:rsid w:val="007413DA"/>
    <w:rsid w:val="007A31BD"/>
    <w:rsid w:val="007E3837"/>
    <w:rsid w:val="00811982"/>
    <w:rsid w:val="008B3CA0"/>
    <w:rsid w:val="008F71C4"/>
    <w:rsid w:val="0095454D"/>
    <w:rsid w:val="00971B5F"/>
    <w:rsid w:val="00985F51"/>
    <w:rsid w:val="009F4779"/>
    <w:rsid w:val="00A04DF8"/>
    <w:rsid w:val="00A057C6"/>
    <w:rsid w:val="00A426CF"/>
    <w:rsid w:val="00A57B0E"/>
    <w:rsid w:val="00A73A00"/>
    <w:rsid w:val="00B02030"/>
    <w:rsid w:val="00B1745D"/>
    <w:rsid w:val="00B24AD6"/>
    <w:rsid w:val="00B24E3E"/>
    <w:rsid w:val="00B576A6"/>
    <w:rsid w:val="00B609D0"/>
    <w:rsid w:val="00B73255"/>
    <w:rsid w:val="00BC59AF"/>
    <w:rsid w:val="00BF4C15"/>
    <w:rsid w:val="00C7232F"/>
    <w:rsid w:val="00C82A17"/>
    <w:rsid w:val="00CA76BF"/>
    <w:rsid w:val="00CD77F0"/>
    <w:rsid w:val="00D0007C"/>
    <w:rsid w:val="00D33AA1"/>
    <w:rsid w:val="00D5753B"/>
    <w:rsid w:val="00DA46F0"/>
    <w:rsid w:val="00DB253D"/>
    <w:rsid w:val="00DD0924"/>
    <w:rsid w:val="00DE48FC"/>
    <w:rsid w:val="00DF34B4"/>
    <w:rsid w:val="00E253B6"/>
    <w:rsid w:val="00E60A3F"/>
    <w:rsid w:val="00E67B40"/>
    <w:rsid w:val="00E902F5"/>
    <w:rsid w:val="00F36DC1"/>
    <w:rsid w:val="00FA0AE2"/>
    <w:rsid w:val="00FB6C2A"/>
    <w:rsid w:val="00FB6D7F"/>
    <w:rsid w:val="00FC6CB5"/>
    <w:rsid w:val="00FE350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76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 w:type="paragraph" w:customStyle="1" w:styleId="paragraph">
    <w:name w:val="paragraph"/>
    <w:basedOn w:val="Normal"/>
    <w:rsid w:val="000F3B1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0F3B1F"/>
  </w:style>
  <w:style w:type="character" w:customStyle="1" w:styleId="normaltextrun">
    <w:name w:val="normaltextrun"/>
    <w:basedOn w:val="DefaultParagraphFont"/>
    <w:rsid w:val="000F3B1F"/>
  </w:style>
  <w:style w:type="character" w:customStyle="1" w:styleId="eop">
    <w:name w:val="eop"/>
    <w:basedOn w:val="DefaultParagraphFont"/>
    <w:rsid w:val="000F3B1F"/>
  </w:style>
</w:styles>
</file>

<file path=word/webSettings.xml><?xml version="1.0" encoding="utf-8"?>
<w:webSettings xmlns:r="http://schemas.openxmlformats.org/officeDocument/2006/relationships" xmlns:w="http://schemas.openxmlformats.org/wordprocessingml/2006/main">
  <w:divs>
    <w:div w:id="616330544">
      <w:bodyDiv w:val="1"/>
      <w:marLeft w:val="0"/>
      <w:marRight w:val="0"/>
      <w:marTop w:val="0"/>
      <w:marBottom w:val="0"/>
      <w:divBdr>
        <w:top w:val="none" w:sz="0" w:space="0" w:color="auto"/>
        <w:left w:val="none" w:sz="0" w:space="0" w:color="auto"/>
        <w:bottom w:val="none" w:sz="0" w:space="0" w:color="auto"/>
        <w:right w:val="none" w:sz="0" w:space="0" w:color="auto"/>
      </w:divBdr>
      <w:divsChild>
        <w:div w:id="1805191146">
          <w:marLeft w:val="0"/>
          <w:marRight w:val="0"/>
          <w:marTop w:val="0"/>
          <w:marBottom w:val="0"/>
          <w:divBdr>
            <w:top w:val="none" w:sz="0" w:space="0" w:color="auto"/>
            <w:left w:val="none" w:sz="0" w:space="0" w:color="auto"/>
            <w:bottom w:val="none" w:sz="0" w:space="0" w:color="auto"/>
            <w:right w:val="none" w:sz="0" w:space="0" w:color="auto"/>
          </w:divBdr>
        </w:div>
        <w:div w:id="747458239">
          <w:marLeft w:val="0"/>
          <w:marRight w:val="0"/>
          <w:marTop w:val="0"/>
          <w:marBottom w:val="0"/>
          <w:divBdr>
            <w:top w:val="none" w:sz="0" w:space="0" w:color="auto"/>
            <w:left w:val="none" w:sz="0" w:space="0" w:color="auto"/>
            <w:bottom w:val="none" w:sz="0" w:space="0" w:color="auto"/>
            <w:right w:val="none" w:sz="0" w:space="0" w:color="auto"/>
          </w:divBdr>
        </w:div>
      </w:divsChild>
    </w:div>
    <w:div w:id="892429711">
      <w:bodyDiv w:val="1"/>
      <w:marLeft w:val="0"/>
      <w:marRight w:val="0"/>
      <w:marTop w:val="0"/>
      <w:marBottom w:val="0"/>
      <w:divBdr>
        <w:top w:val="none" w:sz="0" w:space="0" w:color="auto"/>
        <w:left w:val="none" w:sz="0" w:space="0" w:color="auto"/>
        <w:bottom w:val="none" w:sz="0" w:space="0" w:color="auto"/>
        <w:right w:val="none" w:sz="0" w:space="0" w:color="auto"/>
      </w:divBdr>
      <w:divsChild>
        <w:div w:id="1341351044">
          <w:marLeft w:val="0"/>
          <w:marRight w:val="0"/>
          <w:marTop w:val="0"/>
          <w:marBottom w:val="0"/>
          <w:divBdr>
            <w:top w:val="none" w:sz="0" w:space="0" w:color="auto"/>
            <w:left w:val="none" w:sz="0" w:space="0" w:color="auto"/>
            <w:bottom w:val="none" w:sz="0" w:space="0" w:color="auto"/>
            <w:right w:val="none" w:sz="0" w:space="0" w:color="auto"/>
          </w:divBdr>
        </w:div>
        <w:div w:id="838082377">
          <w:marLeft w:val="0"/>
          <w:marRight w:val="0"/>
          <w:marTop w:val="0"/>
          <w:marBottom w:val="0"/>
          <w:divBdr>
            <w:top w:val="none" w:sz="0" w:space="0" w:color="auto"/>
            <w:left w:val="none" w:sz="0" w:space="0" w:color="auto"/>
            <w:bottom w:val="none" w:sz="0" w:space="0" w:color="auto"/>
            <w:right w:val="none" w:sz="0" w:space="0" w:color="auto"/>
          </w:divBdr>
        </w:div>
      </w:divsChild>
    </w:div>
    <w:div w:id="1311442885">
      <w:bodyDiv w:val="1"/>
      <w:marLeft w:val="0"/>
      <w:marRight w:val="0"/>
      <w:marTop w:val="0"/>
      <w:marBottom w:val="0"/>
      <w:divBdr>
        <w:top w:val="none" w:sz="0" w:space="0" w:color="auto"/>
        <w:left w:val="none" w:sz="0" w:space="0" w:color="auto"/>
        <w:bottom w:val="none" w:sz="0" w:space="0" w:color="auto"/>
        <w:right w:val="none" w:sz="0" w:space="0" w:color="auto"/>
      </w:divBdr>
      <w:divsChild>
        <w:div w:id="140922751">
          <w:marLeft w:val="0"/>
          <w:marRight w:val="0"/>
          <w:marTop w:val="0"/>
          <w:marBottom w:val="0"/>
          <w:divBdr>
            <w:top w:val="none" w:sz="0" w:space="0" w:color="auto"/>
            <w:left w:val="none" w:sz="0" w:space="0" w:color="auto"/>
            <w:bottom w:val="none" w:sz="0" w:space="0" w:color="auto"/>
            <w:right w:val="none" w:sz="0" w:space="0" w:color="auto"/>
          </w:divBdr>
        </w:div>
        <w:div w:id="1604998913">
          <w:marLeft w:val="0"/>
          <w:marRight w:val="0"/>
          <w:marTop w:val="0"/>
          <w:marBottom w:val="0"/>
          <w:divBdr>
            <w:top w:val="none" w:sz="0" w:space="0" w:color="auto"/>
            <w:left w:val="none" w:sz="0" w:space="0" w:color="auto"/>
            <w:bottom w:val="none" w:sz="0" w:space="0" w:color="auto"/>
            <w:right w:val="none" w:sz="0" w:space="0" w:color="auto"/>
          </w:divBdr>
        </w:div>
        <w:div w:id="1714501220">
          <w:marLeft w:val="0"/>
          <w:marRight w:val="0"/>
          <w:marTop w:val="0"/>
          <w:marBottom w:val="0"/>
          <w:divBdr>
            <w:top w:val="none" w:sz="0" w:space="0" w:color="auto"/>
            <w:left w:val="none" w:sz="0" w:space="0" w:color="auto"/>
            <w:bottom w:val="none" w:sz="0" w:space="0" w:color="auto"/>
            <w:right w:val="none" w:sz="0" w:space="0" w:color="auto"/>
          </w:divBdr>
        </w:div>
        <w:div w:id="598104676">
          <w:marLeft w:val="0"/>
          <w:marRight w:val="0"/>
          <w:marTop w:val="0"/>
          <w:marBottom w:val="0"/>
          <w:divBdr>
            <w:top w:val="none" w:sz="0" w:space="0" w:color="auto"/>
            <w:left w:val="none" w:sz="0" w:space="0" w:color="auto"/>
            <w:bottom w:val="none" w:sz="0" w:space="0" w:color="auto"/>
            <w:right w:val="none" w:sz="0" w:space="0" w:color="auto"/>
          </w:divBdr>
        </w:div>
        <w:div w:id="1459105606">
          <w:marLeft w:val="0"/>
          <w:marRight w:val="0"/>
          <w:marTop w:val="0"/>
          <w:marBottom w:val="0"/>
          <w:divBdr>
            <w:top w:val="none" w:sz="0" w:space="0" w:color="auto"/>
            <w:left w:val="none" w:sz="0" w:space="0" w:color="auto"/>
            <w:bottom w:val="none" w:sz="0" w:space="0" w:color="auto"/>
            <w:right w:val="none" w:sz="0" w:space="0" w:color="auto"/>
          </w:divBdr>
        </w:div>
        <w:div w:id="658538049">
          <w:marLeft w:val="0"/>
          <w:marRight w:val="0"/>
          <w:marTop w:val="0"/>
          <w:marBottom w:val="0"/>
          <w:divBdr>
            <w:top w:val="none" w:sz="0" w:space="0" w:color="auto"/>
            <w:left w:val="none" w:sz="0" w:space="0" w:color="auto"/>
            <w:bottom w:val="none" w:sz="0" w:space="0" w:color="auto"/>
            <w:right w:val="none" w:sz="0" w:space="0" w:color="auto"/>
          </w:divBdr>
        </w:div>
        <w:div w:id="600115203">
          <w:marLeft w:val="0"/>
          <w:marRight w:val="0"/>
          <w:marTop w:val="0"/>
          <w:marBottom w:val="0"/>
          <w:divBdr>
            <w:top w:val="none" w:sz="0" w:space="0" w:color="auto"/>
            <w:left w:val="none" w:sz="0" w:space="0" w:color="auto"/>
            <w:bottom w:val="none" w:sz="0" w:space="0" w:color="auto"/>
            <w:right w:val="none" w:sz="0" w:space="0" w:color="auto"/>
          </w:divBdr>
        </w:div>
        <w:div w:id="2020616189">
          <w:marLeft w:val="0"/>
          <w:marRight w:val="0"/>
          <w:marTop w:val="0"/>
          <w:marBottom w:val="0"/>
          <w:divBdr>
            <w:top w:val="none" w:sz="0" w:space="0" w:color="auto"/>
            <w:left w:val="none" w:sz="0" w:space="0" w:color="auto"/>
            <w:bottom w:val="none" w:sz="0" w:space="0" w:color="auto"/>
            <w:right w:val="none" w:sz="0" w:space="0" w:color="auto"/>
          </w:divBdr>
        </w:div>
        <w:div w:id="393966510">
          <w:marLeft w:val="0"/>
          <w:marRight w:val="0"/>
          <w:marTop w:val="0"/>
          <w:marBottom w:val="0"/>
          <w:divBdr>
            <w:top w:val="none" w:sz="0" w:space="0" w:color="auto"/>
            <w:left w:val="none" w:sz="0" w:space="0" w:color="auto"/>
            <w:bottom w:val="none" w:sz="0" w:space="0" w:color="auto"/>
            <w:right w:val="none" w:sz="0" w:space="0" w:color="auto"/>
          </w:divBdr>
        </w:div>
        <w:div w:id="1969243370">
          <w:marLeft w:val="0"/>
          <w:marRight w:val="0"/>
          <w:marTop w:val="0"/>
          <w:marBottom w:val="0"/>
          <w:divBdr>
            <w:top w:val="none" w:sz="0" w:space="0" w:color="auto"/>
            <w:left w:val="none" w:sz="0" w:space="0" w:color="auto"/>
            <w:bottom w:val="none" w:sz="0" w:space="0" w:color="auto"/>
            <w:right w:val="none" w:sz="0" w:space="0" w:color="auto"/>
          </w:divBdr>
        </w:div>
        <w:div w:id="1875657516">
          <w:marLeft w:val="0"/>
          <w:marRight w:val="0"/>
          <w:marTop w:val="0"/>
          <w:marBottom w:val="0"/>
          <w:divBdr>
            <w:top w:val="none" w:sz="0" w:space="0" w:color="auto"/>
            <w:left w:val="none" w:sz="0" w:space="0" w:color="auto"/>
            <w:bottom w:val="none" w:sz="0" w:space="0" w:color="auto"/>
            <w:right w:val="none" w:sz="0" w:space="0" w:color="auto"/>
          </w:divBdr>
        </w:div>
        <w:div w:id="2034455960">
          <w:marLeft w:val="0"/>
          <w:marRight w:val="0"/>
          <w:marTop w:val="0"/>
          <w:marBottom w:val="0"/>
          <w:divBdr>
            <w:top w:val="none" w:sz="0" w:space="0" w:color="auto"/>
            <w:left w:val="none" w:sz="0" w:space="0" w:color="auto"/>
            <w:bottom w:val="none" w:sz="0" w:space="0" w:color="auto"/>
            <w:right w:val="none" w:sz="0" w:space="0" w:color="auto"/>
          </w:divBdr>
        </w:div>
        <w:div w:id="1046949401">
          <w:marLeft w:val="0"/>
          <w:marRight w:val="0"/>
          <w:marTop w:val="0"/>
          <w:marBottom w:val="0"/>
          <w:divBdr>
            <w:top w:val="none" w:sz="0" w:space="0" w:color="auto"/>
            <w:left w:val="none" w:sz="0" w:space="0" w:color="auto"/>
            <w:bottom w:val="none" w:sz="0" w:space="0" w:color="auto"/>
            <w:right w:val="none" w:sz="0" w:space="0" w:color="auto"/>
          </w:divBdr>
        </w:div>
        <w:div w:id="186991542">
          <w:marLeft w:val="0"/>
          <w:marRight w:val="0"/>
          <w:marTop w:val="0"/>
          <w:marBottom w:val="0"/>
          <w:divBdr>
            <w:top w:val="none" w:sz="0" w:space="0" w:color="auto"/>
            <w:left w:val="none" w:sz="0" w:space="0" w:color="auto"/>
            <w:bottom w:val="none" w:sz="0" w:space="0" w:color="auto"/>
            <w:right w:val="none" w:sz="0" w:space="0" w:color="auto"/>
          </w:divBdr>
        </w:div>
        <w:div w:id="1006245042">
          <w:marLeft w:val="0"/>
          <w:marRight w:val="0"/>
          <w:marTop w:val="0"/>
          <w:marBottom w:val="0"/>
          <w:divBdr>
            <w:top w:val="none" w:sz="0" w:space="0" w:color="auto"/>
            <w:left w:val="none" w:sz="0" w:space="0" w:color="auto"/>
            <w:bottom w:val="none" w:sz="0" w:space="0" w:color="auto"/>
            <w:right w:val="none" w:sz="0" w:space="0" w:color="auto"/>
          </w:divBdr>
        </w:div>
        <w:div w:id="1942104531">
          <w:marLeft w:val="0"/>
          <w:marRight w:val="0"/>
          <w:marTop w:val="0"/>
          <w:marBottom w:val="0"/>
          <w:divBdr>
            <w:top w:val="none" w:sz="0" w:space="0" w:color="auto"/>
            <w:left w:val="none" w:sz="0" w:space="0" w:color="auto"/>
            <w:bottom w:val="none" w:sz="0" w:space="0" w:color="auto"/>
            <w:right w:val="none" w:sz="0" w:space="0" w:color="auto"/>
          </w:divBdr>
        </w:div>
        <w:div w:id="511383239">
          <w:marLeft w:val="0"/>
          <w:marRight w:val="0"/>
          <w:marTop w:val="0"/>
          <w:marBottom w:val="0"/>
          <w:divBdr>
            <w:top w:val="none" w:sz="0" w:space="0" w:color="auto"/>
            <w:left w:val="none" w:sz="0" w:space="0" w:color="auto"/>
            <w:bottom w:val="none" w:sz="0" w:space="0" w:color="auto"/>
            <w:right w:val="none" w:sz="0" w:space="0" w:color="auto"/>
          </w:divBdr>
        </w:div>
        <w:div w:id="1310554305">
          <w:marLeft w:val="0"/>
          <w:marRight w:val="0"/>
          <w:marTop w:val="0"/>
          <w:marBottom w:val="0"/>
          <w:divBdr>
            <w:top w:val="none" w:sz="0" w:space="0" w:color="auto"/>
            <w:left w:val="none" w:sz="0" w:space="0" w:color="auto"/>
            <w:bottom w:val="none" w:sz="0" w:space="0" w:color="auto"/>
            <w:right w:val="none" w:sz="0" w:space="0" w:color="auto"/>
          </w:divBdr>
        </w:div>
        <w:div w:id="1078598729">
          <w:marLeft w:val="0"/>
          <w:marRight w:val="0"/>
          <w:marTop w:val="0"/>
          <w:marBottom w:val="0"/>
          <w:divBdr>
            <w:top w:val="none" w:sz="0" w:space="0" w:color="auto"/>
            <w:left w:val="none" w:sz="0" w:space="0" w:color="auto"/>
            <w:bottom w:val="none" w:sz="0" w:space="0" w:color="auto"/>
            <w:right w:val="none" w:sz="0" w:space="0" w:color="auto"/>
          </w:divBdr>
        </w:div>
        <w:div w:id="782651138">
          <w:marLeft w:val="0"/>
          <w:marRight w:val="0"/>
          <w:marTop w:val="0"/>
          <w:marBottom w:val="0"/>
          <w:divBdr>
            <w:top w:val="none" w:sz="0" w:space="0" w:color="auto"/>
            <w:left w:val="none" w:sz="0" w:space="0" w:color="auto"/>
            <w:bottom w:val="none" w:sz="0" w:space="0" w:color="auto"/>
            <w:right w:val="none" w:sz="0" w:space="0" w:color="auto"/>
          </w:divBdr>
        </w:div>
        <w:div w:id="498817023">
          <w:marLeft w:val="0"/>
          <w:marRight w:val="0"/>
          <w:marTop w:val="0"/>
          <w:marBottom w:val="0"/>
          <w:divBdr>
            <w:top w:val="none" w:sz="0" w:space="0" w:color="auto"/>
            <w:left w:val="none" w:sz="0" w:space="0" w:color="auto"/>
            <w:bottom w:val="none" w:sz="0" w:space="0" w:color="auto"/>
            <w:right w:val="none" w:sz="0" w:space="0" w:color="auto"/>
          </w:divBdr>
        </w:div>
        <w:div w:id="1865439509">
          <w:marLeft w:val="0"/>
          <w:marRight w:val="0"/>
          <w:marTop w:val="0"/>
          <w:marBottom w:val="0"/>
          <w:divBdr>
            <w:top w:val="none" w:sz="0" w:space="0" w:color="auto"/>
            <w:left w:val="none" w:sz="0" w:space="0" w:color="auto"/>
            <w:bottom w:val="none" w:sz="0" w:space="0" w:color="auto"/>
            <w:right w:val="none" w:sz="0" w:space="0" w:color="auto"/>
          </w:divBdr>
        </w:div>
        <w:div w:id="691688443">
          <w:marLeft w:val="0"/>
          <w:marRight w:val="0"/>
          <w:marTop w:val="0"/>
          <w:marBottom w:val="0"/>
          <w:divBdr>
            <w:top w:val="none" w:sz="0" w:space="0" w:color="auto"/>
            <w:left w:val="none" w:sz="0" w:space="0" w:color="auto"/>
            <w:bottom w:val="none" w:sz="0" w:space="0" w:color="auto"/>
            <w:right w:val="none" w:sz="0" w:space="0" w:color="auto"/>
          </w:divBdr>
        </w:div>
        <w:div w:id="1542326390">
          <w:marLeft w:val="0"/>
          <w:marRight w:val="0"/>
          <w:marTop w:val="0"/>
          <w:marBottom w:val="0"/>
          <w:divBdr>
            <w:top w:val="none" w:sz="0" w:space="0" w:color="auto"/>
            <w:left w:val="none" w:sz="0" w:space="0" w:color="auto"/>
            <w:bottom w:val="none" w:sz="0" w:space="0" w:color="auto"/>
            <w:right w:val="none" w:sz="0" w:space="0" w:color="auto"/>
          </w:divBdr>
        </w:div>
        <w:div w:id="816649702">
          <w:marLeft w:val="0"/>
          <w:marRight w:val="0"/>
          <w:marTop w:val="0"/>
          <w:marBottom w:val="0"/>
          <w:divBdr>
            <w:top w:val="none" w:sz="0" w:space="0" w:color="auto"/>
            <w:left w:val="none" w:sz="0" w:space="0" w:color="auto"/>
            <w:bottom w:val="none" w:sz="0" w:space="0" w:color="auto"/>
            <w:right w:val="none" w:sz="0" w:space="0" w:color="auto"/>
          </w:divBdr>
        </w:div>
        <w:div w:id="466555476">
          <w:marLeft w:val="0"/>
          <w:marRight w:val="0"/>
          <w:marTop w:val="0"/>
          <w:marBottom w:val="0"/>
          <w:divBdr>
            <w:top w:val="none" w:sz="0" w:space="0" w:color="auto"/>
            <w:left w:val="none" w:sz="0" w:space="0" w:color="auto"/>
            <w:bottom w:val="none" w:sz="0" w:space="0" w:color="auto"/>
            <w:right w:val="none" w:sz="0" w:space="0" w:color="auto"/>
          </w:divBdr>
        </w:div>
        <w:div w:id="869418596">
          <w:marLeft w:val="0"/>
          <w:marRight w:val="0"/>
          <w:marTop w:val="0"/>
          <w:marBottom w:val="0"/>
          <w:divBdr>
            <w:top w:val="none" w:sz="0" w:space="0" w:color="auto"/>
            <w:left w:val="none" w:sz="0" w:space="0" w:color="auto"/>
            <w:bottom w:val="none" w:sz="0" w:space="0" w:color="auto"/>
            <w:right w:val="none" w:sz="0" w:space="0" w:color="auto"/>
          </w:divBdr>
        </w:div>
        <w:div w:id="109327116">
          <w:marLeft w:val="0"/>
          <w:marRight w:val="0"/>
          <w:marTop w:val="0"/>
          <w:marBottom w:val="0"/>
          <w:divBdr>
            <w:top w:val="none" w:sz="0" w:space="0" w:color="auto"/>
            <w:left w:val="none" w:sz="0" w:space="0" w:color="auto"/>
            <w:bottom w:val="none" w:sz="0" w:space="0" w:color="auto"/>
            <w:right w:val="none" w:sz="0" w:space="0" w:color="auto"/>
          </w:divBdr>
        </w:div>
        <w:div w:id="2056075801">
          <w:marLeft w:val="0"/>
          <w:marRight w:val="0"/>
          <w:marTop w:val="0"/>
          <w:marBottom w:val="0"/>
          <w:divBdr>
            <w:top w:val="none" w:sz="0" w:space="0" w:color="auto"/>
            <w:left w:val="none" w:sz="0" w:space="0" w:color="auto"/>
            <w:bottom w:val="none" w:sz="0" w:space="0" w:color="auto"/>
            <w:right w:val="none" w:sz="0" w:space="0" w:color="auto"/>
          </w:divBdr>
        </w:div>
        <w:div w:id="1490904972">
          <w:marLeft w:val="0"/>
          <w:marRight w:val="0"/>
          <w:marTop w:val="0"/>
          <w:marBottom w:val="0"/>
          <w:divBdr>
            <w:top w:val="none" w:sz="0" w:space="0" w:color="auto"/>
            <w:left w:val="none" w:sz="0" w:space="0" w:color="auto"/>
            <w:bottom w:val="none" w:sz="0" w:space="0" w:color="auto"/>
            <w:right w:val="none" w:sz="0" w:space="0" w:color="auto"/>
          </w:divBdr>
        </w:div>
        <w:div w:id="342635655">
          <w:marLeft w:val="0"/>
          <w:marRight w:val="0"/>
          <w:marTop w:val="0"/>
          <w:marBottom w:val="0"/>
          <w:divBdr>
            <w:top w:val="none" w:sz="0" w:space="0" w:color="auto"/>
            <w:left w:val="none" w:sz="0" w:space="0" w:color="auto"/>
            <w:bottom w:val="none" w:sz="0" w:space="0" w:color="auto"/>
            <w:right w:val="none" w:sz="0" w:space="0" w:color="auto"/>
          </w:divBdr>
        </w:div>
        <w:div w:id="1164932121">
          <w:marLeft w:val="0"/>
          <w:marRight w:val="0"/>
          <w:marTop w:val="0"/>
          <w:marBottom w:val="0"/>
          <w:divBdr>
            <w:top w:val="none" w:sz="0" w:space="0" w:color="auto"/>
            <w:left w:val="none" w:sz="0" w:space="0" w:color="auto"/>
            <w:bottom w:val="none" w:sz="0" w:space="0" w:color="auto"/>
            <w:right w:val="none" w:sz="0" w:space="0" w:color="auto"/>
          </w:divBdr>
        </w:div>
        <w:div w:id="516500687">
          <w:marLeft w:val="0"/>
          <w:marRight w:val="0"/>
          <w:marTop w:val="0"/>
          <w:marBottom w:val="0"/>
          <w:divBdr>
            <w:top w:val="none" w:sz="0" w:space="0" w:color="auto"/>
            <w:left w:val="none" w:sz="0" w:space="0" w:color="auto"/>
            <w:bottom w:val="none" w:sz="0" w:space="0" w:color="auto"/>
            <w:right w:val="none" w:sz="0" w:space="0" w:color="auto"/>
          </w:divBdr>
        </w:div>
        <w:div w:id="277833994">
          <w:marLeft w:val="0"/>
          <w:marRight w:val="0"/>
          <w:marTop w:val="0"/>
          <w:marBottom w:val="0"/>
          <w:divBdr>
            <w:top w:val="none" w:sz="0" w:space="0" w:color="auto"/>
            <w:left w:val="none" w:sz="0" w:space="0" w:color="auto"/>
            <w:bottom w:val="none" w:sz="0" w:space="0" w:color="auto"/>
            <w:right w:val="none" w:sz="0" w:space="0" w:color="auto"/>
          </w:divBdr>
        </w:div>
        <w:div w:id="1177961092">
          <w:marLeft w:val="0"/>
          <w:marRight w:val="0"/>
          <w:marTop w:val="0"/>
          <w:marBottom w:val="0"/>
          <w:divBdr>
            <w:top w:val="none" w:sz="0" w:space="0" w:color="auto"/>
            <w:left w:val="none" w:sz="0" w:space="0" w:color="auto"/>
            <w:bottom w:val="none" w:sz="0" w:space="0" w:color="auto"/>
            <w:right w:val="none" w:sz="0" w:space="0" w:color="auto"/>
          </w:divBdr>
        </w:div>
        <w:div w:id="1609772533">
          <w:marLeft w:val="0"/>
          <w:marRight w:val="0"/>
          <w:marTop w:val="0"/>
          <w:marBottom w:val="0"/>
          <w:divBdr>
            <w:top w:val="none" w:sz="0" w:space="0" w:color="auto"/>
            <w:left w:val="none" w:sz="0" w:space="0" w:color="auto"/>
            <w:bottom w:val="none" w:sz="0" w:space="0" w:color="auto"/>
            <w:right w:val="none" w:sz="0" w:space="0" w:color="auto"/>
          </w:divBdr>
        </w:div>
        <w:div w:id="332614817">
          <w:marLeft w:val="0"/>
          <w:marRight w:val="0"/>
          <w:marTop w:val="0"/>
          <w:marBottom w:val="0"/>
          <w:divBdr>
            <w:top w:val="none" w:sz="0" w:space="0" w:color="auto"/>
            <w:left w:val="none" w:sz="0" w:space="0" w:color="auto"/>
            <w:bottom w:val="none" w:sz="0" w:space="0" w:color="auto"/>
            <w:right w:val="none" w:sz="0" w:space="0" w:color="auto"/>
          </w:divBdr>
        </w:div>
      </w:divsChild>
    </w:div>
    <w:div w:id="1961111563">
      <w:bodyDiv w:val="1"/>
      <w:marLeft w:val="0"/>
      <w:marRight w:val="0"/>
      <w:marTop w:val="0"/>
      <w:marBottom w:val="0"/>
      <w:divBdr>
        <w:top w:val="none" w:sz="0" w:space="0" w:color="auto"/>
        <w:left w:val="none" w:sz="0" w:space="0" w:color="auto"/>
        <w:bottom w:val="none" w:sz="0" w:space="0" w:color="auto"/>
        <w:right w:val="none" w:sz="0" w:space="0" w:color="auto"/>
      </w:divBdr>
      <w:divsChild>
        <w:div w:id="1522089677">
          <w:marLeft w:val="0"/>
          <w:marRight w:val="0"/>
          <w:marTop w:val="0"/>
          <w:marBottom w:val="0"/>
          <w:divBdr>
            <w:top w:val="none" w:sz="0" w:space="0" w:color="auto"/>
            <w:left w:val="none" w:sz="0" w:space="0" w:color="auto"/>
            <w:bottom w:val="none" w:sz="0" w:space="0" w:color="auto"/>
            <w:right w:val="none" w:sz="0" w:space="0" w:color="auto"/>
          </w:divBdr>
        </w:div>
        <w:div w:id="1757824121">
          <w:marLeft w:val="0"/>
          <w:marRight w:val="0"/>
          <w:marTop w:val="0"/>
          <w:marBottom w:val="0"/>
          <w:divBdr>
            <w:top w:val="none" w:sz="0" w:space="0" w:color="auto"/>
            <w:left w:val="none" w:sz="0" w:space="0" w:color="auto"/>
            <w:bottom w:val="none" w:sz="0" w:space="0" w:color="auto"/>
            <w:right w:val="none" w:sz="0" w:space="0" w:color="auto"/>
          </w:divBdr>
        </w:div>
        <w:div w:id="1764299377">
          <w:marLeft w:val="0"/>
          <w:marRight w:val="0"/>
          <w:marTop w:val="0"/>
          <w:marBottom w:val="0"/>
          <w:divBdr>
            <w:top w:val="none" w:sz="0" w:space="0" w:color="auto"/>
            <w:left w:val="none" w:sz="0" w:space="0" w:color="auto"/>
            <w:bottom w:val="none" w:sz="0" w:space="0" w:color="auto"/>
            <w:right w:val="none" w:sz="0" w:space="0" w:color="auto"/>
          </w:divBdr>
        </w:div>
        <w:div w:id="154222335">
          <w:marLeft w:val="0"/>
          <w:marRight w:val="0"/>
          <w:marTop w:val="0"/>
          <w:marBottom w:val="0"/>
          <w:divBdr>
            <w:top w:val="none" w:sz="0" w:space="0" w:color="auto"/>
            <w:left w:val="none" w:sz="0" w:space="0" w:color="auto"/>
            <w:bottom w:val="none" w:sz="0" w:space="0" w:color="auto"/>
            <w:right w:val="none" w:sz="0" w:space="0" w:color="auto"/>
          </w:divBdr>
        </w:div>
        <w:div w:id="1710034573">
          <w:marLeft w:val="0"/>
          <w:marRight w:val="0"/>
          <w:marTop w:val="0"/>
          <w:marBottom w:val="0"/>
          <w:divBdr>
            <w:top w:val="none" w:sz="0" w:space="0" w:color="auto"/>
            <w:left w:val="none" w:sz="0" w:space="0" w:color="auto"/>
            <w:bottom w:val="none" w:sz="0" w:space="0" w:color="auto"/>
            <w:right w:val="none" w:sz="0" w:space="0" w:color="auto"/>
          </w:divBdr>
        </w:div>
        <w:div w:id="1172716627">
          <w:marLeft w:val="0"/>
          <w:marRight w:val="0"/>
          <w:marTop w:val="0"/>
          <w:marBottom w:val="0"/>
          <w:divBdr>
            <w:top w:val="none" w:sz="0" w:space="0" w:color="auto"/>
            <w:left w:val="none" w:sz="0" w:space="0" w:color="auto"/>
            <w:bottom w:val="none" w:sz="0" w:space="0" w:color="auto"/>
            <w:right w:val="none" w:sz="0" w:space="0" w:color="auto"/>
          </w:divBdr>
        </w:div>
        <w:div w:id="1674643534">
          <w:marLeft w:val="0"/>
          <w:marRight w:val="0"/>
          <w:marTop w:val="0"/>
          <w:marBottom w:val="0"/>
          <w:divBdr>
            <w:top w:val="none" w:sz="0" w:space="0" w:color="auto"/>
            <w:left w:val="none" w:sz="0" w:space="0" w:color="auto"/>
            <w:bottom w:val="none" w:sz="0" w:space="0" w:color="auto"/>
            <w:right w:val="none" w:sz="0" w:space="0" w:color="auto"/>
          </w:divBdr>
        </w:div>
        <w:div w:id="453212188">
          <w:marLeft w:val="0"/>
          <w:marRight w:val="0"/>
          <w:marTop w:val="0"/>
          <w:marBottom w:val="0"/>
          <w:divBdr>
            <w:top w:val="none" w:sz="0" w:space="0" w:color="auto"/>
            <w:left w:val="none" w:sz="0" w:space="0" w:color="auto"/>
            <w:bottom w:val="none" w:sz="0" w:space="0" w:color="auto"/>
            <w:right w:val="none" w:sz="0" w:space="0" w:color="auto"/>
          </w:divBdr>
        </w:div>
        <w:div w:id="1688747348">
          <w:marLeft w:val="0"/>
          <w:marRight w:val="0"/>
          <w:marTop w:val="0"/>
          <w:marBottom w:val="0"/>
          <w:divBdr>
            <w:top w:val="none" w:sz="0" w:space="0" w:color="auto"/>
            <w:left w:val="none" w:sz="0" w:space="0" w:color="auto"/>
            <w:bottom w:val="none" w:sz="0" w:space="0" w:color="auto"/>
            <w:right w:val="none" w:sz="0" w:space="0" w:color="auto"/>
          </w:divBdr>
        </w:div>
        <w:div w:id="1205370471">
          <w:marLeft w:val="0"/>
          <w:marRight w:val="0"/>
          <w:marTop w:val="0"/>
          <w:marBottom w:val="0"/>
          <w:divBdr>
            <w:top w:val="none" w:sz="0" w:space="0" w:color="auto"/>
            <w:left w:val="none" w:sz="0" w:space="0" w:color="auto"/>
            <w:bottom w:val="none" w:sz="0" w:space="0" w:color="auto"/>
            <w:right w:val="none" w:sz="0" w:space="0" w:color="auto"/>
          </w:divBdr>
        </w:div>
        <w:div w:id="1561862908">
          <w:marLeft w:val="0"/>
          <w:marRight w:val="0"/>
          <w:marTop w:val="0"/>
          <w:marBottom w:val="0"/>
          <w:divBdr>
            <w:top w:val="none" w:sz="0" w:space="0" w:color="auto"/>
            <w:left w:val="none" w:sz="0" w:space="0" w:color="auto"/>
            <w:bottom w:val="none" w:sz="0" w:space="0" w:color="auto"/>
            <w:right w:val="none" w:sz="0" w:space="0" w:color="auto"/>
          </w:divBdr>
        </w:div>
        <w:div w:id="854076936">
          <w:marLeft w:val="0"/>
          <w:marRight w:val="0"/>
          <w:marTop w:val="0"/>
          <w:marBottom w:val="0"/>
          <w:divBdr>
            <w:top w:val="none" w:sz="0" w:space="0" w:color="auto"/>
            <w:left w:val="none" w:sz="0" w:space="0" w:color="auto"/>
            <w:bottom w:val="none" w:sz="0" w:space="0" w:color="auto"/>
            <w:right w:val="none" w:sz="0" w:space="0" w:color="auto"/>
          </w:divBdr>
        </w:div>
        <w:div w:id="2124956374">
          <w:marLeft w:val="0"/>
          <w:marRight w:val="0"/>
          <w:marTop w:val="0"/>
          <w:marBottom w:val="0"/>
          <w:divBdr>
            <w:top w:val="none" w:sz="0" w:space="0" w:color="auto"/>
            <w:left w:val="none" w:sz="0" w:space="0" w:color="auto"/>
            <w:bottom w:val="none" w:sz="0" w:space="0" w:color="auto"/>
            <w:right w:val="none" w:sz="0" w:space="0" w:color="auto"/>
          </w:divBdr>
        </w:div>
        <w:div w:id="837497949">
          <w:marLeft w:val="0"/>
          <w:marRight w:val="0"/>
          <w:marTop w:val="0"/>
          <w:marBottom w:val="0"/>
          <w:divBdr>
            <w:top w:val="none" w:sz="0" w:space="0" w:color="auto"/>
            <w:left w:val="none" w:sz="0" w:space="0" w:color="auto"/>
            <w:bottom w:val="none" w:sz="0" w:space="0" w:color="auto"/>
            <w:right w:val="none" w:sz="0" w:space="0" w:color="auto"/>
          </w:divBdr>
        </w:div>
        <w:div w:id="1560901121">
          <w:marLeft w:val="0"/>
          <w:marRight w:val="0"/>
          <w:marTop w:val="0"/>
          <w:marBottom w:val="0"/>
          <w:divBdr>
            <w:top w:val="none" w:sz="0" w:space="0" w:color="auto"/>
            <w:left w:val="none" w:sz="0" w:space="0" w:color="auto"/>
            <w:bottom w:val="none" w:sz="0" w:space="0" w:color="auto"/>
            <w:right w:val="none" w:sz="0" w:space="0" w:color="auto"/>
          </w:divBdr>
        </w:div>
        <w:div w:id="960234461">
          <w:marLeft w:val="0"/>
          <w:marRight w:val="0"/>
          <w:marTop w:val="0"/>
          <w:marBottom w:val="0"/>
          <w:divBdr>
            <w:top w:val="none" w:sz="0" w:space="0" w:color="auto"/>
            <w:left w:val="none" w:sz="0" w:space="0" w:color="auto"/>
            <w:bottom w:val="none" w:sz="0" w:space="0" w:color="auto"/>
            <w:right w:val="none" w:sz="0" w:space="0" w:color="auto"/>
          </w:divBdr>
        </w:div>
        <w:div w:id="932013043">
          <w:marLeft w:val="0"/>
          <w:marRight w:val="0"/>
          <w:marTop w:val="0"/>
          <w:marBottom w:val="0"/>
          <w:divBdr>
            <w:top w:val="none" w:sz="0" w:space="0" w:color="auto"/>
            <w:left w:val="none" w:sz="0" w:space="0" w:color="auto"/>
            <w:bottom w:val="none" w:sz="0" w:space="0" w:color="auto"/>
            <w:right w:val="none" w:sz="0" w:space="0" w:color="auto"/>
          </w:divBdr>
        </w:div>
        <w:div w:id="46609745">
          <w:marLeft w:val="0"/>
          <w:marRight w:val="0"/>
          <w:marTop w:val="0"/>
          <w:marBottom w:val="0"/>
          <w:divBdr>
            <w:top w:val="none" w:sz="0" w:space="0" w:color="auto"/>
            <w:left w:val="none" w:sz="0" w:space="0" w:color="auto"/>
            <w:bottom w:val="none" w:sz="0" w:space="0" w:color="auto"/>
            <w:right w:val="none" w:sz="0" w:space="0" w:color="auto"/>
          </w:divBdr>
        </w:div>
        <w:div w:id="146285019">
          <w:marLeft w:val="0"/>
          <w:marRight w:val="0"/>
          <w:marTop w:val="0"/>
          <w:marBottom w:val="0"/>
          <w:divBdr>
            <w:top w:val="none" w:sz="0" w:space="0" w:color="auto"/>
            <w:left w:val="none" w:sz="0" w:space="0" w:color="auto"/>
            <w:bottom w:val="none" w:sz="0" w:space="0" w:color="auto"/>
            <w:right w:val="none" w:sz="0" w:space="0" w:color="auto"/>
          </w:divBdr>
        </w:div>
        <w:div w:id="1826244861">
          <w:marLeft w:val="0"/>
          <w:marRight w:val="0"/>
          <w:marTop w:val="0"/>
          <w:marBottom w:val="0"/>
          <w:divBdr>
            <w:top w:val="none" w:sz="0" w:space="0" w:color="auto"/>
            <w:left w:val="none" w:sz="0" w:space="0" w:color="auto"/>
            <w:bottom w:val="none" w:sz="0" w:space="0" w:color="auto"/>
            <w:right w:val="none" w:sz="0" w:space="0" w:color="auto"/>
          </w:divBdr>
        </w:div>
        <w:div w:id="982083763">
          <w:marLeft w:val="0"/>
          <w:marRight w:val="0"/>
          <w:marTop w:val="0"/>
          <w:marBottom w:val="0"/>
          <w:divBdr>
            <w:top w:val="none" w:sz="0" w:space="0" w:color="auto"/>
            <w:left w:val="none" w:sz="0" w:space="0" w:color="auto"/>
            <w:bottom w:val="none" w:sz="0" w:space="0" w:color="auto"/>
            <w:right w:val="none" w:sz="0" w:space="0" w:color="auto"/>
          </w:divBdr>
        </w:div>
        <w:div w:id="1193618441">
          <w:marLeft w:val="0"/>
          <w:marRight w:val="0"/>
          <w:marTop w:val="0"/>
          <w:marBottom w:val="0"/>
          <w:divBdr>
            <w:top w:val="none" w:sz="0" w:space="0" w:color="auto"/>
            <w:left w:val="none" w:sz="0" w:space="0" w:color="auto"/>
            <w:bottom w:val="none" w:sz="0" w:space="0" w:color="auto"/>
            <w:right w:val="none" w:sz="0" w:space="0" w:color="auto"/>
          </w:divBdr>
        </w:div>
        <w:div w:id="1791321492">
          <w:marLeft w:val="0"/>
          <w:marRight w:val="0"/>
          <w:marTop w:val="0"/>
          <w:marBottom w:val="0"/>
          <w:divBdr>
            <w:top w:val="none" w:sz="0" w:space="0" w:color="auto"/>
            <w:left w:val="none" w:sz="0" w:space="0" w:color="auto"/>
            <w:bottom w:val="none" w:sz="0" w:space="0" w:color="auto"/>
            <w:right w:val="none" w:sz="0" w:space="0" w:color="auto"/>
          </w:divBdr>
        </w:div>
        <w:div w:id="372192616">
          <w:marLeft w:val="0"/>
          <w:marRight w:val="0"/>
          <w:marTop w:val="0"/>
          <w:marBottom w:val="0"/>
          <w:divBdr>
            <w:top w:val="none" w:sz="0" w:space="0" w:color="auto"/>
            <w:left w:val="none" w:sz="0" w:space="0" w:color="auto"/>
            <w:bottom w:val="none" w:sz="0" w:space="0" w:color="auto"/>
            <w:right w:val="none" w:sz="0" w:space="0" w:color="auto"/>
          </w:divBdr>
        </w:div>
        <w:div w:id="1689286231">
          <w:marLeft w:val="0"/>
          <w:marRight w:val="0"/>
          <w:marTop w:val="0"/>
          <w:marBottom w:val="0"/>
          <w:divBdr>
            <w:top w:val="none" w:sz="0" w:space="0" w:color="auto"/>
            <w:left w:val="none" w:sz="0" w:space="0" w:color="auto"/>
            <w:bottom w:val="none" w:sz="0" w:space="0" w:color="auto"/>
            <w:right w:val="none" w:sz="0" w:space="0" w:color="auto"/>
          </w:divBdr>
        </w:div>
        <w:div w:id="409230377">
          <w:marLeft w:val="0"/>
          <w:marRight w:val="0"/>
          <w:marTop w:val="0"/>
          <w:marBottom w:val="0"/>
          <w:divBdr>
            <w:top w:val="none" w:sz="0" w:space="0" w:color="auto"/>
            <w:left w:val="none" w:sz="0" w:space="0" w:color="auto"/>
            <w:bottom w:val="none" w:sz="0" w:space="0" w:color="auto"/>
            <w:right w:val="none" w:sz="0" w:space="0" w:color="auto"/>
          </w:divBdr>
        </w:div>
        <w:div w:id="801731274">
          <w:marLeft w:val="0"/>
          <w:marRight w:val="0"/>
          <w:marTop w:val="0"/>
          <w:marBottom w:val="0"/>
          <w:divBdr>
            <w:top w:val="none" w:sz="0" w:space="0" w:color="auto"/>
            <w:left w:val="none" w:sz="0" w:space="0" w:color="auto"/>
            <w:bottom w:val="none" w:sz="0" w:space="0" w:color="auto"/>
            <w:right w:val="none" w:sz="0" w:space="0" w:color="auto"/>
          </w:divBdr>
        </w:div>
        <w:div w:id="1819807953">
          <w:marLeft w:val="0"/>
          <w:marRight w:val="0"/>
          <w:marTop w:val="0"/>
          <w:marBottom w:val="0"/>
          <w:divBdr>
            <w:top w:val="none" w:sz="0" w:space="0" w:color="auto"/>
            <w:left w:val="none" w:sz="0" w:space="0" w:color="auto"/>
            <w:bottom w:val="none" w:sz="0" w:space="0" w:color="auto"/>
            <w:right w:val="none" w:sz="0" w:space="0" w:color="auto"/>
          </w:divBdr>
        </w:div>
        <w:div w:id="761414950">
          <w:marLeft w:val="0"/>
          <w:marRight w:val="0"/>
          <w:marTop w:val="0"/>
          <w:marBottom w:val="0"/>
          <w:divBdr>
            <w:top w:val="none" w:sz="0" w:space="0" w:color="auto"/>
            <w:left w:val="none" w:sz="0" w:space="0" w:color="auto"/>
            <w:bottom w:val="none" w:sz="0" w:space="0" w:color="auto"/>
            <w:right w:val="none" w:sz="0" w:space="0" w:color="auto"/>
          </w:divBdr>
        </w:div>
        <w:div w:id="1754203302">
          <w:marLeft w:val="0"/>
          <w:marRight w:val="0"/>
          <w:marTop w:val="0"/>
          <w:marBottom w:val="0"/>
          <w:divBdr>
            <w:top w:val="none" w:sz="0" w:space="0" w:color="auto"/>
            <w:left w:val="none" w:sz="0" w:space="0" w:color="auto"/>
            <w:bottom w:val="none" w:sz="0" w:space="0" w:color="auto"/>
            <w:right w:val="none" w:sz="0" w:space="0" w:color="auto"/>
          </w:divBdr>
        </w:div>
        <w:div w:id="1747220032">
          <w:marLeft w:val="0"/>
          <w:marRight w:val="0"/>
          <w:marTop w:val="0"/>
          <w:marBottom w:val="0"/>
          <w:divBdr>
            <w:top w:val="none" w:sz="0" w:space="0" w:color="auto"/>
            <w:left w:val="none" w:sz="0" w:space="0" w:color="auto"/>
            <w:bottom w:val="none" w:sz="0" w:space="0" w:color="auto"/>
            <w:right w:val="none" w:sz="0" w:space="0" w:color="auto"/>
          </w:divBdr>
        </w:div>
        <w:div w:id="242035926">
          <w:marLeft w:val="0"/>
          <w:marRight w:val="0"/>
          <w:marTop w:val="0"/>
          <w:marBottom w:val="0"/>
          <w:divBdr>
            <w:top w:val="none" w:sz="0" w:space="0" w:color="auto"/>
            <w:left w:val="none" w:sz="0" w:space="0" w:color="auto"/>
            <w:bottom w:val="none" w:sz="0" w:space="0" w:color="auto"/>
            <w:right w:val="none" w:sz="0" w:space="0" w:color="auto"/>
          </w:divBdr>
        </w:div>
        <w:div w:id="441653101">
          <w:marLeft w:val="0"/>
          <w:marRight w:val="0"/>
          <w:marTop w:val="0"/>
          <w:marBottom w:val="0"/>
          <w:divBdr>
            <w:top w:val="none" w:sz="0" w:space="0" w:color="auto"/>
            <w:left w:val="none" w:sz="0" w:space="0" w:color="auto"/>
            <w:bottom w:val="none" w:sz="0" w:space="0" w:color="auto"/>
            <w:right w:val="none" w:sz="0" w:space="0" w:color="auto"/>
          </w:divBdr>
        </w:div>
        <w:div w:id="1201430813">
          <w:marLeft w:val="0"/>
          <w:marRight w:val="0"/>
          <w:marTop w:val="0"/>
          <w:marBottom w:val="0"/>
          <w:divBdr>
            <w:top w:val="none" w:sz="0" w:space="0" w:color="auto"/>
            <w:left w:val="none" w:sz="0" w:space="0" w:color="auto"/>
            <w:bottom w:val="none" w:sz="0" w:space="0" w:color="auto"/>
            <w:right w:val="none" w:sz="0" w:space="0" w:color="auto"/>
          </w:divBdr>
        </w:div>
        <w:div w:id="962923361">
          <w:marLeft w:val="0"/>
          <w:marRight w:val="0"/>
          <w:marTop w:val="0"/>
          <w:marBottom w:val="0"/>
          <w:divBdr>
            <w:top w:val="none" w:sz="0" w:space="0" w:color="auto"/>
            <w:left w:val="none" w:sz="0" w:space="0" w:color="auto"/>
            <w:bottom w:val="none" w:sz="0" w:space="0" w:color="auto"/>
            <w:right w:val="none" w:sz="0" w:space="0" w:color="auto"/>
          </w:divBdr>
        </w:div>
        <w:div w:id="115805893">
          <w:marLeft w:val="0"/>
          <w:marRight w:val="0"/>
          <w:marTop w:val="0"/>
          <w:marBottom w:val="0"/>
          <w:divBdr>
            <w:top w:val="none" w:sz="0" w:space="0" w:color="auto"/>
            <w:left w:val="none" w:sz="0" w:space="0" w:color="auto"/>
            <w:bottom w:val="none" w:sz="0" w:space="0" w:color="auto"/>
            <w:right w:val="none" w:sz="0" w:space="0" w:color="auto"/>
          </w:divBdr>
        </w:div>
        <w:div w:id="4370216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www.legislation.uk/ukpga/1974/37%20.(Accessed" TargetMode="Externa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s://assets.publishing.service.gov.uk/government/uploads/system/uploads/attachment-data/file/85039/easy.read.pdf"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schemas.microsoft.com/office/infopath/2007/PartnerControl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8</Pages>
  <Words>1532</Words>
  <Characters>8736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soyful khan</cp:lastModifiedBy>
  <cp:revision>17</cp:revision>
  <dcterms:created xsi:type="dcterms:W3CDTF">2019-12-03T21:10:00Z</dcterms:created>
  <dcterms:modified xsi:type="dcterms:W3CDTF">2019-12-08T23:16:00Z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