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32"/>
          <w:szCs w:val="32"/>
        </w:rPr>
      </w:pPr>
      <w:r w:rsidDel="00000000" w:rsidR="00000000" w:rsidRPr="00000000">
        <w:rPr>
          <w:b w:val="1"/>
          <w:sz w:val="32"/>
          <w:szCs w:val="32"/>
          <w:rtl w:val="0"/>
        </w:rPr>
        <w:t xml:space="preserve">Enhancing Global Apparel Supply Chain Resilience: A Strategic Framework for Proactive Risk Mitigation</w:t>
      </w:r>
    </w:p>
    <w:p w:rsidR="00000000" w:rsidDel="00000000" w:rsidP="00000000" w:rsidRDefault="00000000" w:rsidRPr="00000000" w14:paraId="00000002">
      <w:pPr>
        <w:pStyle w:val="Heading1"/>
        <w:jc w:val="center"/>
        <w:rPr/>
      </w:pPr>
      <w:bookmarkStart w:colFirst="0" w:colLast="0" w:name="_eq3slyz41iyr" w:id="0"/>
      <w:bookmarkEnd w:id="0"/>
      <w:r w:rsidDel="00000000" w:rsidR="00000000" w:rsidRPr="00000000">
        <w:rPr>
          <w:rtl w:val="0"/>
        </w:rPr>
      </w:r>
    </w:p>
    <w:p w:rsidR="00000000" w:rsidDel="00000000" w:rsidP="00000000" w:rsidRDefault="00000000" w:rsidRPr="00000000" w14:paraId="00000003">
      <w:pPr>
        <w:pStyle w:val="Heading1"/>
        <w:jc w:val="center"/>
        <w:rPr/>
      </w:pPr>
      <w:bookmarkStart w:colFirst="0" w:colLast="0" w:name="_4aksbayg2jpn" w:id="1"/>
      <w:bookmarkEnd w:id="1"/>
      <w:r w:rsidDel="00000000" w:rsidR="00000000" w:rsidRPr="00000000">
        <w:br w:type="page"/>
      </w:r>
      <w:r w:rsidDel="00000000" w:rsidR="00000000" w:rsidRPr="00000000">
        <w:rPr>
          <w:rtl w:val="0"/>
        </w:rPr>
      </w:r>
    </w:p>
    <w:p w:rsidR="00000000" w:rsidDel="00000000" w:rsidP="00000000" w:rsidRDefault="00000000" w:rsidRPr="00000000" w14:paraId="00000004">
      <w:pPr>
        <w:spacing w:line="360" w:lineRule="auto"/>
        <w:rPr>
          <w:b w:val="1"/>
          <w:sz w:val="28"/>
          <w:szCs w:val="28"/>
          <w:u w:val="single"/>
        </w:rPr>
      </w:pPr>
      <w:r w:rsidDel="00000000" w:rsidR="00000000" w:rsidRPr="00000000">
        <w:rPr>
          <w:b w:val="1"/>
          <w:sz w:val="28"/>
          <w:szCs w:val="28"/>
          <w:u w:val="single"/>
          <w:rtl w:val="0"/>
        </w:rPr>
        <w:t xml:space="preserve">Table of Contents</w:t>
      </w:r>
    </w:p>
    <w:sdt>
      <w:sdtPr>
        <w:id w:val="1501639247"/>
        <w:docPartObj>
          <w:docPartGallery w:val="Table of Contents"/>
          <w:docPartUnique w:val="1"/>
        </w:docPartObj>
      </w:sdtPr>
      <w:sdtContent>
        <w:p w:rsidR="00000000" w:rsidDel="00000000" w:rsidP="00000000" w:rsidRDefault="00000000" w:rsidRPr="00000000" w14:paraId="00000005">
          <w:pPr>
            <w:widowControl w:val="0"/>
            <w:tabs>
              <w:tab w:val="right" w:leader="dot" w:pos="12000"/>
            </w:tabs>
            <w:spacing w:after="0" w:before="60" w:line="360" w:lineRule="auto"/>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ovh2k57alxk9">
            <w:r w:rsidDel="00000000" w:rsidR="00000000" w:rsidRPr="00000000">
              <w:rPr>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after="0" w:before="60" w:line="360" w:lineRule="auto"/>
            <w:jc w:val="left"/>
            <w:rPr>
              <w:rFonts w:ascii="Arial" w:cs="Arial" w:eastAsia="Arial" w:hAnsi="Arial"/>
              <w:i w:val="0"/>
              <w:smallCaps w:val="0"/>
              <w:strike w:val="0"/>
              <w:color w:val="000000"/>
              <w:sz w:val="22"/>
              <w:szCs w:val="22"/>
              <w:u w:val="none"/>
              <w:shd w:fill="auto" w:val="clear"/>
              <w:vertAlign w:val="baseline"/>
            </w:rPr>
          </w:pPr>
          <w:hyperlink w:anchor="">
            <w:r w:rsidDel="00000000" w:rsidR="00000000" w:rsidRPr="00000000">
              <w:rPr>
                <w:i w:val="0"/>
                <w:smallCaps w:val="0"/>
                <w:strike w:val="0"/>
                <w:color w:val="000000"/>
                <w:sz w:val="24"/>
                <w:szCs w:val="24"/>
                <w:u w:val="none"/>
                <w:shd w:fill="auto" w:val="clear"/>
                <w:vertAlign w:val="baseline"/>
                <w:rtl w:val="0"/>
              </w:rPr>
              <w:t xml:space="preserve">2. FMEA Analysis</w:t>
              <w:tab/>
              <w:t xml:space="preserve">4</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after="0" w:before="60" w:line="360" w:lineRule="auto"/>
            <w:ind w:left="360" w:firstLine="0"/>
            <w:jc w:val="left"/>
            <w:rPr>
              <w:rFonts w:ascii="Arial" w:cs="Arial" w:eastAsia="Arial" w:hAnsi="Arial"/>
              <w:i w:val="0"/>
              <w:smallCaps w:val="0"/>
              <w:strike w:val="0"/>
              <w:color w:val="000000"/>
              <w:sz w:val="22"/>
              <w:szCs w:val="22"/>
              <w:u w:val="none"/>
              <w:shd w:fill="auto" w:val="clear"/>
              <w:vertAlign w:val="baseline"/>
            </w:rPr>
          </w:pPr>
          <w:hyperlink w:anchor="">
            <w:r w:rsidDel="00000000" w:rsidR="00000000" w:rsidRPr="00000000">
              <w:rPr>
                <w:i w:val="0"/>
                <w:smallCaps w:val="0"/>
                <w:strike w:val="0"/>
                <w:color w:val="000000"/>
                <w:sz w:val="24"/>
                <w:szCs w:val="24"/>
                <w:u w:val="none"/>
                <w:shd w:fill="auto" w:val="clear"/>
                <w:vertAlign w:val="baseline"/>
                <w:rtl w:val="0"/>
              </w:rPr>
              <w:t xml:space="preserve">2.1 Supply Chain Map &amp; Risk Landscape</w:t>
              <w:tab/>
              <w:t xml:space="preserve">4</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after="0" w:before="60" w:line="360" w:lineRule="auto"/>
            <w:ind w:left="720" w:firstLine="0"/>
            <w:jc w:val="left"/>
            <w:rPr>
              <w:rFonts w:ascii="Arial" w:cs="Arial" w:eastAsia="Arial" w:hAnsi="Arial"/>
              <w:i w:val="0"/>
              <w:smallCaps w:val="0"/>
              <w:strike w:val="0"/>
              <w:color w:val="000000"/>
              <w:sz w:val="22"/>
              <w:szCs w:val="22"/>
              <w:u w:val="none"/>
              <w:shd w:fill="auto" w:val="clear"/>
              <w:vertAlign w:val="baseline"/>
            </w:rPr>
          </w:pPr>
          <w:hyperlink w:anchor="">
            <w:r w:rsidDel="00000000" w:rsidR="00000000" w:rsidRPr="00000000">
              <w:rPr>
                <w:i w:val="0"/>
                <w:smallCaps w:val="0"/>
                <w:strike w:val="0"/>
                <w:color w:val="000000"/>
                <w:sz w:val="24"/>
                <w:szCs w:val="24"/>
                <w:u w:val="none"/>
                <w:shd w:fill="auto" w:val="clear"/>
                <w:vertAlign w:val="baseline"/>
                <w:rtl w:val="0"/>
              </w:rPr>
              <w:t xml:space="preserve">2.1.1 Supply Chain Process Map</w:t>
              <w:tab/>
              <w:t xml:space="preserve">4</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after="0" w:before="60" w:line="360" w:lineRule="auto"/>
            <w:ind w:left="720" w:firstLine="0"/>
            <w:jc w:val="left"/>
            <w:rPr>
              <w:rFonts w:ascii="Arial" w:cs="Arial" w:eastAsia="Arial" w:hAnsi="Arial"/>
              <w:i w:val="0"/>
              <w:smallCaps w:val="0"/>
              <w:strike w:val="0"/>
              <w:color w:val="000000"/>
              <w:sz w:val="22"/>
              <w:szCs w:val="22"/>
              <w:u w:val="none"/>
              <w:shd w:fill="auto" w:val="clear"/>
              <w:vertAlign w:val="baseline"/>
            </w:rPr>
          </w:pPr>
          <w:hyperlink w:anchor="">
            <w:r w:rsidDel="00000000" w:rsidR="00000000" w:rsidRPr="00000000">
              <w:rPr>
                <w:i w:val="0"/>
                <w:smallCaps w:val="0"/>
                <w:strike w:val="0"/>
                <w:color w:val="000000"/>
                <w:sz w:val="24"/>
                <w:szCs w:val="24"/>
                <w:u w:val="none"/>
                <w:shd w:fill="auto" w:val="clear"/>
                <w:vertAlign w:val="baseline"/>
                <w:rtl w:val="0"/>
              </w:rPr>
              <w:t xml:space="preserve">2.1.2 Key Risk Landscape</w:t>
              <w:tab/>
              <w:t xml:space="preserve">5</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after="0" w:before="60" w:line="360" w:lineRule="auto"/>
            <w:ind w:left="360" w:firstLine="0"/>
            <w:jc w:val="left"/>
            <w:rPr>
              <w:rFonts w:ascii="Arial" w:cs="Arial" w:eastAsia="Arial" w:hAnsi="Arial"/>
              <w:i w:val="0"/>
              <w:smallCaps w:val="0"/>
              <w:strike w:val="0"/>
              <w:color w:val="000000"/>
              <w:sz w:val="22"/>
              <w:szCs w:val="22"/>
              <w:u w:val="none"/>
              <w:shd w:fill="auto" w:val="clear"/>
              <w:vertAlign w:val="baseline"/>
            </w:rPr>
          </w:pPr>
          <w:hyperlink w:anchor="">
            <w:r w:rsidDel="00000000" w:rsidR="00000000" w:rsidRPr="00000000">
              <w:rPr>
                <w:i w:val="0"/>
                <w:smallCaps w:val="0"/>
                <w:strike w:val="0"/>
                <w:color w:val="000000"/>
                <w:sz w:val="24"/>
                <w:szCs w:val="24"/>
                <w:u w:val="none"/>
                <w:shd w:fill="auto" w:val="clear"/>
                <w:vertAlign w:val="baseline"/>
                <w:rtl w:val="0"/>
              </w:rPr>
              <w:t xml:space="preserve">2.2 FMEA table (core)</w:t>
              <w:tab/>
              <w:t xml:space="preserve">6</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after="0" w:before="60" w:line="360" w:lineRule="auto"/>
            <w:ind w:left="360" w:firstLine="0"/>
            <w:jc w:val="left"/>
            <w:rPr>
              <w:rFonts w:ascii="Arial" w:cs="Arial" w:eastAsia="Arial" w:hAnsi="Arial"/>
              <w:i w:val="0"/>
              <w:smallCaps w:val="0"/>
              <w:strike w:val="0"/>
              <w:color w:val="000000"/>
              <w:sz w:val="22"/>
              <w:szCs w:val="22"/>
              <w:u w:val="none"/>
              <w:shd w:fill="auto" w:val="clear"/>
              <w:vertAlign w:val="baseline"/>
            </w:rPr>
          </w:pPr>
          <w:hyperlink w:anchor="">
            <w:r w:rsidDel="00000000" w:rsidR="00000000" w:rsidRPr="00000000">
              <w:rPr>
                <w:i w:val="0"/>
                <w:smallCaps w:val="0"/>
                <w:strike w:val="0"/>
                <w:color w:val="000000"/>
                <w:sz w:val="24"/>
                <w:szCs w:val="24"/>
                <w:u w:val="none"/>
                <w:shd w:fill="auto" w:val="clear"/>
                <w:vertAlign w:val="baseline"/>
                <w:rtl w:val="0"/>
              </w:rPr>
              <w:t xml:space="preserve">2.3 Narrative synthesis &amp; action linkage</w:t>
              <w:tab/>
              <w:t xml:space="preserve">9</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after="0" w:before="60" w:line="360" w:lineRule="auto"/>
            <w:jc w:val="left"/>
            <w:rPr>
              <w:rFonts w:ascii="Arial" w:cs="Arial" w:eastAsia="Arial" w:hAnsi="Arial"/>
              <w:i w:val="0"/>
              <w:smallCaps w:val="0"/>
              <w:strike w:val="0"/>
              <w:color w:val="000000"/>
              <w:sz w:val="22"/>
              <w:szCs w:val="22"/>
              <w:u w:val="none"/>
              <w:shd w:fill="auto" w:val="clear"/>
              <w:vertAlign w:val="baseline"/>
            </w:rPr>
          </w:pPr>
          <w:hyperlink w:anchor="_3pswmqqovwi1">
            <w:r w:rsidDel="00000000" w:rsidR="00000000" w:rsidRPr="00000000">
              <w:rPr>
                <w:i w:val="0"/>
                <w:smallCaps w:val="0"/>
                <w:strike w:val="0"/>
                <w:color w:val="000000"/>
                <w:sz w:val="24"/>
                <w:szCs w:val="24"/>
                <w:u w:val="none"/>
                <w:shd w:fill="auto" w:val="clear"/>
                <w:vertAlign w:val="baseline"/>
                <w:rtl w:val="0"/>
              </w:rPr>
              <w:t xml:space="preserve">3. Steps to Make the Supply Chain More Resilient</w:t>
              <w:tab/>
              <w:t xml:space="preserve">10</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after="0" w:before="60" w:line="360" w:lineRule="auto"/>
            <w:jc w:val="left"/>
            <w:rPr>
              <w:rFonts w:ascii="Arial" w:cs="Arial" w:eastAsia="Arial" w:hAnsi="Arial"/>
              <w:i w:val="0"/>
              <w:smallCaps w:val="0"/>
              <w:strike w:val="0"/>
              <w:color w:val="000000"/>
              <w:sz w:val="22"/>
              <w:szCs w:val="22"/>
              <w:u w:val="none"/>
              <w:shd w:fill="auto" w:val="clear"/>
              <w:vertAlign w:val="baseline"/>
            </w:rPr>
          </w:pPr>
          <w:hyperlink w:anchor="_6u2q5gn5ilh0">
            <w:r w:rsidDel="00000000" w:rsidR="00000000" w:rsidRPr="00000000">
              <w:rPr>
                <w:i w:val="0"/>
                <w:smallCaps w:val="0"/>
                <w:strike w:val="0"/>
                <w:color w:val="000000"/>
                <w:sz w:val="24"/>
                <w:szCs w:val="24"/>
                <w:u w:val="none"/>
                <w:shd w:fill="auto" w:val="clear"/>
                <w:vertAlign w:val="baseline"/>
                <w:rtl w:val="0"/>
              </w:rPr>
              <w:t xml:space="preserve">4. Conclusion and Suggestions for Further Work/Research</w:t>
              <w:tab/>
              <w:t xml:space="preserve">12</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after="0" w:before="60" w:line="360" w:lineRule="auto"/>
            <w:jc w:val="left"/>
            <w:rPr>
              <w:rFonts w:ascii="Arial" w:cs="Arial" w:eastAsia="Arial" w:hAnsi="Arial"/>
              <w:i w:val="0"/>
              <w:smallCaps w:val="0"/>
              <w:strike w:val="0"/>
              <w:color w:val="000000"/>
              <w:sz w:val="22"/>
              <w:szCs w:val="22"/>
              <w:u w:val="none"/>
              <w:shd w:fill="auto" w:val="clear"/>
              <w:vertAlign w:val="baseline"/>
            </w:rPr>
          </w:pPr>
          <w:hyperlink w:anchor="">
            <w:r w:rsidDel="00000000" w:rsidR="00000000" w:rsidRPr="00000000">
              <w:rPr>
                <w:i w:val="0"/>
                <w:smallCaps w:val="0"/>
                <w:strike w:val="0"/>
                <w:color w:val="000000"/>
                <w:sz w:val="24"/>
                <w:szCs w:val="24"/>
                <w:u w:val="none"/>
                <w:shd w:fill="auto" w:val="clear"/>
                <w:vertAlign w:val="baseline"/>
                <w:rtl w:val="0"/>
              </w:rPr>
              <w:t xml:space="preserve">5. References</w:t>
              <w:tab/>
              <w:t xml:space="preserve">14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F">
      <w:pPr>
        <w:pStyle w:val="Heading1"/>
        <w:spacing w:line="360" w:lineRule="auto"/>
        <w:rPr/>
      </w:pPr>
      <w:bookmarkStart w:colFirst="0" w:colLast="0" w:name="_q8k3ekf8n9zm" w:id="2"/>
      <w:bookmarkEnd w:id="2"/>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rPr/>
      </w:pPr>
      <w:bookmarkStart w:colFirst="0" w:colLast="0" w:name="_ovh2k57alxk9" w:id="3"/>
      <w:bookmarkEnd w:id="3"/>
      <w:r w:rsidDel="00000000" w:rsidR="00000000" w:rsidRPr="00000000">
        <w:rPr>
          <w:rtl w:val="0"/>
        </w:rPr>
        <w:t xml:space="preserve">1. Introduction</w:t>
      </w:r>
    </w:p>
    <w:p w:rsidR="00000000" w:rsidDel="00000000" w:rsidP="00000000" w:rsidRDefault="00000000" w:rsidRPr="00000000" w14:paraId="00000011">
      <w:pPr>
        <w:spacing w:after="240" w:before="240" w:lineRule="auto"/>
        <w:rPr/>
      </w:pPr>
      <w:r w:rsidDel="00000000" w:rsidR="00000000" w:rsidRPr="00000000">
        <w:rPr>
          <w:rtl w:val="0"/>
        </w:rPr>
        <w:t xml:space="preserve">The global apparel industry operates within an increasingly volatile and complex environment, where supply chain disruptions present a significant and persistent threat to operational continuity and profitability. The fast-fashion sector is particularly vulnerable, characterized by short product lifecycles, high demand uncertainty, and geographically dispersed supply networks. These inherent fragilities are amplified by macro-environmental trends, including climate change-induced events that disrupt raw material availability and technological advancements that accelerate consumer demand cycles. The 2024 Red Sea shipping crisis, which forced lengthy and costly detours for cargo vessels, serves as a stark reminder of how geopolitical instability can instantaneously paralyze critical logistics arteries. To navigate this "new normal," a systematic approach to risk management is imperative. This report leverages a Failure Mode and Effects Analysis (FMEA) to critically dissect the international supply chain of a representative fast-fashion retailer, identifying and prioritizing its key vulnerabilities. The FMEA's findings are not merely an academic exercise; they form the diagnostic foundation upon which the subsequent evaluation of six detailed, actionable steps to enhance supply chain resilience is built, aiming to create a more robust, agile, and responsive network capable of sustaining competitive advantage.</w:t>
      </w:r>
    </w:p>
    <w:p w:rsidR="00000000" w:rsidDel="00000000" w:rsidP="00000000" w:rsidRDefault="00000000" w:rsidRPr="00000000" w14:paraId="00000012">
      <w:pPr>
        <w:pStyle w:val="Heading1"/>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rPr/>
      </w:pPr>
      <w:r w:rsidDel="00000000" w:rsidR="00000000" w:rsidRPr="00000000">
        <w:rPr>
          <w:rtl w:val="0"/>
        </w:rPr>
        <w:t xml:space="preserve">2. FMEA Analysis</w:t>
      </w:r>
    </w:p>
    <w:p w:rsidR="00000000" w:rsidDel="00000000" w:rsidP="00000000" w:rsidRDefault="00000000" w:rsidRPr="00000000" w14:paraId="00000014">
      <w:pPr>
        <w:pStyle w:val="Heading2"/>
        <w:rPr/>
      </w:pPr>
      <w:r w:rsidDel="00000000" w:rsidR="00000000" w:rsidRPr="00000000">
        <w:rPr>
          <w:rtl w:val="0"/>
        </w:rPr>
        <w:t xml:space="preserve">2.1 Supply Chain Map &amp; Risk Landscape</w:t>
      </w:r>
    </w:p>
    <w:p w:rsidR="00000000" w:rsidDel="00000000" w:rsidP="00000000" w:rsidRDefault="00000000" w:rsidRPr="00000000" w14:paraId="00000015">
      <w:pPr>
        <w:rPr/>
      </w:pPr>
      <w:r w:rsidDel="00000000" w:rsidR="00000000" w:rsidRPr="00000000">
        <w:rPr>
          <w:rtl w:val="0"/>
        </w:rPr>
        <w:t xml:space="preserve">This section outlines the structure of the chosen international apparel supply chain and the corresponding risk landscape that informs the subsequent FMEA.</w:t>
      </w:r>
    </w:p>
    <w:p w:rsidR="00000000" w:rsidDel="00000000" w:rsidP="00000000" w:rsidRDefault="00000000" w:rsidRPr="00000000" w14:paraId="00000016">
      <w:pPr>
        <w:pStyle w:val="Heading3"/>
        <w:rPr/>
      </w:pPr>
      <w:r w:rsidDel="00000000" w:rsidR="00000000" w:rsidRPr="00000000">
        <w:rPr>
          <w:rtl w:val="0"/>
        </w:rPr>
        <w:t xml:space="preserve">2.1.1 Supply Chain Process Map</w:t>
      </w:r>
    </w:p>
    <w:p w:rsidR="00000000" w:rsidDel="00000000" w:rsidP="00000000" w:rsidRDefault="00000000" w:rsidRPr="00000000" w14:paraId="00000017">
      <w:pPr>
        <w:rPr/>
      </w:pPr>
      <w:r w:rsidDel="00000000" w:rsidR="00000000" w:rsidRPr="00000000">
        <w:rPr>
          <w:rtl w:val="0"/>
        </w:rPr>
        <w:t xml:space="preserve">The table below maps the key stages of the focal fast-fashion supply chain, which follows a centralized, hub-and-spoke logistics model originating from design and consolidation hubs in Spain.</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21"/>
        <w:gridCol w:w="6829"/>
        <w:tblGridChange w:id="0">
          <w:tblGrid>
            <w:gridCol w:w="2521"/>
            <w:gridCol w:w="6829"/>
          </w:tblGrid>
        </w:tblGridChange>
      </w:tblGrid>
      <w:tr>
        <w:trPr>
          <w:cantSplit w:val="0"/>
          <w:tblHeader w:val="0"/>
        </w:trPr>
        <w:tc>
          <w:tcPr/>
          <w:p w:rsidR="00000000" w:rsidDel="00000000" w:rsidP="00000000" w:rsidRDefault="00000000" w:rsidRPr="00000000" w14:paraId="00000018">
            <w:pPr>
              <w:spacing w:line="360" w:lineRule="auto"/>
              <w:jc w:val="center"/>
              <w:rPr>
                <w:b w:val="1"/>
              </w:rPr>
            </w:pPr>
            <w:r w:rsidDel="00000000" w:rsidR="00000000" w:rsidRPr="00000000">
              <w:rPr>
                <w:b w:val="1"/>
                <w:rtl w:val="0"/>
              </w:rPr>
              <w:t xml:space="preserve">Stage</w:t>
            </w:r>
          </w:p>
        </w:tc>
        <w:tc>
          <w:tcPr/>
          <w:p w:rsidR="00000000" w:rsidDel="00000000" w:rsidP="00000000" w:rsidRDefault="00000000" w:rsidRPr="00000000" w14:paraId="00000019">
            <w:pPr>
              <w:spacing w:line="360" w:lineRule="auto"/>
              <w:jc w:val="center"/>
              <w:rPr>
                <w:b w:val="1"/>
              </w:rPr>
            </w:pPr>
            <w:r w:rsidDel="00000000" w:rsidR="00000000" w:rsidRPr="00000000">
              <w:rPr>
                <w:b w:val="1"/>
                <w:rtl w:val="0"/>
              </w:rPr>
              <w:t xml:space="preserve">Key Activities &amp; Primary Locations</w:t>
            </w:r>
          </w:p>
        </w:tc>
      </w:tr>
      <w:tr>
        <w:trPr>
          <w:cantSplit w:val="0"/>
          <w:tblHeader w:val="0"/>
        </w:trPr>
        <w:tc>
          <w:tcPr/>
          <w:p w:rsidR="00000000" w:rsidDel="00000000" w:rsidP="00000000" w:rsidRDefault="00000000" w:rsidRPr="00000000" w14:paraId="0000001A">
            <w:pPr>
              <w:spacing w:line="360" w:lineRule="auto"/>
              <w:rPr/>
            </w:pPr>
            <w:r w:rsidDel="00000000" w:rsidR="00000000" w:rsidRPr="00000000">
              <w:rPr>
                <w:rtl w:val="0"/>
              </w:rPr>
              <w:t xml:space="preserve">1. Design &amp; Trend Capture</w:t>
            </w:r>
          </w:p>
        </w:tc>
        <w:tc>
          <w:tcPr/>
          <w:p w:rsidR="00000000" w:rsidDel="00000000" w:rsidP="00000000" w:rsidRDefault="00000000" w:rsidRPr="00000000" w14:paraId="0000001B">
            <w:pPr>
              <w:spacing w:line="360" w:lineRule="auto"/>
              <w:rPr/>
            </w:pPr>
            <w:r w:rsidDel="00000000" w:rsidR="00000000" w:rsidRPr="00000000">
              <w:rPr>
                <w:rtl w:val="0"/>
              </w:rPr>
              <w:t xml:space="preserve">Centralized design and rapid prototyping (Arteixo, Galicia, Spain).</w:t>
            </w:r>
          </w:p>
        </w:tc>
      </w:tr>
      <w:tr>
        <w:trPr>
          <w:cantSplit w:val="0"/>
          <w:tblHeader w:val="0"/>
        </w:trPr>
        <w:tc>
          <w:tcPr/>
          <w:p w:rsidR="00000000" w:rsidDel="00000000" w:rsidP="00000000" w:rsidRDefault="00000000" w:rsidRPr="00000000" w14:paraId="0000001C">
            <w:pPr>
              <w:spacing w:line="360" w:lineRule="auto"/>
              <w:rPr/>
            </w:pPr>
            <w:r w:rsidDel="00000000" w:rsidR="00000000" w:rsidRPr="00000000">
              <w:rPr>
                <w:rtl w:val="0"/>
              </w:rPr>
              <w:t xml:space="preserve">2. Raw Material Sourcing</w:t>
            </w:r>
          </w:p>
        </w:tc>
        <w:tc>
          <w:tcPr/>
          <w:p w:rsidR="00000000" w:rsidDel="00000000" w:rsidP="00000000" w:rsidRDefault="00000000" w:rsidRPr="00000000" w14:paraId="0000001D">
            <w:pPr>
              <w:spacing w:line="360" w:lineRule="auto"/>
              <w:rPr/>
            </w:pPr>
            <w:r w:rsidDel="00000000" w:rsidR="00000000" w:rsidRPr="00000000">
              <w:rPr>
                <w:rtl w:val="0"/>
              </w:rPr>
              <w:t xml:space="preserve">Fabric and yarn procurement (Tier 2+ suppliers in EU and Asia).</w:t>
            </w:r>
          </w:p>
        </w:tc>
      </w:tr>
      <w:tr>
        <w:trPr>
          <w:cantSplit w:val="0"/>
          <w:tblHeader w:val="0"/>
        </w:trPr>
        <w:tc>
          <w:tcPr/>
          <w:p w:rsidR="00000000" w:rsidDel="00000000" w:rsidP="00000000" w:rsidRDefault="00000000" w:rsidRPr="00000000" w14:paraId="0000001E">
            <w:pPr>
              <w:spacing w:line="360" w:lineRule="auto"/>
              <w:rPr/>
            </w:pPr>
            <w:r w:rsidDel="00000000" w:rsidR="00000000" w:rsidRPr="00000000">
              <w:rPr>
                <w:rtl w:val="0"/>
              </w:rPr>
              <w:t xml:space="preserve">3. Garment Manufacturing</w:t>
            </w:r>
          </w:p>
        </w:tc>
        <w:tc>
          <w:tcPr/>
          <w:p w:rsidR="00000000" w:rsidDel="00000000" w:rsidP="00000000" w:rsidRDefault="00000000" w:rsidRPr="00000000" w14:paraId="0000001F">
            <w:pPr>
              <w:spacing w:line="360" w:lineRule="auto"/>
              <w:rPr/>
            </w:pPr>
            <w:r w:rsidDel="00000000" w:rsidR="00000000" w:rsidRPr="00000000">
              <w:rPr>
                <w:rtl w:val="0"/>
              </w:rPr>
              <w:t xml:space="preserve">Wet processing (dyeing) and Cut-Make-Trim (Tier 2/1 in Spain, Portugal, Morocco, Turkey, Asia).</w:t>
            </w:r>
          </w:p>
        </w:tc>
      </w:tr>
      <w:tr>
        <w:trPr>
          <w:cantSplit w:val="0"/>
          <w:tblHeader w:val="0"/>
        </w:trPr>
        <w:tc>
          <w:tcPr/>
          <w:p w:rsidR="00000000" w:rsidDel="00000000" w:rsidP="00000000" w:rsidRDefault="00000000" w:rsidRPr="00000000" w14:paraId="00000020">
            <w:pPr>
              <w:spacing w:line="360" w:lineRule="auto"/>
              <w:rPr/>
            </w:pPr>
            <w:r w:rsidDel="00000000" w:rsidR="00000000" w:rsidRPr="00000000">
              <w:rPr>
                <w:rtl w:val="0"/>
              </w:rPr>
              <w:t xml:space="preserve">4. Logistics &amp; Consolidation</w:t>
            </w:r>
          </w:p>
        </w:tc>
        <w:tc>
          <w:tcPr/>
          <w:p w:rsidR="00000000" w:rsidDel="00000000" w:rsidP="00000000" w:rsidRDefault="00000000" w:rsidRPr="00000000" w14:paraId="00000021">
            <w:pPr>
              <w:spacing w:line="360" w:lineRule="auto"/>
              <w:rPr/>
            </w:pPr>
            <w:r w:rsidDel="00000000" w:rsidR="00000000" w:rsidRPr="00000000">
              <w:rPr>
                <w:rtl w:val="0"/>
              </w:rPr>
              <w:t xml:space="preserve">Inbound freight to centralized Distribution Centers (DCs) in Spain (e.g., Arteixo, Zaragoza).</w:t>
            </w:r>
          </w:p>
        </w:tc>
      </w:tr>
      <w:tr>
        <w:trPr>
          <w:cantSplit w:val="0"/>
          <w:tblHeader w:val="0"/>
        </w:trPr>
        <w:tc>
          <w:tcPr/>
          <w:p w:rsidR="00000000" w:rsidDel="00000000" w:rsidP="00000000" w:rsidRDefault="00000000" w:rsidRPr="00000000" w14:paraId="00000022">
            <w:pPr>
              <w:spacing w:line="360" w:lineRule="auto"/>
              <w:rPr/>
            </w:pPr>
            <w:r w:rsidDel="00000000" w:rsidR="00000000" w:rsidRPr="00000000">
              <w:rPr>
                <w:rtl w:val="0"/>
              </w:rPr>
              <w:t xml:space="preserve">5. Global Distribution</w:t>
            </w:r>
          </w:p>
        </w:tc>
        <w:tc>
          <w:tcPr/>
          <w:p w:rsidR="00000000" w:rsidDel="00000000" w:rsidP="00000000" w:rsidRDefault="00000000" w:rsidRPr="00000000" w14:paraId="00000023">
            <w:pPr>
              <w:spacing w:line="360" w:lineRule="auto"/>
              <w:rPr/>
            </w:pPr>
            <w:r w:rsidDel="00000000" w:rsidR="00000000" w:rsidRPr="00000000">
              <w:rPr>
                <w:rtl w:val="0"/>
              </w:rPr>
              <w:t xml:space="preserve">Outbound shipment from Spanish hubs to global retail stores and e-commerce customers.</w:t>
            </w:r>
          </w:p>
        </w:tc>
      </w:tr>
      <w:tr>
        <w:trPr>
          <w:cantSplit w:val="0"/>
          <w:tblHeader w:val="0"/>
        </w:trPr>
        <w:tc>
          <w:tcPr/>
          <w:p w:rsidR="00000000" w:rsidDel="00000000" w:rsidP="00000000" w:rsidRDefault="00000000" w:rsidRPr="00000000" w14:paraId="00000024">
            <w:pPr>
              <w:spacing w:line="360" w:lineRule="auto"/>
              <w:rPr/>
            </w:pPr>
            <w:r w:rsidDel="00000000" w:rsidR="00000000" w:rsidRPr="00000000">
              <w:rPr>
                <w:rtl w:val="0"/>
              </w:rPr>
              <w:t xml:space="preserve">6. Reverse Logistics</w:t>
            </w:r>
          </w:p>
        </w:tc>
        <w:tc>
          <w:tcPr/>
          <w:p w:rsidR="00000000" w:rsidDel="00000000" w:rsidP="00000000" w:rsidRDefault="00000000" w:rsidRPr="00000000" w14:paraId="00000025">
            <w:pPr>
              <w:spacing w:line="360" w:lineRule="auto"/>
              <w:rPr/>
            </w:pPr>
            <w:r w:rsidDel="00000000" w:rsidR="00000000" w:rsidRPr="00000000">
              <w:rPr>
                <w:rtl w:val="0"/>
              </w:rPr>
              <w:t xml:space="preserve">Management of customer returns, sorting, and re-injection into inventory for re-commerce.</w:t>
            </w:r>
          </w:p>
        </w:tc>
      </w:tr>
    </w:tbl>
    <w:p w:rsidR="00000000" w:rsidDel="00000000" w:rsidP="00000000" w:rsidRDefault="00000000" w:rsidRPr="00000000" w14:paraId="00000026">
      <w:pPr>
        <w:spacing w:after="0" w:line="240" w:lineRule="auto"/>
        <w:jc w:val="left"/>
        <w:rPr/>
      </w:pPr>
      <w:r w:rsidDel="00000000" w:rsidR="00000000" w:rsidRPr="00000000">
        <w:rPr>
          <w:rtl w:val="0"/>
        </w:rPr>
      </w:r>
    </w:p>
    <w:p w:rsidR="00000000" w:rsidDel="00000000" w:rsidP="00000000" w:rsidRDefault="00000000" w:rsidRPr="00000000" w14:paraId="00000027">
      <w:pPr>
        <w:spacing w:line="278.00000000000006" w:lineRule="auto"/>
        <w:jc w:val="left"/>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3"/>
        <w:rPr/>
      </w:pPr>
      <w:r w:rsidDel="00000000" w:rsidR="00000000" w:rsidRPr="00000000">
        <w:rPr>
          <w:rtl w:val="0"/>
        </w:rPr>
        <w:t xml:space="preserve">2.1.2 Key Risk Landscape</w:t>
      </w:r>
    </w:p>
    <w:p w:rsidR="00000000" w:rsidDel="00000000" w:rsidP="00000000" w:rsidRDefault="00000000" w:rsidRPr="00000000" w14:paraId="00000029">
      <w:pPr>
        <w:rPr/>
      </w:pPr>
      <w:r w:rsidDel="00000000" w:rsidR="00000000" w:rsidRPr="00000000">
        <w:rPr>
          <w:rtl w:val="0"/>
        </w:rPr>
        <w:t xml:space="preserve">The primary operational and strategic risks inherent in this supply chain model are categorized in the table below, with recent events demonstrating their material impact.</w:t>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15"/>
        <w:gridCol w:w="7735"/>
        <w:tblGridChange w:id="0">
          <w:tblGrid>
            <w:gridCol w:w="1615"/>
            <w:gridCol w:w="7735"/>
          </w:tblGrid>
        </w:tblGridChange>
      </w:tblGrid>
      <w:tr>
        <w:trPr>
          <w:cantSplit w:val="0"/>
          <w:tblHeader w:val="0"/>
        </w:trPr>
        <w:tc>
          <w:tcPr/>
          <w:p w:rsidR="00000000" w:rsidDel="00000000" w:rsidP="00000000" w:rsidRDefault="00000000" w:rsidRPr="00000000" w14:paraId="0000002A">
            <w:pPr>
              <w:spacing w:line="360" w:lineRule="auto"/>
              <w:jc w:val="center"/>
              <w:rPr>
                <w:b w:val="1"/>
              </w:rPr>
            </w:pPr>
            <w:r w:rsidDel="00000000" w:rsidR="00000000" w:rsidRPr="00000000">
              <w:rPr>
                <w:b w:val="1"/>
                <w:rtl w:val="0"/>
              </w:rPr>
              <w:t xml:space="preserve">Risk Category</w:t>
            </w:r>
          </w:p>
        </w:tc>
        <w:tc>
          <w:tcPr/>
          <w:p w:rsidR="00000000" w:rsidDel="00000000" w:rsidP="00000000" w:rsidRDefault="00000000" w:rsidRPr="00000000" w14:paraId="0000002B">
            <w:pPr>
              <w:spacing w:line="360" w:lineRule="auto"/>
              <w:jc w:val="center"/>
              <w:rPr>
                <w:b w:val="1"/>
              </w:rPr>
            </w:pPr>
            <w:r w:rsidDel="00000000" w:rsidR="00000000" w:rsidRPr="00000000">
              <w:rPr>
                <w:b w:val="1"/>
                <w:rtl w:val="0"/>
              </w:rPr>
              <w:t xml:space="preserve">Examples / Manifestations in Apparel</w:t>
            </w:r>
          </w:p>
        </w:tc>
      </w:tr>
      <w:tr>
        <w:trPr>
          <w:cantSplit w:val="0"/>
          <w:tblHeader w:val="0"/>
        </w:trPr>
        <w:tc>
          <w:tcPr/>
          <w:p w:rsidR="00000000" w:rsidDel="00000000" w:rsidP="00000000" w:rsidRDefault="00000000" w:rsidRPr="00000000" w14:paraId="0000002C">
            <w:pPr>
              <w:spacing w:line="360" w:lineRule="auto"/>
              <w:rPr/>
            </w:pPr>
            <w:r w:rsidDel="00000000" w:rsidR="00000000" w:rsidRPr="00000000">
              <w:rPr>
                <w:rtl w:val="0"/>
              </w:rPr>
              <w:t xml:space="preserve">Demand</w:t>
            </w:r>
          </w:p>
        </w:tc>
        <w:tc>
          <w:tcPr/>
          <w:p w:rsidR="00000000" w:rsidDel="00000000" w:rsidP="00000000" w:rsidRDefault="00000000" w:rsidRPr="00000000" w14:paraId="0000002D">
            <w:pPr>
              <w:spacing w:line="360" w:lineRule="auto"/>
              <w:rPr/>
            </w:pPr>
            <w:r w:rsidDel="00000000" w:rsidR="00000000" w:rsidRPr="00000000">
              <w:rPr>
                <w:rtl w:val="0"/>
              </w:rPr>
              <w:t xml:space="preserve">Short product lifecycles; high forecast error; social media-driven trend volatility.</w:t>
            </w:r>
          </w:p>
        </w:tc>
      </w:tr>
      <w:tr>
        <w:trPr>
          <w:cantSplit w:val="0"/>
          <w:tblHeader w:val="0"/>
        </w:trPr>
        <w:tc>
          <w:tcPr/>
          <w:p w:rsidR="00000000" w:rsidDel="00000000" w:rsidP="00000000" w:rsidRDefault="00000000" w:rsidRPr="00000000" w14:paraId="0000002E">
            <w:pPr>
              <w:spacing w:line="360" w:lineRule="auto"/>
              <w:rPr/>
            </w:pPr>
            <w:r w:rsidDel="00000000" w:rsidR="00000000" w:rsidRPr="00000000">
              <w:rPr>
                <w:rtl w:val="0"/>
              </w:rPr>
              <w:t xml:space="preserve">Supply</w:t>
            </w:r>
          </w:p>
        </w:tc>
        <w:tc>
          <w:tcPr/>
          <w:p w:rsidR="00000000" w:rsidDel="00000000" w:rsidP="00000000" w:rsidRDefault="00000000" w:rsidRPr="00000000" w14:paraId="0000002F">
            <w:pPr>
              <w:spacing w:line="360" w:lineRule="auto"/>
              <w:rPr/>
            </w:pPr>
            <w:r w:rsidDel="00000000" w:rsidR="00000000" w:rsidRPr="00000000">
              <w:rPr>
                <w:rtl w:val="0"/>
              </w:rPr>
              <w:t xml:space="preserve">Raw material price volatility; reliance on single-source mills; supplier capacity constraints.</w:t>
            </w:r>
          </w:p>
        </w:tc>
      </w:tr>
      <w:tr>
        <w:trPr>
          <w:cantSplit w:val="0"/>
          <w:tblHeader w:val="0"/>
        </w:trPr>
        <w:tc>
          <w:tcPr/>
          <w:p w:rsidR="00000000" w:rsidDel="00000000" w:rsidP="00000000" w:rsidRDefault="00000000" w:rsidRPr="00000000" w14:paraId="00000030">
            <w:pPr>
              <w:spacing w:line="360" w:lineRule="auto"/>
              <w:rPr/>
            </w:pPr>
            <w:r w:rsidDel="00000000" w:rsidR="00000000" w:rsidRPr="00000000">
              <w:rPr>
                <w:rtl w:val="0"/>
              </w:rPr>
              <w:t xml:space="preserve">Process / Quality</w:t>
            </w:r>
          </w:p>
        </w:tc>
        <w:tc>
          <w:tcPr/>
          <w:p w:rsidR="00000000" w:rsidDel="00000000" w:rsidP="00000000" w:rsidRDefault="00000000" w:rsidRPr="00000000" w14:paraId="00000031">
            <w:pPr>
              <w:spacing w:line="360" w:lineRule="auto"/>
              <w:rPr/>
            </w:pPr>
            <w:r w:rsidDel="00000000" w:rsidR="00000000" w:rsidRPr="00000000">
              <w:rPr>
                <w:rtl w:val="0"/>
              </w:rPr>
              <w:t xml:space="preserve">Tier-1 sewing defects; Tier-2 non-compliance with chemical standards (e.g., MRSL).</w:t>
            </w:r>
          </w:p>
        </w:tc>
      </w:tr>
      <w:tr>
        <w:trPr>
          <w:cantSplit w:val="0"/>
          <w:tblHeader w:val="0"/>
        </w:trPr>
        <w:tc>
          <w:tcPr/>
          <w:p w:rsidR="00000000" w:rsidDel="00000000" w:rsidP="00000000" w:rsidRDefault="00000000" w:rsidRPr="00000000" w14:paraId="00000032">
            <w:pPr>
              <w:spacing w:line="360" w:lineRule="auto"/>
              <w:rPr/>
            </w:pPr>
            <w:r w:rsidDel="00000000" w:rsidR="00000000" w:rsidRPr="00000000">
              <w:rPr>
                <w:rtl w:val="0"/>
              </w:rPr>
              <w:t xml:space="preserve">Logistics</w:t>
            </w:r>
          </w:p>
        </w:tc>
        <w:tc>
          <w:tcPr/>
          <w:p w:rsidR="00000000" w:rsidDel="00000000" w:rsidP="00000000" w:rsidRDefault="00000000" w:rsidRPr="00000000" w14:paraId="00000033">
            <w:pPr>
              <w:spacing w:line="360" w:lineRule="auto"/>
              <w:rPr/>
            </w:pPr>
            <w:r w:rsidDel="00000000" w:rsidR="00000000" w:rsidRPr="00000000">
              <w:rPr>
                <w:rtl w:val="0"/>
              </w:rPr>
              <w:t xml:space="preserve">Port congestion; geopolitical route disruption (e.g., Red Sea); freight cost spikes.</w:t>
            </w:r>
          </w:p>
        </w:tc>
      </w:tr>
      <w:tr>
        <w:trPr>
          <w:cantSplit w:val="0"/>
          <w:tblHeader w:val="0"/>
        </w:trPr>
        <w:tc>
          <w:tcPr/>
          <w:p w:rsidR="00000000" w:rsidDel="00000000" w:rsidP="00000000" w:rsidRDefault="00000000" w:rsidRPr="00000000" w14:paraId="00000034">
            <w:pPr>
              <w:spacing w:line="360" w:lineRule="auto"/>
              <w:rPr/>
            </w:pPr>
            <w:r w:rsidDel="00000000" w:rsidR="00000000" w:rsidRPr="00000000">
              <w:rPr>
                <w:rtl w:val="0"/>
              </w:rPr>
              <w:t xml:space="preserve">ESG / Compliance</w:t>
            </w:r>
          </w:p>
        </w:tc>
        <w:tc>
          <w:tcPr/>
          <w:p w:rsidR="00000000" w:rsidDel="00000000" w:rsidP="00000000" w:rsidRDefault="00000000" w:rsidRPr="00000000" w14:paraId="00000035">
            <w:pPr>
              <w:spacing w:line="360" w:lineRule="auto"/>
              <w:rPr/>
            </w:pPr>
            <w:r w:rsidDel="00000000" w:rsidR="00000000" w:rsidRPr="00000000">
              <w:rPr>
                <w:rtl w:val="0"/>
              </w:rPr>
              <w:t xml:space="preserve">Unauthorized subcontracting in lower tiers; labor rights violations; reputational damage.</w:t>
            </w:r>
          </w:p>
        </w:tc>
      </w:tr>
      <w:tr>
        <w:trPr>
          <w:cantSplit w:val="0"/>
          <w:tblHeader w:val="0"/>
        </w:trPr>
        <w:tc>
          <w:tcPr/>
          <w:p w:rsidR="00000000" w:rsidDel="00000000" w:rsidP="00000000" w:rsidRDefault="00000000" w:rsidRPr="00000000" w14:paraId="00000036">
            <w:pPr>
              <w:spacing w:line="360" w:lineRule="auto"/>
              <w:rPr/>
            </w:pPr>
            <w:r w:rsidDel="00000000" w:rsidR="00000000" w:rsidRPr="00000000">
              <w:rPr>
                <w:rtl w:val="0"/>
              </w:rPr>
              <w:t xml:space="preserve">Financial</w:t>
            </w:r>
          </w:p>
        </w:tc>
        <w:tc>
          <w:tcPr/>
          <w:p w:rsidR="00000000" w:rsidDel="00000000" w:rsidP="00000000" w:rsidRDefault="00000000" w:rsidRPr="00000000" w14:paraId="00000037">
            <w:pPr>
              <w:spacing w:line="360" w:lineRule="auto"/>
              <w:rPr/>
            </w:pPr>
            <w:r w:rsidDel="00000000" w:rsidR="00000000" w:rsidRPr="00000000">
              <w:rPr>
                <w:rtl w:val="0"/>
              </w:rPr>
              <w:t xml:space="preserve">Foreign exchange (FX) volatility on Cost of Goods Sold; margin erosion.</w:t>
            </w:r>
          </w:p>
        </w:tc>
      </w:tr>
      <w:tr>
        <w:trPr>
          <w:cantSplit w:val="0"/>
          <w:tblHeader w:val="0"/>
        </w:trPr>
        <w:tc>
          <w:tcPr/>
          <w:p w:rsidR="00000000" w:rsidDel="00000000" w:rsidP="00000000" w:rsidRDefault="00000000" w:rsidRPr="00000000" w14:paraId="00000038">
            <w:pPr>
              <w:spacing w:line="360" w:lineRule="auto"/>
              <w:rPr/>
            </w:pPr>
            <w:r w:rsidDel="00000000" w:rsidR="00000000" w:rsidRPr="00000000">
              <w:rPr>
                <w:rtl w:val="0"/>
              </w:rPr>
              <w:t xml:space="preserve">Cyber / Data</w:t>
            </w:r>
          </w:p>
        </w:tc>
        <w:tc>
          <w:tcPr/>
          <w:p w:rsidR="00000000" w:rsidDel="00000000" w:rsidP="00000000" w:rsidRDefault="00000000" w:rsidRPr="00000000" w14:paraId="00000039">
            <w:pPr>
              <w:spacing w:line="360" w:lineRule="auto"/>
              <w:rPr/>
            </w:pPr>
            <w:r w:rsidDel="00000000" w:rsidR="00000000" w:rsidRPr="00000000">
              <w:rPr>
                <w:rtl w:val="0"/>
              </w:rPr>
              <w:t xml:space="preserve">Warehouse Management System (WMS) or Transport Management System (TMS) outages; ransomware.</w:t>
            </w:r>
          </w:p>
        </w:tc>
      </w:tr>
      <w:tr>
        <w:trPr>
          <w:cantSplit w:val="0"/>
          <w:tblHeader w:val="0"/>
        </w:trPr>
        <w:tc>
          <w:tcPr/>
          <w:p w:rsidR="00000000" w:rsidDel="00000000" w:rsidP="00000000" w:rsidRDefault="00000000" w:rsidRPr="00000000" w14:paraId="0000003A">
            <w:pPr>
              <w:spacing w:line="360" w:lineRule="auto"/>
              <w:rPr/>
            </w:pPr>
            <w:r w:rsidDel="00000000" w:rsidR="00000000" w:rsidRPr="00000000">
              <w:rPr>
                <w:rtl w:val="0"/>
              </w:rPr>
              <w:t xml:space="preserve">Regulatory</w:t>
            </w:r>
          </w:p>
        </w:tc>
        <w:tc>
          <w:tcPr/>
          <w:p w:rsidR="00000000" w:rsidDel="00000000" w:rsidP="00000000" w:rsidRDefault="00000000" w:rsidRPr="00000000" w14:paraId="0000003B">
            <w:pPr>
              <w:spacing w:line="360" w:lineRule="auto"/>
              <w:rPr/>
            </w:pPr>
            <w:r w:rsidDel="00000000" w:rsidR="00000000" w:rsidRPr="00000000">
              <w:rPr>
                <w:rtl w:val="0"/>
              </w:rPr>
              <w:t xml:space="preserve">Changes in chemical use regulations (e.g., PFAS); import/export controls.</w:t>
            </w:r>
          </w:p>
        </w:tc>
      </w:tr>
    </w:tbl>
    <w:p w:rsidR="00000000" w:rsidDel="00000000" w:rsidP="00000000" w:rsidRDefault="00000000" w:rsidRPr="00000000" w14:paraId="0000003C">
      <w:pPr>
        <w:rPr/>
        <w:sectPr>
          <w:footerReference r:id="rId6" w:type="default"/>
          <w:footerReference r:id="rId7" w:type="even"/>
          <w:pgSz w:h="15840" w:w="12240" w:orient="portrait"/>
          <w:pgMar w:bottom="1440" w:top="1440" w:left="1440" w:right="1440" w:header="720" w:footer="720"/>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2"/>
        <w:rPr>
          <w:sz w:val="24"/>
          <w:szCs w:val="24"/>
        </w:rPr>
      </w:pPr>
      <w:r w:rsidDel="00000000" w:rsidR="00000000" w:rsidRPr="00000000">
        <w:rPr>
          <w:rtl w:val="0"/>
        </w:rPr>
        <w:t xml:space="preserve">2.2 FMEA table (core)</w:t>
      </w:r>
      <w:r w:rsidDel="00000000" w:rsidR="00000000" w:rsidRPr="00000000">
        <w:rPr>
          <w:rtl w:val="0"/>
        </w:rPr>
      </w:r>
    </w:p>
    <w:p w:rsidR="00000000" w:rsidDel="00000000" w:rsidP="00000000" w:rsidRDefault="00000000" w:rsidRPr="00000000" w14:paraId="0000003E">
      <w:pPr>
        <w:jc w:val="left"/>
        <w:rPr/>
      </w:pPr>
      <w:r w:rsidDel="00000000" w:rsidR="00000000" w:rsidRPr="00000000">
        <w:rPr>
          <w:rtl w:val="0"/>
        </w:rPr>
        <w:t xml:space="preserve">Scales (1–10): higher = worse. RPN = S×O×D. Where relevant, AIAG-VDA “Action Priority” (AP) is shown to flag High-priority actions even when RPN is moderate, but S is high </w:t>
      </w:r>
      <w:r w:rsidDel="00000000" w:rsidR="00000000" w:rsidRPr="00000000">
        <w:rPr>
          <w:color w:val="000000"/>
          <w:rtl w:val="0"/>
        </w:rPr>
        <w:t xml:space="preserve">(Aiag, 2016; Relyence, 2025)</w:t>
      </w:r>
      <w:r w:rsidDel="00000000" w:rsidR="00000000" w:rsidRPr="00000000">
        <w:rPr>
          <w:rtl w:val="0"/>
        </w:rPr>
        <w:t xml:space="preserve">.</w:t>
      </w:r>
    </w:p>
    <w:tbl>
      <w:tblPr>
        <w:tblStyle w:val="Table3"/>
        <w:tblW w:w="15390.0" w:type="dxa"/>
        <w:jc w:val="left"/>
        <w:tblInd w:w="-117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36"/>
        <w:gridCol w:w="1464"/>
        <w:gridCol w:w="1080"/>
        <w:gridCol w:w="1170"/>
        <w:gridCol w:w="1127"/>
        <w:gridCol w:w="300"/>
        <w:gridCol w:w="333"/>
        <w:gridCol w:w="325"/>
        <w:gridCol w:w="795"/>
        <w:gridCol w:w="2250"/>
        <w:gridCol w:w="1440"/>
        <w:gridCol w:w="1530"/>
        <w:gridCol w:w="2340"/>
        <w:tblGridChange w:id="0">
          <w:tblGrid>
            <w:gridCol w:w="1236"/>
            <w:gridCol w:w="1464"/>
            <w:gridCol w:w="1080"/>
            <w:gridCol w:w="1170"/>
            <w:gridCol w:w="1127"/>
            <w:gridCol w:w="300"/>
            <w:gridCol w:w="333"/>
            <w:gridCol w:w="325"/>
            <w:gridCol w:w="795"/>
            <w:gridCol w:w="2250"/>
            <w:gridCol w:w="1440"/>
            <w:gridCol w:w="1530"/>
            <w:gridCol w:w="2340"/>
          </w:tblGrid>
        </w:tblGridChange>
      </w:tblGrid>
      <w:tr>
        <w:trPr>
          <w:cantSplit w:val="0"/>
          <w:tblHeader w:val="0"/>
        </w:trPr>
        <w:tc>
          <w:tcPr/>
          <w:p w:rsidR="00000000" w:rsidDel="00000000" w:rsidP="00000000" w:rsidRDefault="00000000" w:rsidRPr="00000000" w14:paraId="0000003F">
            <w:pPr>
              <w:spacing w:line="240" w:lineRule="auto"/>
              <w:jc w:val="center"/>
              <w:rPr>
                <w:b w:val="1"/>
                <w:color w:val="000000"/>
              </w:rPr>
            </w:pPr>
            <w:r w:rsidDel="00000000" w:rsidR="00000000" w:rsidRPr="00000000">
              <w:rPr>
                <w:b w:val="1"/>
                <w:color w:val="000000"/>
                <w:rtl w:val="0"/>
              </w:rPr>
              <w:t xml:space="preserve">Process Step</w:t>
            </w:r>
          </w:p>
        </w:tc>
        <w:tc>
          <w:tcPr/>
          <w:p w:rsidR="00000000" w:rsidDel="00000000" w:rsidP="00000000" w:rsidRDefault="00000000" w:rsidRPr="00000000" w14:paraId="00000040">
            <w:pPr>
              <w:spacing w:line="240" w:lineRule="auto"/>
              <w:jc w:val="center"/>
              <w:rPr>
                <w:b w:val="1"/>
                <w:color w:val="000000"/>
              </w:rPr>
            </w:pPr>
            <w:r w:rsidDel="00000000" w:rsidR="00000000" w:rsidRPr="00000000">
              <w:rPr>
                <w:b w:val="1"/>
                <w:color w:val="000000"/>
                <w:rtl w:val="0"/>
              </w:rPr>
              <w:t xml:space="preserve">Failure Mode</w:t>
            </w:r>
          </w:p>
        </w:tc>
        <w:tc>
          <w:tcPr/>
          <w:p w:rsidR="00000000" w:rsidDel="00000000" w:rsidP="00000000" w:rsidRDefault="00000000" w:rsidRPr="00000000" w14:paraId="00000041">
            <w:pPr>
              <w:spacing w:line="240" w:lineRule="auto"/>
              <w:jc w:val="center"/>
              <w:rPr>
                <w:b w:val="1"/>
                <w:color w:val="000000"/>
              </w:rPr>
            </w:pPr>
            <w:r w:rsidDel="00000000" w:rsidR="00000000" w:rsidRPr="00000000">
              <w:rPr>
                <w:b w:val="1"/>
                <w:color w:val="000000"/>
                <w:rtl w:val="0"/>
              </w:rPr>
              <w:t xml:space="preserve">Effects</w:t>
            </w:r>
          </w:p>
        </w:tc>
        <w:tc>
          <w:tcPr/>
          <w:p w:rsidR="00000000" w:rsidDel="00000000" w:rsidP="00000000" w:rsidRDefault="00000000" w:rsidRPr="00000000" w14:paraId="00000042">
            <w:pPr>
              <w:spacing w:line="240" w:lineRule="auto"/>
              <w:jc w:val="center"/>
              <w:rPr>
                <w:b w:val="1"/>
                <w:color w:val="000000"/>
              </w:rPr>
            </w:pPr>
            <w:r w:rsidDel="00000000" w:rsidR="00000000" w:rsidRPr="00000000">
              <w:rPr>
                <w:b w:val="1"/>
                <w:color w:val="000000"/>
                <w:rtl w:val="0"/>
              </w:rPr>
              <w:t xml:space="preserve">Causes</w:t>
            </w:r>
          </w:p>
        </w:tc>
        <w:tc>
          <w:tcPr/>
          <w:p w:rsidR="00000000" w:rsidDel="00000000" w:rsidP="00000000" w:rsidRDefault="00000000" w:rsidRPr="00000000" w14:paraId="00000043">
            <w:pPr>
              <w:spacing w:line="240" w:lineRule="auto"/>
              <w:jc w:val="center"/>
              <w:rPr>
                <w:b w:val="1"/>
                <w:color w:val="000000"/>
              </w:rPr>
            </w:pPr>
            <w:r w:rsidDel="00000000" w:rsidR="00000000" w:rsidRPr="00000000">
              <w:rPr>
                <w:b w:val="1"/>
                <w:color w:val="000000"/>
                <w:rtl w:val="0"/>
              </w:rPr>
              <w:t xml:space="preserve">Current Controls</w:t>
            </w:r>
          </w:p>
        </w:tc>
        <w:tc>
          <w:tcPr/>
          <w:p w:rsidR="00000000" w:rsidDel="00000000" w:rsidP="00000000" w:rsidRDefault="00000000" w:rsidRPr="00000000" w14:paraId="00000044">
            <w:pPr>
              <w:spacing w:line="240" w:lineRule="auto"/>
              <w:jc w:val="right"/>
              <w:rPr>
                <w:b w:val="1"/>
                <w:color w:val="000000"/>
              </w:rPr>
            </w:pPr>
            <w:r w:rsidDel="00000000" w:rsidR="00000000" w:rsidRPr="00000000">
              <w:rPr>
                <w:b w:val="1"/>
                <w:color w:val="000000"/>
                <w:rtl w:val="0"/>
              </w:rPr>
              <w:t xml:space="preserve">S</w:t>
            </w:r>
          </w:p>
        </w:tc>
        <w:tc>
          <w:tcPr/>
          <w:p w:rsidR="00000000" w:rsidDel="00000000" w:rsidP="00000000" w:rsidRDefault="00000000" w:rsidRPr="00000000" w14:paraId="00000045">
            <w:pPr>
              <w:spacing w:line="240" w:lineRule="auto"/>
              <w:jc w:val="right"/>
              <w:rPr>
                <w:b w:val="1"/>
                <w:color w:val="000000"/>
              </w:rPr>
            </w:pPr>
            <w:r w:rsidDel="00000000" w:rsidR="00000000" w:rsidRPr="00000000">
              <w:rPr>
                <w:b w:val="1"/>
                <w:color w:val="000000"/>
                <w:rtl w:val="0"/>
              </w:rPr>
              <w:t xml:space="preserve">O</w:t>
            </w:r>
          </w:p>
        </w:tc>
        <w:tc>
          <w:tcPr/>
          <w:p w:rsidR="00000000" w:rsidDel="00000000" w:rsidP="00000000" w:rsidRDefault="00000000" w:rsidRPr="00000000" w14:paraId="00000046">
            <w:pPr>
              <w:spacing w:line="240" w:lineRule="auto"/>
              <w:jc w:val="right"/>
              <w:rPr>
                <w:b w:val="1"/>
                <w:color w:val="000000"/>
              </w:rPr>
            </w:pPr>
            <w:r w:rsidDel="00000000" w:rsidR="00000000" w:rsidRPr="00000000">
              <w:rPr>
                <w:b w:val="1"/>
                <w:color w:val="000000"/>
                <w:rtl w:val="0"/>
              </w:rPr>
              <w:t xml:space="preserve">D</w:t>
            </w:r>
          </w:p>
        </w:tc>
        <w:tc>
          <w:tcPr/>
          <w:p w:rsidR="00000000" w:rsidDel="00000000" w:rsidP="00000000" w:rsidRDefault="00000000" w:rsidRPr="00000000" w14:paraId="00000047">
            <w:pPr>
              <w:spacing w:line="240" w:lineRule="auto"/>
              <w:jc w:val="right"/>
              <w:rPr>
                <w:b w:val="1"/>
                <w:color w:val="000000"/>
              </w:rPr>
            </w:pPr>
            <w:r w:rsidDel="00000000" w:rsidR="00000000" w:rsidRPr="00000000">
              <w:rPr>
                <w:b w:val="1"/>
                <w:color w:val="000000"/>
                <w:rtl w:val="0"/>
              </w:rPr>
              <w:t xml:space="preserve">RPN / AP</w:t>
            </w:r>
          </w:p>
        </w:tc>
        <w:tc>
          <w:tcPr/>
          <w:p w:rsidR="00000000" w:rsidDel="00000000" w:rsidP="00000000" w:rsidRDefault="00000000" w:rsidRPr="00000000" w14:paraId="00000048">
            <w:pPr>
              <w:spacing w:line="240" w:lineRule="auto"/>
              <w:jc w:val="center"/>
              <w:rPr>
                <w:b w:val="1"/>
                <w:color w:val="000000"/>
              </w:rPr>
            </w:pPr>
            <w:r w:rsidDel="00000000" w:rsidR="00000000" w:rsidRPr="00000000">
              <w:rPr>
                <w:b w:val="1"/>
                <w:color w:val="000000"/>
                <w:rtl w:val="0"/>
              </w:rPr>
              <w:t xml:space="preserve">Recommended Action (link to §3)</w:t>
            </w:r>
          </w:p>
        </w:tc>
        <w:tc>
          <w:tcPr/>
          <w:p w:rsidR="00000000" w:rsidDel="00000000" w:rsidP="00000000" w:rsidRDefault="00000000" w:rsidRPr="00000000" w14:paraId="00000049">
            <w:pPr>
              <w:spacing w:line="240" w:lineRule="auto"/>
              <w:jc w:val="center"/>
              <w:rPr>
                <w:b w:val="1"/>
                <w:color w:val="000000"/>
              </w:rPr>
            </w:pPr>
            <w:r w:rsidDel="00000000" w:rsidR="00000000" w:rsidRPr="00000000">
              <w:rPr>
                <w:b w:val="1"/>
                <w:color w:val="000000"/>
                <w:rtl w:val="0"/>
              </w:rPr>
              <w:t xml:space="preserve">Owner</w:t>
            </w:r>
          </w:p>
        </w:tc>
        <w:tc>
          <w:tcPr/>
          <w:p w:rsidR="00000000" w:rsidDel="00000000" w:rsidP="00000000" w:rsidRDefault="00000000" w:rsidRPr="00000000" w14:paraId="0000004A">
            <w:pPr>
              <w:spacing w:line="240" w:lineRule="auto"/>
              <w:jc w:val="center"/>
              <w:rPr>
                <w:b w:val="1"/>
                <w:color w:val="000000"/>
              </w:rPr>
            </w:pPr>
            <w:r w:rsidDel="00000000" w:rsidR="00000000" w:rsidRPr="00000000">
              <w:rPr>
                <w:b w:val="1"/>
                <w:color w:val="000000"/>
                <w:rtl w:val="0"/>
              </w:rPr>
              <w:t xml:space="preserve">Target Date</w:t>
            </w:r>
          </w:p>
        </w:tc>
        <w:tc>
          <w:tcPr/>
          <w:p w:rsidR="00000000" w:rsidDel="00000000" w:rsidP="00000000" w:rsidRDefault="00000000" w:rsidRPr="00000000" w14:paraId="0000004B">
            <w:pPr>
              <w:spacing w:line="240" w:lineRule="auto"/>
              <w:jc w:val="right"/>
              <w:rPr>
                <w:b w:val="1"/>
                <w:color w:val="000000"/>
              </w:rPr>
            </w:pPr>
            <w:r w:rsidDel="00000000" w:rsidR="00000000" w:rsidRPr="00000000">
              <w:rPr>
                <w:rFonts w:ascii="Cardo" w:cs="Cardo" w:eastAsia="Cardo" w:hAnsi="Cardo"/>
                <w:b w:val="1"/>
                <w:color w:val="000000"/>
                <w:rtl w:val="0"/>
              </w:rPr>
              <w:t xml:space="preserve">Post-Action S/O/D → RPN</w:t>
            </w:r>
          </w:p>
        </w:tc>
      </w:tr>
      <w:tr>
        <w:trPr>
          <w:cantSplit w:val="0"/>
          <w:tblHeader w:val="0"/>
        </w:trPr>
        <w:tc>
          <w:tcPr/>
          <w:p w:rsidR="00000000" w:rsidDel="00000000" w:rsidP="00000000" w:rsidRDefault="00000000" w:rsidRPr="00000000" w14:paraId="0000004C">
            <w:pPr>
              <w:spacing w:line="240" w:lineRule="auto"/>
              <w:jc w:val="left"/>
              <w:rPr>
                <w:color w:val="000000"/>
              </w:rPr>
            </w:pPr>
            <w:r w:rsidDel="00000000" w:rsidR="00000000" w:rsidRPr="00000000">
              <w:rPr>
                <w:color w:val="000000"/>
                <w:rtl w:val="0"/>
              </w:rPr>
              <w:t xml:space="preserve">Design / trend capture</w:t>
            </w:r>
          </w:p>
        </w:tc>
        <w:tc>
          <w:tcPr/>
          <w:p w:rsidR="00000000" w:rsidDel="00000000" w:rsidP="00000000" w:rsidRDefault="00000000" w:rsidRPr="00000000" w14:paraId="0000004D">
            <w:pPr>
              <w:spacing w:line="240" w:lineRule="auto"/>
              <w:jc w:val="left"/>
              <w:rPr>
                <w:color w:val="000000"/>
              </w:rPr>
            </w:pPr>
            <w:r w:rsidDel="00000000" w:rsidR="00000000" w:rsidRPr="00000000">
              <w:rPr>
                <w:rFonts w:ascii="Cardo" w:cs="Cardo" w:eastAsia="Cardo" w:hAnsi="Cardo"/>
                <w:color w:val="000000"/>
                <w:rtl w:val="0"/>
              </w:rPr>
              <w:t xml:space="preserve">Misaligned demand forecast → markdowns &amp; stockouts</w:t>
            </w:r>
          </w:p>
        </w:tc>
        <w:tc>
          <w:tcPr/>
          <w:p w:rsidR="00000000" w:rsidDel="00000000" w:rsidP="00000000" w:rsidRDefault="00000000" w:rsidRPr="00000000" w14:paraId="0000004E">
            <w:pPr>
              <w:spacing w:line="240" w:lineRule="auto"/>
              <w:jc w:val="left"/>
              <w:rPr>
                <w:color w:val="000000"/>
              </w:rPr>
            </w:pPr>
            <w:r w:rsidDel="00000000" w:rsidR="00000000" w:rsidRPr="00000000">
              <w:rPr>
                <w:color w:val="000000"/>
                <w:rtl w:val="0"/>
              </w:rPr>
              <w:t xml:space="preserve">Lost sales; excess inventory</w:t>
            </w:r>
          </w:p>
        </w:tc>
        <w:tc>
          <w:tcPr/>
          <w:p w:rsidR="00000000" w:rsidDel="00000000" w:rsidP="00000000" w:rsidRDefault="00000000" w:rsidRPr="00000000" w14:paraId="0000004F">
            <w:pPr>
              <w:spacing w:line="240" w:lineRule="auto"/>
              <w:jc w:val="left"/>
              <w:rPr>
                <w:color w:val="000000"/>
              </w:rPr>
            </w:pPr>
            <w:r w:rsidDel="00000000" w:rsidR="00000000" w:rsidRPr="00000000">
              <w:rPr>
                <w:color w:val="000000"/>
                <w:rtl w:val="0"/>
              </w:rPr>
              <w:t xml:space="preserve">Short life cycles; social media shocks</w:t>
            </w:r>
          </w:p>
        </w:tc>
        <w:tc>
          <w:tcPr/>
          <w:p w:rsidR="00000000" w:rsidDel="00000000" w:rsidP="00000000" w:rsidRDefault="00000000" w:rsidRPr="00000000" w14:paraId="00000050">
            <w:pPr>
              <w:spacing w:line="240" w:lineRule="auto"/>
              <w:jc w:val="left"/>
              <w:rPr>
                <w:color w:val="000000"/>
              </w:rPr>
            </w:pPr>
            <w:r w:rsidDel="00000000" w:rsidR="00000000" w:rsidRPr="00000000">
              <w:rPr>
                <w:color w:val="000000"/>
                <w:rtl w:val="0"/>
              </w:rPr>
              <w:t xml:space="preserve">POS analytics; fast design sprints</w:t>
            </w:r>
          </w:p>
        </w:tc>
        <w:tc>
          <w:tcPr/>
          <w:p w:rsidR="00000000" w:rsidDel="00000000" w:rsidP="00000000" w:rsidRDefault="00000000" w:rsidRPr="00000000" w14:paraId="00000051">
            <w:pPr>
              <w:spacing w:line="240" w:lineRule="auto"/>
              <w:jc w:val="right"/>
              <w:rPr>
                <w:color w:val="000000"/>
              </w:rPr>
            </w:pPr>
            <w:r w:rsidDel="00000000" w:rsidR="00000000" w:rsidRPr="00000000">
              <w:rPr>
                <w:color w:val="000000"/>
                <w:rtl w:val="0"/>
              </w:rPr>
              <w:t xml:space="preserve">8</w:t>
            </w:r>
          </w:p>
        </w:tc>
        <w:tc>
          <w:tcPr/>
          <w:p w:rsidR="00000000" w:rsidDel="00000000" w:rsidP="00000000" w:rsidRDefault="00000000" w:rsidRPr="00000000" w14:paraId="00000052">
            <w:pPr>
              <w:spacing w:line="240" w:lineRule="auto"/>
              <w:jc w:val="right"/>
              <w:rPr>
                <w:color w:val="000000"/>
              </w:rPr>
            </w:pPr>
            <w:r w:rsidDel="00000000" w:rsidR="00000000" w:rsidRPr="00000000">
              <w:rPr>
                <w:color w:val="000000"/>
                <w:rtl w:val="0"/>
              </w:rPr>
              <w:t xml:space="preserve">6</w:t>
            </w:r>
          </w:p>
        </w:tc>
        <w:tc>
          <w:tcPr/>
          <w:p w:rsidR="00000000" w:rsidDel="00000000" w:rsidP="00000000" w:rsidRDefault="00000000" w:rsidRPr="00000000" w14:paraId="00000053">
            <w:pPr>
              <w:spacing w:line="240" w:lineRule="auto"/>
              <w:jc w:val="right"/>
              <w:rPr>
                <w:color w:val="000000"/>
              </w:rPr>
            </w:pPr>
            <w:r w:rsidDel="00000000" w:rsidR="00000000" w:rsidRPr="00000000">
              <w:rPr>
                <w:color w:val="000000"/>
                <w:rtl w:val="0"/>
              </w:rPr>
              <w:t xml:space="preserve">5</w:t>
            </w:r>
          </w:p>
        </w:tc>
        <w:tc>
          <w:tcPr/>
          <w:p w:rsidR="00000000" w:rsidDel="00000000" w:rsidP="00000000" w:rsidRDefault="00000000" w:rsidRPr="00000000" w14:paraId="00000054">
            <w:pPr>
              <w:spacing w:line="240" w:lineRule="auto"/>
              <w:jc w:val="right"/>
              <w:rPr>
                <w:color w:val="000000"/>
              </w:rPr>
            </w:pPr>
            <w:r w:rsidDel="00000000" w:rsidR="00000000" w:rsidRPr="00000000">
              <w:rPr>
                <w:b w:val="1"/>
                <w:color w:val="000000"/>
                <w:rtl w:val="0"/>
              </w:rPr>
              <w:t xml:space="preserve">240 / H</w:t>
            </w:r>
            <w:r w:rsidDel="00000000" w:rsidR="00000000" w:rsidRPr="00000000">
              <w:rPr>
                <w:rtl w:val="0"/>
              </w:rPr>
            </w:r>
          </w:p>
        </w:tc>
        <w:tc>
          <w:tcPr/>
          <w:p w:rsidR="00000000" w:rsidDel="00000000" w:rsidP="00000000" w:rsidRDefault="00000000" w:rsidRPr="00000000" w14:paraId="00000055">
            <w:pPr>
              <w:spacing w:line="240" w:lineRule="auto"/>
              <w:jc w:val="left"/>
              <w:rPr>
                <w:color w:val="000000"/>
              </w:rPr>
            </w:pPr>
            <w:r w:rsidDel="00000000" w:rsidR="00000000" w:rsidRPr="00000000">
              <w:rPr>
                <w:color w:val="000000"/>
                <w:rtl w:val="0"/>
              </w:rPr>
              <w:t xml:space="preserve">ML </w:t>
            </w:r>
            <w:r w:rsidDel="00000000" w:rsidR="00000000" w:rsidRPr="00000000">
              <w:rPr>
                <w:b w:val="1"/>
                <w:color w:val="000000"/>
                <w:rtl w:val="0"/>
              </w:rPr>
              <w:t xml:space="preserve">demand sensing</w:t>
            </w:r>
            <w:r w:rsidDel="00000000" w:rsidR="00000000" w:rsidRPr="00000000">
              <w:rPr>
                <w:color w:val="000000"/>
                <w:rtl w:val="0"/>
              </w:rPr>
              <w:t xml:space="preserve">, shorter freeze windows, test-and-replenish pilots</w:t>
            </w:r>
          </w:p>
        </w:tc>
        <w:tc>
          <w:tcPr/>
          <w:p w:rsidR="00000000" w:rsidDel="00000000" w:rsidP="00000000" w:rsidRDefault="00000000" w:rsidRPr="00000000" w14:paraId="00000056">
            <w:pPr>
              <w:spacing w:line="240" w:lineRule="auto"/>
              <w:jc w:val="left"/>
              <w:rPr>
                <w:color w:val="000000"/>
              </w:rPr>
            </w:pPr>
            <w:r w:rsidDel="00000000" w:rsidR="00000000" w:rsidRPr="00000000">
              <w:rPr>
                <w:color w:val="000000"/>
                <w:rtl w:val="0"/>
              </w:rPr>
              <w:t xml:space="preserve">S&amp;OP Lead (Chair: Merch, Planning, Data Science)</w:t>
            </w:r>
          </w:p>
        </w:tc>
        <w:tc>
          <w:tcPr/>
          <w:p w:rsidR="00000000" w:rsidDel="00000000" w:rsidP="00000000" w:rsidRDefault="00000000" w:rsidRPr="00000000" w14:paraId="00000057">
            <w:pPr>
              <w:spacing w:line="240" w:lineRule="auto"/>
              <w:jc w:val="left"/>
              <w:rPr>
                <w:color w:val="000000"/>
              </w:rPr>
            </w:pPr>
            <w:r w:rsidDel="00000000" w:rsidR="00000000" w:rsidRPr="00000000">
              <w:rPr>
                <w:b w:val="1"/>
                <w:color w:val="000000"/>
                <w:rtl w:val="0"/>
              </w:rPr>
              <w:t xml:space="preserve">3–6 mo</w:t>
            </w:r>
            <w:r w:rsidDel="00000000" w:rsidR="00000000" w:rsidRPr="00000000">
              <w:rPr>
                <w:color w:val="000000"/>
                <w:rtl w:val="0"/>
              </w:rPr>
              <w:t xml:space="preserve"> (model build &amp; AB tests)</w:t>
            </w:r>
          </w:p>
        </w:tc>
        <w:tc>
          <w:tcPr/>
          <w:p w:rsidR="00000000" w:rsidDel="00000000" w:rsidP="00000000" w:rsidRDefault="00000000" w:rsidRPr="00000000" w14:paraId="00000058">
            <w:pPr>
              <w:spacing w:line="240" w:lineRule="auto"/>
              <w:jc w:val="right"/>
              <w:rPr>
                <w:color w:val="000000"/>
              </w:rPr>
            </w:pPr>
            <w:r w:rsidDel="00000000" w:rsidR="00000000" w:rsidRPr="00000000">
              <w:rPr>
                <w:rFonts w:ascii="Cardo" w:cs="Cardo" w:eastAsia="Cardo" w:hAnsi="Cardo"/>
                <w:color w:val="000000"/>
                <w:rtl w:val="0"/>
              </w:rPr>
              <w:t xml:space="preserve">7/4/4 → </w:t>
            </w:r>
            <w:r w:rsidDel="00000000" w:rsidR="00000000" w:rsidRPr="00000000">
              <w:rPr>
                <w:b w:val="1"/>
                <w:color w:val="000000"/>
                <w:rtl w:val="0"/>
              </w:rPr>
              <w:t xml:space="preserve">112</w:t>
            </w:r>
            <w:r w:rsidDel="00000000" w:rsidR="00000000" w:rsidRPr="00000000">
              <w:rPr>
                <w:color w:val="000000"/>
                <w:rtl w:val="0"/>
              </w:rPr>
              <w:t xml:space="preserve">. (Swaminathan and Venkitasubramony, 2023)</w:t>
            </w:r>
          </w:p>
        </w:tc>
      </w:tr>
      <w:tr>
        <w:trPr>
          <w:cantSplit w:val="0"/>
          <w:tblHeader w:val="0"/>
        </w:trPr>
        <w:tc>
          <w:tcPr/>
          <w:p w:rsidR="00000000" w:rsidDel="00000000" w:rsidP="00000000" w:rsidRDefault="00000000" w:rsidRPr="00000000" w14:paraId="00000059">
            <w:pPr>
              <w:spacing w:line="240" w:lineRule="auto"/>
              <w:jc w:val="left"/>
              <w:rPr>
                <w:color w:val="000000"/>
              </w:rPr>
            </w:pPr>
            <w:r w:rsidDel="00000000" w:rsidR="00000000" w:rsidRPr="00000000">
              <w:rPr>
                <w:color w:val="000000"/>
                <w:rtl w:val="0"/>
              </w:rPr>
              <w:t xml:space="preserve">Fabric / yarn sourcing</w:t>
            </w:r>
          </w:p>
        </w:tc>
        <w:tc>
          <w:tcPr/>
          <w:p w:rsidR="00000000" w:rsidDel="00000000" w:rsidP="00000000" w:rsidRDefault="00000000" w:rsidRPr="00000000" w14:paraId="0000005A">
            <w:pPr>
              <w:spacing w:line="240" w:lineRule="auto"/>
              <w:jc w:val="left"/>
              <w:rPr>
                <w:color w:val="000000"/>
              </w:rPr>
            </w:pPr>
            <w:r w:rsidDel="00000000" w:rsidR="00000000" w:rsidRPr="00000000">
              <w:rPr>
                <w:rFonts w:ascii="Cardo" w:cs="Cardo" w:eastAsia="Cardo" w:hAnsi="Cardo"/>
                <w:color w:val="000000"/>
                <w:rtl w:val="0"/>
              </w:rPr>
              <w:t xml:space="preserve">Late/short fabric → line stoppage</w:t>
            </w:r>
          </w:p>
        </w:tc>
        <w:tc>
          <w:tcPr/>
          <w:p w:rsidR="00000000" w:rsidDel="00000000" w:rsidP="00000000" w:rsidRDefault="00000000" w:rsidRPr="00000000" w14:paraId="0000005B">
            <w:pPr>
              <w:spacing w:line="240" w:lineRule="auto"/>
              <w:jc w:val="left"/>
              <w:rPr>
                <w:color w:val="000000"/>
              </w:rPr>
            </w:pPr>
            <w:r w:rsidDel="00000000" w:rsidR="00000000" w:rsidRPr="00000000">
              <w:rPr>
                <w:color w:val="000000"/>
                <w:rtl w:val="0"/>
              </w:rPr>
              <w:t xml:space="preserve">Missed drops; expediting</w:t>
            </w:r>
          </w:p>
        </w:tc>
        <w:tc>
          <w:tcPr/>
          <w:p w:rsidR="00000000" w:rsidDel="00000000" w:rsidP="00000000" w:rsidRDefault="00000000" w:rsidRPr="00000000" w14:paraId="0000005C">
            <w:pPr>
              <w:spacing w:line="240" w:lineRule="auto"/>
              <w:jc w:val="left"/>
              <w:rPr>
                <w:color w:val="000000"/>
              </w:rPr>
            </w:pPr>
            <w:r w:rsidDel="00000000" w:rsidR="00000000" w:rsidRPr="00000000">
              <w:rPr>
                <w:color w:val="000000"/>
                <w:rtl w:val="0"/>
              </w:rPr>
              <w:t xml:space="preserve">Single-source mills; export limits</w:t>
            </w:r>
          </w:p>
        </w:tc>
        <w:tc>
          <w:tcPr/>
          <w:p w:rsidR="00000000" w:rsidDel="00000000" w:rsidP="00000000" w:rsidRDefault="00000000" w:rsidRPr="00000000" w14:paraId="0000005D">
            <w:pPr>
              <w:spacing w:line="240" w:lineRule="auto"/>
              <w:jc w:val="left"/>
              <w:rPr>
                <w:color w:val="000000"/>
              </w:rPr>
            </w:pPr>
            <w:r w:rsidDel="00000000" w:rsidR="00000000" w:rsidRPr="00000000">
              <w:rPr>
                <w:color w:val="000000"/>
                <w:rtl w:val="0"/>
              </w:rPr>
              <w:t xml:space="preserve">Limited safety stock; ad-hoc expediting</w:t>
            </w:r>
          </w:p>
        </w:tc>
        <w:tc>
          <w:tcPr/>
          <w:p w:rsidR="00000000" w:rsidDel="00000000" w:rsidP="00000000" w:rsidRDefault="00000000" w:rsidRPr="00000000" w14:paraId="0000005E">
            <w:pPr>
              <w:spacing w:line="240" w:lineRule="auto"/>
              <w:jc w:val="right"/>
              <w:rPr>
                <w:color w:val="000000"/>
              </w:rPr>
            </w:pPr>
            <w:r w:rsidDel="00000000" w:rsidR="00000000" w:rsidRPr="00000000">
              <w:rPr>
                <w:color w:val="000000"/>
                <w:rtl w:val="0"/>
              </w:rPr>
              <w:t xml:space="preserve">9</w:t>
            </w:r>
          </w:p>
        </w:tc>
        <w:tc>
          <w:tcPr/>
          <w:p w:rsidR="00000000" w:rsidDel="00000000" w:rsidP="00000000" w:rsidRDefault="00000000" w:rsidRPr="00000000" w14:paraId="0000005F">
            <w:pPr>
              <w:spacing w:line="240" w:lineRule="auto"/>
              <w:jc w:val="right"/>
              <w:rPr>
                <w:color w:val="000000"/>
              </w:rPr>
            </w:pPr>
            <w:r w:rsidDel="00000000" w:rsidR="00000000" w:rsidRPr="00000000">
              <w:rPr>
                <w:color w:val="000000"/>
                <w:rtl w:val="0"/>
              </w:rPr>
              <w:t xml:space="preserve">6</w:t>
            </w:r>
          </w:p>
        </w:tc>
        <w:tc>
          <w:tcPr/>
          <w:p w:rsidR="00000000" w:rsidDel="00000000" w:rsidP="00000000" w:rsidRDefault="00000000" w:rsidRPr="00000000" w14:paraId="00000060">
            <w:pPr>
              <w:spacing w:line="240" w:lineRule="auto"/>
              <w:jc w:val="right"/>
              <w:rPr>
                <w:color w:val="000000"/>
              </w:rPr>
            </w:pPr>
            <w:r w:rsidDel="00000000" w:rsidR="00000000" w:rsidRPr="00000000">
              <w:rPr>
                <w:color w:val="000000"/>
                <w:rtl w:val="0"/>
              </w:rPr>
              <w:t xml:space="preserve">5</w:t>
            </w:r>
          </w:p>
        </w:tc>
        <w:tc>
          <w:tcPr/>
          <w:p w:rsidR="00000000" w:rsidDel="00000000" w:rsidP="00000000" w:rsidRDefault="00000000" w:rsidRPr="00000000" w14:paraId="00000061">
            <w:pPr>
              <w:spacing w:line="240" w:lineRule="auto"/>
              <w:jc w:val="right"/>
              <w:rPr>
                <w:color w:val="000000"/>
              </w:rPr>
            </w:pPr>
            <w:r w:rsidDel="00000000" w:rsidR="00000000" w:rsidRPr="00000000">
              <w:rPr>
                <w:b w:val="1"/>
                <w:color w:val="000000"/>
                <w:rtl w:val="0"/>
              </w:rPr>
              <w:t xml:space="preserve">270 / H</w:t>
            </w:r>
            <w:r w:rsidDel="00000000" w:rsidR="00000000" w:rsidRPr="00000000">
              <w:rPr>
                <w:rtl w:val="0"/>
              </w:rPr>
            </w:r>
          </w:p>
        </w:tc>
        <w:tc>
          <w:tcPr/>
          <w:p w:rsidR="00000000" w:rsidDel="00000000" w:rsidP="00000000" w:rsidRDefault="00000000" w:rsidRPr="00000000" w14:paraId="00000062">
            <w:pPr>
              <w:spacing w:line="240" w:lineRule="auto"/>
              <w:jc w:val="left"/>
              <w:rPr>
                <w:color w:val="000000"/>
              </w:rPr>
            </w:pPr>
            <w:r w:rsidDel="00000000" w:rsidR="00000000" w:rsidRPr="00000000">
              <w:rPr>
                <w:b w:val="1"/>
                <w:color w:val="000000"/>
                <w:rtl w:val="0"/>
              </w:rPr>
              <w:t xml:space="preserve">Dual-sourcing/regionalization</w:t>
            </w:r>
            <w:r w:rsidDel="00000000" w:rsidR="00000000" w:rsidRPr="00000000">
              <w:rPr>
                <w:color w:val="000000"/>
                <w:rtl w:val="0"/>
              </w:rPr>
              <w:t xml:space="preserve">of key fabrics; qualify alternates; </w:t>
            </w:r>
            <w:r w:rsidDel="00000000" w:rsidR="00000000" w:rsidRPr="00000000">
              <w:rPr>
                <w:b w:val="1"/>
                <w:color w:val="000000"/>
                <w:rtl w:val="0"/>
              </w:rPr>
              <w:t xml:space="preserve">greige/postponement</w:t>
            </w:r>
            <w:r w:rsidDel="00000000" w:rsidR="00000000" w:rsidRPr="00000000">
              <w:rPr>
                <w:color w:val="000000"/>
                <w:rtl w:val="0"/>
              </w:rPr>
              <w:t xml:space="preserve">near Tier-1</w:t>
            </w:r>
          </w:p>
        </w:tc>
        <w:tc>
          <w:tcPr/>
          <w:p w:rsidR="00000000" w:rsidDel="00000000" w:rsidP="00000000" w:rsidRDefault="00000000" w:rsidRPr="00000000" w14:paraId="00000063">
            <w:pPr>
              <w:spacing w:line="240" w:lineRule="auto"/>
              <w:jc w:val="left"/>
              <w:rPr>
                <w:color w:val="000000"/>
              </w:rPr>
            </w:pPr>
            <w:r w:rsidDel="00000000" w:rsidR="00000000" w:rsidRPr="00000000">
              <w:rPr>
                <w:color w:val="000000"/>
                <w:rtl w:val="0"/>
              </w:rPr>
              <w:t xml:space="preserve">Global Sourcing Dir. + Category Managers</w:t>
            </w:r>
          </w:p>
        </w:tc>
        <w:tc>
          <w:tcPr/>
          <w:p w:rsidR="00000000" w:rsidDel="00000000" w:rsidP="00000000" w:rsidRDefault="00000000" w:rsidRPr="00000000" w14:paraId="00000064">
            <w:pPr>
              <w:spacing w:line="240" w:lineRule="auto"/>
              <w:jc w:val="left"/>
              <w:rPr>
                <w:color w:val="000000"/>
              </w:rPr>
            </w:pPr>
            <w:r w:rsidDel="00000000" w:rsidR="00000000" w:rsidRPr="00000000">
              <w:rPr>
                <w:b w:val="1"/>
                <w:color w:val="000000"/>
                <w:rtl w:val="0"/>
              </w:rPr>
              <w:t xml:space="preserve">6–12 mo</w:t>
            </w:r>
            <w:r w:rsidDel="00000000" w:rsidR="00000000" w:rsidRPr="00000000">
              <w:rPr>
                <w:color w:val="000000"/>
                <w:rtl w:val="0"/>
              </w:rPr>
              <w:t xml:space="preserve">(qualification/PPAP)</w:t>
            </w:r>
          </w:p>
        </w:tc>
        <w:tc>
          <w:tcPr/>
          <w:p w:rsidR="00000000" w:rsidDel="00000000" w:rsidP="00000000" w:rsidRDefault="00000000" w:rsidRPr="00000000" w14:paraId="00000065">
            <w:pPr>
              <w:spacing w:line="240" w:lineRule="auto"/>
              <w:jc w:val="right"/>
              <w:rPr>
                <w:color w:val="000000"/>
              </w:rPr>
            </w:pPr>
            <w:r w:rsidDel="00000000" w:rsidR="00000000" w:rsidRPr="00000000">
              <w:rPr>
                <w:rFonts w:ascii="Cardo" w:cs="Cardo" w:eastAsia="Cardo" w:hAnsi="Cardo"/>
                <w:color w:val="000000"/>
                <w:rtl w:val="0"/>
              </w:rPr>
              <w:t xml:space="preserve">8/3/4 → </w:t>
            </w:r>
            <w:r w:rsidDel="00000000" w:rsidR="00000000" w:rsidRPr="00000000">
              <w:rPr>
                <w:b w:val="1"/>
                <w:color w:val="000000"/>
                <w:rtl w:val="0"/>
              </w:rPr>
              <w:t xml:space="preserve">96</w:t>
            </w:r>
            <w:r w:rsidDel="00000000" w:rsidR="00000000" w:rsidRPr="00000000">
              <w:rPr>
                <w:color w:val="000000"/>
                <w:rtl w:val="0"/>
              </w:rPr>
              <w:t xml:space="preserve">. (Jafari &amp; Paulraj, 2021; Niu et al., 2024)</w:t>
            </w:r>
          </w:p>
        </w:tc>
      </w:tr>
      <w:tr>
        <w:trPr>
          <w:cantSplit w:val="0"/>
          <w:tblHeader w:val="0"/>
        </w:trPr>
        <w:tc>
          <w:tcPr/>
          <w:p w:rsidR="00000000" w:rsidDel="00000000" w:rsidP="00000000" w:rsidRDefault="00000000" w:rsidRPr="00000000" w14:paraId="00000066">
            <w:pPr>
              <w:spacing w:line="240" w:lineRule="auto"/>
              <w:jc w:val="left"/>
              <w:rPr>
                <w:color w:val="000000"/>
              </w:rPr>
            </w:pPr>
            <w:r w:rsidDel="00000000" w:rsidR="00000000" w:rsidRPr="00000000">
              <w:rPr>
                <w:color w:val="000000"/>
                <w:rtl w:val="0"/>
              </w:rPr>
              <w:t xml:space="preserve">Tier-2 dyeing/finishing</w:t>
            </w:r>
          </w:p>
        </w:tc>
        <w:tc>
          <w:tcPr/>
          <w:p w:rsidR="00000000" w:rsidDel="00000000" w:rsidP="00000000" w:rsidRDefault="00000000" w:rsidRPr="00000000" w14:paraId="00000067">
            <w:pPr>
              <w:spacing w:line="240" w:lineRule="auto"/>
              <w:jc w:val="left"/>
              <w:rPr>
                <w:color w:val="000000"/>
              </w:rPr>
            </w:pPr>
            <w:r w:rsidDel="00000000" w:rsidR="00000000" w:rsidRPr="00000000">
              <w:rPr>
                <w:color w:val="000000"/>
                <w:rtl w:val="0"/>
              </w:rPr>
              <w:t xml:space="preserve">Chemical non-compliance (MRSL)</w:t>
            </w:r>
          </w:p>
        </w:tc>
        <w:tc>
          <w:tcPr/>
          <w:p w:rsidR="00000000" w:rsidDel="00000000" w:rsidP="00000000" w:rsidRDefault="00000000" w:rsidRPr="00000000" w14:paraId="00000068">
            <w:pPr>
              <w:spacing w:line="240" w:lineRule="auto"/>
              <w:jc w:val="left"/>
              <w:rPr>
                <w:color w:val="000000"/>
              </w:rPr>
            </w:pPr>
            <w:r w:rsidDel="00000000" w:rsidR="00000000" w:rsidRPr="00000000">
              <w:rPr>
                <w:color w:val="000000"/>
                <w:rtl w:val="0"/>
              </w:rPr>
              <w:t xml:space="preserve">Rework/holds; legal/brand risk</w:t>
            </w:r>
          </w:p>
        </w:tc>
        <w:tc>
          <w:tcPr/>
          <w:p w:rsidR="00000000" w:rsidDel="00000000" w:rsidP="00000000" w:rsidRDefault="00000000" w:rsidRPr="00000000" w14:paraId="00000069">
            <w:pPr>
              <w:spacing w:line="240" w:lineRule="auto"/>
              <w:jc w:val="left"/>
              <w:rPr>
                <w:color w:val="000000"/>
              </w:rPr>
            </w:pPr>
            <w:r w:rsidDel="00000000" w:rsidR="00000000" w:rsidRPr="00000000">
              <w:rPr>
                <w:color w:val="000000"/>
                <w:rtl w:val="0"/>
              </w:rPr>
              <w:t xml:space="preserve">Weak chemical mgmt.; poor process control</w:t>
            </w:r>
          </w:p>
        </w:tc>
        <w:tc>
          <w:tcPr/>
          <w:p w:rsidR="00000000" w:rsidDel="00000000" w:rsidP="00000000" w:rsidRDefault="00000000" w:rsidRPr="00000000" w14:paraId="0000006A">
            <w:pPr>
              <w:spacing w:line="240" w:lineRule="auto"/>
              <w:jc w:val="left"/>
              <w:rPr>
                <w:color w:val="000000"/>
              </w:rPr>
            </w:pPr>
            <w:r w:rsidDel="00000000" w:rsidR="00000000" w:rsidRPr="00000000">
              <w:rPr>
                <w:color w:val="000000"/>
                <w:rtl w:val="0"/>
              </w:rPr>
              <w:t xml:space="preserve">Periodic audits; buyer specs</w:t>
            </w:r>
          </w:p>
        </w:tc>
        <w:tc>
          <w:tcPr/>
          <w:p w:rsidR="00000000" w:rsidDel="00000000" w:rsidP="00000000" w:rsidRDefault="00000000" w:rsidRPr="00000000" w14:paraId="0000006B">
            <w:pPr>
              <w:spacing w:line="240" w:lineRule="auto"/>
              <w:jc w:val="right"/>
              <w:rPr>
                <w:color w:val="000000"/>
              </w:rPr>
            </w:pPr>
            <w:r w:rsidDel="00000000" w:rsidR="00000000" w:rsidRPr="00000000">
              <w:rPr>
                <w:color w:val="000000"/>
                <w:rtl w:val="0"/>
              </w:rPr>
              <w:t xml:space="preserve">8</w:t>
            </w:r>
          </w:p>
        </w:tc>
        <w:tc>
          <w:tcPr/>
          <w:p w:rsidR="00000000" w:rsidDel="00000000" w:rsidP="00000000" w:rsidRDefault="00000000" w:rsidRPr="00000000" w14:paraId="0000006C">
            <w:pPr>
              <w:spacing w:line="240" w:lineRule="auto"/>
              <w:jc w:val="right"/>
              <w:rPr>
                <w:color w:val="000000"/>
              </w:rPr>
            </w:pPr>
            <w:r w:rsidDel="00000000" w:rsidR="00000000" w:rsidRPr="00000000">
              <w:rPr>
                <w:color w:val="000000"/>
                <w:rtl w:val="0"/>
              </w:rPr>
              <w:t xml:space="preserve">5</w:t>
            </w:r>
          </w:p>
        </w:tc>
        <w:tc>
          <w:tcPr/>
          <w:p w:rsidR="00000000" w:rsidDel="00000000" w:rsidP="00000000" w:rsidRDefault="00000000" w:rsidRPr="00000000" w14:paraId="0000006D">
            <w:pPr>
              <w:spacing w:line="240" w:lineRule="auto"/>
              <w:jc w:val="right"/>
              <w:rPr>
                <w:color w:val="000000"/>
              </w:rPr>
            </w:pPr>
            <w:r w:rsidDel="00000000" w:rsidR="00000000" w:rsidRPr="00000000">
              <w:rPr>
                <w:color w:val="000000"/>
                <w:rtl w:val="0"/>
              </w:rPr>
              <w:t xml:space="preserve">6</w:t>
            </w:r>
          </w:p>
        </w:tc>
        <w:tc>
          <w:tcPr/>
          <w:p w:rsidR="00000000" w:rsidDel="00000000" w:rsidP="00000000" w:rsidRDefault="00000000" w:rsidRPr="00000000" w14:paraId="0000006E">
            <w:pPr>
              <w:spacing w:line="240" w:lineRule="auto"/>
              <w:jc w:val="right"/>
              <w:rPr>
                <w:color w:val="000000"/>
              </w:rPr>
            </w:pPr>
            <w:r w:rsidDel="00000000" w:rsidR="00000000" w:rsidRPr="00000000">
              <w:rPr>
                <w:b w:val="1"/>
                <w:color w:val="000000"/>
                <w:rtl w:val="0"/>
              </w:rPr>
              <w:t xml:space="preserve">240 / H</w:t>
            </w:r>
            <w:r w:rsidDel="00000000" w:rsidR="00000000" w:rsidRPr="00000000">
              <w:rPr>
                <w:rtl w:val="0"/>
              </w:rPr>
            </w:r>
          </w:p>
        </w:tc>
        <w:tc>
          <w:tcPr/>
          <w:p w:rsidR="00000000" w:rsidDel="00000000" w:rsidP="00000000" w:rsidRDefault="00000000" w:rsidRPr="00000000" w14:paraId="0000006F">
            <w:pPr>
              <w:spacing w:line="240" w:lineRule="auto"/>
              <w:jc w:val="left"/>
              <w:rPr>
                <w:color w:val="000000"/>
              </w:rPr>
            </w:pPr>
            <w:r w:rsidDel="00000000" w:rsidR="00000000" w:rsidRPr="00000000">
              <w:rPr>
                <w:color w:val="000000"/>
                <w:rtl w:val="0"/>
              </w:rPr>
              <w:t xml:space="preserve">Implement </w:t>
            </w:r>
            <w:r w:rsidDel="00000000" w:rsidR="00000000" w:rsidRPr="00000000">
              <w:rPr>
                <w:b w:val="1"/>
                <w:color w:val="000000"/>
                <w:rtl w:val="0"/>
              </w:rPr>
              <w:t xml:space="preserve">ZDHC MRSL</w:t>
            </w:r>
            <w:r w:rsidDel="00000000" w:rsidR="00000000" w:rsidRPr="00000000">
              <w:rPr>
                <w:color w:val="000000"/>
                <w:rtl w:val="0"/>
              </w:rPr>
              <w:t xml:space="preserve"> program; wastewater testing; digital tier-2 traceability</w:t>
            </w:r>
          </w:p>
        </w:tc>
        <w:tc>
          <w:tcPr/>
          <w:p w:rsidR="00000000" w:rsidDel="00000000" w:rsidP="00000000" w:rsidRDefault="00000000" w:rsidRPr="00000000" w14:paraId="00000070">
            <w:pPr>
              <w:spacing w:line="240" w:lineRule="auto"/>
              <w:jc w:val="left"/>
              <w:rPr>
                <w:color w:val="000000"/>
              </w:rPr>
            </w:pPr>
            <w:r w:rsidDel="00000000" w:rsidR="00000000" w:rsidRPr="00000000">
              <w:rPr>
                <w:color w:val="000000"/>
                <w:rtl w:val="0"/>
              </w:rPr>
              <w:t xml:space="preserve">Sustainability &amp; Quality (Tier-2 Program Lead)</w:t>
            </w:r>
          </w:p>
        </w:tc>
        <w:tc>
          <w:tcPr/>
          <w:p w:rsidR="00000000" w:rsidDel="00000000" w:rsidP="00000000" w:rsidRDefault="00000000" w:rsidRPr="00000000" w14:paraId="00000071">
            <w:pPr>
              <w:spacing w:line="240" w:lineRule="auto"/>
              <w:jc w:val="left"/>
              <w:rPr>
                <w:color w:val="000000"/>
              </w:rPr>
            </w:pPr>
            <w:r w:rsidDel="00000000" w:rsidR="00000000" w:rsidRPr="00000000">
              <w:rPr>
                <w:b w:val="1"/>
                <w:color w:val="000000"/>
                <w:rtl w:val="0"/>
              </w:rPr>
              <w:t xml:space="preserve">3–9 mo</w:t>
            </w:r>
            <w:r w:rsidDel="00000000" w:rsidR="00000000" w:rsidRPr="00000000">
              <w:rPr>
                <w:color w:val="000000"/>
                <w:rtl w:val="0"/>
              </w:rPr>
              <w:t xml:space="preserve"> (rollout &amp; lab onboarding)</w:t>
            </w:r>
          </w:p>
        </w:tc>
        <w:tc>
          <w:tcPr/>
          <w:p w:rsidR="00000000" w:rsidDel="00000000" w:rsidP="00000000" w:rsidRDefault="00000000" w:rsidRPr="00000000" w14:paraId="00000072">
            <w:pPr>
              <w:spacing w:line="240" w:lineRule="auto"/>
              <w:jc w:val="right"/>
              <w:rPr>
                <w:color w:val="000000"/>
              </w:rPr>
            </w:pPr>
            <w:r w:rsidDel="00000000" w:rsidR="00000000" w:rsidRPr="00000000">
              <w:rPr>
                <w:rFonts w:ascii="Cardo" w:cs="Cardo" w:eastAsia="Cardo" w:hAnsi="Cardo"/>
                <w:color w:val="000000"/>
                <w:rtl w:val="0"/>
              </w:rPr>
              <w:t xml:space="preserve">8/3/3 → </w:t>
            </w:r>
            <w:r w:rsidDel="00000000" w:rsidR="00000000" w:rsidRPr="00000000">
              <w:rPr>
                <w:b w:val="1"/>
                <w:color w:val="000000"/>
                <w:rtl w:val="0"/>
              </w:rPr>
              <w:t xml:space="preserve">72</w:t>
            </w:r>
            <w:r w:rsidDel="00000000" w:rsidR="00000000" w:rsidRPr="00000000">
              <w:rPr>
                <w:color w:val="000000"/>
                <w:rtl w:val="0"/>
              </w:rPr>
              <w:t xml:space="preserve">. (ZDHC, 2024)</w:t>
            </w:r>
          </w:p>
        </w:tc>
      </w:tr>
      <w:tr>
        <w:trPr>
          <w:cantSplit w:val="0"/>
          <w:tblHeader w:val="0"/>
        </w:trPr>
        <w:tc>
          <w:tcPr/>
          <w:p w:rsidR="00000000" w:rsidDel="00000000" w:rsidP="00000000" w:rsidRDefault="00000000" w:rsidRPr="00000000" w14:paraId="00000073">
            <w:pPr>
              <w:spacing w:line="240" w:lineRule="auto"/>
              <w:jc w:val="left"/>
              <w:rPr>
                <w:color w:val="000000"/>
              </w:rPr>
            </w:pPr>
            <w:r w:rsidDel="00000000" w:rsidR="00000000" w:rsidRPr="00000000">
              <w:rPr>
                <w:color w:val="000000"/>
                <w:rtl w:val="0"/>
              </w:rPr>
              <w:t xml:space="preserve">Tier-1 CMT (sewing)</w:t>
            </w:r>
          </w:p>
        </w:tc>
        <w:tc>
          <w:tcPr/>
          <w:p w:rsidR="00000000" w:rsidDel="00000000" w:rsidP="00000000" w:rsidRDefault="00000000" w:rsidRPr="00000000" w14:paraId="00000074">
            <w:pPr>
              <w:spacing w:line="240" w:lineRule="auto"/>
              <w:jc w:val="left"/>
              <w:rPr>
                <w:color w:val="000000"/>
              </w:rPr>
            </w:pPr>
            <w:r w:rsidDel="00000000" w:rsidR="00000000" w:rsidRPr="00000000">
              <w:rPr>
                <w:color w:val="000000"/>
                <w:rtl w:val="0"/>
              </w:rPr>
              <w:t xml:space="preserve">Stitch/fit defects</w:t>
            </w:r>
          </w:p>
        </w:tc>
        <w:tc>
          <w:tcPr/>
          <w:p w:rsidR="00000000" w:rsidDel="00000000" w:rsidP="00000000" w:rsidRDefault="00000000" w:rsidRPr="00000000" w14:paraId="00000075">
            <w:pPr>
              <w:spacing w:line="240" w:lineRule="auto"/>
              <w:jc w:val="left"/>
              <w:rPr>
                <w:color w:val="000000"/>
              </w:rPr>
            </w:pPr>
            <w:r w:rsidDel="00000000" w:rsidR="00000000" w:rsidRPr="00000000">
              <w:rPr>
                <w:color w:val="000000"/>
                <w:rtl w:val="0"/>
              </w:rPr>
              <w:t xml:space="preserve">Returns; rework</w:t>
            </w:r>
          </w:p>
        </w:tc>
        <w:tc>
          <w:tcPr/>
          <w:p w:rsidR="00000000" w:rsidDel="00000000" w:rsidP="00000000" w:rsidRDefault="00000000" w:rsidRPr="00000000" w14:paraId="00000076">
            <w:pPr>
              <w:spacing w:line="240" w:lineRule="auto"/>
              <w:jc w:val="left"/>
              <w:rPr>
                <w:color w:val="000000"/>
              </w:rPr>
            </w:pPr>
            <w:r w:rsidDel="00000000" w:rsidR="00000000" w:rsidRPr="00000000">
              <w:rPr>
                <w:color w:val="000000"/>
                <w:rtl w:val="0"/>
              </w:rPr>
              <w:t xml:space="preserve">Operator variability; setup</w:t>
            </w:r>
          </w:p>
        </w:tc>
        <w:tc>
          <w:tcPr/>
          <w:p w:rsidR="00000000" w:rsidDel="00000000" w:rsidP="00000000" w:rsidRDefault="00000000" w:rsidRPr="00000000" w14:paraId="00000077">
            <w:pPr>
              <w:spacing w:line="240" w:lineRule="auto"/>
              <w:jc w:val="left"/>
              <w:rPr>
                <w:color w:val="000000"/>
              </w:rPr>
            </w:pPr>
            <w:r w:rsidDel="00000000" w:rsidR="00000000" w:rsidRPr="00000000">
              <w:rPr>
                <w:color w:val="000000"/>
                <w:rtl w:val="0"/>
              </w:rPr>
              <w:t xml:space="preserve">Final QC; vendor scorecards</w:t>
            </w:r>
          </w:p>
        </w:tc>
        <w:tc>
          <w:tcPr/>
          <w:p w:rsidR="00000000" w:rsidDel="00000000" w:rsidP="00000000" w:rsidRDefault="00000000" w:rsidRPr="00000000" w14:paraId="00000078">
            <w:pPr>
              <w:spacing w:line="240" w:lineRule="auto"/>
              <w:jc w:val="right"/>
              <w:rPr>
                <w:color w:val="000000"/>
              </w:rPr>
            </w:pPr>
            <w:r w:rsidDel="00000000" w:rsidR="00000000" w:rsidRPr="00000000">
              <w:rPr>
                <w:color w:val="000000"/>
                <w:rtl w:val="0"/>
              </w:rPr>
              <w:t xml:space="preserve">7</w:t>
            </w:r>
          </w:p>
        </w:tc>
        <w:tc>
          <w:tcPr/>
          <w:p w:rsidR="00000000" w:rsidDel="00000000" w:rsidP="00000000" w:rsidRDefault="00000000" w:rsidRPr="00000000" w14:paraId="00000079">
            <w:pPr>
              <w:spacing w:line="240" w:lineRule="auto"/>
              <w:jc w:val="right"/>
              <w:rPr>
                <w:color w:val="000000"/>
              </w:rPr>
            </w:pPr>
            <w:r w:rsidDel="00000000" w:rsidR="00000000" w:rsidRPr="00000000">
              <w:rPr>
                <w:color w:val="000000"/>
                <w:rtl w:val="0"/>
              </w:rPr>
              <w:t xml:space="preserve">5</w:t>
            </w:r>
          </w:p>
        </w:tc>
        <w:tc>
          <w:tcPr/>
          <w:p w:rsidR="00000000" w:rsidDel="00000000" w:rsidP="00000000" w:rsidRDefault="00000000" w:rsidRPr="00000000" w14:paraId="0000007A">
            <w:pPr>
              <w:spacing w:line="240" w:lineRule="auto"/>
              <w:jc w:val="right"/>
              <w:rPr>
                <w:color w:val="000000"/>
              </w:rPr>
            </w:pPr>
            <w:r w:rsidDel="00000000" w:rsidR="00000000" w:rsidRPr="00000000">
              <w:rPr>
                <w:color w:val="000000"/>
                <w:rtl w:val="0"/>
              </w:rPr>
              <w:t xml:space="preserve">5</w:t>
            </w:r>
          </w:p>
        </w:tc>
        <w:tc>
          <w:tcPr/>
          <w:p w:rsidR="00000000" w:rsidDel="00000000" w:rsidP="00000000" w:rsidRDefault="00000000" w:rsidRPr="00000000" w14:paraId="0000007B">
            <w:pPr>
              <w:spacing w:line="240" w:lineRule="auto"/>
              <w:jc w:val="right"/>
              <w:rPr>
                <w:color w:val="000000"/>
              </w:rPr>
            </w:pPr>
            <w:r w:rsidDel="00000000" w:rsidR="00000000" w:rsidRPr="00000000">
              <w:rPr>
                <w:b w:val="1"/>
                <w:color w:val="000000"/>
                <w:rtl w:val="0"/>
              </w:rPr>
              <w:t xml:space="preserve">175 / M</w:t>
            </w:r>
            <w:r w:rsidDel="00000000" w:rsidR="00000000" w:rsidRPr="00000000">
              <w:rPr>
                <w:rtl w:val="0"/>
              </w:rPr>
            </w:r>
          </w:p>
        </w:tc>
        <w:tc>
          <w:tcPr/>
          <w:p w:rsidR="00000000" w:rsidDel="00000000" w:rsidP="00000000" w:rsidRDefault="00000000" w:rsidRPr="00000000" w14:paraId="0000007C">
            <w:pPr>
              <w:spacing w:line="240" w:lineRule="auto"/>
              <w:jc w:val="left"/>
              <w:rPr>
                <w:color w:val="000000"/>
              </w:rPr>
            </w:pPr>
            <w:r w:rsidDel="00000000" w:rsidR="00000000" w:rsidRPr="00000000">
              <w:rPr>
                <w:b w:val="1"/>
                <w:color w:val="000000"/>
                <w:rtl w:val="0"/>
              </w:rPr>
              <w:t xml:space="preserve">In-line QC &amp; SPC</w:t>
            </w:r>
            <w:r w:rsidDel="00000000" w:rsidR="00000000" w:rsidRPr="00000000">
              <w:rPr>
                <w:color w:val="000000"/>
                <w:rtl w:val="0"/>
              </w:rPr>
              <w:t xml:space="preserve">; method training; planned maintenance</w:t>
            </w:r>
          </w:p>
        </w:tc>
        <w:tc>
          <w:tcPr/>
          <w:p w:rsidR="00000000" w:rsidDel="00000000" w:rsidP="00000000" w:rsidRDefault="00000000" w:rsidRPr="00000000" w14:paraId="0000007D">
            <w:pPr>
              <w:spacing w:line="240" w:lineRule="auto"/>
              <w:jc w:val="left"/>
              <w:rPr>
                <w:color w:val="000000"/>
              </w:rPr>
            </w:pPr>
            <w:r w:rsidDel="00000000" w:rsidR="00000000" w:rsidRPr="00000000">
              <w:rPr>
                <w:color w:val="000000"/>
                <w:rtl w:val="0"/>
              </w:rPr>
              <w:t xml:space="preserve">Manufacturing Engineering + Vendor QA</w:t>
            </w:r>
          </w:p>
        </w:tc>
        <w:tc>
          <w:tcPr/>
          <w:p w:rsidR="00000000" w:rsidDel="00000000" w:rsidP="00000000" w:rsidRDefault="00000000" w:rsidRPr="00000000" w14:paraId="0000007E">
            <w:pPr>
              <w:spacing w:line="240" w:lineRule="auto"/>
              <w:jc w:val="left"/>
              <w:rPr>
                <w:color w:val="000000"/>
              </w:rPr>
            </w:pPr>
            <w:r w:rsidDel="00000000" w:rsidR="00000000" w:rsidRPr="00000000">
              <w:rPr>
                <w:b w:val="1"/>
                <w:color w:val="000000"/>
                <w:rtl w:val="0"/>
              </w:rPr>
              <w:t xml:space="preserve">3–6 mo</w:t>
            </w:r>
            <w:r w:rsidDel="00000000" w:rsidR="00000000" w:rsidRPr="00000000">
              <w:rPr>
                <w:color w:val="000000"/>
                <w:rtl w:val="0"/>
              </w:rPr>
              <w:t xml:space="preserve"> (SOPs &amp; SPC)</w:t>
            </w:r>
          </w:p>
        </w:tc>
        <w:tc>
          <w:tcPr/>
          <w:p w:rsidR="00000000" w:rsidDel="00000000" w:rsidP="00000000" w:rsidRDefault="00000000" w:rsidRPr="00000000" w14:paraId="0000007F">
            <w:pPr>
              <w:spacing w:line="240" w:lineRule="auto"/>
              <w:jc w:val="right"/>
              <w:rPr>
                <w:color w:val="000000"/>
              </w:rPr>
            </w:pPr>
            <w:r w:rsidDel="00000000" w:rsidR="00000000" w:rsidRPr="00000000">
              <w:rPr>
                <w:rFonts w:ascii="Cardo" w:cs="Cardo" w:eastAsia="Cardo" w:hAnsi="Cardo"/>
                <w:color w:val="000000"/>
                <w:rtl w:val="0"/>
              </w:rPr>
              <w:t xml:space="preserve">7/3/3 → </w:t>
            </w:r>
            <w:r w:rsidDel="00000000" w:rsidR="00000000" w:rsidRPr="00000000">
              <w:rPr>
                <w:b w:val="1"/>
                <w:color w:val="000000"/>
                <w:rtl w:val="0"/>
              </w:rPr>
              <w:t xml:space="preserve">63</w:t>
            </w:r>
            <w:r w:rsidDel="00000000" w:rsidR="00000000" w:rsidRPr="00000000">
              <w:rPr>
                <w:color w:val="000000"/>
                <w:rtl w:val="0"/>
              </w:rPr>
              <w:t xml:space="preserve">. (Živičnjak et al., 2022)</w:t>
            </w:r>
          </w:p>
        </w:tc>
      </w:tr>
      <w:tr>
        <w:trPr>
          <w:cantSplit w:val="0"/>
          <w:tblHeader w:val="0"/>
        </w:trPr>
        <w:tc>
          <w:tcPr/>
          <w:p w:rsidR="00000000" w:rsidDel="00000000" w:rsidP="00000000" w:rsidRDefault="00000000" w:rsidRPr="00000000" w14:paraId="00000080">
            <w:pPr>
              <w:spacing w:line="240" w:lineRule="auto"/>
              <w:jc w:val="left"/>
              <w:rPr>
                <w:color w:val="000000"/>
              </w:rPr>
            </w:pPr>
            <w:r w:rsidDel="00000000" w:rsidR="00000000" w:rsidRPr="00000000">
              <w:rPr>
                <w:color w:val="000000"/>
                <w:rtl w:val="0"/>
              </w:rPr>
              <w:t xml:space="preserve">Factory capacity</w:t>
            </w:r>
          </w:p>
        </w:tc>
        <w:tc>
          <w:tcPr/>
          <w:p w:rsidR="00000000" w:rsidDel="00000000" w:rsidP="00000000" w:rsidRDefault="00000000" w:rsidRPr="00000000" w14:paraId="00000081">
            <w:pPr>
              <w:spacing w:line="240" w:lineRule="auto"/>
              <w:jc w:val="left"/>
              <w:rPr>
                <w:color w:val="000000"/>
              </w:rPr>
            </w:pPr>
            <w:r w:rsidDel="00000000" w:rsidR="00000000" w:rsidRPr="00000000">
              <w:rPr>
                <w:color w:val="000000"/>
                <w:rtl w:val="0"/>
              </w:rPr>
              <w:t xml:space="preserve">Labor disruption</w:t>
            </w:r>
          </w:p>
        </w:tc>
        <w:tc>
          <w:tcPr/>
          <w:p w:rsidR="00000000" w:rsidDel="00000000" w:rsidP="00000000" w:rsidRDefault="00000000" w:rsidRPr="00000000" w14:paraId="00000082">
            <w:pPr>
              <w:spacing w:line="240" w:lineRule="auto"/>
              <w:jc w:val="left"/>
              <w:rPr>
                <w:color w:val="000000"/>
              </w:rPr>
            </w:pPr>
            <w:r w:rsidDel="00000000" w:rsidR="00000000" w:rsidRPr="00000000">
              <w:rPr>
                <w:color w:val="000000"/>
                <w:rtl w:val="0"/>
              </w:rPr>
              <w:t xml:space="preserve">Missed in-season dates</w:t>
            </w:r>
          </w:p>
        </w:tc>
        <w:tc>
          <w:tcPr/>
          <w:p w:rsidR="00000000" w:rsidDel="00000000" w:rsidP="00000000" w:rsidRDefault="00000000" w:rsidRPr="00000000" w14:paraId="00000083">
            <w:pPr>
              <w:spacing w:line="240" w:lineRule="auto"/>
              <w:jc w:val="left"/>
              <w:rPr>
                <w:color w:val="000000"/>
              </w:rPr>
            </w:pPr>
            <w:r w:rsidDel="00000000" w:rsidR="00000000" w:rsidRPr="00000000">
              <w:rPr>
                <w:color w:val="000000"/>
                <w:rtl w:val="0"/>
              </w:rPr>
              <w:t xml:space="preserve">Strikes; outbreaks</w:t>
            </w:r>
          </w:p>
        </w:tc>
        <w:tc>
          <w:tcPr/>
          <w:p w:rsidR="00000000" w:rsidDel="00000000" w:rsidP="00000000" w:rsidRDefault="00000000" w:rsidRPr="00000000" w14:paraId="00000084">
            <w:pPr>
              <w:spacing w:line="240" w:lineRule="auto"/>
              <w:jc w:val="left"/>
              <w:rPr>
                <w:color w:val="000000"/>
              </w:rPr>
            </w:pPr>
            <w:r w:rsidDel="00000000" w:rsidR="00000000" w:rsidRPr="00000000">
              <w:rPr>
                <w:color w:val="000000"/>
                <w:rtl w:val="0"/>
              </w:rPr>
              <w:t xml:space="preserve">Overtime; small flex pool</w:t>
            </w:r>
          </w:p>
        </w:tc>
        <w:tc>
          <w:tcPr/>
          <w:p w:rsidR="00000000" w:rsidDel="00000000" w:rsidP="00000000" w:rsidRDefault="00000000" w:rsidRPr="00000000" w14:paraId="00000085">
            <w:pPr>
              <w:spacing w:line="240" w:lineRule="auto"/>
              <w:jc w:val="right"/>
              <w:rPr>
                <w:color w:val="000000"/>
              </w:rPr>
            </w:pPr>
            <w:r w:rsidDel="00000000" w:rsidR="00000000" w:rsidRPr="00000000">
              <w:rPr>
                <w:color w:val="000000"/>
                <w:rtl w:val="0"/>
              </w:rPr>
              <w:t xml:space="preserve">8</w:t>
            </w:r>
          </w:p>
        </w:tc>
        <w:tc>
          <w:tcPr/>
          <w:p w:rsidR="00000000" w:rsidDel="00000000" w:rsidP="00000000" w:rsidRDefault="00000000" w:rsidRPr="00000000" w14:paraId="00000086">
            <w:pPr>
              <w:spacing w:line="240" w:lineRule="auto"/>
              <w:jc w:val="right"/>
              <w:rPr>
                <w:color w:val="000000"/>
              </w:rPr>
            </w:pPr>
            <w:r w:rsidDel="00000000" w:rsidR="00000000" w:rsidRPr="00000000">
              <w:rPr>
                <w:color w:val="000000"/>
                <w:rtl w:val="0"/>
              </w:rPr>
              <w:t xml:space="preserve">4</w:t>
            </w:r>
          </w:p>
        </w:tc>
        <w:tc>
          <w:tcPr/>
          <w:p w:rsidR="00000000" w:rsidDel="00000000" w:rsidP="00000000" w:rsidRDefault="00000000" w:rsidRPr="00000000" w14:paraId="00000087">
            <w:pPr>
              <w:spacing w:line="240" w:lineRule="auto"/>
              <w:jc w:val="right"/>
              <w:rPr>
                <w:color w:val="000000"/>
              </w:rPr>
            </w:pPr>
            <w:r w:rsidDel="00000000" w:rsidR="00000000" w:rsidRPr="00000000">
              <w:rPr>
                <w:color w:val="000000"/>
                <w:rtl w:val="0"/>
              </w:rPr>
              <w:t xml:space="preserve">6</w:t>
            </w:r>
          </w:p>
        </w:tc>
        <w:tc>
          <w:tcPr/>
          <w:p w:rsidR="00000000" w:rsidDel="00000000" w:rsidP="00000000" w:rsidRDefault="00000000" w:rsidRPr="00000000" w14:paraId="00000088">
            <w:pPr>
              <w:spacing w:line="240" w:lineRule="auto"/>
              <w:jc w:val="right"/>
              <w:rPr>
                <w:color w:val="000000"/>
              </w:rPr>
            </w:pPr>
            <w:r w:rsidDel="00000000" w:rsidR="00000000" w:rsidRPr="00000000">
              <w:rPr>
                <w:b w:val="1"/>
                <w:color w:val="000000"/>
                <w:rtl w:val="0"/>
              </w:rPr>
              <w:t xml:space="preserve">192 / H</w:t>
            </w:r>
            <w:r w:rsidDel="00000000" w:rsidR="00000000" w:rsidRPr="00000000">
              <w:rPr>
                <w:rtl w:val="0"/>
              </w:rPr>
            </w:r>
          </w:p>
        </w:tc>
        <w:tc>
          <w:tcPr/>
          <w:p w:rsidR="00000000" w:rsidDel="00000000" w:rsidP="00000000" w:rsidRDefault="00000000" w:rsidRPr="00000000" w14:paraId="00000089">
            <w:pPr>
              <w:spacing w:line="240" w:lineRule="auto"/>
              <w:jc w:val="left"/>
              <w:rPr>
                <w:color w:val="000000"/>
              </w:rPr>
            </w:pPr>
            <w:r w:rsidDel="00000000" w:rsidR="00000000" w:rsidRPr="00000000">
              <w:rPr>
                <w:b w:val="1"/>
                <w:color w:val="000000"/>
                <w:rtl w:val="0"/>
              </w:rPr>
              <w:t xml:space="preserve">Capacity options</w:t>
            </w:r>
            <w:r w:rsidDel="00000000" w:rsidR="00000000" w:rsidRPr="00000000">
              <w:rPr>
                <w:color w:val="000000"/>
                <w:rtl w:val="0"/>
              </w:rPr>
              <w:t xml:space="preserve"> with strategic vendors; multi-country footprint</w:t>
            </w:r>
          </w:p>
        </w:tc>
        <w:tc>
          <w:tcPr/>
          <w:p w:rsidR="00000000" w:rsidDel="00000000" w:rsidP="00000000" w:rsidRDefault="00000000" w:rsidRPr="00000000" w14:paraId="0000008A">
            <w:pPr>
              <w:spacing w:line="240" w:lineRule="auto"/>
              <w:jc w:val="left"/>
              <w:rPr>
                <w:color w:val="000000"/>
              </w:rPr>
            </w:pPr>
            <w:r w:rsidDel="00000000" w:rsidR="00000000" w:rsidRPr="00000000">
              <w:rPr>
                <w:color w:val="000000"/>
                <w:rtl w:val="0"/>
              </w:rPr>
              <w:t xml:space="preserve">Operations VP + Regional Sourcing</w:t>
            </w:r>
          </w:p>
        </w:tc>
        <w:tc>
          <w:tcPr/>
          <w:p w:rsidR="00000000" w:rsidDel="00000000" w:rsidP="00000000" w:rsidRDefault="00000000" w:rsidRPr="00000000" w14:paraId="0000008B">
            <w:pPr>
              <w:spacing w:line="240" w:lineRule="auto"/>
              <w:jc w:val="left"/>
              <w:rPr>
                <w:color w:val="000000"/>
              </w:rPr>
            </w:pPr>
            <w:r w:rsidDel="00000000" w:rsidR="00000000" w:rsidRPr="00000000">
              <w:rPr>
                <w:b w:val="1"/>
                <w:color w:val="000000"/>
                <w:rtl w:val="0"/>
              </w:rPr>
              <w:t xml:space="preserve">6–12 mo</w:t>
            </w:r>
            <w:r w:rsidDel="00000000" w:rsidR="00000000" w:rsidRPr="00000000">
              <w:rPr>
                <w:color w:val="000000"/>
                <w:rtl w:val="0"/>
              </w:rPr>
              <w:t xml:space="preserve">(contracts/options)</w:t>
            </w:r>
          </w:p>
        </w:tc>
        <w:tc>
          <w:tcPr/>
          <w:p w:rsidR="00000000" w:rsidDel="00000000" w:rsidP="00000000" w:rsidRDefault="00000000" w:rsidRPr="00000000" w14:paraId="0000008C">
            <w:pPr>
              <w:spacing w:line="240" w:lineRule="auto"/>
              <w:jc w:val="right"/>
              <w:rPr>
                <w:color w:val="000000"/>
              </w:rPr>
            </w:pPr>
            <w:r w:rsidDel="00000000" w:rsidR="00000000" w:rsidRPr="00000000">
              <w:rPr>
                <w:rFonts w:ascii="Cardo" w:cs="Cardo" w:eastAsia="Cardo" w:hAnsi="Cardo"/>
                <w:color w:val="000000"/>
                <w:rtl w:val="0"/>
              </w:rPr>
              <w:t xml:space="preserve">8/3/4 → </w:t>
            </w:r>
            <w:r w:rsidDel="00000000" w:rsidR="00000000" w:rsidRPr="00000000">
              <w:rPr>
                <w:b w:val="1"/>
                <w:color w:val="000000"/>
                <w:rtl w:val="0"/>
              </w:rPr>
              <w:t xml:space="preserve">96</w:t>
            </w:r>
            <w:r w:rsidDel="00000000" w:rsidR="00000000" w:rsidRPr="00000000">
              <w:rPr>
                <w:color w:val="000000"/>
                <w:rtl w:val="0"/>
              </w:rPr>
              <w:t xml:space="preserve">. (Lou et al., 2024)</w:t>
            </w:r>
          </w:p>
        </w:tc>
      </w:tr>
      <w:tr>
        <w:trPr>
          <w:cantSplit w:val="0"/>
          <w:tblHeader w:val="0"/>
        </w:trPr>
        <w:tc>
          <w:tcPr/>
          <w:p w:rsidR="00000000" w:rsidDel="00000000" w:rsidP="00000000" w:rsidRDefault="00000000" w:rsidRPr="00000000" w14:paraId="0000008D">
            <w:pPr>
              <w:spacing w:line="240" w:lineRule="auto"/>
              <w:jc w:val="left"/>
              <w:rPr>
                <w:color w:val="000000"/>
              </w:rPr>
            </w:pPr>
            <w:r w:rsidDel="00000000" w:rsidR="00000000" w:rsidRPr="00000000">
              <w:rPr>
                <w:color w:val="000000"/>
                <w:rtl w:val="0"/>
              </w:rPr>
              <w:t xml:space="preserve">Ocean to DC</w:t>
            </w:r>
          </w:p>
        </w:tc>
        <w:tc>
          <w:tcPr/>
          <w:p w:rsidR="00000000" w:rsidDel="00000000" w:rsidP="00000000" w:rsidRDefault="00000000" w:rsidRPr="00000000" w14:paraId="0000008E">
            <w:pPr>
              <w:spacing w:line="240" w:lineRule="auto"/>
              <w:jc w:val="left"/>
              <w:rPr>
                <w:color w:val="000000"/>
              </w:rPr>
            </w:pPr>
            <w:r w:rsidDel="00000000" w:rsidR="00000000" w:rsidRPr="00000000">
              <w:rPr>
                <w:color w:val="000000"/>
                <w:rtl w:val="0"/>
              </w:rPr>
              <w:t xml:space="preserve">Port congestion / route disruption (e.g., Red Sea)</w:t>
            </w:r>
          </w:p>
        </w:tc>
        <w:tc>
          <w:tcPr/>
          <w:p w:rsidR="00000000" w:rsidDel="00000000" w:rsidP="00000000" w:rsidRDefault="00000000" w:rsidRPr="00000000" w14:paraId="0000008F">
            <w:pPr>
              <w:spacing w:line="240" w:lineRule="auto"/>
              <w:jc w:val="left"/>
              <w:rPr>
                <w:color w:val="000000"/>
              </w:rPr>
            </w:pPr>
            <w:r w:rsidDel="00000000" w:rsidR="00000000" w:rsidRPr="00000000">
              <w:rPr>
                <w:color w:val="000000"/>
                <w:rtl w:val="0"/>
              </w:rPr>
              <w:t xml:space="preserve">Cycle time spikes; premium freight</w:t>
            </w:r>
          </w:p>
        </w:tc>
        <w:tc>
          <w:tcPr/>
          <w:p w:rsidR="00000000" w:rsidDel="00000000" w:rsidP="00000000" w:rsidRDefault="00000000" w:rsidRPr="00000000" w14:paraId="00000090">
            <w:pPr>
              <w:spacing w:line="240" w:lineRule="auto"/>
              <w:jc w:val="left"/>
              <w:rPr>
                <w:color w:val="000000"/>
              </w:rPr>
            </w:pPr>
            <w:r w:rsidDel="00000000" w:rsidR="00000000" w:rsidRPr="00000000">
              <w:rPr>
                <w:color w:val="000000"/>
                <w:rtl w:val="0"/>
              </w:rPr>
              <w:t xml:space="preserve">Geopolitics; peak bottlenecks</w:t>
            </w:r>
          </w:p>
        </w:tc>
        <w:tc>
          <w:tcPr/>
          <w:p w:rsidR="00000000" w:rsidDel="00000000" w:rsidP="00000000" w:rsidRDefault="00000000" w:rsidRPr="00000000" w14:paraId="00000091">
            <w:pPr>
              <w:spacing w:line="240" w:lineRule="auto"/>
              <w:jc w:val="left"/>
              <w:rPr>
                <w:color w:val="000000"/>
              </w:rPr>
            </w:pPr>
            <w:r w:rsidDel="00000000" w:rsidR="00000000" w:rsidRPr="00000000">
              <w:rPr>
                <w:color w:val="000000"/>
                <w:rtl w:val="0"/>
              </w:rPr>
              <w:t xml:space="preserve">Carrier SLAs; priority bookings</w:t>
            </w:r>
          </w:p>
        </w:tc>
        <w:tc>
          <w:tcPr/>
          <w:p w:rsidR="00000000" w:rsidDel="00000000" w:rsidP="00000000" w:rsidRDefault="00000000" w:rsidRPr="00000000" w14:paraId="00000092">
            <w:pPr>
              <w:spacing w:line="240" w:lineRule="auto"/>
              <w:jc w:val="right"/>
              <w:rPr>
                <w:color w:val="000000"/>
              </w:rPr>
            </w:pPr>
            <w:r w:rsidDel="00000000" w:rsidR="00000000" w:rsidRPr="00000000">
              <w:rPr>
                <w:color w:val="000000"/>
                <w:rtl w:val="0"/>
              </w:rPr>
              <w:t xml:space="preserve">8</w:t>
            </w:r>
          </w:p>
        </w:tc>
        <w:tc>
          <w:tcPr/>
          <w:p w:rsidR="00000000" w:rsidDel="00000000" w:rsidP="00000000" w:rsidRDefault="00000000" w:rsidRPr="00000000" w14:paraId="00000093">
            <w:pPr>
              <w:spacing w:line="240" w:lineRule="auto"/>
              <w:jc w:val="right"/>
              <w:rPr>
                <w:color w:val="000000"/>
              </w:rPr>
            </w:pPr>
            <w:r w:rsidDel="00000000" w:rsidR="00000000" w:rsidRPr="00000000">
              <w:rPr>
                <w:color w:val="000000"/>
                <w:rtl w:val="0"/>
              </w:rPr>
              <w:t xml:space="preserve">7</w:t>
            </w:r>
          </w:p>
        </w:tc>
        <w:tc>
          <w:tcPr/>
          <w:p w:rsidR="00000000" w:rsidDel="00000000" w:rsidP="00000000" w:rsidRDefault="00000000" w:rsidRPr="00000000" w14:paraId="00000094">
            <w:pPr>
              <w:spacing w:line="240" w:lineRule="auto"/>
              <w:jc w:val="right"/>
              <w:rPr>
                <w:color w:val="000000"/>
              </w:rPr>
            </w:pPr>
            <w:r w:rsidDel="00000000" w:rsidR="00000000" w:rsidRPr="00000000">
              <w:rPr>
                <w:color w:val="000000"/>
                <w:rtl w:val="0"/>
              </w:rPr>
              <w:t xml:space="preserve">5</w:t>
            </w:r>
          </w:p>
        </w:tc>
        <w:tc>
          <w:tcPr/>
          <w:p w:rsidR="00000000" w:rsidDel="00000000" w:rsidP="00000000" w:rsidRDefault="00000000" w:rsidRPr="00000000" w14:paraId="00000095">
            <w:pPr>
              <w:spacing w:line="240" w:lineRule="auto"/>
              <w:jc w:val="right"/>
              <w:rPr>
                <w:color w:val="000000"/>
              </w:rPr>
            </w:pPr>
            <w:r w:rsidDel="00000000" w:rsidR="00000000" w:rsidRPr="00000000">
              <w:rPr>
                <w:b w:val="1"/>
                <w:color w:val="000000"/>
                <w:rtl w:val="0"/>
              </w:rPr>
              <w:t xml:space="preserve">280 / H</w:t>
            </w:r>
            <w:r w:rsidDel="00000000" w:rsidR="00000000" w:rsidRPr="00000000">
              <w:rPr>
                <w:rtl w:val="0"/>
              </w:rPr>
            </w:r>
          </w:p>
        </w:tc>
        <w:tc>
          <w:tcPr/>
          <w:p w:rsidR="00000000" w:rsidDel="00000000" w:rsidP="00000000" w:rsidRDefault="00000000" w:rsidRPr="00000000" w14:paraId="00000096">
            <w:pPr>
              <w:spacing w:line="240" w:lineRule="auto"/>
              <w:jc w:val="left"/>
              <w:rPr>
                <w:color w:val="000000"/>
              </w:rPr>
            </w:pPr>
            <w:r w:rsidDel="00000000" w:rsidR="00000000" w:rsidRPr="00000000">
              <w:rPr>
                <w:b w:val="1"/>
                <w:color w:val="000000"/>
                <w:rtl w:val="0"/>
              </w:rPr>
              <w:t xml:space="preserve">Alt-ports &amp; modal-switch playbooks</w:t>
            </w:r>
            <w:r w:rsidDel="00000000" w:rsidR="00000000" w:rsidRPr="00000000">
              <w:rPr>
                <w:color w:val="000000"/>
                <w:rtl w:val="0"/>
              </w:rPr>
              <w:t xml:space="preserve">; control-tower </w:t>
            </w:r>
            <w:r w:rsidDel="00000000" w:rsidR="00000000" w:rsidRPr="00000000">
              <w:rPr>
                <w:b w:val="1"/>
                <w:color w:val="000000"/>
                <w:rtl w:val="0"/>
              </w:rPr>
              <w:t xml:space="preserve">ETA</w:t>
            </w:r>
            <w:r w:rsidDel="00000000" w:rsidR="00000000" w:rsidRPr="00000000">
              <w:rPr>
                <w:color w:val="000000"/>
                <w:rtl w:val="0"/>
              </w:rPr>
              <w:t xml:space="preserve">visibility &amp; exception mgmt.</w:t>
            </w:r>
          </w:p>
        </w:tc>
        <w:tc>
          <w:tcPr/>
          <w:p w:rsidR="00000000" w:rsidDel="00000000" w:rsidP="00000000" w:rsidRDefault="00000000" w:rsidRPr="00000000" w14:paraId="00000097">
            <w:pPr>
              <w:spacing w:line="240" w:lineRule="auto"/>
              <w:jc w:val="left"/>
              <w:rPr>
                <w:color w:val="000000"/>
              </w:rPr>
            </w:pPr>
            <w:r w:rsidDel="00000000" w:rsidR="00000000" w:rsidRPr="00000000">
              <w:rPr>
                <w:color w:val="000000"/>
                <w:rtl w:val="0"/>
              </w:rPr>
              <w:t xml:space="preserve">Logistics Director + Control Tower Lead</w:t>
            </w:r>
          </w:p>
        </w:tc>
        <w:tc>
          <w:tcPr/>
          <w:p w:rsidR="00000000" w:rsidDel="00000000" w:rsidP="00000000" w:rsidRDefault="00000000" w:rsidRPr="00000000" w14:paraId="00000098">
            <w:pPr>
              <w:spacing w:line="240" w:lineRule="auto"/>
              <w:jc w:val="left"/>
              <w:rPr>
                <w:color w:val="000000"/>
              </w:rPr>
            </w:pPr>
            <w:r w:rsidDel="00000000" w:rsidR="00000000" w:rsidRPr="00000000">
              <w:rPr>
                <w:b w:val="1"/>
                <w:color w:val="000000"/>
                <w:rtl w:val="0"/>
              </w:rPr>
              <w:t xml:space="preserve">1–3 mo</w:t>
            </w:r>
            <w:r w:rsidDel="00000000" w:rsidR="00000000" w:rsidRPr="00000000">
              <w:rPr>
                <w:color w:val="000000"/>
                <w:rtl w:val="0"/>
              </w:rPr>
              <w:t xml:space="preserve"> (playbooks &amp; visibility)</w:t>
            </w:r>
          </w:p>
        </w:tc>
        <w:tc>
          <w:tcPr/>
          <w:p w:rsidR="00000000" w:rsidDel="00000000" w:rsidP="00000000" w:rsidRDefault="00000000" w:rsidRPr="00000000" w14:paraId="00000099">
            <w:pPr>
              <w:spacing w:line="240" w:lineRule="auto"/>
              <w:jc w:val="right"/>
              <w:rPr>
                <w:color w:val="000000"/>
              </w:rPr>
            </w:pPr>
            <w:r w:rsidDel="00000000" w:rsidR="00000000" w:rsidRPr="00000000">
              <w:rPr>
                <w:rFonts w:ascii="Cardo" w:cs="Cardo" w:eastAsia="Cardo" w:hAnsi="Cardo"/>
                <w:color w:val="000000"/>
                <w:rtl w:val="0"/>
              </w:rPr>
              <w:t xml:space="preserve">8/4/3 → </w:t>
            </w:r>
            <w:r w:rsidDel="00000000" w:rsidR="00000000" w:rsidRPr="00000000">
              <w:rPr>
                <w:b w:val="1"/>
                <w:color w:val="000000"/>
                <w:rtl w:val="0"/>
              </w:rPr>
              <w:t xml:space="preserve">96</w:t>
            </w:r>
            <w:r w:rsidDel="00000000" w:rsidR="00000000" w:rsidRPr="00000000">
              <w:rPr>
                <w:color w:val="000000"/>
                <w:rtl w:val="0"/>
              </w:rPr>
              <w:t xml:space="preserve">. (Michail &amp; Melas, 2025)</w:t>
            </w:r>
          </w:p>
        </w:tc>
      </w:tr>
      <w:tr>
        <w:trPr>
          <w:cantSplit w:val="0"/>
          <w:tblHeader w:val="0"/>
        </w:trPr>
        <w:tc>
          <w:tcPr/>
          <w:p w:rsidR="00000000" w:rsidDel="00000000" w:rsidP="00000000" w:rsidRDefault="00000000" w:rsidRPr="00000000" w14:paraId="0000009A">
            <w:pPr>
              <w:spacing w:line="240" w:lineRule="auto"/>
              <w:jc w:val="left"/>
              <w:rPr>
                <w:color w:val="000000"/>
              </w:rPr>
            </w:pPr>
            <w:r w:rsidDel="00000000" w:rsidR="00000000" w:rsidRPr="00000000">
              <w:rPr>
                <w:color w:val="000000"/>
                <w:rtl w:val="0"/>
              </w:rPr>
              <w:t xml:space="preserve">DC operations</w:t>
            </w:r>
          </w:p>
        </w:tc>
        <w:tc>
          <w:tcPr/>
          <w:p w:rsidR="00000000" w:rsidDel="00000000" w:rsidP="00000000" w:rsidRDefault="00000000" w:rsidRPr="00000000" w14:paraId="0000009B">
            <w:pPr>
              <w:spacing w:line="240" w:lineRule="auto"/>
              <w:jc w:val="left"/>
              <w:rPr>
                <w:color w:val="000000"/>
              </w:rPr>
            </w:pPr>
            <w:r w:rsidDel="00000000" w:rsidR="00000000" w:rsidRPr="00000000">
              <w:rPr>
                <w:b w:val="1"/>
                <w:color w:val="000000"/>
                <w:rtl w:val="0"/>
              </w:rPr>
              <w:t xml:space="preserve">WMS outage / ransomware</w:t>
            </w:r>
            <w:r w:rsidDel="00000000" w:rsidR="00000000" w:rsidRPr="00000000">
              <w:rPr>
                <w:rtl w:val="0"/>
              </w:rPr>
            </w:r>
          </w:p>
        </w:tc>
        <w:tc>
          <w:tcPr/>
          <w:p w:rsidR="00000000" w:rsidDel="00000000" w:rsidP="00000000" w:rsidRDefault="00000000" w:rsidRPr="00000000" w14:paraId="0000009C">
            <w:pPr>
              <w:spacing w:line="240" w:lineRule="auto"/>
              <w:jc w:val="left"/>
              <w:rPr>
                <w:color w:val="000000"/>
              </w:rPr>
            </w:pPr>
            <w:r w:rsidDel="00000000" w:rsidR="00000000" w:rsidRPr="00000000">
              <w:rPr>
                <w:color w:val="000000"/>
                <w:rtl w:val="0"/>
              </w:rPr>
              <w:t xml:space="preserve">Picking errors; shipping delays</w:t>
            </w:r>
          </w:p>
        </w:tc>
        <w:tc>
          <w:tcPr/>
          <w:p w:rsidR="00000000" w:rsidDel="00000000" w:rsidP="00000000" w:rsidRDefault="00000000" w:rsidRPr="00000000" w14:paraId="0000009D">
            <w:pPr>
              <w:spacing w:line="240" w:lineRule="auto"/>
              <w:jc w:val="left"/>
              <w:rPr>
                <w:color w:val="000000"/>
              </w:rPr>
            </w:pPr>
            <w:r w:rsidDel="00000000" w:rsidR="00000000" w:rsidRPr="00000000">
              <w:rPr>
                <w:color w:val="000000"/>
                <w:rtl w:val="0"/>
              </w:rPr>
              <w:t xml:space="preserve">SaaS outage; cyberattack</w:t>
            </w:r>
          </w:p>
        </w:tc>
        <w:tc>
          <w:tcPr/>
          <w:p w:rsidR="00000000" w:rsidDel="00000000" w:rsidP="00000000" w:rsidRDefault="00000000" w:rsidRPr="00000000" w14:paraId="0000009E">
            <w:pPr>
              <w:spacing w:line="240" w:lineRule="auto"/>
              <w:jc w:val="left"/>
              <w:rPr>
                <w:color w:val="000000"/>
              </w:rPr>
            </w:pPr>
            <w:r w:rsidDel="00000000" w:rsidR="00000000" w:rsidRPr="00000000">
              <w:rPr>
                <w:color w:val="000000"/>
                <w:rtl w:val="0"/>
              </w:rPr>
              <w:t xml:space="preserve">Backups; manual workarounds</w:t>
            </w:r>
          </w:p>
        </w:tc>
        <w:tc>
          <w:tcPr/>
          <w:p w:rsidR="00000000" w:rsidDel="00000000" w:rsidP="00000000" w:rsidRDefault="00000000" w:rsidRPr="00000000" w14:paraId="0000009F">
            <w:pPr>
              <w:spacing w:line="240" w:lineRule="auto"/>
              <w:jc w:val="right"/>
              <w:rPr>
                <w:color w:val="000000"/>
              </w:rPr>
            </w:pPr>
            <w:r w:rsidDel="00000000" w:rsidR="00000000" w:rsidRPr="00000000">
              <w:rPr>
                <w:color w:val="000000"/>
                <w:rtl w:val="0"/>
              </w:rPr>
              <w:t xml:space="preserve">7</w:t>
            </w:r>
          </w:p>
        </w:tc>
        <w:tc>
          <w:tcPr/>
          <w:p w:rsidR="00000000" w:rsidDel="00000000" w:rsidP="00000000" w:rsidRDefault="00000000" w:rsidRPr="00000000" w14:paraId="000000A0">
            <w:pPr>
              <w:spacing w:line="240" w:lineRule="auto"/>
              <w:jc w:val="right"/>
              <w:rPr>
                <w:color w:val="000000"/>
              </w:rPr>
            </w:pPr>
            <w:r w:rsidDel="00000000" w:rsidR="00000000" w:rsidRPr="00000000">
              <w:rPr>
                <w:color w:val="000000"/>
                <w:rtl w:val="0"/>
              </w:rPr>
              <w:t xml:space="preserve">5</w:t>
            </w:r>
          </w:p>
        </w:tc>
        <w:tc>
          <w:tcPr/>
          <w:p w:rsidR="00000000" w:rsidDel="00000000" w:rsidP="00000000" w:rsidRDefault="00000000" w:rsidRPr="00000000" w14:paraId="000000A1">
            <w:pPr>
              <w:spacing w:line="240" w:lineRule="auto"/>
              <w:jc w:val="right"/>
              <w:rPr>
                <w:color w:val="000000"/>
              </w:rPr>
            </w:pPr>
            <w:r w:rsidDel="00000000" w:rsidR="00000000" w:rsidRPr="00000000">
              <w:rPr>
                <w:color w:val="000000"/>
                <w:rtl w:val="0"/>
              </w:rPr>
              <w:t xml:space="preserve">7</w:t>
            </w:r>
          </w:p>
        </w:tc>
        <w:tc>
          <w:tcPr/>
          <w:p w:rsidR="00000000" w:rsidDel="00000000" w:rsidP="00000000" w:rsidRDefault="00000000" w:rsidRPr="00000000" w14:paraId="000000A2">
            <w:pPr>
              <w:spacing w:line="240" w:lineRule="auto"/>
              <w:jc w:val="right"/>
              <w:rPr>
                <w:color w:val="000000"/>
              </w:rPr>
            </w:pPr>
            <w:r w:rsidDel="00000000" w:rsidR="00000000" w:rsidRPr="00000000">
              <w:rPr>
                <w:b w:val="1"/>
                <w:color w:val="000000"/>
                <w:rtl w:val="0"/>
              </w:rPr>
              <w:t xml:space="preserve">245 / H</w:t>
            </w:r>
            <w:r w:rsidDel="00000000" w:rsidR="00000000" w:rsidRPr="00000000">
              <w:rPr>
                <w:rtl w:val="0"/>
              </w:rPr>
            </w:r>
          </w:p>
        </w:tc>
        <w:tc>
          <w:tcPr/>
          <w:p w:rsidR="00000000" w:rsidDel="00000000" w:rsidP="00000000" w:rsidRDefault="00000000" w:rsidRPr="00000000" w14:paraId="000000A3">
            <w:pPr>
              <w:spacing w:line="240" w:lineRule="auto"/>
              <w:jc w:val="left"/>
              <w:rPr>
                <w:color w:val="000000"/>
              </w:rPr>
            </w:pPr>
            <w:r w:rsidDel="00000000" w:rsidR="00000000" w:rsidRPr="00000000">
              <w:rPr>
                <w:b w:val="1"/>
                <w:color w:val="000000"/>
                <w:rtl w:val="0"/>
              </w:rPr>
              <w:t xml:space="preserve">Redundant WMS</w:t>
            </w:r>
            <w:r w:rsidDel="00000000" w:rsidR="00000000" w:rsidRPr="00000000">
              <w:rPr>
                <w:color w:val="000000"/>
                <w:rtl w:val="0"/>
              </w:rPr>
              <w:t xml:space="preserve">, DR drills; </w:t>
            </w:r>
            <w:r w:rsidDel="00000000" w:rsidR="00000000" w:rsidRPr="00000000">
              <w:rPr>
                <w:b w:val="1"/>
                <w:color w:val="000000"/>
                <w:rtl w:val="0"/>
              </w:rPr>
              <w:t xml:space="preserve">zero-trust</w:t>
            </w:r>
            <w:r w:rsidDel="00000000" w:rsidR="00000000" w:rsidRPr="00000000">
              <w:rPr>
                <w:color w:val="000000"/>
                <w:rtl w:val="0"/>
              </w:rPr>
              <w:t xml:space="preserve">hardening per ENISA</w:t>
            </w:r>
          </w:p>
        </w:tc>
        <w:tc>
          <w:tcPr/>
          <w:p w:rsidR="00000000" w:rsidDel="00000000" w:rsidP="00000000" w:rsidRDefault="00000000" w:rsidRPr="00000000" w14:paraId="000000A4">
            <w:pPr>
              <w:spacing w:line="240" w:lineRule="auto"/>
              <w:jc w:val="left"/>
              <w:rPr>
                <w:color w:val="000000"/>
              </w:rPr>
            </w:pPr>
            <w:r w:rsidDel="00000000" w:rsidR="00000000" w:rsidRPr="00000000">
              <w:rPr>
                <w:color w:val="000000"/>
                <w:rtl w:val="0"/>
              </w:rPr>
              <w:t xml:space="preserve">DC GM + CISO</w:t>
            </w:r>
          </w:p>
        </w:tc>
        <w:tc>
          <w:tcPr/>
          <w:p w:rsidR="00000000" w:rsidDel="00000000" w:rsidP="00000000" w:rsidRDefault="00000000" w:rsidRPr="00000000" w14:paraId="000000A5">
            <w:pPr>
              <w:spacing w:line="240" w:lineRule="auto"/>
              <w:jc w:val="left"/>
              <w:rPr>
                <w:color w:val="000000"/>
              </w:rPr>
            </w:pPr>
            <w:r w:rsidDel="00000000" w:rsidR="00000000" w:rsidRPr="00000000">
              <w:rPr>
                <w:b w:val="1"/>
                <w:color w:val="000000"/>
                <w:rtl w:val="0"/>
              </w:rPr>
              <w:t xml:space="preserve">3–6 mo</w:t>
            </w:r>
            <w:r w:rsidDel="00000000" w:rsidR="00000000" w:rsidRPr="00000000">
              <w:rPr>
                <w:color w:val="000000"/>
                <w:rtl w:val="0"/>
              </w:rPr>
              <w:t xml:space="preserve"> (controls &amp; drills)</w:t>
            </w:r>
          </w:p>
        </w:tc>
        <w:tc>
          <w:tcPr/>
          <w:p w:rsidR="00000000" w:rsidDel="00000000" w:rsidP="00000000" w:rsidRDefault="00000000" w:rsidRPr="00000000" w14:paraId="000000A6">
            <w:pPr>
              <w:spacing w:line="240" w:lineRule="auto"/>
              <w:jc w:val="right"/>
              <w:rPr>
                <w:color w:val="000000"/>
              </w:rPr>
            </w:pPr>
            <w:r w:rsidDel="00000000" w:rsidR="00000000" w:rsidRPr="00000000">
              <w:rPr>
                <w:rFonts w:ascii="Cardo" w:cs="Cardo" w:eastAsia="Cardo" w:hAnsi="Cardo"/>
                <w:color w:val="000000"/>
                <w:rtl w:val="0"/>
              </w:rPr>
              <w:t xml:space="preserve">7/3/4 → </w:t>
            </w:r>
            <w:r w:rsidDel="00000000" w:rsidR="00000000" w:rsidRPr="00000000">
              <w:rPr>
                <w:b w:val="1"/>
                <w:color w:val="000000"/>
                <w:rtl w:val="0"/>
              </w:rPr>
              <w:t xml:space="preserve">84</w:t>
            </w:r>
            <w:r w:rsidDel="00000000" w:rsidR="00000000" w:rsidRPr="00000000">
              <w:rPr>
                <w:color w:val="000000"/>
                <w:rtl w:val="0"/>
              </w:rPr>
              <w:t xml:space="preserve">. (ENISA, 2024; Wyatte Grantham-Philips, 2024)</w:t>
            </w:r>
          </w:p>
        </w:tc>
      </w:tr>
      <w:tr>
        <w:trPr>
          <w:cantSplit w:val="0"/>
          <w:tblHeader w:val="0"/>
        </w:trPr>
        <w:tc>
          <w:tcPr/>
          <w:p w:rsidR="00000000" w:rsidDel="00000000" w:rsidP="00000000" w:rsidRDefault="00000000" w:rsidRPr="00000000" w14:paraId="000000A7">
            <w:pPr>
              <w:spacing w:line="240" w:lineRule="auto"/>
              <w:jc w:val="left"/>
              <w:rPr>
                <w:color w:val="000000"/>
              </w:rPr>
            </w:pPr>
            <w:r w:rsidDel="00000000" w:rsidR="00000000" w:rsidRPr="00000000">
              <w:rPr>
                <w:color w:val="000000"/>
                <w:rtl w:val="0"/>
              </w:rPr>
              <w:t xml:space="preserve">Last-mile</w:t>
            </w:r>
          </w:p>
        </w:tc>
        <w:tc>
          <w:tcPr/>
          <w:p w:rsidR="00000000" w:rsidDel="00000000" w:rsidP="00000000" w:rsidRDefault="00000000" w:rsidRPr="00000000" w14:paraId="000000A8">
            <w:pPr>
              <w:spacing w:line="240" w:lineRule="auto"/>
              <w:jc w:val="left"/>
              <w:rPr>
                <w:color w:val="000000"/>
              </w:rPr>
            </w:pPr>
            <w:r w:rsidDel="00000000" w:rsidR="00000000" w:rsidRPr="00000000">
              <w:rPr>
                <w:color w:val="000000"/>
                <w:rtl w:val="0"/>
              </w:rPr>
              <w:t xml:space="preserve">Carrier failure (extreme weather)</w:t>
            </w:r>
          </w:p>
        </w:tc>
        <w:tc>
          <w:tcPr/>
          <w:p w:rsidR="00000000" w:rsidDel="00000000" w:rsidP="00000000" w:rsidRDefault="00000000" w:rsidRPr="00000000" w14:paraId="000000A9">
            <w:pPr>
              <w:spacing w:line="240" w:lineRule="auto"/>
              <w:jc w:val="left"/>
              <w:rPr>
                <w:color w:val="000000"/>
              </w:rPr>
            </w:pPr>
            <w:r w:rsidDel="00000000" w:rsidR="00000000" w:rsidRPr="00000000">
              <w:rPr>
                <w:color w:val="000000"/>
                <w:rtl w:val="0"/>
              </w:rPr>
              <w:t xml:space="preserve">Missed deliveries; cancellations</w:t>
            </w:r>
          </w:p>
        </w:tc>
        <w:tc>
          <w:tcPr/>
          <w:p w:rsidR="00000000" w:rsidDel="00000000" w:rsidP="00000000" w:rsidRDefault="00000000" w:rsidRPr="00000000" w14:paraId="000000AA">
            <w:pPr>
              <w:spacing w:line="240" w:lineRule="auto"/>
              <w:jc w:val="left"/>
              <w:rPr>
                <w:color w:val="000000"/>
              </w:rPr>
            </w:pPr>
            <w:r w:rsidDel="00000000" w:rsidR="00000000" w:rsidRPr="00000000">
              <w:rPr>
                <w:color w:val="000000"/>
                <w:rtl w:val="0"/>
              </w:rPr>
              <w:t xml:space="preserve">Storms, floods; driver shortages</w:t>
            </w:r>
          </w:p>
        </w:tc>
        <w:tc>
          <w:tcPr/>
          <w:p w:rsidR="00000000" w:rsidDel="00000000" w:rsidP="00000000" w:rsidRDefault="00000000" w:rsidRPr="00000000" w14:paraId="000000AB">
            <w:pPr>
              <w:spacing w:line="240" w:lineRule="auto"/>
              <w:jc w:val="left"/>
              <w:rPr>
                <w:color w:val="000000"/>
              </w:rPr>
            </w:pPr>
            <w:r w:rsidDel="00000000" w:rsidR="00000000" w:rsidRPr="00000000">
              <w:rPr>
                <w:color w:val="000000"/>
                <w:rtl w:val="0"/>
              </w:rPr>
              <w:t xml:space="preserve">Multi-carrier routing</w:t>
            </w:r>
          </w:p>
        </w:tc>
        <w:tc>
          <w:tcPr/>
          <w:p w:rsidR="00000000" w:rsidDel="00000000" w:rsidP="00000000" w:rsidRDefault="00000000" w:rsidRPr="00000000" w14:paraId="000000AC">
            <w:pPr>
              <w:spacing w:line="240" w:lineRule="auto"/>
              <w:jc w:val="right"/>
              <w:rPr>
                <w:color w:val="000000"/>
              </w:rPr>
            </w:pPr>
            <w:r w:rsidDel="00000000" w:rsidR="00000000" w:rsidRPr="00000000">
              <w:rPr>
                <w:color w:val="000000"/>
                <w:rtl w:val="0"/>
              </w:rPr>
              <w:t xml:space="preserve">6</w:t>
            </w:r>
          </w:p>
        </w:tc>
        <w:tc>
          <w:tcPr/>
          <w:p w:rsidR="00000000" w:rsidDel="00000000" w:rsidP="00000000" w:rsidRDefault="00000000" w:rsidRPr="00000000" w14:paraId="000000AD">
            <w:pPr>
              <w:spacing w:line="240" w:lineRule="auto"/>
              <w:jc w:val="right"/>
              <w:rPr>
                <w:color w:val="000000"/>
              </w:rPr>
            </w:pPr>
            <w:r w:rsidDel="00000000" w:rsidR="00000000" w:rsidRPr="00000000">
              <w:rPr>
                <w:color w:val="000000"/>
                <w:rtl w:val="0"/>
              </w:rPr>
              <w:t xml:space="preserve">6</w:t>
            </w:r>
          </w:p>
        </w:tc>
        <w:tc>
          <w:tcPr/>
          <w:p w:rsidR="00000000" w:rsidDel="00000000" w:rsidP="00000000" w:rsidRDefault="00000000" w:rsidRPr="00000000" w14:paraId="000000AE">
            <w:pPr>
              <w:spacing w:line="240" w:lineRule="auto"/>
              <w:jc w:val="right"/>
              <w:rPr>
                <w:color w:val="000000"/>
              </w:rPr>
            </w:pPr>
            <w:r w:rsidDel="00000000" w:rsidR="00000000" w:rsidRPr="00000000">
              <w:rPr>
                <w:color w:val="000000"/>
                <w:rtl w:val="0"/>
              </w:rPr>
              <w:t xml:space="preserve">4</w:t>
            </w:r>
          </w:p>
        </w:tc>
        <w:tc>
          <w:tcPr/>
          <w:p w:rsidR="00000000" w:rsidDel="00000000" w:rsidP="00000000" w:rsidRDefault="00000000" w:rsidRPr="00000000" w14:paraId="000000AF">
            <w:pPr>
              <w:spacing w:line="240" w:lineRule="auto"/>
              <w:jc w:val="right"/>
              <w:rPr>
                <w:color w:val="000000"/>
              </w:rPr>
            </w:pPr>
            <w:r w:rsidDel="00000000" w:rsidR="00000000" w:rsidRPr="00000000">
              <w:rPr>
                <w:b w:val="1"/>
                <w:color w:val="000000"/>
                <w:rtl w:val="0"/>
              </w:rPr>
              <w:t xml:space="preserve">144 / M</w:t>
            </w:r>
            <w:r w:rsidDel="00000000" w:rsidR="00000000" w:rsidRPr="00000000">
              <w:rPr>
                <w:rtl w:val="0"/>
              </w:rPr>
            </w:r>
          </w:p>
        </w:tc>
        <w:tc>
          <w:tcPr/>
          <w:p w:rsidR="00000000" w:rsidDel="00000000" w:rsidP="00000000" w:rsidRDefault="00000000" w:rsidRPr="00000000" w14:paraId="000000B0">
            <w:pPr>
              <w:spacing w:line="240" w:lineRule="auto"/>
              <w:jc w:val="left"/>
              <w:rPr>
                <w:color w:val="000000"/>
              </w:rPr>
            </w:pPr>
            <w:r w:rsidDel="00000000" w:rsidR="00000000" w:rsidRPr="00000000">
              <w:rPr>
                <w:color w:val="000000"/>
                <w:rtl w:val="0"/>
              </w:rPr>
              <w:t xml:space="preserve">Multi-carrier + dynamic re-routing; threshold-based upgrade to air/locker pickup</w:t>
            </w:r>
          </w:p>
        </w:tc>
        <w:tc>
          <w:tcPr/>
          <w:p w:rsidR="00000000" w:rsidDel="00000000" w:rsidP="00000000" w:rsidRDefault="00000000" w:rsidRPr="00000000" w14:paraId="000000B1">
            <w:pPr>
              <w:spacing w:line="240" w:lineRule="auto"/>
              <w:jc w:val="left"/>
              <w:rPr>
                <w:color w:val="000000"/>
              </w:rPr>
            </w:pPr>
            <w:r w:rsidDel="00000000" w:rsidR="00000000" w:rsidRPr="00000000">
              <w:rPr>
                <w:color w:val="000000"/>
                <w:rtl w:val="0"/>
              </w:rPr>
              <w:t xml:space="preserve">E-com Ops + Carrier Mgt.</w:t>
            </w:r>
          </w:p>
        </w:tc>
        <w:tc>
          <w:tcPr/>
          <w:p w:rsidR="00000000" w:rsidDel="00000000" w:rsidP="00000000" w:rsidRDefault="00000000" w:rsidRPr="00000000" w14:paraId="000000B2">
            <w:pPr>
              <w:spacing w:line="240" w:lineRule="auto"/>
              <w:jc w:val="left"/>
              <w:rPr>
                <w:color w:val="000000"/>
              </w:rPr>
            </w:pPr>
            <w:r w:rsidDel="00000000" w:rsidR="00000000" w:rsidRPr="00000000">
              <w:rPr>
                <w:b w:val="1"/>
                <w:color w:val="000000"/>
                <w:rtl w:val="0"/>
              </w:rPr>
              <w:t xml:space="preserve">1–2 mo</w:t>
            </w:r>
            <w:r w:rsidDel="00000000" w:rsidR="00000000" w:rsidRPr="00000000">
              <w:rPr>
                <w:color w:val="000000"/>
                <w:rtl w:val="0"/>
              </w:rPr>
              <w:t xml:space="preserve"> (rules &amp; APIs)</w:t>
            </w:r>
          </w:p>
        </w:tc>
        <w:tc>
          <w:tcPr/>
          <w:p w:rsidR="00000000" w:rsidDel="00000000" w:rsidP="00000000" w:rsidRDefault="00000000" w:rsidRPr="00000000" w14:paraId="000000B3">
            <w:pPr>
              <w:spacing w:line="240" w:lineRule="auto"/>
              <w:jc w:val="right"/>
              <w:rPr>
                <w:color w:val="000000"/>
              </w:rPr>
            </w:pPr>
            <w:r w:rsidDel="00000000" w:rsidR="00000000" w:rsidRPr="00000000">
              <w:rPr>
                <w:rFonts w:ascii="Cardo" w:cs="Cardo" w:eastAsia="Cardo" w:hAnsi="Cardo"/>
                <w:color w:val="000000"/>
                <w:rtl w:val="0"/>
              </w:rPr>
              <w:t xml:space="preserve">6/4/3 → </w:t>
            </w:r>
            <w:r w:rsidDel="00000000" w:rsidR="00000000" w:rsidRPr="00000000">
              <w:rPr>
                <w:b w:val="1"/>
                <w:color w:val="000000"/>
                <w:rtl w:val="0"/>
              </w:rPr>
              <w:t xml:space="preserve">72</w:t>
            </w:r>
            <w:r w:rsidDel="00000000" w:rsidR="00000000" w:rsidRPr="00000000">
              <w:rPr>
                <w:color w:val="000000"/>
                <w:rtl w:val="0"/>
              </w:rPr>
              <w:t xml:space="preserve">. (Touloumidis et al., 2025)</w:t>
            </w:r>
          </w:p>
        </w:tc>
      </w:tr>
      <w:tr>
        <w:trPr>
          <w:cantSplit w:val="0"/>
          <w:tblHeader w:val="0"/>
        </w:trPr>
        <w:tc>
          <w:tcPr/>
          <w:p w:rsidR="00000000" w:rsidDel="00000000" w:rsidP="00000000" w:rsidRDefault="00000000" w:rsidRPr="00000000" w14:paraId="000000B4">
            <w:pPr>
              <w:spacing w:line="240" w:lineRule="auto"/>
              <w:jc w:val="left"/>
              <w:rPr>
                <w:color w:val="000000"/>
              </w:rPr>
            </w:pPr>
            <w:r w:rsidDel="00000000" w:rsidR="00000000" w:rsidRPr="00000000">
              <w:rPr>
                <w:color w:val="000000"/>
                <w:rtl w:val="0"/>
              </w:rPr>
              <w:t xml:space="preserve">Retail store ops</w:t>
            </w:r>
          </w:p>
        </w:tc>
        <w:tc>
          <w:tcPr/>
          <w:p w:rsidR="00000000" w:rsidDel="00000000" w:rsidP="00000000" w:rsidRDefault="00000000" w:rsidRPr="00000000" w14:paraId="000000B5">
            <w:pPr>
              <w:spacing w:line="240" w:lineRule="auto"/>
              <w:jc w:val="left"/>
              <w:rPr>
                <w:color w:val="000000"/>
              </w:rPr>
            </w:pPr>
            <w:r w:rsidDel="00000000" w:rsidR="00000000" w:rsidRPr="00000000">
              <w:rPr>
                <w:color w:val="000000"/>
                <w:rtl w:val="0"/>
              </w:rPr>
              <w:t xml:space="preserve">Poor allocation / size mix</w:t>
            </w:r>
          </w:p>
        </w:tc>
        <w:tc>
          <w:tcPr/>
          <w:p w:rsidR="00000000" w:rsidDel="00000000" w:rsidP="00000000" w:rsidRDefault="00000000" w:rsidRPr="00000000" w14:paraId="000000B6">
            <w:pPr>
              <w:spacing w:line="240" w:lineRule="auto"/>
              <w:jc w:val="left"/>
              <w:rPr>
                <w:color w:val="000000"/>
              </w:rPr>
            </w:pPr>
            <w:r w:rsidDel="00000000" w:rsidR="00000000" w:rsidRPr="00000000">
              <w:rPr>
                <w:color w:val="000000"/>
                <w:rtl w:val="0"/>
              </w:rPr>
              <w:t xml:space="preserve">Lost sales; markdowns</w:t>
            </w:r>
          </w:p>
        </w:tc>
        <w:tc>
          <w:tcPr/>
          <w:p w:rsidR="00000000" w:rsidDel="00000000" w:rsidP="00000000" w:rsidRDefault="00000000" w:rsidRPr="00000000" w14:paraId="000000B7">
            <w:pPr>
              <w:spacing w:line="240" w:lineRule="auto"/>
              <w:jc w:val="left"/>
              <w:rPr>
                <w:color w:val="000000"/>
              </w:rPr>
            </w:pPr>
            <w:r w:rsidDel="00000000" w:rsidR="00000000" w:rsidRPr="00000000">
              <w:rPr>
                <w:color w:val="000000"/>
                <w:rtl w:val="0"/>
              </w:rPr>
              <w:t xml:space="preserve">Inaccurate size/colour curves</w:t>
            </w:r>
          </w:p>
        </w:tc>
        <w:tc>
          <w:tcPr/>
          <w:p w:rsidR="00000000" w:rsidDel="00000000" w:rsidP="00000000" w:rsidRDefault="00000000" w:rsidRPr="00000000" w14:paraId="000000B8">
            <w:pPr>
              <w:spacing w:line="240" w:lineRule="auto"/>
              <w:jc w:val="left"/>
              <w:rPr>
                <w:color w:val="000000"/>
              </w:rPr>
            </w:pPr>
            <w:r w:rsidDel="00000000" w:rsidR="00000000" w:rsidRPr="00000000">
              <w:rPr>
                <w:color w:val="000000"/>
                <w:rtl w:val="0"/>
              </w:rPr>
              <w:t xml:space="preserve">Auto-replenishment rules</w:t>
            </w:r>
          </w:p>
        </w:tc>
        <w:tc>
          <w:tcPr/>
          <w:p w:rsidR="00000000" w:rsidDel="00000000" w:rsidP="00000000" w:rsidRDefault="00000000" w:rsidRPr="00000000" w14:paraId="000000B9">
            <w:pPr>
              <w:spacing w:line="240" w:lineRule="auto"/>
              <w:jc w:val="right"/>
              <w:rPr>
                <w:color w:val="000000"/>
              </w:rPr>
            </w:pPr>
            <w:r w:rsidDel="00000000" w:rsidR="00000000" w:rsidRPr="00000000">
              <w:rPr>
                <w:color w:val="000000"/>
                <w:rtl w:val="0"/>
              </w:rPr>
              <w:t xml:space="preserve">7</w:t>
            </w:r>
          </w:p>
        </w:tc>
        <w:tc>
          <w:tcPr/>
          <w:p w:rsidR="00000000" w:rsidDel="00000000" w:rsidP="00000000" w:rsidRDefault="00000000" w:rsidRPr="00000000" w14:paraId="000000BA">
            <w:pPr>
              <w:spacing w:line="240" w:lineRule="auto"/>
              <w:jc w:val="right"/>
              <w:rPr>
                <w:color w:val="000000"/>
              </w:rPr>
            </w:pPr>
            <w:r w:rsidDel="00000000" w:rsidR="00000000" w:rsidRPr="00000000">
              <w:rPr>
                <w:color w:val="000000"/>
                <w:rtl w:val="0"/>
              </w:rPr>
              <w:t xml:space="preserve">6</w:t>
            </w:r>
          </w:p>
        </w:tc>
        <w:tc>
          <w:tcPr/>
          <w:p w:rsidR="00000000" w:rsidDel="00000000" w:rsidP="00000000" w:rsidRDefault="00000000" w:rsidRPr="00000000" w14:paraId="000000BB">
            <w:pPr>
              <w:spacing w:line="240" w:lineRule="auto"/>
              <w:jc w:val="right"/>
              <w:rPr>
                <w:color w:val="000000"/>
              </w:rPr>
            </w:pPr>
            <w:r w:rsidDel="00000000" w:rsidR="00000000" w:rsidRPr="00000000">
              <w:rPr>
                <w:color w:val="000000"/>
                <w:rtl w:val="0"/>
              </w:rPr>
              <w:t xml:space="preserve">5</w:t>
            </w:r>
          </w:p>
        </w:tc>
        <w:tc>
          <w:tcPr/>
          <w:p w:rsidR="00000000" w:rsidDel="00000000" w:rsidP="00000000" w:rsidRDefault="00000000" w:rsidRPr="00000000" w14:paraId="000000BC">
            <w:pPr>
              <w:spacing w:line="240" w:lineRule="auto"/>
              <w:jc w:val="right"/>
              <w:rPr>
                <w:color w:val="000000"/>
              </w:rPr>
            </w:pPr>
            <w:r w:rsidDel="00000000" w:rsidR="00000000" w:rsidRPr="00000000">
              <w:rPr>
                <w:b w:val="1"/>
                <w:color w:val="000000"/>
                <w:rtl w:val="0"/>
              </w:rPr>
              <w:t xml:space="preserve">210 / H</w:t>
            </w:r>
            <w:r w:rsidDel="00000000" w:rsidR="00000000" w:rsidRPr="00000000">
              <w:rPr>
                <w:rtl w:val="0"/>
              </w:rPr>
            </w:r>
          </w:p>
        </w:tc>
        <w:tc>
          <w:tcPr/>
          <w:p w:rsidR="00000000" w:rsidDel="00000000" w:rsidP="00000000" w:rsidRDefault="00000000" w:rsidRPr="00000000" w14:paraId="000000BD">
            <w:pPr>
              <w:spacing w:line="240" w:lineRule="auto"/>
              <w:jc w:val="left"/>
              <w:rPr>
                <w:color w:val="000000"/>
              </w:rPr>
            </w:pPr>
            <w:r w:rsidDel="00000000" w:rsidR="00000000" w:rsidRPr="00000000">
              <w:rPr>
                <w:b w:val="1"/>
                <w:color w:val="000000"/>
                <w:rtl w:val="0"/>
              </w:rPr>
              <w:t xml:space="preserve">Store-level demand sensing</w:t>
            </w:r>
            <w:r w:rsidDel="00000000" w:rsidR="00000000" w:rsidRPr="00000000">
              <w:rPr>
                <w:color w:val="000000"/>
                <w:rtl w:val="0"/>
              </w:rPr>
              <w:t xml:space="preserve">; size-curve by door; rapid inter-store transfers</w:t>
            </w:r>
          </w:p>
        </w:tc>
        <w:tc>
          <w:tcPr/>
          <w:p w:rsidR="00000000" w:rsidDel="00000000" w:rsidP="00000000" w:rsidRDefault="00000000" w:rsidRPr="00000000" w14:paraId="000000BE">
            <w:pPr>
              <w:spacing w:line="240" w:lineRule="auto"/>
              <w:jc w:val="left"/>
              <w:rPr>
                <w:color w:val="000000"/>
              </w:rPr>
            </w:pPr>
            <w:r w:rsidDel="00000000" w:rsidR="00000000" w:rsidRPr="00000000">
              <w:rPr>
                <w:color w:val="000000"/>
                <w:rtl w:val="0"/>
              </w:rPr>
              <w:t xml:space="preserve">Retail Planning + Data Science</w:t>
            </w:r>
          </w:p>
        </w:tc>
        <w:tc>
          <w:tcPr/>
          <w:p w:rsidR="00000000" w:rsidDel="00000000" w:rsidP="00000000" w:rsidRDefault="00000000" w:rsidRPr="00000000" w14:paraId="000000BF">
            <w:pPr>
              <w:spacing w:line="240" w:lineRule="auto"/>
              <w:jc w:val="left"/>
              <w:rPr>
                <w:color w:val="000000"/>
              </w:rPr>
            </w:pPr>
            <w:r w:rsidDel="00000000" w:rsidR="00000000" w:rsidRPr="00000000">
              <w:rPr>
                <w:b w:val="1"/>
                <w:color w:val="000000"/>
                <w:rtl w:val="0"/>
              </w:rPr>
              <w:t xml:space="preserve">1–3 mo</w:t>
            </w:r>
            <w:r w:rsidDel="00000000" w:rsidR="00000000" w:rsidRPr="00000000">
              <w:rPr>
                <w:color w:val="000000"/>
                <w:rtl w:val="0"/>
              </w:rPr>
              <w:t xml:space="preserve"> (analytics &amp; rules)</w:t>
            </w:r>
          </w:p>
        </w:tc>
        <w:tc>
          <w:tcPr/>
          <w:p w:rsidR="00000000" w:rsidDel="00000000" w:rsidP="00000000" w:rsidRDefault="00000000" w:rsidRPr="00000000" w14:paraId="000000C0">
            <w:pPr>
              <w:spacing w:line="240" w:lineRule="auto"/>
              <w:jc w:val="right"/>
              <w:rPr>
                <w:color w:val="000000"/>
              </w:rPr>
            </w:pPr>
            <w:r w:rsidDel="00000000" w:rsidR="00000000" w:rsidRPr="00000000">
              <w:rPr>
                <w:rFonts w:ascii="Cardo" w:cs="Cardo" w:eastAsia="Cardo" w:hAnsi="Cardo"/>
                <w:color w:val="000000"/>
                <w:rtl w:val="0"/>
              </w:rPr>
              <w:t xml:space="preserve">7/4/4 → </w:t>
            </w:r>
            <w:r w:rsidDel="00000000" w:rsidR="00000000" w:rsidRPr="00000000">
              <w:rPr>
                <w:b w:val="1"/>
                <w:color w:val="000000"/>
                <w:rtl w:val="0"/>
              </w:rPr>
              <w:t xml:space="preserve">112</w:t>
            </w:r>
            <w:r w:rsidDel="00000000" w:rsidR="00000000" w:rsidRPr="00000000">
              <w:rPr>
                <w:color w:val="000000"/>
                <w:rtl w:val="0"/>
              </w:rPr>
              <w:t xml:space="preserve">. (o9 Solutions, 2024)</w:t>
            </w:r>
          </w:p>
        </w:tc>
      </w:tr>
      <w:tr>
        <w:trPr>
          <w:cantSplit w:val="0"/>
          <w:tblHeader w:val="0"/>
        </w:trPr>
        <w:tc>
          <w:tcPr/>
          <w:p w:rsidR="00000000" w:rsidDel="00000000" w:rsidP="00000000" w:rsidRDefault="00000000" w:rsidRPr="00000000" w14:paraId="000000C1">
            <w:pPr>
              <w:spacing w:line="240" w:lineRule="auto"/>
              <w:jc w:val="left"/>
              <w:rPr>
                <w:color w:val="000000"/>
              </w:rPr>
            </w:pPr>
            <w:r w:rsidDel="00000000" w:rsidR="00000000" w:rsidRPr="00000000">
              <w:rPr>
                <w:color w:val="000000"/>
                <w:rtl w:val="0"/>
              </w:rPr>
              <w:t xml:space="preserve">ESG/compliance</w:t>
            </w:r>
          </w:p>
        </w:tc>
        <w:tc>
          <w:tcPr/>
          <w:p w:rsidR="00000000" w:rsidDel="00000000" w:rsidP="00000000" w:rsidRDefault="00000000" w:rsidRPr="00000000" w14:paraId="000000C2">
            <w:pPr>
              <w:spacing w:line="240" w:lineRule="auto"/>
              <w:jc w:val="left"/>
              <w:rPr>
                <w:color w:val="000000"/>
              </w:rPr>
            </w:pPr>
            <w:r w:rsidDel="00000000" w:rsidR="00000000" w:rsidRPr="00000000">
              <w:rPr>
                <w:b w:val="1"/>
                <w:color w:val="000000"/>
                <w:rtl w:val="0"/>
              </w:rPr>
              <w:t xml:space="preserve">Undeclared subcontracting</w:t>
            </w:r>
            <w:r w:rsidDel="00000000" w:rsidR="00000000" w:rsidRPr="00000000">
              <w:rPr>
                <w:rtl w:val="0"/>
              </w:rPr>
            </w:r>
          </w:p>
        </w:tc>
        <w:tc>
          <w:tcPr/>
          <w:p w:rsidR="00000000" w:rsidDel="00000000" w:rsidP="00000000" w:rsidRDefault="00000000" w:rsidRPr="00000000" w14:paraId="000000C3">
            <w:pPr>
              <w:spacing w:line="240" w:lineRule="auto"/>
              <w:jc w:val="left"/>
              <w:rPr>
                <w:color w:val="000000"/>
              </w:rPr>
            </w:pPr>
            <w:r w:rsidDel="00000000" w:rsidR="00000000" w:rsidRPr="00000000">
              <w:rPr>
                <w:color w:val="000000"/>
                <w:rtl w:val="0"/>
              </w:rPr>
              <w:t xml:space="preserve">Reputational/regulatory impact</w:t>
            </w:r>
          </w:p>
        </w:tc>
        <w:tc>
          <w:tcPr/>
          <w:p w:rsidR="00000000" w:rsidDel="00000000" w:rsidP="00000000" w:rsidRDefault="00000000" w:rsidRPr="00000000" w14:paraId="000000C4">
            <w:pPr>
              <w:spacing w:line="240" w:lineRule="auto"/>
              <w:jc w:val="left"/>
              <w:rPr>
                <w:color w:val="000000"/>
              </w:rPr>
            </w:pPr>
            <w:r w:rsidDel="00000000" w:rsidR="00000000" w:rsidRPr="00000000">
              <w:rPr>
                <w:color w:val="000000"/>
                <w:rtl w:val="0"/>
              </w:rPr>
              <w:t xml:space="preserve">Price pressure; opaque tiers</w:t>
            </w:r>
          </w:p>
        </w:tc>
        <w:tc>
          <w:tcPr/>
          <w:p w:rsidR="00000000" w:rsidDel="00000000" w:rsidP="00000000" w:rsidRDefault="00000000" w:rsidRPr="00000000" w14:paraId="000000C5">
            <w:pPr>
              <w:spacing w:line="240" w:lineRule="auto"/>
              <w:jc w:val="left"/>
              <w:rPr>
                <w:color w:val="000000"/>
              </w:rPr>
            </w:pPr>
            <w:r w:rsidDel="00000000" w:rsidR="00000000" w:rsidRPr="00000000">
              <w:rPr>
                <w:color w:val="000000"/>
                <w:rtl w:val="0"/>
              </w:rPr>
              <w:t xml:space="preserve">Periodic audits</w:t>
            </w:r>
          </w:p>
        </w:tc>
        <w:tc>
          <w:tcPr/>
          <w:p w:rsidR="00000000" w:rsidDel="00000000" w:rsidP="00000000" w:rsidRDefault="00000000" w:rsidRPr="00000000" w14:paraId="000000C6">
            <w:pPr>
              <w:spacing w:line="240" w:lineRule="auto"/>
              <w:jc w:val="right"/>
              <w:rPr>
                <w:color w:val="000000"/>
              </w:rPr>
            </w:pPr>
            <w:r w:rsidDel="00000000" w:rsidR="00000000" w:rsidRPr="00000000">
              <w:rPr>
                <w:color w:val="000000"/>
                <w:rtl w:val="0"/>
              </w:rPr>
              <w:t xml:space="preserve">9</w:t>
            </w:r>
          </w:p>
        </w:tc>
        <w:tc>
          <w:tcPr/>
          <w:p w:rsidR="00000000" w:rsidDel="00000000" w:rsidP="00000000" w:rsidRDefault="00000000" w:rsidRPr="00000000" w14:paraId="000000C7">
            <w:pPr>
              <w:spacing w:line="240" w:lineRule="auto"/>
              <w:jc w:val="right"/>
              <w:rPr>
                <w:color w:val="000000"/>
              </w:rPr>
            </w:pPr>
            <w:r w:rsidDel="00000000" w:rsidR="00000000" w:rsidRPr="00000000">
              <w:rPr>
                <w:color w:val="000000"/>
                <w:rtl w:val="0"/>
              </w:rPr>
              <w:t xml:space="preserve">4</w:t>
            </w:r>
          </w:p>
        </w:tc>
        <w:tc>
          <w:tcPr/>
          <w:p w:rsidR="00000000" w:rsidDel="00000000" w:rsidP="00000000" w:rsidRDefault="00000000" w:rsidRPr="00000000" w14:paraId="000000C8">
            <w:pPr>
              <w:spacing w:line="240" w:lineRule="auto"/>
              <w:jc w:val="right"/>
              <w:rPr>
                <w:color w:val="000000"/>
              </w:rPr>
            </w:pPr>
            <w:r w:rsidDel="00000000" w:rsidR="00000000" w:rsidRPr="00000000">
              <w:rPr>
                <w:color w:val="000000"/>
                <w:rtl w:val="0"/>
              </w:rPr>
              <w:t xml:space="preserve">7</w:t>
            </w:r>
          </w:p>
        </w:tc>
        <w:tc>
          <w:tcPr/>
          <w:p w:rsidR="00000000" w:rsidDel="00000000" w:rsidP="00000000" w:rsidRDefault="00000000" w:rsidRPr="00000000" w14:paraId="000000C9">
            <w:pPr>
              <w:spacing w:line="240" w:lineRule="auto"/>
              <w:jc w:val="right"/>
              <w:rPr>
                <w:color w:val="000000"/>
              </w:rPr>
            </w:pPr>
            <w:r w:rsidDel="00000000" w:rsidR="00000000" w:rsidRPr="00000000">
              <w:rPr>
                <w:b w:val="1"/>
                <w:color w:val="000000"/>
                <w:rtl w:val="0"/>
              </w:rPr>
              <w:t xml:space="preserve">252 / H</w:t>
            </w:r>
            <w:r w:rsidDel="00000000" w:rsidR="00000000" w:rsidRPr="00000000">
              <w:rPr>
                <w:rtl w:val="0"/>
              </w:rPr>
            </w:r>
          </w:p>
        </w:tc>
        <w:tc>
          <w:tcPr/>
          <w:p w:rsidR="00000000" w:rsidDel="00000000" w:rsidP="00000000" w:rsidRDefault="00000000" w:rsidRPr="00000000" w14:paraId="000000CA">
            <w:pPr>
              <w:spacing w:line="240" w:lineRule="auto"/>
              <w:jc w:val="left"/>
              <w:rPr>
                <w:color w:val="000000"/>
              </w:rPr>
            </w:pPr>
            <w:r w:rsidDel="00000000" w:rsidR="00000000" w:rsidRPr="00000000">
              <w:rPr>
                <w:color w:val="000000"/>
                <w:rtl w:val="0"/>
              </w:rPr>
              <w:t xml:space="preserve">Binding clauses; </w:t>
            </w:r>
            <w:r w:rsidDel="00000000" w:rsidR="00000000" w:rsidRPr="00000000">
              <w:rPr>
                <w:b w:val="1"/>
                <w:color w:val="000000"/>
                <w:rtl w:val="0"/>
              </w:rPr>
              <w:t xml:space="preserve">traceability</w:t>
            </w:r>
            <w:r w:rsidDel="00000000" w:rsidR="00000000" w:rsidRPr="00000000">
              <w:rPr>
                <w:color w:val="000000"/>
                <w:rtl w:val="0"/>
              </w:rPr>
              <w:t xml:space="preserve"> to sub-tiers; grievance channels; targeted audits</w:t>
            </w:r>
          </w:p>
        </w:tc>
        <w:tc>
          <w:tcPr/>
          <w:p w:rsidR="00000000" w:rsidDel="00000000" w:rsidP="00000000" w:rsidRDefault="00000000" w:rsidRPr="00000000" w14:paraId="000000CB">
            <w:pPr>
              <w:spacing w:line="240" w:lineRule="auto"/>
              <w:jc w:val="left"/>
              <w:rPr>
                <w:color w:val="000000"/>
              </w:rPr>
            </w:pPr>
            <w:r w:rsidDel="00000000" w:rsidR="00000000" w:rsidRPr="00000000">
              <w:rPr>
                <w:color w:val="000000"/>
                <w:rtl w:val="0"/>
              </w:rPr>
              <w:t xml:space="preserve">Compliance Director + Sourcing</w:t>
            </w:r>
          </w:p>
        </w:tc>
        <w:tc>
          <w:tcPr/>
          <w:p w:rsidR="00000000" w:rsidDel="00000000" w:rsidP="00000000" w:rsidRDefault="00000000" w:rsidRPr="00000000" w14:paraId="000000CC">
            <w:pPr>
              <w:spacing w:line="240" w:lineRule="auto"/>
              <w:jc w:val="left"/>
              <w:rPr>
                <w:color w:val="000000"/>
              </w:rPr>
            </w:pPr>
            <w:r w:rsidDel="00000000" w:rsidR="00000000" w:rsidRPr="00000000">
              <w:rPr>
                <w:b w:val="1"/>
                <w:color w:val="000000"/>
                <w:rtl w:val="0"/>
              </w:rPr>
              <w:t xml:space="preserve">3–9 mo</w:t>
            </w:r>
            <w:r w:rsidDel="00000000" w:rsidR="00000000" w:rsidRPr="00000000">
              <w:rPr>
                <w:color w:val="000000"/>
                <w:rtl w:val="0"/>
              </w:rPr>
              <w:t xml:space="preserve"> (policy + tools)</w:t>
            </w:r>
          </w:p>
        </w:tc>
        <w:tc>
          <w:tcPr/>
          <w:p w:rsidR="00000000" w:rsidDel="00000000" w:rsidP="00000000" w:rsidRDefault="00000000" w:rsidRPr="00000000" w14:paraId="000000CD">
            <w:pPr>
              <w:spacing w:line="240" w:lineRule="auto"/>
              <w:jc w:val="right"/>
              <w:rPr>
                <w:color w:val="000000"/>
              </w:rPr>
            </w:pPr>
            <w:r w:rsidDel="00000000" w:rsidR="00000000" w:rsidRPr="00000000">
              <w:rPr>
                <w:rFonts w:ascii="Cardo" w:cs="Cardo" w:eastAsia="Cardo" w:hAnsi="Cardo"/>
                <w:color w:val="000000"/>
                <w:rtl w:val="0"/>
              </w:rPr>
              <w:t xml:space="preserve">9/3/4 → </w:t>
            </w:r>
            <w:r w:rsidDel="00000000" w:rsidR="00000000" w:rsidRPr="00000000">
              <w:rPr>
                <w:b w:val="1"/>
                <w:color w:val="000000"/>
                <w:rtl w:val="0"/>
              </w:rPr>
              <w:t xml:space="preserve">108</w:t>
            </w:r>
            <w:r w:rsidDel="00000000" w:rsidR="00000000" w:rsidRPr="00000000">
              <w:rPr>
                <w:color w:val="000000"/>
                <w:rtl w:val="0"/>
              </w:rPr>
              <w:t xml:space="preserve">. (HBS Baker Library, 2021)</w:t>
            </w:r>
          </w:p>
        </w:tc>
      </w:tr>
      <w:tr>
        <w:trPr>
          <w:cantSplit w:val="0"/>
          <w:tblHeader w:val="0"/>
        </w:trPr>
        <w:tc>
          <w:tcPr/>
          <w:p w:rsidR="00000000" w:rsidDel="00000000" w:rsidP="00000000" w:rsidRDefault="00000000" w:rsidRPr="00000000" w14:paraId="000000CE">
            <w:pPr>
              <w:spacing w:line="240" w:lineRule="auto"/>
              <w:jc w:val="left"/>
              <w:rPr>
                <w:color w:val="000000"/>
              </w:rPr>
            </w:pPr>
            <w:r w:rsidDel="00000000" w:rsidR="00000000" w:rsidRPr="00000000">
              <w:rPr>
                <w:color w:val="000000"/>
                <w:rtl w:val="0"/>
              </w:rPr>
              <w:t xml:space="preserve">Financial</w:t>
            </w:r>
          </w:p>
        </w:tc>
        <w:tc>
          <w:tcPr/>
          <w:p w:rsidR="00000000" w:rsidDel="00000000" w:rsidP="00000000" w:rsidRDefault="00000000" w:rsidRPr="00000000" w14:paraId="000000CF">
            <w:pPr>
              <w:spacing w:line="240" w:lineRule="auto"/>
              <w:jc w:val="left"/>
              <w:rPr>
                <w:color w:val="000000"/>
              </w:rPr>
            </w:pPr>
            <w:r w:rsidDel="00000000" w:rsidR="00000000" w:rsidRPr="00000000">
              <w:rPr>
                <w:b w:val="1"/>
                <w:color w:val="000000"/>
                <w:rtl w:val="0"/>
              </w:rPr>
              <w:t xml:space="preserve">FX shock on COGS</w:t>
            </w:r>
            <w:r w:rsidDel="00000000" w:rsidR="00000000" w:rsidRPr="00000000">
              <w:rPr>
                <w:rtl w:val="0"/>
              </w:rPr>
            </w:r>
          </w:p>
        </w:tc>
        <w:tc>
          <w:tcPr/>
          <w:p w:rsidR="00000000" w:rsidDel="00000000" w:rsidP="00000000" w:rsidRDefault="00000000" w:rsidRPr="00000000" w14:paraId="000000D0">
            <w:pPr>
              <w:spacing w:line="240" w:lineRule="auto"/>
              <w:jc w:val="left"/>
              <w:rPr>
                <w:color w:val="000000"/>
              </w:rPr>
            </w:pPr>
            <w:r w:rsidDel="00000000" w:rsidR="00000000" w:rsidRPr="00000000">
              <w:rPr>
                <w:color w:val="000000"/>
                <w:rtl w:val="0"/>
              </w:rPr>
              <w:t xml:space="preserve">Margin erosion</w:t>
            </w:r>
          </w:p>
        </w:tc>
        <w:tc>
          <w:tcPr/>
          <w:p w:rsidR="00000000" w:rsidDel="00000000" w:rsidP="00000000" w:rsidRDefault="00000000" w:rsidRPr="00000000" w14:paraId="000000D1">
            <w:pPr>
              <w:spacing w:line="240" w:lineRule="auto"/>
              <w:jc w:val="left"/>
              <w:rPr>
                <w:color w:val="000000"/>
              </w:rPr>
            </w:pPr>
            <w:r w:rsidDel="00000000" w:rsidR="00000000" w:rsidRPr="00000000">
              <w:rPr>
                <w:color w:val="000000"/>
                <w:rtl w:val="0"/>
              </w:rPr>
              <w:t xml:space="preserve">Currency volatility</w:t>
            </w:r>
          </w:p>
        </w:tc>
        <w:tc>
          <w:tcPr/>
          <w:p w:rsidR="00000000" w:rsidDel="00000000" w:rsidP="00000000" w:rsidRDefault="00000000" w:rsidRPr="00000000" w14:paraId="000000D2">
            <w:pPr>
              <w:spacing w:line="240" w:lineRule="auto"/>
              <w:jc w:val="left"/>
              <w:rPr>
                <w:color w:val="000000"/>
              </w:rPr>
            </w:pPr>
            <w:r w:rsidDel="00000000" w:rsidR="00000000" w:rsidRPr="00000000">
              <w:rPr>
                <w:color w:val="000000"/>
                <w:rtl w:val="0"/>
              </w:rPr>
              <w:t xml:space="preserve">Policy-level hedging</w:t>
            </w:r>
          </w:p>
        </w:tc>
        <w:tc>
          <w:tcPr/>
          <w:p w:rsidR="00000000" w:rsidDel="00000000" w:rsidP="00000000" w:rsidRDefault="00000000" w:rsidRPr="00000000" w14:paraId="000000D3">
            <w:pPr>
              <w:spacing w:line="240" w:lineRule="auto"/>
              <w:jc w:val="right"/>
              <w:rPr>
                <w:color w:val="000000"/>
              </w:rPr>
            </w:pPr>
            <w:r w:rsidDel="00000000" w:rsidR="00000000" w:rsidRPr="00000000">
              <w:rPr>
                <w:color w:val="000000"/>
                <w:rtl w:val="0"/>
              </w:rPr>
              <w:t xml:space="preserve">7</w:t>
            </w:r>
          </w:p>
        </w:tc>
        <w:tc>
          <w:tcPr/>
          <w:p w:rsidR="00000000" w:rsidDel="00000000" w:rsidP="00000000" w:rsidRDefault="00000000" w:rsidRPr="00000000" w14:paraId="000000D4">
            <w:pPr>
              <w:spacing w:line="240" w:lineRule="auto"/>
              <w:jc w:val="right"/>
              <w:rPr>
                <w:color w:val="000000"/>
              </w:rPr>
            </w:pPr>
            <w:r w:rsidDel="00000000" w:rsidR="00000000" w:rsidRPr="00000000">
              <w:rPr>
                <w:color w:val="000000"/>
                <w:rtl w:val="0"/>
              </w:rPr>
              <w:t xml:space="preserve">6</w:t>
            </w:r>
          </w:p>
        </w:tc>
        <w:tc>
          <w:tcPr/>
          <w:p w:rsidR="00000000" w:rsidDel="00000000" w:rsidP="00000000" w:rsidRDefault="00000000" w:rsidRPr="00000000" w14:paraId="000000D5">
            <w:pPr>
              <w:spacing w:line="240" w:lineRule="auto"/>
              <w:jc w:val="right"/>
              <w:rPr>
                <w:color w:val="000000"/>
              </w:rPr>
            </w:pPr>
            <w:r w:rsidDel="00000000" w:rsidR="00000000" w:rsidRPr="00000000">
              <w:rPr>
                <w:color w:val="000000"/>
                <w:rtl w:val="0"/>
              </w:rPr>
              <w:t xml:space="preserve">2</w:t>
            </w:r>
          </w:p>
        </w:tc>
        <w:tc>
          <w:tcPr/>
          <w:p w:rsidR="00000000" w:rsidDel="00000000" w:rsidP="00000000" w:rsidRDefault="00000000" w:rsidRPr="00000000" w14:paraId="000000D6">
            <w:pPr>
              <w:spacing w:line="240" w:lineRule="auto"/>
              <w:jc w:val="right"/>
              <w:rPr>
                <w:color w:val="000000"/>
              </w:rPr>
            </w:pPr>
            <w:r w:rsidDel="00000000" w:rsidR="00000000" w:rsidRPr="00000000">
              <w:rPr>
                <w:b w:val="1"/>
                <w:color w:val="000000"/>
                <w:rtl w:val="0"/>
              </w:rPr>
              <w:t xml:space="preserve">84 / AP: High (S-led)</w:t>
            </w:r>
            <w:r w:rsidDel="00000000" w:rsidR="00000000" w:rsidRPr="00000000">
              <w:rPr>
                <w:rtl w:val="0"/>
              </w:rPr>
            </w:r>
          </w:p>
        </w:tc>
        <w:tc>
          <w:tcPr/>
          <w:p w:rsidR="00000000" w:rsidDel="00000000" w:rsidP="00000000" w:rsidRDefault="00000000" w:rsidRPr="00000000" w14:paraId="000000D7">
            <w:pPr>
              <w:spacing w:line="240" w:lineRule="auto"/>
              <w:jc w:val="left"/>
              <w:rPr>
                <w:color w:val="000000"/>
              </w:rPr>
            </w:pPr>
            <w:r w:rsidDel="00000000" w:rsidR="00000000" w:rsidRPr="00000000">
              <w:rPr>
                <w:color w:val="000000"/>
                <w:rtl w:val="0"/>
              </w:rPr>
              <w:t xml:space="preserve">Rolling </w:t>
            </w:r>
            <w:r w:rsidDel="00000000" w:rsidR="00000000" w:rsidRPr="00000000">
              <w:rPr>
                <w:b w:val="1"/>
                <w:color w:val="000000"/>
                <w:rtl w:val="0"/>
              </w:rPr>
              <w:t xml:space="preserve">FX hedges</w:t>
            </w:r>
            <w:r w:rsidDel="00000000" w:rsidR="00000000" w:rsidRPr="00000000">
              <w:rPr>
                <w:color w:val="000000"/>
                <w:rtl w:val="0"/>
              </w:rPr>
              <w:t xml:space="preserve">; purchase-currency alignment; risk limits</w:t>
            </w:r>
          </w:p>
        </w:tc>
        <w:tc>
          <w:tcPr/>
          <w:p w:rsidR="00000000" w:rsidDel="00000000" w:rsidP="00000000" w:rsidRDefault="00000000" w:rsidRPr="00000000" w14:paraId="000000D8">
            <w:pPr>
              <w:spacing w:line="240" w:lineRule="auto"/>
              <w:jc w:val="left"/>
              <w:rPr>
                <w:color w:val="000000"/>
              </w:rPr>
            </w:pPr>
            <w:r w:rsidDel="00000000" w:rsidR="00000000" w:rsidRPr="00000000">
              <w:rPr>
                <w:color w:val="000000"/>
                <w:rtl w:val="0"/>
              </w:rPr>
              <w:t xml:space="preserve">Treasury + CFO</w:t>
            </w:r>
          </w:p>
        </w:tc>
        <w:tc>
          <w:tcPr/>
          <w:p w:rsidR="00000000" w:rsidDel="00000000" w:rsidP="00000000" w:rsidRDefault="00000000" w:rsidRPr="00000000" w14:paraId="000000D9">
            <w:pPr>
              <w:spacing w:line="240" w:lineRule="auto"/>
              <w:jc w:val="left"/>
              <w:rPr>
                <w:color w:val="000000"/>
              </w:rPr>
            </w:pPr>
            <w:r w:rsidDel="00000000" w:rsidR="00000000" w:rsidRPr="00000000">
              <w:rPr>
                <w:b w:val="1"/>
                <w:color w:val="000000"/>
                <w:rtl w:val="0"/>
              </w:rPr>
              <w:t xml:space="preserve">1–2 mo</w:t>
            </w:r>
            <w:r w:rsidDel="00000000" w:rsidR="00000000" w:rsidRPr="00000000">
              <w:rPr>
                <w:color w:val="000000"/>
                <w:rtl w:val="0"/>
              </w:rPr>
              <w:t xml:space="preserve"> (hedge resets)</w:t>
            </w:r>
          </w:p>
        </w:tc>
        <w:tc>
          <w:tcPr/>
          <w:p w:rsidR="00000000" w:rsidDel="00000000" w:rsidP="00000000" w:rsidRDefault="00000000" w:rsidRPr="00000000" w14:paraId="000000DA">
            <w:pPr>
              <w:spacing w:line="240" w:lineRule="auto"/>
              <w:jc w:val="right"/>
              <w:rPr>
                <w:color w:val="000000"/>
              </w:rPr>
            </w:pPr>
            <w:r w:rsidDel="00000000" w:rsidR="00000000" w:rsidRPr="00000000">
              <w:rPr>
                <w:rFonts w:ascii="Cardo" w:cs="Cardo" w:eastAsia="Cardo" w:hAnsi="Cardo"/>
                <w:color w:val="000000"/>
                <w:rtl w:val="0"/>
              </w:rPr>
              <w:t xml:space="preserve">6/4/2 → </w:t>
            </w:r>
            <w:r w:rsidDel="00000000" w:rsidR="00000000" w:rsidRPr="00000000">
              <w:rPr>
                <w:b w:val="1"/>
                <w:color w:val="000000"/>
                <w:rtl w:val="0"/>
              </w:rPr>
              <w:t xml:space="preserve">48</w:t>
            </w:r>
            <w:r w:rsidDel="00000000" w:rsidR="00000000" w:rsidRPr="00000000">
              <w:rPr>
                <w:color w:val="000000"/>
                <w:rtl w:val="0"/>
              </w:rPr>
              <w:t xml:space="preserve">. (Inditex, 2025)</w:t>
            </w:r>
          </w:p>
        </w:tc>
      </w:tr>
      <w:tr>
        <w:trPr>
          <w:cantSplit w:val="0"/>
          <w:tblHeader w:val="0"/>
        </w:trPr>
        <w:tc>
          <w:tcPr/>
          <w:p w:rsidR="00000000" w:rsidDel="00000000" w:rsidP="00000000" w:rsidRDefault="00000000" w:rsidRPr="00000000" w14:paraId="000000DB">
            <w:pPr>
              <w:spacing w:line="240" w:lineRule="auto"/>
              <w:jc w:val="left"/>
              <w:rPr>
                <w:color w:val="000000"/>
              </w:rPr>
            </w:pPr>
            <w:r w:rsidDel="00000000" w:rsidR="00000000" w:rsidRPr="00000000">
              <w:rPr>
                <w:color w:val="000000"/>
                <w:rtl w:val="0"/>
              </w:rPr>
              <w:t xml:space="preserve">Reverse logistics</w:t>
            </w:r>
          </w:p>
        </w:tc>
        <w:tc>
          <w:tcPr/>
          <w:p w:rsidR="00000000" w:rsidDel="00000000" w:rsidP="00000000" w:rsidRDefault="00000000" w:rsidRPr="00000000" w14:paraId="000000DC">
            <w:pPr>
              <w:spacing w:line="240" w:lineRule="auto"/>
              <w:jc w:val="left"/>
              <w:rPr>
                <w:color w:val="000000"/>
              </w:rPr>
            </w:pPr>
            <w:r w:rsidDel="00000000" w:rsidR="00000000" w:rsidRPr="00000000">
              <w:rPr>
                <w:color w:val="000000"/>
                <w:rtl w:val="0"/>
              </w:rPr>
              <w:t xml:space="preserve">Slow returns processing / high rate</w:t>
            </w:r>
          </w:p>
        </w:tc>
        <w:tc>
          <w:tcPr/>
          <w:p w:rsidR="00000000" w:rsidDel="00000000" w:rsidP="00000000" w:rsidRDefault="00000000" w:rsidRPr="00000000" w14:paraId="000000DD">
            <w:pPr>
              <w:spacing w:line="240" w:lineRule="auto"/>
              <w:jc w:val="left"/>
              <w:rPr>
                <w:color w:val="000000"/>
              </w:rPr>
            </w:pPr>
            <w:r w:rsidDel="00000000" w:rsidR="00000000" w:rsidRPr="00000000">
              <w:rPr>
                <w:color w:val="000000"/>
                <w:rtl w:val="0"/>
              </w:rPr>
              <w:t xml:space="preserve">Cashflow loss; re-sale decay</w:t>
            </w:r>
          </w:p>
        </w:tc>
        <w:tc>
          <w:tcPr/>
          <w:p w:rsidR="00000000" w:rsidDel="00000000" w:rsidP="00000000" w:rsidRDefault="00000000" w:rsidRPr="00000000" w14:paraId="000000DE">
            <w:pPr>
              <w:spacing w:line="240" w:lineRule="auto"/>
              <w:jc w:val="left"/>
              <w:rPr>
                <w:color w:val="000000"/>
              </w:rPr>
            </w:pPr>
            <w:r w:rsidDel="00000000" w:rsidR="00000000" w:rsidRPr="00000000">
              <w:rPr>
                <w:color w:val="000000"/>
                <w:rtl w:val="0"/>
              </w:rPr>
              <w:t xml:space="preserve">Manual triage; poor fit</w:t>
            </w:r>
          </w:p>
        </w:tc>
        <w:tc>
          <w:tcPr/>
          <w:p w:rsidR="00000000" w:rsidDel="00000000" w:rsidP="00000000" w:rsidRDefault="00000000" w:rsidRPr="00000000" w14:paraId="000000DF">
            <w:pPr>
              <w:spacing w:line="240" w:lineRule="auto"/>
              <w:jc w:val="left"/>
              <w:rPr>
                <w:color w:val="000000"/>
              </w:rPr>
            </w:pPr>
            <w:r w:rsidDel="00000000" w:rsidR="00000000" w:rsidRPr="00000000">
              <w:rPr>
                <w:color w:val="000000"/>
                <w:rtl w:val="0"/>
              </w:rPr>
              <w:t xml:space="preserve">Basic sorting</w:t>
            </w:r>
          </w:p>
        </w:tc>
        <w:tc>
          <w:tcPr/>
          <w:p w:rsidR="00000000" w:rsidDel="00000000" w:rsidP="00000000" w:rsidRDefault="00000000" w:rsidRPr="00000000" w14:paraId="000000E0">
            <w:pPr>
              <w:spacing w:line="240" w:lineRule="auto"/>
              <w:jc w:val="right"/>
              <w:rPr>
                <w:color w:val="000000"/>
              </w:rPr>
            </w:pPr>
            <w:r w:rsidDel="00000000" w:rsidR="00000000" w:rsidRPr="00000000">
              <w:rPr>
                <w:color w:val="000000"/>
                <w:rtl w:val="0"/>
              </w:rPr>
              <w:t xml:space="preserve">6</w:t>
            </w:r>
          </w:p>
        </w:tc>
        <w:tc>
          <w:tcPr/>
          <w:p w:rsidR="00000000" w:rsidDel="00000000" w:rsidP="00000000" w:rsidRDefault="00000000" w:rsidRPr="00000000" w14:paraId="000000E1">
            <w:pPr>
              <w:spacing w:line="240" w:lineRule="auto"/>
              <w:jc w:val="right"/>
              <w:rPr>
                <w:color w:val="000000"/>
              </w:rPr>
            </w:pPr>
            <w:r w:rsidDel="00000000" w:rsidR="00000000" w:rsidRPr="00000000">
              <w:rPr>
                <w:color w:val="000000"/>
                <w:rtl w:val="0"/>
              </w:rPr>
              <w:t xml:space="preserve">7</w:t>
            </w:r>
          </w:p>
        </w:tc>
        <w:tc>
          <w:tcPr/>
          <w:p w:rsidR="00000000" w:rsidDel="00000000" w:rsidP="00000000" w:rsidRDefault="00000000" w:rsidRPr="00000000" w14:paraId="000000E2">
            <w:pPr>
              <w:spacing w:line="240" w:lineRule="auto"/>
              <w:jc w:val="right"/>
              <w:rPr>
                <w:color w:val="000000"/>
              </w:rPr>
            </w:pPr>
            <w:r w:rsidDel="00000000" w:rsidR="00000000" w:rsidRPr="00000000">
              <w:rPr>
                <w:color w:val="000000"/>
                <w:rtl w:val="0"/>
              </w:rPr>
              <w:t xml:space="preserve">4</w:t>
            </w:r>
          </w:p>
        </w:tc>
        <w:tc>
          <w:tcPr/>
          <w:p w:rsidR="00000000" w:rsidDel="00000000" w:rsidP="00000000" w:rsidRDefault="00000000" w:rsidRPr="00000000" w14:paraId="000000E3">
            <w:pPr>
              <w:spacing w:line="240" w:lineRule="auto"/>
              <w:jc w:val="right"/>
              <w:rPr>
                <w:color w:val="000000"/>
              </w:rPr>
            </w:pPr>
            <w:r w:rsidDel="00000000" w:rsidR="00000000" w:rsidRPr="00000000">
              <w:rPr>
                <w:b w:val="1"/>
                <w:color w:val="000000"/>
                <w:rtl w:val="0"/>
              </w:rPr>
              <w:t xml:space="preserve">168 / H</w:t>
            </w:r>
            <w:r w:rsidDel="00000000" w:rsidR="00000000" w:rsidRPr="00000000">
              <w:rPr>
                <w:rtl w:val="0"/>
              </w:rPr>
            </w:r>
          </w:p>
        </w:tc>
        <w:tc>
          <w:tcPr/>
          <w:p w:rsidR="00000000" w:rsidDel="00000000" w:rsidP="00000000" w:rsidRDefault="00000000" w:rsidRPr="00000000" w14:paraId="000000E4">
            <w:pPr>
              <w:spacing w:line="240" w:lineRule="auto"/>
              <w:jc w:val="left"/>
              <w:rPr>
                <w:color w:val="000000"/>
              </w:rPr>
            </w:pPr>
            <w:r w:rsidDel="00000000" w:rsidR="00000000" w:rsidRPr="00000000">
              <w:rPr>
                <w:color w:val="000000"/>
                <w:rtl w:val="0"/>
              </w:rPr>
              <w:t xml:space="preserve">Dedicated returns hubs; </w:t>
            </w:r>
            <w:r w:rsidDel="00000000" w:rsidR="00000000" w:rsidRPr="00000000">
              <w:rPr>
                <w:b w:val="1"/>
                <w:color w:val="000000"/>
                <w:rtl w:val="0"/>
              </w:rPr>
              <w:t xml:space="preserve">fit/sizing tech</w:t>
            </w:r>
            <w:r w:rsidDel="00000000" w:rsidR="00000000" w:rsidRPr="00000000">
              <w:rPr>
                <w:color w:val="000000"/>
                <w:rtl w:val="0"/>
              </w:rPr>
              <w:t xml:space="preserve">; fast re-stock to full price</w:t>
            </w:r>
          </w:p>
        </w:tc>
        <w:tc>
          <w:tcPr/>
          <w:p w:rsidR="00000000" w:rsidDel="00000000" w:rsidP="00000000" w:rsidRDefault="00000000" w:rsidRPr="00000000" w14:paraId="000000E5">
            <w:pPr>
              <w:spacing w:line="240" w:lineRule="auto"/>
              <w:jc w:val="left"/>
              <w:rPr>
                <w:color w:val="000000"/>
              </w:rPr>
            </w:pPr>
            <w:r w:rsidDel="00000000" w:rsidR="00000000" w:rsidRPr="00000000">
              <w:rPr>
                <w:color w:val="000000"/>
                <w:rtl w:val="0"/>
              </w:rPr>
              <w:t xml:space="preserve">Head of Returns + E-com</w:t>
            </w:r>
          </w:p>
        </w:tc>
        <w:tc>
          <w:tcPr/>
          <w:p w:rsidR="00000000" w:rsidDel="00000000" w:rsidP="00000000" w:rsidRDefault="00000000" w:rsidRPr="00000000" w14:paraId="000000E6">
            <w:pPr>
              <w:spacing w:line="240" w:lineRule="auto"/>
              <w:jc w:val="left"/>
              <w:rPr>
                <w:color w:val="000000"/>
              </w:rPr>
            </w:pPr>
            <w:r w:rsidDel="00000000" w:rsidR="00000000" w:rsidRPr="00000000">
              <w:rPr>
                <w:b w:val="1"/>
                <w:color w:val="000000"/>
                <w:rtl w:val="0"/>
              </w:rPr>
              <w:t xml:space="preserve">3–6 mo</w:t>
            </w:r>
            <w:r w:rsidDel="00000000" w:rsidR="00000000" w:rsidRPr="00000000">
              <w:rPr>
                <w:color w:val="000000"/>
                <w:rtl w:val="0"/>
              </w:rPr>
              <w:t xml:space="preserve"> (process &amp; tooling)</w:t>
            </w:r>
          </w:p>
        </w:tc>
        <w:tc>
          <w:tcPr/>
          <w:p w:rsidR="00000000" w:rsidDel="00000000" w:rsidP="00000000" w:rsidRDefault="00000000" w:rsidRPr="00000000" w14:paraId="000000E7">
            <w:pPr>
              <w:spacing w:line="240" w:lineRule="auto"/>
              <w:jc w:val="right"/>
              <w:rPr>
                <w:color w:val="000000"/>
              </w:rPr>
            </w:pPr>
            <w:r w:rsidDel="00000000" w:rsidR="00000000" w:rsidRPr="00000000">
              <w:rPr>
                <w:rFonts w:ascii="Cardo" w:cs="Cardo" w:eastAsia="Cardo" w:hAnsi="Cardo"/>
                <w:color w:val="000000"/>
                <w:rtl w:val="0"/>
              </w:rPr>
              <w:t xml:space="preserve">6/5/3 → </w:t>
            </w:r>
            <w:r w:rsidDel="00000000" w:rsidR="00000000" w:rsidRPr="00000000">
              <w:rPr>
                <w:b w:val="1"/>
                <w:color w:val="000000"/>
                <w:rtl w:val="0"/>
              </w:rPr>
              <w:t xml:space="preserve">90</w:t>
            </w:r>
            <w:r w:rsidDel="00000000" w:rsidR="00000000" w:rsidRPr="00000000">
              <w:rPr>
                <w:color w:val="000000"/>
                <w:rtl w:val="0"/>
              </w:rPr>
              <w:t xml:space="preserve">. (Marriott et al., 2025)</w:t>
            </w:r>
          </w:p>
        </w:tc>
      </w:tr>
    </w:tbl>
    <w:p w:rsidR="00000000" w:rsidDel="00000000" w:rsidP="00000000" w:rsidRDefault="00000000" w:rsidRPr="00000000" w14:paraId="000000E8">
      <w:pPr>
        <w:rPr>
          <w:b w:val="1"/>
          <w:color w:val="000000"/>
          <w:u w:val="single"/>
        </w:rPr>
      </w:pPr>
      <w:r w:rsidDel="00000000" w:rsidR="00000000" w:rsidRPr="00000000">
        <w:rPr>
          <w:b w:val="1"/>
          <w:color w:val="000000"/>
          <w:u w:val="single"/>
          <w:rtl w:val="0"/>
        </w:rPr>
        <w:t xml:space="preserve">Notes underpinning ratings</w:t>
      </w:r>
    </w:p>
    <w:p w:rsidR="00000000" w:rsidDel="00000000" w:rsidP="00000000" w:rsidRDefault="00000000" w:rsidRPr="00000000" w14:paraId="000000E9">
      <w:pPr>
        <w:rPr>
          <w:color w:val="000000"/>
        </w:rPr>
      </w:pPr>
      <w:r w:rsidDel="00000000" w:rsidR="00000000" w:rsidRPr="00000000">
        <w:rPr>
          <w:rtl w:val="0"/>
        </w:rPr>
        <w:t xml:space="preserve">•</w:t>
      </w:r>
      <w:r w:rsidDel="00000000" w:rsidR="00000000" w:rsidRPr="00000000">
        <w:rPr>
          <w:color w:val="000000"/>
          <w:rtl w:val="0"/>
        </w:rPr>
        <w:t xml:space="preserve"> </w:t>
      </w:r>
      <w:r w:rsidDel="00000000" w:rsidR="00000000" w:rsidRPr="00000000">
        <w:rPr>
          <w:b w:val="1"/>
          <w:color w:val="000000"/>
          <w:rtl w:val="0"/>
        </w:rPr>
        <w:t xml:space="preserve">Forecasting</w:t>
      </w:r>
      <w:r w:rsidDel="00000000" w:rsidR="00000000" w:rsidRPr="00000000">
        <w:rPr>
          <w:color w:val="000000"/>
          <w:rtl w:val="0"/>
        </w:rPr>
        <w:t xml:space="preserve"> </w:t>
      </w:r>
      <w:r w:rsidDel="00000000" w:rsidR="00000000" w:rsidRPr="00000000">
        <w:rPr>
          <w:rtl w:val="0"/>
        </w:rPr>
        <w:t xml:space="preserve">in fashion is structurally difficult; short life cycles amplify service and markdown impacts (high</w:t>
      </w:r>
      <w:r w:rsidDel="00000000" w:rsidR="00000000" w:rsidRPr="00000000">
        <w:rPr>
          <w:color w:val="000000"/>
          <w:rtl w:val="0"/>
        </w:rPr>
        <w:t xml:space="preserve"> </w:t>
      </w:r>
      <w:r w:rsidDel="00000000" w:rsidR="00000000" w:rsidRPr="00000000">
        <w:rPr>
          <w:b w:val="1"/>
          <w:color w:val="000000"/>
          <w:rtl w:val="0"/>
        </w:rPr>
        <w:t xml:space="preserve">S</w:t>
      </w:r>
      <w:r w:rsidDel="00000000" w:rsidR="00000000" w:rsidRPr="00000000">
        <w:rPr>
          <w:rtl w:val="0"/>
        </w:rPr>
        <w:t xml:space="preserve">, material</w:t>
      </w:r>
      <w:r w:rsidDel="00000000" w:rsidR="00000000" w:rsidRPr="00000000">
        <w:rPr>
          <w:color w:val="000000"/>
          <w:rtl w:val="0"/>
        </w:rPr>
        <w:t xml:space="preserve"> </w:t>
      </w:r>
      <w:r w:rsidDel="00000000" w:rsidR="00000000" w:rsidRPr="00000000">
        <w:rPr>
          <w:b w:val="1"/>
          <w:color w:val="000000"/>
          <w:rtl w:val="0"/>
        </w:rPr>
        <w:t xml:space="preserve">O</w:t>
      </w:r>
      <w:r w:rsidDel="00000000" w:rsidR="00000000" w:rsidRPr="00000000">
        <w:rPr>
          <w:rtl w:val="0"/>
        </w:rPr>
        <w:t xml:space="preserve">) </w:t>
      </w:r>
      <w:r w:rsidDel="00000000" w:rsidR="00000000" w:rsidRPr="00000000">
        <w:rPr>
          <w:color w:val="000000"/>
          <w:rtl w:val="0"/>
        </w:rPr>
        <w:t xml:space="preserve">(Swaminathan &amp; Venkitasubramony, 2023)</w:t>
      </w:r>
    </w:p>
    <w:p w:rsidR="00000000" w:rsidDel="00000000" w:rsidP="00000000" w:rsidRDefault="00000000" w:rsidRPr="00000000" w14:paraId="000000EA">
      <w:pPr>
        <w:rPr/>
      </w:pPr>
      <w:r w:rsidDel="00000000" w:rsidR="00000000" w:rsidRPr="00000000">
        <w:rPr>
          <w:rtl w:val="0"/>
        </w:rPr>
        <w:t xml:space="preserve">•</w:t>
      </w:r>
      <w:r w:rsidDel="00000000" w:rsidR="00000000" w:rsidRPr="00000000">
        <w:rPr>
          <w:color w:val="000000"/>
          <w:rtl w:val="0"/>
        </w:rPr>
        <w:t xml:space="preserve"> </w:t>
      </w:r>
      <w:r w:rsidDel="00000000" w:rsidR="00000000" w:rsidRPr="00000000">
        <w:rPr>
          <w:b w:val="1"/>
          <w:color w:val="000000"/>
          <w:rtl w:val="0"/>
        </w:rPr>
        <w:t xml:space="preserve">Port congestion</w:t>
      </w:r>
      <w:r w:rsidDel="00000000" w:rsidR="00000000" w:rsidRPr="00000000">
        <w:rPr>
          <w:color w:val="000000"/>
          <w:rtl w:val="0"/>
        </w:rPr>
        <w:t xml:space="preserve"> </w:t>
      </w:r>
      <w:r w:rsidDel="00000000" w:rsidR="00000000" w:rsidRPr="00000000">
        <w:rPr>
          <w:rtl w:val="0"/>
        </w:rPr>
        <w:t xml:space="preserve">has a statistically significant upward effect on container rates/lead times; 2024 Red Sea attacks triggered air-freight substitution, and a</w:t>
      </w:r>
      <w:r w:rsidDel="00000000" w:rsidR="00000000" w:rsidRPr="00000000">
        <w:rPr>
          <w:color w:val="000000"/>
          <w:rtl w:val="0"/>
        </w:rPr>
        <w:t xml:space="preserve"> </w:t>
      </w:r>
      <w:r w:rsidDel="00000000" w:rsidR="00000000" w:rsidRPr="00000000">
        <w:rPr>
          <w:b w:val="1"/>
          <w:color w:val="000000"/>
          <w:rtl w:val="0"/>
        </w:rPr>
        <w:t xml:space="preserve">10% transport-emissions rise</w:t>
      </w:r>
      <w:r w:rsidDel="00000000" w:rsidR="00000000" w:rsidRPr="00000000">
        <w:rPr>
          <w:color w:val="000000"/>
          <w:rtl w:val="0"/>
        </w:rPr>
        <w:t xml:space="preserve"> </w:t>
      </w:r>
      <w:r w:rsidDel="00000000" w:rsidR="00000000" w:rsidRPr="00000000">
        <w:rPr>
          <w:rtl w:val="0"/>
        </w:rPr>
        <w:t xml:space="preserve">at Inditex, justifying high pre-mitigation</w:t>
      </w:r>
      <w:r w:rsidDel="00000000" w:rsidR="00000000" w:rsidRPr="00000000">
        <w:rPr>
          <w:color w:val="000000"/>
          <w:rtl w:val="0"/>
        </w:rPr>
        <w:t xml:space="preserve"> </w:t>
      </w:r>
      <w:r w:rsidDel="00000000" w:rsidR="00000000" w:rsidRPr="00000000">
        <w:rPr>
          <w:b w:val="1"/>
          <w:color w:val="000000"/>
          <w:rtl w:val="0"/>
        </w:rPr>
        <w:t xml:space="preserve">S/O </w:t>
      </w:r>
      <w:r w:rsidDel="00000000" w:rsidR="00000000" w:rsidRPr="00000000">
        <w:rPr>
          <w:color w:val="000000"/>
          <w:rtl w:val="0"/>
        </w:rPr>
        <w:t xml:space="preserve">(Michail &amp; Melas, 2025; Reid, 2025)</w:t>
      </w:r>
      <w:r w:rsidDel="00000000" w:rsidR="00000000" w:rsidRPr="00000000">
        <w:rPr>
          <w:rtl w:val="0"/>
        </w:rPr>
        <w:t xml:space="preserve">. </w:t>
      </w:r>
    </w:p>
    <w:p w:rsidR="00000000" w:rsidDel="00000000" w:rsidP="00000000" w:rsidRDefault="00000000" w:rsidRPr="00000000" w14:paraId="000000EB">
      <w:pPr>
        <w:rPr>
          <w:color w:val="000000"/>
        </w:rPr>
      </w:pPr>
      <w:r w:rsidDel="00000000" w:rsidR="00000000" w:rsidRPr="00000000">
        <w:rPr>
          <w:rtl w:val="0"/>
        </w:rPr>
        <w:t xml:space="preserve">•</w:t>
      </w:r>
      <w:r w:rsidDel="00000000" w:rsidR="00000000" w:rsidRPr="00000000">
        <w:rPr>
          <w:color w:val="000000"/>
          <w:rtl w:val="0"/>
        </w:rPr>
        <w:t xml:space="preserve"> </w:t>
      </w:r>
      <w:r w:rsidDel="00000000" w:rsidR="00000000" w:rsidRPr="00000000">
        <w:rPr>
          <w:b w:val="1"/>
          <w:color w:val="000000"/>
          <w:rtl w:val="0"/>
        </w:rPr>
        <w:t xml:space="preserve">Tier-2 chemistry</w:t>
      </w:r>
      <w:r w:rsidDel="00000000" w:rsidR="00000000" w:rsidRPr="00000000">
        <w:rPr>
          <w:color w:val="000000"/>
          <w:rtl w:val="0"/>
        </w:rPr>
        <w:t xml:space="preserve"> </w:t>
      </w:r>
      <w:r w:rsidDel="00000000" w:rsidR="00000000" w:rsidRPr="00000000">
        <w:rPr>
          <w:rtl w:val="0"/>
        </w:rPr>
        <w:t xml:space="preserve">is a headline risk in apparel; adopting</w:t>
      </w:r>
      <w:r w:rsidDel="00000000" w:rsidR="00000000" w:rsidRPr="00000000">
        <w:rPr>
          <w:color w:val="000000"/>
          <w:rtl w:val="0"/>
        </w:rPr>
        <w:t xml:space="preserve"> </w:t>
      </w:r>
      <w:r w:rsidDel="00000000" w:rsidR="00000000" w:rsidRPr="00000000">
        <w:rPr>
          <w:b w:val="1"/>
          <w:color w:val="000000"/>
          <w:rtl w:val="0"/>
        </w:rPr>
        <w:t xml:space="preserve">ZDHC MRSL</w:t>
      </w:r>
      <w:r w:rsidDel="00000000" w:rsidR="00000000" w:rsidRPr="00000000">
        <w:rPr>
          <w:color w:val="000000"/>
          <w:rtl w:val="0"/>
        </w:rPr>
        <w:t xml:space="preserve"> </w:t>
      </w:r>
      <w:r w:rsidDel="00000000" w:rsidR="00000000" w:rsidRPr="00000000">
        <w:rPr>
          <w:rtl w:val="0"/>
        </w:rPr>
        <w:t xml:space="preserve">materially improves</w:t>
      </w:r>
      <w:r w:rsidDel="00000000" w:rsidR="00000000" w:rsidRPr="00000000">
        <w:rPr>
          <w:color w:val="000000"/>
          <w:rtl w:val="0"/>
        </w:rPr>
        <w:t xml:space="preserve"> </w:t>
      </w:r>
      <w:r w:rsidDel="00000000" w:rsidR="00000000" w:rsidRPr="00000000">
        <w:rPr>
          <w:b w:val="1"/>
          <w:color w:val="000000"/>
          <w:rtl w:val="0"/>
        </w:rPr>
        <w:t xml:space="preserve">Detection</w:t>
      </w:r>
      <w:r w:rsidDel="00000000" w:rsidR="00000000" w:rsidRPr="00000000">
        <w:rPr>
          <w:color w:val="000000"/>
          <w:rtl w:val="0"/>
        </w:rPr>
        <w:t xml:space="preserve"> </w:t>
      </w:r>
      <w:r w:rsidDel="00000000" w:rsidR="00000000" w:rsidRPr="00000000">
        <w:rPr>
          <w:rtl w:val="0"/>
        </w:rPr>
        <w:t xml:space="preserve">and reduces</w:t>
      </w:r>
      <w:r w:rsidDel="00000000" w:rsidR="00000000" w:rsidRPr="00000000">
        <w:rPr>
          <w:color w:val="000000"/>
          <w:rtl w:val="0"/>
        </w:rPr>
        <w:t xml:space="preserve"> </w:t>
      </w:r>
      <w:r w:rsidDel="00000000" w:rsidR="00000000" w:rsidRPr="00000000">
        <w:rPr>
          <w:b w:val="1"/>
          <w:color w:val="000000"/>
          <w:rtl w:val="0"/>
        </w:rPr>
        <w:t xml:space="preserve">Occurrence</w:t>
      </w:r>
      <w:r w:rsidDel="00000000" w:rsidR="00000000" w:rsidRPr="00000000">
        <w:rPr>
          <w:color w:val="000000"/>
          <w:rtl w:val="0"/>
        </w:rPr>
        <w:t xml:space="preserve"> </w:t>
      </w:r>
      <w:r w:rsidDel="00000000" w:rsidR="00000000" w:rsidRPr="00000000">
        <w:rPr>
          <w:rtl w:val="0"/>
        </w:rPr>
        <w:t xml:space="preserve">by controlling inputs </w:t>
      </w:r>
      <w:r w:rsidDel="00000000" w:rsidR="00000000" w:rsidRPr="00000000">
        <w:rPr>
          <w:color w:val="000000"/>
          <w:rtl w:val="0"/>
        </w:rPr>
        <w:t xml:space="preserve">(ZDHC, n.d.)</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EC">
      <w:pPr>
        <w:rPr>
          <w:color w:val="000000"/>
        </w:rPr>
      </w:pPr>
      <w:r w:rsidDel="00000000" w:rsidR="00000000" w:rsidRPr="00000000">
        <w:rPr>
          <w:rtl w:val="0"/>
        </w:rPr>
        <w:t xml:space="preserve"> •</w:t>
      </w:r>
      <w:r w:rsidDel="00000000" w:rsidR="00000000" w:rsidRPr="00000000">
        <w:rPr>
          <w:color w:val="000000"/>
          <w:rtl w:val="0"/>
        </w:rPr>
        <w:t xml:space="preserve"> </w:t>
      </w:r>
      <w:r w:rsidDel="00000000" w:rsidR="00000000" w:rsidRPr="00000000">
        <w:rPr>
          <w:b w:val="1"/>
          <w:color w:val="000000"/>
          <w:rtl w:val="0"/>
        </w:rPr>
        <w:t xml:space="preserve">Sewing quality</w:t>
      </w:r>
      <w:r w:rsidDel="00000000" w:rsidR="00000000" w:rsidRPr="00000000">
        <w:rPr>
          <w:color w:val="000000"/>
          <w:rtl w:val="0"/>
        </w:rPr>
        <w:t xml:space="preserve"> </w:t>
      </w:r>
      <w:r w:rsidDel="00000000" w:rsidR="00000000" w:rsidRPr="00000000">
        <w:rPr>
          <w:rtl w:val="0"/>
        </w:rPr>
        <w:t xml:space="preserve">improves with</w:t>
      </w:r>
      <w:r w:rsidDel="00000000" w:rsidR="00000000" w:rsidRPr="00000000">
        <w:rPr>
          <w:color w:val="000000"/>
          <w:rtl w:val="0"/>
        </w:rPr>
        <w:t xml:space="preserve"> </w:t>
      </w:r>
      <w:r w:rsidDel="00000000" w:rsidR="00000000" w:rsidRPr="00000000">
        <w:rPr>
          <w:b w:val="1"/>
          <w:color w:val="000000"/>
          <w:rtl w:val="0"/>
        </w:rPr>
        <w:t xml:space="preserve">SPC</w:t>
      </w:r>
      <w:r w:rsidDel="00000000" w:rsidR="00000000" w:rsidRPr="00000000">
        <w:rPr>
          <w:color w:val="000000"/>
          <w:rtl w:val="0"/>
        </w:rPr>
        <w:t xml:space="preserve"> </w:t>
      </w:r>
      <w:r w:rsidDel="00000000" w:rsidR="00000000" w:rsidRPr="00000000">
        <w:rPr>
          <w:rFonts w:ascii="Cardo" w:cs="Cardo" w:eastAsia="Cardo" w:hAnsi="Cardo"/>
          <w:rtl w:val="0"/>
        </w:rPr>
        <w:t xml:space="preserve">and structured QC (inline checks, control charts), supporting O↓ and D↑ assumptions </w:t>
      </w:r>
      <w:r w:rsidDel="00000000" w:rsidR="00000000" w:rsidRPr="00000000">
        <w:rPr>
          <w:color w:val="000000"/>
          <w:rtl w:val="0"/>
        </w:rPr>
        <w:t xml:space="preserve">(Živičnjak et al., 2022)</w:t>
      </w:r>
      <w:r w:rsidDel="00000000" w:rsidR="00000000" w:rsidRPr="00000000">
        <w:rPr>
          <w:rtl w:val="0"/>
        </w:rPr>
        <w:t xml:space="preserve">.</w:t>
      </w:r>
      <w:r w:rsidDel="00000000" w:rsidR="00000000" w:rsidRPr="00000000">
        <w:rPr>
          <w:color w:val="000000"/>
          <w:rtl w:val="0"/>
        </w:rPr>
        <w:t xml:space="preserve"> </w:t>
      </w:r>
    </w:p>
    <w:p w:rsidR="00000000" w:rsidDel="00000000" w:rsidP="00000000" w:rsidRDefault="00000000" w:rsidRPr="00000000" w14:paraId="000000ED">
      <w:pPr>
        <w:rPr>
          <w:color w:val="000000"/>
        </w:rPr>
      </w:pPr>
      <w:r w:rsidDel="00000000" w:rsidR="00000000" w:rsidRPr="00000000">
        <w:rPr>
          <w:rtl w:val="0"/>
        </w:rPr>
        <w:t xml:space="preserve"> •</w:t>
      </w:r>
      <w:r w:rsidDel="00000000" w:rsidR="00000000" w:rsidRPr="00000000">
        <w:rPr>
          <w:color w:val="000000"/>
          <w:rtl w:val="0"/>
        </w:rPr>
        <w:t xml:space="preserve"> </w:t>
      </w:r>
      <w:r w:rsidDel="00000000" w:rsidR="00000000" w:rsidRPr="00000000">
        <w:rPr>
          <w:b w:val="1"/>
          <w:color w:val="000000"/>
          <w:rtl w:val="0"/>
        </w:rPr>
        <w:t xml:space="preserve">Cyber/WMS outages</w:t>
      </w:r>
      <w:r w:rsidDel="00000000" w:rsidR="00000000" w:rsidRPr="00000000">
        <w:rPr>
          <w:color w:val="000000"/>
          <w:rtl w:val="0"/>
        </w:rPr>
        <w:t xml:space="preserve"> </w:t>
      </w:r>
      <w:r w:rsidDel="00000000" w:rsidR="00000000" w:rsidRPr="00000000">
        <w:rPr>
          <w:rtl w:val="0"/>
        </w:rPr>
        <w:t xml:space="preserve">remain a prime operational threat category per ENISA (</w:t>
      </w:r>
      <w:r w:rsidDel="00000000" w:rsidR="00000000" w:rsidRPr="00000000">
        <w:rPr>
          <w:color w:val="000000"/>
          <w:rtl w:val="0"/>
        </w:rPr>
        <w:t xml:space="preserve">ENISA, 2024)</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EE">
      <w:pPr>
        <w:rPr>
          <w:color w:val="000000"/>
        </w:rPr>
      </w:pPr>
      <w:r w:rsidDel="00000000" w:rsidR="00000000" w:rsidRPr="00000000">
        <w:rPr>
          <w:rtl w:val="0"/>
        </w:rPr>
        <w:t xml:space="preserve"> •</w:t>
      </w:r>
      <w:r w:rsidDel="00000000" w:rsidR="00000000" w:rsidRPr="00000000">
        <w:rPr>
          <w:color w:val="000000"/>
          <w:rtl w:val="0"/>
        </w:rPr>
        <w:t xml:space="preserve"> </w:t>
      </w:r>
      <w:r w:rsidDel="00000000" w:rsidR="00000000" w:rsidRPr="00000000">
        <w:rPr>
          <w:b w:val="1"/>
          <w:color w:val="000000"/>
          <w:rtl w:val="0"/>
        </w:rPr>
        <w:t xml:space="preserve">Returns</w:t>
      </w:r>
      <w:r w:rsidDel="00000000" w:rsidR="00000000" w:rsidRPr="00000000">
        <w:rPr>
          <w:color w:val="000000"/>
          <w:rtl w:val="0"/>
        </w:rPr>
        <w:t xml:space="preserve"> </w:t>
      </w:r>
      <w:r w:rsidDel="00000000" w:rsidR="00000000" w:rsidRPr="00000000">
        <w:rPr>
          <w:rtl w:val="0"/>
        </w:rPr>
        <w:t xml:space="preserve">in fashion e-commerce are persistently high; recent research documents scale and drivers, supporting higher</w:t>
      </w:r>
      <w:r w:rsidDel="00000000" w:rsidR="00000000" w:rsidRPr="00000000">
        <w:rPr>
          <w:color w:val="000000"/>
          <w:rtl w:val="0"/>
        </w:rPr>
        <w:t xml:space="preserve"> </w:t>
      </w:r>
      <w:r w:rsidDel="00000000" w:rsidR="00000000" w:rsidRPr="00000000">
        <w:rPr>
          <w:b w:val="1"/>
          <w:color w:val="000000"/>
          <w:rtl w:val="0"/>
        </w:rPr>
        <w:t xml:space="preserve">O</w:t>
      </w:r>
      <w:r w:rsidDel="00000000" w:rsidR="00000000" w:rsidRPr="00000000">
        <w:rPr>
          <w:rtl w:val="0"/>
        </w:rPr>
        <w:t xml:space="preserve">and ROI on dedicated returns flows </w:t>
      </w:r>
      <w:r w:rsidDel="00000000" w:rsidR="00000000" w:rsidRPr="00000000">
        <w:rPr>
          <w:color w:val="000000"/>
          <w:rtl w:val="0"/>
        </w:rPr>
        <w:t xml:space="preserve">(Marriott et al., 2025)</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EF">
      <w:pPr>
        <w:rPr/>
        <w:sectPr>
          <w:type w:val="nextPage"/>
          <w:pgSz w:h="12240" w:w="15840" w:orient="landscape"/>
          <w:pgMar w:bottom="1440" w:top="1440" w:left="1440" w:right="1440" w:header="720" w:footer="720"/>
        </w:sectPr>
      </w:pPr>
      <w:r w:rsidDel="00000000" w:rsidR="00000000" w:rsidRPr="00000000">
        <w:rPr>
          <w:rtl w:val="0"/>
        </w:rPr>
        <w:t xml:space="preserve"> •</w:t>
      </w:r>
      <w:r w:rsidDel="00000000" w:rsidR="00000000" w:rsidRPr="00000000">
        <w:rPr>
          <w:color w:val="000000"/>
          <w:rtl w:val="0"/>
        </w:rPr>
        <w:t xml:space="preserve"> </w:t>
      </w:r>
      <w:r w:rsidDel="00000000" w:rsidR="00000000" w:rsidRPr="00000000">
        <w:rPr>
          <w:b w:val="1"/>
          <w:color w:val="000000"/>
          <w:rtl w:val="0"/>
        </w:rPr>
        <w:t xml:space="preserve">Action Priority (AP)</w:t>
      </w:r>
      <w:r w:rsidDel="00000000" w:rsidR="00000000" w:rsidRPr="00000000">
        <w:rPr>
          <w:color w:val="000000"/>
          <w:rtl w:val="0"/>
        </w:rPr>
        <w:t xml:space="preserve"> </w:t>
      </w:r>
      <w:r w:rsidDel="00000000" w:rsidR="00000000" w:rsidRPr="00000000">
        <w:rPr>
          <w:rtl w:val="0"/>
        </w:rPr>
        <w:t xml:space="preserve">is used alongside RPN per AIAG-VDA guidance to emphasize Severity-driven risks (</w:t>
      </w:r>
      <w:r w:rsidDel="00000000" w:rsidR="00000000" w:rsidRPr="00000000">
        <w:rPr>
          <w:color w:val="000000"/>
          <w:rtl w:val="0"/>
        </w:rPr>
        <w:t xml:space="preserve">Aiag, 2016; Relyence, 2025)</w:t>
      </w:r>
      <w:r w:rsidDel="00000000" w:rsidR="00000000" w:rsidRPr="00000000">
        <w:rPr>
          <w:rtl w:val="0"/>
        </w:rPr>
        <w:t xml:space="preserve">.</w:t>
      </w:r>
    </w:p>
    <w:p w:rsidR="00000000" w:rsidDel="00000000" w:rsidP="00000000" w:rsidRDefault="00000000" w:rsidRPr="00000000" w14:paraId="000000F0">
      <w:pPr>
        <w:pStyle w:val="Heading2"/>
        <w:rPr/>
      </w:pPr>
      <w:r w:rsidDel="00000000" w:rsidR="00000000" w:rsidRPr="00000000">
        <w:rPr>
          <w:rtl w:val="0"/>
        </w:rPr>
        <w:t xml:space="preserve">2.3 Narrative synthesis &amp; action linkage </w:t>
      </w:r>
    </w:p>
    <w:p w:rsidR="00000000" w:rsidDel="00000000" w:rsidP="00000000" w:rsidRDefault="00000000" w:rsidRPr="00000000" w14:paraId="000000F1">
      <w:pPr>
        <w:rPr/>
      </w:pPr>
      <w:r w:rsidDel="00000000" w:rsidR="00000000" w:rsidRPr="00000000">
        <w:rPr>
          <w:b w:val="1"/>
          <w:rtl w:val="0"/>
        </w:rPr>
        <w:t xml:space="preserve">Top exposures:</w:t>
      </w:r>
      <w:r w:rsidDel="00000000" w:rsidR="00000000" w:rsidRPr="00000000">
        <w:rPr>
          <w:rtl w:val="0"/>
        </w:rPr>
        <w:t xml:space="preserve"> Before mitigation, the heaviest risks are ocean transport to DC (RPN 280), fabric shortages (270), ESG/subcontracting (252), WMS/cyber (245), and retail allocation (210)—each directly threatens in-season service and brand integrity. Empirical work shows congestion materially lifts rates and delays; Inditex’s 2024 transport-emissions rise corroborates air-freight substitution under Red Sea shock (Michail &amp; Melas, 2025; Reid, 2025). </w:t>
      </w:r>
    </w:p>
    <w:p w:rsidR="00000000" w:rsidDel="00000000" w:rsidP="00000000" w:rsidRDefault="00000000" w:rsidRPr="00000000" w14:paraId="000000F2">
      <w:pPr>
        <w:rPr/>
      </w:pPr>
      <w:r w:rsidDel="00000000" w:rsidR="00000000" w:rsidRPr="00000000">
        <w:rPr>
          <w:b w:val="1"/>
          <w:rtl w:val="0"/>
        </w:rPr>
        <w:t xml:space="preserve">Systemic cascades: </w:t>
      </w:r>
      <w:r w:rsidDel="00000000" w:rsidR="00000000" w:rsidRPr="00000000">
        <w:rPr>
          <w:rtl w:val="0"/>
        </w:rPr>
        <w:t xml:space="preserve">A fabric delay propagates into dyeing/sewing and misses the seasonal window; concurrent port congestion compresses buffers further. DC/WMS outages amplify disruption by degrading detection and execution exactly when exceptions spike. Store misallocation/size curves then magnify markdowns and returns </w:t>
      </w:r>
      <w:r w:rsidDel="00000000" w:rsidR="00000000" w:rsidRPr="00000000">
        <w:rPr>
          <w:color w:val="000000"/>
          <w:rtl w:val="0"/>
        </w:rPr>
        <w:t xml:space="preserve">(Michail &amp; Melas, 2025; o9 Solutions, 2024)</w:t>
      </w:r>
      <w:r w:rsidDel="00000000" w:rsidR="00000000" w:rsidRPr="00000000">
        <w:rPr>
          <w:rtl w:val="0"/>
        </w:rPr>
        <w:t xml:space="preserve">. </w:t>
      </w:r>
    </w:p>
    <w:p w:rsidR="00000000" w:rsidDel="00000000" w:rsidP="00000000" w:rsidRDefault="00000000" w:rsidRPr="00000000" w14:paraId="000000F3">
      <w:pPr>
        <w:rPr>
          <w:b w:val="1"/>
        </w:rPr>
      </w:pPr>
      <w:r w:rsidDel="00000000" w:rsidR="00000000" w:rsidRPr="00000000">
        <w:rPr>
          <w:b w:val="1"/>
          <w:rtl w:val="0"/>
        </w:rPr>
        <w:t xml:space="preserve">Quick wins vs. structural bets:</w:t>
      </w:r>
    </w:p>
    <w:p w:rsidR="00000000" w:rsidDel="00000000" w:rsidP="00000000" w:rsidRDefault="00000000" w:rsidRPr="00000000" w14:paraId="000000F4">
      <w:pPr>
        <w:rPr/>
      </w:pPr>
      <w:r w:rsidDel="00000000" w:rsidR="00000000" w:rsidRPr="00000000">
        <w:rPr>
          <w:b w:val="1"/>
          <w:rtl w:val="0"/>
        </w:rPr>
        <w:t xml:space="preserve">Quick wins (weeks–months): </w:t>
      </w:r>
      <w:r w:rsidDel="00000000" w:rsidR="00000000" w:rsidRPr="00000000">
        <w:rPr>
          <w:rtl w:val="0"/>
        </w:rPr>
        <w:t xml:space="preserve">Control-tower ETA &amp; exception workflows (D↑, O↓); multi-carrier last-mile contingency; in-line QC/SPC; dedicated returns hubs and fit-tech (Touloumidis et al., 2025; Živičnjak et al., 2022). </w:t>
      </w:r>
    </w:p>
    <w:p w:rsidR="00000000" w:rsidDel="00000000" w:rsidP="00000000" w:rsidRDefault="00000000" w:rsidRPr="00000000" w14:paraId="000000F5">
      <w:pPr>
        <w:rPr/>
      </w:pPr>
      <w:r w:rsidDel="00000000" w:rsidR="00000000" w:rsidRPr="00000000">
        <w:rPr>
          <w:b w:val="1"/>
          <w:rtl w:val="0"/>
        </w:rPr>
        <w:t xml:space="preserve">Structural bets (months–year):</w:t>
      </w:r>
      <w:r w:rsidDel="00000000" w:rsidR="00000000" w:rsidRPr="00000000">
        <w:rPr>
          <w:rFonts w:ascii="Cardo" w:cs="Cardo" w:eastAsia="Cardo" w:hAnsi="Cardo"/>
          <w:rtl w:val="0"/>
        </w:rPr>
        <w:t xml:space="preserve"> Dual-sourcing/regionalization of key fabrics (O↓), with governance (evidence shows dual-sourcing is not universally superior); postponement (greige buffers) to shift the decoupling point and reduce effective S; tier-2 MRSL + traceability (O↓, D↑); capacity options at vendors; FX hedges to cap S (Inditex, 2025; Jafari &amp; Paulraj, 2021; Niu et al., 2024). </w:t>
      </w:r>
    </w:p>
    <w:p w:rsidR="00000000" w:rsidDel="00000000" w:rsidP="00000000" w:rsidRDefault="00000000" w:rsidRPr="00000000" w14:paraId="000000F6">
      <w:pPr>
        <w:rPr>
          <w:b w:val="1"/>
        </w:rPr>
      </w:pPr>
      <w:r w:rsidDel="00000000" w:rsidR="00000000" w:rsidRPr="00000000">
        <w:rPr>
          <w:b w:val="1"/>
          <w:rtl w:val="0"/>
        </w:rPr>
        <w:t xml:space="preserve">Method notes (limitations)</w:t>
      </w:r>
    </w:p>
    <w:p w:rsidR="00000000" w:rsidDel="00000000" w:rsidP="00000000" w:rsidRDefault="00000000" w:rsidRPr="00000000" w14:paraId="000000F7">
      <w:pPr>
        <w:rPr/>
      </w:pPr>
      <w:r w:rsidDel="00000000" w:rsidR="00000000" w:rsidRPr="00000000">
        <w:rPr>
          <w:rtl w:val="0"/>
        </w:rPr>
        <w:t xml:space="preserve">FMEA relies on ordinal scoring and assumes relative independence of failure modes; it is excellent for prioritization but does not fully capture dynamic interactions or tail-risk propagation. For critical lanes/SKUs, complement with scenario simulation or network stress-tests to validate priorities and size buffers.</w:t>
      </w:r>
    </w:p>
    <w:p w:rsidR="00000000" w:rsidDel="00000000" w:rsidP="00000000" w:rsidRDefault="00000000" w:rsidRPr="00000000" w14:paraId="000000F8">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F9">
      <w:pPr>
        <w:pStyle w:val="Heading1"/>
        <w:rPr/>
      </w:pPr>
      <w:bookmarkStart w:colFirst="0" w:colLast="0" w:name="_3pswmqqovwi1" w:id="4"/>
      <w:bookmarkEnd w:id="4"/>
      <w:r w:rsidDel="00000000" w:rsidR="00000000" w:rsidRPr="00000000">
        <w:rPr>
          <w:rtl w:val="0"/>
        </w:rPr>
        <w:t xml:space="preserve">3. Steps to Make the Supply Chain More Resilient</w:t>
      </w:r>
    </w:p>
    <w:p w:rsidR="00000000" w:rsidDel="00000000" w:rsidP="00000000" w:rsidRDefault="00000000" w:rsidRPr="00000000" w14:paraId="000000FA">
      <w:pPr>
        <w:rPr>
          <w:b w:val="1"/>
        </w:rPr>
      </w:pPr>
      <w:r w:rsidDel="00000000" w:rsidR="00000000" w:rsidRPr="00000000">
        <w:rPr>
          <w:b w:val="1"/>
          <w:rtl w:val="0"/>
        </w:rPr>
        <w:t xml:space="preserve">1. Strategic Implementation of a Dual-Sourcing Policy for Critical Fabrics</w:t>
      </w:r>
    </w:p>
    <w:p w:rsidR="00000000" w:rsidDel="00000000" w:rsidP="00000000" w:rsidRDefault="00000000" w:rsidRPr="00000000" w14:paraId="000000FB">
      <w:pPr>
        <w:rPr/>
      </w:pPr>
      <w:r w:rsidDel="00000000" w:rsidR="00000000" w:rsidRPr="00000000">
        <w:rPr>
          <w:rtl w:val="0"/>
        </w:rPr>
        <w:t xml:space="preserve">The FMEA identified single-source dependency for key fabrics as a high-impact vulnerability (RPN 270). To mitigate this, a dual-sourcing strategy for the top 20% of critical materials will be implemented (Tomlin, 2006). </w:t>
      </w:r>
      <w:r w:rsidDel="00000000" w:rsidR="00000000" w:rsidRPr="00000000">
        <w:rPr>
          <w:color w:val="111827"/>
          <w:highlight w:val="white"/>
          <w:rtl w:val="0"/>
        </w:rPr>
        <w:t xml:space="preserve">This approach provides enhanced resilience by means of redundant provision. The rollout will occur over the course of 12 months and will be led by the Procurement Manager; Phase 1 (months 1-3): Identify and qualify new suppliers in different geographic locations; Phase 2 (months 4-8): Onboard and conduct test purchases; Phase 3 (months 9-12): Integrate the new suppliers with an initial 70/30 mix. An early assessment suggests that there may be a 5-7% increase in the cost per unit in purchasing costs, but that should be offset by large reductions in losses resulting from delayed or stock-out productions. Regional Sourcing Heads are accountable for integrating new suppliers successfully.</w:t>
      </w:r>
      <w:r w:rsidDel="00000000" w:rsidR="00000000" w:rsidRPr="00000000">
        <w:rPr>
          <w:rtl w:val="0"/>
        </w:rPr>
      </w:r>
    </w:p>
    <w:p w:rsidR="00000000" w:rsidDel="00000000" w:rsidP="00000000" w:rsidRDefault="00000000" w:rsidRPr="00000000" w14:paraId="000000FC">
      <w:pPr>
        <w:rPr>
          <w:b w:val="1"/>
        </w:rPr>
      </w:pPr>
      <w:r w:rsidDel="00000000" w:rsidR="00000000" w:rsidRPr="00000000">
        <w:rPr>
          <w:b w:val="1"/>
          <w:rtl w:val="0"/>
        </w:rPr>
        <w:t xml:space="preserve">2. Enhancing Demand Forecasting Accuracy with Machine Learning (ML)</w:t>
      </w:r>
    </w:p>
    <w:p w:rsidR="00000000" w:rsidDel="00000000" w:rsidP="00000000" w:rsidRDefault="00000000" w:rsidRPr="00000000" w14:paraId="000000FD">
      <w:pPr>
        <w:rPr/>
      </w:pPr>
      <w:r w:rsidDel="00000000" w:rsidR="00000000" w:rsidRPr="00000000">
        <w:rPr>
          <w:rtl w:val="0"/>
        </w:rPr>
        <w:t xml:space="preserve">Inaccurate demand forecasting (RPN 240) is a primary driver of financial loss in fast fashion. Adopting an ML-driven demand sensing model will improve agility by providing more accurate market signals. </w:t>
      </w:r>
      <w:r w:rsidDel="00000000" w:rsidR="00000000" w:rsidRPr="00000000">
        <w:rPr>
          <w:rtl w:val="0"/>
        </w:rPr>
        <w:t xml:space="preserve">The project will involve a cross-functional team that will manage the project over the next six months. In order to ensure successful implementation of the demand-sensing technology, a comprehensive training program will be developed and implemented for the merchandise and planning staff regarding how to interpret the insights generated from the ML, as well as managing exceptions to address the possibility of employee resistance to adopting new technology. An important contingency in implementing the demand-sensing technology will be data privacy. All customer data inputted into the demand-sensing system will be anonymized, and the company will comply with both GDPR and other regulatory requirements for handling customer data in different regions of the world in order to minimize the potential for financial and reputational damage due to non-compliance. The goal is to improve forecast accuracy by 15-20% within the first year.</w:t>
      </w:r>
    </w:p>
    <w:p w:rsidR="00000000" w:rsidDel="00000000" w:rsidP="00000000" w:rsidRDefault="00000000" w:rsidRPr="00000000" w14:paraId="000000FE">
      <w:pPr>
        <w:spacing w:line="360" w:lineRule="auto"/>
        <w:rPr>
          <w:b w:val="1"/>
        </w:rPr>
      </w:pPr>
      <w:r w:rsidDel="00000000" w:rsidR="00000000" w:rsidRPr="00000000">
        <w:rPr>
          <w:b w:val="1"/>
          <w:rtl w:val="0"/>
        </w:rPr>
        <w:t xml:space="preserve">3. Postponement Strategy through Greige Goods Procurement</w:t>
      </w:r>
    </w:p>
    <w:p w:rsidR="00000000" w:rsidDel="00000000" w:rsidP="00000000" w:rsidRDefault="00000000" w:rsidRPr="00000000" w14:paraId="000000FF">
      <w:pPr>
        <w:rPr/>
      </w:pPr>
      <w:r w:rsidDel="00000000" w:rsidR="00000000" w:rsidRPr="00000000">
        <w:rPr>
          <w:rtl w:val="0"/>
        </w:rPr>
        <w:t xml:space="preserve">A postponement strategy, involving holding undyed "greige goods," directly mitigates risks of demand misalignment (van Hoek, 2001). </w:t>
      </w:r>
      <w:r w:rsidDel="00000000" w:rsidR="00000000" w:rsidRPr="00000000">
        <w:rPr>
          <w:color w:val="111827"/>
          <w:highlight w:val="white"/>
          <w:rtl w:val="0"/>
        </w:rPr>
        <w:t xml:space="preserve">This approach will require a nearshore dyeing facility with sufficient capacity to meet at least 120% of peak seasonal demand for the company's core product lines. Key components of the risk mitigation plan for the postponement strategy include maintaining a buffer stock of greige goods equal to three weeks of expected customer demand and having the ability to access secondary finishing capacity at a partner dyeing facility. The postponement strategy is consistent with the company's ESG goals. Success in implementing the postponement strategy will be measured not only by achieving a 25-30% reduction in lead time for delivering finished goods to customers, but also by reducing water and chemical usage associated with dyeing the company's products by at least 15% through the adoption of modern, water-efficient dyeing technologies at the partner facility.</w:t>
      </w:r>
      <w:r w:rsidDel="00000000" w:rsidR="00000000" w:rsidRPr="00000000">
        <w:rPr>
          <w:rtl w:val="0"/>
        </w:rPr>
      </w:r>
    </w:p>
    <w:p w:rsidR="00000000" w:rsidDel="00000000" w:rsidP="00000000" w:rsidRDefault="00000000" w:rsidRPr="00000000" w14:paraId="00000100">
      <w:pPr>
        <w:rPr>
          <w:b w:val="1"/>
        </w:rPr>
      </w:pPr>
      <w:r w:rsidDel="00000000" w:rsidR="00000000" w:rsidRPr="00000000">
        <w:rPr>
          <w:b w:val="1"/>
          <w:rtl w:val="0"/>
        </w:rPr>
        <w:t xml:space="preserve">4. Increasing Logistical Flexibility via a Control Tower and Multi-Modal Options</w:t>
      </w:r>
    </w:p>
    <w:p w:rsidR="00000000" w:rsidDel="00000000" w:rsidP="00000000" w:rsidRDefault="00000000" w:rsidRPr="00000000" w14:paraId="00000101">
      <w:pPr>
        <w:rPr/>
      </w:pPr>
      <w:r w:rsidDel="00000000" w:rsidR="00000000" w:rsidRPr="00000000">
        <w:rPr>
          <w:rtl w:val="0"/>
        </w:rPr>
        <w:t xml:space="preserve">The FMEA identified logistical disruptions as one of the top tier risks (RPN 280). A logistics control tower will be deployed to monitor supply chain activity from end-to-end (Chaffin et al., 2024). The cost to subscribe to and implement the visibility platform will be approximately €500,000 per year. Mandatory training will be provided for all personnel involved in logistics to ensure that all are proficient at utilizing the analytical and exception management features of the visibility platform. Quarterly scenario analysis will be performed to test the robustness of the proposed solution by simulating extreme disruptions such as a two-week shutdown of all ports, and measuring how effective the control tower is in quickly switching to air and rail freight.</w:t>
      </w:r>
      <w:r w:rsidDel="00000000" w:rsidR="00000000" w:rsidRPr="00000000">
        <w:rPr>
          <w:rtl w:val="0"/>
        </w:rPr>
      </w:r>
    </w:p>
    <w:p w:rsidR="00000000" w:rsidDel="00000000" w:rsidP="00000000" w:rsidRDefault="00000000" w:rsidRPr="00000000" w14:paraId="00000102">
      <w:pPr>
        <w:rPr>
          <w:b w:val="1"/>
        </w:rPr>
      </w:pPr>
      <w:r w:rsidDel="00000000" w:rsidR="00000000" w:rsidRPr="00000000">
        <w:rPr>
          <w:b w:val="1"/>
          <w:rtl w:val="0"/>
        </w:rPr>
        <w:t xml:space="preserve">5. Implementing a Tier-2 Traceability and Compliance Program</w:t>
      </w:r>
    </w:p>
    <w:p w:rsidR="00000000" w:rsidDel="00000000" w:rsidP="00000000" w:rsidRDefault="00000000" w:rsidRPr="00000000" w14:paraId="00000103">
      <w:pPr>
        <w:rPr/>
      </w:pPr>
      <w:r w:rsidDel="00000000" w:rsidR="00000000" w:rsidRPr="00000000">
        <w:rPr>
          <w:rtl w:val="0"/>
        </w:rPr>
        <w:t xml:space="preserve">ESG and compliance risks (RPN 252, 240) require extending transparency beyond Tier-1 suppliers. A digital traceability program for Tier-2 suppliers will be implemented over 9 months (Buzzo &amp; Abreu, 2019). The time frame for this includes 60 days to train suppliers on the use of the new digital tools, which will be offered through multi-language webinars and in-person workshops. A clear method for addressing non-compliance will be developed: Suppliers who do not achieve transparency standards will be required to participate in a corrective action plan for ninety-days before a phased exit strategy is initiated if the supplier does not comply with requirements in six-months. Additionally, to serve as a secondary measurement of success, bi-annually, consumer surveys will be conducted to measure improvement in consumer trust toward the brand related to responsible sourcing practices.</w:t>
      </w:r>
    </w:p>
    <w:p w:rsidR="00000000" w:rsidDel="00000000" w:rsidP="00000000" w:rsidRDefault="00000000" w:rsidRPr="00000000" w14:paraId="00000104">
      <w:pPr>
        <w:rPr>
          <w:b w:val="1"/>
        </w:rPr>
      </w:pPr>
      <w:r w:rsidDel="00000000" w:rsidR="00000000" w:rsidRPr="00000000">
        <w:rPr>
          <w:b w:val="1"/>
          <w:rtl w:val="0"/>
        </w:rPr>
        <w:t xml:space="preserve">6. Developing a Dedicated Reverse Logistics Network for Circularity</w:t>
      </w:r>
    </w:p>
    <w:p w:rsidR="00000000" w:rsidDel="00000000" w:rsidP="00000000" w:rsidRDefault="00000000" w:rsidRPr="00000000" w14:paraId="00000105">
      <w:pPr>
        <w:rPr/>
      </w:pPr>
      <w:r w:rsidDel="00000000" w:rsidR="00000000" w:rsidRPr="00000000">
        <w:rPr>
          <w:rtl w:val="0"/>
        </w:rPr>
        <w:t xml:space="preserve">Inefficient reverse logistics (RPN 168) erodes profitability and sustainability credentials (Agrawal et al., 2015). Regional dedicated reverse logistics hub locations will be created using state-of-the-art equipment including AI-enabled optical scanning technology and robotics to enable automated sorting and grading to assure scalable and accurate processing of returns. Prior to launching the refurbished products on the e-commerce website, a pilot project will be launched on the e-commerce platform to assess consumer willingness to purchase refurbished products; and an A/B test will be performed on product presentation and price. For unsellable returns, a sustainable disposal strategy will be implemented, formalizing partnerships with textile recycling firms to ensure that less than 5% of returned items end up in landfills, transforming a linear process into a circular value stream.</w:t>
      </w:r>
      <w:r w:rsidDel="00000000" w:rsidR="00000000" w:rsidRPr="00000000">
        <w:rPr>
          <w:rtl w:val="0"/>
        </w:rPr>
      </w:r>
    </w:p>
    <w:p w:rsidR="00000000" w:rsidDel="00000000" w:rsidP="00000000" w:rsidRDefault="00000000" w:rsidRPr="00000000" w14:paraId="00000106">
      <w:pPr>
        <w:pStyle w:val="Heading1"/>
        <w:keepNext w:val="0"/>
        <w:keepLines w:val="0"/>
        <w:spacing w:before="280" w:lineRule="auto"/>
        <w:rPr/>
      </w:pPr>
      <w:bookmarkStart w:colFirst="0" w:colLast="0" w:name="_6u2q5gn5ilh0" w:id="5"/>
      <w:bookmarkEnd w:id="5"/>
      <w:r w:rsidDel="00000000" w:rsidR="00000000" w:rsidRPr="00000000">
        <w:rPr>
          <w:rtl w:val="0"/>
        </w:rPr>
        <w:t xml:space="preserve">4. Conclusion and Suggestions for Further Work/Research</w:t>
      </w:r>
    </w:p>
    <w:p w:rsidR="00000000" w:rsidDel="00000000" w:rsidP="00000000" w:rsidRDefault="00000000" w:rsidRPr="00000000" w14:paraId="00000107">
      <w:pPr>
        <w:spacing w:after="240" w:before="240" w:lineRule="auto"/>
        <w:rPr>
          <w:color w:val="111827"/>
          <w:highlight w:val="white"/>
        </w:rPr>
      </w:pPr>
      <w:r w:rsidDel="00000000" w:rsidR="00000000" w:rsidRPr="00000000">
        <w:rPr>
          <w:color w:val="111827"/>
          <w:highlight w:val="white"/>
          <w:rtl w:val="0"/>
        </w:rPr>
        <w:t xml:space="preserve">The FMEA revealed numerous vulnerabilities within the fast-fashion retail supply chain (i.e., supplier dependency, demand variability, logistical bottlenecks, and ESG/CSR compliance) and therefore the six proposed strategies for dual-sourcing, machine learning-based forecasting, and a circular reverse logistics model offer a comprehensive strategy that transforms these vulnerabilities into substantial, long-term competitive advantages. By integrating systematic, proactive elements of resiliency and sustainability, and by being agile and responsive to customer expectations, the retailer is able to proactively respond to the inevitable disruptions that occur in a rapidly changing and volatile business environment and maintain their market share. </w:t>
      </w:r>
    </w:p>
    <w:p w:rsidR="00000000" w:rsidDel="00000000" w:rsidP="00000000" w:rsidRDefault="00000000" w:rsidRPr="00000000" w14:paraId="00000108">
      <w:pPr>
        <w:spacing w:after="240" w:before="240" w:lineRule="auto"/>
        <w:rPr/>
      </w:pPr>
      <w:r w:rsidDel="00000000" w:rsidR="00000000" w:rsidRPr="00000000">
        <w:rPr>
          <w:color w:val="111827"/>
          <w:highlight w:val="white"/>
          <w:rtl w:val="0"/>
        </w:rPr>
        <w:t xml:space="preserve">Two additional research areas were identified as potential future research directions:</w:t>
      </w:r>
      <w:r w:rsidDel="00000000" w:rsidR="00000000" w:rsidRPr="00000000">
        <w:rPr>
          <w:rtl w:val="0"/>
        </w:rPr>
      </w:r>
    </w:p>
    <w:p w:rsidR="00000000" w:rsidDel="00000000" w:rsidP="00000000" w:rsidRDefault="00000000" w:rsidRPr="00000000" w14:paraId="00000109">
      <w:pPr>
        <w:spacing w:after="240" w:before="240" w:lineRule="auto"/>
        <w:rPr/>
      </w:pPr>
      <w:r w:rsidDel="00000000" w:rsidR="00000000" w:rsidRPr="00000000">
        <w:rPr>
          <w:b w:val="1"/>
          <w:rtl w:val="0"/>
        </w:rPr>
        <w:t xml:space="preserve">Digital Twin Simulation:</w:t>
      </w:r>
      <w:r w:rsidDel="00000000" w:rsidR="00000000" w:rsidRPr="00000000">
        <w:rPr>
          <w:rtl w:val="0"/>
        </w:rPr>
        <w:t xml:space="preserve"> Future research will also include development of a digital twin simulation of the supply chain. The initial pilot could be an end-to-end simulation of the supply chain for a specific large volume product category (e.g., denim), from cotton sourcing to final delivery. It will enable the testing of different types of disruptions in a risk-free environment, which will allow the company to optimize inventory levels, test contingency plans, and measure the financial benefits of investing in resiliency.</w:t>
      </w:r>
    </w:p>
    <w:p w:rsidR="00000000" w:rsidDel="00000000" w:rsidP="00000000" w:rsidRDefault="00000000" w:rsidRPr="00000000" w14:paraId="0000010A">
      <w:pPr>
        <w:spacing w:after="240" w:before="240" w:lineRule="auto"/>
        <w:rPr/>
      </w:pPr>
      <w:r w:rsidDel="00000000" w:rsidR="00000000" w:rsidRPr="00000000">
        <w:rPr>
          <w:b w:val="1"/>
          <w:rtl w:val="0"/>
        </w:rPr>
        <w:t xml:space="preserve">Blockchain for Enhanced Traceability and Trust: </w:t>
      </w:r>
      <w:r w:rsidDel="00000000" w:rsidR="00000000" w:rsidRPr="00000000">
        <w:rPr>
          <w:rtl w:val="0"/>
        </w:rPr>
        <w:t xml:space="preserve">To address the profound challenges of Tier-2 and Tier-3 visibility, research should explore the implementation of blockchain technology. This could be pursued through a strategic collaboration with a specialized supply chain technology partner to tackle scalability challenges. </w:t>
      </w:r>
      <w:r w:rsidDel="00000000" w:rsidR="00000000" w:rsidRPr="00000000">
        <w:rPr>
          <w:color w:val="111827"/>
          <w:highlight w:val="white"/>
          <w:rtl w:val="0"/>
        </w:rPr>
        <w:t xml:space="preserve">Future research will go beyond the evaluation of technical feasibility to assess the social implications of using blockchain in supply chains (specifically, the degree to which enhanced transparency leads to increased trust and collaboration among suppliers, and therefore increases the likelihood of shared responsibility for ethical compliance).</w:t>
      </w:r>
      <w:r w:rsidDel="00000000" w:rsidR="00000000" w:rsidRPr="00000000">
        <w:rPr>
          <w:rtl w:val="0"/>
        </w:rPr>
      </w:r>
    </w:p>
    <w:p w:rsidR="00000000" w:rsidDel="00000000" w:rsidP="00000000" w:rsidRDefault="00000000" w:rsidRPr="00000000" w14:paraId="0000010B">
      <w:pPr>
        <w:spacing w:after="240" w:before="240" w:lineRule="auto"/>
        <w:rPr/>
      </w:pPr>
      <w:r w:rsidDel="00000000" w:rsidR="00000000" w:rsidRPr="00000000">
        <w:rPr>
          <w:rtl w:val="0"/>
        </w:rPr>
      </w:r>
    </w:p>
    <w:p w:rsidR="00000000" w:rsidDel="00000000" w:rsidP="00000000" w:rsidRDefault="00000000" w:rsidRPr="00000000" w14:paraId="0000010C">
      <w:pPr>
        <w:rPr/>
      </w:pPr>
      <w:r w:rsidDel="00000000" w:rsidR="00000000" w:rsidRPr="00000000">
        <w:br w:type="page"/>
      </w:r>
      <w:r w:rsidDel="00000000" w:rsidR="00000000" w:rsidRPr="00000000">
        <w:rPr>
          <w:rtl w:val="0"/>
        </w:rPr>
      </w:r>
    </w:p>
    <w:p w:rsidR="00000000" w:rsidDel="00000000" w:rsidP="00000000" w:rsidRDefault="00000000" w:rsidRPr="00000000" w14:paraId="0000010D">
      <w:pPr>
        <w:pStyle w:val="Heading1"/>
        <w:rPr/>
      </w:pPr>
      <w:r w:rsidDel="00000000" w:rsidR="00000000" w:rsidRPr="00000000">
        <w:rPr>
          <w:rtl w:val="0"/>
        </w:rPr>
        <w:t xml:space="preserve">5. </w:t>
      </w:r>
      <w:r w:rsidDel="00000000" w:rsidR="00000000" w:rsidRPr="00000000">
        <w:rPr>
          <w:rtl w:val="0"/>
        </w:rPr>
        <w:t xml:space="preserve">References</w:t>
      </w:r>
    </w:p>
    <w:p w:rsidR="00000000" w:rsidDel="00000000" w:rsidP="00000000" w:rsidRDefault="00000000" w:rsidRPr="00000000" w14:paraId="0000010E">
      <w:pPr>
        <w:shd w:fill="ffffff" w:val="clear"/>
        <w:spacing w:after="280" w:before="220" w:line="342.85714285714283" w:lineRule="auto"/>
        <w:rPr>
          <w:color w:val="1a1c1e"/>
        </w:rPr>
      </w:pPr>
      <w:r w:rsidDel="00000000" w:rsidR="00000000" w:rsidRPr="00000000">
        <w:rPr>
          <w:color w:val="1a1c1e"/>
          <w:rtl w:val="0"/>
        </w:rPr>
        <w:t xml:space="preserve">Agrawal, S., Singh, R.K. and Murtaza, Q. (2015) 'A literature review and perspectives in reverse logistics', </w:t>
      </w:r>
      <w:r w:rsidDel="00000000" w:rsidR="00000000" w:rsidRPr="00000000">
        <w:rPr>
          <w:i w:val="1"/>
          <w:color w:val="1a1c1e"/>
          <w:rtl w:val="0"/>
        </w:rPr>
        <w:t xml:space="preserve">Resources, Conservation &amp; Recycling</w:t>
      </w:r>
      <w:r w:rsidDel="00000000" w:rsidR="00000000" w:rsidRPr="00000000">
        <w:rPr>
          <w:color w:val="1a1c1e"/>
          <w:rtl w:val="0"/>
        </w:rPr>
        <w:t xml:space="preserve">, 97(C), pp. 76-92. Available at: </w:t>
      </w:r>
      <w:hyperlink r:id="rId8">
        <w:r w:rsidDel="00000000" w:rsidR="00000000" w:rsidRPr="00000000">
          <w:rPr>
            <w:color w:val="2483e2"/>
            <w:rtl w:val="0"/>
          </w:rPr>
          <w:t xml:space="preserve">https://doi.org/10.1016/j.resconrec.2015.02.009</w:t>
        </w:r>
      </w:hyperlink>
      <w:r w:rsidDel="00000000" w:rsidR="00000000" w:rsidRPr="00000000">
        <w:rPr>
          <w:color w:val="1a1c1e"/>
          <w:rtl w:val="0"/>
        </w:rPr>
        <w:t xml:space="preserve">.</w:t>
      </w:r>
    </w:p>
    <w:p w:rsidR="00000000" w:rsidDel="00000000" w:rsidP="00000000" w:rsidRDefault="00000000" w:rsidRPr="00000000" w14:paraId="0000010F">
      <w:pPr>
        <w:shd w:fill="ffffff" w:val="clear"/>
        <w:spacing w:after="280" w:before="220" w:line="342.85714285714283" w:lineRule="auto"/>
        <w:rPr>
          <w:color w:val="1a1c1e"/>
        </w:rPr>
      </w:pPr>
      <w:r w:rsidDel="00000000" w:rsidR="00000000" w:rsidRPr="00000000">
        <w:rPr>
          <w:color w:val="1a1c1e"/>
          <w:rtl w:val="0"/>
        </w:rPr>
        <w:t xml:space="preserve">Aiag (2016) </w:t>
      </w:r>
      <w:r w:rsidDel="00000000" w:rsidR="00000000" w:rsidRPr="00000000">
        <w:rPr>
          <w:i w:val="1"/>
          <w:color w:val="1a1c1e"/>
          <w:rtl w:val="0"/>
        </w:rPr>
        <w:t xml:space="preserve">FMEAAV-1</w:t>
      </w:r>
      <w:r w:rsidDel="00000000" w:rsidR="00000000" w:rsidRPr="00000000">
        <w:rPr>
          <w:color w:val="1a1c1e"/>
          <w:rtl w:val="0"/>
        </w:rPr>
        <w:t xml:space="preserve">. Available at: </w:t>
      </w:r>
      <w:hyperlink r:id="rId9">
        <w:r w:rsidDel="00000000" w:rsidR="00000000" w:rsidRPr="00000000">
          <w:rPr>
            <w:color w:val="2483e2"/>
            <w:rtl w:val="0"/>
          </w:rPr>
          <w:t xml:space="preserve">https://www.aiag.org/training-and-resources/manuals/details/FMEAAV-1</w:t>
        </w:r>
      </w:hyperlink>
      <w:r w:rsidDel="00000000" w:rsidR="00000000" w:rsidRPr="00000000">
        <w:rPr>
          <w:color w:val="1a1c1e"/>
          <w:rtl w:val="0"/>
        </w:rPr>
        <w:t xml:space="preserve"> (Accessed: 15 October 2025).</w:t>
      </w:r>
    </w:p>
    <w:p w:rsidR="00000000" w:rsidDel="00000000" w:rsidP="00000000" w:rsidRDefault="00000000" w:rsidRPr="00000000" w14:paraId="00000110">
      <w:pPr>
        <w:shd w:fill="ffffff" w:val="clear"/>
        <w:spacing w:after="280" w:before="220" w:line="342.85714285714283" w:lineRule="auto"/>
        <w:rPr>
          <w:color w:val="1a1c1e"/>
        </w:rPr>
      </w:pPr>
      <w:r w:rsidDel="00000000" w:rsidR="00000000" w:rsidRPr="00000000">
        <w:rPr>
          <w:color w:val="1a1c1e"/>
          <w:rtl w:val="0"/>
        </w:rPr>
        <w:t xml:space="preserve">Buzzo, A. and Abreu, M.J. (2019) 'Fast Fashion, Fashion Brands &amp; Sustainable Consumption', in </w:t>
      </w:r>
      <w:r w:rsidDel="00000000" w:rsidR="00000000" w:rsidRPr="00000000">
        <w:rPr>
          <w:i w:val="1"/>
          <w:color w:val="1a1c1e"/>
          <w:rtl w:val="0"/>
        </w:rPr>
        <w:t xml:space="preserve">Fast Fashion, Fashion Brands and Sustainable Consumption</w:t>
      </w:r>
      <w:r w:rsidDel="00000000" w:rsidR="00000000" w:rsidRPr="00000000">
        <w:rPr>
          <w:color w:val="1a1c1e"/>
          <w:rtl w:val="0"/>
        </w:rPr>
        <w:t xml:space="preserve">. Springer, pp. 1-17. Available at: </w:t>
      </w:r>
      <w:hyperlink r:id="rId10">
        <w:r w:rsidDel="00000000" w:rsidR="00000000" w:rsidRPr="00000000">
          <w:rPr>
            <w:color w:val="2483e2"/>
            <w:rtl w:val="0"/>
          </w:rPr>
          <w:t xml:space="preserve">https://doi.org/10.1007/978-981-13-1268-7_1</w:t>
        </w:r>
      </w:hyperlink>
      <w:r w:rsidDel="00000000" w:rsidR="00000000" w:rsidRPr="00000000">
        <w:rPr>
          <w:color w:val="1a1c1e"/>
          <w:rtl w:val="0"/>
        </w:rPr>
        <w:t xml:space="preserve">.</w:t>
      </w:r>
    </w:p>
    <w:p w:rsidR="00000000" w:rsidDel="00000000" w:rsidP="00000000" w:rsidRDefault="00000000" w:rsidRPr="00000000" w14:paraId="00000111">
      <w:pPr>
        <w:shd w:fill="ffffff" w:val="clear"/>
        <w:spacing w:after="280" w:before="220" w:line="342.85714285714283" w:lineRule="auto"/>
        <w:rPr>
          <w:color w:val="1a1c1e"/>
        </w:rPr>
      </w:pPr>
      <w:r w:rsidDel="00000000" w:rsidR="00000000" w:rsidRPr="00000000">
        <w:rPr>
          <w:color w:val="1a1c1e"/>
          <w:rtl w:val="0"/>
        </w:rPr>
        <w:t xml:space="preserve">Chaffin, C., Maywald, J., Reiman, A. and Glassburner, A. (2024) 'Systematic Review of Supply Chain Control Tower Critical Success Factors and Resilience Effects', </w:t>
      </w:r>
      <w:r w:rsidDel="00000000" w:rsidR="00000000" w:rsidRPr="00000000">
        <w:rPr>
          <w:i w:val="1"/>
          <w:color w:val="1a1c1e"/>
          <w:rtl w:val="0"/>
        </w:rPr>
        <w:t xml:space="preserve">Operations and Supply Chain Management: An International Journal</w:t>
      </w:r>
      <w:r w:rsidDel="00000000" w:rsidR="00000000" w:rsidRPr="00000000">
        <w:rPr>
          <w:color w:val="1a1c1e"/>
          <w:rtl w:val="0"/>
        </w:rPr>
        <w:t xml:space="preserve">, 17(3), pp. 236-251. Available at: </w:t>
      </w:r>
      <w:hyperlink r:id="rId11">
        <w:r w:rsidDel="00000000" w:rsidR="00000000" w:rsidRPr="00000000">
          <w:rPr>
            <w:color w:val="2483e2"/>
            <w:rtl w:val="0"/>
          </w:rPr>
          <w:t xml:space="preserve">https://doi.org/10.31387/oscm0580439</w:t>
        </w:r>
      </w:hyperlink>
      <w:r w:rsidDel="00000000" w:rsidR="00000000" w:rsidRPr="00000000">
        <w:rPr>
          <w:color w:val="1a1c1e"/>
          <w:rtl w:val="0"/>
        </w:rPr>
        <w:t xml:space="preserve">.</w:t>
      </w:r>
    </w:p>
    <w:p w:rsidR="00000000" w:rsidDel="00000000" w:rsidP="00000000" w:rsidRDefault="00000000" w:rsidRPr="00000000" w14:paraId="00000112">
      <w:pPr>
        <w:shd w:fill="ffffff" w:val="clear"/>
        <w:spacing w:after="280" w:before="220" w:line="342.85714285714283" w:lineRule="auto"/>
        <w:rPr>
          <w:color w:val="1a1c1e"/>
        </w:rPr>
      </w:pPr>
      <w:r w:rsidDel="00000000" w:rsidR="00000000" w:rsidRPr="00000000">
        <w:rPr>
          <w:color w:val="1a1c1e"/>
          <w:rtl w:val="0"/>
        </w:rPr>
        <w:t xml:space="preserve">ENISA (2024) </w:t>
      </w:r>
      <w:r w:rsidDel="00000000" w:rsidR="00000000" w:rsidRPr="00000000">
        <w:rPr>
          <w:i w:val="1"/>
          <w:color w:val="1a1c1e"/>
          <w:rtl w:val="0"/>
        </w:rPr>
        <w:t xml:space="preserve">ENISA Threat Landscape 2023</w:t>
      </w:r>
      <w:r w:rsidDel="00000000" w:rsidR="00000000" w:rsidRPr="00000000">
        <w:rPr>
          <w:color w:val="1a1c1e"/>
          <w:rtl w:val="0"/>
        </w:rPr>
        <w:t xml:space="preserve">. Available at: </w:t>
      </w:r>
      <w:hyperlink r:id="rId12">
        <w:r w:rsidDel="00000000" w:rsidR="00000000" w:rsidRPr="00000000">
          <w:rPr>
            <w:color w:val="2483e2"/>
            <w:rtl w:val="0"/>
          </w:rPr>
          <w:t xml:space="preserve">https://www.enisa.europa.eu/publications/enisa-threat-landscape-2023</w:t>
        </w:r>
      </w:hyperlink>
      <w:r w:rsidDel="00000000" w:rsidR="00000000" w:rsidRPr="00000000">
        <w:rPr>
          <w:color w:val="1a1c1e"/>
          <w:rtl w:val="0"/>
        </w:rPr>
        <w:t xml:space="preserve"> (Accessed: 15 October 2025).</w:t>
      </w:r>
    </w:p>
    <w:p w:rsidR="00000000" w:rsidDel="00000000" w:rsidP="00000000" w:rsidRDefault="00000000" w:rsidRPr="00000000" w14:paraId="00000113">
      <w:pPr>
        <w:shd w:fill="ffffff" w:val="clear"/>
        <w:spacing w:after="280" w:before="220" w:line="342.85714285714283" w:lineRule="auto"/>
        <w:rPr>
          <w:color w:val="1a1c1e"/>
        </w:rPr>
      </w:pPr>
      <w:r w:rsidDel="00000000" w:rsidR="00000000" w:rsidRPr="00000000">
        <w:rPr>
          <w:color w:val="1a1c1e"/>
          <w:rtl w:val="0"/>
        </w:rPr>
        <w:t xml:space="preserve">Grantham-Philips, W. (2024) 'Ransomware attack on software supplier disrupts operations for Starbucks and other retailers', </w:t>
      </w:r>
      <w:r w:rsidDel="00000000" w:rsidR="00000000" w:rsidRPr="00000000">
        <w:rPr>
          <w:i w:val="1"/>
          <w:color w:val="1a1c1e"/>
          <w:rtl w:val="0"/>
        </w:rPr>
        <w:t xml:space="preserve">AP News</w:t>
      </w:r>
      <w:r w:rsidDel="00000000" w:rsidR="00000000" w:rsidRPr="00000000">
        <w:rPr>
          <w:color w:val="1a1c1e"/>
          <w:rtl w:val="0"/>
        </w:rPr>
        <w:t xml:space="preserve">, 26 November. Available at: </w:t>
      </w:r>
      <w:hyperlink r:id="rId13">
        <w:r w:rsidDel="00000000" w:rsidR="00000000" w:rsidRPr="00000000">
          <w:rPr>
            <w:color w:val="2483e2"/>
            <w:rtl w:val="0"/>
          </w:rPr>
          <w:t xml:space="preserve">https://apnews.com/article/ransomware-attack-disrupts-starbucks-morrisons-4281388e1b2d196a5fc10fa0c996c7ed</w:t>
        </w:r>
      </w:hyperlink>
      <w:r w:rsidDel="00000000" w:rsidR="00000000" w:rsidRPr="00000000">
        <w:rPr>
          <w:color w:val="1a1c1e"/>
          <w:rtl w:val="0"/>
        </w:rPr>
        <w:t xml:space="preserve"> (Accessed: 15 October 2025).</w:t>
      </w:r>
    </w:p>
    <w:p w:rsidR="00000000" w:rsidDel="00000000" w:rsidP="00000000" w:rsidRDefault="00000000" w:rsidRPr="00000000" w14:paraId="00000114">
      <w:pPr>
        <w:shd w:fill="ffffff" w:val="clear"/>
        <w:spacing w:after="280" w:before="220" w:line="342.85714285714283" w:lineRule="auto"/>
        <w:rPr>
          <w:color w:val="1a1c1e"/>
        </w:rPr>
      </w:pPr>
      <w:r w:rsidDel="00000000" w:rsidR="00000000" w:rsidRPr="00000000">
        <w:rPr>
          <w:color w:val="1a1c1e"/>
          <w:rtl w:val="0"/>
        </w:rPr>
        <w:t xml:space="preserve">HBS Baker Library (2021) </w:t>
      </w:r>
      <w:r w:rsidDel="00000000" w:rsidR="00000000" w:rsidRPr="00000000">
        <w:rPr>
          <w:i w:val="1"/>
          <w:color w:val="1a1c1e"/>
          <w:rtl w:val="0"/>
        </w:rPr>
        <w:t xml:space="preserve">Can Brands Claim Ignorance? Unauthorized Subcontracting in Apparel Supply Chains</w:t>
      </w:r>
      <w:r w:rsidDel="00000000" w:rsidR="00000000" w:rsidRPr="00000000">
        <w:rPr>
          <w:color w:val="1a1c1e"/>
          <w:rtl w:val="0"/>
        </w:rPr>
        <w:t xml:space="preserve">. Available at: </w:t>
      </w:r>
      <w:hyperlink r:id="rId14">
        <w:r w:rsidDel="00000000" w:rsidR="00000000" w:rsidRPr="00000000">
          <w:rPr>
            <w:color w:val="2483e2"/>
            <w:rtl w:val="0"/>
          </w:rPr>
          <w:t xml:space="preserve">https://www.library.hbs.edu/working-conditions-in-supply-chains/citations/can-brands-claim-ignorance-unauthorized-subcontracting-in-apparel-supply-chains</w:t>
        </w:r>
      </w:hyperlink>
      <w:r w:rsidDel="00000000" w:rsidR="00000000" w:rsidRPr="00000000">
        <w:rPr>
          <w:color w:val="1a1c1e"/>
          <w:rtl w:val="0"/>
        </w:rPr>
        <w:t xml:space="preserve"> (Accessed: 15 October 2025).</w:t>
      </w:r>
    </w:p>
    <w:p w:rsidR="00000000" w:rsidDel="00000000" w:rsidP="00000000" w:rsidRDefault="00000000" w:rsidRPr="00000000" w14:paraId="00000115">
      <w:pPr>
        <w:shd w:fill="ffffff" w:val="clear"/>
        <w:spacing w:after="280" w:before="220" w:line="342.85714285714283" w:lineRule="auto"/>
        <w:rPr>
          <w:color w:val="1a1c1e"/>
        </w:rPr>
      </w:pPr>
      <w:r w:rsidDel="00000000" w:rsidR="00000000" w:rsidRPr="00000000">
        <w:rPr>
          <w:color w:val="1a1c1e"/>
          <w:rtl w:val="0"/>
        </w:rPr>
        <w:t xml:space="preserve">Inditex (2025) </w:t>
      </w:r>
      <w:r w:rsidDel="00000000" w:rsidR="00000000" w:rsidRPr="00000000">
        <w:rPr>
          <w:i w:val="1"/>
          <w:color w:val="1a1c1e"/>
          <w:rtl w:val="0"/>
        </w:rPr>
        <w:t xml:space="preserve">INDITEX ANNUAL REPORT 2024</w:t>
      </w:r>
      <w:r w:rsidDel="00000000" w:rsidR="00000000" w:rsidRPr="00000000">
        <w:rPr>
          <w:color w:val="1a1c1e"/>
          <w:rtl w:val="0"/>
        </w:rPr>
        <w:t xml:space="preserve">. Available at: </w:t>
      </w:r>
      <w:hyperlink r:id="rId15">
        <w:r w:rsidDel="00000000" w:rsidR="00000000" w:rsidRPr="00000000">
          <w:rPr>
            <w:color w:val="2483e2"/>
            <w:rtl w:val="0"/>
          </w:rPr>
          <w:t xml:space="preserve">https://www.inditex.com/itxcomweb/api/media/67318e10-6bd2-438b-accb-5a372d82a953/Annualaccountsanddirectorsreport2024parent.pdf</w:t>
        </w:r>
      </w:hyperlink>
      <w:r w:rsidDel="00000000" w:rsidR="00000000" w:rsidRPr="00000000">
        <w:rPr>
          <w:color w:val="1a1c1e"/>
          <w:rtl w:val="0"/>
        </w:rPr>
        <w:t xml:space="preserve"> (Accessed: 15 October 2025).</w:t>
      </w:r>
    </w:p>
    <w:p w:rsidR="00000000" w:rsidDel="00000000" w:rsidP="00000000" w:rsidRDefault="00000000" w:rsidRPr="00000000" w14:paraId="00000116">
      <w:pPr>
        <w:shd w:fill="ffffff" w:val="clear"/>
        <w:spacing w:after="280" w:before="220" w:line="342.85714285714283" w:lineRule="auto"/>
        <w:rPr>
          <w:color w:val="1a1c1e"/>
        </w:rPr>
      </w:pPr>
      <w:r w:rsidDel="00000000" w:rsidR="00000000" w:rsidRPr="00000000">
        <w:rPr>
          <w:color w:val="1a1c1e"/>
          <w:rtl w:val="0"/>
        </w:rPr>
        <w:t xml:space="preserve">Jafari, H. and Paulraj, A. (2021) 'POSTPONEMENT and logistics flexibility in retailing: The moderating role of logistics integration and demand uncertainty', </w:t>
      </w:r>
      <w:r w:rsidDel="00000000" w:rsidR="00000000" w:rsidRPr="00000000">
        <w:rPr>
          <w:i w:val="1"/>
          <w:color w:val="1a1c1e"/>
          <w:rtl w:val="0"/>
        </w:rPr>
        <w:t xml:space="preserve">International Journal of Production Economics</w:t>
      </w:r>
      <w:r w:rsidDel="00000000" w:rsidR="00000000" w:rsidRPr="00000000">
        <w:rPr>
          <w:color w:val="1a1c1e"/>
          <w:rtl w:val="0"/>
        </w:rPr>
        <w:t xml:space="preserve">, 243, p. 108319. Available at: </w:t>
      </w:r>
      <w:hyperlink r:id="rId16">
        <w:r w:rsidDel="00000000" w:rsidR="00000000" w:rsidRPr="00000000">
          <w:rPr>
            <w:color w:val="2483e2"/>
            <w:rtl w:val="0"/>
          </w:rPr>
          <w:t xml:space="preserve">https://doi.org/10.1016/j.ijpe.2021.108319</w:t>
        </w:r>
      </w:hyperlink>
      <w:r w:rsidDel="00000000" w:rsidR="00000000" w:rsidRPr="00000000">
        <w:rPr>
          <w:color w:val="1a1c1e"/>
          <w:rtl w:val="0"/>
        </w:rPr>
        <w:t xml:space="preserve">.</w:t>
      </w:r>
    </w:p>
    <w:p w:rsidR="00000000" w:rsidDel="00000000" w:rsidP="00000000" w:rsidRDefault="00000000" w:rsidRPr="00000000" w14:paraId="00000117">
      <w:pPr>
        <w:shd w:fill="ffffff" w:val="clear"/>
        <w:spacing w:after="280" w:before="220" w:line="342.85714285714283" w:lineRule="auto"/>
        <w:rPr>
          <w:color w:val="1a1c1e"/>
        </w:rPr>
      </w:pPr>
      <w:r w:rsidDel="00000000" w:rsidR="00000000" w:rsidRPr="00000000">
        <w:rPr>
          <w:color w:val="1a1c1e"/>
          <w:rtl w:val="0"/>
        </w:rPr>
        <w:t xml:space="preserve">Lou, G., Guo, Y., Lai, Z., Ma, H. and Tu, X. (2024) 'Optimal resilience strategy for manufacturers to deal with supply disruptions: Investment in supply stability versus dual sourcing', </w:t>
      </w:r>
      <w:r w:rsidDel="00000000" w:rsidR="00000000" w:rsidRPr="00000000">
        <w:rPr>
          <w:i w:val="1"/>
          <w:color w:val="1a1c1e"/>
          <w:rtl w:val="0"/>
        </w:rPr>
        <w:t xml:space="preserve">Computers &amp; Industrial Engineering</w:t>
      </w:r>
      <w:r w:rsidDel="00000000" w:rsidR="00000000" w:rsidRPr="00000000">
        <w:rPr>
          <w:color w:val="1a1c1e"/>
          <w:rtl w:val="0"/>
        </w:rPr>
        <w:t xml:space="preserve">, p. 110030. Available at: </w:t>
      </w:r>
      <w:hyperlink r:id="rId17">
        <w:r w:rsidDel="00000000" w:rsidR="00000000" w:rsidRPr="00000000">
          <w:rPr>
            <w:color w:val="2483e2"/>
            <w:rtl w:val="0"/>
          </w:rPr>
          <w:t xml:space="preserve">https://doi.org/10.1016/j.cie.2024.110030</w:t>
        </w:r>
      </w:hyperlink>
      <w:r w:rsidDel="00000000" w:rsidR="00000000" w:rsidRPr="00000000">
        <w:rPr>
          <w:color w:val="1a1c1e"/>
          <w:rtl w:val="0"/>
        </w:rPr>
        <w:t xml:space="preserve">.</w:t>
      </w:r>
    </w:p>
    <w:p w:rsidR="00000000" w:rsidDel="00000000" w:rsidP="00000000" w:rsidRDefault="00000000" w:rsidRPr="00000000" w14:paraId="00000118">
      <w:pPr>
        <w:shd w:fill="ffffff" w:val="clear"/>
        <w:spacing w:after="280" w:before="220" w:line="342.85714285714283" w:lineRule="auto"/>
        <w:rPr>
          <w:color w:val="1a1c1e"/>
        </w:rPr>
      </w:pPr>
      <w:r w:rsidDel="00000000" w:rsidR="00000000" w:rsidRPr="00000000">
        <w:rPr>
          <w:color w:val="1a1c1e"/>
          <w:rtl w:val="0"/>
        </w:rPr>
        <w:t xml:space="preserve">Marriott, J., Bektaş, T., Leung, E.K.H. and Lyons, A. (2025) 'The billion-pound question in fashion E-commerce: Investigating the anatomy of returns', </w:t>
      </w:r>
      <w:r w:rsidDel="00000000" w:rsidR="00000000" w:rsidRPr="00000000">
        <w:rPr>
          <w:i w:val="1"/>
          <w:color w:val="1a1c1e"/>
          <w:rtl w:val="0"/>
        </w:rPr>
        <w:t xml:space="preserve">Transportation Research Part E: Logistics and Transportation Review</w:t>
      </w:r>
      <w:r w:rsidDel="00000000" w:rsidR="00000000" w:rsidRPr="00000000">
        <w:rPr>
          <w:color w:val="1a1c1e"/>
          <w:rtl w:val="0"/>
        </w:rPr>
        <w:t xml:space="preserve">, 194, p. 103904. Available at: </w:t>
      </w:r>
      <w:hyperlink r:id="rId18">
        <w:r w:rsidDel="00000000" w:rsidR="00000000" w:rsidRPr="00000000">
          <w:rPr>
            <w:color w:val="2483e2"/>
            <w:rtl w:val="0"/>
          </w:rPr>
          <w:t xml:space="preserve">https://doi.org/10.1016/j.tre.2024.103904</w:t>
        </w:r>
      </w:hyperlink>
      <w:r w:rsidDel="00000000" w:rsidR="00000000" w:rsidRPr="00000000">
        <w:rPr>
          <w:color w:val="1a1c1e"/>
          <w:rtl w:val="0"/>
        </w:rPr>
        <w:t xml:space="preserve">.</w:t>
      </w:r>
    </w:p>
    <w:p w:rsidR="00000000" w:rsidDel="00000000" w:rsidP="00000000" w:rsidRDefault="00000000" w:rsidRPr="00000000" w14:paraId="00000119">
      <w:pPr>
        <w:shd w:fill="ffffff" w:val="clear"/>
        <w:spacing w:after="280" w:before="220" w:line="342.85714285714283" w:lineRule="auto"/>
        <w:rPr>
          <w:color w:val="1a1c1e"/>
        </w:rPr>
      </w:pPr>
      <w:r w:rsidDel="00000000" w:rsidR="00000000" w:rsidRPr="00000000">
        <w:rPr>
          <w:color w:val="1a1c1e"/>
          <w:rtl w:val="0"/>
        </w:rPr>
        <w:t xml:space="preserve">Michail, N.A. and Melas, K.D. (2025) 'Measuring the impact of port congestion on containership freight rates', </w:t>
      </w:r>
      <w:r w:rsidDel="00000000" w:rsidR="00000000" w:rsidRPr="00000000">
        <w:rPr>
          <w:i w:val="1"/>
          <w:color w:val="1a1c1e"/>
          <w:rtl w:val="0"/>
        </w:rPr>
        <w:t xml:space="preserve">Maritime Transport Research</w:t>
      </w:r>
      <w:r w:rsidDel="00000000" w:rsidR="00000000" w:rsidRPr="00000000">
        <w:rPr>
          <w:color w:val="1a1c1e"/>
          <w:rtl w:val="0"/>
        </w:rPr>
        <w:t xml:space="preserve">, 8, p. 100130. Available at: </w:t>
      </w:r>
      <w:hyperlink r:id="rId19">
        <w:r w:rsidDel="00000000" w:rsidR="00000000" w:rsidRPr="00000000">
          <w:rPr>
            <w:color w:val="2483e2"/>
            <w:rtl w:val="0"/>
          </w:rPr>
          <w:t xml:space="preserve">https://doi.org/10.1016/j.martra.2025.100130</w:t>
        </w:r>
      </w:hyperlink>
      <w:r w:rsidDel="00000000" w:rsidR="00000000" w:rsidRPr="00000000">
        <w:rPr>
          <w:color w:val="1a1c1e"/>
          <w:rtl w:val="0"/>
        </w:rPr>
        <w:t xml:space="preserve">.</w:t>
      </w:r>
    </w:p>
    <w:p w:rsidR="00000000" w:rsidDel="00000000" w:rsidP="00000000" w:rsidRDefault="00000000" w:rsidRPr="00000000" w14:paraId="0000011A">
      <w:pPr>
        <w:shd w:fill="ffffff" w:val="clear"/>
        <w:spacing w:after="280" w:before="220" w:line="342.85714285714283" w:lineRule="auto"/>
        <w:rPr>
          <w:color w:val="1a1c1e"/>
        </w:rPr>
      </w:pPr>
      <w:r w:rsidDel="00000000" w:rsidR="00000000" w:rsidRPr="00000000">
        <w:rPr>
          <w:color w:val="1a1c1e"/>
          <w:rtl w:val="0"/>
        </w:rPr>
        <w:t xml:space="preserve">Niu, B., Deng, X., Xie, F. and Shen, Z. (2024) 'Dual sourcing hurts supply chain viability? The value of brand-owners’ cooperation under single sourcing', </w:t>
      </w:r>
      <w:r w:rsidDel="00000000" w:rsidR="00000000" w:rsidRPr="00000000">
        <w:rPr>
          <w:i w:val="1"/>
          <w:color w:val="1a1c1e"/>
          <w:rtl w:val="0"/>
        </w:rPr>
        <w:t xml:space="preserve">Omega</w:t>
      </w:r>
      <w:r w:rsidDel="00000000" w:rsidR="00000000" w:rsidRPr="00000000">
        <w:rPr>
          <w:color w:val="1a1c1e"/>
          <w:rtl w:val="0"/>
        </w:rPr>
        <w:t xml:space="preserve">, p. 103250. Available at: </w:t>
      </w:r>
      <w:hyperlink r:id="rId20">
        <w:r w:rsidDel="00000000" w:rsidR="00000000" w:rsidRPr="00000000">
          <w:rPr>
            <w:color w:val="2483e2"/>
            <w:rtl w:val="0"/>
          </w:rPr>
          <w:t xml:space="preserve">https://doi.org/10.1016/j.omega.2024.103250</w:t>
        </w:r>
      </w:hyperlink>
      <w:r w:rsidDel="00000000" w:rsidR="00000000" w:rsidRPr="00000000">
        <w:rPr>
          <w:color w:val="1a1c1e"/>
          <w:rtl w:val="0"/>
        </w:rPr>
        <w:t xml:space="preserve">.</w:t>
      </w:r>
    </w:p>
    <w:p w:rsidR="00000000" w:rsidDel="00000000" w:rsidP="00000000" w:rsidRDefault="00000000" w:rsidRPr="00000000" w14:paraId="0000011B">
      <w:pPr>
        <w:shd w:fill="ffffff" w:val="clear"/>
        <w:spacing w:after="280" w:before="220" w:line="342.85714285714283" w:lineRule="auto"/>
        <w:rPr>
          <w:color w:val="1a1c1e"/>
        </w:rPr>
      </w:pPr>
      <w:r w:rsidDel="00000000" w:rsidR="00000000" w:rsidRPr="00000000">
        <w:rPr>
          <w:color w:val="1a1c1e"/>
          <w:rtl w:val="0"/>
        </w:rPr>
        <w:t xml:space="preserve">o9 Solutions (2024) </w:t>
      </w:r>
      <w:r w:rsidDel="00000000" w:rsidR="00000000" w:rsidRPr="00000000">
        <w:rPr>
          <w:i w:val="1"/>
          <w:color w:val="1a1c1e"/>
          <w:rtl w:val="0"/>
        </w:rPr>
        <w:t xml:space="preserve">Elevating Retail, Apparel, and Footwear Industries with Advanced Size Curve Analysis</w:t>
      </w:r>
      <w:r w:rsidDel="00000000" w:rsidR="00000000" w:rsidRPr="00000000">
        <w:rPr>
          <w:color w:val="1a1c1e"/>
          <w:rtl w:val="0"/>
        </w:rPr>
        <w:t xml:space="preserve">. Available at: </w:t>
      </w:r>
      <w:hyperlink r:id="rId21">
        <w:r w:rsidDel="00000000" w:rsidR="00000000" w:rsidRPr="00000000">
          <w:rPr>
            <w:color w:val="2483e2"/>
            <w:rtl w:val="0"/>
          </w:rPr>
          <w:t xml:space="preserve">https://o9solutions.com/articles/advanced-size-curve-analysis</w:t>
        </w:r>
      </w:hyperlink>
      <w:r w:rsidDel="00000000" w:rsidR="00000000" w:rsidRPr="00000000">
        <w:rPr>
          <w:color w:val="1a1c1e"/>
          <w:rtl w:val="0"/>
        </w:rPr>
        <w:t xml:space="preserve"> (Accessed: 15 October 2025).</w:t>
      </w:r>
    </w:p>
    <w:p w:rsidR="00000000" w:rsidDel="00000000" w:rsidP="00000000" w:rsidRDefault="00000000" w:rsidRPr="00000000" w14:paraId="0000011C">
      <w:pPr>
        <w:shd w:fill="ffffff" w:val="clear"/>
        <w:spacing w:after="280" w:before="220" w:line="342.85714285714283" w:lineRule="auto"/>
        <w:rPr>
          <w:color w:val="1a1c1e"/>
        </w:rPr>
      </w:pPr>
      <w:r w:rsidDel="00000000" w:rsidR="00000000" w:rsidRPr="00000000">
        <w:rPr>
          <w:color w:val="1a1c1e"/>
          <w:rtl w:val="0"/>
        </w:rPr>
        <w:t xml:space="preserve">Reid, H. (2025) 'Zara owner Inditex’s transport emissions jump in 2024', </w:t>
      </w:r>
      <w:r w:rsidDel="00000000" w:rsidR="00000000" w:rsidRPr="00000000">
        <w:rPr>
          <w:i w:val="1"/>
          <w:color w:val="1a1c1e"/>
          <w:rtl w:val="0"/>
        </w:rPr>
        <w:t xml:space="preserve">Yahoo Finance</w:t>
      </w:r>
      <w:r w:rsidDel="00000000" w:rsidR="00000000" w:rsidRPr="00000000">
        <w:rPr>
          <w:color w:val="1a1c1e"/>
          <w:rtl w:val="0"/>
        </w:rPr>
        <w:t xml:space="preserve">, 14 March. Available at: </w:t>
      </w:r>
      <w:hyperlink r:id="rId22">
        <w:r w:rsidDel="00000000" w:rsidR="00000000" w:rsidRPr="00000000">
          <w:rPr>
            <w:color w:val="2483e2"/>
            <w:rtl w:val="0"/>
          </w:rPr>
          <w:t xml:space="preserve">https://finance.yahoo.com/news/zara-owner-inditexs-transport-emissions-131317763.html</w:t>
        </w:r>
      </w:hyperlink>
      <w:r w:rsidDel="00000000" w:rsidR="00000000" w:rsidRPr="00000000">
        <w:rPr>
          <w:color w:val="1a1c1e"/>
          <w:rtl w:val="0"/>
        </w:rPr>
        <w:t xml:space="preserve"> (Accessed: 15 October 2025).</w:t>
      </w:r>
    </w:p>
    <w:p w:rsidR="00000000" w:rsidDel="00000000" w:rsidP="00000000" w:rsidRDefault="00000000" w:rsidRPr="00000000" w14:paraId="0000011D">
      <w:pPr>
        <w:shd w:fill="ffffff" w:val="clear"/>
        <w:spacing w:after="280" w:before="220" w:line="342.85714285714283" w:lineRule="auto"/>
        <w:rPr>
          <w:color w:val="1a1c1e"/>
        </w:rPr>
      </w:pPr>
      <w:r w:rsidDel="00000000" w:rsidR="00000000" w:rsidRPr="00000000">
        <w:rPr>
          <w:color w:val="1a1c1e"/>
          <w:rtl w:val="0"/>
        </w:rPr>
        <w:t xml:space="preserve">Relyence (2025) </w:t>
      </w:r>
      <w:r w:rsidDel="00000000" w:rsidR="00000000" w:rsidRPr="00000000">
        <w:rPr>
          <w:i w:val="1"/>
          <w:color w:val="1a1c1e"/>
          <w:rtl w:val="0"/>
        </w:rPr>
        <w:t xml:space="preserve">FMEA AP (Action Priority)</w:t>
      </w:r>
      <w:r w:rsidDel="00000000" w:rsidR="00000000" w:rsidRPr="00000000">
        <w:rPr>
          <w:color w:val="1a1c1e"/>
          <w:rtl w:val="0"/>
        </w:rPr>
        <w:t xml:space="preserve">. Available at: </w:t>
      </w:r>
      <w:hyperlink r:id="rId23">
        <w:r w:rsidDel="00000000" w:rsidR="00000000" w:rsidRPr="00000000">
          <w:rPr>
            <w:color w:val="2483e2"/>
            <w:rtl w:val="0"/>
          </w:rPr>
          <w:t xml:space="preserve">https://relyence.com/help/user-guide/fmea-ap.html</w:t>
        </w:r>
      </w:hyperlink>
      <w:r w:rsidDel="00000000" w:rsidR="00000000" w:rsidRPr="00000000">
        <w:rPr>
          <w:color w:val="1a1c1e"/>
          <w:rtl w:val="0"/>
        </w:rPr>
        <w:t xml:space="preserve"> (Accessed: 15 October 2025).</w:t>
      </w:r>
    </w:p>
    <w:p w:rsidR="00000000" w:rsidDel="00000000" w:rsidP="00000000" w:rsidRDefault="00000000" w:rsidRPr="00000000" w14:paraId="0000011E">
      <w:pPr>
        <w:shd w:fill="ffffff" w:val="clear"/>
        <w:spacing w:after="280" w:before="220" w:line="342.85714285714283" w:lineRule="auto"/>
        <w:rPr>
          <w:color w:val="1a1c1e"/>
        </w:rPr>
      </w:pPr>
      <w:r w:rsidDel="00000000" w:rsidR="00000000" w:rsidRPr="00000000">
        <w:rPr>
          <w:color w:val="1a1c1e"/>
          <w:rtl w:val="0"/>
        </w:rPr>
        <w:t xml:space="preserve">Swaminathan, K. and Venkitasubramony, R. (2023) 'Demand forecasting for fashion products: A systematic review', </w:t>
      </w:r>
      <w:r w:rsidDel="00000000" w:rsidR="00000000" w:rsidRPr="00000000">
        <w:rPr>
          <w:i w:val="1"/>
          <w:color w:val="1a1c1e"/>
          <w:rtl w:val="0"/>
        </w:rPr>
        <w:t xml:space="preserve">International Journal of Forecasting</w:t>
      </w:r>
      <w:r w:rsidDel="00000000" w:rsidR="00000000" w:rsidRPr="00000000">
        <w:rPr>
          <w:color w:val="1a1c1e"/>
          <w:rtl w:val="0"/>
        </w:rPr>
        <w:t xml:space="preserve">, 40(1). Available at: </w:t>
      </w:r>
      <w:hyperlink r:id="rId24">
        <w:r w:rsidDel="00000000" w:rsidR="00000000" w:rsidRPr="00000000">
          <w:rPr>
            <w:color w:val="2483e2"/>
            <w:rtl w:val="0"/>
          </w:rPr>
          <w:t xml:space="preserve">https://doi.org/10.1016/j.ijforecast.2023.02.005</w:t>
        </w:r>
      </w:hyperlink>
      <w:r w:rsidDel="00000000" w:rsidR="00000000" w:rsidRPr="00000000">
        <w:rPr>
          <w:color w:val="1a1c1e"/>
          <w:rtl w:val="0"/>
        </w:rPr>
        <w:t xml:space="preserve">.</w:t>
      </w:r>
    </w:p>
    <w:p w:rsidR="00000000" w:rsidDel="00000000" w:rsidP="00000000" w:rsidRDefault="00000000" w:rsidRPr="00000000" w14:paraId="0000011F">
      <w:pPr>
        <w:shd w:fill="ffffff" w:val="clear"/>
        <w:spacing w:after="280" w:before="220" w:line="342.85714285714283" w:lineRule="auto"/>
        <w:rPr>
          <w:color w:val="1a1c1e"/>
        </w:rPr>
      </w:pPr>
      <w:r w:rsidDel="00000000" w:rsidR="00000000" w:rsidRPr="00000000">
        <w:rPr>
          <w:color w:val="1a1c1e"/>
          <w:rtl w:val="0"/>
        </w:rPr>
        <w:t xml:space="preserve">Tomlin, B. (2006) 'On the Value of Mitigation and Contingency Strategies for Managing Supply Chain Disruption Risks', </w:t>
      </w:r>
      <w:r w:rsidDel="00000000" w:rsidR="00000000" w:rsidRPr="00000000">
        <w:rPr>
          <w:i w:val="1"/>
          <w:color w:val="1a1c1e"/>
          <w:rtl w:val="0"/>
        </w:rPr>
        <w:t xml:space="preserve">Management Science</w:t>
      </w:r>
      <w:r w:rsidDel="00000000" w:rsidR="00000000" w:rsidRPr="00000000">
        <w:rPr>
          <w:color w:val="1a1c1e"/>
          <w:rtl w:val="0"/>
        </w:rPr>
        <w:t xml:space="preserve">, 52(5), pp. 639-657. Available at: </w:t>
      </w:r>
      <w:hyperlink r:id="rId25">
        <w:r w:rsidDel="00000000" w:rsidR="00000000" w:rsidRPr="00000000">
          <w:rPr>
            <w:color w:val="2483e2"/>
            <w:rtl w:val="0"/>
          </w:rPr>
          <w:t xml:space="preserve">https://doi.org/10.1287/mnsc.1060.0515</w:t>
        </w:r>
      </w:hyperlink>
      <w:r w:rsidDel="00000000" w:rsidR="00000000" w:rsidRPr="00000000">
        <w:rPr>
          <w:color w:val="1a1c1e"/>
          <w:rtl w:val="0"/>
        </w:rPr>
        <w:t xml:space="preserve">.</w:t>
      </w:r>
    </w:p>
    <w:p w:rsidR="00000000" w:rsidDel="00000000" w:rsidP="00000000" w:rsidRDefault="00000000" w:rsidRPr="00000000" w14:paraId="00000120">
      <w:pPr>
        <w:shd w:fill="ffffff" w:val="clear"/>
        <w:spacing w:after="280" w:before="220" w:line="342.85714285714283" w:lineRule="auto"/>
        <w:rPr>
          <w:color w:val="1a1c1e"/>
        </w:rPr>
      </w:pPr>
      <w:r w:rsidDel="00000000" w:rsidR="00000000" w:rsidRPr="00000000">
        <w:rPr>
          <w:color w:val="1a1c1e"/>
          <w:rtl w:val="0"/>
        </w:rPr>
        <w:t xml:space="preserve">Touloumidis, D., Madas, M., Zeimpekis, V. and Ayfantopoulou, G. (2025) 'Weather-Related Disruptions in Transportation and Logistics: A Systematic Literature Review and a Policy Implementation Roadmap', </w:t>
      </w:r>
      <w:r w:rsidDel="00000000" w:rsidR="00000000" w:rsidRPr="00000000">
        <w:rPr>
          <w:i w:val="1"/>
          <w:color w:val="1a1c1e"/>
          <w:rtl w:val="0"/>
        </w:rPr>
        <w:t xml:space="preserve">Logistics</w:t>
      </w:r>
      <w:r w:rsidDel="00000000" w:rsidR="00000000" w:rsidRPr="00000000">
        <w:rPr>
          <w:color w:val="1a1c1e"/>
          <w:rtl w:val="0"/>
        </w:rPr>
        <w:t xml:space="preserve">, 9(1), p. 32. Available at: </w:t>
      </w:r>
      <w:hyperlink r:id="rId26">
        <w:r w:rsidDel="00000000" w:rsidR="00000000" w:rsidRPr="00000000">
          <w:rPr>
            <w:color w:val="2483e2"/>
            <w:rtl w:val="0"/>
          </w:rPr>
          <w:t xml:space="preserve">https://doi.org/10.3390/logistics9010032</w:t>
        </w:r>
      </w:hyperlink>
      <w:r w:rsidDel="00000000" w:rsidR="00000000" w:rsidRPr="00000000">
        <w:rPr>
          <w:color w:val="1a1c1e"/>
          <w:rtl w:val="0"/>
        </w:rPr>
        <w:t xml:space="preserve">.</w:t>
      </w:r>
    </w:p>
    <w:p w:rsidR="00000000" w:rsidDel="00000000" w:rsidP="00000000" w:rsidRDefault="00000000" w:rsidRPr="00000000" w14:paraId="00000121">
      <w:pPr>
        <w:shd w:fill="ffffff" w:val="clear"/>
        <w:spacing w:after="280" w:before="220" w:line="342.85714285714283" w:lineRule="auto"/>
        <w:rPr>
          <w:color w:val="1a1c1e"/>
        </w:rPr>
      </w:pPr>
      <w:r w:rsidDel="00000000" w:rsidR="00000000" w:rsidRPr="00000000">
        <w:rPr>
          <w:color w:val="1a1c1e"/>
          <w:rtl w:val="0"/>
        </w:rPr>
        <w:t xml:space="preserve">Van Hoek, R.I. (2001) 'The rediscovery of postponement a literature review and directions for research', </w:t>
      </w:r>
      <w:r w:rsidDel="00000000" w:rsidR="00000000" w:rsidRPr="00000000">
        <w:rPr>
          <w:i w:val="1"/>
          <w:color w:val="1a1c1e"/>
          <w:rtl w:val="0"/>
        </w:rPr>
        <w:t xml:space="preserve">Journal of Operations Management</w:t>
      </w:r>
      <w:r w:rsidDel="00000000" w:rsidR="00000000" w:rsidRPr="00000000">
        <w:rPr>
          <w:color w:val="1a1c1e"/>
          <w:rtl w:val="0"/>
        </w:rPr>
        <w:t xml:space="preserve">, 19(2), pp. 161-184. Available at: </w:t>
      </w:r>
      <w:hyperlink r:id="rId27">
        <w:r w:rsidDel="00000000" w:rsidR="00000000" w:rsidRPr="00000000">
          <w:rPr>
            <w:color w:val="2483e2"/>
            <w:rtl w:val="0"/>
          </w:rPr>
          <w:t xml:space="preserve">https://doi.org/10.1016/S0272-6963(00)00057-7</w:t>
        </w:r>
      </w:hyperlink>
      <w:r w:rsidDel="00000000" w:rsidR="00000000" w:rsidRPr="00000000">
        <w:rPr>
          <w:color w:val="1a1c1e"/>
          <w:rtl w:val="0"/>
        </w:rPr>
        <w:t xml:space="preserve">.</w:t>
      </w:r>
    </w:p>
    <w:p w:rsidR="00000000" w:rsidDel="00000000" w:rsidP="00000000" w:rsidRDefault="00000000" w:rsidRPr="00000000" w14:paraId="00000122">
      <w:pPr>
        <w:shd w:fill="ffffff" w:val="clear"/>
        <w:spacing w:after="280" w:before="220" w:line="342.85714285714283" w:lineRule="auto"/>
        <w:rPr>
          <w:color w:val="1a1c1e"/>
        </w:rPr>
      </w:pPr>
      <w:r w:rsidDel="00000000" w:rsidR="00000000" w:rsidRPr="00000000">
        <w:rPr>
          <w:color w:val="1a1c1e"/>
          <w:rtl w:val="0"/>
        </w:rPr>
        <w:t xml:space="preserve">Wei, Z. and Zhou, L. (2013) 'E-Commerce Case Study of Fast Fashion Industry', in </w:t>
      </w:r>
      <w:r w:rsidDel="00000000" w:rsidR="00000000" w:rsidRPr="00000000">
        <w:rPr>
          <w:i w:val="1"/>
          <w:color w:val="1a1c1e"/>
          <w:rtl w:val="0"/>
        </w:rPr>
        <w:t xml:space="preserve">Intelligence computation and evolutionary computation</w:t>
      </w:r>
      <w:r w:rsidDel="00000000" w:rsidR="00000000" w:rsidRPr="00000000">
        <w:rPr>
          <w:color w:val="1a1c1e"/>
          <w:rtl w:val="0"/>
        </w:rPr>
        <w:t xml:space="preserve">. Berlin, Heidelberg: Springer, pp. 261-270. Available at: </w:t>
      </w:r>
      <w:hyperlink r:id="rId28">
        <w:r w:rsidDel="00000000" w:rsidR="00000000" w:rsidRPr="00000000">
          <w:rPr>
            <w:color w:val="2483e2"/>
            <w:rtl w:val="0"/>
          </w:rPr>
          <w:t xml:space="preserve">https://doi.org/10.1007/978-3-642-31656-2_39</w:t>
        </w:r>
      </w:hyperlink>
      <w:r w:rsidDel="00000000" w:rsidR="00000000" w:rsidRPr="00000000">
        <w:rPr>
          <w:color w:val="1a1c1e"/>
          <w:rtl w:val="0"/>
        </w:rPr>
        <w:t xml:space="preserve">.</w:t>
      </w:r>
    </w:p>
    <w:p w:rsidR="00000000" w:rsidDel="00000000" w:rsidP="00000000" w:rsidRDefault="00000000" w:rsidRPr="00000000" w14:paraId="00000123">
      <w:pPr>
        <w:shd w:fill="ffffff" w:val="clear"/>
        <w:spacing w:after="280" w:before="220" w:line="342.85714285714283" w:lineRule="auto"/>
        <w:rPr>
          <w:color w:val="1a1c1e"/>
        </w:rPr>
      </w:pPr>
      <w:r w:rsidDel="00000000" w:rsidR="00000000" w:rsidRPr="00000000">
        <w:rPr>
          <w:color w:val="1a1c1e"/>
          <w:rtl w:val="0"/>
        </w:rPr>
        <w:t xml:space="preserve">ZDHC (n.d.) </w:t>
      </w:r>
      <w:r w:rsidDel="00000000" w:rsidR="00000000" w:rsidRPr="00000000">
        <w:rPr>
          <w:i w:val="1"/>
          <w:color w:val="1a1c1e"/>
          <w:rtl w:val="0"/>
        </w:rPr>
        <w:t xml:space="preserve">ZDHC MRSL</w:t>
      </w:r>
      <w:r w:rsidDel="00000000" w:rsidR="00000000" w:rsidRPr="00000000">
        <w:rPr>
          <w:color w:val="1a1c1e"/>
          <w:rtl w:val="0"/>
        </w:rPr>
        <w:t xml:space="preserve">. Available at: </w:t>
      </w:r>
      <w:hyperlink r:id="rId29">
        <w:r w:rsidDel="00000000" w:rsidR="00000000" w:rsidRPr="00000000">
          <w:rPr>
            <w:color w:val="2483e2"/>
            <w:rtl w:val="0"/>
          </w:rPr>
          <w:t xml:space="preserve">https://mrsl.roadmaptozero.com/</w:t>
        </w:r>
      </w:hyperlink>
      <w:r w:rsidDel="00000000" w:rsidR="00000000" w:rsidRPr="00000000">
        <w:rPr>
          <w:color w:val="1a1c1e"/>
          <w:rtl w:val="0"/>
        </w:rPr>
        <w:t xml:space="preserve"> (Accessed: 15 October 2025).</w:t>
      </w:r>
    </w:p>
    <w:p w:rsidR="00000000" w:rsidDel="00000000" w:rsidP="00000000" w:rsidRDefault="00000000" w:rsidRPr="00000000" w14:paraId="00000124">
      <w:pPr>
        <w:shd w:fill="ffffff" w:val="clear"/>
        <w:spacing w:after="280" w:before="220" w:line="342.85714285714283" w:lineRule="auto"/>
        <w:rPr>
          <w:color w:val="1a1c1e"/>
        </w:rPr>
      </w:pPr>
      <w:r w:rsidDel="00000000" w:rsidR="00000000" w:rsidRPr="00000000">
        <w:rPr>
          <w:color w:val="1a1c1e"/>
          <w:rtl w:val="0"/>
        </w:rPr>
        <w:t xml:space="preserve">ZDHC (2024) </w:t>
      </w:r>
      <w:r w:rsidDel="00000000" w:rsidR="00000000" w:rsidRPr="00000000">
        <w:rPr>
          <w:i w:val="1"/>
          <w:color w:val="1a1c1e"/>
          <w:rtl w:val="0"/>
        </w:rPr>
        <w:t xml:space="preserve">ZDHC Wastewater Guidelines</w:t>
      </w:r>
      <w:r w:rsidDel="00000000" w:rsidR="00000000" w:rsidRPr="00000000">
        <w:rPr>
          <w:color w:val="1a1c1e"/>
          <w:rtl w:val="0"/>
        </w:rPr>
        <w:t xml:space="preserve">. Available at: </w:t>
      </w:r>
      <w:hyperlink r:id="rId30">
        <w:r w:rsidDel="00000000" w:rsidR="00000000" w:rsidRPr="00000000">
          <w:rPr>
            <w:color w:val="2483e2"/>
            <w:rtl w:val="0"/>
          </w:rPr>
          <w:t xml:space="preserve">https://analytical-group.com/wp-content/uploads/ZDHCWastewaterGuidelinesV2.2.pdf</w:t>
        </w:r>
      </w:hyperlink>
      <w:r w:rsidDel="00000000" w:rsidR="00000000" w:rsidRPr="00000000">
        <w:rPr>
          <w:color w:val="1a1c1e"/>
          <w:rtl w:val="0"/>
        </w:rPr>
        <w:t xml:space="preserve"> (Accessed: 15 October 2025).</w:t>
      </w:r>
    </w:p>
    <w:p w:rsidR="00000000" w:rsidDel="00000000" w:rsidP="00000000" w:rsidRDefault="00000000" w:rsidRPr="00000000" w14:paraId="00000125">
      <w:pPr>
        <w:shd w:fill="ffffff" w:val="clear"/>
        <w:spacing w:after="0" w:before="220" w:line="342.85714285714283" w:lineRule="auto"/>
        <w:rPr>
          <w:color w:val="1a1c1e"/>
        </w:rPr>
      </w:pPr>
      <w:r w:rsidDel="00000000" w:rsidR="00000000" w:rsidRPr="00000000">
        <w:rPr>
          <w:color w:val="1a1c1e"/>
          <w:rtl w:val="0"/>
        </w:rPr>
        <w:t xml:space="preserve">Živičnjak, M., Rogić, K. and Bajor, I. (2022) 'Case-study analysis of warehouse process optimization', </w:t>
      </w:r>
      <w:r w:rsidDel="00000000" w:rsidR="00000000" w:rsidRPr="00000000">
        <w:rPr>
          <w:i w:val="1"/>
          <w:color w:val="1a1c1e"/>
          <w:rtl w:val="0"/>
        </w:rPr>
        <w:t xml:space="preserve">Transportation Research Procedia</w:t>
      </w:r>
      <w:r w:rsidDel="00000000" w:rsidR="00000000" w:rsidRPr="00000000">
        <w:rPr>
          <w:color w:val="1a1c1e"/>
          <w:rtl w:val="0"/>
        </w:rPr>
        <w:t xml:space="preserve">, 64, pp. 215–223. Available at: </w:t>
      </w:r>
      <w:hyperlink r:id="rId31">
        <w:r w:rsidDel="00000000" w:rsidR="00000000" w:rsidRPr="00000000">
          <w:rPr>
            <w:color w:val="2483e2"/>
            <w:rtl w:val="0"/>
          </w:rPr>
          <w:t xml:space="preserve">https://doi.org/10.1016/j.trpro.2022.09.026</w:t>
        </w:r>
      </w:hyperlink>
      <w:r w:rsidDel="00000000" w:rsidR="00000000" w:rsidRPr="00000000">
        <w:rPr>
          <w:color w:val="1a1c1e"/>
          <w:rtl w:val="0"/>
        </w:rPr>
        <w:t xml:space="preserve">.</w:t>
      </w:r>
    </w:p>
    <w:p w:rsidR="00000000" w:rsidDel="00000000" w:rsidP="00000000" w:rsidRDefault="00000000" w:rsidRPr="00000000" w14:paraId="00000126">
      <w:pPr>
        <w:rPr/>
      </w:pPr>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Aptos"/>
  <w:font w:name="Play">
    <w:embedRegular w:fontKey="{00000000-0000-0000-0000-000000000000}" r:id="rId1" w:subsetted="0"/>
    <w:embedBold w:fontKey="{00000000-0000-0000-0000-000000000000}" r:id="rId2" w:subsetted="0"/>
  </w:font>
  <w:font w:name="Cardo">
    <w:embedRegular w:fontKey="{00000000-0000-0000-0000-000000000000}" r:id="rId3" w:subsetted="0"/>
    <w:embedBold w:fontKey="{00000000-0000-0000-0000-000000000000}" r:id="rId4" w:subsetted="0"/>
    <w:embedItalic w:fontKey="{00000000-0000-0000-0000-000000000000}" r:id="rId5"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36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36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jc w:val="left"/>
    </w:pPr>
    <w:rPr>
      <w:b w:val="1"/>
      <w:color w:val="1a1c1e"/>
      <w:sz w:val="32"/>
      <w:szCs w:val="32"/>
    </w:rPr>
  </w:style>
  <w:style w:type="paragraph" w:styleId="Heading2">
    <w:name w:val="heading 2"/>
    <w:basedOn w:val="Normal"/>
    <w:next w:val="Normal"/>
    <w:pPr>
      <w:keepNext w:val="1"/>
      <w:keepLines w:val="1"/>
      <w:spacing w:after="80" w:before="160" w:lineRule="auto"/>
      <w:jc w:val="left"/>
    </w:pPr>
    <w:rPr>
      <w:b w:val="1"/>
      <w:color w:val="1a1c1e"/>
      <w:sz w:val="28"/>
      <w:szCs w:val="28"/>
    </w:rPr>
  </w:style>
  <w:style w:type="paragraph" w:styleId="Heading3">
    <w:name w:val="heading 3"/>
    <w:basedOn w:val="Normal"/>
    <w:next w:val="Normal"/>
    <w:pPr>
      <w:keepNext w:val="1"/>
      <w:keepLines w:val="1"/>
      <w:spacing w:after="80" w:before="160" w:lineRule="auto"/>
    </w:pPr>
    <w:rPr>
      <w:b w:val="1"/>
      <w:color w:val="000000"/>
    </w:rPr>
  </w:style>
  <w:style w:type="paragraph" w:styleId="Heading4">
    <w:name w:val="heading 4"/>
    <w:basedOn w:val="Normal"/>
    <w:next w:val="Normal"/>
    <w:pPr>
      <w:keepNext w:val="1"/>
      <w:keepLines w:val="1"/>
      <w:spacing w:after="40" w:before="80" w:lineRule="auto"/>
    </w:pPr>
    <w:rPr>
      <w:rFonts w:ascii="Aptos" w:cs="Aptos" w:eastAsia="Aptos" w:hAnsi="Aptos"/>
      <w:i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016/j.omega.2024.103250" TargetMode="External"/><Relationship Id="rId22" Type="http://schemas.openxmlformats.org/officeDocument/2006/relationships/hyperlink" Target="https://finance.yahoo.com/news/zara-owner-inditexs-transport-emissions-131317763.html" TargetMode="External"/><Relationship Id="rId21" Type="http://schemas.openxmlformats.org/officeDocument/2006/relationships/hyperlink" Target="https://o9solutions.com/articles/advanced-size-curve-analysis" TargetMode="External"/><Relationship Id="rId24" Type="http://schemas.openxmlformats.org/officeDocument/2006/relationships/hyperlink" Target="https://doi.org/10.1016/j.ijforecast.2023.02.005" TargetMode="External"/><Relationship Id="rId23" Type="http://schemas.openxmlformats.org/officeDocument/2006/relationships/hyperlink" Target="https://relyence.com/help/user-guide/fmea-ap.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iag.org/training-and-resources/manuals/details/FMEAAV-1" TargetMode="External"/><Relationship Id="rId26" Type="http://schemas.openxmlformats.org/officeDocument/2006/relationships/hyperlink" Target="https://doi.org/10.3390/logistics9010032" TargetMode="External"/><Relationship Id="rId25" Type="http://schemas.openxmlformats.org/officeDocument/2006/relationships/hyperlink" Target="https://doi.org/10.1287/mnsc.1060.0515" TargetMode="External"/><Relationship Id="rId28" Type="http://schemas.openxmlformats.org/officeDocument/2006/relationships/hyperlink" Target="https://doi.org/10.1007/978-3-642-31656-2_39" TargetMode="External"/><Relationship Id="rId27" Type="http://schemas.openxmlformats.org/officeDocument/2006/relationships/hyperlink" Target="https://doi.org/10.1016/S0272-6963(00)00057-7" TargetMode="External"/><Relationship Id="rId5" Type="http://schemas.openxmlformats.org/officeDocument/2006/relationships/styles" Target="styles.xml"/><Relationship Id="rId6" Type="http://schemas.openxmlformats.org/officeDocument/2006/relationships/footer" Target="footer2.xml"/><Relationship Id="rId29" Type="http://schemas.openxmlformats.org/officeDocument/2006/relationships/hyperlink" Target="https://mrsl.roadmaptozero.com/" TargetMode="External"/><Relationship Id="rId7" Type="http://schemas.openxmlformats.org/officeDocument/2006/relationships/footer" Target="footer1.xml"/><Relationship Id="rId8" Type="http://schemas.openxmlformats.org/officeDocument/2006/relationships/hyperlink" Target="https://doi.org/10.1016/j.resconrec.2015.02.009" TargetMode="External"/><Relationship Id="rId31" Type="http://schemas.openxmlformats.org/officeDocument/2006/relationships/hyperlink" Target="https://doi.org/10.1016/j.trpro.2022.09.026" TargetMode="External"/><Relationship Id="rId30" Type="http://schemas.openxmlformats.org/officeDocument/2006/relationships/hyperlink" Target="https://analytical-group.com/wp-content/uploads/ZDHCWastewaterGuidelinesV2.2.pdf" TargetMode="External"/><Relationship Id="rId11" Type="http://schemas.openxmlformats.org/officeDocument/2006/relationships/hyperlink" Target="https://doi.org/10.31387/oscm0580439" TargetMode="External"/><Relationship Id="rId10" Type="http://schemas.openxmlformats.org/officeDocument/2006/relationships/hyperlink" Target="https://doi.org/10.1007/978-981-13-1268-7_1" TargetMode="External"/><Relationship Id="rId13" Type="http://schemas.openxmlformats.org/officeDocument/2006/relationships/hyperlink" Target="https://apnews.com/article/ransomware-attack-disrupts-starbucks-morrisons-4281388e1b2d196a5fc10fa0c996c7ed" TargetMode="External"/><Relationship Id="rId12" Type="http://schemas.openxmlformats.org/officeDocument/2006/relationships/hyperlink" Target="https://www.enisa.europa.eu/publications/enisa-threat-landscape-2023" TargetMode="External"/><Relationship Id="rId15" Type="http://schemas.openxmlformats.org/officeDocument/2006/relationships/hyperlink" Target="https://www.inditex.com/itxcomweb/api/media/67318e10-6bd2-438b-accb-5a372d82a953/Annualaccountsanddirectorsreport2024parent.pdf" TargetMode="External"/><Relationship Id="rId14" Type="http://schemas.openxmlformats.org/officeDocument/2006/relationships/hyperlink" Target="https://www.library.hbs.edu/working-conditions-in-supply-chains/citations/can-brands-claim-ignorance-unauthorized-subcontracting-in-apparel-supply-chains" TargetMode="External"/><Relationship Id="rId17" Type="http://schemas.openxmlformats.org/officeDocument/2006/relationships/hyperlink" Target="https://doi.org/10.1016/j.cie.2024.110030" TargetMode="External"/><Relationship Id="rId16" Type="http://schemas.openxmlformats.org/officeDocument/2006/relationships/hyperlink" Target="https://doi.org/10.1016/j.ijpe.2021.108319" TargetMode="External"/><Relationship Id="rId19" Type="http://schemas.openxmlformats.org/officeDocument/2006/relationships/hyperlink" Target="https://doi.org/10.1016/j.martra.2025.100130" TargetMode="External"/><Relationship Id="rId18" Type="http://schemas.openxmlformats.org/officeDocument/2006/relationships/hyperlink" Target="https://doi.org/10.1016/j.tre.2024.10390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Cardo-regular.ttf"/><Relationship Id="rId4" Type="http://schemas.openxmlformats.org/officeDocument/2006/relationships/font" Target="fonts/Cardo-bold.ttf"/><Relationship Id="rId5" Type="http://schemas.openxmlformats.org/officeDocument/2006/relationships/font" Target="fonts/Cardo-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