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44FC3A" w14:textId="77777777" w:rsidR="00EA16FC" w:rsidRDefault="00D14CB3">
      <w:r>
        <w:t xml:space="preserve">Running Head: Report </w:t>
      </w:r>
    </w:p>
    <w:p w14:paraId="098D2E37" w14:textId="77777777" w:rsidR="00CF7804" w:rsidRDefault="00CF7804"/>
    <w:p w14:paraId="0832B240" w14:textId="77777777" w:rsidR="00CF7804" w:rsidRDefault="00CF7804"/>
    <w:p w14:paraId="1BECF28E" w14:textId="77777777" w:rsidR="00CF7804" w:rsidRDefault="00CF7804"/>
    <w:p w14:paraId="6C21F8FD" w14:textId="77777777" w:rsidR="00CF7804" w:rsidRDefault="00CF7804"/>
    <w:p w14:paraId="6E5A0615" w14:textId="77777777" w:rsidR="00CF7804" w:rsidRDefault="00CF7804"/>
    <w:p w14:paraId="0EA83D5B" w14:textId="77777777" w:rsidR="00CF7804" w:rsidRDefault="00CF7804"/>
    <w:p w14:paraId="67468AEC" w14:textId="77777777" w:rsidR="00CF7804" w:rsidRDefault="00CF7804"/>
    <w:p w14:paraId="184C68C9" w14:textId="77777777" w:rsidR="00CF7804" w:rsidRDefault="00CF7804" w:rsidP="00CF7804">
      <w:pPr>
        <w:jc w:val="center"/>
      </w:pPr>
    </w:p>
    <w:p w14:paraId="465CB3D2" w14:textId="77777777" w:rsidR="00CF7804" w:rsidRDefault="00CF7804" w:rsidP="00CF7804">
      <w:pPr>
        <w:jc w:val="center"/>
      </w:pPr>
    </w:p>
    <w:p w14:paraId="6D6B6018" w14:textId="77777777" w:rsidR="00AA302C" w:rsidRDefault="00AA302C" w:rsidP="00CF7804">
      <w:pPr>
        <w:jc w:val="center"/>
      </w:pPr>
    </w:p>
    <w:p w14:paraId="6C142E7B" w14:textId="77777777" w:rsidR="00172F2E" w:rsidRPr="00DD48EB" w:rsidRDefault="00A461EA" w:rsidP="00CF7804">
      <w:pPr>
        <w:jc w:val="center"/>
        <w:rPr>
          <w:b/>
          <w:bCs/>
        </w:rPr>
      </w:pPr>
      <w:r w:rsidRPr="00DD48EB">
        <w:rPr>
          <w:b/>
          <w:bCs/>
        </w:rPr>
        <w:t xml:space="preserve">“Evaluate Person-Centered Care and Partnership </w:t>
      </w:r>
    </w:p>
    <w:p w14:paraId="4B526CA2" w14:textId="2DC7FBD0" w:rsidR="00AA302C" w:rsidRPr="00DD48EB" w:rsidRDefault="00A461EA" w:rsidP="00CF7804">
      <w:pPr>
        <w:jc w:val="center"/>
        <w:rPr>
          <w:b/>
          <w:bCs/>
        </w:rPr>
      </w:pPr>
      <w:r w:rsidRPr="00DD48EB">
        <w:rPr>
          <w:b/>
          <w:bCs/>
        </w:rPr>
        <w:t>Working in Health and Social Care”</w:t>
      </w:r>
    </w:p>
    <w:p w14:paraId="341E5CB1" w14:textId="707CB987" w:rsidR="00CF7804" w:rsidRDefault="00D14CB3" w:rsidP="00CF7804">
      <w:pPr>
        <w:jc w:val="center"/>
      </w:pPr>
      <w:r>
        <w:t>Name of Student:</w:t>
      </w:r>
      <w:r w:rsidR="008E695D">
        <w:t>Furaha Bahati</w:t>
      </w:r>
    </w:p>
    <w:p w14:paraId="0BD6C3FA" w14:textId="7082978E" w:rsidR="00CF7804" w:rsidRDefault="00D14CB3" w:rsidP="00CF7804">
      <w:pPr>
        <w:jc w:val="center"/>
      </w:pPr>
      <w:r>
        <w:t>Date of Submission:</w:t>
      </w:r>
      <w:r w:rsidR="008E695D">
        <w:t>2321694</w:t>
      </w:r>
    </w:p>
    <w:p w14:paraId="492900D9" w14:textId="77777777" w:rsidR="00CF7804" w:rsidRDefault="00D14CB3">
      <w:pPr>
        <w:spacing w:before="0" w:after="160" w:line="259" w:lineRule="auto"/>
        <w:jc w:val="left"/>
      </w:pPr>
      <w:r>
        <w:br w:type="page"/>
      </w:r>
    </w:p>
    <w:sdt>
      <w:sdtPr>
        <w:rPr>
          <w:rFonts w:ascii="Times New Roman" w:eastAsiaTheme="minorHAnsi" w:hAnsi="Times New Roman" w:cstheme="minorBidi"/>
          <w:noProof/>
          <w:color w:val="auto"/>
          <w:sz w:val="24"/>
          <w:szCs w:val="22"/>
          <w:lang w:val="en-GB"/>
        </w:rPr>
        <w:id w:val="2017258563"/>
        <w:docPartObj>
          <w:docPartGallery w:val="Table of Contents"/>
          <w:docPartUnique/>
        </w:docPartObj>
      </w:sdtPr>
      <w:sdtEndPr>
        <w:rPr>
          <w:rFonts w:cs="Times New Roman"/>
          <w:b/>
          <w:bCs/>
          <w:szCs w:val="24"/>
        </w:rPr>
      </w:sdtEndPr>
      <w:sdtContent>
        <w:p w14:paraId="4512530F" w14:textId="77777777" w:rsidR="003400CE" w:rsidRPr="003400CE" w:rsidRDefault="00D14CB3" w:rsidP="003400CE">
          <w:pPr>
            <w:pStyle w:val="TOCHeading"/>
            <w:jc w:val="center"/>
            <w:rPr>
              <w:rFonts w:ascii="Times New Roman" w:hAnsi="Times New Roman" w:cs="Times New Roman"/>
              <w:b/>
              <w:bCs/>
              <w:color w:val="0D0D0D" w:themeColor="text1" w:themeTint="F2"/>
            </w:rPr>
          </w:pPr>
          <w:r w:rsidRPr="003400CE">
            <w:rPr>
              <w:rFonts w:ascii="Times New Roman" w:hAnsi="Times New Roman" w:cs="Times New Roman"/>
              <w:b/>
              <w:bCs/>
              <w:color w:val="0D0D0D" w:themeColor="text1" w:themeTint="F2"/>
            </w:rPr>
            <w:t>Table of Contents</w:t>
          </w:r>
        </w:p>
        <w:p w14:paraId="6B093233"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r w:rsidRPr="003400CE">
            <w:rPr>
              <w:rFonts w:ascii="Times New Roman" w:hAnsi="Times New Roman"/>
              <w:sz w:val="24"/>
              <w:szCs w:val="24"/>
            </w:rPr>
            <w:fldChar w:fldCharType="begin"/>
          </w:r>
          <w:r w:rsidRPr="003400CE">
            <w:rPr>
              <w:rFonts w:ascii="Times New Roman" w:hAnsi="Times New Roman"/>
              <w:sz w:val="24"/>
              <w:szCs w:val="24"/>
            </w:rPr>
            <w:instrText xml:space="preserve"> TOC \o "1-3" \h \z \u </w:instrText>
          </w:r>
          <w:r w:rsidRPr="003400CE">
            <w:rPr>
              <w:rFonts w:ascii="Times New Roman" w:hAnsi="Times New Roman"/>
              <w:sz w:val="24"/>
              <w:szCs w:val="24"/>
            </w:rPr>
            <w:fldChar w:fldCharType="separate"/>
          </w:r>
          <w:hyperlink w:anchor="_Toc223986803" w:history="1">
            <w:r w:rsidRPr="003400CE">
              <w:rPr>
                <w:rStyle w:val="Hyperlink"/>
                <w:rFonts w:ascii="Times New Roman" w:hAnsi="Times New Roman"/>
                <w:sz w:val="24"/>
                <w:szCs w:val="24"/>
              </w:rPr>
              <w:t>Introduction</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_Toc223986803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3</w:t>
            </w:r>
            <w:r w:rsidRPr="003400CE">
              <w:rPr>
                <w:rFonts w:ascii="Times New Roman" w:hAnsi="Times New Roman"/>
                <w:webHidden/>
                <w:sz w:val="24"/>
                <w:szCs w:val="24"/>
              </w:rPr>
              <w:fldChar w:fldCharType="end"/>
            </w:r>
          </w:hyperlink>
        </w:p>
        <w:p w14:paraId="5AD7C0DE"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04" w:history="1">
            <w:r w:rsidRPr="003400CE">
              <w:rPr>
                <w:rStyle w:val="Hyperlink"/>
                <w:rFonts w:ascii="Times New Roman" w:hAnsi="Times New Roman"/>
                <w:sz w:val="24"/>
                <w:szCs w:val="24"/>
              </w:rPr>
              <w:t>Defining Person-Centred Care</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_Toc223986804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3</w:t>
            </w:r>
            <w:r w:rsidRPr="003400CE">
              <w:rPr>
                <w:rFonts w:ascii="Times New Roman" w:hAnsi="Times New Roman"/>
                <w:webHidden/>
                <w:sz w:val="24"/>
                <w:szCs w:val="24"/>
              </w:rPr>
              <w:fldChar w:fldCharType="end"/>
            </w:r>
          </w:hyperlink>
        </w:p>
        <w:p w14:paraId="220EE5AF"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05" w:history="1">
            <w:r w:rsidRPr="003400CE">
              <w:rPr>
                <w:rStyle w:val="Hyperlink"/>
                <w:rFonts w:ascii="Times New Roman" w:hAnsi="Times New Roman"/>
                <w:sz w:val="24"/>
                <w:szCs w:val="24"/>
              </w:rPr>
              <w:t>Theoretical Underpinnings of Person-Centred Care</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_Toc223986805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4</w:t>
            </w:r>
            <w:r w:rsidRPr="003400CE">
              <w:rPr>
                <w:rFonts w:ascii="Times New Roman" w:hAnsi="Times New Roman"/>
                <w:webHidden/>
                <w:sz w:val="24"/>
                <w:szCs w:val="24"/>
              </w:rPr>
              <w:fldChar w:fldCharType="end"/>
            </w:r>
          </w:hyperlink>
        </w:p>
        <w:p w14:paraId="308E26AB" w14:textId="77777777" w:rsidR="003400CE" w:rsidRPr="003400CE" w:rsidRDefault="00D14CB3" w:rsidP="003400CE">
          <w:pPr>
            <w:pStyle w:val="TOC2"/>
            <w:tabs>
              <w:tab w:val="right" w:leader="dot" w:pos="9270"/>
            </w:tabs>
            <w:rPr>
              <w:rFonts w:cs="Times New Roman"/>
              <w:szCs w:val="24"/>
            </w:rPr>
          </w:pPr>
          <w:hyperlink w:anchor="_Toc223986806" w:history="1">
            <w:r w:rsidRPr="003400CE">
              <w:rPr>
                <w:rStyle w:val="Hyperlink"/>
                <w:rFonts w:cs="Times New Roman"/>
                <w:szCs w:val="24"/>
              </w:rPr>
              <w:t>Tom Kitwood’s Enriched Model of Care</w:t>
            </w:r>
            <w:r w:rsidRPr="003400CE">
              <w:rPr>
                <w:rFonts w:cs="Times New Roman"/>
                <w:webHidden/>
                <w:szCs w:val="24"/>
              </w:rPr>
              <w:tab/>
            </w:r>
            <w:r w:rsidRPr="003400CE">
              <w:rPr>
                <w:rFonts w:cs="Times New Roman"/>
                <w:webHidden/>
                <w:szCs w:val="24"/>
              </w:rPr>
              <w:fldChar w:fldCharType="begin"/>
            </w:r>
            <w:r w:rsidRPr="003400CE">
              <w:rPr>
                <w:rFonts w:cs="Times New Roman"/>
                <w:webHidden/>
                <w:szCs w:val="24"/>
              </w:rPr>
              <w:instrText xml:space="preserve"> PAGEREF _Toc223986806 \h </w:instrText>
            </w:r>
            <w:r w:rsidRPr="003400CE">
              <w:rPr>
                <w:rFonts w:cs="Times New Roman"/>
                <w:webHidden/>
                <w:szCs w:val="24"/>
              </w:rPr>
            </w:r>
            <w:r w:rsidRPr="003400CE">
              <w:rPr>
                <w:rFonts w:cs="Times New Roman"/>
                <w:webHidden/>
                <w:szCs w:val="24"/>
              </w:rPr>
              <w:fldChar w:fldCharType="separate"/>
            </w:r>
            <w:r w:rsidRPr="003400CE">
              <w:rPr>
                <w:rFonts w:cs="Times New Roman"/>
                <w:webHidden/>
                <w:szCs w:val="24"/>
              </w:rPr>
              <w:t>4</w:t>
            </w:r>
            <w:r w:rsidRPr="003400CE">
              <w:rPr>
                <w:rFonts w:cs="Times New Roman"/>
                <w:webHidden/>
                <w:szCs w:val="24"/>
              </w:rPr>
              <w:fldChar w:fldCharType="end"/>
            </w:r>
          </w:hyperlink>
        </w:p>
        <w:p w14:paraId="586E3B85" w14:textId="77777777" w:rsidR="003400CE" w:rsidRPr="003400CE" w:rsidRDefault="00D14CB3" w:rsidP="003400CE">
          <w:pPr>
            <w:pStyle w:val="TOC2"/>
            <w:tabs>
              <w:tab w:val="right" w:leader="dot" w:pos="9270"/>
            </w:tabs>
            <w:rPr>
              <w:rFonts w:cs="Times New Roman"/>
              <w:szCs w:val="24"/>
            </w:rPr>
          </w:pPr>
          <w:hyperlink w:anchor="_Toc223986807" w:history="1">
            <w:r w:rsidRPr="003400CE">
              <w:rPr>
                <w:rStyle w:val="Hyperlink"/>
                <w:rFonts w:cs="Times New Roman"/>
                <w:szCs w:val="24"/>
              </w:rPr>
              <w:t>Critical Examination of Practical Implementation</w:t>
            </w:r>
            <w:r w:rsidRPr="003400CE">
              <w:rPr>
                <w:rFonts w:cs="Times New Roman"/>
                <w:webHidden/>
                <w:szCs w:val="24"/>
              </w:rPr>
              <w:tab/>
            </w:r>
            <w:r w:rsidRPr="003400CE">
              <w:rPr>
                <w:rFonts w:cs="Times New Roman"/>
                <w:webHidden/>
                <w:szCs w:val="24"/>
              </w:rPr>
              <w:fldChar w:fldCharType="begin"/>
            </w:r>
            <w:r w:rsidRPr="003400CE">
              <w:rPr>
                <w:rFonts w:cs="Times New Roman"/>
                <w:webHidden/>
                <w:szCs w:val="24"/>
              </w:rPr>
              <w:instrText xml:space="preserve"> PAGEREF _Toc223986807 \h </w:instrText>
            </w:r>
            <w:r w:rsidRPr="003400CE">
              <w:rPr>
                <w:rFonts w:cs="Times New Roman"/>
                <w:webHidden/>
                <w:szCs w:val="24"/>
              </w:rPr>
            </w:r>
            <w:r w:rsidRPr="003400CE">
              <w:rPr>
                <w:rFonts w:cs="Times New Roman"/>
                <w:webHidden/>
                <w:szCs w:val="24"/>
              </w:rPr>
              <w:fldChar w:fldCharType="separate"/>
            </w:r>
            <w:r w:rsidRPr="003400CE">
              <w:rPr>
                <w:rFonts w:cs="Times New Roman"/>
                <w:webHidden/>
                <w:szCs w:val="24"/>
              </w:rPr>
              <w:t>4</w:t>
            </w:r>
            <w:r w:rsidRPr="003400CE">
              <w:rPr>
                <w:rFonts w:cs="Times New Roman"/>
                <w:webHidden/>
                <w:szCs w:val="24"/>
              </w:rPr>
              <w:fldChar w:fldCharType="end"/>
            </w:r>
          </w:hyperlink>
        </w:p>
        <w:p w14:paraId="17EE4F83"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08" w:history="1">
            <w:r w:rsidRPr="003400CE">
              <w:rPr>
                <w:rStyle w:val="Hyperlink"/>
                <w:rFonts w:ascii="Times New Roman" w:hAnsi="Times New Roman"/>
                <w:sz w:val="24"/>
                <w:szCs w:val="24"/>
              </w:rPr>
              <w:t>Ethical Fundamentals of Health and Social Care</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_Toc223986808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5</w:t>
            </w:r>
            <w:r w:rsidRPr="003400CE">
              <w:rPr>
                <w:rFonts w:ascii="Times New Roman" w:hAnsi="Times New Roman"/>
                <w:webHidden/>
                <w:sz w:val="24"/>
                <w:szCs w:val="24"/>
              </w:rPr>
              <w:fldChar w:fldCharType="end"/>
            </w:r>
          </w:hyperlink>
        </w:p>
        <w:p w14:paraId="2C6D012C"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09" w:history="1">
            <w:r w:rsidRPr="003400CE">
              <w:rPr>
                <w:rStyle w:val="Hyperlink"/>
                <w:rFonts w:ascii="Times New Roman" w:hAnsi="Times New Roman"/>
                <w:sz w:val="24"/>
                <w:szCs w:val="24"/>
              </w:rPr>
              <w:t>Evaluation of Partnership Working</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_Toc223986809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6</w:t>
            </w:r>
            <w:r w:rsidRPr="003400CE">
              <w:rPr>
                <w:rFonts w:ascii="Times New Roman" w:hAnsi="Times New Roman"/>
                <w:webHidden/>
                <w:sz w:val="24"/>
                <w:szCs w:val="24"/>
              </w:rPr>
              <w:fldChar w:fldCharType="end"/>
            </w:r>
          </w:hyperlink>
        </w:p>
        <w:p w14:paraId="6CD2D1BE"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10" w:history="1">
            <w:r w:rsidRPr="003400CE">
              <w:rPr>
                <w:rStyle w:val="Hyperlink"/>
                <w:rFonts w:ascii="Times New Roman" w:hAnsi="Times New Roman"/>
                <w:sz w:val="24"/>
                <w:szCs w:val="24"/>
              </w:rPr>
              <w:t>Policy and Legislation</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_Toc223986810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7</w:t>
            </w:r>
            <w:r w:rsidRPr="003400CE">
              <w:rPr>
                <w:rFonts w:ascii="Times New Roman" w:hAnsi="Times New Roman"/>
                <w:webHidden/>
                <w:sz w:val="24"/>
                <w:szCs w:val="24"/>
              </w:rPr>
              <w:fldChar w:fldCharType="end"/>
            </w:r>
          </w:hyperlink>
        </w:p>
        <w:p w14:paraId="6EC56147" w14:textId="77777777" w:rsidR="003400CE" w:rsidRPr="003400CE" w:rsidRDefault="00D14CB3" w:rsidP="003400CE">
          <w:pPr>
            <w:pStyle w:val="TOC2"/>
            <w:tabs>
              <w:tab w:val="right" w:leader="dot" w:pos="9270"/>
            </w:tabs>
            <w:rPr>
              <w:rFonts w:cs="Times New Roman"/>
              <w:szCs w:val="24"/>
            </w:rPr>
          </w:pPr>
          <w:hyperlink w:anchor="_Toc223986811" w:history="1">
            <w:r w:rsidRPr="003400CE">
              <w:rPr>
                <w:rStyle w:val="Hyperlink"/>
                <w:rFonts w:cs="Times New Roman"/>
                <w:szCs w:val="24"/>
              </w:rPr>
              <w:t>The Care Act 2014 and Integrated Practice</w:t>
            </w:r>
            <w:r w:rsidRPr="003400CE">
              <w:rPr>
                <w:rFonts w:cs="Times New Roman"/>
                <w:webHidden/>
                <w:szCs w:val="24"/>
              </w:rPr>
              <w:tab/>
            </w:r>
            <w:r w:rsidRPr="003400CE">
              <w:rPr>
                <w:rFonts w:cs="Times New Roman"/>
                <w:webHidden/>
                <w:szCs w:val="24"/>
              </w:rPr>
              <w:fldChar w:fldCharType="begin"/>
            </w:r>
            <w:r w:rsidRPr="003400CE">
              <w:rPr>
                <w:rFonts w:cs="Times New Roman"/>
                <w:webHidden/>
                <w:szCs w:val="24"/>
              </w:rPr>
              <w:instrText xml:space="preserve"> PAGEREF _Toc223986811 \h </w:instrText>
            </w:r>
            <w:r w:rsidRPr="003400CE">
              <w:rPr>
                <w:rFonts w:cs="Times New Roman"/>
                <w:webHidden/>
                <w:szCs w:val="24"/>
              </w:rPr>
            </w:r>
            <w:r w:rsidRPr="003400CE">
              <w:rPr>
                <w:rFonts w:cs="Times New Roman"/>
                <w:webHidden/>
                <w:szCs w:val="24"/>
              </w:rPr>
              <w:fldChar w:fldCharType="separate"/>
            </w:r>
            <w:r w:rsidRPr="003400CE">
              <w:rPr>
                <w:rFonts w:cs="Times New Roman"/>
                <w:webHidden/>
                <w:szCs w:val="24"/>
              </w:rPr>
              <w:t>7</w:t>
            </w:r>
            <w:r w:rsidRPr="003400CE">
              <w:rPr>
                <w:rFonts w:cs="Times New Roman"/>
                <w:webHidden/>
                <w:szCs w:val="24"/>
              </w:rPr>
              <w:fldChar w:fldCharType="end"/>
            </w:r>
          </w:hyperlink>
        </w:p>
        <w:p w14:paraId="2531D95B" w14:textId="77777777" w:rsidR="003400CE" w:rsidRPr="003400CE" w:rsidRDefault="00D14CB3" w:rsidP="003400CE">
          <w:pPr>
            <w:pStyle w:val="TOC2"/>
            <w:tabs>
              <w:tab w:val="right" w:leader="dot" w:pos="9270"/>
            </w:tabs>
            <w:rPr>
              <w:rFonts w:cs="Times New Roman"/>
              <w:szCs w:val="24"/>
            </w:rPr>
          </w:pPr>
          <w:hyperlink w:anchor="_Toc223986812" w:history="1">
            <w:r w:rsidRPr="003400CE">
              <w:rPr>
                <w:rStyle w:val="Hyperlink"/>
                <w:rFonts w:cs="Times New Roman"/>
                <w:szCs w:val="24"/>
              </w:rPr>
              <w:t>Influence on Current Practice Standards</w:t>
            </w:r>
            <w:r w:rsidRPr="003400CE">
              <w:rPr>
                <w:rFonts w:cs="Times New Roman"/>
                <w:webHidden/>
                <w:szCs w:val="24"/>
              </w:rPr>
              <w:tab/>
            </w:r>
            <w:r w:rsidRPr="003400CE">
              <w:rPr>
                <w:rFonts w:cs="Times New Roman"/>
                <w:webHidden/>
                <w:szCs w:val="24"/>
              </w:rPr>
              <w:fldChar w:fldCharType="begin"/>
            </w:r>
            <w:r w:rsidRPr="003400CE">
              <w:rPr>
                <w:rFonts w:cs="Times New Roman"/>
                <w:webHidden/>
                <w:szCs w:val="24"/>
              </w:rPr>
              <w:instrText xml:space="preserve"> PAGEREF _Toc223986812 \h </w:instrText>
            </w:r>
            <w:r w:rsidRPr="003400CE">
              <w:rPr>
                <w:rFonts w:cs="Times New Roman"/>
                <w:webHidden/>
                <w:szCs w:val="24"/>
              </w:rPr>
            </w:r>
            <w:r w:rsidRPr="003400CE">
              <w:rPr>
                <w:rFonts w:cs="Times New Roman"/>
                <w:webHidden/>
                <w:szCs w:val="24"/>
              </w:rPr>
              <w:fldChar w:fldCharType="separate"/>
            </w:r>
            <w:r w:rsidRPr="003400CE">
              <w:rPr>
                <w:rFonts w:cs="Times New Roman"/>
                <w:webHidden/>
                <w:szCs w:val="24"/>
              </w:rPr>
              <w:t>7</w:t>
            </w:r>
            <w:r w:rsidRPr="003400CE">
              <w:rPr>
                <w:rFonts w:cs="Times New Roman"/>
                <w:webHidden/>
                <w:szCs w:val="24"/>
              </w:rPr>
              <w:fldChar w:fldCharType="end"/>
            </w:r>
          </w:hyperlink>
        </w:p>
        <w:p w14:paraId="046C3594"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13" w:history="1">
            <w:r w:rsidRPr="003400CE">
              <w:rPr>
                <w:rStyle w:val="Hyperlink"/>
                <w:rFonts w:ascii="Times New Roman" w:hAnsi="Times New Roman"/>
                <w:sz w:val="24"/>
                <w:szCs w:val="24"/>
              </w:rPr>
              <w:t xml:space="preserve">Recommendations for Future </w:t>
            </w:r>
            <w:r w:rsidRPr="003400CE">
              <w:rPr>
                <w:rStyle w:val="Hyperlink"/>
                <w:rFonts w:ascii="Times New Roman" w:hAnsi="Times New Roman"/>
                <w:bCs/>
                <w:iCs/>
                <w:sz w:val="24"/>
                <w:szCs w:val="24"/>
              </w:rPr>
              <w:t>Development</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_Toc223986813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8</w:t>
            </w:r>
            <w:r w:rsidRPr="003400CE">
              <w:rPr>
                <w:rFonts w:ascii="Times New Roman" w:hAnsi="Times New Roman"/>
                <w:webHidden/>
                <w:sz w:val="24"/>
                <w:szCs w:val="24"/>
              </w:rPr>
              <w:fldChar w:fldCharType="end"/>
            </w:r>
          </w:hyperlink>
        </w:p>
        <w:p w14:paraId="4650271D"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14" w:history="1">
            <w:r w:rsidRPr="003400CE">
              <w:rPr>
                <w:rStyle w:val="Hyperlink"/>
                <w:rFonts w:ascii="Times New Roman" w:hAnsi="Times New Roman"/>
                <w:sz w:val="24"/>
                <w:szCs w:val="24"/>
              </w:rPr>
              <w:t>Conclusion</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_Toc223986814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8</w:t>
            </w:r>
            <w:r w:rsidRPr="003400CE">
              <w:rPr>
                <w:rFonts w:ascii="Times New Roman" w:hAnsi="Times New Roman"/>
                <w:webHidden/>
                <w:sz w:val="24"/>
                <w:szCs w:val="24"/>
              </w:rPr>
              <w:fldChar w:fldCharType="end"/>
            </w:r>
          </w:hyperlink>
        </w:p>
        <w:p w14:paraId="0BF94DCB" w14:textId="77777777" w:rsidR="003400CE" w:rsidRPr="003400CE" w:rsidRDefault="00D14CB3" w:rsidP="003400CE">
          <w:pPr>
            <w:pStyle w:val="TOC1"/>
            <w:tabs>
              <w:tab w:val="right" w:leader="dot" w:pos="9270"/>
            </w:tabs>
            <w:spacing w:line="360" w:lineRule="auto"/>
            <w:rPr>
              <w:rFonts w:ascii="Times New Roman" w:hAnsi="Times New Roman"/>
              <w:sz w:val="24"/>
              <w:szCs w:val="24"/>
              <w:lang w:val="en-GB" w:eastAsia="en-GB"/>
            </w:rPr>
          </w:pPr>
          <w:hyperlink w:anchor="_Toc223986815" w:history="1">
            <w:r w:rsidRPr="003400CE">
              <w:rPr>
                <w:rStyle w:val="Hyperlink"/>
                <w:rFonts w:ascii="Times New Roman" w:hAnsi="Times New Roman"/>
                <w:sz w:val="24"/>
                <w:szCs w:val="24"/>
              </w:rPr>
              <w:t>References</w:t>
            </w:r>
            <w:r w:rsidRPr="003400CE">
              <w:rPr>
                <w:rFonts w:ascii="Times New Roman" w:hAnsi="Times New Roman"/>
                <w:webHidden/>
                <w:sz w:val="24"/>
                <w:szCs w:val="24"/>
              </w:rPr>
              <w:tab/>
            </w:r>
            <w:r w:rsidRPr="003400CE">
              <w:rPr>
                <w:rFonts w:ascii="Times New Roman" w:hAnsi="Times New Roman"/>
                <w:webHidden/>
                <w:sz w:val="24"/>
                <w:szCs w:val="24"/>
              </w:rPr>
              <w:fldChar w:fldCharType="begin"/>
            </w:r>
            <w:r w:rsidRPr="003400CE">
              <w:rPr>
                <w:rFonts w:ascii="Times New Roman" w:hAnsi="Times New Roman"/>
                <w:webHidden/>
                <w:sz w:val="24"/>
                <w:szCs w:val="24"/>
              </w:rPr>
              <w:instrText xml:space="preserve"> PAGEREF _Toc223986815 \h </w:instrText>
            </w:r>
            <w:r w:rsidRPr="003400CE">
              <w:rPr>
                <w:rFonts w:ascii="Times New Roman" w:hAnsi="Times New Roman"/>
                <w:webHidden/>
                <w:sz w:val="24"/>
                <w:szCs w:val="24"/>
              </w:rPr>
            </w:r>
            <w:r w:rsidRPr="003400CE">
              <w:rPr>
                <w:rFonts w:ascii="Times New Roman" w:hAnsi="Times New Roman"/>
                <w:webHidden/>
                <w:sz w:val="24"/>
                <w:szCs w:val="24"/>
              </w:rPr>
              <w:fldChar w:fldCharType="separate"/>
            </w:r>
            <w:r w:rsidRPr="003400CE">
              <w:rPr>
                <w:rFonts w:ascii="Times New Roman" w:hAnsi="Times New Roman"/>
                <w:webHidden/>
                <w:sz w:val="24"/>
                <w:szCs w:val="24"/>
              </w:rPr>
              <w:t>10</w:t>
            </w:r>
            <w:r w:rsidRPr="003400CE">
              <w:rPr>
                <w:rFonts w:ascii="Times New Roman" w:hAnsi="Times New Roman"/>
                <w:webHidden/>
                <w:sz w:val="24"/>
                <w:szCs w:val="24"/>
              </w:rPr>
              <w:fldChar w:fldCharType="end"/>
            </w:r>
          </w:hyperlink>
        </w:p>
        <w:p w14:paraId="762A1872" w14:textId="77777777" w:rsidR="003400CE" w:rsidRPr="003400CE" w:rsidRDefault="00D14CB3" w:rsidP="003400CE">
          <w:pPr>
            <w:tabs>
              <w:tab w:val="right" w:leader="dot" w:pos="9270"/>
            </w:tabs>
            <w:rPr>
              <w:rFonts w:cs="Times New Roman"/>
              <w:szCs w:val="24"/>
            </w:rPr>
          </w:pPr>
          <w:r w:rsidRPr="003400CE">
            <w:rPr>
              <w:rFonts w:cs="Times New Roman"/>
              <w:b/>
              <w:bCs/>
              <w:szCs w:val="24"/>
            </w:rPr>
            <w:fldChar w:fldCharType="end"/>
          </w:r>
        </w:p>
      </w:sdtContent>
    </w:sdt>
    <w:p w14:paraId="47F8B3FE" w14:textId="77777777" w:rsidR="00CF7804" w:rsidRDefault="00D14CB3">
      <w:pPr>
        <w:spacing w:before="0" w:after="160" w:line="259" w:lineRule="auto"/>
        <w:jc w:val="left"/>
      </w:pPr>
      <w:r>
        <w:br w:type="page"/>
      </w:r>
    </w:p>
    <w:p w14:paraId="2B1DE460" w14:textId="77777777" w:rsidR="001F4367" w:rsidRDefault="00D14CB3" w:rsidP="00CF7804">
      <w:pPr>
        <w:pStyle w:val="Heading1"/>
      </w:pPr>
      <w:bookmarkStart w:id="0" w:name="_Toc223986803"/>
      <w:r>
        <w:t>Introduction</w:t>
      </w:r>
      <w:bookmarkEnd w:id="0"/>
    </w:p>
    <w:p w14:paraId="34CF0D32" w14:textId="25034FF1" w:rsidR="008F2E5E" w:rsidRDefault="00D14CB3" w:rsidP="002A45FA">
      <w:r>
        <w:tab/>
      </w:r>
      <w:r w:rsidR="0024269C" w:rsidRPr="0024269C">
        <w:t>This report critically analyses the concepts of person-centred care (PCC) and partnership working (PW) in the modern context of the UK health and social care. The main focus is to establish the principles of PCC, which put the needs and autonomy of a person first, and to discuss how multi-agency partnership working helps provide combined service implementation</w:t>
      </w:r>
      <w:r w:rsidR="00310B65">
        <w:t xml:space="preserve"> </w:t>
      </w:r>
      <w:r w:rsidR="00310B65" w:rsidRPr="00310B65">
        <w:t>(Lane et al., 2020).</w:t>
      </w:r>
      <w:r w:rsidR="0024269C" w:rsidRPr="0024269C">
        <w:t xml:space="preserve"> These ideas are central to contemporary practice because they are deeply rooted in national professional standards and policy frameworks that aim to enhance the outcomes and safety of service users. The significance of such approaches is that they will shift traditional, paternalistic models toward a model that considers human rights and encourages collaboration in decision-making between care providers and the recipients of care</w:t>
      </w:r>
      <w:r w:rsidR="004545BF">
        <w:t xml:space="preserve"> </w:t>
      </w:r>
      <w:r w:rsidR="00B7428E" w:rsidRPr="00B7428E">
        <w:t>(Ali et al., 2020).</w:t>
      </w:r>
      <w:r w:rsidR="00B7428E">
        <w:t xml:space="preserve"> </w:t>
      </w:r>
      <w:r w:rsidR="0024269C" w:rsidRPr="0024269C">
        <w:t>To illustrate how these principles are put into practice, this report will specifically highlight their application in a residential care home environment for older adults. On this basis, the interaction among</w:t>
      </w:r>
      <w:r w:rsidR="000778E2">
        <w:t>st</w:t>
      </w:r>
      <w:r w:rsidR="0024269C" w:rsidRPr="0024269C">
        <w:t xml:space="preserve"> legislation, ethical foundations, and actual care delivery will be discussed.</w:t>
      </w:r>
    </w:p>
    <w:p w14:paraId="0639F43C" w14:textId="77777777" w:rsidR="00C8290C" w:rsidRDefault="00D14CB3" w:rsidP="00C8290C">
      <w:pPr>
        <w:pStyle w:val="Heading1"/>
        <w:rPr>
          <w:noProof w:val="0"/>
          <w:sz w:val="36"/>
        </w:rPr>
      </w:pPr>
      <w:bookmarkStart w:id="1" w:name="_Toc223986804"/>
      <w:r>
        <w:t>Defining Person-Centred Care</w:t>
      </w:r>
      <w:bookmarkEnd w:id="1"/>
    </w:p>
    <w:p w14:paraId="785B56B1" w14:textId="77BF87D9" w:rsidR="00491545" w:rsidRDefault="00D14CB3" w:rsidP="00024DAC">
      <w:pPr>
        <w:ind w:firstLine="720"/>
      </w:pPr>
      <w:r>
        <w:t>Person-centred care (PCC) is a term used in scholarly writing that describes a comprehensive approach that shifts the emphasis in health and social care from the service or illness to the person receiving care</w:t>
      </w:r>
      <w:r w:rsidR="00BA37CF">
        <w:t xml:space="preserve"> </w:t>
      </w:r>
      <w:r w:rsidR="00BA37CF" w:rsidRPr="00BA37CF">
        <w:t>(Gethin et al., 2020).</w:t>
      </w:r>
      <w:r>
        <w:t xml:space="preserve"> The practice focuses on the values, preferences, and expressed needs of the service user and makes them active participants in their own care planning, rather than passive recipients of clinical interventions</w:t>
      </w:r>
      <w:r w:rsidR="00B87108">
        <w:t xml:space="preserve"> </w:t>
      </w:r>
      <w:r w:rsidR="00B87108" w:rsidRPr="00B87108">
        <w:t>(Backman et al., 2024).</w:t>
      </w:r>
      <w:r>
        <w:t xml:space="preserve"> The cornerstone of this idea is the acknowledgement of the individual life history and social situation of the person, which aligns with current professional standards that prioritise dignity and respect and advance individual choice in all care interactions.</w:t>
      </w:r>
    </w:p>
    <w:p w14:paraId="6319CDA4" w14:textId="74B4D364" w:rsidR="00491545" w:rsidRDefault="00D14CB3" w:rsidP="00491545">
      <w:pPr>
        <w:ind w:firstLine="720"/>
      </w:pPr>
      <w:r>
        <w:t>The introduction of person-centred care has numerous advantages, and the first is the autonomy and empowerment of the service user. By involving individuals in the decision-making process, care will become more individualised, and, as a result, both clinical outcomes and satisfaction with the services offered will tend to increase</w:t>
      </w:r>
      <w:r w:rsidR="00E26115">
        <w:t xml:space="preserve"> </w:t>
      </w:r>
      <w:r w:rsidR="00B44863" w:rsidRPr="00B44863">
        <w:t>(Westlake et al., 2022).</w:t>
      </w:r>
      <w:r w:rsidR="00AF32CC">
        <w:t xml:space="preserve"> </w:t>
      </w:r>
      <w:r>
        <w:t>Moreover, PCC fosters a closer therapeutic bond between the practitioner and the person, reducing the risk of impersonal care and ensuring personalised care that enhances overall quality of life and well-being.</w:t>
      </w:r>
    </w:p>
    <w:p w14:paraId="3EEE9B0E" w14:textId="071EB256" w:rsidR="00D0131B" w:rsidRDefault="00D14CB3" w:rsidP="00933A0B">
      <w:pPr>
        <w:ind w:firstLine="720"/>
      </w:pPr>
      <w:r>
        <w:t>Despite these benefits, there are significant constraints and obstacles to the effective provision of person-centred care. The scarcity of resources, such as staffing and limited budgets, in the UK health sector tends to create a clash between the desired individualised care and the time-strained realities</w:t>
      </w:r>
      <w:r w:rsidR="0031448B">
        <w:t xml:space="preserve"> </w:t>
      </w:r>
      <w:r w:rsidR="0031448B" w:rsidRPr="0031448B">
        <w:t>of the NHS (NHS, 2024).</w:t>
      </w:r>
      <w:r>
        <w:t xml:space="preserve"> </w:t>
      </w:r>
      <w:r w:rsidR="00D0131B">
        <w:t xml:space="preserve">A Critical limitations is that </w:t>
      </w:r>
      <w:r w:rsidR="00D0131B" w:rsidRPr="00D0131B">
        <w:t>these systematic pressure often force a return to task-oriented routines where effic</w:t>
      </w:r>
      <w:r w:rsidR="00DC6AE5">
        <w:t>i</w:t>
      </w:r>
      <w:r w:rsidR="00D0131B" w:rsidRPr="00D0131B">
        <w:t>ency is prioritised over the person's unique preferences</w:t>
      </w:r>
      <w:r w:rsidR="009001E8">
        <w:t xml:space="preserve"> </w:t>
      </w:r>
      <w:r w:rsidR="00FE7670" w:rsidRPr="00FE7670">
        <w:t>(Forsgren et al., 2025).</w:t>
      </w:r>
      <w:r w:rsidR="00D0131B">
        <w:t xml:space="preserve"> </w:t>
      </w:r>
      <w:r>
        <w:t>Moreover, there may be professional resistance or a strong commitment to existing medical models that impede the transition to more flexible, patient-centred practices. To overcome these obstacles, a major cultural change in organisations is necessary so that the intentions behind policies can be properly reflected in daily practi</w:t>
      </w:r>
      <w:r w:rsidR="00BD4D19">
        <w:t>c</w:t>
      </w:r>
      <w:r>
        <w:t>e</w:t>
      </w:r>
      <w:r w:rsidR="006A7E38">
        <w:t xml:space="preserve"> </w:t>
      </w:r>
      <w:r w:rsidR="006A7E38" w:rsidRPr="006A7E38">
        <w:t>(NHS, 2024).</w:t>
      </w:r>
    </w:p>
    <w:p w14:paraId="59F369B0" w14:textId="77777777" w:rsidR="009649E4" w:rsidRDefault="00D14CB3" w:rsidP="003471CE">
      <w:pPr>
        <w:pStyle w:val="Heading1"/>
      </w:pPr>
      <w:bookmarkStart w:id="2" w:name="_Toc223986805"/>
      <w:r w:rsidRPr="002724DC">
        <w:t>Theoretical Underpinnings of Person-Centred Care</w:t>
      </w:r>
      <w:bookmarkEnd w:id="2"/>
    </w:p>
    <w:p w14:paraId="6A2A7CBF" w14:textId="77777777" w:rsidR="00A64632" w:rsidRDefault="00D14CB3" w:rsidP="003F1EAC">
      <w:pPr>
        <w:pStyle w:val="Heading2"/>
        <w:rPr>
          <w:noProof w:val="0"/>
          <w:sz w:val="27"/>
        </w:rPr>
      </w:pPr>
      <w:bookmarkStart w:id="3" w:name="_Toc223986806"/>
      <w:r>
        <w:t>Tom Kitwood’s Enriched Model of Care</w:t>
      </w:r>
      <w:bookmarkEnd w:id="3"/>
    </w:p>
    <w:p w14:paraId="7B00963B" w14:textId="34FBC777" w:rsidR="00A64632" w:rsidRDefault="00D14CB3" w:rsidP="007B175C">
      <w:pPr>
        <w:ind w:firstLine="720"/>
        <w:rPr>
          <w:rFonts w:ascii="Arial" w:hAnsi="Arial" w:cs="Arial"/>
        </w:rPr>
      </w:pPr>
      <w:r w:rsidRPr="00E269EA">
        <w:t>The Enriched Model of Care by Tom Kitwood is a model theory that leads directly to the practical application of person-centred care through the concept of personhood. As opposed to conventional models of medicine, which often focus on the physical manifestations of a given condition, Kitwood's model emphasises that a conglomeration of neurological state, health, life history, personality, and social psychology determines a person's well-being</w:t>
      </w:r>
      <w:r w:rsidR="006F274E">
        <w:t xml:space="preserve"> </w:t>
      </w:r>
      <w:r w:rsidR="006F274E" w:rsidRPr="006F274E">
        <w:t>(Lane et al., 2020).</w:t>
      </w:r>
      <w:r w:rsidRPr="00E269EA">
        <w:t xml:space="preserve"> This model is especially useful in the health and social care context since it reveals five basic psychological needs: comfort, attachment, inclusion, occupation, and identity that need to be fulfilled to give a person his or her dignity and self-identity</w:t>
      </w:r>
      <w:r w:rsidR="005B523F">
        <w:t xml:space="preserve"> </w:t>
      </w:r>
      <w:r w:rsidR="005B523F" w:rsidRPr="005B523F">
        <w:t>(Jobe, Lindberg and Engström, 2020).</w:t>
      </w:r>
      <w:r w:rsidRPr="00E269EA">
        <w:t xml:space="preserve"> Focusing on the distinct psychological needs of an individual as the primary centre of care planning allows practitioners to go beyond task-specific procedures and provide a more humanistic, empathetic atmosphere where the individual behind the patient is considered</w:t>
      </w:r>
      <w:r w:rsidR="001F491C">
        <w:t xml:space="preserve"> </w:t>
      </w:r>
      <w:r w:rsidR="001F491C" w:rsidRPr="001F491C">
        <w:t>(Byrne, Baldwin and Harvey, 2020).</w:t>
      </w:r>
    </w:p>
    <w:p w14:paraId="60905662" w14:textId="77777777" w:rsidR="00A64632" w:rsidRDefault="00D14CB3" w:rsidP="00746464">
      <w:pPr>
        <w:pStyle w:val="Heading2"/>
      </w:pPr>
      <w:bookmarkStart w:id="4" w:name="_Toc223986807"/>
      <w:r>
        <w:t>Critical Examination of Practical Implementation</w:t>
      </w:r>
      <w:bookmarkEnd w:id="4"/>
    </w:p>
    <w:p w14:paraId="1C4EDEAC" w14:textId="602F40F9" w:rsidR="00BD37AD" w:rsidRDefault="00D14CB3" w:rsidP="00BF46CA">
      <w:pPr>
        <w:ind w:firstLine="720"/>
      </w:pPr>
      <w:r w:rsidRPr="005E42C4">
        <w:t>The critical analysis of the implementation of the Kitwood model shows that it provides a systematic approach for practitioners to translate person-centred theory into practice</w:t>
      </w:r>
      <w:r w:rsidR="000C269C">
        <w:t xml:space="preserve"> </w:t>
      </w:r>
      <w:r w:rsidR="000C269C" w:rsidRPr="000C269C">
        <w:t>(Steenkamer et al., 2020)</w:t>
      </w:r>
      <w:r w:rsidRPr="005E42C4">
        <w:t>. The model is facilitated by promoting the pursuit of person-work opportunities, with the emphasis on sustaining a service user's social world rather than addressing his/her physical health</w:t>
      </w:r>
      <w:r w:rsidR="00F036B1">
        <w:t xml:space="preserve"> </w:t>
      </w:r>
      <w:r w:rsidR="00F036B1" w:rsidRPr="00F036B1">
        <w:t>(NHS, 2024).</w:t>
      </w:r>
      <w:r w:rsidRPr="005E42C4">
        <w:t xml:space="preserve"> </w:t>
      </w:r>
      <w:r w:rsidR="00B12116" w:rsidRPr="00B12116">
        <w:t>This can be in a residential care home, where the need to identify personal interests of a resident such as his or her wish to garden may be prioritised above set meal times.</w:t>
      </w:r>
      <w:r w:rsidR="00B12116" w:rsidRPr="00B12116">
        <w:rPr>
          <w:b/>
        </w:rPr>
        <w:t xml:space="preserve"> </w:t>
      </w:r>
      <w:r w:rsidRPr="005E42C4">
        <w:t>However, to apply this model, one must have a high degree of critical awareness of the boundaries of knowledge and the specific requirements of the care environment. Although the model provides a concise overview of the way to promote autonomy and identity, the success of its implementation largely relies on the capacity of the labour force to introspect their own practi</w:t>
      </w:r>
      <w:r w:rsidR="006E7181">
        <w:t>c</w:t>
      </w:r>
      <w:r w:rsidRPr="005E42C4">
        <w:t>e and eradicate systemic impediments</w:t>
      </w:r>
      <w:r w:rsidR="00DF7438">
        <w:t xml:space="preserve"> </w:t>
      </w:r>
      <w:r w:rsidR="00DF7438" w:rsidRPr="00DF7438">
        <w:t>(Ahmed, van den Muijsenbergh and Vrijhoef, 2022).</w:t>
      </w:r>
      <w:r w:rsidR="00634E29">
        <w:t xml:space="preserve"> </w:t>
      </w:r>
      <w:r w:rsidRPr="005E42C4">
        <w:t>When well utilised, it explains the rationale for selecting particular care interventions and their direct connection to the improved quality of life of a service user, thereby helping close the gap between high-level policy and real-world clinical practice</w:t>
      </w:r>
      <w:r w:rsidR="00093643">
        <w:t xml:space="preserve"> </w:t>
      </w:r>
      <w:r w:rsidR="00093643" w:rsidRPr="00093643">
        <w:t>(Bifarin and Stonehouse, 2022).</w:t>
      </w:r>
    </w:p>
    <w:p w14:paraId="18C123A2" w14:textId="77777777" w:rsidR="00BB4816" w:rsidRDefault="00D14CB3" w:rsidP="0071084C">
      <w:pPr>
        <w:pStyle w:val="Heading1"/>
        <w:rPr>
          <w:noProof w:val="0"/>
          <w:sz w:val="36"/>
        </w:rPr>
      </w:pPr>
      <w:bookmarkStart w:id="5" w:name="_Toc223986808"/>
      <w:r>
        <w:t>Ethical Fundamentals of Health and Social Care</w:t>
      </w:r>
      <w:bookmarkEnd w:id="5"/>
    </w:p>
    <w:p w14:paraId="2BFA8553" w14:textId="42B6DE2C" w:rsidR="00EC71E5" w:rsidRDefault="00D14CB3" w:rsidP="00B2121E">
      <w:pPr>
        <w:ind w:firstLine="720"/>
      </w:pPr>
      <w:r w:rsidRPr="00B75B9E">
        <w:t>Health and social care practi</w:t>
      </w:r>
      <w:r w:rsidR="0017631F">
        <w:t>c</w:t>
      </w:r>
      <w:r w:rsidRPr="00B75B9E">
        <w:t>e is founded on four main ethical principles: autonomy, beneficence, non-maleficence, and justice</w:t>
      </w:r>
      <w:r w:rsidR="00390AB2">
        <w:t xml:space="preserve"> </w:t>
      </w:r>
      <w:r w:rsidR="00832805" w:rsidRPr="00832805">
        <w:t>(Backman et al., 2024).</w:t>
      </w:r>
      <w:r w:rsidRPr="00B75B9E">
        <w:t xml:space="preserve"> Autonomy is significant in ensuring that service users are free to make informed decisions, a major element of person-centred care</w:t>
      </w:r>
      <w:r w:rsidR="00643E11">
        <w:t xml:space="preserve"> </w:t>
      </w:r>
      <w:r w:rsidR="00643E11" w:rsidRPr="00643E11">
        <w:t>(Byrne, Baldwin and Harvey, 2020).</w:t>
      </w:r>
      <w:r w:rsidRPr="00B75B9E">
        <w:t xml:space="preserve"> Beneficence expects practitioners to serve the individual in the best interests to foster well-being, and non-maleficence imposes a responsibility to avoid harm at all times in the process of any intervention. Lastly, justice concerns equity and the equitable allocation of resources among</w:t>
      </w:r>
      <w:r w:rsidR="002E1C13">
        <w:t>st</w:t>
      </w:r>
      <w:r w:rsidRPr="00B75B9E">
        <w:t xml:space="preserve"> all support services</w:t>
      </w:r>
      <w:r w:rsidR="009E7E67">
        <w:t xml:space="preserve"> </w:t>
      </w:r>
      <w:r w:rsidR="009E7E67" w:rsidRPr="009E7E67">
        <w:t>(Ekman, 2022).</w:t>
      </w:r>
      <w:r w:rsidRPr="00B75B9E">
        <w:t xml:space="preserve"> The fundamental elements of ethics are a powerful approach to professional judgement and to resolving intricate issues in practice. Through these principles, practitioners will be able to defend their practices and ensure that care falls within the realms of moral standards and the law. Ethical decision-making entails balancing these conflicting principles to derive the best solution to a particular situation of a service user</w:t>
      </w:r>
      <w:r w:rsidR="00643E11">
        <w:t xml:space="preserve"> </w:t>
      </w:r>
      <w:r w:rsidR="00643E11" w:rsidRPr="00643E11">
        <w:t>(Gethin et al., 2020).</w:t>
      </w:r>
      <w:r w:rsidRPr="00B75B9E">
        <w:t xml:space="preserve"> The process will ensure that personal responsibility and professional accountability are preserved, thereby safeguarding the rights and safety of vulnerable people in the healthcare system</w:t>
      </w:r>
      <w:r w:rsidR="00B2121E">
        <w:t xml:space="preserve"> </w:t>
      </w:r>
      <w:r w:rsidR="00B2121E" w:rsidRPr="00B2121E">
        <w:t>(Ahmed, van den Muijsenbergh and Vrijhoef, 2022).</w:t>
      </w:r>
    </w:p>
    <w:p w14:paraId="2A13F20A" w14:textId="77777777" w:rsidR="009C3979" w:rsidRDefault="00D14CB3" w:rsidP="009C3979">
      <w:pPr>
        <w:pStyle w:val="Heading1"/>
        <w:rPr>
          <w:noProof w:val="0"/>
          <w:sz w:val="36"/>
        </w:rPr>
      </w:pPr>
      <w:bookmarkStart w:id="6" w:name="_Toc223986809"/>
      <w:r w:rsidRPr="006F26D3">
        <w:t>Evaluation of Partnership Working</w:t>
      </w:r>
      <w:bookmarkEnd w:id="6"/>
    </w:p>
    <w:p w14:paraId="5A393B74" w14:textId="42A2676B" w:rsidR="00C02E12" w:rsidRDefault="00D14CB3" w:rsidP="002E37B9">
      <w:pPr>
        <w:ind w:firstLine="720"/>
      </w:pPr>
      <w:r>
        <w:t>The concept of partnership working (PW) in health and social care is a collaborative effort involving professionals, various departments, and service users to achieve shared objectives. This notion is more than mere communication; it is a critical analysis of collective responsibility and the combination of multiple expertise to ensure the smooth flow of support. The extent of PW encompasses interprofessional relationships among</w:t>
      </w:r>
      <w:r w:rsidR="000E528A">
        <w:t>st</w:t>
      </w:r>
      <w:r>
        <w:t xml:space="preserve"> doctors, nurses, and social workers, as well as interagency relationships among</w:t>
      </w:r>
      <w:r w:rsidR="00010C3A">
        <w:t>st</w:t>
      </w:r>
      <w:r>
        <w:t xml:space="preserve"> the NHS, local authorities, and the voluntary sector</w:t>
      </w:r>
      <w:r w:rsidR="00D6472D">
        <w:t xml:space="preserve"> </w:t>
      </w:r>
      <w:r w:rsidR="00D6472D" w:rsidRPr="00D6472D">
        <w:t>(NHS, 2024).</w:t>
      </w:r>
      <w:r>
        <w:t xml:space="preserve"> The focal point of this assessment is that the service user is regarded as an equal partner in this process, with their voice central to care planning.</w:t>
      </w:r>
    </w:p>
    <w:p w14:paraId="3D9B2B7A" w14:textId="4692065D" w:rsidR="00546B51" w:rsidRDefault="00546B51" w:rsidP="00646760">
      <w:pPr>
        <w:pStyle w:val="Heading2"/>
      </w:pPr>
      <w:r>
        <w:t>Practical Application in a Residential Care Home</w:t>
      </w:r>
    </w:p>
    <w:p w14:paraId="60AAB877" w14:textId="1984D4CA" w:rsidR="00C02E12" w:rsidRDefault="00BE36AB" w:rsidP="007B415F">
      <w:pPr>
        <w:ind w:firstLine="720"/>
      </w:pPr>
      <w:r>
        <w:t>In the specific setting of a resedential care home for older adults, p</w:t>
      </w:r>
      <w:r w:rsidR="00D14CB3">
        <w:t xml:space="preserve">artnership working is a multidisciplinary approach to addressing complex needs </w:t>
      </w:r>
      <w:r w:rsidR="00D6472D" w:rsidRPr="00D6472D">
        <w:t>(Bifarin and Stonehouse, 2022).</w:t>
      </w:r>
      <w:r w:rsidR="00D14CB3">
        <w:t xml:space="preserve"> </w:t>
      </w:r>
      <w:r w:rsidR="00AA5DF6" w:rsidRPr="008B63CF">
        <w:t xml:space="preserve">For </w:t>
      </w:r>
      <w:r w:rsidR="007B415F" w:rsidRPr="008B63CF">
        <w:t>example, care home professionals need to communicate effectively with external stakeholders including GPs to review medications, district nurses to manage wounds, and social workers to organise financial or protection evaluations.</w:t>
      </w:r>
      <w:r w:rsidR="00AA5DF6">
        <w:rPr>
          <w:b/>
          <w:bCs/>
        </w:rPr>
        <w:t xml:space="preserve"> </w:t>
      </w:r>
      <w:r w:rsidR="00D14CB3">
        <w:t xml:space="preserve">This application requires specific investigation methods and the use of proven techniques to ensure that information is exchanged correctly and ethically across various organisational boundaries. </w:t>
      </w:r>
      <w:r w:rsidR="00C62487">
        <w:t xml:space="preserve">By utilising integrated care plans shared between the care home and the local NHS trust the facility can </w:t>
      </w:r>
      <w:r w:rsidR="00D14CB3">
        <w:t>meet the medical and social needs of the residents, ensuring the assistance provided to them is closely consistent and well-coordinated.</w:t>
      </w:r>
    </w:p>
    <w:p w14:paraId="446C5109" w14:textId="304B4D43" w:rsidR="00BD37AD" w:rsidRPr="00A64632" w:rsidRDefault="00D14CB3" w:rsidP="007A0A71">
      <w:pPr>
        <w:ind w:firstLine="720"/>
      </w:pPr>
      <w:r>
        <w:t>The quality of care and the safety of service users depend directly on the effectiveness of partnership working</w:t>
      </w:r>
      <w:r w:rsidR="00D6472D">
        <w:t xml:space="preserve"> </w:t>
      </w:r>
      <w:r w:rsidR="00D6472D" w:rsidRPr="00D6472D">
        <w:t>(Steenkamer et al., 2020).</w:t>
      </w:r>
      <w:r>
        <w:t xml:space="preserve"> Successful collaborations result in better outcomes, enabling interventions to be delivered early and a full understanding of the service user's needs. On the other hand, ineffective collaboration, which is usually due to poor communication or siloed work, may lead to fragmented care, a lack of information, and increased risks to the individual. </w:t>
      </w:r>
      <w:r w:rsidR="007A0A71" w:rsidRPr="007A0A71">
        <w:t xml:space="preserve">In a care home setting, the lack of partnership working like not informing their GP of a fall of a resident may result in severe health consequences. </w:t>
      </w:r>
      <w:r>
        <w:t>Thus, it is important to ensure strong professional relationships and to follow the integration policy directions to promote a culture of transparency and mutual respect, which are ultimately reflected in the final decision-making for complex care</w:t>
      </w:r>
      <w:r w:rsidR="001500A4">
        <w:t xml:space="preserve"> </w:t>
      </w:r>
      <w:r w:rsidR="001500A4" w:rsidRPr="001500A4">
        <w:t>(Devi et al., 2021).</w:t>
      </w:r>
    </w:p>
    <w:p w14:paraId="0A6D9E8A" w14:textId="77777777" w:rsidR="00AA12AE" w:rsidRDefault="00D14CB3" w:rsidP="00537CD9">
      <w:pPr>
        <w:pStyle w:val="Heading1"/>
        <w:rPr>
          <w:noProof w:val="0"/>
          <w:sz w:val="36"/>
        </w:rPr>
      </w:pPr>
      <w:bookmarkStart w:id="7" w:name="_Toc223986810"/>
      <w:r>
        <w:t>Policy and Legislation</w:t>
      </w:r>
      <w:bookmarkEnd w:id="7"/>
    </w:p>
    <w:p w14:paraId="2A67C690" w14:textId="77777777" w:rsidR="00AA12AE" w:rsidRDefault="00D14CB3" w:rsidP="00537CD9">
      <w:pPr>
        <w:pStyle w:val="Heading2"/>
      </w:pPr>
      <w:bookmarkStart w:id="8" w:name="_Toc223986811"/>
      <w:r>
        <w:t>The Care Act 2014 and Integrated Practice</w:t>
      </w:r>
      <w:bookmarkEnd w:id="8"/>
    </w:p>
    <w:p w14:paraId="151BF511" w14:textId="6ED5622F" w:rsidR="00FA3C47" w:rsidRPr="00B30E22" w:rsidRDefault="00D14CB3" w:rsidP="002B2238">
      <w:pPr>
        <w:ind w:firstLine="720"/>
        <w:rPr>
          <w:rFonts w:ascii="Arial" w:hAnsi="Arial" w:cs="Arial"/>
        </w:rPr>
      </w:pPr>
      <w:r w:rsidRPr="00837BF5">
        <w:t>The Care Act 2014 is one of the main legislative acts in the UK, which stipulates that both person-centred care and partnership working are to be implemented in the health and social care services</w:t>
      </w:r>
      <w:r w:rsidR="005A68B2">
        <w:t xml:space="preserve"> </w:t>
      </w:r>
      <w:r w:rsidR="005A68B2" w:rsidRPr="005A68B2">
        <w:t>(Care Act, 2014).</w:t>
      </w:r>
      <w:r w:rsidRPr="00837BF5">
        <w:t xml:space="preserve"> This law especially applies to the report, since it shifts the legal emphasis from delivering specific services to ensuring the individual's well-being. Local authorities are statutorily required under this Act to ensure that care is personalised, i.e., the needs of the service user, as well as outcomes, form the basis of every assessment and support plan</w:t>
      </w:r>
      <w:r w:rsidR="00245E0C">
        <w:t xml:space="preserve"> </w:t>
      </w:r>
      <w:r w:rsidR="00245E0C" w:rsidRPr="00245E0C">
        <w:t>(Byrne, Baldwin and Harvey, 2020).</w:t>
      </w:r>
      <w:r w:rsidRPr="00837BF5">
        <w:t xml:space="preserve"> </w:t>
      </w:r>
      <w:r w:rsidR="00FA2E01" w:rsidRPr="00FA2E01">
        <w:rPr>
          <w:bCs/>
        </w:rPr>
        <w:t>In line with this, the Health and Social Care Act 2012 supports the partnership by requiring clinical commissioning groups to facilitate integrated participation.</w:t>
      </w:r>
      <w:r w:rsidR="002427E8">
        <w:t xml:space="preserve">  </w:t>
      </w:r>
      <w:r w:rsidRPr="00837BF5">
        <w:t xml:space="preserve">In addition, the Act clearly mandates that other bodies, including the NHS and social services, collaborate and exchange information to ensure that care does not </w:t>
      </w:r>
      <w:r w:rsidR="00CC2327" w:rsidRPr="00CC2327">
        <w:t>to become ineffective</w:t>
      </w:r>
      <w:r w:rsidR="00434876">
        <w:t xml:space="preserve"> </w:t>
      </w:r>
      <w:r w:rsidR="00434876" w:rsidRPr="00434876">
        <w:t>(NHS, 2024).</w:t>
      </w:r>
      <w:r w:rsidRPr="00837BF5">
        <w:t xml:space="preserve"> </w:t>
      </w:r>
      <w:r w:rsidR="0008237E" w:rsidRPr="0008237E">
        <w:t>This legal responsibility is justified by the support of the national policies that require the shift towards the universal personalised care, including the 'Personalised Care Operating Model' and the NHS Long Term Plan. These models give a clear legal ba</w:t>
      </w:r>
      <w:r w:rsidR="001769F0">
        <w:t>sis of why collaborative practic</w:t>
      </w:r>
      <w:r w:rsidR="0008237E" w:rsidRPr="0008237E">
        <w:t>e is needed and why the autonomy of service users should be preserved as these principles are binding guidelines throughout the UK health sector (Care Act, 2014).</w:t>
      </w:r>
    </w:p>
    <w:p w14:paraId="3138A7E4" w14:textId="77777777" w:rsidR="00AA12AE" w:rsidRDefault="00D14CB3" w:rsidP="00232B38">
      <w:pPr>
        <w:pStyle w:val="Heading2"/>
      </w:pPr>
      <w:bookmarkStart w:id="9" w:name="_Toc223986812"/>
      <w:r>
        <w:t>Influence on Current Practice Standards</w:t>
      </w:r>
      <w:bookmarkEnd w:id="9"/>
    </w:p>
    <w:p w14:paraId="3450781A" w14:textId="67A38528" w:rsidR="00694F0E" w:rsidRDefault="00D14CB3" w:rsidP="00021603">
      <w:pPr>
        <w:ind w:firstLine="720"/>
      </w:pPr>
      <w:r w:rsidRPr="005443FA">
        <w:t xml:space="preserve">These legislative frameworks play a vital role in shaping current standards of practice, as they provide benchmarks for the quality of care and professional accountability. </w:t>
      </w:r>
      <w:r w:rsidR="00021603">
        <w:t xml:space="preserve">Specifically, the ‘Better Care Fund’ policy and the NHS Long-Term Plan  </w:t>
      </w:r>
      <w:r w:rsidRPr="005443FA">
        <w:t>are applied in day-to-day operations, requiring healthcare practitioners to leave their routines with strict, task-focused approaches and to adopt more open and inclusive approaches to inquiry. This pressure can be observed in the need for multidisciplinary team meetings and integrated care records, which would make partnership working a formal component of the care delivery process rather than an informal option</w:t>
      </w:r>
      <w:r w:rsidR="00C366B4">
        <w:t xml:space="preserve"> </w:t>
      </w:r>
      <w:r w:rsidR="002452AF" w:rsidRPr="002452AF">
        <w:t>(Karam et al., 2021).</w:t>
      </w:r>
      <w:r w:rsidR="00021603">
        <w:t xml:space="preserve">By following the ‘National Framework for NHS Continuing Healthcare’ </w:t>
      </w:r>
      <w:r w:rsidRPr="005443FA">
        <w:t xml:space="preserve"> practitioners critically assess the suitability of their interventions so that they comply with the government's stipulated ethical and legal requirements. </w:t>
      </w:r>
      <w:r w:rsidR="00FE232B" w:rsidRPr="0028474B">
        <w:t>These policies ne</w:t>
      </w:r>
      <w:r w:rsidR="00D97A21">
        <w:t>ed to be translated into practic</w:t>
      </w:r>
      <w:r w:rsidR="00FE232B" w:rsidRPr="0028474B">
        <w:t>e by practising practitioners who need to engage service users in risk and care planning, and make sure that the legal principles of well-being are applied to all clinical decisions.</w:t>
      </w:r>
      <w:r w:rsidR="00FE232B" w:rsidRPr="00FE232B">
        <w:rPr>
          <w:b/>
        </w:rPr>
        <w:t xml:space="preserve"> </w:t>
      </w:r>
      <w:r w:rsidR="00FE232B">
        <w:rPr>
          <w:b/>
        </w:rPr>
        <w:t xml:space="preserve"> </w:t>
      </w:r>
      <w:r w:rsidR="009516FF">
        <w:t xml:space="preserve">Finally, these policy </w:t>
      </w:r>
      <w:r w:rsidR="00D218C9">
        <w:t xml:space="preserve">mandates </w:t>
      </w:r>
      <w:r w:rsidRPr="005443FA">
        <w:t>make the principles of person-centred care not merely the object of theory but enforceable norms that should make the UK care system safer and more dignified for everyone.</w:t>
      </w:r>
    </w:p>
    <w:p w14:paraId="1DE25C84" w14:textId="77777777" w:rsidR="00934BC1" w:rsidRPr="00934BC1" w:rsidRDefault="00D14CB3" w:rsidP="00934BC1">
      <w:pPr>
        <w:pStyle w:val="Heading1"/>
        <w:rPr>
          <w:bCs/>
          <w:iCs/>
        </w:rPr>
      </w:pPr>
      <w:bookmarkStart w:id="10" w:name="_Toc223986813"/>
      <w:r>
        <w:t xml:space="preserve">Recommendations </w:t>
      </w:r>
      <w:r w:rsidRPr="00934BC1">
        <w:rPr>
          <w:b w:val="0"/>
          <w:i w:val="0"/>
        </w:rPr>
        <w:t>for</w:t>
      </w:r>
      <w:r>
        <w:t xml:space="preserve"> Future </w:t>
      </w:r>
      <w:r w:rsidRPr="00934BC1">
        <w:rPr>
          <w:bCs/>
          <w:iCs/>
        </w:rPr>
        <w:t>Development</w:t>
      </w:r>
      <w:bookmarkEnd w:id="10"/>
    </w:p>
    <w:p w14:paraId="1003FCF0" w14:textId="77777777" w:rsidR="00F02300" w:rsidRDefault="00D14CB3" w:rsidP="003E2844">
      <w:pPr>
        <w:ind w:firstLine="720"/>
      </w:pPr>
      <w:r w:rsidRPr="00A57293">
        <w:t>To enhance person-centred care (PCC) and partnership working (PW) in the UK, health and social care providers are advised to invest in mandatory, interprofessional training programmes that focus on shared decision-making and communication skills</w:t>
      </w:r>
      <w:r w:rsidR="00F3194F">
        <w:t xml:space="preserve"> </w:t>
      </w:r>
      <w:r w:rsidR="00F3194F" w:rsidRPr="00F3194F">
        <w:t>(Ekman, 2022).</w:t>
      </w:r>
      <w:r w:rsidRPr="00A57293">
        <w:t xml:space="preserve"> The programmes would go beyond the simple routine tasks and allow a more critical appreciation of the psychological needs of the service users. Moreover, a common digital record care system should be implemented across all services of the NHS and other local authorities, as information shared in real time and correctly will minimise the risk of fragmented care. These particular support services need to be augmented by increasing the number of multidisciplinary team meetings in which the service user is an equal participant</w:t>
      </w:r>
      <w:r w:rsidR="009E0EE7">
        <w:t xml:space="preserve"> </w:t>
      </w:r>
      <w:r w:rsidR="009E0EE7" w:rsidRPr="009E0EE7">
        <w:t>(Jobe, Lindberg and Engström, 2020).</w:t>
      </w:r>
      <w:r w:rsidRPr="00A57293">
        <w:t xml:space="preserve"> The potential value of these recommendations is an integrated, responsive care system that enhances individual autonomy. Nonetheless, the pace of these improvements might be hampered by factors such as high upfront implementation costs and pre-existing professional silos.</w:t>
      </w:r>
    </w:p>
    <w:p w14:paraId="040B3385" w14:textId="77777777" w:rsidR="00475DB2" w:rsidRDefault="00D14CB3" w:rsidP="007F769A">
      <w:pPr>
        <w:pStyle w:val="Heading1"/>
        <w:rPr>
          <w:noProof w:val="0"/>
          <w:sz w:val="36"/>
        </w:rPr>
      </w:pPr>
      <w:bookmarkStart w:id="11" w:name="_Toc223986814"/>
      <w:r>
        <w:t>Conclusion</w:t>
      </w:r>
      <w:bookmarkEnd w:id="11"/>
    </w:p>
    <w:p w14:paraId="3CC42EDD" w14:textId="77777777" w:rsidR="00F02300" w:rsidRDefault="00D14CB3" w:rsidP="008E0677">
      <w:pPr>
        <w:ind w:firstLine="720"/>
      </w:pPr>
      <w:r>
        <w:t xml:space="preserve">In conclusion, </w:t>
      </w:r>
      <w:r w:rsidR="008376E2">
        <w:t>t</w:t>
      </w:r>
      <w:r w:rsidR="003C72E6" w:rsidRPr="003C72E6">
        <w:t>his report has critically discussed the theory, policy and practical application of person-centred care and partnership working in the UK health and social care sector. The results show that frameworks such as the Kitwood Enriched Model of Care and the Care Act 2014 provide a solid basis for practice. However, to achieve effective results, one should always be focused on the essential aspects of ethics and multidisciplinary collaboration. Measuring concepts in a care home context reveals that effective collaboration is essential to providing holistic support. Finally, the voice of the service user and legislative compliance should be prioritised to guarantee high-quality, dignified care outcomes.</w:t>
      </w:r>
    </w:p>
    <w:p w14:paraId="5A3FF85C" w14:textId="0ADD6216" w:rsidR="00CF7804" w:rsidRDefault="00CF7804" w:rsidP="005A3A54"/>
    <w:p w14:paraId="5B875ECF" w14:textId="734D03D6" w:rsidR="0060063F" w:rsidRDefault="0060063F">
      <w:pPr>
        <w:spacing w:before="0" w:after="160" w:line="259" w:lineRule="auto"/>
        <w:jc w:val="left"/>
      </w:pPr>
      <w:r>
        <w:br w:type="page"/>
      </w:r>
    </w:p>
    <w:p w14:paraId="6C99245F" w14:textId="77777777" w:rsidR="0060063F" w:rsidRPr="007C18C9" w:rsidRDefault="0060063F" w:rsidP="005A3A54"/>
    <w:p w14:paraId="6327C094" w14:textId="77777777" w:rsidR="00487F6B" w:rsidRDefault="00D14CB3" w:rsidP="00487F6B">
      <w:pPr>
        <w:pStyle w:val="Heading1"/>
      </w:pPr>
      <w:bookmarkStart w:id="12" w:name="_Toc223986815"/>
      <w:r>
        <w:t>References</w:t>
      </w:r>
      <w:bookmarkEnd w:id="12"/>
    </w:p>
    <w:p w14:paraId="4354B812" w14:textId="77777777" w:rsidR="00FB0C77" w:rsidRDefault="00FB0C77" w:rsidP="00487F6B">
      <w:pPr>
        <w:ind w:left="720" w:hanging="720"/>
      </w:pPr>
      <w:r w:rsidRPr="0039240C">
        <w:t xml:space="preserve">Ahmed, A., van den Muijsenbergh, M.E. and Vrijhoef, H.J., 2022. Person‐centred care in primary care: what works for whom, how and in what circumstances?. Health &amp; social care in the community, 30(6), pp.e3328-e3341. </w:t>
      </w:r>
      <w:hyperlink r:id="rId5" w:history="1">
        <w:r w:rsidRPr="00C75BDC">
          <w:rPr>
            <w:rStyle w:val="Hyperlink"/>
          </w:rPr>
          <w:t>https://doi.org/10.1111/hsc.13913</w:t>
        </w:r>
      </w:hyperlink>
    </w:p>
    <w:p w14:paraId="2426717E" w14:textId="77777777" w:rsidR="00FB0C77" w:rsidRDefault="00FB0C77" w:rsidP="00FB0C77">
      <w:pPr>
        <w:ind w:left="720" w:hanging="720"/>
      </w:pPr>
      <w:r>
        <w:t xml:space="preserve">Ali, L., Wallström, S., Barenfeld, E., Fors, A., Fredholm, E., Gyllensten, H., Swedberg, K. and Ekman, I., 2020. Person-centred care by a combined digital platform and structured telephone support for people with chronic obstructive pulmonary disease and/or chronic heart failure: study protocol for the PROTECT randomised controlled trial. BMJ open, 10(7), p.e036356. </w:t>
      </w:r>
      <w:hyperlink r:id="rId6" w:history="1">
        <w:r w:rsidRPr="00084733">
          <w:rPr>
            <w:rStyle w:val="Hyperlink"/>
          </w:rPr>
          <w:t>https://doi.org/10.1136/bmjopen-2019-036356</w:t>
        </w:r>
      </w:hyperlink>
    </w:p>
    <w:p w14:paraId="71DCB846" w14:textId="77777777" w:rsidR="00FB0C77" w:rsidRDefault="00FB0C77" w:rsidP="00487F6B">
      <w:pPr>
        <w:ind w:left="720" w:hanging="720"/>
      </w:pPr>
      <w:r w:rsidRPr="004A367B">
        <w:t xml:space="preserve">Backman, A., Ahnlund, P., Lövheim, H. and Edvardsson, D., 2024. Nursing home managers' descriptions of multi‐level barriers to leading person‐centred care: A content analysis. International journal of older people nursing, 19(1), p.e12581. </w:t>
      </w:r>
      <w:hyperlink r:id="rId7" w:history="1">
        <w:r w:rsidRPr="00C75BDC">
          <w:rPr>
            <w:rStyle w:val="Hyperlink"/>
          </w:rPr>
          <w:t>https://doi.org/10.1111/opn.12581</w:t>
        </w:r>
      </w:hyperlink>
    </w:p>
    <w:p w14:paraId="3B965CE7" w14:textId="77777777" w:rsidR="00FB0C77" w:rsidRDefault="00FB0C77" w:rsidP="00487F6B">
      <w:pPr>
        <w:ind w:left="720" w:hanging="720"/>
      </w:pPr>
      <w:r w:rsidRPr="006D47E4">
        <w:t>Bifarin, O. and Stonehouse, D., 2022. Beneficence and non-maleficence: collaborative practice and harm mitigation. British Journal of Healthcare Assistants, 16(2), pp.70-74.</w:t>
      </w:r>
      <w:r w:rsidRPr="00D97159">
        <w:t xml:space="preserve"> </w:t>
      </w:r>
      <w:hyperlink r:id="rId8" w:history="1">
        <w:r w:rsidRPr="00C75BDC">
          <w:rPr>
            <w:rStyle w:val="Hyperlink"/>
          </w:rPr>
          <w:t>https://doi.org/10.12968/bjha.2022.16.2.70</w:t>
        </w:r>
      </w:hyperlink>
    </w:p>
    <w:p w14:paraId="1276CCFB" w14:textId="77777777" w:rsidR="00FB0C77" w:rsidRDefault="00FB0C77" w:rsidP="00487F6B">
      <w:pPr>
        <w:ind w:left="720" w:hanging="720"/>
      </w:pPr>
      <w:r w:rsidRPr="00F61BAC">
        <w:t xml:space="preserve">Byrne, A.L., Baldwin, A. and Harvey, C., 2020. Whose centre is it anyway? Defining person-centred care in nursing: An integrative review. PloS one, 15(3), p.e0229923. </w:t>
      </w:r>
      <w:hyperlink r:id="rId9" w:history="1">
        <w:r w:rsidRPr="00C75BDC">
          <w:rPr>
            <w:rStyle w:val="Hyperlink"/>
          </w:rPr>
          <w:t>https://doi.org/10.1371/journal.pone.0229923</w:t>
        </w:r>
      </w:hyperlink>
    </w:p>
    <w:p w14:paraId="72A28276" w14:textId="77777777" w:rsidR="00FB0C77" w:rsidRDefault="00FB0C77" w:rsidP="00487F6B">
      <w:pPr>
        <w:ind w:left="720" w:hanging="720"/>
      </w:pPr>
      <w:r w:rsidRPr="007725BA">
        <w:t xml:space="preserve">Care Act (2014) Care act 2014, Legislation.gov.uk. Available at: </w:t>
      </w:r>
      <w:hyperlink r:id="rId10" w:history="1">
        <w:r w:rsidRPr="00C75BDC">
          <w:rPr>
            <w:rStyle w:val="Hyperlink"/>
          </w:rPr>
          <w:t>https://www.legislation.gov.uk/ukpga/2014/23/contents</w:t>
        </w:r>
      </w:hyperlink>
    </w:p>
    <w:p w14:paraId="5F73DB6E" w14:textId="77777777" w:rsidR="00FB0C77" w:rsidRDefault="00FB0C77" w:rsidP="00487F6B">
      <w:pPr>
        <w:ind w:left="720" w:hanging="720"/>
      </w:pPr>
      <w:r w:rsidRPr="00740A86">
        <w:t xml:space="preserve">Devi, R., Chadborn, N.H., Meyer, J., Banerjee, J., Goodman, C., Dening, T., Gladman, J.R., Hinsliff-Smith, K., Long, A., Usman, A. and Housley, G., 2021. How quality improvement collaboratives work to improve healthcare in care homes: a realist evaluation. Age and Ageing, 50(4), pp.1371-1381. </w:t>
      </w:r>
      <w:hyperlink r:id="rId11" w:history="1">
        <w:r w:rsidRPr="00C75BDC">
          <w:rPr>
            <w:rStyle w:val="Hyperlink"/>
          </w:rPr>
          <w:t>https://doi.org/10.1093/ageing/afab007</w:t>
        </w:r>
      </w:hyperlink>
    </w:p>
    <w:p w14:paraId="7AB600D2" w14:textId="77777777" w:rsidR="00FB0C77" w:rsidRDefault="00FB0C77" w:rsidP="00487F6B">
      <w:pPr>
        <w:ind w:left="720" w:hanging="720"/>
      </w:pPr>
      <w:r w:rsidRPr="008E405A">
        <w:t xml:space="preserve">Ekman, I., 2022. Practising the ethics of person‐centred care balancing ethical conviction and moral obligations. Nursing philosophy, 23(3), p.e12382. </w:t>
      </w:r>
      <w:hyperlink r:id="rId12" w:history="1">
        <w:r w:rsidRPr="00C75BDC">
          <w:rPr>
            <w:rStyle w:val="Hyperlink"/>
          </w:rPr>
          <w:t>https://doi.org/10.1111/nup.12382</w:t>
        </w:r>
      </w:hyperlink>
    </w:p>
    <w:p w14:paraId="334A6DC7" w14:textId="77777777" w:rsidR="00FB0C77" w:rsidRDefault="00FB0C77" w:rsidP="00487F6B">
      <w:pPr>
        <w:ind w:left="720" w:hanging="720"/>
      </w:pPr>
      <w:r w:rsidRPr="00D039BE">
        <w:t xml:space="preserve">Gethin, G., Probst, S., Stryja, J., Christiansen, N. and Price, P., 2020. Evidence for person-centred care in chronic wound care: a systematic review and recommendations for practice. Journal of wound care, 29(Sup9b), pp.S1-S22. </w:t>
      </w:r>
      <w:hyperlink r:id="rId13" w:history="1">
        <w:r w:rsidRPr="00C75BDC">
          <w:rPr>
            <w:rStyle w:val="Hyperlink"/>
          </w:rPr>
          <w:t>https://doi.org/10.12968/jowc.2020.29.Sup9b.S1</w:t>
        </w:r>
      </w:hyperlink>
    </w:p>
    <w:p w14:paraId="49623DF0" w14:textId="77777777" w:rsidR="00FB0C77" w:rsidRDefault="00FB0C77" w:rsidP="00487F6B">
      <w:pPr>
        <w:ind w:left="720" w:hanging="720"/>
      </w:pPr>
      <w:r w:rsidRPr="0039240C">
        <w:t xml:space="preserve">Jobe, I., Lindberg, B. and Engström, Å., 2020. Health and social care professionals’ experiences of collaborative planning—Applying the person‐centred practice framework. Nursing Open, 7(6), pp.2019-2028. </w:t>
      </w:r>
      <w:hyperlink r:id="rId14" w:history="1">
        <w:r w:rsidRPr="00C75BDC">
          <w:rPr>
            <w:rStyle w:val="Hyperlink"/>
          </w:rPr>
          <w:t>https://doi.org/10.1002/nop2.597</w:t>
        </w:r>
      </w:hyperlink>
    </w:p>
    <w:p w14:paraId="58EF0770" w14:textId="77777777" w:rsidR="00FB0C77" w:rsidRDefault="00FB0C77" w:rsidP="00FB0C77">
      <w:pPr>
        <w:ind w:left="720" w:hanging="720"/>
      </w:pPr>
      <w:r>
        <w:t xml:space="preserve">Karam, M., Chouinard, M.C., Poitras, M.E., Couturier, Y., Vedel, I., Grgurevic, N. and Hudon, C., 2021. Nursing care coordination for patients with complex needs in primary healthcare: a scoping review. International journal of integrated care, 21(1), p.16. </w:t>
      </w:r>
      <w:hyperlink r:id="rId15" w:history="1">
        <w:r w:rsidRPr="00084733">
          <w:rPr>
            <w:rStyle w:val="Hyperlink"/>
          </w:rPr>
          <w:t>https://doi:/10.5334/ijic.5518</w:t>
        </w:r>
      </w:hyperlink>
    </w:p>
    <w:p w14:paraId="64FD3910" w14:textId="77777777" w:rsidR="00FB0C77" w:rsidRDefault="00FB0C77" w:rsidP="00487F6B">
      <w:pPr>
        <w:ind w:left="720" w:hanging="720"/>
      </w:pPr>
      <w:r w:rsidRPr="00A87DDF">
        <w:t xml:space="preserve">Lane, K., Bond, C., Wright, D., Alldred, D.P., Desborough, J., Holland, R., Hughes, C. and Poland, F., 2020. “Everyone needs to understand each other’s systems”: Stakeholder views on the acceptability and viability of a Pharmacist Independent Prescriber role in care homes for older people in the UK. Health &amp; social care in the community, 28(5), pp.1479-1487. </w:t>
      </w:r>
      <w:hyperlink r:id="rId16" w:history="1">
        <w:r w:rsidRPr="00C75BDC">
          <w:rPr>
            <w:rStyle w:val="Hyperlink"/>
          </w:rPr>
          <w:t>https://doi.org/10.1111/hsc.12970</w:t>
        </w:r>
      </w:hyperlink>
    </w:p>
    <w:p w14:paraId="6A88AB79" w14:textId="77777777" w:rsidR="00D336E8" w:rsidRDefault="00D336E8" w:rsidP="00D336E8">
      <w:pPr>
        <w:ind w:left="720" w:hanging="720"/>
      </w:pPr>
      <w:r w:rsidRPr="00D336E8">
        <w:t xml:space="preserve">NHS 2022. Safeguarding adults - NHS england digital. Available at: </w:t>
      </w:r>
      <w:hyperlink r:id="rId17" w:history="1">
        <w:r w:rsidRPr="00084733">
          <w:rPr>
            <w:rStyle w:val="Hyperlink"/>
          </w:rPr>
          <w:t>https://digital.nhs.uk/data-and-information/publications/statistical/safeguarding-adults/2021-22</w:t>
        </w:r>
      </w:hyperlink>
    </w:p>
    <w:p w14:paraId="7C4EAA07" w14:textId="18274116" w:rsidR="00FB0C77" w:rsidRPr="00D336E8" w:rsidRDefault="00FB0C77" w:rsidP="00D336E8">
      <w:pPr>
        <w:ind w:left="720" w:hanging="720"/>
        <w:rPr>
          <w:rStyle w:val="Hyperlink"/>
          <w:color w:val="auto"/>
          <w:u w:val="none"/>
        </w:rPr>
      </w:pPr>
      <w:r w:rsidRPr="000B5634">
        <w:t xml:space="preserve">Steenkamer, B., Drewes, H., Putters, K., van Oers, H. and Baan, C., 2020. Reorganising and integrating public health, health care, social care and wider public services: a theory-based framework for collaborative adaptive health networks to achieve the triple aim. Journal of health services research &amp; policy, 25(3), pp.187-201. </w:t>
      </w:r>
      <w:hyperlink r:id="rId18" w:history="1">
        <w:r w:rsidRPr="00C75BDC">
          <w:rPr>
            <w:rStyle w:val="Hyperlink"/>
          </w:rPr>
          <w:t>https://doi.org/10.1177/1355819620907359</w:t>
        </w:r>
      </w:hyperlink>
    </w:p>
    <w:p w14:paraId="335BBE96" w14:textId="66EEBDB1" w:rsidR="00D14CB3" w:rsidRDefault="00FB0C77" w:rsidP="00D14CB3">
      <w:pPr>
        <w:ind w:left="720" w:hanging="720"/>
      </w:pPr>
      <w:r>
        <w:t xml:space="preserve">Westlake, D., Ekman, I., Britten, N. and Lloyd, H., 2022. Terms of engagement for working with patients in a person‐centred partnership: A secondary analysis of qualitative data. Health &amp; social care in the community, 30(1), pp.330-340. </w:t>
      </w:r>
      <w:hyperlink r:id="rId19" w:history="1">
        <w:r w:rsidR="00D14CB3" w:rsidRPr="00084733">
          <w:rPr>
            <w:rStyle w:val="Hyperlink"/>
          </w:rPr>
          <w:t>https://doi.org/10.1111/hsc.13406</w:t>
        </w:r>
      </w:hyperlink>
    </w:p>
    <w:p w14:paraId="08377B3E" w14:textId="1C6FF56F" w:rsidR="00CF7804" w:rsidRDefault="00CF7804" w:rsidP="00D14CB3">
      <w:pPr>
        <w:spacing w:before="0" w:after="160" w:line="259" w:lineRule="auto"/>
        <w:jc w:val="left"/>
      </w:pPr>
    </w:p>
    <w:sectPr w:rsidR="00CF7804" w:rsidSect="00004F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804"/>
    <w:rsid w:val="00004FA6"/>
    <w:rsid w:val="00010A34"/>
    <w:rsid w:val="00010C3A"/>
    <w:rsid w:val="00021603"/>
    <w:rsid w:val="00024DAC"/>
    <w:rsid w:val="00036731"/>
    <w:rsid w:val="00045C5B"/>
    <w:rsid w:val="000778E2"/>
    <w:rsid w:val="0008237E"/>
    <w:rsid w:val="00093643"/>
    <w:rsid w:val="000A5879"/>
    <w:rsid w:val="000B5634"/>
    <w:rsid w:val="000C19FA"/>
    <w:rsid w:val="000C269C"/>
    <w:rsid w:val="000D48AC"/>
    <w:rsid w:val="000E45C6"/>
    <w:rsid w:val="000E528A"/>
    <w:rsid w:val="00100D8C"/>
    <w:rsid w:val="001500A4"/>
    <w:rsid w:val="00172F2E"/>
    <w:rsid w:val="0017631F"/>
    <w:rsid w:val="001769F0"/>
    <w:rsid w:val="00184DBD"/>
    <w:rsid w:val="00185A80"/>
    <w:rsid w:val="001968FA"/>
    <w:rsid w:val="001A28B9"/>
    <w:rsid w:val="001F3294"/>
    <w:rsid w:val="001F4367"/>
    <w:rsid w:val="001F491C"/>
    <w:rsid w:val="002101B1"/>
    <w:rsid w:val="002134B8"/>
    <w:rsid w:val="00232B38"/>
    <w:rsid w:val="00237C99"/>
    <w:rsid w:val="0024269C"/>
    <w:rsid w:val="002427E8"/>
    <w:rsid w:val="002452AF"/>
    <w:rsid w:val="00245719"/>
    <w:rsid w:val="00245E0C"/>
    <w:rsid w:val="002724DC"/>
    <w:rsid w:val="0028474B"/>
    <w:rsid w:val="002A45FA"/>
    <w:rsid w:val="002A4D07"/>
    <w:rsid w:val="002A6AD5"/>
    <w:rsid w:val="002B2238"/>
    <w:rsid w:val="002D1F16"/>
    <w:rsid w:val="002E1C13"/>
    <w:rsid w:val="002E37B9"/>
    <w:rsid w:val="002F6571"/>
    <w:rsid w:val="00310B65"/>
    <w:rsid w:val="0031448B"/>
    <w:rsid w:val="0033045D"/>
    <w:rsid w:val="0033532C"/>
    <w:rsid w:val="003400CE"/>
    <w:rsid w:val="003471CE"/>
    <w:rsid w:val="003609B3"/>
    <w:rsid w:val="00390AB2"/>
    <w:rsid w:val="0039240C"/>
    <w:rsid w:val="003A263D"/>
    <w:rsid w:val="003C72E6"/>
    <w:rsid w:val="003E2844"/>
    <w:rsid w:val="003F1EAC"/>
    <w:rsid w:val="00403CFA"/>
    <w:rsid w:val="00414CC7"/>
    <w:rsid w:val="004240A8"/>
    <w:rsid w:val="00434876"/>
    <w:rsid w:val="00436328"/>
    <w:rsid w:val="004545BF"/>
    <w:rsid w:val="004647FB"/>
    <w:rsid w:val="00475DB2"/>
    <w:rsid w:val="00487F6B"/>
    <w:rsid w:val="00491545"/>
    <w:rsid w:val="004A01E3"/>
    <w:rsid w:val="004A367B"/>
    <w:rsid w:val="004D0AA9"/>
    <w:rsid w:val="004D43B8"/>
    <w:rsid w:val="004E604E"/>
    <w:rsid w:val="004E7977"/>
    <w:rsid w:val="00537CD9"/>
    <w:rsid w:val="00543FE7"/>
    <w:rsid w:val="005443FA"/>
    <w:rsid w:val="00546B51"/>
    <w:rsid w:val="005533C9"/>
    <w:rsid w:val="00580877"/>
    <w:rsid w:val="005910C6"/>
    <w:rsid w:val="00593FC4"/>
    <w:rsid w:val="005A297D"/>
    <w:rsid w:val="005A3A54"/>
    <w:rsid w:val="005A68B2"/>
    <w:rsid w:val="005B523F"/>
    <w:rsid w:val="005B5D30"/>
    <w:rsid w:val="005E42C4"/>
    <w:rsid w:val="005E596C"/>
    <w:rsid w:val="005F42A5"/>
    <w:rsid w:val="0060063F"/>
    <w:rsid w:val="00610C02"/>
    <w:rsid w:val="00631412"/>
    <w:rsid w:val="006319E7"/>
    <w:rsid w:val="00634926"/>
    <w:rsid w:val="00634E29"/>
    <w:rsid w:val="00641A24"/>
    <w:rsid w:val="00643E11"/>
    <w:rsid w:val="00646760"/>
    <w:rsid w:val="00653C13"/>
    <w:rsid w:val="006542A3"/>
    <w:rsid w:val="00694F0E"/>
    <w:rsid w:val="006979D5"/>
    <w:rsid w:val="006A21D6"/>
    <w:rsid w:val="006A7E38"/>
    <w:rsid w:val="006D47E4"/>
    <w:rsid w:val="006E25C9"/>
    <w:rsid w:val="006E7181"/>
    <w:rsid w:val="006F26D3"/>
    <w:rsid w:val="006F274E"/>
    <w:rsid w:val="0071084C"/>
    <w:rsid w:val="00711756"/>
    <w:rsid w:val="00722AD0"/>
    <w:rsid w:val="00740A86"/>
    <w:rsid w:val="00746464"/>
    <w:rsid w:val="00763668"/>
    <w:rsid w:val="007725BA"/>
    <w:rsid w:val="007A0A71"/>
    <w:rsid w:val="007A2E54"/>
    <w:rsid w:val="007B175C"/>
    <w:rsid w:val="007B415F"/>
    <w:rsid w:val="007C18C9"/>
    <w:rsid w:val="007F769A"/>
    <w:rsid w:val="00832805"/>
    <w:rsid w:val="008376E2"/>
    <w:rsid w:val="00837BF5"/>
    <w:rsid w:val="00840F3C"/>
    <w:rsid w:val="008507FE"/>
    <w:rsid w:val="008B63CF"/>
    <w:rsid w:val="008C3036"/>
    <w:rsid w:val="008E0677"/>
    <w:rsid w:val="008E405A"/>
    <w:rsid w:val="008E695D"/>
    <w:rsid w:val="008F2E5E"/>
    <w:rsid w:val="009001E8"/>
    <w:rsid w:val="009051C4"/>
    <w:rsid w:val="00933A0B"/>
    <w:rsid w:val="00934BC1"/>
    <w:rsid w:val="009418F1"/>
    <w:rsid w:val="009424C4"/>
    <w:rsid w:val="009516FF"/>
    <w:rsid w:val="00953BDF"/>
    <w:rsid w:val="009649E4"/>
    <w:rsid w:val="00967804"/>
    <w:rsid w:val="009803C0"/>
    <w:rsid w:val="0098472A"/>
    <w:rsid w:val="009C3979"/>
    <w:rsid w:val="009E0EE7"/>
    <w:rsid w:val="009E7E67"/>
    <w:rsid w:val="00A0654A"/>
    <w:rsid w:val="00A461EA"/>
    <w:rsid w:val="00A46F88"/>
    <w:rsid w:val="00A57293"/>
    <w:rsid w:val="00A606A7"/>
    <w:rsid w:val="00A64632"/>
    <w:rsid w:val="00A850EA"/>
    <w:rsid w:val="00A8545B"/>
    <w:rsid w:val="00A87DDF"/>
    <w:rsid w:val="00AA12AE"/>
    <w:rsid w:val="00AA302C"/>
    <w:rsid w:val="00AA5DF6"/>
    <w:rsid w:val="00AD18A8"/>
    <w:rsid w:val="00AF32CC"/>
    <w:rsid w:val="00B07093"/>
    <w:rsid w:val="00B12116"/>
    <w:rsid w:val="00B2121E"/>
    <w:rsid w:val="00B30E22"/>
    <w:rsid w:val="00B34282"/>
    <w:rsid w:val="00B44863"/>
    <w:rsid w:val="00B7095C"/>
    <w:rsid w:val="00B7428E"/>
    <w:rsid w:val="00B74742"/>
    <w:rsid w:val="00B75B9E"/>
    <w:rsid w:val="00B87108"/>
    <w:rsid w:val="00BA37CF"/>
    <w:rsid w:val="00BB4816"/>
    <w:rsid w:val="00BB70DB"/>
    <w:rsid w:val="00BD37AD"/>
    <w:rsid w:val="00BD4D19"/>
    <w:rsid w:val="00BE36AB"/>
    <w:rsid w:val="00BF46CA"/>
    <w:rsid w:val="00C02E12"/>
    <w:rsid w:val="00C161B7"/>
    <w:rsid w:val="00C366B4"/>
    <w:rsid w:val="00C47720"/>
    <w:rsid w:val="00C62487"/>
    <w:rsid w:val="00C75BDC"/>
    <w:rsid w:val="00C8290C"/>
    <w:rsid w:val="00C925F0"/>
    <w:rsid w:val="00CC2327"/>
    <w:rsid w:val="00CF7804"/>
    <w:rsid w:val="00D0131B"/>
    <w:rsid w:val="00D039BE"/>
    <w:rsid w:val="00D14CB3"/>
    <w:rsid w:val="00D218C9"/>
    <w:rsid w:val="00D31A2F"/>
    <w:rsid w:val="00D336E8"/>
    <w:rsid w:val="00D55EAC"/>
    <w:rsid w:val="00D6472D"/>
    <w:rsid w:val="00D84677"/>
    <w:rsid w:val="00D97159"/>
    <w:rsid w:val="00D97A21"/>
    <w:rsid w:val="00DC6AE5"/>
    <w:rsid w:val="00DD48EB"/>
    <w:rsid w:val="00DE408D"/>
    <w:rsid w:val="00DF7438"/>
    <w:rsid w:val="00E26115"/>
    <w:rsid w:val="00E269EA"/>
    <w:rsid w:val="00E31942"/>
    <w:rsid w:val="00EA16FC"/>
    <w:rsid w:val="00EA29C4"/>
    <w:rsid w:val="00EC71E5"/>
    <w:rsid w:val="00ED3D41"/>
    <w:rsid w:val="00EF6B8E"/>
    <w:rsid w:val="00F01449"/>
    <w:rsid w:val="00F02300"/>
    <w:rsid w:val="00F036B1"/>
    <w:rsid w:val="00F3194F"/>
    <w:rsid w:val="00F61BAC"/>
    <w:rsid w:val="00F653AA"/>
    <w:rsid w:val="00F71D1B"/>
    <w:rsid w:val="00FA2E01"/>
    <w:rsid w:val="00FA325E"/>
    <w:rsid w:val="00FA3C47"/>
    <w:rsid w:val="00FA6971"/>
    <w:rsid w:val="00FB0C77"/>
    <w:rsid w:val="00FE232B"/>
    <w:rsid w:val="00FE76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5192A"/>
  <w15:chartTrackingRefBased/>
  <w15:docId w15:val="{E47C79EA-C6BE-4849-B598-C29ACF000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A8"/>
    <w:pPr>
      <w:spacing w:before="120" w:after="120"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436328"/>
    <w:pPr>
      <w:keepNext/>
      <w:keepLines/>
      <w:spacing w:before="240" w:after="0" w:line="240" w:lineRule="auto"/>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436328"/>
    <w:pPr>
      <w:spacing w:line="480" w:lineRule="auto"/>
      <w:outlineLvl w:val="1"/>
    </w:pPr>
    <w:rPr>
      <w:rFonts w:cs="Segoe UI"/>
      <w:bCs/>
      <w:i/>
      <w:iCs/>
      <w:szCs w:val="28"/>
      <w:lang w:eastAsia="en-GB"/>
    </w:rPr>
  </w:style>
  <w:style w:type="paragraph" w:styleId="Heading3">
    <w:name w:val="heading 3"/>
    <w:basedOn w:val="Normal"/>
    <w:next w:val="Normal"/>
    <w:link w:val="Heading3Char"/>
    <w:autoRedefine/>
    <w:uiPriority w:val="9"/>
    <w:semiHidden/>
    <w:unhideWhenUsed/>
    <w:qFormat/>
    <w:rsid w:val="00A854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328"/>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36328"/>
    <w:rPr>
      <w:rFonts w:ascii="Times New Roman" w:hAnsi="Times New Roman" w:cs="Segoe UI"/>
      <w:bCs/>
      <w:i/>
      <w:iCs/>
      <w:sz w:val="24"/>
      <w:szCs w:val="28"/>
      <w:lang w:eastAsia="en-GB"/>
    </w:rPr>
  </w:style>
  <w:style w:type="paragraph" w:styleId="TOC1">
    <w:name w:val="toc 1"/>
    <w:basedOn w:val="Normal"/>
    <w:next w:val="Normal"/>
    <w:autoRedefine/>
    <w:uiPriority w:val="39"/>
    <w:unhideWhenUsed/>
    <w:qFormat/>
    <w:rsid w:val="006E25C9"/>
    <w:pPr>
      <w:spacing w:before="0" w:after="100" w:line="259" w:lineRule="auto"/>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semiHidden/>
    <w:rsid w:val="00A8545B"/>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C8290C"/>
    <w:pPr>
      <w:spacing w:before="100" w:beforeAutospacing="1" w:after="100" w:afterAutospacing="1" w:line="240" w:lineRule="auto"/>
      <w:jc w:val="left"/>
    </w:pPr>
    <w:rPr>
      <w:rFonts w:eastAsia="Times New Roman" w:cs="Times New Roman"/>
      <w:noProof w:val="0"/>
      <w:szCs w:val="24"/>
      <w:lang w:eastAsia="en-GB"/>
    </w:rPr>
  </w:style>
  <w:style w:type="character" w:customStyle="1" w:styleId="citation-361">
    <w:name w:val="citation-361"/>
    <w:basedOn w:val="DefaultParagraphFont"/>
    <w:rsid w:val="00C8290C"/>
  </w:style>
  <w:style w:type="character" w:customStyle="1" w:styleId="citation-360">
    <w:name w:val="citation-360"/>
    <w:basedOn w:val="DefaultParagraphFont"/>
    <w:rsid w:val="00C8290C"/>
  </w:style>
  <w:style w:type="character" w:customStyle="1" w:styleId="citation-359">
    <w:name w:val="citation-359"/>
    <w:basedOn w:val="DefaultParagraphFont"/>
    <w:rsid w:val="00C8290C"/>
  </w:style>
  <w:style w:type="character" w:customStyle="1" w:styleId="citation-358">
    <w:name w:val="citation-358"/>
    <w:basedOn w:val="DefaultParagraphFont"/>
    <w:rsid w:val="00C8290C"/>
  </w:style>
  <w:style w:type="character" w:customStyle="1" w:styleId="citation-357">
    <w:name w:val="citation-357"/>
    <w:basedOn w:val="DefaultParagraphFont"/>
    <w:rsid w:val="00C8290C"/>
  </w:style>
  <w:style w:type="character" w:customStyle="1" w:styleId="citation-356">
    <w:name w:val="citation-356"/>
    <w:basedOn w:val="DefaultParagraphFont"/>
    <w:rsid w:val="00C8290C"/>
  </w:style>
  <w:style w:type="character" w:customStyle="1" w:styleId="citation-355">
    <w:name w:val="citation-355"/>
    <w:basedOn w:val="DefaultParagraphFont"/>
    <w:rsid w:val="00C8290C"/>
  </w:style>
  <w:style w:type="character" w:customStyle="1" w:styleId="citation-354">
    <w:name w:val="citation-354"/>
    <w:basedOn w:val="DefaultParagraphFont"/>
    <w:rsid w:val="00C8290C"/>
  </w:style>
  <w:style w:type="character" w:customStyle="1" w:styleId="citation-353">
    <w:name w:val="citation-353"/>
    <w:basedOn w:val="DefaultParagraphFont"/>
    <w:rsid w:val="00C8290C"/>
  </w:style>
  <w:style w:type="character" w:customStyle="1" w:styleId="citation-352">
    <w:name w:val="citation-352"/>
    <w:basedOn w:val="DefaultParagraphFont"/>
    <w:rsid w:val="00C8290C"/>
  </w:style>
  <w:style w:type="character" w:customStyle="1" w:styleId="citation-399">
    <w:name w:val="citation-399"/>
    <w:basedOn w:val="DefaultParagraphFont"/>
    <w:rsid w:val="00A64632"/>
  </w:style>
  <w:style w:type="character" w:customStyle="1" w:styleId="citation-398">
    <w:name w:val="citation-398"/>
    <w:basedOn w:val="DefaultParagraphFont"/>
    <w:rsid w:val="00A64632"/>
  </w:style>
  <w:style w:type="character" w:customStyle="1" w:styleId="citation-397">
    <w:name w:val="citation-397"/>
    <w:basedOn w:val="DefaultParagraphFont"/>
    <w:rsid w:val="00A64632"/>
  </w:style>
  <w:style w:type="character" w:customStyle="1" w:styleId="citation-396">
    <w:name w:val="citation-396"/>
    <w:basedOn w:val="DefaultParagraphFont"/>
    <w:rsid w:val="00A64632"/>
  </w:style>
  <w:style w:type="character" w:customStyle="1" w:styleId="citation-395">
    <w:name w:val="citation-395"/>
    <w:basedOn w:val="DefaultParagraphFont"/>
    <w:rsid w:val="00A64632"/>
  </w:style>
  <w:style w:type="character" w:customStyle="1" w:styleId="citation-394">
    <w:name w:val="citation-394"/>
    <w:basedOn w:val="DefaultParagraphFont"/>
    <w:rsid w:val="00A64632"/>
  </w:style>
  <w:style w:type="character" w:customStyle="1" w:styleId="citation-393">
    <w:name w:val="citation-393"/>
    <w:basedOn w:val="DefaultParagraphFont"/>
    <w:rsid w:val="00A64632"/>
  </w:style>
  <w:style w:type="character" w:customStyle="1" w:styleId="citation-422">
    <w:name w:val="citation-422"/>
    <w:basedOn w:val="DefaultParagraphFont"/>
    <w:rsid w:val="00BB4816"/>
  </w:style>
  <w:style w:type="character" w:customStyle="1" w:styleId="citation-421">
    <w:name w:val="citation-421"/>
    <w:basedOn w:val="DefaultParagraphFont"/>
    <w:rsid w:val="00BB4816"/>
  </w:style>
  <w:style w:type="character" w:customStyle="1" w:styleId="citation-420">
    <w:name w:val="citation-420"/>
    <w:basedOn w:val="DefaultParagraphFont"/>
    <w:rsid w:val="00BB4816"/>
  </w:style>
  <w:style w:type="character" w:customStyle="1" w:styleId="citation-419">
    <w:name w:val="citation-419"/>
    <w:basedOn w:val="DefaultParagraphFont"/>
    <w:rsid w:val="00BB4816"/>
  </w:style>
  <w:style w:type="character" w:customStyle="1" w:styleId="citation-418">
    <w:name w:val="citation-418"/>
    <w:basedOn w:val="DefaultParagraphFont"/>
    <w:rsid w:val="00BB4816"/>
  </w:style>
  <w:style w:type="character" w:customStyle="1" w:styleId="citation-417">
    <w:name w:val="citation-417"/>
    <w:basedOn w:val="DefaultParagraphFont"/>
    <w:rsid w:val="00BB4816"/>
  </w:style>
  <w:style w:type="character" w:customStyle="1" w:styleId="citation-416">
    <w:name w:val="citation-416"/>
    <w:basedOn w:val="DefaultParagraphFont"/>
    <w:rsid w:val="00BB4816"/>
  </w:style>
  <w:style w:type="character" w:customStyle="1" w:styleId="citation-415">
    <w:name w:val="citation-415"/>
    <w:basedOn w:val="DefaultParagraphFont"/>
    <w:rsid w:val="00BB4816"/>
  </w:style>
  <w:style w:type="character" w:customStyle="1" w:styleId="citation-478">
    <w:name w:val="citation-478"/>
    <w:basedOn w:val="DefaultParagraphFont"/>
    <w:rsid w:val="009C3979"/>
  </w:style>
  <w:style w:type="character" w:customStyle="1" w:styleId="citation-477">
    <w:name w:val="citation-477"/>
    <w:basedOn w:val="DefaultParagraphFont"/>
    <w:rsid w:val="009C3979"/>
  </w:style>
  <w:style w:type="character" w:customStyle="1" w:styleId="citation-476">
    <w:name w:val="citation-476"/>
    <w:basedOn w:val="DefaultParagraphFont"/>
    <w:rsid w:val="009C3979"/>
  </w:style>
  <w:style w:type="character" w:customStyle="1" w:styleId="citation-475">
    <w:name w:val="citation-475"/>
    <w:basedOn w:val="DefaultParagraphFont"/>
    <w:rsid w:val="009C3979"/>
  </w:style>
  <w:style w:type="character" w:customStyle="1" w:styleId="citation-474">
    <w:name w:val="citation-474"/>
    <w:basedOn w:val="DefaultParagraphFont"/>
    <w:rsid w:val="009C3979"/>
  </w:style>
  <w:style w:type="character" w:customStyle="1" w:styleId="citation-473">
    <w:name w:val="citation-473"/>
    <w:basedOn w:val="DefaultParagraphFont"/>
    <w:rsid w:val="009C3979"/>
  </w:style>
  <w:style w:type="character" w:customStyle="1" w:styleId="citation-472">
    <w:name w:val="citation-472"/>
    <w:basedOn w:val="DefaultParagraphFont"/>
    <w:rsid w:val="009C3979"/>
  </w:style>
  <w:style w:type="character" w:customStyle="1" w:styleId="citation-471">
    <w:name w:val="citation-471"/>
    <w:basedOn w:val="DefaultParagraphFont"/>
    <w:rsid w:val="009C3979"/>
  </w:style>
  <w:style w:type="character" w:customStyle="1" w:styleId="citation-470">
    <w:name w:val="citation-470"/>
    <w:basedOn w:val="DefaultParagraphFont"/>
    <w:rsid w:val="009C3979"/>
  </w:style>
  <w:style w:type="character" w:customStyle="1" w:styleId="citation-469">
    <w:name w:val="citation-469"/>
    <w:basedOn w:val="DefaultParagraphFont"/>
    <w:rsid w:val="009C3979"/>
  </w:style>
  <w:style w:type="character" w:customStyle="1" w:styleId="citation-468">
    <w:name w:val="citation-468"/>
    <w:basedOn w:val="DefaultParagraphFont"/>
    <w:rsid w:val="009C3979"/>
  </w:style>
  <w:style w:type="character" w:customStyle="1" w:styleId="citation-467">
    <w:name w:val="citation-467"/>
    <w:basedOn w:val="DefaultParagraphFont"/>
    <w:rsid w:val="009C3979"/>
  </w:style>
  <w:style w:type="character" w:customStyle="1" w:styleId="citation-510">
    <w:name w:val="citation-510"/>
    <w:basedOn w:val="DefaultParagraphFont"/>
    <w:rsid w:val="00AA12AE"/>
  </w:style>
  <w:style w:type="character" w:customStyle="1" w:styleId="citation-509">
    <w:name w:val="citation-509"/>
    <w:basedOn w:val="DefaultParagraphFont"/>
    <w:rsid w:val="00AA12AE"/>
  </w:style>
  <w:style w:type="character" w:customStyle="1" w:styleId="citation-508">
    <w:name w:val="citation-508"/>
    <w:basedOn w:val="DefaultParagraphFont"/>
    <w:rsid w:val="00AA12AE"/>
  </w:style>
  <w:style w:type="character" w:customStyle="1" w:styleId="citation-507">
    <w:name w:val="citation-507"/>
    <w:basedOn w:val="DefaultParagraphFont"/>
    <w:rsid w:val="00AA12AE"/>
  </w:style>
  <w:style w:type="character" w:customStyle="1" w:styleId="citation-506">
    <w:name w:val="citation-506"/>
    <w:basedOn w:val="DefaultParagraphFont"/>
    <w:rsid w:val="00AA12AE"/>
  </w:style>
  <w:style w:type="character" w:customStyle="1" w:styleId="citation-505">
    <w:name w:val="citation-505"/>
    <w:basedOn w:val="DefaultParagraphFont"/>
    <w:rsid w:val="00AA12AE"/>
  </w:style>
  <w:style w:type="character" w:customStyle="1" w:styleId="citation-504">
    <w:name w:val="citation-504"/>
    <w:basedOn w:val="DefaultParagraphFont"/>
    <w:rsid w:val="00AA12AE"/>
  </w:style>
  <w:style w:type="character" w:customStyle="1" w:styleId="citation-503">
    <w:name w:val="citation-503"/>
    <w:basedOn w:val="DefaultParagraphFont"/>
    <w:rsid w:val="00AA12AE"/>
  </w:style>
  <w:style w:type="character" w:customStyle="1" w:styleId="citation-502">
    <w:name w:val="citation-502"/>
    <w:basedOn w:val="DefaultParagraphFont"/>
    <w:rsid w:val="00AA12AE"/>
  </w:style>
  <w:style w:type="character" w:customStyle="1" w:styleId="citation-501">
    <w:name w:val="citation-501"/>
    <w:basedOn w:val="DefaultParagraphFont"/>
    <w:rsid w:val="00AA12AE"/>
  </w:style>
  <w:style w:type="character" w:customStyle="1" w:styleId="citation-560">
    <w:name w:val="citation-560"/>
    <w:basedOn w:val="DefaultParagraphFont"/>
    <w:rsid w:val="00934BC1"/>
  </w:style>
  <w:style w:type="character" w:customStyle="1" w:styleId="citation-559">
    <w:name w:val="citation-559"/>
    <w:basedOn w:val="DefaultParagraphFont"/>
    <w:rsid w:val="00934BC1"/>
  </w:style>
  <w:style w:type="character" w:customStyle="1" w:styleId="citation-558">
    <w:name w:val="citation-558"/>
    <w:basedOn w:val="DefaultParagraphFont"/>
    <w:rsid w:val="00934BC1"/>
  </w:style>
  <w:style w:type="character" w:customStyle="1" w:styleId="citation-557">
    <w:name w:val="citation-557"/>
    <w:basedOn w:val="DefaultParagraphFont"/>
    <w:rsid w:val="00934BC1"/>
  </w:style>
  <w:style w:type="character" w:customStyle="1" w:styleId="citation-556">
    <w:name w:val="citation-556"/>
    <w:basedOn w:val="DefaultParagraphFont"/>
    <w:rsid w:val="00934BC1"/>
  </w:style>
  <w:style w:type="character" w:customStyle="1" w:styleId="citation-555">
    <w:name w:val="citation-555"/>
    <w:basedOn w:val="DefaultParagraphFont"/>
    <w:rsid w:val="00934BC1"/>
  </w:style>
  <w:style w:type="character" w:customStyle="1" w:styleId="citation-554">
    <w:name w:val="citation-554"/>
    <w:basedOn w:val="DefaultParagraphFont"/>
    <w:rsid w:val="00475DB2"/>
  </w:style>
  <w:style w:type="character" w:customStyle="1" w:styleId="citation-553">
    <w:name w:val="citation-553"/>
    <w:basedOn w:val="DefaultParagraphFont"/>
    <w:rsid w:val="00475DB2"/>
  </w:style>
  <w:style w:type="character" w:customStyle="1" w:styleId="citation-552">
    <w:name w:val="citation-552"/>
    <w:basedOn w:val="DefaultParagraphFont"/>
    <w:rsid w:val="00475DB2"/>
  </w:style>
  <w:style w:type="character" w:customStyle="1" w:styleId="citation-551">
    <w:name w:val="citation-551"/>
    <w:basedOn w:val="DefaultParagraphFont"/>
    <w:rsid w:val="00475DB2"/>
  </w:style>
  <w:style w:type="paragraph" w:styleId="TOCHeading">
    <w:name w:val="TOC Heading"/>
    <w:basedOn w:val="Heading1"/>
    <w:next w:val="Normal"/>
    <w:uiPriority w:val="39"/>
    <w:unhideWhenUsed/>
    <w:qFormat/>
    <w:rsid w:val="003400CE"/>
    <w:pPr>
      <w:spacing w:line="259" w:lineRule="auto"/>
      <w:outlineLvl w:val="9"/>
    </w:pPr>
    <w:rPr>
      <w:rFonts w:asciiTheme="majorHAnsi" w:hAnsiTheme="majorHAnsi"/>
      <w:b w:val="0"/>
      <w:i w:val="0"/>
      <w:noProof w:val="0"/>
      <w:color w:val="2F5496" w:themeColor="accent1" w:themeShade="BF"/>
      <w:sz w:val="32"/>
      <w:lang w:val="en-US"/>
    </w:rPr>
  </w:style>
  <w:style w:type="paragraph" w:styleId="TOC2">
    <w:name w:val="toc 2"/>
    <w:basedOn w:val="Normal"/>
    <w:next w:val="Normal"/>
    <w:autoRedefine/>
    <w:uiPriority w:val="39"/>
    <w:unhideWhenUsed/>
    <w:rsid w:val="003400CE"/>
    <w:pPr>
      <w:spacing w:after="100"/>
      <w:ind w:left="240"/>
    </w:pPr>
  </w:style>
  <w:style w:type="character" w:styleId="Hyperlink">
    <w:name w:val="Hyperlink"/>
    <w:basedOn w:val="DefaultParagraphFont"/>
    <w:uiPriority w:val="99"/>
    <w:unhideWhenUsed/>
    <w:rsid w:val="003400CE"/>
    <w:rPr>
      <w:color w:val="0563C1" w:themeColor="hyperlink"/>
      <w:u w:val="single"/>
    </w:rPr>
  </w:style>
  <w:style w:type="character" w:styleId="FollowedHyperlink">
    <w:name w:val="FollowedHyperlink"/>
    <w:basedOn w:val="DefaultParagraphFont"/>
    <w:uiPriority w:val="99"/>
    <w:semiHidden/>
    <w:unhideWhenUsed/>
    <w:rsid w:val="00237C99"/>
    <w:rPr>
      <w:color w:val="954F72" w:themeColor="followedHyperlink"/>
      <w:u w:val="single"/>
    </w:rPr>
  </w:style>
  <w:style w:type="character" w:styleId="CommentReference">
    <w:name w:val="annotation reference"/>
    <w:basedOn w:val="DefaultParagraphFont"/>
    <w:uiPriority w:val="99"/>
    <w:semiHidden/>
    <w:unhideWhenUsed/>
    <w:rsid w:val="00010A34"/>
    <w:rPr>
      <w:sz w:val="16"/>
      <w:szCs w:val="16"/>
    </w:rPr>
  </w:style>
  <w:style w:type="paragraph" w:styleId="CommentText">
    <w:name w:val="annotation text"/>
    <w:basedOn w:val="Normal"/>
    <w:link w:val="CommentTextChar"/>
    <w:uiPriority w:val="99"/>
    <w:semiHidden/>
    <w:unhideWhenUsed/>
    <w:rsid w:val="00010A34"/>
    <w:pPr>
      <w:spacing w:line="240" w:lineRule="auto"/>
    </w:pPr>
    <w:rPr>
      <w:sz w:val="20"/>
      <w:szCs w:val="20"/>
    </w:rPr>
  </w:style>
  <w:style w:type="character" w:customStyle="1" w:styleId="CommentTextChar">
    <w:name w:val="Comment Text Char"/>
    <w:basedOn w:val="DefaultParagraphFont"/>
    <w:link w:val="CommentText"/>
    <w:uiPriority w:val="99"/>
    <w:semiHidden/>
    <w:rsid w:val="00010A34"/>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010A34"/>
    <w:rPr>
      <w:b/>
      <w:bCs/>
    </w:rPr>
  </w:style>
  <w:style w:type="character" w:customStyle="1" w:styleId="CommentSubjectChar">
    <w:name w:val="Comment Subject Char"/>
    <w:basedOn w:val="CommentTextChar"/>
    <w:link w:val="CommentSubject"/>
    <w:uiPriority w:val="99"/>
    <w:semiHidden/>
    <w:rsid w:val="00010A34"/>
    <w:rPr>
      <w:rFonts w:ascii="Times New Roman" w:hAnsi="Times New Roman"/>
      <w:b/>
      <w:bCs/>
      <w:noProof/>
      <w:sz w:val="20"/>
      <w:szCs w:val="20"/>
    </w:rPr>
  </w:style>
  <w:style w:type="paragraph" w:styleId="BalloonText">
    <w:name w:val="Balloon Text"/>
    <w:basedOn w:val="Normal"/>
    <w:link w:val="BalloonTextChar"/>
    <w:uiPriority w:val="99"/>
    <w:semiHidden/>
    <w:unhideWhenUsed/>
    <w:rsid w:val="00245E0C"/>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5E0C"/>
    <w:rPr>
      <w:rFonts w:ascii="Segoe UI" w:hAnsi="Segoe UI" w:cs="Segoe UI"/>
      <w:noProof/>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968/bjha.2022.16.2.70" TargetMode="External"/><Relationship Id="rId13" Type="http://schemas.openxmlformats.org/officeDocument/2006/relationships/hyperlink" Target="https://doi.org/10.12968/jowc.2020.29.Sup9b.S1" TargetMode="External"/><Relationship Id="rId18" Type="http://schemas.openxmlformats.org/officeDocument/2006/relationships/hyperlink" Target="https://doi.org/10.1177/135581962090735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11/opn.12581" TargetMode="External"/><Relationship Id="rId12" Type="http://schemas.openxmlformats.org/officeDocument/2006/relationships/hyperlink" Target="https://doi.org/10.1111/nup.12382" TargetMode="External"/><Relationship Id="rId17" Type="http://schemas.openxmlformats.org/officeDocument/2006/relationships/hyperlink" Target="https://digital.nhs.uk/data-and-information/publications/statistical/safeguarding-adults/2021-22" TargetMode="External"/><Relationship Id="rId2" Type="http://schemas.openxmlformats.org/officeDocument/2006/relationships/styles" Target="styles.xml"/><Relationship Id="rId16" Type="http://schemas.openxmlformats.org/officeDocument/2006/relationships/hyperlink" Target="https://doi.org/10.1111/hsc.1297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136/bmjopen-2019-036356" TargetMode="External"/><Relationship Id="rId11" Type="http://schemas.openxmlformats.org/officeDocument/2006/relationships/hyperlink" Target="https://doi.org/10.1093/ageing/afab007" TargetMode="External"/><Relationship Id="rId5" Type="http://schemas.openxmlformats.org/officeDocument/2006/relationships/hyperlink" Target="https://doi.org/10.1111/hsc.13913" TargetMode="External"/><Relationship Id="rId15" Type="http://schemas.openxmlformats.org/officeDocument/2006/relationships/hyperlink" Target="https://doi:/10.5334/ijic.5518"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doi.org/10.1111/hsc.13406" TargetMode="External"/><Relationship Id="rId4" Type="http://schemas.openxmlformats.org/officeDocument/2006/relationships/webSettings" Target="webSettings.xml"/><Relationship Id="rId9" Type="http://schemas.openxmlformats.org/officeDocument/2006/relationships/hyperlink" Target="https://doi.org/10.1371/journal.pone.0229923" TargetMode="External"/><Relationship Id="rId14" Type="http://schemas.openxmlformats.org/officeDocument/2006/relationships/hyperlink" Target="https://doi.org/10.1002/nop2.5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8B0B4-FE04-49B7-8129-C642B18BDD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Pages>
  <Words>3126</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Furaha Ruth Fatuma Bahati (2321694)</cp:lastModifiedBy>
  <cp:revision>310</cp:revision>
  <dcterms:created xsi:type="dcterms:W3CDTF">2026-03-09T16:34:00Z</dcterms:created>
  <dcterms:modified xsi:type="dcterms:W3CDTF">2026-03-17T14:59:00Z</dcterms:modified>
</cp:coreProperties>
</file>