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5E234" w14:textId="77777777" w:rsidR="00776D96" w:rsidRDefault="00776D96">
      <w:pPr>
        <w:spacing w:line="360" w:lineRule="auto"/>
        <w:jc w:val="center"/>
        <w:rPr>
          <w:rFonts w:ascii="Arial" w:eastAsia="Arial" w:hAnsi="Arial" w:cs="Arial"/>
          <w:b/>
          <w:sz w:val="28"/>
          <w:szCs w:val="28"/>
        </w:rPr>
      </w:pPr>
    </w:p>
    <w:p w14:paraId="02B3D4C3" w14:textId="77777777" w:rsidR="00776D96" w:rsidRPr="0073103E" w:rsidRDefault="00776D96" w:rsidP="00713F40">
      <w:pPr>
        <w:spacing w:before="240" w:line="360" w:lineRule="auto"/>
        <w:jc w:val="center"/>
        <w:rPr>
          <w:rFonts w:ascii="Arial" w:eastAsia="Arial" w:hAnsi="Arial" w:cs="Arial"/>
          <w:bCs/>
          <w:sz w:val="32"/>
          <w:szCs w:val="32"/>
        </w:rPr>
      </w:pPr>
    </w:p>
    <w:p w14:paraId="47F5F795" w14:textId="77777777" w:rsidR="00776D96" w:rsidRPr="0073103E" w:rsidRDefault="00776D96" w:rsidP="00713F40">
      <w:pPr>
        <w:spacing w:before="240" w:line="360" w:lineRule="auto"/>
        <w:jc w:val="center"/>
        <w:rPr>
          <w:rFonts w:ascii="Arial" w:eastAsia="Arial" w:hAnsi="Arial" w:cs="Arial"/>
          <w:b/>
          <w:sz w:val="32"/>
          <w:szCs w:val="32"/>
        </w:rPr>
      </w:pPr>
    </w:p>
    <w:p w14:paraId="4227F88E" w14:textId="77777777" w:rsidR="00776D96" w:rsidRPr="0073103E" w:rsidRDefault="00000000" w:rsidP="00713F40">
      <w:pPr>
        <w:spacing w:before="240" w:line="360" w:lineRule="auto"/>
        <w:jc w:val="center"/>
        <w:rPr>
          <w:rFonts w:ascii="Arial" w:eastAsia="Arial" w:hAnsi="Arial" w:cs="Arial"/>
          <w:b/>
          <w:sz w:val="32"/>
          <w:szCs w:val="32"/>
        </w:rPr>
      </w:pPr>
      <w:r w:rsidRPr="0073103E">
        <w:rPr>
          <w:rFonts w:ascii="Arial" w:eastAsia="Arial" w:hAnsi="Arial" w:cs="Arial"/>
          <w:b/>
          <w:sz w:val="32"/>
          <w:szCs w:val="32"/>
        </w:rPr>
        <w:t>Course: BSc (Hons) Health and Social Care</w:t>
      </w:r>
    </w:p>
    <w:p w14:paraId="12773FDF" w14:textId="58DF8511" w:rsidR="00776D96" w:rsidRPr="0073103E" w:rsidRDefault="00000000" w:rsidP="00713F40">
      <w:pPr>
        <w:spacing w:before="240" w:line="360" w:lineRule="auto"/>
        <w:jc w:val="center"/>
        <w:rPr>
          <w:rFonts w:ascii="Arial" w:eastAsia="Arial" w:hAnsi="Arial" w:cs="Arial"/>
          <w:b/>
          <w:sz w:val="32"/>
          <w:szCs w:val="32"/>
        </w:rPr>
      </w:pPr>
      <w:r w:rsidRPr="0073103E">
        <w:rPr>
          <w:rFonts w:ascii="Arial" w:eastAsia="Arial" w:hAnsi="Arial" w:cs="Arial"/>
          <w:b/>
          <w:sz w:val="32"/>
          <w:szCs w:val="32"/>
        </w:rPr>
        <w:t>Module: Independent Project (BMHP6020_BIRM)</w:t>
      </w:r>
      <w:r w:rsidR="00251A47" w:rsidRPr="0073103E">
        <w:rPr>
          <w:rFonts w:ascii="Arial" w:eastAsia="Arial" w:hAnsi="Arial" w:cs="Arial"/>
          <w:b/>
          <w:sz w:val="32"/>
          <w:szCs w:val="32"/>
        </w:rPr>
        <w:t xml:space="preserve"> </w:t>
      </w:r>
    </w:p>
    <w:p w14:paraId="03DA1127" w14:textId="77777777" w:rsidR="00776D96" w:rsidRPr="0073103E" w:rsidRDefault="00776D96" w:rsidP="00713F40">
      <w:pPr>
        <w:spacing w:before="240" w:line="360" w:lineRule="auto"/>
        <w:jc w:val="center"/>
        <w:rPr>
          <w:rFonts w:ascii="Arial" w:eastAsia="Arial" w:hAnsi="Arial" w:cs="Arial"/>
          <w:b/>
          <w:sz w:val="32"/>
          <w:szCs w:val="32"/>
        </w:rPr>
      </w:pPr>
    </w:p>
    <w:p w14:paraId="5FD0AF0D" w14:textId="77777777" w:rsidR="00776D96" w:rsidRPr="0073103E" w:rsidRDefault="00000000" w:rsidP="00713F40">
      <w:pPr>
        <w:spacing w:before="240" w:line="360" w:lineRule="auto"/>
        <w:jc w:val="center"/>
        <w:rPr>
          <w:rFonts w:ascii="Arial" w:eastAsia="Arial" w:hAnsi="Arial" w:cs="Arial"/>
          <w:b/>
          <w:sz w:val="32"/>
          <w:szCs w:val="32"/>
        </w:rPr>
      </w:pPr>
      <w:r w:rsidRPr="0073103E">
        <w:rPr>
          <w:rFonts w:ascii="Arial" w:eastAsia="Arial" w:hAnsi="Arial" w:cs="Arial"/>
          <w:b/>
          <w:sz w:val="32"/>
          <w:szCs w:val="32"/>
        </w:rPr>
        <w:t xml:space="preserve">Component 1: Element 1 - Project Proposal </w:t>
      </w:r>
    </w:p>
    <w:p w14:paraId="63D8742A" w14:textId="77777777" w:rsidR="00776D96" w:rsidRPr="0073103E" w:rsidRDefault="00776D96" w:rsidP="00713F40">
      <w:pPr>
        <w:spacing w:before="240" w:line="360" w:lineRule="auto"/>
        <w:rPr>
          <w:rFonts w:ascii="Arial" w:eastAsia="Arial" w:hAnsi="Arial" w:cs="Arial"/>
          <w:b/>
          <w:sz w:val="32"/>
          <w:szCs w:val="32"/>
        </w:rPr>
      </w:pPr>
    </w:p>
    <w:p w14:paraId="01ED656D" w14:textId="77777777" w:rsidR="00776D96" w:rsidRPr="0073103E" w:rsidRDefault="00776D96" w:rsidP="00713F40">
      <w:pPr>
        <w:spacing w:before="240" w:line="360" w:lineRule="auto"/>
        <w:rPr>
          <w:rFonts w:ascii="Arial" w:eastAsia="Arial" w:hAnsi="Arial" w:cs="Arial"/>
          <w:b/>
          <w:sz w:val="32"/>
          <w:szCs w:val="32"/>
        </w:rPr>
      </w:pPr>
    </w:p>
    <w:p w14:paraId="0B58A4DF" w14:textId="4715B919" w:rsidR="00776D96" w:rsidRPr="0073103E" w:rsidRDefault="00000000" w:rsidP="00713F40">
      <w:pPr>
        <w:spacing w:before="240" w:line="360" w:lineRule="auto"/>
        <w:rPr>
          <w:rFonts w:ascii="Arial" w:eastAsia="Arial" w:hAnsi="Arial" w:cs="Arial"/>
          <w:b/>
          <w:sz w:val="32"/>
          <w:szCs w:val="32"/>
        </w:rPr>
      </w:pPr>
      <w:r w:rsidRPr="0073103E">
        <w:rPr>
          <w:rFonts w:ascii="Arial" w:eastAsia="Arial" w:hAnsi="Arial" w:cs="Arial"/>
          <w:b/>
          <w:sz w:val="32"/>
          <w:szCs w:val="32"/>
        </w:rPr>
        <w:t xml:space="preserve">Student ID: </w:t>
      </w:r>
      <w:r w:rsidR="0073103E" w:rsidRPr="0073103E">
        <w:rPr>
          <w:rFonts w:ascii="Arial" w:eastAsia="Arial" w:hAnsi="Arial" w:cs="Arial"/>
          <w:b/>
          <w:sz w:val="32"/>
          <w:szCs w:val="32"/>
        </w:rPr>
        <w:t xml:space="preserve"> 2245019</w:t>
      </w:r>
    </w:p>
    <w:p w14:paraId="62B9C12D" w14:textId="77777777" w:rsidR="00776D96" w:rsidRPr="0073103E" w:rsidRDefault="00776D96" w:rsidP="00713F40">
      <w:pPr>
        <w:spacing w:before="240" w:line="360" w:lineRule="auto"/>
        <w:rPr>
          <w:rFonts w:ascii="Arial" w:eastAsia="Arial" w:hAnsi="Arial" w:cs="Arial"/>
          <w:b/>
          <w:sz w:val="32"/>
          <w:szCs w:val="32"/>
        </w:rPr>
      </w:pPr>
    </w:p>
    <w:p w14:paraId="0B34B4BB" w14:textId="48F95B76" w:rsidR="00776D96" w:rsidRPr="0073103E" w:rsidRDefault="00000000" w:rsidP="00713F40">
      <w:pPr>
        <w:spacing w:before="240" w:line="360" w:lineRule="auto"/>
        <w:rPr>
          <w:rFonts w:ascii="Arial" w:eastAsia="Arial" w:hAnsi="Arial" w:cs="Arial"/>
          <w:b/>
          <w:sz w:val="32"/>
          <w:szCs w:val="32"/>
        </w:rPr>
      </w:pPr>
      <w:r w:rsidRPr="0073103E">
        <w:rPr>
          <w:rFonts w:ascii="Arial" w:eastAsia="Arial" w:hAnsi="Arial" w:cs="Arial"/>
          <w:b/>
          <w:sz w:val="32"/>
          <w:szCs w:val="32"/>
        </w:rPr>
        <w:t xml:space="preserve">Student Name: </w:t>
      </w:r>
      <w:r w:rsidR="0073103E" w:rsidRPr="0073103E">
        <w:rPr>
          <w:rFonts w:ascii="Arial" w:eastAsia="Arial" w:hAnsi="Arial" w:cs="Arial"/>
          <w:b/>
          <w:sz w:val="32"/>
          <w:szCs w:val="32"/>
        </w:rPr>
        <w:t xml:space="preserve"> Michael Ajuyah</w:t>
      </w:r>
    </w:p>
    <w:p w14:paraId="000628E1" w14:textId="77777777" w:rsidR="00776D96" w:rsidRPr="0073103E" w:rsidRDefault="00776D96" w:rsidP="00713F40">
      <w:pPr>
        <w:spacing w:before="240" w:line="360" w:lineRule="auto"/>
        <w:rPr>
          <w:rFonts w:ascii="Arial" w:eastAsia="Arial" w:hAnsi="Arial" w:cs="Arial"/>
          <w:b/>
          <w:sz w:val="32"/>
          <w:szCs w:val="32"/>
        </w:rPr>
      </w:pPr>
    </w:p>
    <w:p w14:paraId="075AE309" w14:textId="77777777" w:rsidR="00776D96" w:rsidRPr="0073103E" w:rsidRDefault="00776D96" w:rsidP="00713F40">
      <w:pPr>
        <w:spacing w:before="240" w:line="360" w:lineRule="auto"/>
        <w:rPr>
          <w:rFonts w:ascii="Arial" w:eastAsia="Arial" w:hAnsi="Arial" w:cs="Arial"/>
          <w:b/>
          <w:sz w:val="32"/>
          <w:szCs w:val="32"/>
        </w:rPr>
      </w:pPr>
    </w:p>
    <w:p w14:paraId="44C47297" w14:textId="77777777" w:rsidR="00776D96" w:rsidRPr="0073103E" w:rsidRDefault="00000000" w:rsidP="00713F40">
      <w:pPr>
        <w:spacing w:before="240" w:line="360" w:lineRule="auto"/>
        <w:rPr>
          <w:rFonts w:ascii="Arial" w:eastAsia="Arial" w:hAnsi="Arial" w:cs="Arial"/>
          <w:b/>
        </w:rPr>
      </w:pPr>
      <w:r w:rsidRPr="0073103E">
        <w:rPr>
          <w:b/>
        </w:rPr>
        <w:br w:type="page"/>
      </w:r>
    </w:p>
    <w:p w14:paraId="3F6CD355" w14:textId="77777777" w:rsidR="00776D96" w:rsidRDefault="00000000" w:rsidP="00713F40">
      <w:pPr>
        <w:pStyle w:val="Heading1"/>
        <w:spacing w:after="160"/>
      </w:pPr>
      <w:r>
        <w:lastRenderedPageBreak/>
        <w:t>Element 1 - Project Proposal</w:t>
      </w:r>
    </w:p>
    <w:p w14:paraId="04C78D9E" w14:textId="410DB50C" w:rsidR="00776D96" w:rsidRDefault="00000000" w:rsidP="00713F40">
      <w:pPr>
        <w:pStyle w:val="Heading2"/>
        <w:spacing w:before="240" w:after="160"/>
      </w:pPr>
      <w:r>
        <w:t xml:space="preserve">My </w:t>
      </w:r>
      <w:r w:rsidR="0073103E">
        <w:t>P</w:t>
      </w:r>
      <w:r>
        <w:t xml:space="preserve">roject title: </w:t>
      </w:r>
      <w:r w:rsidR="0073103E">
        <w:t xml:space="preserve"> Exploring </w:t>
      </w:r>
      <w:proofErr w:type="gramStart"/>
      <w:r>
        <w:t>The</w:t>
      </w:r>
      <w:proofErr w:type="gramEnd"/>
      <w:r>
        <w:t xml:space="preserve"> Impact of COVID-19 Pandemic on Mental Health and Coping Strategies among Healthcare Workers in the UK</w:t>
      </w:r>
    </w:p>
    <w:p w14:paraId="76909633" w14:textId="45F6B34B" w:rsidR="00776D96" w:rsidRDefault="0073103E" w:rsidP="00713F40">
      <w:pPr>
        <w:pStyle w:val="Heading2"/>
        <w:spacing w:before="240" w:after="160"/>
      </w:pPr>
      <w:r>
        <w:t>{</w:t>
      </w:r>
      <w:r w:rsidR="00000000">
        <w:t>1) Aim</w:t>
      </w:r>
      <w:r>
        <w:t xml:space="preserve">. </w:t>
      </w:r>
    </w:p>
    <w:p w14:paraId="419D792E" w14:textId="2912A797" w:rsidR="00776D96" w:rsidRDefault="00000000" w:rsidP="00713F40">
      <w:pPr>
        <w:spacing w:before="240" w:line="360" w:lineRule="auto"/>
        <w:rPr>
          <w:rFonts w:ascii="Arial" w:eastAsia="Arial" w:hAnsi="Arial" w:cs="Arial"/>
        </w:rPr>
      </w:pPr>
      <w:r>
        <w:rPr>
          <w:rFonts w:ascii="Arial" w:eastAsia="Arial" w:hAnsi="Arial" w:cs="Arial"/>
        </w:rPr>
        <w:t>This project aims to investigate the psychological impact the COVID-19 pandemic had on healthcare workers in the UK and to critically evaluate the coping mechanisms adopted by this workforce. Beyond this, the study endeavours to provide evidence-based recommendations for improving mental health support strategies within healthcare.</w:t>
      </w:r>
    </w:p>
    <w:p w14:paraId="513EC2E9" w14:textId="40D221A0" w:rsidR="00776D96" w:rsidRDefault="00000000" w:rsidP="00713F40">
      <w:pPr>
        <w:pStyle w:val="Heading2"/>
        <w:spacing w:before="240" w:after="160"/>
      </w:pPr>
      <w:r>
        <w:t>2) Objectives:</w:t>
      </w:r>
    </w:p>
    <w:p w14:paraId="6FC83F61" w14:textId="77777777" w:rsidR="00776D96" w:rsidRDefault="00000000" w:rsidP="00713F40">
      <w:pPr>
        <w:numPr>
          <w:ilvl w:val="0"/>
          <w:numId w:val="3"/>
        </w:numPr>
        <w:pBdr>
          <w:top w:val="nil"/>
          <w:left w:val="nil"/>
          <w:bottom w:val="nil"/>
          <w:right w:val="nil"/>
          <w:between w:val="nil"/>
        </w:pBdr>
        <w:spacing w:before="240" w:line="360" w:lineRule="auto"/>
        <w:rPr>
          <w:rFonts w:ascii="Arial" w:eastAsia="Arial" w:hAnsi="Arial" w:cs="Arial"/>
          <w:color w:val="000000"/>
        </w:rPr>
      </w:pPr>
      <w:r>
        <w:rPr>
          <w:rFonts w:ascii="Arial" w:eastAsia="Arial" w:hAnsi="Arial" w:cs="Arial"/>
        </w:rPr>
        <w:t>To define and examine the mental health challenges, such as burnout, stress, anxiety, and depression, faced by healthcare workers during the COVID-19 pandemic in the UK.</w:t>
      </w:r>
    </w:p>
    <w:p w14:paraId="70346B2A" w14:textId="77777777" w:rsidR="00776D96" w:rsidRDefault="00000000" w:rsidP="00713F40">
      <w:pPr>
        <w:numPr>
          <w:ilvl w:val="0"/>
          <w:numId w:val="3"/>
        </w:numPr>
        <w:pBdr>
          <w:top w:val="nil"/>
          <w:left w:val="nil"/>
          <w:bottom w:val="nil"/>
          <w:right w:val="nil"/>
          <w:between w:val="nil"/>
        </w:pBdr>
        <w:spacing w:before="240" w:line="360" w:lineRule="auto"/>
        <w:rPr>
          <w:rFonts w:ascii="Arial" w:eastAsia="Arial" w:hAnsi="Arial" w:cs="Arial"/>
          <w:color w:val="000000"/>
        </w:rPr>
      </w:pPr>
      <w:r>
        <w:rPr>
          <w:rFonts w:ascii="Arial" w:eastAsia="Arial" w:hAnsi="Arial" w:cs="Arial"/>
        </w:rPr>
        <w:t>To analyse how different professional groups, like nurses, support staff, and doctors experience and respond to these challenges.</w:t>
      </w:r>
    </w:p>
    <w:p w14:paraId="26001F13" w14:textId="77777777" w:rsidR="00776D96" w:rsidRDefault="00000000" w:rsidP="00713F40">
      <w:pPr>
        <w:numPr>
          <w:ilvl w:val="0"/>
          <w:numId w:val="3"/>
        </w:numPr>
        <w:pBdr>
          <w:top w:val="nil"/>
          <w:left w:val="nil"/>
          <w:bottom w:val="nil"/>
          <w:right w:val="nil"/>
          <w:between w:val="nil"/>
        </w:pBdr>
        <w:spacing w:before="240" w:line="360" w:lineRule="auto"/>
        <w:rPr>
          <w:rFonts w:ascii="Arial" w:eastAsia="Arial" w:hAnsi="Arial" w:cs="Arial"/>
          <w:color w:val="000000"/>
        </w:rPr>
      </w:pPr>
      <w:r>
        <w:rPr>
          <w:rFonts w:ascii="Arial" w:eastAsia="Arial" w:hAnsi="Arial" w:cs="Arial"/>
        </w:rPr>
        <w:t>To evaluate the coping strategies employed by healthcare workers, at the individual, organisational, and policy level.</w:t>
      </w:r>
    </w:p>
    <w:p w14:paraId="4D8D0203" w14:textId="517C4FEA" w:rsidR="00776D96" w:rsidRPr="004D08C0" w:rsidRDefault="00000000" w:rsidP="00713F40">
      <w:pPr>
        <w:numPr>
          <w:ilvl w:val="0"/>
          <w:numId w:val="3"/>
        </w:numPr>
        <w:pBdr>
          <w:top w:val="nil"/>
          <w:left w:val="nil"/>
          <w:bottom w:val="nil"/>
          <w:right w:val="nil"/>
          <w:between w:val="nil"/>
        </w:pBdr>
        <w:spacing w:before="240" w:line="360" w:lineRule="auto"/>
        <w:rPr>
          <w:rFonts w:ascii="Arial" w:eastAsia="Arial" w:hAnsi="Arial" w:cs="Arial"/>
          <w:color w:val="000000"/>
        </w:rPr>
      </w:pPr>
      <w:r>
        <w:rPr>
          <w:rFonts w:ascii="Arial" w:eastAsia="Arial" w:hAnsi="Arial" w:cs="Arial"/>
        </w:rPr>
        <w:t>To provide recommendations that will strengthen long-term mental health support systems and resilience in the UK healthcare sector.</w:t>
      </w:r>
    </w:p>
    <w:p w14:paraId="35930B20" w14:textId="3B896C06" w:rsidR="00776D96" w:rsidRDefault="00000000" w:rsidP="00713F40">
      <w:pPr>
        <w:pStyle w:val="Heading2"/>
        <w:spacing w:before="240" w:after="160"/>
      </w:pPr>
      <w:r>
        <w:t>3) Background/Rationale:</w:t>
      </w:r>
    </w:p>
    <w:p w14:paraId="651EA2E3" w14:textId="77777777" w:rsidR="00776D96" w:rsidRDefault="00000000" w:rsidP="00713F40">
      <w:pPr>
        <w:spacing w:before="240" w:line="360" w:lineRule="auto"/>
        <w:rPr>
          <w:rFonts w:ascii="Arial" w:eastAsia="Arial" w:hAnsi="Arial" w:cs="Arial"/>
        </w:rPr>
      </w:pPr>
      <w:r>
        <w:rPr>
          <w:rFonts w:ascii="Arial" w:eastAsia="Arial" w:hAnsi="Arial" w:cs="Arial"/>
        </w:rPr>
        <w:t xml:space="preserve">The COVID-19 pandemic added more pressure onto healthcare systems worldwide which are already under stress (British Medical Association 2022). Healthcare workers (HCWs) working at the frontline experienced high levels of psychological distress. Varese et al. (2025), in their study on the mental health of care staff during the COVID-19 pandemic in England, discovered that 60% of respondents had </w:t>
      </w:r>
      <w:r>
        <w:rPr>
          <w:rFonts w:ascii="Arial" w:eastAsia="Arial" w:hAnsi="Arial" w:cs="Arial"/>
        </w:rPr>
        <w:lastRenderedPageBreak/>
        <w:t>severe and usually co-occurring difficulties, like anxiety, depression, alcohol use, or post-traumatic stress disorder, and 80% reported their functioning to be significantly impaired. Healthcare workers (HCWs) are a particularly vulnerable group due to the elevated risk of infection, fear of contracting it or spreading the disease to their families, and increased work stress (Cabarkapa et al. 2020).</w:t>
      </w:r>
    </w:p>
    <w:p w14:paraId="5651D99A" w14:textId="6FA35F35" w:rsidR="00776D96" w:rsidRDefault="00000000" w:rsidP="00713F40">
      <w:pPr>
        <w:spacing w:before="240" w:line="360" w:lineRule="auto"/>
        <w:rPr>
          <w:rFonts w:ascii="Arial" w:eastAsia="Arial" w:hAnsi="Arial" w:cs="Arial"/>
        </w:rPr>
      </w:pPr>
      <w:r>
        <w:rPr>
          <w:rFonts w:ascii="Arial" w:eastAsia="Arial" w:hAnsi="Arial" w:cs="Arial"/>
        </w:rPr>
        <w:t xml:space="preserve">While it was seen that many coping mechanisms were adopted, like peer support, </w:t>
      </w:r>
      <w:r w:rsidR="008730E5">
        <w:rPr>
          <w:rFonts w:ascii="Arial" w:eastAsia="Arial" w:hAnsi="Arial" w:cs="Arial"/>
        </w:rPr>
        <w:t>humour</w:t>
      </w:r>
      <w:r>
        <w:rPr>
          <w:rFonts w:ascii="Arial" w:eastAsia="Arial" w:hAnsi="Arial" w:cs="Arial"/>
        </w:rPr>
        <w:t>, mindfulness, and organisational interventions, available evidence points to many of these measures as being reactive instead of preventive (Puia et al. 2025; Hannemann et al. 2022). While short-term studies exist, there still remains a gap in synthesising evidence around both the impact and effectiveness of coping strategies for HCWs in the UK. This research is significant to health and social care as it showcases systemic issues and provides actionable insights to guide policy and practice with the aim of protecting the mental health of these essential staff.</w:t>
      </w:r>
    </w:p>
    <w:p w14:paraId="1D15D5AB" w14:textId="3BE578C5" w:rsidR="00776D96" w:rsidRDefault="00000000" w:rsidP="00713F40">
      <w:pPr>
        <w:pStyle w:val="Heading2"/>
        <w:spacing w:before="240" w:after="160"/>
      </w:pPr>
      <w:r>
        <w:t>4) Methods:</w:t>
      </w:r>
    </w:p>
    <w:p w14:paraId="69B2CA19" w14:textId="77777777" w:rsidR="00776D96" w:rsidRDefault="00000000" w:rsidP="00713F40">
      <w:pPr>
        <w:spacing w:before="240" w:line="360" w:lineRule="auto"/>
        <w:rPr>
          <w:rFonts w:ascii="Arial" w:eastAsia="Arial" w:hAnsi="Arial" w:cs="Arial"/>
        </w:rPr>
      </w:pPr>
      <w:r>
        <w:rPr>
          <w:rFonts w:ascii="Arial" w:eastAsia="Arial" w:hAnsi="Arial" w:cs="Arial"/>
        </w:rPr>
        <w:t>The project will use secondary research drawing from:</w:t>
      </w:r>
    </w:p>
    <w:p w14:paraId="0B001E24" w14:textId="77777777" w:rsidR="00776D96" w:rsidRDefault="00000000" w:rsidP="00713F40">
      <w:pPr>
        <w:numPr>
          <w:ilvl w:val="0"/>
          <w:numId w:val="2"/>
        </w:numPr>
        <w:spacing w:before="240" w:line="360" w:lineRule="auto"/>
        <w:rPr>
          <w:rFonts w:ascii="Arial" w:eastAsia="Arial" w:hAnsi="Arial" w:cs="Arial"/>
        </w:rPr>
      </w:pPr>
      <w:r>
        <w:rPr>
          <w:rFonts w:ascii="Arial" w:eastAsia="Arial" w:hAnsi="Arial" w:cs="Arial"/>
        </w:rPr>
        <w:t xml:space="preserve">Data sources: Systematic reviews, peer-reviewed journal articles, government policy documents, and National Health Service (NHS) reports. </w:t>
      </w:r>
    </w:p>
    <w:p w14:paraId="1E9104A0" w14:textId="77777777" w:rsidR="00776D96" w:rsidRDefault="00000000" w:rsidP="00713F40">
      <w:pPr>
        <w:numPr>
          <w:ilvl w:val="0"/>
          <w:numId w:val="2"/>
        </w:numPr>
        <w:spacing w:before="240" w:line="360" w:lineRule="auto"/>
        <w:rPr>
          <w:rFonts w:ascii="Arial" w:eastAsia="Arial" w:hAnsi="Arial" w:cs="Arial"/>
        </w:rPr>
      </w:pPr>
      <w:r>
        <w:rPr>
          <w:rFonts w:ascii="Arial" w:eastAsia="Arial" w:hAnsi="Arial" w:cs="Arial"/>
        </w:rPr>
        <w:t>Inclusion criteria: Sources published between 2019-2025 that focus on healthcare workers within the UK.</w:t>
      </w:r>
    </w:p>
    <w:p w14:paraId="3C6B34C8" w14:textId="77777777" w:rsidR="00776D96" w:rsidRDefault="00000000" w:rsidP="00713F40">
      <w:pPr>
        <w:numPr>
          <w:ilvl w:val="0"/>
          <w:numId w:val="2"/>
        </w:numPr>
        <w:spacing w:before="240" w:line="360" w:lineRule="auto"/>
        <w:rPr>
          <w:rFonts w:ascii="Arial" w:eastAsia="Arial" w:hAnsi="Arial" w:cs="Arial"/>
        </w:rPr>
      </w:pPr>
      <w:r>
        <w:rPr>
          <w:rFonts w:ascii="Arial" w:eastAsia="Arial" w:hAnsi="Arial" w:cs="Arial"/>
        </w:rPr>
        <w:t>Exclusion criteria: Studies not related to HCWs’ mental health and those done outside the UK.</w:t>
      </w:r>
    </w:p>
    <w:p w14:paraId="77D4C182" w14:textId="77777777" w:rsidR="00776D96" w:rsidRDefault="00000000" w:rsidP="00713F40">
      <w:pPr>
        <w:numPr>
          <w:ilvl w:val="0"/>
          <w:numId w:val="2"/>
        </w:numPr>
        <w:spacing w:before="240" w:line="360" w:lineRule="auto"/>
        <w:rPr>
          <w:rFonts w:ascii="Arial" w:eastAsia="Arial" w:hAnsi="Arial" w:cs="Arial"/>
        </w:rPr>
      </w:pPr>
      <w:r>
        <w:rPr>
          <w:rFonts w:ascii="Arial" w:eastAsia="Arial" w:hAnsi="Arial" w:cs="Arial"/>
        </w:rPr>
        <w:t>Analysis: A thematic review will be done to identify recurring themes, such as resilience strategies and burnout.</w:t>
      </w:r>
    </w:p>
    <w:p w14:paraId="6CC36797" w14:textId="5925E3D4" w:rsidR="00776D96" w:rsidRPr="004D08C0" w:rsidRDefault="00000000" w:rsidP="00713F40">
      <w:pPr>
        <w:numPr>
          <w:ilvl w:val="0"/>
          <w:numId w:val="2"/>
        </w:numPr>
        <w:spacing w:before="240" w:line="360" w:lineRule="auto"/>
        <w:rPr>
          <w:rFonts w:ascii="Arial" w:eastAsia="Arial" w:hAnsi="Arial" w:cs="Arial"/>
        </w:rPr>
      </w:pPr>
      <w:r>
        <w:rPr>
          <w:rFonts w:ascii="Arial" w:eastAsia="Arial" w:hAnsi="Arial" w:cs="Arial"/>
        </w:rPr>
        <w:t xml:space="preserve">Ethical considerations: These ensure academic integrity is observed by avoiding plagiarism, acknowledging authors via the proper Harvard referencing, and maintaining an imperial approach to analysis. </w:t>
      </w:r>
    </w:p>
    <w:p w14:paraId="1F69F1C3" w14:textId="07385DA7" w:rsidR="00776D96" w:rsidRDefault="00000000" w:rsidP="00713F40">
      <w:pPr>
        <w:pStyle w:val="Heading2"/>
        <w:spacing w:before="240" w:after="160"/>
      </w:pPr>
      <w:r>
        <w:lastRenderedPageBreak/>
        <w:t xml:space="preserve">5) Resources: </w:t>
      </w:r>
    </w:p>
    <w:p w14:paraId="3E6C7A84" w14:textId="77777777" w:rsidR="00776D96" w:rsidRDefault="00000000" w:rsidP="00713F40">
      <w:pPr>
        <w:numPr>
          <w:ilvl w:val="0"/>
          <w:numId w:val="1"/>
        </w:numPr>
        <w:spacing w:before="240" w:line="360" w:lineRule="auto"/>
        <w:rPr>
          <w:rFonts w:ascii="Arial" w:eastAsia="Arial" w:hAnsi="Arial" w:cs="Arial"/>
        </w:rPr>
      </w:pPr>
      <w:r>
        <w:rPr>
          <w:rFonts w:ascii="Arial" w:eastAsia="Arial" w:hAnsi="Arial" w:cs="Arial"/>
        </w:rPr>
        <w:t>Databases: PubMed, CINAHL, PsycINFO, Google Scholar, NHS Digital</w:t>
      </w:r>
    </w:p>
    <w:p w14:paraId="62A4E807" w14:textId="77777777" w:rsidR="00776D96" w:rsidRDefault="00000000" w:rsidP="00713F40">
      <w:pPr>
        <w:numPr>
          <w:ilvl w:val="0"/>
          <w:numId w:val="1"/>
        </w:numPr>
        <w:spacing w:before="240" w:line="360" w:lineRule="auto"/>
        <w:rPr>
          <w:rFonts w:ascii="Arial" w:eastAsia="Arial" w:hAnsi="Arial" w:cs="Arial"/>
        </w:rPr>
      </w:pPr>
      <w:r>
        <w:rPr>
          <w:rFonts w:ascii="Arial" w:eastAsia="Arial" w:hAnsi="Arial" w:cs="Arial"/>
        </w:rPr>
        <w:t xml:space="preserve">Software: MS Word, Grammarly, </w:t>
      </w:r>
      <w:proofErr w:type="spellStart"/>
      <w:r>
        <w:rPr>
          <w:rFonts w:ascii="Arial" w:eastAsia="Arial" w:hAnsi="Arial" w:cs="Arial"/>
        </w:rPr>
        <w:t>MyBib</w:t>
      </w:r>
      <w:proofErr w:type="spellEnd"/>
    </w:p>
    <w:p w14:paraId="4B9AE56D" w14:textId="066AFA0A" w:rsidR="00776D96" w:rsidRPr="004D08C0" w:rsidRDefault="00000000" w:rsidP="00713F40">
      <w:pPr>
        <w:numPr>
          <w:ilvl w:val="0"/>
          <w:numId w:val="1"/>
        </w:numPr>
        <w:spacing w:before="240" w:line="360" w:lineRule="auto"/>
        <w:rPr>
          <w:rFonts w:ascii="Arial" w:eastAsia="Arial" w:hAnsi="Arial" w:cs="Arial"/>
        </w:rPr>
      </w:pPr>
      <w:r>
        <w:rPr>
          <w:rFonts w:ascii="Arial" w:eastAsia="Arial" w:hAnsi="Arial" w:cs="Arial"/>
        </w:rPr>
        <w:t>Support: Library, supervisor guidance</w:t>
      </w:r>
    </w:p>
    <w:p w14:paraId="5D51EF7F" w14:textId="1E3DAB47" w:rsidR="00776D96" w:rsidRDefault="00000000" w:rsidP="00713F40">
      <w:pPr>
        <w:pStyle w:val="Heading2"/>
        <w:spacing w:before="240" w:after="160"/>
      </w:pPr>
      <w:r>
        <w:t>6) Timescale:</w:t>
      </w:r>
    </w:p>
    <w:sdt>
      <w:sdtPr>
        <w:tag w:val="goog_rdk_0"/>
        <w:id w:val="2043367195"/>
        <w:lock w:val="contentLocked"/>
      </w:sdtPr>
      <w:sdtContent>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776D96" w14:paraId="3896C522" w14:textId="77777777">
            <w:tc>
              <w:tcPr>
                <w:tcW w:w="4513" w:type="dxa"/>
                <w:tcMar>
                  <w:top w:w="100" w:type="dxa"/>
                  <w:left w:w="100" w:type="dxa"/>
                  <w:bottom w:w="100" w:type="dxa"/>
                  <w:right w:w="100" w:type="dxa"/>
                </w:tcMar>
              </w:tcPr>
              <w:p w14:paraId="2B5DB3A1" w14:textId="77777777" w:rsidR="00776D96" w:rsidRDefault="00000000">
                <w:pPr>
                  <w:widowControl w:val="0"/>
                  <w:pBdr>
                    <w:top w:val="nil"/>
                    <w:left w:val="nil"/>
                    <w:bottom w:val="nil"/>
                    <w:right w:val="nil"/>
                    <w:between w:val="nil"/>
                  </w:pBdr>
                  <w:spacing w:after="0" w:line="360" w:lineRule="auto"/>
                  <w:rPr>
                    <w:rFonts w:ascii="Arial" w:eastAsia="Arial" w:hAnsi="Arial" w:cs="Arial"/>
                    <w:b/>
                  </w:rPr>
                </w:pPr>
                <w:r>
                  <w:rPr>
                    <w:rFonts w:ascii="Arial" w:eastAsia="Arial" w:hAnsi="Arial" w:cs="Arial"/>
                    <w:b/>
                  </w:rPr>
                  <w:t>Week</w:t>
                </w:r>
              </w:p>
            </w:tc>
            <w:tc>
              <w:tcPr>
                <w:tcW w:w="4513" w:type="dxa"/>
                <w:tcMar>
                  <w:top w:w="100" w:type="dxa"/>
                  <w:left w:w="100" w:type="dxa"/>
                  <w:bottom w:w="100" w:type="dxa"/>
                  <w:right w:w="100" w:type="dxa"/>
                </w:tcMar>
              </w:tcPr>
              <w:p w14:paraId="44C0EED2" w14:textId="77777777" w:rsidR="00776D96" w:rsidRDefault="00000000">
                <w:pPr>
                  <w:widowControl w:val="0"/>
                  <w:pBdr>
                    <w:top w:val="nil"/>
                    <w:left w:val="nil"/>
                    <w:bottom w:val="nil"/>
                    <w:right w:val="nil"/>
                    <w:between w:val="nil"/>
                  </w:pBdr>
                  <w:spacing w:after="0" w:line="360" w:lineRule="auto"/>
                  <w:rPr>
                    <w:rFonts w:ascii="Arial" w:eastAsia="Arial" w:hAnsi="Arial" w:cs="Arial"/>
                    <w:b/>
                  </w:rPr>
                </w:pPr>
                <w:r>
                  <w:rPr>
                    <w:rFonts w:ascii="Arial" w:eastAsia="Arial" w:hAnsi="Arial" w:cs="Arial"/>
                    <w:b/>
                  </w:rPr>
                  <w:t>Task</w:t>
                </w:r>
              </w:p>
            </w:tc>
          </w:tr>
          <w:tr w:rsidR="00776D96" w14:paraId="38BF6423" w14:textId="77777777">
            <w:tc>
              <w:tcPr>
                <w:tcW w:w="4513" w:type="dxa"/>
                <w:tcMar>
                  <w:top w:w="100" w:type="dxa"/>
                  <w:left w:w="100" w:type="dxa"/>
                  <w:bottom w:w="100" w:type="dxa"/>
                  <w:right w:w="100" w:type="dxa"/>
                </w:tcMar>
              </w:tcPr>
              <w:p w14:paraId="0B1570D6" w14:textId="77777777" w:rsidR="00776D96" w:rsidRDefault="00000000">
                <w:pPr>
                  <w:widowControl w:val="0"/>
                  <w:pBdr>
                    <w:top w:val="nil"/>
                    <w:left w:val="nil"/>
                    <w:bottom w:val="nil"/>
                    <w:right w:val="nil"/>
                    <w:between w:val="nil"/>
                  </w:pBdr>
                  <w:spacing w:after="0" w:line="360" w:lineRule="auto"/>
                  <w:rPr>
                    <w:rFonts w:ascii="Arial" w:eastAsia="Arial" w:hAnsi="Arial" w:cs="Arial"/>
                  </w:rPr>
                </w:pPr>
                <w:r>
                  <w:rPr>
                    <w:rFonts w:ascii="Arial" w:eastAsia="Arial" w:hAnsi="Arial" w:cs="Arial"/>
                  </w:rPr>
                  <w:t xml:space="preserve">1-2 </w:t>
                </w:r>
              </w:p>
            </w:tc>
            <w:tc>
              <w:tcPr>
                <w:tcW w:w="4513" w:type="dxa"/>
                <w:tcMar>
                  <w:top w:w="100" w:type="dxa"/>
                  <w:left w:w="100" w:type="dxa"/>
                  <w:bottom w:w="100" w:type="dxa"/>
                  <w:right w:w="100" w:type="dxa"/>
                </w:tcMar>
              </w:tcPr>
              <w:p w14:paraId="50968028" w14:textId="77777777" w:rsidR="00776D96" w:rsidRDefault="00000000">
                <w:pPr>
                  <w:widowControl w:val="0"/>
                  <w:pBdr>
                    <w:top w:val="nil"/>
                    <w:left w:val="nil"/>
                    <w:bottom w:val="nil"/>
                    <w:right w:val="nil"/>
                    <w:between w:val="nil"/>
                  </w:pBdr>
                  <w:spacing w:after="0" w:line="360" w:lineRule="auto"/>
                  <w:rPr>
                    <w:rFonts w:ascii="Arial" w:eastAsia="Arial" w:hAnsi="Arial" w:cs="Arial"/>
                  </w:rPr>
                </w:pPr>
                <w:r>
                  <w:rPr>
                    <w:rFonts w:ascii="Arial" w:eastAsia="Arial" w:hAnsi="Arial" w:cs="Arial"/>
                  </w:rPr>
                  <w:t>Finalise topic, refine the research title, and gather literature</w:t>
                </w:r>
              </w:p>
            </w:tc>
          </w:tr>
          <w:tr w:rsidR="00776D96" w14:paraId="3F0E5D4A" w14:textId="77777777">
            <w:tc>
              <w:tcPr>
                <w:tcW w:w="4513" w:type="dxa"/>
                <w:tcMar>
                  <w:top w:w="100" w:type="dxa"/>
                  <w:left w:w="100" w:type="dxa"/>
                  <w:bottom w:w="100" w:type="dxa"/>
                  <w:right w:w="100" w:type="dxa"/>
                </w:tcMar>
              </w:tcPr>
              <w:p w14:paraId="217151E2" w14:textId="77777777" w:rsidR="00776D96" w:rsidRDefault="00000000">
                <w:pPr>
                  <w:widowControl w:val="0"/>
                  <w:pBdr>
                    <w:top w:val="nil"/>
                    <w:left w:val="nil"/>
                    <w:bottom w:val="nil"/>
                    <w:right w:val="nil"/>
                    <w:between w:val="nil"/>
                  </w:pBdr>
                  <w:spacing w:after="0" w:line="360" w:lineRule="auto"/>
                  <w:rPr>
                    <w:rFonts w:ascii="Arial" w:eastAsia="Arial" w:hAnsi="Arial" w:cs="Arial"/>
                  </w:rPr>
                </w:pPr>
                <w:r>
                  <w:rPr>
                    <w:rFonts w:ascii="Arial" w:eastAsia="Arial" w:hAnsi="Arial" w:cs="Arial"/>
                  </w:rPr>
                  <w:t>3-5</w:t>
                </w:r>
              </w:p>
            </w:tc>
            <w:tc>
              <w:tcPr>
                <w:tcW w:w="4513" w:type="dxa"/>
                <w:tcMar>
                  <w:top w:w="100" w:type="dxa"/>
                  <w:left w:w="100" w:type="dxa"/>
                  <w:bottom w:w="100" w:type="dxa"/>
                  <w:right w:w="100" w:type="dxa"/>
                </w:tcMar>
              </w:tcPr>
              <w:p w14:paraId="135F034D" w14:textId="77777777" w:rsidR="00776D96" w:rsidRDefault="00000000">
                <w:pPr>
                  <w:widowControl w:val="0"/>
                  <w:pBdr>
                    <w:top w:val="nil"/>
                    <w:left w:val="nil"/>
                    <w:bottom w:val="nil"/>
                    <w:right w:val="nil"/>
                    <w:between w:val="nil"/>
                  </w:pBdr>
                  <w:spacing w:after="0" w:line="360" w:lineRule="auto"/>
                  <w:rPr>
                    <w:rFonts w:ascii="Arial" w:eastAsia="Arial" w:hAnsi="Arial" w:cs="Arial"/>
                  </w:rPr>
                </w:pPr>
                <w:r>
                  <w:rPr>
                    <w:rFonts w:ascii="Arial" w:eastAsia="Arial" w:hAnsi="Arial" w:cs="Arial"/>
                  </w:rPr>
                  <w:t>Conduct thematic review</w:t>
                </w:r>
              </w:p>
            </w:tc>
          </w:tr>
          <w:tr w:rsidR="00776D96" w14:paraId="4764B1C6" w14:textId="77777777">
            <w:tc>
              <w:tcPr>
                <w:tcW w:w="4513" w:type="dxa"/>
                <w:tcMar>
                  <w:top w:w="100" w:type="dxa"/>
                  <w:left w:w="100" w:type="dxa"/>
                  <w:bottom w:w="100" w:type="dxa"/>
                  <w:right w:w="100" w:type="dxa"/>
                </w:tcMar>
              </w:tcPr>
              <w:p w14:paraId="251DC231" w14:textId="77777777" w:rsidR="00776D96" w:rsidRDefault="00000000">
                <w:pPr>
                  <w:widowControl w:val="0"/>
                  <w:pBdr>
                    <w:top w:val="nil"/>
                    <w:left w:val="nil"/>
                    <w:bottom w:val="nil"/>
                    <w:right w:val="nil"/>
                    <w:between w:val="nil"/>
                  </w:pBdr>
                  <w:spacing w:after="0" w:line="360" w:lineRule="auto"/>
                  <w:rPr>
                    <w:rFonts w:ascii="Arial" w:eastAsia="Arial" w:hAnsi="Arial" w:cs="Arial"/>
                  </w:rPr>
                </w:pPr>
                <w:r>
                  <w:rPr>
                    <w:rFonts w:ascii="Arial" w:eastAsia="Arial" w:hAnsi="Arial" w:cs="Arial"/>
                  </w:rPr>
                  <w:t>6-7</w:t>
                </w:r>
              </w:p>
            </w:tc>
            <w:tc>
              <w:tcPr>
                <w:tcW w:w="4513" w:type="dxa"/>
                <w:tcMar>
                  <w:top w:w="100" w:type="dxa"/>
                  <w:left w:w="100" w:type="dxa"/>
                  <w:bottom w:w="100" w:type="dxa"/>
                  <w:right w:w="100" w:type="dxa"/>
                </w:tcMar>
              </w:tcPr>
              <w:p w14:paraId="01AF9145" w14:textId="77777777" w:rsidR="00776D96" w:rsidRDefault="00000000">
                <w:pPr>
                  <w:widowControl w:val="0"/>
                  <w:pBdr>
                    <w:top w:val="nil"/>
                    <w:left w:val="nil"/>
                    <w:bottom w:val="nil"/>
                    <w:right w:val="nil"/>
                    <w:between w:val="nil"/>
                  </w:pBdr>
                  <w:spacing w:after="0" w:line="360" w:lineRule="auto"/>
                  <w:rPr>
                    <w:rFonts w:ascii="Arial" w:eastAsia="Arial" w:hAnsi="Arial" w:cs="Arial"/>
                  </w:rPr>
                </w:pPr>
                <w:r>
                  <w:rPr>
                    <w:rFonts w:ascii="Arial" w:eastAsia="Arial" w:hAnsi="Arial" w:cs="Arial"/>
                  </w:rPr>
                  <w:t>Draft proposal submission</w:t>
                </w:r>
              </w:p>
            </w:tc>
          </w:tr>
          <w:tr w:rsidR="00776D96" w14:paraId="3B98C213" w14:textId="77777777">
            <w:tc>
              <w:tcPr>
                <w:tcW w:w="4513" w:type="dxa"/>
                <w:tcMar>
                  <w:top w:w="100" w:type="dxa"/>
                  <w:left w:w="100" w:type="dxa"/>
                  <w:bottom w:w="100" w:type="dxa"/>
                  <w:right w:w="100" w:type="dxa"/>
                </w:tcMar>
              </w:tcPr>
              <w:p w14:paraId="7D04CB20" w14:textId="77777777" w:rsidR="00776D96" w:rsidRDefault="00000000">
                <w:pPr>
                  <w:widowControl w:val="0"/>
                  <w:pBdr>
                    <w:top w:val="nil"/>
                    <w:left w:val="nil"/>
                    <w:bottom w:val="nil"/>
                    <w:right w:val="nil"/>
                    <w:between w:val="nil"/>
                  </w:pBdr>
                  <w:spacing w:after="0" w:line="360" w:lineRule="auto"/>
                  <w:rPr>
                    <w:rFonts w:ascii="Arial" w:eastAsia="Arial" w:hAnsi="Arial" w:cs="Arial"/>
                  </w:rPr>
                </w:pPr>
                <w:r>
                  <w:rPr>
                    <w:rFonts w:ascii="Arial" w:eastAsia="Arial" w:hAnsi="Arial" w:cs="Arial"/>
                  </w:rPr>
                  <w:t>8-24</w:t>
                </w:r>
              </w:p>
            </w:tc>
            <w:tc>
              <w:tcPr>
                <w:tcW w:w="4513" w:type="dxa"/>
                <w:tcMar>
                  <w:top w:w="100" w:type="dxa"/>
                  <w:left w:w="100" w:type="dxa"/>
                  <w:bottom w:w="100" w:type="dxa"/>
                  <w:right w:w="100" w:type="dxa"/>
                </w:tcMar>
              </w:tcPr>
              <w:p w14:paraId="3BF1856F" w14:textId="77777777" w:rsidR="00776D96" w:rsidRDefault="00000000">
                <w:pPr>
                  <w:widowControl w:val="0"/>
                  <w:pBdr>
                    <w:top w:val="nil"/>
                    <w:left w:val="nil"/>
                    <w:bottom w:val="nil"/>
                    <w:right w:val="nil"/>
                    <w:between w:val="nil"/>
                  </w:pBdr>
                  <w:spacing w:after="0" w:line="360" w:lineRule="auto"/>
                  <w:rPr>
                    <w:rFonts w:ascii="Arial" w:eastAsia="Arial" w:hAnsi="Arial" w:cs="Arial"/>
                  </w:rPr>
                </w:pPr>
                <w:r>
                  <w:rPr>
                    <w:rFonts w:ascii="Arial" w:eastAsia="Arial" w:hAnsi="Arial" w:cs="Arial"/>
                  </w:rPr>
                  <w:t>Dissertation writing and review</w:t>
                </w:r>
              </w:p>
            </w:tc>
          </w:tr>
        </w:tbl>
      </w:sdtContent>
    </w:sdt>
    <w:p w14:paraId="13E66D09" w14:textId="77777777" w:rsidR="00776D96" w:rsidRDefault="00776D96">
      <w:pPr>
        <w:spacing w:line="360" w:lineRule="auto"/>
        <w:rPr>
          <w:rFonts w:ascii="Arial" w:eastAsia="Arial" w:hAnsi="Arial" w:cs="Arial"/>
        </w:rPr>
      </w:pPr>
    </w:p>
    <w:p w14:paraId="09F1AF7D" w14:textId="77777777" w:rsidR="00776D96" w:rsidRDefault="00000000" w:rsidP="00713F40">
      <w:pPr>
        <w:spacing w:before="240" w:line="360" w:lineRule="auto"/>
        <w:rPr>
          <w:rFonts w:ascii="Arial" w:eastAsia="Arial" w:hAnsi="Arial" w:cs="Arial"/>
          <w:b/>
          <w:i/>
          <w:sz w:val="28"/>
          <w:szCs w:val="28"/>
        </w:rPr>
      </w:pPr>
      <w:r>
        <w:rPr>
          <w:rFonts w:ascii="Arial" w:eastAsia="Arial" w:hAnsi="Arial" w:cs="Arial"/>
          <w:b/>
          <w:i/>
          <w:sz w:val="28"/>
          <w:szCs w:val="28"/>
        </w:rPr>
        <w:t>7) Self-reflection as researcher (any strengths or challenges):</w:t>
      </w:r>
    </w:p>
    <w:p w14:paraId="17E61140" w14:textId="40C78DF8" w:rsidR="00776D96" w:rsidRDefault="00000000" w:rsidP="00713F40">
      <w:pPr>
        <w:spacing w:before="240" w:line="360" w:lineRule="auto"/>
        <w:rPr>
          <w:rFonts w:ascii="Arial" w:eastAsia="Arial" w:hAnsi="Arial" w:cs="Arial"/>
        </w:rPr>
      </w:pPr>
      <w:r>
        <w:rPr>
          <w:rFonts w:ascii="Arial" w:eastAsia="Arial" w:hAnsi="Arial" w:cs="Arial"/>
        </w:rPr>
        <w:t xml:space="preserve">The researcher brings their strong analytical and organisational skills that will provide assistance in synthesising large amounts of data. However, narrowing COVID-19 research’s wide scope is an anticipated challenge. </w:t>
      </w:r>
      <w:r w:rsidR="00713F40">
        <w:rPr>
          <w:rFonts w:ascii="Arial" w:eastAsia="Arial" w:hAnsi="Arial" w:cs="Arial"/>
        </w:rPr>
        <w:t>Therefore,</w:t>
      </w:r>
      <w:r>
        <w:rPr>
          <w:rFonts w:ascii="Arial" w:eastAsia="Arial" w:hAnsi="Arial" w:cs="Arial"/>
        </w:rPr>
        <w:t xml:space="preserve"> to address this, the researcher endeavours to strictly adhere to their defined inclusion criteria and consult with the supervisor using their feedback to refine the focus and maintain a critically balanced approach.</w:t>
      </w:r>
    </w:p>
    <w:p w14:paraId="7030789F" w14:textId="77777777" w:rsidR="00776D96" w:rsidRDefault="00000000" w:rsidP="00713F40">
      <w:pPr>
        <w:spacing w:before="240" w:line="360" w:lineRule="auto"/>
        <w:rPr>
          <w:rFonts w:ascii="Arial" w:eastAsia="Arial" w:hAnsi="Arial" w:cs="Arial"/>
        </w:rPr>
      </w:pPr>
      <w:r>
        <w:br w:type="page"/>
      </w:r>
    </w:p>
    <w:p w14:paraId="0E906AB2" w14:textId="77777777" w:rsidR="00776D96" w:rsidRDefault="00000000" w:rsidP="00713F40">
      <w:pPr>
        <w:pStyle w:val="Heading1"/>
        <w:spacing w:after="160"/>
      </w:pPr>
      <w:r>
        <w:lastRenderedPageBreak/>
        <w:t>References</w:t>
      </w:r>
    </w:p>
    <w:p w14:paraId="5559D6C0" w14:textId="2CC348E0" w:rsidR="00776D96" w:rsidRDefault="00000000" w:rsidP="00713F40">
      <w:pPr>
        <w:spacing w:before="240" w:line="360" w:lineRule="auto"/>
        <w:jc w:val="both"/>
        <w:rPr>
          <w:rFonts w:ascii="Arial" w:eastAsia="Arial" w:hAnsi="Arial" w:cs="Arial"/>
        </w:rPr>
      </w:pPr>
      <w:r>
        <w:rPr>
          <w:rFonts w:ascii="Arial" w:eastAsia="Arial" w:hAnsi="Arial" w:cs="Arial"/>
        </w:rPr>
        <w:t>British Medical Association</w:t>
      </w:r>
      <w:r w:rsidR="00713F40">
        <w:rPr>
          <w:rFonts w:ascii="Arial" w:eastAsia="Arial" w:hAnsi="Arial" w:cs="Arial"/>
        </w:rPr>
        <w:t>.</w:t>
      </w:r>
      <w:r>
        <w:rPr>
          <w:rFonts w:ascii="Arial" w:eastAsia="Arial" w:hAnsi="Arial" w:cs="Arial"/>
        </w:rPr>
        <w:t xml:space="preserve"> (2022). Delivery of healthcare during the pandemic [online]. [Viewed 1 October 2025]. Available from: </w:t>
      </w:r>
      <w:hyperlink r:id="rId8">
        <w:r w:rsidR="00776D96">
          <w:rPr>
            <w:rFonts w:ascii="Arial" w:eastAsia="Arial" w:hAnsi="Arial" w:cs="Arial"/>
          </w:rPr>
          <w:t>https://www.bma.org.uk/media/aganhcxj/bma-covid-review-report-3-september-2024.pdf</w:t>
        </w:r>
      </w:hyperlink>
    </w:p>
    <w:p w14:paraId="72906468" w14:textId="5ACF92EA" w:rsidR="00776D96" w:rsidRDefault="00000000" w:rsidP="00713F40">
      <w:pPr>
        <w:spacing w:before="240" w:line="360" w:lineRule="auto"/>
        <w:jc w:val="both"/>
        <w:rPr>
          <w:rFonts w:ascii="Arial" w:eastAsia="Arial" w:hAnsi="Arial" w:cs="Arial"/>
        </w:rPr>
      </w:pPr>
      <w:r>
        <w:rPr>
          <w:rFonts w:ascii="Arial" w:eastAsia="Arial" w:hAnsi="Arial" w:cs="Arial"/>
        </w:rPr>
        <w:t xml:space="preserve">Cabarkapa, S., </w:t>
      </w:r>
      <w:proofErr w:type="spellStart"/>
      <w:r>
        <w:rPr>
          <w:rFonts w:ascii="Arial" w:eastAsia="Arial" w:hAnsi="Arial" w:cs="Arial"/>
        </w:rPr>
        <w:t>Nadjidai</w:t>
      </w:r>
      <w:proofErr w:type="spellEnd"/>
      <w:r>
        <w:rPr>
          <w:rFonts w:ascii="Arial" w:eastAsia="Arial" w:hAnsi="Arial" w:cs="Arial"/>
        </w:rPr>
        <w:t xml:space="preserve">, S. E., </w:t>
      </w:r>
      <w:proofErr w:type="spellStart"/>
      <w:r>
        <w:rPr>
          <w:rFonts w:ascii="Arial" w:eastAsia="Arial" w:hAnsi="Arial" w:cs="Arial"/>
        </w:rPr>
        <w:t>Murgier</w:t>
      </w:r>
      <w:proofErr w:type="spellEnd"/>
      <w:r>
        <w:rPr>
          <w:rFonts w:ascii="Arial" w:eastAsia="Arial" w:hAnsi="Arial" w:cs="Arial"/>
        </w:rPr>
        <w:t xml:space="preserve">, J. and Ng, C. H. (2020). The psychological impact of COVID-19 and other viral epidemics on frontline healthcare workers and ways to address it: A rapid systematic review. </w:t>
      </w:r>
      <w:r>
        <w:rPr>
          <w:rFonts w:ascii="Arial" w:eastAsia="Arial" w:hAnsi="Arial" w:cs="Arial"/>
          <w:i/>
        </w:rPr>
        <w:t xml:space="preserve">Brain, </w:t>
      </w:r>
      <w:r w:rsidR="00713F40">
        <w:rPr>
          <w:rFonts w:ascii="Arial" w:eastAsia="Arial" w:hAnsi="Arial" w:cs="Arial"/>
          <w:i/>
        </w:rPr>
        <w:t>Behaviour</w:t>
      </w:r>
      <w:r>
        <w:rPr>
          <w:rFonts w:ascii="Arial" w:eastAsia="Arial" w:hAnsi="Arial" w:cs="Arial"/>
          <w:i/>
        </w:rPr>
        <w:t>, &amp; Immunity - Health</w:t>
      </w:r>
      <w:r>
        <w:rPr>
          <w:rFonts w:ascii="Arial" w:eastAsia="Arial" w:hAnsi="Arial" w:cs="Arial"/>
        </w:rPr>
        <w:t xml:space="preserve">. </w:t>
      </w:r>
      <w:r>
        <w:rPr>
          <w:rFonts w:ascii="Arial" w:eastAsia="Arial" w:hAnsi="Arial" w:cs="Arial"/>
          <w:b/>
        </w:rPr>
        <w:t>8</w:t>
      </w:r>
      <w:r>
        <w:rPr>
          <w:rFonts w:ascii="Arial" w:eastAsia="Arial" w:hAnsi="Arial" w:cs="Arial"/>
        </w:rPr>
        <w:t xml:space="preserve">, 100144. </w:t>
      </w:r>
    </w:p>
    <w:p w14:paraId="2868CFC3" w14:textId="6843F72B" w:rsidR="00776D96" w:rsidRDefault="00000000" w:rsidP="00713F40">
      <w:pPr>
        <w:spacing w:before="240" w:line="360" w:lineRule="auto"/>
        <w:jc w:val="both"/>
        <w:rPr>
          <w:rFonts w:ascii="Arial" w:eastAsia="Arial" w:hAnsi="Arial" w:cs="Arial"/>
        </w:rPr>
      </w:pPr>
      <w:r>
        <w:rPr>
          <w:rFonts w:ascii="Arial" w:eastAsia="Arial" w:hAnsi="Arial" w:cs="Arial"/>
        </w:rPr>
        <w:t xml:space="preserve">Hannemann, J., Abdalrahman, A., Erim, Y., </w:t>
      </w:r>
      <w:proofErr w:type="spellStart"/>
      <w:r>
        <w:rPr>
          <w:rFonts w:ascii="Arial" w:eastAsia="Arial" w:hAnsi="Arial" w:cs="Arial"/>
        </w:rPr>
        <w:t>Morawa</w:t>
      </w:r>
      <w:proofErr w:type="spellEnd"/>
      <w:r>
        <w:rPr>
          <w:rFonts w:ascii="Arial" w:eastAsia="Arial" w:hAnsi="Arial" w:cs="Arial"/>
        </w:rPr>
        <w:t xml:space="preserve">, E., Jerg-Bretzke, L., </w:t>
      </w:r>
      <w:proofErr w:type="spellStart"/>
      <w:r>
        <w:rPr>
          <w:rFonts w:ascii="Arial" w:eastAsia="Arial" w:hAnsi="Arial" w:cs="Arial"/>
        </w:rPr>
        <w:t>Beschoner</w:t>
      </w:r>
      <w:proofErr w:type="spellEnd"/>
      <w:r>
        <w:rPr>
          <w:rFonts w:ascii="Arial" w:eastAsia="Arial" w:hAnsi="Arial" w:cs="Arial"/>
        </w:rPr>
        <w:t xml:space="preserve">, P., Geiser, F., Hiebel, N., Weidner, K., </w:t>
      </w:r>
      <w:proofErr w:type="spellStart"/>
      <w:r>
        <w:rPr>
          <w:rFonts w:ascii="Arial" w:eastAsia="Arial" w:hAnsi="Arial" w:cs="Arial"/>
        </w:rPr>
        <w:t>Steudte-Schmiedgen</w:t>
      </w:r>
      <w:proofErr w:type="spellEnd"/>
      <w:r>
        <w:rPr>
          <w:rFonts w:ascii="Arial" w:eastAsia="Arial" w:hAnsi="Arial" w:cs="Arial"/>
        </w:rPr>
        <w:t xml:space="preserve">, S. and Albus, C. (2022). The impact of the COVID-19 pandemic on the mental health of medical staff considering the interplay of pandemic burden and psychosocial resources—A rapid systematic review. </w:t>
      </w:r>
      <w:r>
        <w:rPr>
          <w:rFonts w:ascii="Arial" w:eastAsia="Arial" w:hAnsi="Arial" w:cs="Arial"/>
          <w:i/>
        </w:rPr>
        <w:t>PLOS ONE</w:t>
      </w:r>
      <w:r>
        <w:rPr>
          <w:rFonts w:ascii="Arial" w:eastAsia="Arial" w:hAnsi="Arial" w:cs="Arial"/>
        </w:rPr>
        <w:t xml:space="preserve">. </w:t>
      </w:r>
      <w:r>
        <w:rPr>
          <w:rFonts w:ascii="Arial" w:eastAsia="Arial" w:hAnsi="Arial" w:cs="Arial"/>
          <w:b/>
        </w:rPr>
        <w:t>17</w:t>
      </w:r>
      <w:r>
        <w:rPr>
          <w:rFonts w:ascii="Arial" w:eastAsia="Arial" w:hAnsi="Arial" w:cs="Arial"/>
        </w:rPr>
        <w:t xml:space="preserve">(2), article no: e0264290. </w:t>
      </w:r>
    </w:p>
    <w:p w14:paraId="57F7278E" w14:textId="126E167F" w:rsidR="00776D96" w:rsidRDefault="00000000" w:rsidP="00713F40">
      <w:pPr>
        <w:spacing w:before="240" w:line="360" w:lineRule="auto"/>
        <w:jc w:val="both"/>
        <w:rPr>
          <w:rFonts w:ascii="Arial" w:eastAsia="Arial" w:hAnsi="Arial" w:cs="Arial"/>
        </w:rPr>
      </w:pPr>
      <w:r>
        <w:rPr>
          <w:rFonts w:ascii="Arial" w:eastAsia="Arial" w:hAnsi="Arial" w:cs="Arial"/>
        </w:rPr>
        <w:t>Puia, A., Pop, S. R., Manzat, B. O. C., Pintea, S., Puia, I. C. and Fadgyas-</w:t>
      </w:r>
      <w:proofErr w:type="spellStart"/>
      <w:r>
        <w:rPr>
          <w:rFonts w:ascii="Arial" w:eastAsia="Arial" w:hAnsi="Arial" w:cs="Arial"/>
        </w:rPr>
        <w:t>Stanculete</w:t>
      </w:r>
      <w:proofErr w:type="spellEnd"/>
      <w:r>
        <w:rPr>
          <w:rFonts w:ascii="Arial" w:eastAsia="Arial" w:hAnsi="Arial" w:cs="Arial"/>
        </w:rPr>
        <w:t xml:space="preserve">, M. (2025). Coping Strategies Among Healthcare Workers During the COVID-19 Pandemic: Emotional Responses, Challenges, and Adaptive Practices. </w:t>
      </w:r>
      <w:r>
        <w:rPr>
          <w:rFonts w:ascii="Arial" w:eastAsia="Arial" w:hAnsi="Arial" w:cs="Arial"/>
          <w:i/>
        </w:rPr>
        <w:t>Medicina</w:t>
      </w:r>
      <w:r>
        <w:rPr>
          <w:rFonts w:ascii="Arial" w:eastAsia="Arial" w:hAnsi="Arial" w:cs="Arial"/>
        </w:rPr>
        <w:t xml:space="preserve">. </w:t>
      </w:r>
      <w:r>
        <w:rPr>
          <w:rFonts w:ascii="Arial" w:eastAsia="Arial" w:hAnsi="Arial" w:cs="Arial"/>
          <w:b/>
        </w:rPr>
        <w:t>61</w:t>
      </w:r>
      <w:r>
        <w:rPr>
          <w:rFonts w:ascii="Arial" w:eastAsia="Arial" w:hAnsi="Arial" w:cs="Arial"/>
        </w:rPr>
        <w:t xml:space="preserve">(2), 311. </w:t>
      </w:r>
    </w:p>
    <w:p w14:paraId="3FB569DF" w14:textId="2461D2DE" w:rsidR="00776D96" w:rsidRDefault="00000000" w:rsidP="00713F40">
      <w:pPr>
        <w:spacing w:before="240" w:line="360" w:lineRule="auto"/>
        <w:jc w:val="both"/>
        <w:rPr>
          <w:rFonts w:ascii="Arial" w:eastAsia="Arial" w:hAnsi="Arial" w:cs="Arial"/>
        </w:rPr>
      </w:pPr>
      <w:r>
        <w:rPr>
          <w:rFonts w:ascii="Arial" w:eastAsia="Arial" w:hAnsi="Arial" w:cs="Arial"/>
        </w:rPr>
        <w:t xml:space="preserve">Varese, F. et al. (2025). Demographic, occupational factors and pandemic-related stressors associated with heightened mental health difficulties among UK health and social care workers supported by regional Resilience Hubs during the COVID-19 pandemic. </w:t>
      </w:r>
      <w:r>
        <w:rPr>
          <w:rFonts w:ascii="Arial" w:eastAsia="Arial" w:hAnsi="Arial" w:cs="Arial"/>
          <w:i/>
        </w:rPr>
        <w:t>BMJ Open</w:t>
      </w:r>
      <w:r>
        <w:rPr>
          <w:rFonts w:ascii="Arial" w:eastAsia="Arial" w:hAnsi="Arial" w:cs="Arial"/>
        </w:rPr>
        <w:t xml:space="preserve">. </w:t>
      </w:r>
      <w:r>
        <w:rPr>
          <w:rFonts w:ascii="Arial" w:eastAsia="Arial" w:hAnsi="Arial" w:cs="Arial"/>
          <w:b/>
        </w:rPr>
        <w:t>15</w:t>
      </w:r>
      <w:r>
        <w:rPr>
          <w:rFonts w:ascii="Arial" w:eastAsia="Arial" w:hAnsi="Arial" w:cs="Arial"/>
        </w:rPr>
        <w:t>(2), article no: e082817</w:t>
      </w:r>
    </w:p>
    <w:p w14:paraId="2DAB7072" w14:textId="77777777" w:rsidR="00776D96" w:rsidRDefault="00776D96" w:rsidP="00713F40">
      <w:pPr>
        <w:spacing w:before="240" w:line="360" w:lineRule="auto"/>
        <w:rPr>
          <w:rFonts w:ascii="Arial" w:eastAsia="Arial" w:hAnsi="Arial" w:cs="Arial"/>
        </w:rPr>
      </w:pPr>
    </w:p>
    <w:p w14:paraId="3E222EB4" w14:textId="77777777" w:rsidR="00776D96" w:rsidRDefault="00776D96">
      <w:pPr>
        <w:spacing w:line="360" w:lineRule="auto"/>
        <w:rPr>
          <w:rFonts w:ascii="Arial" w:eastAsia="Arial" w:hAnsi="Arial" w:cs="Arial"/>
        </w:rPr>
      </w:pPr>
    </w:p>
    <w:p w14:paraId="40667825" w14:textId="51E394A0" w:rsidR="00776D96" w:rsidRDefault="00776D96">
      <w:pPr>
        <w:spacing w:line="360" w:lineRule="auto"/>
        <w:rPr>
          <w:rFonts w:ascii="Arial" w:eastAsia="Arial" w:hAnsi="Arial" w:cs="Arial"/>
        </w:rPr>
      </w:pPr>
    </w:p>
    <w:sectPr w:rsidR="00776D96">
      <w:footerReference w:type="default" r:id="rId9"/>
      <w:pgSz w:w="11906" w:h="16838"/>
      <w:pgMar w:top="1440" w:right="1440" w:bottom="1440"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0BAF0" w14:textId="77777777" w:rsidR="00643FDD" w:rsidRDefault="00643FDD">
      <w:pPr>
        <w:spacing w:after="0" w:line="240" w:lineRule="auto"/>
      </w:pPr>
      <w:r>
        <w:separator/>
      </w:r>
    </w:p>
  </w:endnote>
  <w:endnote w:type="continuationSeparator" w:id="0">
    <w:p w14:paraId="1170DA64" w14:textId="77777777" w:rsidR="00643FDD" w:rsidRDefault="00643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14653E39-1049-49BE-9487-2FE5E1904FBF}"/>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F1C702F4-8F74-427B-AA13-5B6B68632823}"/>
  </w:font>
  <w:font w:name="Georgia">
    <w:panose1 w:val="02040502050405020303"/>
    <w:charset w:val="00"/>
    <w:family w:val="roman"/>
    <w:pitch w:val="variable"/>
    <w:sig w:usb0="00000287" w:usb1="00000000" w:usb2="00000000" w:usb3="00000000" w:csb0="0000009F" w:csb1="00000000"/>
    <w:embedRegular r:id="rId3" w:fontKey="{E17D70DC-4993-423E-A12A-D8EA9F9D52D8}"/>
    <w:embedItalic r:id="rId4" w:fontKey="{5EA432D0-6D9D-4DC1-8FE0-FEBB714C1C0B}"/>
  </w:font>
  <w:font w:name="Calibri Light">
    <w:panose1 w:val="020F0302020204030204"/>
    <w:charset w:val="00"/>
    <w:family w:val="swiss"/>
    <w:pitch w:val="variable"/>
    <w:sig w:usb0="E4002EFF" w:usb1="C200247B" w:usb2="00000009" w:usb3="00000000" w:csb0="000001FF" w:csb1="00000000"/>
    <w:embedRegular r:id="rId5" w:fontKey="{0BAF5B2D-ABA5-49B7-8993-D446B324732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997239"/>
      <w:docPartObj>
        <w:docPartGallery w:val="Page Numbers (Bottom of Page)"/>
        <w:docPartUnique/>
      </w:docPartObj>
    </w:sdtPr>
    <w:sdtEndPr>
      <w:rPr>
        <w:noProof/>
      </w:rPr>
    </w:sdtEndPr>
    <w:sdtContent>
      <w:p w14:paraId="27DF576F" w14:textId="19F56899" w:rsidR="00776D96" w:rsidRPr="00713F40" w:rsidRDefault="00713F40" w:rsidP="00713F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0752B" w14:textId="77777777" w:rsidR="00643FDD" w:rsidRDefault="00643FDD">
      <w:pPr>
        <w:spacing w:after="0" w:line="240" w:lineRule="auto"/>
      </w:pPr>
      <w:r>
        <w:separator/>
      </w:r>
    </w:p>
  </w:footnote>
  <w:footnote w:type="continuationSeparator" w:id="0">
    <w:p w14:paraId="4BE111AD" w14:textId="77777777" w:rsidR="00643FDD" w:rsidRDefault="00643F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4910F6"/>
    <w:multiLevelType w:val="multilevel"/>
    <w:tmpl w:val="BE9CEE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4C25017"/>
    <w:multiLevelType w:val="multilevel"/>
    <w:tmpl w:val="83C225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17F5943"/>
    <w:multiLevelType w:val="multilevel"/>
    <w:tmpl w:val="87D2F4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10072867">
    <w:abstractNumId w:val="2"/>
  </w:num>
  <w:num w:numId="2" w16cid:durableId="1350331928">
    <w:abstractNumId w:val="0"/>
  </w:num>
  <w:num w:numId="3" w16cid:durableId="16078892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D96"/>
    <w:rsid w:val="00251A47"/>
    <w:rsid w:val="003E7C2B"/>
    <w:rsid w:val="00433329"/>
    <w:rsid w:val="004D08C0"/>
    <w:rsid w:val="00643FDD"/>
    <w:rsid w:val="00713F40"/>
    <w:rsid w:val="0073103E"/>
    <w:rsid w:val="00776D96"/>
    <w:rsid w:val="008730E5"/>
    <w:rsid w:val="00C20BB0"/>
    <w:rsid w:val="00E12882"/>
    <w:rsid w:val="00EA1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C57CF"/>
  <w15:docId w15:val="{050AA728-1446-4218-984E-B6E9CC7A0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line="360" w:lineRule="auto"/>
      <w:jc w:val="center"/>
      <w:outlineLvl w:val="0"/>
    </w:pPr>
    <w:rPr>
      <w:rFonts w:ascii="Arial" w:eastAsia="Arial" w:hAnsi="Arial" w:cs="Arial"/>
      <w:b/>
      <w:sz w:val="32"/>
      <w:szCs w:val="32"/>
    </w:rPr>
  </w:style>
  <w:style w:type="paragraph" w:styleId="Heading2">
    <w:name w:val="heading 2"/>
    <w:basedOn w:val="Normal"/>
    <w:next w:val="Normal"/>
    <w:link w:val="Heading2Char"/>
    <w:uiPriority w:val="9"/>
    <w:unhideWhenUsed/>
    <w:qFormat/>
    <w:pPr>
      <w:keepNext/>
      <w:keepLines/>
      <w:spacing w:before="40" w:after="0" w:line="360" w:lineRule="auto"/>
      <w:outlineLvl w:val="1"/>
    </w:pPr>
    <w:rPr>
      <w:rFonts w:ascii="Arial" w:eastAsia="Arial" w:hAnsi="Arial" w:cs="Arial"/>
      <w:b/>
      <w:i/>
      <w:sz w:val="28"/>
      <w:szCs w:val="28"/>
    </w:rPr>
  </w:style>
  <w:style w:type="paragraph" w:styleId="Heading3">
    <w:name w:val="heading 3"/>
    <w:basedOn w:val="Normal"/>
    <w:next w:val="Normal"/>
    <w:link w:val="Heading3Char"/>
    <w:uiPriority w:val="9"/>
    <w:semiHidden/>
    <w:unhideWhenUsed/>
    <w:qFormat/>
    <w:pPr>
      <w:spacing w:line="240" w:lineRule="auto"/>
      <w:outlineLvl w:val="2"/>
    </w:pPr>
    <w:rPr>
      <w:rFonts w:ascii="Arial" w:eastAsia="Arial" w:hAnsi="Arial" w:cs="Arial"/>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style>
  <w:style w:type="paragraph" w:styleId="ListParagraph">
    <w:name w:val="List Paragraph"/>
    <w:basedOn w:val="Normal"/>
    <w:uiPriority w:val="34"/>
    <w:qFormat/>
    <w:rsid w:val="00A276A0"/>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ma.org.uk/media/aganhcxj/bma-covid-review-report-3-september-2024.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INE9Nu48ZYRVDTTo5+nJABmegQ==">CgMxLjAaHwoBMBIaChgICVIUChJ0YWJsZS5iaHZ5d2tvaDc2eGo4AHIhMVpDbFFfMUs0NnhsOHF6d2FIY3d6aEt5N1Z4Z2lQRXdi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872</Words>
  <Characters>4971</Characters>
  <Application>Microsoft Office Word</Application>
  <DocSecurity>0</DocSecurity>
  <Lines>41</Lines>
  <Paragraphs>11</Paragraphs>
  <ScaleCrop>false</ScaleCrop>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Michael Ajuyah (2245019)</cp:lastModifiedBy>
  <cp:revision>2</cp:revision>
  <dcterms:created xsi:type="dcterms:W3CDTF">2025-10-12T10:02:00Z</dcterms:created>
  <dcterms:modified xsi:type="dcterms:W3CDTF">2025-10-12T10:02:00Z</dcterms:modified>
</cp:coreProperties>
</file>