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right="237" w:hanging="0"/>
        <w:rPr>
          <w:sz w:val="24"/>
          <w:szCs w:val="24"/>
        </w:rPr>
      </w:pPr>
      <w:r>
        <w:rPr>
          <w:sz w:val="24"/>
          <w:szCs w:val="24"/>
        </w:rPr>
      </w:r>
    </w:p>
    <w:p>
      <w:pPr>
        <w:pStyle w:val="Normal"/>
        <w:ind w:left="0" w:right="237" w:hanging="0"/>
        <w:rPr/>
      </w:pPr>
      <w:r>
        <w:rPr/>
        <w:drawing>
          <wp:inline distT="0" distB="0" distL="0" distR="0">
            <wp:extent cx="2045335" cy="714375"/>
            <wp:effectExtent l="0" t="0" r="0" b="0"/>
            <wp:docPr id="1" name="Picture 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7" descr=""/>
                    <pic:cNvPicPr>
                      <a:picLocks noChangeAspect="1" noChangeArrowheads="1"/>
                    </pic:cNvPicPr>
                  </pic:nvPicPr>
                  <pic:blipFill>
                    <a:blip r:embed="rId2"/>
                    <a:stretch>
                      <a:fillRect/>
                    </a:stretch>
                  </pic:blipFill>
                  <pic:spPr bwMode="auto">
                    <a:xfrm>
                      <a:off x="0" y="0"/>
                      <a:ext cx="2045335" cy="714375"/>
                    </a:xfrm>
                    <a:prstGeom prst="rect">
                      <a:avLst/>
                    </a:prstGeom>
                  </pic:spPr>
                </pic:pic>
              </a:graphicData>
            </a:graphic>
          </wp:inline>
        </w:drawing>
      </w:r>
    </w:p>
    <w:p>
      <w:pPr>
        <w:pStyle w:val="Normal"/>
        <w:ind w:left="0" w:right="237" w:hanging="0"/>
        <w:rPr>
          <w:sz w:val="24"/>
          <w:szCs w:val="24"/>
        </w:rPr>
      </w:pPr>
      <w:r>
        <w:rPr>
          <w:sz w:val="24"/>
          <w:szCs w:val="24"/>
        </w:rPr>
      </w:r>
    </w:p>
    <w:p>
      <w:pPr>
        <w:pStyle w:val="Normal"/>
        <w:ind w:left="0" w:right="237" w:hanging="0"/>
        <w:rPr>
          <w:sz w:val="24"/>
          <w:szCs w:val="24"/>
        </w:rPr>
      </w:pPr>
      <w:r>
        <w:rPr>
          <w:sz w:val="24"/>
          <w:szCs w:val="24"/>
        </w:rPr>
      </w:r>
    </w:p>
    <w:p>
      <w:pPr>
        <w:pStyle w:val="Normal"/>
        <w:ind w:left="0" w:right="237" w:hanging="0"/>
        <w:rPr>
          <w:b/>
          <w:b/>
          <w:sz w:val="36"/>
          <w:szCs w:val="40"/>
        </w:rPr>
      </w:pPr>
      <w:r>
        <w:rPr>
          <w:b/>
          <w:sz w:val="36"/>
          <w:szCs w:val="40"/>
        </w:rPr>
        <w:t xml:space="preserve">BSc (Hons) Professional Police Practice </w:t>
      </w:r>
    </w:p>
    <w:p>
      <w:pPr>
        <w:pStyle w:val="Normal"/>
        <w:overflowPunct w:val="false"/>
        <w:ind w:left="0" w:right="237" w:hanging="0"/>
        <w:textAlignment w:val="auto"/>
        <w:rPr>
          <w:b/>
          <w:b/>
          <w:color w:val="auto"/>
          <w:sz w:val="44"/>
        </w:rPr>
      </w:pPr>
      <w:r>
        <w:rPr>
          <w:b/>
          <w:color w:val="auto"/>
          <w:sz w:val="44"/>
        </w:rPr>
      </w:r>
    </w:p>
    <w:p>
      <w:pPr>
        <w:pStyle w:val="Normal"/>
        <w:overflowPunct w:val="false"/>
        <w:ind w:left="0" w:right="237" w:hanging="0"/>
        <w:textAlignment w:val="auto"/>
        <w:rPr>
          <w:b/>
          <w:b/>
          <w:color w:val="auto"/>
          <w:sz w:val="44"/>
        </w:rPr>
      </w:pPr>
      <w:r>
        <w:rPr>
          <w:b/>
          <w:color w:val="auto"/>
          <w:sz w:val="44"/>
        </w:rPr>
        <w:t>LEVEL 5 - 40 Credits</w:t>
      </w:r>
    </w:p>
    <w:p>
      <w:pPr>
        <w:pStyle w:val="Normal"/>
        <w:overflowPunct w:val="false"/>
        <w:ind w:left="0" w:right="237" w:hanging="0"/>
        <w:textAlignment w:val="auto"/>
        <w:rPr>
          <w:b/>
          <w:b/>
          <w:color w:val="auto"/>
          <w:sz w:val="44"/>
        </w:rPr>
      </w:pPr>
      <w:r>
        <w:rPr>
          <w:b/>
          <w:color w:val="auto"/>
          <w:sz w:val="44"/>
        </w:rPr>
      </w:r>
    </w:p>
    <w:p>
      <w:pPr>
        <w:pStyle w:val="Normal"/>
        <w:overflowPunct w:val="false"/>
        <w:ind w:left="0" w:right="237" w:hanging="0"/>
        <w:textAlignment w:val="auto"/>
        <w:rPr>
          <w:b/>
          <w:b/>
          <w:color w:val="auto"/>
          <w:sz w:val="44"/>
        </w:rPr>
      </w:pPr>
      <w:r>
        <w:rPr>
          <w:b/>
          <w:color w:val="auto"/>
          <w:sz w:val="44"/>
        </w:rPr>
      </w:r>
    </w:p>
    <w:p>
      <w:pPr>
        <w:pStyle w:val="Normal"/>
        <w:overflowPunct w:val="false"/>
        <w:ind w:left="0" w:right="237" w:hanging="0"/>
        <w:textAlignment w:val="auto"/>
        <w:rPr>
          <w:b/>
          <w:b/>
          <w:color w:val="auto"/>
          <w:sz w:val="40"/>
        </w:rPr>
      </w:pPr>
      <w:r>
        <w:rPr>
          <w:b/>
          <w:color w:val="auto"/>
          <w:sz w:val="40"/>
        </w:rPr>
        <w:t>Workbook title: Competency Based Workbook 4 (PCDA)</w:t>
      </w:r>
    </w:p>
    <w:p>
      <w:pPr>
        <w:pStyle w:val="Normal"/>
        <w:overflowPunct w:val="false"/>
        <w:ind w:left="0" w:right="237" w:hanging="0"/>
        <w:textAlignment w:val="auto"/>
        <w:rPr>
          <w:b/>
          <w:b/>
          <w:color w:val="auto"/>
          <w:sz w:val="36"/>
        </w:rPr>
      </w:pPr>
      <w:r>
        <w:rPr>
          <w:b/>
          <w:color w:val="auto"/>
          <w:sz w:val="36"/>
        </w:rPr>
      </w:r>
    </w:p>
    <w:p>
      <w:pPr>
        <w:pStyle w:val="Normal"/>
        <w:overflowPunct w:val="false"/>
        <w:ind w:left="0" w:right="237" w:hanging="0"/>
        <w:textAlignment w:val="auto"/>
        <w:rPr>
          <w:b/>
          <w:b/>
          <w:color w:val="auto"/>
          <w:sz w:val="36"/>
        </w:rPr>
      </w:pPr>
      <w:r>
        <w:rPr>
          <w:b/>
          <w:color w:val="auto"/>
          <w:sz w:val="36"/>
        </w:rPr>
        <w:t>(SOUTH WALES POLICE, GWENT POLICE AND UWTSD)</w:t>
      </w:r>
    </w:p>
    <w:p>
      <w:pPr>
        <w:pStyle w:val="Normal"/>
        <w:overflowPunct w:val="false"/>
        <w:ind w:left="0" w:right="237" w:hanging="0"/>
        <w:textAlignment w:val="auto"/>
        <w:rPr>
          <w:b/>
          <w:b/>
          <w:color w:val="auto"/>
          <w:sz w:val="44"/>
        </w:rPr>
      </w:pPr>
      <w:r>
        <w:rPr>
          <w:b/>
          <w:color w:val="auto"/>
          <w:sz w:val="44"/>
        </w:rPr>
      </w:r>
    </w:p>
    <w:p>
      <w:pPr>
        <w:pStyle w:val="Normal"/>
        <w:overflowPunct w:val="false"/>
        <w:ind w:left="0" w:right="237" w:hanging="0"/>
        <w:textAlignment w:val="auto"/>
        <w:rPr>
          <w:b/>
          <w:b/>
          <w:color w:val="auto"/>
          <w:sz w:val="44"/>
        </w:rPr>
      </w:pPr>
      <w:r>
        <w:rPr>
          <w:b/>
          <w:color w:val="auto"/>
          <w:sz w:val="44"/>
        </w:rPr>
      </w:r>
    </w:p>
    <w:tbl>
      <w:tblPr>
        <w:tblW w:w="8500" w:type="dxa"/>
        <w:jc w:val="left"/>
        <w:tblInd w:w="108" w:type="dxa"/>
        <w:tblCellMar>
          <w:top w:w="0" w:type="dxa"/>
          <w:left w:w="108" w:type="dxa"/>
          <w:bottom w:w="0" w:type="dxa"/>
          <w:right w:w="108" w:type="dxa"/>
        </w:tblCellMar>
      </w:tblPr>
      <w:tblGrid>
        <w:gridCol w:w="8500"/>
      </w:tblGrid>
      <w:tr>
        <w:trPr/>
        <w:tc>
          <w:tcPr>
            <w:tcW w:w="8500" w:type="dxa"/>
            <w:tcBorders>
              <w:top w:val="single" w:sz="4" w:space="0" w:color="000000"/>
              <w:left w:val="single" w:sz="4" w:space="0" w:color="000000"/>
              <w:bottom w:val="single" w:sz="4" w:space="0" w:color="000000"/>
              <w:right w:val="single" w:sz="4" w:space="0" w:color="000000"/>
            </w:tcBorders>
          </w:tcPr>
          <w:p>
            <w:pPr>
              <w:pStyle w:val="Normal"/>
              <w:overflowPunct w:val="false"/>
              <w:ind w:left="0" w:right="237" w:hanging="0"/>
              <w:textAlignment w:val="auto"/>
              <w:rPr>
                <w:b/>
                <w:b/>
                <w:color w:val="auto"/>
                <w:sz w:val="32"/>
              </w:rPr>
            </w:pPr>
            <w:r>
              <w:rPr>
                <w:b/>
                <w:color w:val="auto"/>
                <w:sz w:val="32"/>
              </w:rPr>
              <w:t>Learner name: ______________________________</w:t>
            </w:r>
          </w:p>
          <w:p>
            <w:pPr>
              <w:pStyle w:val="Normal"/>
              <w:overflowPunct w:val="false"/>
              <w:ind w:left="0" w:right="237" w:hanging="0"/>
              <w:textAlignment w:val="auto"/>
              <w:rPr>
                <w:b/>
                <w:b/>
                <w:color w:val="auto"/>
                <w:sz w:val="32"/>
              </w:rPr>
            </w:pPr>
            <w:r>
              <w:rPr>
                <w:b/>
                <w:color w:val="auto"/>
                <w:sz w:val="32"/>
              </w:rPr>
            </w:r>
          </w:p>
          <w:p>
            <w:pPr>
              <w:pStyle w:val="Normal"/>
              <w:overflowPunct w:val="false"/>
              <w:ind w:left="0" w:right="237" w:hanging="0"/>
              <w:textAlignment w:val="auto"/>
              <w:rPr>
                <w:b/>
                <w:b/>
                <w:color w:val="auto"/>
                <w:sz w:val="32"/>
              </w:rPr>
            </w:pPr>
            <w:r>
              <w:rPr>
                <w:b/>
                <w:color w:val="auto"/>
                <w:sz w:val="32"/>
              </w:rPr>
              <w:t>Learner’s University Registration Number:</w:t>
            </w:r>
          </w:p>
          <w:p>
            <w:pPr>
              <w:pStyle w:val="Normal"/>
              <w:overflowPunct w:val="false"/>
              <w:ind w:left="0" w:right="237" w:hanging="0"/>
              <w:textAlignment w:val="auto"/>
              <w:rPr>
                <w:b/>
                <w:b/>
                <w:color w:val="auto"/>
                <w:sz w:val="32"/>
              </w:rPr>
            </w:pPr>
            <w:r>
              <w:rPr>
                <w:b/>
                <w:color w:val="auto"/>
                <w:sz w:val="32"/>
              </w:rPr>
              <w:t>_______________________________</w:t>
            </w:r>
          </w:p>
          <w:p>
            <w:pPr>
              <w:pStyle w:val="Normal"/>
              <w:overflowPunct w:val="false"/>
              <w:ind w:left="0" w:right="237" w:hanging="0"/>
              <w:textAlignment w:val="auto"/>
              <w:rPr>
                <w:b/>
                <w:b/>
                <w:color w:val="auto"/>
                <w:sz w:val="32"/>
              </w:rPr>
            </w:pPr>
            <w:r>
              <w:rPr>
                <w:b/>
                <w:color w:val="auto"/>
                <w:sz w:val="32"/>
              </w:rPr>
            </w:r>
          </w:p>
          <w:p>
            <w:pPr>
              <w:pStyle w:val="Normal"/>
              <w:overflowPunct w:val="false"/>
              <w:ind w:left="0" w:right="237" w:hanging="0"/>
              <w:textAlignment w:val="auto"/>
              <w:rPr>
                <w:b/>
                <w:b/>
                <w:color w:val="auto"/>
                <w:sz w:val="32"/>
              </w:rPr>
            </w:pPr>
            <w:r>
              <w:rPr>
                <w:b/>
                <w:color w:val="auto"/>
                <w:sz w:val="32"/>
              </w:rPr>
            </w:r>
          </w:p>
        </w:tc>
      </w:tr>
    </w:tbl>
    <w:p>
      <w:pPr>
        <w:pStyle w:val="Normal"/>
        <w:overflowPunct w:val="false"/>
        <w:ind w:left="0" w:right="237" w:hanging="0"/>
        <w:textAlignment w:val="auto"/>
        <w:rPr>
          <w:b/>
          <w:b/>
          <w:color w:val="auto"/>
          <w:sz w:val="36"/>
        </w:rPr>
      </w:pPr>
      <w:r>
        <w:rPr>
          <w:b/>
          <w:color w:val="auto"/>
          <w:sz w:val="36"/>
        </w:rPr>
      </w:r>
    </w:p>
    <w:p>
      <w:pPr>
        <w:pStyle w:val="Normal"/>
        <w:overflowPunct w:val="false"/>
        <w:ind w:left="0" w:right="237" w:hanging="0"/>
        <w:textAlignment w:val="auto"/>
        <w:rPr>
          <w:b/>
          <w:b/>
          <w:color w:val="auto"/>
          <w:sz w:val="36"/>
        </w:rPr>
      </w:pPr>
      <w:r>
        <w:rPr>
          <w:b/>
          <w:color w:val="auto"/>
          <w:sz w:val="36"/>
        </w:rPr>
      </w:r>
    </w:p>
    <w:p>
      <w:pPr>
        <w:pStyle w:val="Normal"/>
        <w:overflowPunct w:val="false"/>
        <w:ind w:left="0" w:right="237" w:hanging="0"/>
        <w:textAlignment w:val="auto"/>
        <w:rPr>
          <w:b/>
          <w:b/>
          <w:color w:val="auto"/>
          <w:sz w:val="36"/>
        </w:rPr>
      </w:pPr>
      <w:r>
        <w:rPr>
          <w:b/>
          <w:color w:val="auto"/>
          <w:sz w:val="36"/>
        </w:rPr>
      </w:r>
    </w:p>
    <w:p>
      <w:pPr>
        <w:pStyle w:val="Normal"/>
        <w:overflowPunct w:val="false"/>
        <w:ind w:left="0" w:right="237" w:hanging="0"/>
        <w:textAlignment w:val="auto"/>
        <w:rPr>
          <w:b/>
          <w:b/>
          <w:color w:val="auto"/>
          <w:sz w:val="40"/>
          <w:szCs w:val="56"/>
        </w:rPr>
      </w:pPr>
      <w:r>
        <w:rPr>
          <w:b/>
          <w:color w:val="auto"/>
          <w:sz w:val="40"/>
          <w:szCs w:val="56"/>
        </w:rPr>
        <w:t>FACULTY OF BUSINESS AND MANAGEMENT</w:t>
      </w:r>
    </w:p>
    <w:p>
      <w:pPr>
        <w:pStyle w:val="Normal"/>
        <w:overflowPunct w:val="false"/>
        <w:ind w:left="0" w:right="237" w:hanging="0"/>
        <w:textAlignment w:val="auto"/>
        <w:rPr>
          <w:b/>
          <w:b/>
          <w:color w:val="auto"/>
          <w:sz w:val="40"/>
          <w:szCs w:val="56"/>
        </w:rPr>
      </w:pPr>
      <w:r>
        <w:rPr>
          <w:b/>
          <w:color w:val="auto"/>
          <w:sz w:val="40"/>
          <w:szCs w:val="56"/>
        </w:rPr>
        <w:t>PUBLIC SERVICE PROGRAMME</w:t>
      </w:r>
    </w:p>
    <w:p>
      <w:pPr>
        <w:pStyle w:val="Normal"/>
        <w:overflowPunct w:val="false"/>
        <w:ind w:left="0" w:right="237" w:hanging="0"/>
        <w:textAlignment w:val="auto"/>
        <w:rPr>
          <w:b/>
          <w:b/>
          <w:i/>
          <w:i/>
          <w:color w:val="auto"/>
          <w:sz w:val="24"/>
        </w:rPr>
      </w:pPr>
      <w:r>
        <w:rPr>
          <w:b/>
          <w:i/>
          <w:color w:val="auto"/>
          <w:sz w:val="24"/>
        </w:rPr>
      </w:r>
    </w:p>
    <w:p>
      <w:pPr>
        <w:pStyle w:val="Normal"/>
        <w:overflowPunct w:val="false"/>
        <w:ind w:left="0" w:right="237" w:hanging="0"/>
        <w:textAlignment w:val="auto"/>
        <w:rPr>
          <w:b/>
          <w:b/>
          <w:bCs/>
          <w:i/>
          <w:i/>
          <w:iCs/>
          <w:color w:val="auto"/>
          <w:sz w:val="24"/>
          <w:szCs w:val="24"/>
        </w:rPr>
      </w:pPr>
      <w:r>
        <w:rPr>
          <w:b/>
          <w:bCs/>
          <w:i/>
          <w:iCs/>
          <w:color w:val="auto"/>
          <w:sz w:val="24"/>
          <w:szCs w:val="24"/>
        </w:rPr>
        <w:t xml:space="preserve">Module title: Policing in the workplace 2 (PCDA) </w:t>
      </w:r>
    </w:p>
    <w:p>
      <w:pPr>
        <w:pStyle w:val="Normal"/>
        <w:overflowPunct w:val="false"/>
        <w:ind w:left="0" w:right="237" w:hanging="0"/>
        <w:textAlignment w:val="auto"/>
        <w:rPr>
          <w:b/>
          <w:b/>
          <w:color w:val="auto"/>
          <w:sz w:val="36"/>
          <w:szCs w:val="56"/>
        </w:rPr>
      </w:pPr>
      <w:r>
        <w:rPr>
          <w:b/>
          <w:color w:val="auto"/>
          <w:sz w:val="36"/>
          <w:szCs w:val="56"/>
        </w:rPr>
      </w:r>
      <w:r>
        <w:br w:type="page"/>
      </w:r>
    </w:p>
    <w:p>
      <w:pPr>
        <w:pStyle w:val="Normal"/>
        <w:ind w:left="0" w:right="237" w:hanging="0"/>
        <w:rPr>
          <w:b/>
          <w:b/>
          <w:sz w:val="24"/>
          <w:szCs w:val="24"/>
        </w:rPr>
      </w:pPr>
      <w:r>
        <w:rPr>
          <w:b/>
          <w:sz w:val="24"/>
          <w:szCs w:val="24"/>
        </w:rPr>
        <w:t>Workbook Guidance</w:t>
      </w:r>
    </w:p>
    <w:p>
      <w:pPr>
        <w:pStyle w:val="Normal"/>
        <w:ind w:left="0" w:right="237" w:hanging="0"/>
        <w:rPr>
          <w:sz w:val="24"/>
          <w:szCs w:val="24"/>
        </w:rPr>
      </w:pPr>
      <w:r>
        <w:rPr>
          <w:sz w:val="24"/>
          <w:szCs w:val="24"/>
        </w:rPr>
      </w:r>
    </w:p>
    <w:p>
      <w:pPr>
        <w:pStyle w:val="Normal"/>
        <w:jc w:val="both"/>
        <w:rPr>
          <w:rFonts w:eastAsia="Arial"/>
          <w:color w:val="000000"/>
          <w:sz w:val="24"/>
          <w:szCs w:val="24"/>
        </w:rPr>
      </w:pPr>
      <w:r>
        <w:rPr>
          <w:rFonts w:eastAsia="Arial"/>
          <w:color w:val="000000"/>
          <w:sz w:val="24"/>
          <w:szCs w:val="24"/>
        </w:rPr>
        <w:t>Please read these notes carefully; they provide essential information.</w:t>
      </w:r>
    </w:p>
    <w:p>
      <w:pPr>
        <w:pStyle w:val="Normal"/>
        <w:ind w:left="0" w:right="237" w:hanging="0"/>
        <w:rPr>
          <w:sz w:val="24"/>
          <w:szCs w:val="24"/>
        </w:rPr>
      </w:pPr>
      <w:r>
        <w:rPr>
          <w:sz w:val="24"/>
          <w:szCs w:val="24"/>
        </w:rPr>
      </w:r>
    </w:p>
    <w:p>
      <w:pPr>
        <w:pStyle w:val="Normal"/>
        <w:ind w:left="0" w:right="237" w:hanging="0"/>
        <w:jc w:val="both"/>
        <w:rPr>
          <w:b/>
          <w:b/>
          <w:sz w:val="24"/>
          <w:szCs w:val="24"/>
        </w:rPr>
      </w:pPr>
      <w:r>
        <w:rPr>
          <w:b/>
          <w:sz w:val="24"/>
          <w:szCs w:val="24"/>
        </w:rPr>
        <w:t>What is the workbook for?</w:t>
      </w:r>
    </w:p>
    <w:p>
      <w:pPr>
        <w:pStyle w:val="Normal"/>
        <w:ind w:left="0" w:right="237" w:hanging="0"/>
        <w:jc w:val="both"/>
        <w:rPr>
          <w:b/>
          <w:b/>
          <w:sz w:val="24"/>
          <w:szCs w:val="24"/>
        </w:rPr>
      </w:pPr>
      <w:r>
        <w:rPr>
          <w:b/>
          <w:sz w:val="24"/>
          <w:szCs w:val="24"/>
        </w:rPr>
      </w:r>
    </w:p>
    <w:p>
      <w:pPr>
        <w:pStyle w:val="Normal"/>
        <w:jc w:val="both"/>
        <w:rPr>
          <w:rFonts w:eastAsia="Arial"/>
          <w:color w:val="000000"/>
          <w:sz w:val="24"/>
          <w:szCs w:val="24"/>
        </w:rPr>
      </w:pPr>
      <w:r>
        <w:rPr>
          <w:rFonts w:eastAsia="Arial"/>
          <w:color w:val="000000"/>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pPr>
        <w:pStyle w:val="Normal"/>
        <w:ind w:left="0" w:right="237" w:hanging="0"/>
        <w:jc w:val="both"/>
        <w:rPr>
          <w:sz w:val="24"/>
          <w:szCs w:val="24"/>
        </w:rPr>
      </w:pPr>
      <w:r>
        <w:rPr>
          <w:sz w:val="24"/>
          <w:szCs w:val="24"/>
        </w:rPr>
      </w:r>
    </w:p>
    <w:p>
      <w:pPr>
        <w:pStyle w:val="ListParagraph"/>
        <w:numPr>
          <w:ilvl w:val="0"/>
          <w:numId w:val="4"/>
        </w:numPr>
        <w:overflowPunct w:val="false"/>
        <w:spacing w:lineRule="auto" w:line="259"/>
        <w:ind w:left="720" w:right="237" w:hanging="360"/>
        <w:jc w:val="both"/>
        <w:textAlignment w:val="auto"/>
        <w:rPr>
          <w:b/>
          <w:b/>
          <w:bCs/>
          <w:color w:val="auto"/>
          <w:sz w:val="24"/>
          <w:szCs w:val="24"/>
        </w:rPr>
      </w:pPr>
      <w:r>
        <w:rPr>
          <w:b/>
          <w:bCs/>
          <w:color w:val="auto"/>
          <w:sz w:val="24"/>
          <w:szCs w:val="24"/>
        </w:rPr>
        <w:t>Wellbeing and Resilience</w:t>
      </w:r>
    </w:p>
    <w:p>
      <w:pPr>
        <w:pStyle w:val="ListParagraph"/>
        <w:numPr>
          <w:ilvl w:val="0"/>
          <w:numId w:val="4"/>
        </w:numPr>
        <w:overflowPunct w:val="false"/>
        <w:spacing w:lineRule="auto" w:line="259"/>
        <w:ind w:left="720" w:right="237" w:hanging="360"/>
        <w:jc w:val="both"/>
        <w:textAlignment w:val="auto"/>
        <w:rPr>
          <w:b/>
          <w:b/>
          <w:bCs/>
          <w:color w:val="auto"/>
          <w:sz w:val="24"/>
          <w:szCs w:val="24"/>
        </w:rPr>
      </w:pPr>
      <w:r>
        <w:rPr>
          <w:b/>
          <w:bCs/>
          <w:color w:val="auto"/>
          <w:sz w:val="24"/>
          <w:szCs w:val="24"/>
        </w:rPr>
        <w:t>Evidence based policing</w:t>
      </w:r>
    </w:p>
    <w:p>
      <w:pPr>
        <w:pStyle w:val="ListParagraph"/>
        <w:numPr>
          <w:ilvl w:val="0"/>
          <w:numId w:val="4"/>
        </w:numPr>
        <w:overflowPunct w:val="false"/>
        <w:spacing w:lineRule="auto" w:line="259"/>
        <w:ind w:left="720" w:right="237" w:hanging="360"/>
        <w:jc w:val="both"/>
        <w:textAlignment w:val="auto"/>
        <w:rPr>
          <w:b/>
          <w:b/>
          <w:bCs/>
          <w:color w:val="auto"/>
          <w:sz w:val="24"/>
          <w:szCs w:val="24"/>
        </w:rPr>
      </w:pPr>
      <w:r>
        <w:rPr>
          <w:b/>
          <w:bCs/>
          <w:color w:val="auto"/>
          <w:sz w:val="24"/>
          <w:szCs w:val="24"/>
        </w:rPr>
        <w:t>Research Methods and Skills</w:t>
      </w:r>
    </w:p>
    <w:p>
      <w:pPr>
        <w:pStyle w:val="ListParagraph"/>
        <w:numPr>
          <w:ilvl w:val="0"/>
          <w:numId w:val="4"/>
        </w:numPr>
        <w:overflowPunct w:val="false"/>
        <w:spacing w:lineRule="auto" w:line="259"/>
        <w:ind w:left="720" w:right="237" w:hanging="360"/>
        <w:jc w:val="both"/>
        <w:textAlignment w:val="auto"/>
        <w:rPr>
          <w:b/>
          <w:b/>
          <w:bCs/>
          <w:color w:val="auto"/>
          <w:sz w:val="24"/>
          <w:szCs w:val="24"/>
        </w:rPr>
      </w:pPr>
      <w:r>
        <w:rPr>
          <w:b/>
          <w:bCs/>
          <w:color w:val="auto"/>
          <w:sz w:val="24"/>
          <w:szCs w:val="24"/>
        </w:rPr>
        <w:t xml:space="preserve">Decision-making and Discretion  </w:t>
      </w:r>
    </w:p>
    <w:p>
      <w:pPr>
        <w:pStyle w:val="ListParagraph"/>
        <w:numPr>
          <w:ilvl w:val="0"/>
          <w:numId w:val="4"/>
        </w:numPr>
        <w:overflowPunct w:val="false"/>
        <w:spacing w:lineRule="auto" w:line="259"/>
        <w:ind w:left="720" w:right="237" w:hanging="360"/>
        <w:jc w:val="both"/>
        <w:textAlignment w:val="auto"/>
        <w:rPr>
          <w:b/>
          <w:b/>
          <w:bCs/>
          <w:color w:val="auto"/>
          <w:sz w:val="24"/>
          <w:szCs w:val="24"/>
        </w:rPr>
      </w:pPr>
      <w:r>
        <w:rPr>
          <w:b/>
          <w:bCs/>
          <w:color w:val="auto"/>
          <w:sz w:val="24"/>
          <w:szCs w:val="24"/>
        </w:rPr>
        <w:t>Vulnerability and Risk</w:t>
      </w:r>
    </w:p>
    <w:p>
      <w:pPr>
        <w:pStyle w:val="ListParagraph"/>
        <w:numPr>
          <w:ilvl w:val="0"/>
          <w:numId w:val="4"/>
        </w:numPr>
        <w:overflowPunct w:val="false"/>
        <w:spacing w:lineRule="auto" w:line="259"/>
        <w:ind w:left="720" w:right="237" w:hanging="360"/>
        <w:jc w:val="both"/>
        <w:textAlignment w:val="auto"/>
        <w:rPr>
          <w:b/>
          <w:b/>
          <w:bCs/>
          <w:color w:val="auto"/>
          <w:sz w:val="24"/>
          <w:szCs w:val="24"/>
        </w:rPr>
      </w:pPr>
      <w:r>
        <w:rPr>
          <w:b/>
          <w:bCs/>
          <w:color w:val="auto"/>
          <w:sz w:val="24"/>
          <w:szCs w:val="24"/>
        </w:rPr>
        <w:t>Criminal justice</w:t>
      </w:r>
    </w:p>
    <w:p>
      <w:pPr>
        <w:pStyle w:val="ListParagraph"/>
        <w:numPr>
          <w:ilvl w:val="0"/>
          <w:numId w:val="4"/>
        </w:numPr>
        <w:overflowPunct w:val="false"/>
        <w:spacing w:lineRule="auto" w:line="259"/>
        <w:ind w:left="720" w:right="237" w:hanging="360"/>
        <w:jc w:val="both"/>
        <w:textAlignment w:val="auto"/>
        <w:rPr>
          <w:b/>
          <w:b/>
          <w:bCs/>
          <w:color w:val="auto"/>
          <w:sz w:val="24"/>
          <w:szCs w:val="24"/>
        </w:rPr>
      </w:pPr>
      <w:r>
        <w:rPr>
          <w:b/>
          <w:bCs/>
          <w:color w:val="auto"/>
          <w:sz w:val="24"/>
          <w:szCs w:val="24"/>
        </w:rPr>
        <w:t xml:space="preserve">Conducting investigations </w:t>
      </w:r>
    </w:p>
    <w:p>
      <w:pPr>
        <w:pStyle w:val="ListParagraph"/>
        <w:numPr>
          <w:ilvl w:val="0"/>
          <w:numId w:val="4"/>
        </w:numPr>
        <w:overflowPunct w:val="false"/>
        <w:spacing w:lineRule="auto" w:line="259"/>
        <w:ind w:left="720" w:right="237" w:hanging="360"/>
        <w:jc w:val="both"/>
        <w:textAlignment w:val="auto"/>
        <w:rPr>
          <w:b/>
          <w:b/>
          <w:bCs/>
          <w:color w:val="auto"/>
          <w:sz w:val="24"/>
          <w:szCs w:val="24"/>
        </w:rPr>
      </w:pPr>
      <w:r>
        <w:rPr>
          <w:b/>
          <w:bCs/>
          <w:color w:val="auto"/>
          <w:sz w:val="24"/>
          <w:szCs w:val="24"/>
        </w:rPr>
        <w:t>Decision making and discretion.</w:t>
      </w:r>
    </w:p>
    <w:p>
      <w:pPr>
        <w:pStyle w:val="ListParagraph"/>
        <w:numPr>
          <w:ilvl w:val="0"/>
          <w:numId w:val="4"/>
        </w:numPr>
        <w:overflowPunct w:val="false"/>
        <w:spacing w:lineRule="auto" w:line="259"/>
        <w:ind w:left="720" w:right="237" w:hanging="360"/>
        <w:jc w:val="both"/>
        <w:textAlignment w:val="auto"/>
        <w:rPr>
          <w:b/>
          <w:b/>
          <w:bCs/>
          <w:color w:val="auto"/>
          <w:sz w:val="24"/>
          <w:szCs w:val="24"/>
        </w:rPr>
      </w:pPr>
      <w:r>
        <w:rPr>
          <w:b/>
          <w:bCs/>
          <w:color w:val="auto"/>
          <w:sz w:val="24"/>
          <w:szCs w:val="24"/>
        </w:rPr>
        <w:t>Digital Policing</w:t>
      </w:r>
    </w:p>
    <w:p>
      <w:pPr>
        <w:pStyle w:val="Normal"/>
        <w:ind w:left="0" w:right="237" w:hanging="0"/>
        <w:jc w:val="both"/>
        <w:rPr>
          <w:sz w:val="24"/>
          <w:szCs w:val="24"/>
          <w:highlight w:val="yellow"/>
        </w:rPr>
      </w:pPr>
      <w:r>
        <w:rPr>
          <w:sz w:val="24"/>
          <w:szCs w:val="24"/>
          <w:highlight w:val="yellow"/>
        </w:rPr>
      </w:r>
    </w:p>
    <w:p>
      <w:pPr>
        <w:pStyle w:val="Normal"/>
        <w:ind w:left="0" w:right="237" w:hanging="0"/>
        <w:jc w:val="both"/>
        <w:rPr>
          <w:sz w:val="24"/>
          <w:szCs w:val="24"/>
          <w:highlight w:val="yellow"/>
        </w:rPr>
      </w:pPr>
      <w:r>
        <w:rPr>
          <w:sz w:val="24"/>
          <w:szCs w:val="24"/>
          <w:highlight w:val="yellow"/>
        </w:rPr>
      </w:r>
    </w:p>
    <w:p>
      <w:pPr>
        <w:pStyle w:val="Normal"/>
        <w:jc w:val="both"/>
        <w:rPr>
          <w:rFonts w:eastAsia="Arial"/>
          <w:b/>
          <w:b/>
          <w:bCs/>
          <w:color w:val="000000"/>
          <w:sz w:val="24"/>
          <w:szCs w:val="24"/>
        </w:rPr>
      </w:pPr>
      <w:r>
        <w:rPr>
          <w:rFonts w:eastAsia="Arial"/>
          <w:b/>
          <w:bCs/>
          <w:color w:val="000000"/>
          <w:sz w:val="24"/>
          <w:szCs w:val="24"/>
        </w:rPr>
        <w:t>How should the workbook be presented?</w:t>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t xml:space="preserve">You may wish to use the same incidents as you’ve outlined in the Occupational Competence Portfolio. </w:t>
      </w:r>
    </w:p>
    <w:p>
      <w:pPr>
        <w:pStyle w:val="Normal"/>
        <w:jc w:val="both"/>
        <w:rPr>
          <w:rFonts w:eastAsia="Arial"/>
          <w:color w:val="000000"/>
          <w:sz w:val="24"/>
          <w:szCs w:val="24"/>
        </w:rPr>
      </w:pPr>
      <w:r>
        <w:rPr>
          <w:rFonts w:eastAsia="Arial"/>
          <w:color w:val="000000"/>
          <w:sz w:val="24"/>
          <w:szCs w:val="24"/>
        </w:rPr>
        <w:t xml:space="preserve"> </w:t>
      </w:r>
    </w:p>
    <w:p>
      <w:pPr>
        <w:pStyle w:val="Normal"/>
        <w:jc w:val="both"/>
        <w:rPr>
          <w:rFonts w:eastAsia="Arial"/>
          <w:b/>
          <w:b/>
          <w:bCs/>
          <w:color w:val="000000"/>
          <w:sz w:val="24"/>
          <w:szCs w:val="24"/>
        </w:rPr>
      </w:pPr>
      <w:r>
        <w:rPr>
          <w:rFonts w:eastAsia="Arial"/>
          <w:b/>
          <w:bCs/>
          <w:color w:val="000000"/>
          <w:sz w:val="24"/>
          <w:szCs w:val="24"/>
        </w:rPr>
        <w:t>How should the workbook be presented?</w:t>
      </w:r>
    </w:p>
    <w:p>
      <w:pPr>
        <w:pStyle w:val="Normal"/>
        <w:jc w:val="both"/>
        <w:rPr>
          <w:rFonts w:eastAsia="Arial"/>
          <w:color w:val="000000"/>
          <w:sz w:val="24"/>
          <w:szCs w:val="24"/>
        </w:rPr>
      </w:pPr>
      <w:r>
        <w:rPr>
          <w:rFonts w:eastAsia="Arial"/>
          <w:color w:val="000000"/>
          <w:sz w:val="24"/>
          <w:szCs w:val="24"/>
        </w:rPr>
        <w:t xml:space="preserve"> </w:t>
      </w:r>
    </w:p>
    <w:p>
      <w:pPr>
        <w:pStyle w:val="Normal"/>
        <w:jc w:val="both"/>
        <w:rPr>
          <w:rFonts w:eastAsia="Arial"/>
          <w:color w:val="000000"/>
          <w:sz w:val="24"/>
          <w:szCs w:val="24"/>
        </w:rPr>
      </w:pPr>
      <w:r>
        <w:rPr>
          <w:rFonts w:eastAsia="Arial"/>
          <w:color w:val="000000"/>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pPr>
        <w:pStyle w:val="Normal"/>
        <w:jc w:val="both"/>
        <w:rPr>
          <w:rFonts w:eastAsia="Arial"/>
          <w:color w:val="000000"/>
          <w:sz w:val="24"/>
          <w:szCs w:val="24"/>
        </w:rPr>
      </w:pPr>
      <w:r>
        <w:rPr>
          <w:rFonts w:eastAsia="Arial"/>
          <w:color w:val="000000"/>
          <w:sz w:val="24"/>
          <w:szCs w:val="24"/>
        </w:rPr>
        <w:t xml:space="preserve"> </w:t>
      </w:r>
    </w:p>
    <w:p>
      <w:pPr>
        <w:pStyle w:val="Normal"/>
        <w:jc w:val="both"/>
        <w:rPr/>
      </w:pPr>
      <w:r>
        <w:rPr>
          <w:rFonts w:eastAsia="Arial"/>
          <w:b/>
          <w:bCs/>
          <w:color w:val="000000"/>
          <w:sz w:val="24"/>
          <w:szCs w:val="24"/>
        </w:rPr>
        <w:t>Word count policy</w:t>
      </w:r>
      <w:r>
        <w:rPr>
          <w:rFonts w:eastAsia="Arial"/>
          <w:color w:val="000000"/>
          <w:sz w:val="24"/>
          <w:szCs w:val="24"/>
        </w:rPr>
        <w:t xml:space="preserve"> can be found in chapter 7 of the Academic Quality under section 7.7 (this applies to presenting work above and under the specified word count).  </w:t>
      </w:r>
    </w:p>
    <w:p>
      <w:pPr>
        <w:pStyle w:val="Normal"/>
        <w:jc w:val="both"/>
        <w:rPr/>
      </w:pPr>
      <w:r>
        <w:rPr>
          <w:rFonts w:eastAsia="Arial"/>
          <w:color w:val="000000"/>
          <w:sz w:val="24"/>
          <w:szCs w:val="24"/>
        </w:rPr>
        <w:t>(</w:t>
      </w:r>
      <w:hyperlink r:id="rId3">
        <w:r>
          <w:rPr>
            <w:rStyle w:val="InternetLink"/>
            <w:rFonts w:eastAsia="Arial"/>
            <w:sz w:val="24"/>
            <w:szCs w:val="24"/>
          </w:rPr>
          <w:t>https://www.uwtsd.ac.uk/media/uwtsd-website/content-assets/documents/academic-office/aqh-chapters/chapters---en/Chapter_07_Assessment_Taught_Programmes_Pages_72-79-UPDATED-05-11-2019.pdf</w:t>
        </w:r>
      </w:hyperlink>
      <w:r>
        <w:rPr>
          <w:rFonts w:eastAsia="Arial"/>
          <w:color w:val="0000FF"/>
          <w:sz w:val="24"/>
          <w:szCs w:val="24"/>
          <w:u w:val="single"/>
        </w:rPr>
        <w:t xml:space="preserve">) </w:t>
      </w:r>
    </w:p>
    <w:p>
      <w:pPr>
        <w:pStyle w:val="Normal"/>
        <w:jc w:val="both"/>
        <w:rPr>
          <w:rFonts w:eastAsia="Arial"/>
          <w:color w:val="000000"/>
          <w:sz w:val="24"/>
          <w:szCs w:val="24"/>
        </w:rPr>
      </w:pPr>
      <w:r>
        <w:rPr>
          <w:rFonts w:eastAsia="Arial"/>
          <w:color w:val="000000"/>
          <w:sz w:val="24"/>
          <w:szCs w:val="24"/>
        </w:rPr>
        <w:t xml:space="preserve"> </w:t>
      </w:r>
    </w:p>
    <w:p>
      <w:pPr>
        <w:pStyle w:val="Normal"/>
        <w:jc w:val="both"/>
        <w:rPr>
          <w:rFonts w:eastAsia="Arial"/>
          <w:color w:val="000000"/>
          <w:sz w:val="24"/>
          <w:szCs w:val="24"/>
        </w:rPr>
      </w:pPr>
      <w:r>
        <w:rPr>
          <w:rFonts w:eastAsia="Arial"/>
          <w:color w:val="000000"/>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pPr>
        <w:pStyle w:val="Normal"/>
        <w:jc w:val="both"/>
        <w:rPr/>
      </w:pPr>
      <w:hyperlink r:id="rId4">
        <w:r>
          <w:rPr>
            <w:rStyle w:val="InternetLink"/>
            <w:rFonts w:eastAsia="Arial"/>
            <w:sz w:val="24"/>
            <w:szCs w:val="24"/>
          </w:rPr>
          <w:t>https://moodle.uwtsd.ac.uk/pluginfile.php/298870/mod_resource/content/1/Reflective%20Practice%20for%20Policing%20Students%20-%20Selina%20Copley%20Chapter5.pdf</w:t>
        </w:r>
      </w:hyperlink>
    </w:p>
    <w:p>
      <w:pPr>
        <w:pStyle w:val="Normal"/>
        <w:jc w:val="both"/>
        <w:rPr>
          <w:rFonts w:eastAsia="Arial"/>
          <w:color w:val="000000"/>
          <w:sz w:val="24"/>
          <w:szCs w:val="24"/>
        </w:rPr>
      </w:pPr>
      <w:r>
        <w:rPr>
          <w:rFonts w:eastAsia="Arial"/>
          <w:color w:val="000000"/>
          <w:sz w:val="24"/>
          <w:szCs w:val="24"/>
        </w:rPr>
        <w:t xml:space="preserve"> </w:t>
      </w:r>
    </w:p>
    <w:p>
      <w:pPr>
        <w:pStyle w:val="Normal"/>
        <w:jc w:val="both"/>
        <w:rPr>
          <w:rFonts w:eastAsia="Arial"/>
          <w:b/>
          <w:b/>
          <w:bCs/>
          <w:color w:val="000000"/>
          <w:sz w:val="24"/>
          <w:szCs w:val="24"/>
        </w:rPr>
      </w:pPr>
      <w:r>
        <w:rPr>
          <w:rFonts w:eastAsia="Arial"/>
          <w:b/>
          <w:bCs/>
          <w:color w:val="000000"/>
          <w:sz w:val="24"/>
          <w:szCs w:val="24"/>
        </w:rPr>
        <w:t>How is the workbook assessed?</w:t>
      </w:r>
    </w:p>
    <w:p>
      <w:pPr>
        <w:pStyle w:val="Normal"/>
        <w:jc w:val="both"/>
        <w:rPr>
          <w:rFonts w:eastAsia="Arial"/>
          <w:color w:val="000000"/>
          <w:sz w:val="24"/>
          <w:szCs w:val="24"/>
        </w:rPr>
      </w:pPr>
      <w:r>
        <w:rPr>
          <w:rFonts w:eastAsia="Arial"/>
          <w:color w:val="000000"/>
          <w:sz w:val="24"/>
          <w:szCs w:val="24"/>
        </w:rPr>
        <w:t xml:space="preserve"> </w:t>
      </w:r>
    </w:p>
    <w:p>
      <w:pPr>
        <w:pStyle w:val="Normal"/>
        <w:jc w:val="both"/>
        <w:rPr>
          <w:rFonts w:eastAsia="Arial"/>
          <w:color w:val="000000"/>
          <w:sz w:val="24"/>
          <w:szCs w:val="24"/>
        </w:rPr>
      </w:pPr>
      <w:r>
        <w:rPr>
          <w:rFonts w:eastAsia="Arial"/>
          <w:color w:val="000000"/>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pPr>
        <w:pStyle w:val="Normal"/>
        <w:jc w:val="both"/>
        <w:rPr>
          <w:rFonts w:eastAsia="Arial"/>
          <w:color w:val="000000"/>
          <w:sz w:val="24"/>
          <w:szCs w:val="24"/>
        </w:rPr>
      </w:pPr>
      <w:r>
        <w:rPr>
          <w:rFonts w:eastAsia="Arial"/>
          <w:color w:val="000000"/>
          <w:sz w:val="24"/>
          <w:szCs w:val="24"/>
        </w:rPr>
        <w:t xml:space="preserve"> </w:t>
      </w:r>
    </w:p>
    <w:p>
      <w:pPr>
        <w:pStyle w:val="Normal"/>
        <w:jc w:val="both"/>
        <w:rPr>
          <w:rFonts w:eastAsia="Arial"/>
          <w:color w:val="000000"/>
          <w:sz w:val="24"/>
          <w:szCs w:val="24"/>
        </w:rPr>
      </w:pPr>
      <w:r>
        <w:rPr>
          <w:rFonts w:eastAsia="Arial"/>
          <w:color w:val="000000"/>
          <w:sz w:val="24"/>
          <w:szCs w:val="24"/>
        </w:rPr>
        <w:t>Dates of workbook submission will be made available during the initial training day and posted on Moodle.</w:t>
      </w:r>
    </w:p>
    <w:p>
      <w:pPr>
        <w:pStyle w:val="Normal"/>
        <w:jc w:val="both"/>
        <w:rPr>
          <w:rFonts w:eastAsia="Arial"/>
          <w:color w:val="000000"/>
          <w:sz w:val="24"/>
          <w:szCs w:val="24"/>
        </w:rPr>
      </w:pPr>
      <w:r>
        <w:rPr>
          <w:rFonts w:eastAsia="Arial"/>
          <w:color w:val="000000"/>
          <w:sz w:val="24"/>
          <w:szCs w:val="24"/>
        </w:rPr>
        <w:t xml:space="preserve"> </w:t>
      </w:r>
    </w:p>
    <w:p>
      <w:pPr>
        <w:pStyle w:val="Normal"/>
        <w:jc w:val="both"/>
        <w:rPr>
          <w:rFonts w:eastAsia="Arial"/>
          <w:color w:val="000000"/>
          <w:sz w:val="24"/>
          <w:szCs w:val="24"/>
        </w:rPr>
      </w:pPr>
      <w:r>
        <w:rPr>
          <w:rFonts w:eastAsia="Arial"/>
          <w:color w:val="000000"/>
          <w:sz w:val="24"/>
          <w:szCs w:val="24"/>
        </w:rPr>
        <w:t>Once submitted your workbook will be assessed and marked independently.</w:t>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r>
    </w:p>
    <w:p>
      <w:pPr>
        <w:pStyle w:val="Normal"/>
        <w:rPr>
          <w:rFonts w:eastAsia="Arial"/>
          <w:color w:val="000000"/>
          <w:sz w:val="24"/>
          <w:szCs w:val="24"/>
        </w:rPr>
      </w:pPr>
      <w:r>
        <w:rPr>
          <w:rFonts w:eastAsia="Arial"/>
          <w:color w:val="000000"/>
          <w:sz w:val="24"/>
          <w:szCs w:val="24"/>
        </w:rPr>
      </w:r>
      <w:r>
        <w:br w:type="page"/>
      </w:r>
    </w:p>
    <w:p>
      <w:pPr>
        <w:pStyle w:val="Normal"/>
        <w:jc w:val="both"/>
        <w:rPr>
          <w:rFonts w:eastAsia="Arial"/>
          <w:b/>
          <w:b/>
          <w:bCs/>
          <w:color w:val="000000"/>
          <w:sz w:val="24"/>
          <w:szCs w:val="24"/>
        </w:rPr>
      </w:pPr>
      <w:r>
        <w:rPr>
          <w:rFonts w:eastAsia="Arial"/>
          <w:b/>
          <w:bCs/>
          <w:color w:val="000000"/>
          <w:sz w:val="24"/>
          <w:szCs w:val="24"/>
        </w:rPr>
        <w:t>Confidentiality</w:t>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t>It is important that no individual can be identified either directly or indirectly from the information in the workbook. Therefore, you must:</w:t>
      </w:r>
    </w:p>
    <w:p>
      <w:pPr>
        <w:pStyle w:val="Normal"/>
        <w:jc w:val="both"/>
        <w:rPr>
          <w:rFonts w:eastAsia="Arial"/>
          <w:color w:val="000000"/>
          <w:sz w:val="24"/>
          <w:szCs w:val="24"/>
        </w:rPr>
      </w:pPr>
      <w:r>
        <w:rPr>
          <w:rFonts w:eastAsia="Arial"/>
          <w:color w:val="000000"/>
          <w:sz w:val="24"/>
          <w:szCs w:val="24"/>
        </w:rPr>
      </w:r>
    </w:p>
    <w:p>
      <w:pPr>
        <w:pStyle w:val="ListParagraph"/>
        <w:numPr>
          <w:ilvl w:val="0"/>
          <w:numId w:val="3"/>
        </w:numPr>
        <w:jc w:val="both"/>
        <w:rPr>
          <w:rFonts w:eastAsia="Arial"/>
          <w:color w:val="000000"/>
          <w:sz w:val="24"/>
          <w:szCs w:val="24"/>
        </w:rPr>
      </w:pPr>
      <w:r>
        <w:rPr>
          <w:rFonts w:eastAsia="Arial"/>
          <w:color w:val="000000"/>
          <w:sz w:val="24"/>
          <w:szCs w:val="24"/>
        </w:rPr>
        <w:t>adhere to guidance in the Student Handbook about unfair practice and plagiarism;</w:t>
      </w:r>
    </w:p>
    <w:p>
      <w:pPr>
        <w:pStyle w:val="ListParagraph"/>
        <w:numPr>
          <w:ilvl w:val="0"/>
          <w:numId w:val="3"/>
        </w:numPr>
        <w:jc w:val="both"/>
        <w:rPr>
          <w:rFonts w:eastAsia="Arial"/>
          <w:color w:val="000000"/>
          <w:sz w:val="24"/>
          <w:szCs w:val="24"/>
        </w:rPr>
      </w:pPr>
      <w:r>
        <w:rPr>
          <w:rFonts w:eastAsia="Arial"/>
          <w:color w:val="000000"/>
          <w:sz w:val="24"/>
          <w:szCs w:val="24"/>
        </w:rPr>
        <w:t>not identify individuals including witnesses, victims or offenders by name;</w:t>
      </w:r>
    </w:p>
    <w:p>
      <w:pPr>
        <w:pStyle w:val="ListParagraph"/>
        <w:numPr>
          <w:ilvl w:val="0"/>
          <w:numId w:val="3"/>
        </w:numPr>
        <w:jc w:val="both"/>
        <w:rPr>
          <w:rFonts w:eastAsia="Arial"/>
          <w:color w:val="000000"/>
          <w:sz w:val="24"/>
          <w:szCs w:val="24"/>
        </w:rPr>
      </w:pPr>
      <w:r>
        <w:rPr>
          <w:rFonts w:eastAsia="Arial"/>
          <w:color w:val="000000"/>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pPr>
        <w:pStyle w:val="ListParagraph"/>
        <w:numPr>
          <w:ilvl w:val="0"/>
          <w:numId w:val="3"/>
        </w:numPr>
        <w:jc w:val="both"/>
        <w:rPr>
          <w:rFonts w:eastAsia="Arial"/>
          <w:color w:val="000000"/>
          <w:sz w:val="24"/>
          <w:szCs w:val="24"/>
        </w:rPr>
      </w:pPr>
      <w:r>
        <w:rPr>
          <w:rFonts w:eastAsia="Arial"/>
          <w:color w:val="000000"/>
          <w:sz w:val="24"/>
          <w:szCs w:val="24"/>
        </w:rPr>
        <w:t xml:space="preserve">take personal responsibility for adhering to confidentiality rules. </w:t>
      </w:r>
    </w:p>
    <w:p>
      <w:pPr>
        <w:pStyle w:val="ListParagraph"/>
        <w:numPr>
          <w:ilvl w:val="0"/>
          <w:numId w:val="2"/>
        </w:numPr>
        <w:jc w:val="both"/>
        <w:rPr>
          <w:rFonts w:eastAsia="Arial"/>
          <w:color w:val="000000"/>
          <w:sz w:val="24"/>
          <w:szCs w:val="24"/>
        </w:rPr>
      </w:pPr>
      <w:r>
        <w:rPr>
          <w:rFonts w:eastAsia="Arial"/>
          <w:color w:val="000000"/>
          <w:sz w:val="24"/>
          <w:szCs w:val="24"/>
        </w:rPr>
        <w:t>not include any dates of any incidents or anything that specifically identifies an actual incident.</w:t>
      </w:r>
    </w:p>
    <w:p>
      <w:pPr>
        <w:pStyle w:val="Normal"/>
        <w:jc w:val="both"/>
        <w:rPr>
          <w:rFonts w:eastAsia="Arial"/>
          <w:color w:val="000000"/>
          <w:sz w:val="24"/>
          <w:szCs w:val="24"/>
        </w:rPr>
      </w:pPr>
      <w:r>
        <w:rPr>
          <w:rFonts w:eastAsia="Arial"/>
          <w:color w:val="000000"/>
          <w:sz w:val="24"/>
          <w:szCs w:val="24"/>
        </w:rPr>
      </w:r>
    </w:p>
    <w:p>
      <w:pPr>
        <w:pStyle w:val="Normal"/>
        <w:jc w:val="both"/>
        <w:rPr/>
      </w:pPr>
      <w:r>
        <w:rPr>
          <w:rFonts w:eastAsia="Calibri" w:cs="Calibri" w:ascii="Calibri" w:hAnsi="Calibri"/>
          <w:b/>
          <w:bCs/>
          <w:i w:val="false"/>
          <w:iCs w:val="false"/>
          <w:caps w:val="false"/>
          <w:smallCaps w:val="false"/>
          <w:color w:val="000000"/>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eastAsia="Calibri" w:cs="Calibri" w:ascii="Calibri" w:hAnsi="Calibri"/>
          <w:b w:val="false"/>
          <w:bCs w:val="false"/>
          <w:i w:val="false"/>
          <w:iCs w:val="false"/>
          <w:caps w:val="false"/>
          <w:smallCaps w:val="false"/>
          <w:color w:val="000000"/>
          <w:sz w:val="24"/>
          <w:szCs w:val="24"/>
          <w:lang w:val="en-GB"/>
        </w:rPr>
        <w:t xml:space="preserve"> </w:t>
      </w:r>
    </w:p>
    <w:p>
      <w:pPr>
        <w:pStyle w:val="Normal"/>
        <w:jc w:val="both"/>
        <w:rPr>
          <w:rFonts w:ascii="Calibri" w:hAnsi="Calibri" w:eastAsia="Calibri" w:cs="Calibri"/>
          <w:b w:val="false"/>
          <w:b w:val="false"/>
          <w:bCs w:val="false"/>
          <w:i w:val="false"/>
          <w:i w:val="false"/>
          <w:iCs w:val="false"/>
          <w:caps w:val="false"/>
          <w:smallCaps w:val="false"/>
          <w:color w:val="000000"/>
          <w:sz w:val="24"/>
          <w:szCs w:val="24"/>
          <w:lang w:val="en-GB"/>
        </w:rPr>
      </w:pPr>
      <w:r>
        <w:rPr>
          <w:rFonts w:eastAsia="Calibri" w:cs="Calibri" w:ascii="Calibri" w:hAnsi="Calibri"/>
          <w:b w:val="false"/>
          <w:bCs w:val="false"/>
          <w:i w:val="false"/>
          <w:iCs w:val="false"/>
          <w:caps w:val="false"/>
          <w:smallCaps w:val="false"/>
          <w:color w:val="000000"/>
          <w:sz w:val="24"/>
          <w:szCs w:val="24"/>
          <w:lang w:val="en-GB"/>
        </w:rPr>
      </w:r>
    </w:p>
    <w:p>
      <w:pPr>
        <w:pStyle w:val="Normal"/>
        <w:jc w:val="both"/>
        <w:rPr/>
      </w:pPr>
      <w:r>
        <w:rPr>
          <w:rFonts w:eastAsia="Calibri" w:cs="Calibri" w:ascii="Calibri" w:hAnsi="Calibri"/>
          <w:b/>
          <w:bCs/>
          <w:i w:val="false"/>
          <w:iCs w:val="false"/>
          <w:caps w:val="false"/>
          <w:smallCaps w:val="false"/>
          <w:color w:val="000000"/>
          <w:sz w:val="24"/>
          <w:szCs w:val="24"/>
          <w:lang w:val="en-GB"/>
        </w:rPr>
        <w:t xml:space="preserve">Should any health and wellbeing concerns be raised because of disclosures made by the student within this workbook, the employer of the student will be informed. </w:t>
      </w:r>
      <w:r>
        <w:rPr>
          <w:rFonts w:eastAsia="Calibri" w:cs="Calibri" w:ascii="Calibri" w:hAnsi="Calibri"/>
          <w:b w:val="false"/>
          <w:bCs w:val="false"/>
          <w:i w:val="false"/>
          <w:iCs w:val="false"/>
          <w:caps w:val="false"/>
          <w:smallCaps w:val="false"/>
          <w:color w:val="000000"/>
          <w:sz w:val="24"/>
          <w:szCs w:val="24"/>
          <w:lang w:val="en-GB"/>
        </w:rPr>
        <w:t xml:space="preserve"> </w:t>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b/>
          <w:b/>
          <w:bCs/>
          <w:color w:val="000000"/>
          <w:sz w:val="24"/>
          <w:szCs w:val="24"/>
        </w:rPr>
      </w:pPr>
      <w:r>
        <w:rPr>
          <w:rFonts w:eastAsia="Arial"/>
          <w:b/>
          <w:bCs/>
          <w:color w:val="000000"/>
          <w:sz w:val="24"/>
          <w:szCs w:val="24"/>
        </w:rPr>
        <w:t>NOTE</w:t>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t xml:space="preserve">Your workbook will be submitted electronically via Turnitin on Moodle. Guidance on this is in the Student Handbook. </w:t>
      </w:r>
    </w:p>
    <w:p>
      <w:pPr>
        <w:pStyle w:val="Normal"/>
        <w:ind w:left="360" w:right="0" w:hanging="0"/>
        <w:jc w:val="both"/>
        <w:rPr>
          <w:rFonts w:eastAsia="Arial"/>
          <w:color w:val="000000"/>
          <w:sz w:val="24"/>
          <w:szCs w:val="24"/>
        </w:rPr>
      </w:pPr>
      <w:r>
        <w:rPr>
          <w:rFonts w:eastAsia="Arial"/>
          <w:color w:val="000000"/>
          <w:sz w:val="24"/>
          <w:szCs w:val="24"/>
        </w:rPr>
      </w:r>
    </w:p>
    <w:p>
      <w:pPr>
        <w:pStyle w:val="Normal"/>
        <w:jc w:val="both"/>
        <w:rPr>
          <w:rFonts w:eastAsia="Arial"/>
          <w:b/>
          <w:b/>
          <w:bCs/>
          <w:i/>
          <w:i/>
          <w:iCs/>
          <w:color w:val="000000"/>
          <w:sz w:val="24"/>
          <w:szCs w:val="24"/>
        </w:rPr>
      </w:pPr>
      <w:r>
        <w:rPr>
          <w:rFonts w:eastAsia="Arial"/>
          <w:b/>
          <w:bCs/>
          <w:i/>
          <w:iCs/>
          <w:color w:val="000000"/>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pPr>
        <w:pStyle w:val="Normal"/>
        <w:ind w:left="360" w:right="0" w:hanging="0"/>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b/>
          <w:b/>
          <w:bCs/>
          <w:color w:val="000000"/>
          <w:sz w:val="24"/>
          <w:szCs w:val="24"/>
        </w:rPr>
      </w:pPr>
      <w:r>
        <w:rPr>
          <w:rFonts w:eastAsia="Arial"/>
          <w:b/>
          <w:bCs/>
          <w:color w:val="000000"/>
          <w:sz w:val="24"/>
          <w:szCs w:val="24"/>
        </w:rPr>
        <w:t>Dyslexia and other special circumstances</w:t>
      </w:r>
    </w:p>
    <w:p>
      <w:pPr>
        <w:pStyle w:val="Normal"/>
        <w:jc w:val="both"/>
        <w:rPr>
          <w:rFonts w:eastAsia="Arial"/>
          <w:color w:val="000000"/>
          <w:sz w:val="24"/>
          <w:szCs w:val="24"/>
        </w:rPr>
      </w:pPr>
      <w:r>
        <w:rPr>
          <w:rFonts w:eastAsia="Arial"/>
          <w:color w:val="000000"/>
          <w:sz w:val="24"/>
          <w:szCs w:val="24"/>
        </w:rPr>
      </w:r>
    </w:p>
    <w:p>
      <w:pPr>
        <w:pStyle w:val="Normal"/>
        <w:jc w:val="both"/>
        <w:rPr/>
      </w:pPr>
      <w:r>
        <w:rPr>
          <w:rFonts w:eastAsia="Arial"/>
          <w:color w:val="000000"/>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rFonts w:eastAsia="Arial"/>
          <w:b/>
          <w:bCs/>
          <w:i/>
          <w:iCs/>
          <w:color w:val="000000"/>
          <w:sz w:val="24"/>
          <w:szCs w:val="24"/>
        </w:rPr>
        <w:t>it is the learner’s individual responsibility to contact them</w:t>
      </w:r>
      <w:r>
        <w:rPr>
          <w:rFonts w:eastAsia="Arial"/>
          <w:color w:val="000000"/>
          <w:sz w:val="24"/>
          <w:szCs w:val="24"/>
        </w:rPr>
        <w:t xml:space="preserve">. </w:t>
      </w:r>
    </w:p>
    <w:p>
      <w:pPr>
        <w:pStyle w:val="Normal"/>
        <w:jc w:val="both"/>
        <w:rPr>
          <w:rFonts w:eastAsia="Arial"/>
          <w:color w:val="000000"/>
          <w:sz w:val="24"/>
          <w:szCs w:val="24"/>
        </w:rPr>
      </w:pPr>
      <w:r>
        <w:rPr>
          <w:rFonts w:eastAsia="Arial"/>
          <w:color w:val="000000"/>
          <w:sz w:val="24"/>
          <w:szCs w:val="24"/>
        </w:rPr>
      </w:r>
    </w:p>
    <w:p>
      <w:pPr>
        <w:pStyle w:val="Normal"/>
        <w:jc w:val="both"/>
        <w:rPr>
          <w:rFonts w:eastAsia="Arial"/>
          <w:color w:val="000000"/>
          <w:sz w:val="24"/>
          <w:szCs w:val="24"/>
        </w:rPr>
      </w:pPr>
      <w:r>
        <w:rPr>
          <w:rFonts w:eastAsia="Arial"/>
          <w:color w:val="000000"/>
          <w:sz w:val="24"/>
          <w:szCs w:val="24"/>
        </w:rPr>
      </w:r>
    </w:p>
    <w:p>
      <w:pPr>
        <w:pStyle w:val="Normal"/>
        <w:rPr>
          <w:rFonts w:eastAsia="Arial"/>
          <w:color w:val="000000"/>
          <w:sz w:val="24"/>
          <w:szCs w:val="24"/>
        </w:rPr>
      </w:pPr>
      <w:r>
        <w:rPr>
          <w:rFonts w:eastAsia="Arial"/>
          <w:color w:val="000000"/>
          <w:sz w:val="24"/>
          <w:szCs w:val="24"/>
        </w:rPr>
      </w:r>
      <w:r>
        <w:br w:type="page"/>
      </w:r>
    </w:p>
    <w:p>
      <w:pPr>
        <w:pStyle w:val="Normal"/>
        <w:jc w:val="both"/>
        <w:rPr>
          <w:rFonts w:eastAsia="Arial"/>
          <w:b/>
          <w:b/>
          <w:bCs/>
          <w:color w:val="000000"/>
          <w:sz w:val="24"/>
          <w:szCs w:val="24"/>
        </w:rPr>
      </w:pPr>
      <w:r>
        <w:rPr>
          <w:rFonts w:eastAsia="Arial"/>
          <w:b/>
          <w:bCs/>
          <w:color w:val="000000"/>
          <w:sz w:val="24"/>
          <w:szCs w:val="24"/>
        </w:rPr>
        <w:t xml:space="preserve">Guidance: </w:t>
      </w:r>
    </w:p>
    <w:p>
      <w:pPr>
        <w:pStyle w:val="Normal"/>
        <w:jc w:val="both"/>
        <w:rPr>
          <w:rFonts w:eastAsia="Arial"/>
          <w:color w:val="000000"/>
          <w:sz w:val="24"/>
          <w:szCs w:val="24"/>
        </w:rPr>
      </w:pPr>
      <w:r>
        <w:rPr>
          <w:rFonts w:eastAsia="Arial"/>
          <w:color w:val="000000"/>
          <w:sz w:val="24"/>
          <w:szCs w:val="24"/>
        </w:rPr>
      </w:r>
    </w:p>
    <w:p>
      <w:pPr>
        <w:pStyle w:val="ListParagraph"/>
        <w:numPr>
          <w:ilvl w:val="0"/>
          <w:numId w:val="1"/>
        </w:numPr>
        <w:jc w:val="both"/>
        <w:rPr>
          <w:rFonts w:eastAsia="Arial"/>
          <w:i/>
          <w:i/>
          <w:iCs/>
          <w:color w:val="000000"/>
          <w:sz w:val="24"/>
          <w:szCs w:val="24"/>
        </w:rPr>
      </w:pPr>
      <w:r>
        <w:rPr>
          <w:rFonts w:eastAsia="Arial"/>
          <w:i/>
          <w:iCs/>
          <w:color w:val="000000"/>
          <w:sz w:val="24"/>
          <w:szCs w:val="24"/>
        </w:rPr>
        <w:t>Your workbook must contain the items specified in the table below (clearly identified and in the order given);</w:t>
      </w:r>
    </w:p>
    <w:p>
      <w:pPr>
        <w:pStyle w:val="ListParagraph"/>
        <w:numPr>
          <w:ilvl w:val="0"/>
          <w:numId w:val="1"/>
        </w:numPr>
        <w:jc w:val="both"/>
        <w:rPr>
          <w:rFonts w:eastAsia="Arial"/>
          <w:i/>
          <w:i/>
          <w:iCs/>
          <w:color w:val="000000"/>
          <w:sz w:val="24"/>
          <w:szCs w:val="24"/>
        </w:rPr>
      </w:pPr>
      <w:r>
        <w:rPr>
          <w:rFonts w:eastAsia="Arial"/>
          <w:i/>
          <w:iCs/>
          <w:color w:val="000000"/>
          <w:sz w:val="24"/>
          <w:szCs w:val="24"/>
        </w:rPr>
        <w:t>You should use this particular document to insert your text / answer within each section of this workbook;</w:t>
      </w:r>
    </w:p>
    <w:p>
      <w:pPr>
        <w:pStyle w:val="Normal"/>
        <w:ind w:left="0" w:right="237" w:hanging="0"/>
        <w:jc w:val="both"/>
        <w:rPr>
          <w:b/>
          <w:b/>
          <w:sz w:val="24"/>
          <w:szCs w:val="24"/>
        </w:rPr>
      </w:pPr>
      <w:r>
        <w:rPr>
          <w:b/>
          <w:sz w:val="24"/>
          <w:szCs w:val="24"/>
        </w:rPr>
      </w:r>
    </w:p>
    <w:p>
      <w:pPr>
        <w:pStyle w:val="Normal"/>
        <w:ind w:left="0" w:right="237" w:hanging="0"/>
        <w:jc w:val="both"/>
        <w:rPr>
          <w:b/>
          <w:b/>
          <w:sz w:val="24"/>
          <w:szCs w:val="24"/>
        </w:rPr>
      </w:pPr>
      <w:r>
        <w:rPr>
          <w:b/>
          <w:sz w:val="24"/>
          <w:szCs w:val="24"/>
        </w:rPr>
        <w:t xml:space="preserve">Contents </w:t>
      </w:r>
    </w:p>
    <w:p>
      <w:pPr>
        <w:pStyle w:val="Normal"/>
        <w:ind w:left="0" w:right="237" w:hanging="0"/>
        <w:jc w:val="both"/>
        <w:rPr>
          <w:b/>
          <w:b/>
          <w:sz w:val="24"/>
          <w:szCs w:val="24"/>
        </w:rPr>
      </w:pPr>
      <w:r>
        <w:rPr>
          <w:b/>
          <w:sz w:val="24"/>
          <w:szCs w:val="24"/>
        </w:rPr>
      </w:r>
    </w:p>
    <w:tbl>
      <w:tblPr>
        <w:tblW w:w="8394" w:type="dxa"/>
        <w:jc w:val="left"/>
        <w:tblInd w:w="730" w:type="dxa"/>
        <w:tblCellMar>
          <w:top w:w="0" w:type="dxa"/>
          <w:left w:w="108" w:type="dxa"/>
          <w:bottom w:w="0" w:type="dxa"/>
          <w:right w:w="108" w:type="dxa"/>
        </w:tblCellMar>
      </w:tblPr>
      <w:tblGrid>
        <w:gridCol w:w="1625"/>
        <w:gridCol w:w="5559"/>
        <w:gridCol w:w="1210"/>
      </w:tblGrid>
      <w:tr>
        <w:trPr/>
        <w:tc>
          <w:tcPr>
            <w:tcW w:w="1625"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b/>
                <w:b/>
                <w:color w:val="auto"/>
                <w:sz w:val="24"/>
                <w:szCs w:val="24"/>
              </w:rPr>
            </w:pPr>
            <w:r>
              <w:rPr>
                <w:b/>
                <w:color w:val="auto"/>
                <w:sz w:val="24"/>
                <w:szCs w:val="24"/>
              </w:rPr>
              <w:t xml:space="preserve">Workbook </w:t>
            </w:r>
          </w:p>
        </w:tc>
        <w:tc>
          <w:tcPr>
            <w:tcW w:w="5559"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b/>
                <w:b/>
                <w:color w:val="auto"/>
                <w:sz w:val="24"/>
                <w:szCs w:val="24"/>
              </w:rPr>
            </w:pPr>
            <w:r>
              <w:rPr>
                <w:b/>
                <w:color w:val="auto"/>
                <w:sz w:val="24"/>
                <w:szCs w:val="24"/>
              </w:rPr>
              <w:t xml:space="preserve">Area of Professional Practice </w:t>
            </w:r>
          </w:p>
          <w:p>
            <w:pPr>
              <w:pStyle w:val="Normal"/>
              <w:ind w:left="0" w:right="237" w:hanging="0"/>
              <w:jc w:val="both"/>
              <w:rPr>
                <w:b/>
                <w:b/>
                <w:color w:val="auto"/>
                <w:sz w:val="24"/>
                <w:szCs w:val="24"/>
              </w:rPr>
            </w:pPr>
            <w:r>
              <w:rPr>
                <w:b/>
                <w:color w:val="auto"/>
                <w:sz w:val="24"/>
                <w:szCs w:val="24"/>
              </w:rPr>
            </w:r>
          </w:p>
        </w:tc>
        <w:tc>
          <w:tcPr>
            <w:tcW w:w="1210"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b/>
                <w:b/>
                <w:color w:val="auto"/>
                <w:sz w:val="24"/>
                <w:szCs w:val="24"/>
              </w:rPr>
            </w:pPr>
            <w:r>
              <w:rPr>
                <w:b/>
                <w:color w:val="auto"/>
                <w:sz w:val="24"/>
                <w:szCs w:val="24"/>
              </w:rPr>
              <w:t>Word count</w:t>
            </w:r>
          </w:p>
        </w:tc>
      </w:tr>
      <w:tr>
        <w:trPr/>
        <w:tc>
          <w:tcPr>
            <w:tcW w:w="1625"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color w:val="auto"/>
                <w:sz w:val="24"/>
                <w:szCs w:val="24"/>
              </w:rPr>
            </w:pPr>
            <w:r>
              <w:rPr>
                <w:color w:val="auto"/>
                <w:sz w:val="24"/>
                <w:szCs w:val="24"/>
              </w:rPr>
              <w:t xml:space="preserve">Task 1 </w:t>
            </w:r>
          </w:p>
        </w:tc>
        <w:tc>
          <w:tcPr>
            <w:tcW w:w="5559"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rFonts w:eastAsia="Arial"/>
                <w:b/>
                <w:b/>
                <w:bCs/>
                <w:sz w:val="24"/>
                <w:szCs w:val="24"/>
              </w:rPr>
            </w:pPr>
            <w:r>
              <w:rPr>
                <w:rFonts w:eastAsia="Arial"/>
                <w:b/>
                <w:bCs/>
                <w:sz w:val="24"/>
                <w:szCs w:val="24"/>
              </w:rPr>
              <w:t>Wellbeing and Resilience</w:t>
            </w:r>
          </w:p>
          <w:p>
            <w:pPr>
              <w:pStyle w:val="Normal"/>
              <w:ind w:left="0" w:right="237" w:hanging="0"/>
              <w:jc w:val="both"/>
              <w:rPr>
                <w:rFonts w:eastAsia="Arial"/>
                <w:b/>
                <w:b/>
                <w:bCs/>
                <w:sz w:val="24"/>
                <w:szCs w:val="24"/>
              </w:rPr>
            </w:pPr>
            <w:r>
              <w:rPr>
                <w:rFonts w:eastAsia="Arial"/>
                <w:b/>
                <w:bCs/>
                <w:sz w:val="24"/>
                <w:szCs w:val="24"/>
              </w:rPr>
            </w:r>
          </w:p>
        </w:tc>
        <w:tc>
          <w:tcPr>
            <w:tcW w:w="1210"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rFonts w:eastAsia="Arial"/>
                <w:b/>
                <w:b/>
                <w:bCs/>
                <w:sz w:val="24"/>
                <w:szCs w:val="24"/>
              </w:rPr>
            </w:pPr>
            <w:r>
              <w:rPr>
                <w:rFonts w:eastAsia="Arial"/>
                <w:b/>
                <w:bCs/>
                <w:sz w:val="24"/>
                <w:szCs w:val="24"/>
              </w:rPr>
              <w:t>1000</w:t>
            </w:r>
          </w:p>
        </w:tc>
      </w:tr>
      <w:tr>
        <w:trPr/>
        <w:tc>
          <w:tcPr>
            <w:tcW w:w="1625"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color w:val="auto"/>
                <w:sz w:val="24"/>
                <w:szCs w:val="24"/>
              </w:rPr>
            </w:pPr>
            <w:r>
              <w:rPr>
                <w:color w:val="auto"/>
                <w:sz w:val="24"/>
                <w:szCs w:val="24"/>
              </w:rPr>
              <w:t>Task 2</w:t>
            </w:r>
          </w:p>
        </w:tc>
        <w:tc>
          <w:tcPr>
            <w:tcW w:w="5559" w:type="dxa"/>
            <w:tcBorders>
              <w:top w:val="single" w:sz="4" w:space="0" w:color="000000"/>
              <w:left w:val="single" w:sz="4" w:space="0" w:color="000000"/>
              <w:bottom w:val="single" w:sz="4" w:space="0" w:color="000000"/>
              <w:right w:val="single" w:sz="4" w:space="0" w:color="000000"/>
            </w:tcBorders>
          </w:tcPr>
          <w:p>
            <w:pPr>
              <w:pStyle w:val="Normal"/>
              <w:overflowPunct w:val="false"/>
              <w:spacing w:lineRule="auto" w:line="259"/>
              <w:ind w:left="0" w:right="237" w:hanging="0"/>
              <w:jc w:val="both"/>
              <w:textAlignment w:val="auto"/>
              <w:rPr>
                <w:b/>
                <w:b/>
                <w:bCs/>
                <w:color w:val="auto"/>
                <w:sz w:val="24"/>
                <w:szCs w:val="24"/>
              </w:rPr>
            </w:pPr>
            <w:r>
              <w:rPr>
                <w:b/>
                <w:bCs/>
                <w:color w:val="auto"/>
                <w:sz w:val="24"/>
                <w:szCs w:val="24"/>
              </w:rPr>
              <w:t>Evidence based policing</w:t>
            </w:r>
          </w:p>
          <w:p>
            <w:pPr>
              <w:pStyle w:val="Normal"/>
              <w:overflowPunct w:val="false"/>
              <w:spacing w:lineRule="auto" w:line="259"/>
              <w:ind w:left="0" w:right="237" w:hanging="0"/>
              <w:jc w:val="both"/>
              <w:textAlignment w:val="auto"/>
              <w:rPr>
                <w:b/>
                <w:b/>
                <w:bCs/>
                <w:color w:val="auto"/>
                <w:sz w:val="24"/>
                <w:szCs w:val="24"/>
                <w:lang w:val="en-US"/>
              </w:rPr>
            </w:pPr>
            <w:r>
              <w:rPr>
                <w:b/>
                <w:bCs/>
                <w:color w:val="auto"/>
                <w:sz w:val="24"/>
                <w:szCs w:val="24"/>
                <w:lang w:val="en-US"/>
              </w:rPr>
              <w:t>Research Methods and Skills</w:t>
            </w:r>
          </w:p>
          <w:p>
            <w:pPr>
              <w:pStyle w:val="Normal"/>
              <w:overflowPunct w:val="false"/>
              <w:spacing w:lineRule="auto" w:line="259"/>
              <w:ind w:left="0" w:right="237" w:hanging="0"/>
              <w:jc w:val="both"/>
              <w:textAlignment w:val="auto"/>
              <w:rPr/>
            </w:pPr>
            <w:r>
              <w:rPr>
                <w:b/>
                <w:bCs/>
                <w:color w:val="auto"/>
                <w:sz w:val="24"/>
                <w:szCs w:val="24"/>
                <w:lang w:val="en-US"/>
              </w:rPr>
              <w:t>Decision-making and Discretion</w:t>
            </w:r>
            <w:r>
              <w:rPr>
                <w:b/>
                <w:bCs/>
                <w:color w:val="auto"/>
                <w:sz w:val="24"/>
                <w:szCs w:val="24"/>
              </w:rPr>
              <w:t> </w:t>
            </w:r>
          </w:p>
        </w:tc>
        <w:tc>
          <w:tcPr>
            <w:tcW w:w="1210"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rFonts w:eastAsia="Arial"/>
                <w:b/>
                <w:b/>
                <w:bCs/>
                <w:color w:val="auto"/>
                <w:sz w:val="24"/>
                <w:szCs w:val="24"/>
              </w:rPr>
            </w:pPr>
            <w:r>
              <w:rPr>
                <w:rFonts w:eastAsia="Arial"/>
                <w:b/>
                <w:bCs/>
                <w:color w:val="auto"/>
                <w:sz w:val="24"/>
                <w:szCs w:val="24"/>
              </w:rPr>
              <w:t>1500</w:t>
            </w:r>
          </w:p>
        </w:tc>
      </w:tr>
      <w:tr>
        <w:trPr/>
        <w:tc>
          <w:tcPr>
            <w:tcW w:w="1625"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color w:val="auto"/>
                <w:sz w:val="24"/>
                <w:szCs w:val="24"/>
              </w:rPr>
            </w:pPr>
            <w:r>
              <w:rPr>
                <w:color w:val="auto"/>
                <w:sz w:val="24"/>
                <w:szCs w:val="24"/>
              </w:rPr>
              <w:t xml:space="preserve">Task 3 </w:t>
            </w:r>
          </w:p>
        </w:tc>
        <w:tc>
          <w:tcPr>
            <w:tcW w:w="5559" w:type="dxa"/>
            <w:tcBorders>
              <w:top w:val="single" w:sz="4" w:space="0" w:color="000000"/>
              <w:left w:val="single" w:sz="4" w:space="0" w:color="000000"/>
              <w:bottom w:val="single" w:sz="4" w:space="0" w:color="000000"/>
              <w:right w:val="single" w:sz="4" w:space="0" w:color="000000"/>
            </w:tcBorders>
          </w:tcPr>
          <w:p>
            <w:pPr>
              <w:pStyle w:val="Normal"/>
              <w:overflowPunct w:val="false"/>
              <w:textAlignment w:val="auto"/>
              <w:rPr>
                <w:rFonts w:eastAsia="Arial"/>
                <w:b/>
                <w:b/>
                <w:bCs/>
                <w:color w:val="auto"/>
                <w:sz w:val="24"/>
                <w:szCs w:val="24"/>
                <w:highlight w:val="white"/>
                <w:lang w:eastAsia="zh-TW"/>
              </w:rPr>
            </w:pPr>
            <w:r>
              <w:rPr>
                <w:rFonts w:eastAsia="Arial"/>
                <w:b/>
                <w:bCs/>
                <w:color w:val="000000"/>
                <w:sz w:val="24"/>
                <w:szCs w:val="24"/>
                <w:highlight w:val="white"/>
                <w:lang w:eastAsia="zh-TW"/>
              </w:rPr>
              <w:t>Vulnerability and Risk</w:t>
            </w:r>
          </w:p>
        </w:tc>
        <w:tc>
          <w:tcPr>
            <w:tcW w:w="1210"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rFonts w:eastAsia="Arial"/>
                <w:b/>
                <w:b/>
                <w:bCs/>
                <w:sz w:val="24"/>
                <w:szCs w:val="24"/>
              </w:rPr>
            </w:pPr>
            <w:r>
              <w:rPr>
                <w:rFonts w:eastAsia="Arial"/>
                <w:b/>
                <w:bCs/>
                <w:sz w:val="24"/>
                <w:szCs w:val="24"/>
              </w:rPr>
              <w:t>1250</w:t>
            </w:r>
          </w:p>
        </w:tc>
      </w:tr>
      <w:tr>
        <w:trPr/>
        <w:tc>
          <w:tcPr>
            <w:tcW w:w="1625"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color w:val="auto"/>
                <w:sz w:val="24"/>
                <w:szCs w:val="24"/>
              </w:rPr>
            </w:pPr>
            <w:r>
              <w:rPr>
                <w:color w:val="auto"/>
                <w:sz w:val="24"/>
                <w:szCs w:val="24"/>
              </w:rPr>
              <w:t xml:space="preserve">Task 4 </w:t>
            </w:r>
          </w:p>
        </w:tc>
        <w:tc>
          <w:tcPr>
            <w:tcW w:w="5559" w:type="dxa"/>
            <w:tcBorders>
              <w:top w:val="single" w:sz="4" w:space="0" w:color="000000"/>
              <w:left w:val="single" w:sz="4" w:space="0" w:color="000000"/>
              <w:bottom w:val="single" w:sz="4" w:space="0" w:color="000000"/>
              <w:right w:val="single" w:sz="4" w:space="0" w:color="000000"/>
            </w:tcBorders>
          </w:tcPr>
          <w:p>
            <w:pPr>
              <w:pStyle w:val="Normal"/>
              <w:rPr>
                <w:rFonts w:eastAsia="Arial"/>
                <w:b/>
                <w:b/>
                <w:bCs/>
                <w:color w:val="000000"/>
                <w:sz w:val="24"/>
                <w:szCs w:val="24"/>
              </w:rPr>
            </w:pPr>
            <w:r>
              <w:rPr>
                <w:rFonts w:eastAsia="Arial"/>
                <w:b/>
                <w:bCs/>
                <w:color w:val="000000"/>
                <w:sz w:val="24"/>
                <w:szCs w:val="24"/>
              </w:rPr>
              <w:t xml:space="preserve">Conducting investigations </w:t>
            </w:r>
          </w:p>
          <w:p>
            <w:pPr>
              <w:pStyle w:val="Normal"/>
              <w:rPr/>
            </w:pPr>
            <w:r>
              <w:rPr>
                <w:rFonts w:eastAsia="Arial"/>
                <w:b/>
                <w:bCs/>
                <w:color w:val="000000"/>
                <w:sz w:val="24"/>
                <w:szCs w:val="24"/>
              </w:rPr>
              <w:t>Information and intelligence</w:t>
            </w:r>
            <w:r>
              <w:rPr>
                <w:rFonts w:eastAsia="Arial"/>
                <w:color w:val="auto"/>
                <w:sz w:val="24"/>
                <w:szCs w:val="24"/>
                <w:lang w:eastAsia="zh-TW"/>
              </w:rPr>
              <w:t xml:space="preserve"> </w:t>
            </w:r>
          </w:p>
        </w:tc>
        <w:tc>
          <w:tcPr>
            <w:tcW w:w="1210"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rFonts w:eastAsia="Arial"/>
                <w:b/>
                <w:b/>
                <w:bCs/>
                <w:sz w:val="24"/>
                <w:szCs w:val="24"/>
              </w:rPr>
            </w:pPr>
            <w:r>
              <w:rPr>
                <w:rFonts w:eastAsia="Arial"/>
                <w:b/>
                <w:bCs/>
                <w:sz w:val="24"/>
                <w:szCs w:val="24"/>
              </w:rPr>
              <w:t>1750</w:t>
            </w:r>
          </w:p>
          <w:p>
            <w:pPr>
              <w:pStyle w:val="Normal"/>
              <w:ind w:left="0" w:right="237" w:hanging="0"/>
              <w:jc w:val="both"/>
              <w:rPr>
                <w:rFonts w:eastAsia="Arial"/>
                <w:b/>
                <w:b/>
                <w:bCs/>
                <w:sz w:val="24"/>
                <w:szCs w:val="24"/>
              </w:rPr>
            </w:pPr>
            <w:r>
              <w:rPr>
                <w:rFonts w:eastAsia="Arial"/>
                <w:b/>
                <w:bCs/>
                <w:sz w:val="24"/>
                <w:szCs w:val="24"/>
              </w:rPr>
            </w:r>
          </w:p>
          <w:p>
            <w:pPr>
              <w:pStyle w:val="Normal"/>
              <w:ind w:left="0" w:right="237" w:hanging="0"/>
              <w:jc w:val="both"/>
              <w:rPr>
                <w:rFonts w:eastAsia="Arial"/>
                <w:b/>
                <w:b/>
                <w:bCs/>
                <w:sz w:val="24"/>
                <w:szCs w:val="24"/>
              </w:rPr>
            </w:pPr>
            <w:r>
              <w:rPr>
                <w:rFonts w:eastAsia="Arial"/>
                <w:b/>
                <w:bCs/>
                <w:sz w:val="24"/>
                <w:szCs w:val="24"/>
              </w:rPr>
            </w:r>
          </w:p>
        </w:tc>
      </w:tr>
      <w:tr>
        <w:trPr>
          <w:trHeight w:val="81" w:hRule="atLeast"/>
        </w:trPr>
        <w:tc>
          <w:tcPr>
            <w:tcW w:w="1625"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color w:val="auto"/>
                <w:sz w:val="24"/>
                <w:szCs w:val="24"/>
              </w:rPr>
            </w:pPr>
            <w:r>
              <w:rPr>
                <w:color w:val="auto"/>
                <w:sz w:val="24"/>
                <w:szCs w:val="24"/>
              </w:rPr>
              <w:t>Task 5</w:t>
            </w:r>
          </w:p>
        </w:tc>
        <w:tc>
          <w:tcPr>
            <w:tcW w:w="5559" w:type="dxa"/>
            <w:tcBorders>
              <w:top w:val="single" w:sz="4" w:space="0" w:color="000000"/>
              <w:left w:val="single" w:sz="4" w:space="0" w:color="000000"/>
              <w:bottom w:val="single" w:sz="4" w:space="0" w:color="000000"/>
              <w:right w:val="single" w:sz="4" w:space="0" w:color="000000"/>
            </w:tcBorders>
          </w:tcPr>
          <w:p>
            <w:pPr>
              <w:pStyle w:val="Normal"/>
              <w:rPr>
                <w:rFonts w:eastAsia="Arial"/>
                <w:b/>
                <w:b/>
                <w:bCs/>
                <w:color w:val="auto"/>
                <w:sz w:val="24"/>
                <w:szCs w:val="24"/>
              </w:rPr>
            </w:pPr>
            <w:r>
              <w:rPr>
                <w:rFonts w:eastAsia="Arial"/>
                <w:b/>
                <w:bCs/>
                <w:color w:val="auto"/>
                <w:sz w:val="24"/>
                <w:szCs w:val="24"/>
              </w:rPr>
              <w:t xml:space="preserve">Digital Policing, </w:t>
            </w:r>
          </w:p>
          <w:p>
            <w:pPr>
              <w:pStyle w:val="Normal"/>
              <w:rPr>
                <w:rFonts w:eastAsia="Arial"/>
                <w:b/>
                <w:b/>
                <w:bCs/>
                <w:color w:val="auto"/>
                <w:sz w:val="24"/>
                <w:szCs w:val="24"/>
              </w:rPr>
            </w:pPr>
            <w:r>
              <w:rPr>
                <w:rFonts w:eastAsia="Arial"/>
                <w:b/>
                <w:bCs/>
                <w:color w:val="auto"/>
                <w:sz w:val="24"/>
                <w:szCs w:val="24"/>
              </w:rPr>
              <w:t>Vulnerability and Risk </w:t>
            </w:r>
          </w:p>
        </w:tc>
        <w:tc>
          <w:tcPr>
            <w:tcW w:w="1210" w:type="dxa"/>
            <w:tcBorders>
              <w:top w:val="single" w:sz="4" w:space="0" w:color="000000"/>
              <w:left w:val="single" w:sz="4" w:space="0" w:color="000000"/>
              <w:bottom w:val="single" w:sz="4" w:space="0" w:color="000000"/>
              <w:right w:val="single" w:sz="4" w:space="0" w:color="000000"/>
            </w:tcBorders>
          </w:tcPr>
          <w:p>
            <w:pPr>
              <w:pStyle w:val="Normal"/>
              <w:spacing w:lineRule="auto" w:line="360"/>
              <w:ind w:left="0" w:right="237" w:hanging="0"/>
              <w:jc w:val="both"/>
              <w:rPr>
                <w:rFonts w:eastAsia="Arial"/>
                <w:b/>
                <w:b/>
                <w:bCs/>
                <w:sz w:val="24"/>
                <w:szCs w:val="24"/>
              </w:rPr>
            </w:pPr>
            <w:r>
              <w:rPr>
                <w:rFonts w:eastAsia="Arial"/>
                <w:b/>
                <w:bCs/>
                <w:sz w:val="24"/>
                <w:szCs w:val="24"/>
              </w:rPr>
              <w:t>1500</w:t>
            </w:r>
          </w:p>
          <w:p>
            <w:pPr>
              <w:pStyle w:val="Normal"/>
              <w:spacing w:lineRule="auto" w:line="360"/>
              <w:ind w:left="0" w:right="237" w:hanging="0"/>
              <w:jc w:val="both"/>
              <w:rPr>
                <w:rFonts w:eastAsia="Arial"/>
                <w:b/>
                <w:b/>
                <w:bCs/>
                <w:color w:val="auto"/>
                <w:sz w:val="24"/>
                <w:szCs w:val="24"/>
              </w:rPr>
            </w:pPr>
            <w:r>
              <w:rPr>
                <w:rFonts w:eastAsia="Arial"/>
                <w:b/>
                <w:bCs/>
                <w:color w:val="auto"/>
                <w:sz w:val="24"/>
                <w:szCs w:val="24"/>
              </w:rPr>
            </w:r>
          </w:p>
        </w:tc>
      </w:tr>
      <w:tr>
        <w:trPr>
          <w:trHeight w:val="81" w:hRule="atLeast"/>
        </w:trPr>
        <w:tc>
          <w:tcPr>
            <w:tcW w:w="1625" w:type="dxa"/>
            <w:tcBorders>
              <w:top w:val="single" w:sz="4" w:space="0" w:color="000000"/>
              <w:left w:val="single" w:sz="4" w:space="0" w:color="000000"/>
              <w:bottom w:val="single" w:sz="4" w:space="0" w:color="000000"/>
              <w:right w:val="single" w:sz="4" w:space="0" w:color="000000"/>
            </w:tcBorders>
          </w:tcPr>
          <w:p>
            <w:pPr>
              <w:pStyle w:val="Normal"/>
              <w:jc w:val="both"/>
              <w:rPr>
                <w:color w:val="auto"/>
                <w:sz w:val="24"/>
                <w:szCs w:val="24"/>
              </w:rPr>
            </w:pPr>
            <w:r>
              <w:rPr>
                <w:color w:val="auto"/>
                <w:sz w:val="24"/>
                <w:szCs w:val="24"/>
              </w:rPr>
            </w:r>
          </w:p>
        </w:tc>
        <w:tc>
          <w:tcPr>
            <w:tcW w:w="5559" w:type="dxa"/>
            <w:tcBorders>
              <w:top w:val="single" w:sz="4" w:space="0" w:color="000000"/>
              <w:left w:val="single" w:sz="4" w:space="0" w:color="000000"/>
              <w:bottom w:val="single" w:sz="4" w:space="0" w:color="000000"/>
              <w:right w:val="single" w:sz="4" w:space="0" w:color="000000"/>
            </w:tcBorders>
          </w:tcPr>
          <w:p>
            <w:pPr>
              <w:pStyle w:val="Normal"/>
              <w:spacing w:lineRule="auto" w:line="360"/>
              <w:ind w:left="0" w:right="237" w:hanging="0"/>
              <w:jc w:val="both"/>
              <w:rPr>
                <w:rFonts w:eastAsia="Arial"/>
                <w:b/>
                <w:b/>
                <w:bCs/>
                <w:color w:val="auto"/>
                <w:sz w:val="24"/>
                <w:szCs w:val="24"/>
              </w:rPr>
            </w:pPr>
            <w:r>
              <w:rPr>
                <w:rFonts w:eastAsia="Arial"/>
                <w:b/>
                <w:bCs/>
                <w:color w:val="auto"/>
                <w:sz w:val="24"/>
                <w:szCs w:val="24"/>
              </w:rPr>
              <w:t>Bibliography</w:t>
            </w:r>
          </w:p>
          <w:p>
            <w:pPr>
              <w:pStyle w:val="Normal"/>
              <w:spacing w:lineRule="auto" w:line="360"/>
              <w:jc w:val="both"/>
              <w:rPr>
                <w:rFonts w:eastAsia="Arial"/>
                <w:b/>
                <w:b/>
                <w:bCs/>
                <w:color w:val="auto"/>
                <w:sz w:val="24"/>
                <w:szCs w:val="24"/>
              </w:rPr>
            </w:pPr>
            <w:r>
              <w:rPr>
                <w:rFonts w:eastAsia="Arial"/>
                <w:b/>
                <w:bCs/>
                <w:color w:val="auto"/>
                <w:sz w:val="24"/>
                <w:szCs w:val="24"/>
              </w:rPr>
            </w:r>
          </w:p>
        </w:tc>
        <w:tc>
          <w:tcPr>
            <w:tcW w:w="1210" w:type="dxa"/>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rFonts w:eastAsia="Arial"/>
                <w:b/>
                <w:b/>
                <w:bCs/>
                <w:color w:val="auto"/>
                <w:sz w:val="24"/>
                <w:szCs w:val="24"/>
              </w:rPr>
            </w:pPr>
            <w:r>
              <w:rPr>
                <w:rFonts w:eastAsia="Arial"/>
                <w:b/>
                <w:bCs/>
                <w:color w:val="auto"/>
                <w:sz w:val="24"/>
                <w:szCs w:val="24"/>
              </w:rPr>
            </w:r>
          </w:p>
        </w:tc>
      </w:tr>
      <w:tr>
        <w:trPr>
          <w:trHeight w:val="81" w:hRule="atLeast"/>
        </w:trPr>
        <w:tc>
          <w:tcPr>
            <w:tcW w:w="1625" w:type="dxa"/>
            <w:tcBorders>
              <w:top w:val="single" w:sz="4" w:space="0" w:color="000000"/>
              <w:left w:val="single" w:sz="4" w:space="0" w:color="000000"/>
              <w:bottom w:val="single" w:sz="4" w:space="0" w:color="000000"/>
              <w:right w:val="single" w:sz="4" w:space="0" w:color="000000"/>
            </w:tcBorders>
          </w:tcPr>
          <w:p>
            <w:pPr>
              <w:pStyle w:val="Normal"/>
              <w:jc w:val="both"/>
              <w:rPr>
                <w:rFonts w:ascii="Arial" w:hAnsi="Arial" w:eastAsia="Times New Roman" w:cs="Arial"/>
                <w:color w:val="000000"/>
                <w:sz w:val="24"/>
                <w:szCs w:val="24"/>
              </w:rPr>
            </w:pPr>
            <w:r>
              <w:rPr>
                <w:rFonts w:eastAsia="Times New Roman" w:cs="Arial"/>
                <w:color w:val="000000"/>
                <w:sz w:val="24"/>
                <w:szCs w:val="24"/>
              </w:rPr>
              <w:t>Task 6</w:t>
            </w:r>
          </w:p>
        </w:tc>
        <w:tc>
          <w:tcPr>
            <w:tcW w:w="5559" w:type="dxa"/>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rFonts w:ascii="Arial" w:hAnsi="Arial" w:eastAsia="Times New Roman" w:cs="Arial"/>
                <w:b/>
                <w:b/>
                <w:bCs/>
                <w:color w:val="000000"/>
                <w:sz w:val="24"/>
                <w:szCs w:val="24"/>
              </w:rPr>
            </w:pPr>
            <w:r>
              <w:rPr>
                <w:rFonts w:eastAsia="Times New Roman" w:cs="Arial"/>
                <w:b/>
                <w:bCs/>
                <w:color w:val="000000"/>
                <w:sz w:val="24"/>
                <w:szCs w:val="24"/>
              </w:rPr>
              <w:t>OCP</w:t>
            </w:r>
          </w:p>
        </w:tc>
        <w:tc>
          <w:tcPr>
            <w:tcW w:w="1210" w:type="dxa"/>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rFonts w:ascii="Arial" w:hAnsi="Arial" w:eastAsia="Times New Roman" w:cs="Arial"/>
                <w:b/>
                <w:b/>
                <w:bCs/>
                <w:color w:val="000000"/>
                <w:sz w:val="24"/>
                <w:szCs w:val="24"/>
              </w:rPr>
            </w:pPr>
            <w:r>
              <w:rPr>
                <w:rFonts w:eastAsia="Times New Roman" w:cs="Arial"/>
                <w:b/>
                <w:bCs/>
                <w:color w:val="000000"/>
                <w:sz w:val="24"/>
                <w:szCs w:val="24"/>
              </w:rPr>
              <w:t>1000</w:t>
            </w:r>
          </w:p>
        </w:tc>
      </w:tr>
      <w:tr>
        <w:trPr>
          <w:trHeight w:val="81" w:hRule="atLeast"/>
        </w:trPr>
        <w:tc>
          <w:tcPr>
            <w:tcW w:w="1625" w:type="dxa"/>
            <w:tcBorders>
              <w:top w:val="single" w:sz="4" w:space="0" w:color="000000"/>
              <w:left w:val="single" w:sz="4" w:space="0" w:color="000000"/>
              <w:bottom w:val="single" w:sz="4" w:space="0" w:color="000000"/>
              <w:right w:val="single" w:sz="4" w:space="0" w:color="000000"/>
            </w:tcBorders>
          </w:tcPr>
          <w:p>
            <w:pPr>
              <w:pStyle w:val="Normal"/>
              <w:jc w:val="both"/>
              <w:rPr>
                <w:rFonts w:ascii="Arial" w:hAnsi="Arial" w:eastAsia="Times New Roman" w:cs="Arial"/>
                <w:color w:val="000000"/>
                <w:sz w:val="24"/>
                <w:szCs w:val="24"/>
              </w:rPr>
            </w:pPr>
            <w:r>
              <w:rPr>
                <w:rFonts w:eastAsia="Times New Roman" w:cs="Arial"/>
                <w:color w:val="000000"/>
                <w:sz w:val="24"/>
                <w:szCs w:val="24"/>
              </w:rPr>
            </w:r>
          </w:p>
        </w:tc>
        <w:tc>
          <w:tcPr>
            <w:tcW w:w="5559" w:type="dxa"/>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rFonts w:ascii="Arial" w:hAnsi="Arial" w:eastAsia="Times New Roman" w:cs="Arial"/>
                <w:b/>
                <w:b/>
                <w:bCs/>
                <w:color w:val="000000"/>
                <w:sz w:val="24"/>
                <w:szCs w:val="24"/>
              </w:rPr>
            </w:pPr>
            <w:r>
              <w:rPr>
                <w:rFonts w:eastAsia="Times New Roman" w:cs="Arial"/>
                <w:b/>
                <w:bCs/>
                <w:color w:val="000000"/>
                <w:sz w:val="24"/>
                <w:szCs w:val="24"/>
              </w:rPr>
              <w:t>Total</w:t>
            </w:r>
          </w:p>
        </w:tc>
        <w:tc>
          <w:tcPr>
            <w:tcW w:w="1210" w:type="dxa"/>
            <w:tcBorders>
              <w:top w:val="single" w:sz="4" w:space="0" w:color="000000"/>
              <w:left w:val="single" w:sz="4" w:space="0" w:color="000000"/>
              <w:bottom w:val="single" w:sz="4" w:space="0" w:color="000000"/>
              <w:right w:val="single" w:sz="4" w:space="0" w:color="000000"/>
            </w:tcBorders>
          </w:tcPr>
          <w:p>
            <w:pPr>
              <w:pStyle w:val="Normal"/>
              <w:spacing w:lineRule="auto" w:line="360"/>
              <w:jc w:val="both"/>
              <w:rPr>
                <w:rFonts w:ascii="Arial" w:hAnsi="Arial" w:eastAsia="Times New Roman" w:cs="Arial"/>
                <w:b/>
                <w:b/>
                <w:bCs/>
                <w:color w:val="000000"/>
                <w:sz w:val="24"/>
                <w:szCs w:val="24"/>
              </w:rPr>
            </w:pPr>
            <w:r>
              <w:rPr>
                <w:rFonts w:eastAsia="Times New Roman" w:cs="Arial"/>
                <w:b/>
                <w:bCs/>
                <w:color w:val="000000"/>
                <w:sz w:val="24"/>
                <w:szCs w:val="24"/>
              </w:rPr>
              <w:t>8000</w:t>
            </w:r>
          </w:p>
        </w:tc>
      </w:tr>
    </w:tbl>
    <w:p>
      <w:pPr>
        <w:pStyle w:val="Normal"/>
        <w:ind w:left="0" w:right="237" w:hanging="0"/>
        <w:jc w:val="center"/>
        <w:rPr>
          <w:b/>
          <w:b/>
          <w:sz w:val="24"/>
          <w:szCs w:val="24"/>
        </w:rPr>
      </w:pPr>
      <w:r>
        <w:rPr>
          <w:b/>
          <w:sz w:val="24"/>
          <w:szCs w:val="24"/>
        </w:rPr>
      </w:r>
    </w:p>
    <w:p>
      <w:pPr>
        <w:pStyle w:val="Normal"/>
        <w:ind w:left="0" w:right="237" w:hanging="0"/>
        <w:jc w:val="center"/>
        <w:rPr>
          <w:b/>
          <w:b/>
          <w:sz w:val="24"/>
          <w:szCs w:val="24"/>
        </w:rPr>
      </w:pPr>
      <w:r>
        <w:rPr>
          <w:b/>
          <w:sz w:val="24"/>
          <w:szCs w:val="24"/>
        </w:rPr>
      </w:r>
      <w:r>
        <w:br w:type="page"/>
      </w:r>
    </w:p>
    <w:p>
      <w:pPr>
        <w:pStyle w:val="Normal"/>
        <w:ind w:left="0" w:right="237" w:hanging="0"/>
        <w:jc w:val="center"/>
        <w:rPr>
          <w:b/>
          <w:b/>
          <w:sz w:val="24"/>
          <w:szCs w:val="24"/>
        </w:rPr>
      </w:pPr>
      <w:r>
        <w:rPr>
          <w:b/>
          <w:sz w:val="24"/>
          <w:szCs w:val="24"/>
        </w:rPr>
        <w:t>Task 1</w:t>
      </w:r>
    </w:p>
    <w:p>
      <w:pPr>
        <w:pStyle w:val="Normal"/>
        <w:ind w:left="0" w:right="237" w:hanging="0"/>
        <w:jc w:val="both"/>
        <w:rPr>
          <w:b/>
          <w:b/>
          <w:sz w:val="24"/>
          <w:szCs w:val="24"/>
        </w:rPr>
      </w:pPr>
      <w:r>
        <w:rPr>
          <w:b/>
          <w:sz w:val="24"/>
          <w:szCs w:val="24"/>
        </w:rPr>
      </w:r>
    </w:p>
    <w:p>
      <w:pPr>
        <w:pStyle w:val="Normal"/>
        <w:ind w:left="0" w:right="237" w:hanging="0"/>
        <w:jc w:val="both"/>
        <w:rPr>
          <w:b/>
          <w:b/>
          <w:color w:val="auto"/>
          <w:sz w:val="24"/>
          <w:szCs w:val="24"/>
        </w:rPr>
      </w:pPr>
      <w:r>
        <w:rPr>
          <w:b/>
          <w:color w:val="auto"/>
          <w:sz w:val="24"/>
          <w:szCs w:val="24"/>
        </w:rPr>
        <w:t xml:space="preserve">Relevant areas of the National Policing Curriculum: </w:t>
      </w:r>
    </w:p>
    <w:p>
      <w:pPr>
        <w:pStyle w:val="Normal"/>
        <w:ind w:left="0" w:right="237" w:hanging="0"/>
        <w:jc w:val="both"/>
        <w:rPr>
          <w:b/>
          <w:b/>
          <w:sz w:val="24"/>
          <w:szCs w:val="24"/>
        </w:rPr>
      </w:pPr>
      <w:r>
        <w:rPr>
          <w:b/>
          <w:sz w:val="24"/>
          <w:szCs w:val="24"/>
        </w:rPr>
        <w:t>Wellbeing and Resilience</w:t>
      </w:r>
    </w:p>
    <w:p>
      <w:pPr>
        <w:pStyle w:val="Normal"/>
        <w:ind w:left="0" w:right="237" w:hanging="0"/>
        <w:jc w:val="both"/>
        <w:rPr>
          <w:b/>
          <w:b/>
          <w:sz w:val="24"/>
          <w:szCs w:val="24"/>
        </w:rPr>
      </w:pPr>
      <w:r>
        <w:rPr>
          <w:b/>
          <w:sz w:val="24"/>
          <w:szCs w:val="24"/>
        </w:rPr>
      </w:r>
    </w:p>
    <w:p>
      <w:pPr>
        <w:pStyle w:val="Normal"/>
        <w:ind w:left="0" w:right="237" w:hanging="0"/>
        <w:jc w:val="both"/>
        <w:rPr>
          <w:i/>
          <w:i/>
          <w:sz w:val="24"/>
          <w:szCs w:val="24"/>
        </w:rPr>
      </w:pPr>
      <w:r>
        <w:rPr>
          <w:i/>
          <w:sz w:val="24"/>
          <w:szCs w:val="24"/>
        </w:rPr>
        <w:t xml:space="preserve">Guidance:  </w:t>
      </w:r>
    </w:p>
    <w:p>
      <w:pPr>
        <w:pStyle w:val="Normal"/>
        <w:ind w:left="0" w:right="237" w:hanging="0"/>
        <w:jc w:val="both"/>
        <w:rPr>
          <w:i/>
          <w:i/>
          <w:sz w:val="24"/>
          <w:szCs w:val="24"/>
        </w:rPr>
      </w:pPr>
      <w:r>
        <w:rPr>
          <w:i/>
          <w:sz w:val="24"/>
          <w:szCs w:val="24"/>
        </w:rPr>
      </w:r>
    </w:p>
    <w:tbl>
      <w:tblPr>
        <w:tblW w:w="9067" w:type="dxa"/>
        <w:jc w:val="left"/>
        <w:tblInd w:w="108" w:type="dxa"/>
        <w:tblCellMar>
          <w:top w:w="0" w:type="dxa"/>
          <w:left w:w="108" w:type="dxa"/>
          <w:bottom w:w="0" w:type="dxa"/>
          <w:right w:w="108" w:type="dxa"/>
        </w:tblCellMar>
      </w:tblPr>
      <w:tblGrid>
        <w:gridCol w:w="9067"/>
      </w:tblGrid>
      <w:tr>
        <w:trPr/>
        <w:tc>
          <w:tcPr>
            <w:tcW w:w="9067" w:type="dxa"/>
            <w:tcBorders>
              <w:top w:val="single" w:sz="4" w:space="0" w:color="000000"/>
              <w:left w:val="single" w:sz="4" w:space="0" w:color="000000"/>
              <w:bottom w:val="single" w:sz="4" w:space="0" w:color="000000"/>
              <w:right w:val="single" w:sz="4" w:space="0" w:color="000000"/>
            </w:tcBorders>
          </w:tcPr>
          <w:p>
            <w:pPr>
              <w:pStyle w:val="Normal"/>
              <w:jc w:val="both"/>
              <w:rPr>
                <w:sz w:val="24"/>
                <w:szCs w:val="24"/>
              </w:rPr>
            </w:pPr>
            <w:r>
              <w:rPr>
                <w:sz w:val="24"/>
                <w:szCs w:val="24"/>
              </w:rPr>
            </w:r>
          </w:p>
          <w:p>
            <w:pPr>
              <w:pStyle w:val="Normal"/>
              <w:overflowPunct w:val="false"/>
              <w:textAlignment w:val="auto"/>
              <w:rPr/>
            </w:pPr>
            <w:r>
              <w:rPr>
                <w:b/>
                <w:bCs/>
                <w:sz w:val="24"/>
                <w:szCs w:val="24"/>
              </w:rPr>
              <w:t>Consider and reflect</w:t>
            </w:r>
            <w:r>
              <w:rPr>
                <w:sz w:val="24"/>
                <w:szCs w:val="24"/>
              </w:rPr>
              <w:t xml:space="preserve"> on the impact of organisational justice on yourself as a member of the police service. (Code of Ethics)</w:t>
            </w:r>
          </w:p>
          <w:p>
            <w:pPr>
              <w:pStyle w:val="Normal"/>
              <w:jc w:val="both"/>
              <w:rPr>
                <w:sz w:val="24"/>
                <w:szCs w:val="24"/>
              </w:rPr>
            </w:pPr>
            <w:r>
              <w:rPr>
                <w:sz w:val="24"/>
                <w:szCs w:val="24"/>
              </w:rPr>
            </w:r>
          </w:p>
          <w:p>
            <w:pPr>
              <w:pStyle w:val="Normal"/>
              <w:jc w:val="both"/>
              <w:rPr/>
            </w:pPr>
            <w:r>
              <w:rPr>
                <w:b/>
                <w:bCs/>
                <w:sz w:val="24"/>
                <w:szCs w:val="24"/>
              </w:rPr>
              <w:t>Consider</w:t>
            </w:r>
            <w:r>
              <w:rPr>
                <w:sz w:val="24"/>
                <w:szCs w:val="24"/>
              </w:rPr>
              <w:t xml:space="preserve"> the steps that your organisation is taking to raise ethical standards. </w:t>
            </w:r>
          </w:p>
          <w:p>
            <w:pPr>
              <w:pStyle w:val="Normal"/>
              <w:ind w:left="0" w:right="237" w:hanging="0"/>
              <w:jc w:val="both"/>
              <w:rPr>
                <w:b/>
                <w:b/>
                <w:bCs/>
                <w:sz w:val="24"/>
                <w:szCs w:val="24"/>
              </w:rPr>
            </w:pPr>
            <w:r>
              <w:rPr>
                <w:b/>
                <w:bCs/>
                <w:sz w:val="24"/>
                <w:szCs w:val="24"/>
              </w:rPr>
            </w:r>
          </w:p>
          <w:p>
            <w:pPr>
              <w:pStyle w:val="Normal"/>
              <w:ind w:left="0" w:right="237" w:hanging="0"/>
              <w:jc w:val="both"/>
              <w:rPr>
                <w:b/>
                <w:b/>
                <w:bCs/>
                <w:sz w:val="24"/>
                <w:szCs w:val="24"/>
              </w:rPr>
            </w:pPr>
            <w:r>
              <w:rPr>
                <w:b/>
                <w:bCs/>
                <w:sz w:val="24"/>
                <w:szCs w:val="24"/>
              </w:rPr>
            </w:r>
          </w:p>
          <w:p>
            <w:pPr>
              <w:pStyle w:val="Normal"/>
              <w:ind w:left="0" w:right="237" w:hanging="0"/>
              <w:jc w:val="both"/>
              <w:rPr>
                <w:i/>
                <w:i/>
                <w:iCs/>
                <w:sz w:val="24"/>
                <w:szCs w:val="24"/>
              </w:rPr>
            </w:pPr>
            <w:r>
              <w:rPr>
                <w:i/>
                <w:iCs/>
                <w:sz w:val="24"/>
                <w:szCs w:val="24"/>
              </w:rPr>
              <w:t>1000 words (+/- 10%: include your actual word count at the end of each section)</w:t>
            </w:r>
          </w:p>
        </w:tc>
      </w:tr>
    </w:tbl>
    <w:p>
      <w:pPr>
        <w:pStyle w:val="Normal"/>
        <w:ind w:left="0" w:right="237" w:hanging="0"/>
        <w:jc w:val="both"/>
        <w:rPr>
          <w:b/>
          <w:b/>
          <w:sz w:val="24"/>
          <w:szCs w:val="24"/>
        </w:rPr>
      </w:pPr>
      <w:r>
        <w:rPr>
          <w:b/>
          <w:sz w:val="24"/>
          <w:szCs w:val="24"/>
        </w:rPr>
      </w:r>
    </w:p>
    <w:p>
      <w:pPr>
        <w:pStyle w:val="Normal"/>
        <w:ind w:left="0" w:right="237" w:hanging="0"/>
        <w:jc w:val="both"/>
        <w:rPr>
          <w:b/>
          <w:b/>
          <w:sz w:val="24"/>
          <w:szCs w:val="24"/>
        </w:rPr>
      </w:pPr>
      <w:r>
        <w:rPr>
          <w:b/>
          <w:sz w:val="24"/>
          <w:szCs w:val="24"/>
        </w:rPr>
        <w:t>ANSWER:</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Before joining and after joining the police there has always been an emphasis on trust and integrity while in the police force. This is a matter that is at the core of everything police and staff need to uphold at all times of their professional and home life. Following the Competency and Values Framework (CVF) will ensure that police are upholding these values, which in turn should encourage people using the police service to trust that the police will be open and honest with them in all matters and not let them be deceived (College of Policing, 2016).</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People who need the police are asking for assistance in what they deem to be of such importance in their lives. This needs to be treated with the upmost respect and dealt with accordingly. There should be transparency with police and everything that they do is justified and fair.</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Within the police force there are a variety of individuals. There are multitudes of ethnic backgrounds, religions, appearances, beliefs and ways of life. This needs to be respected at all times and should not be compromised at all. This then sets up the way police use organisational justice .</w:t>
      </w:r>
    </w:p>
    <w:p>
      <w:pPr>
        <w:pStyle w:val="Normal"/>
        <w:ind w:left="0" w:right="237" w:hanging="0"/>
        <w:jc w:val="both"/>
        <w:rPr>
          <w:sz w:val="24"/>
          <w:szCs w:val="24"/>
        </w:rPr>
      </w:pPr>
      <w:r>
        <w:rPr>
          <w:sz w:val="24"/>
          <w:szCs w:val="24"/>
        </w:rPr>
      </w:r>
    </w:p>
    <w:p>
      <w:pPr>
        <w:pStyle w:val="TextBody"/>
        <w:rPr/>
      </w:pPr>
      <w:r>
        <w:rPr>
          <w:b w:val="false"/>
          <w:bCs w:val="false"/>
          <w:i/>
          <w:iCs/>
        </w:rPr>
        <w:t>“</w:t>
      </w:r>
      <w:r>
        <w:rPr>
          <w:b w:val="false"/>
          <w:bCs w:val="false"/>
          <w:i/>
          <w:iCs/>
        </w:rPr>
        <w:t>Good standards of organisational justice feed into good operational practices, respect for human rights, procedural justice and fairness when police officers are dealing with members of the public”</w:t>
      </w:r>
      <w:r>
        <w:rPr/>
        <w:t xml:space="preserve"> </w:t>
      </w:r>
      <w:r>
        <w:rPr>
          <w:b w:val="false"/>
          <w:bCs w:val="false"/>
        </w:rPr>
        <w:t xml:space="preserve">(Beckley, A. 2014).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Police officers are expected to uphold and enforce the law of the country. This does not mean that they are above the law or exempt from the law in anyway. Although detaining somebody is against a persons human rights police should be using the law to justify why they have done this thus making it lawful.</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How do the police uphold organisational justice and how do they make it fair? Police have a department set up called Police Standards Department (PSD) and they are there to look into all aspects of police and handling complaints that come into the police force from members of the public and also members of the force. They look to establish what has happened and the appropriate outcome that is justified and fair. Not all complaints lead to an officer having disciplinary action taken upon them as some complaints can be made out of maliciousness or misinterpretation but will be looked at with the same respect and fact finding measures will be sought (College of Policing, 2014). </w:t>
      </w:r>
    </w:p>
    <w:p>
      <w:pPr>
        <w:pStyle w:val="Normal"/>
        <w:ind w:left="0" w:right="237" w:hanging="0"/>
        <w:jc w:val="both"/>
        <w:rPr>
          <w:sz w:val="24"/>
          <w:szCs w:val="24"/>
        </w:rPr>
      </w:pPr>
      <w:r>
        <w:rPr>
          <w:sz w:val="24"/>
          <w:szCs w:val="24"/>
        </w:rPr>
      </w:r>
    </w:p>
    <w:p>
      <w:pPr>
        <w:pStyle w:val="TextBody"/>
        <w:rPr/>
      </w:pPr>
      <w:r>
        <w:rPr>
          <w:b w:val="false"/>
          <w:bCs w:val="false"/>
          <w:sz w:val="24"/>
          <w:szCs w:val="24"/>
        </w:rPr>
        <w:t xml:space="preserve">Some complaints have to be dealt with differently depending on the seriousness and how it will affect the force. </w:t>
      </w:r>
    </w:p>
    <w:p>
      <w:pPr>
        <w:pStyle w:val="TextBody"/>
        <w:rPr>
          <w:b w:val="false"/>
          <w:b w:val="false"/>
          <w:bCs w:val="false"/>
          <w:i/>
          <w:i/>
          <w:iCs/>
          <w:sz w:val="24"/>
          <w:szCs w:val="24"/>
        </w:rPr>
      </w:pPr>
      <w:r>
        <w:rPr>
          <w:b w:val="false"/>
          <w:bCs w:val="false"/>
          <w:i/>
          <w:iCs/>
          <w:sz w:val="24"/>
          <w:szCs w:val="24"/>
        </w:rPr>
      </w:r>
    </w:p>
    <w:p>
      <w:pPr>
        <w:pStyle w:val="TextBody"/>
        <w:rPr/>
      </w:pPr>
      <w:r>
        <w:rPr>
          <w:b w:val="false"/>
          <w:bCs w:val="false"/>
          <w:i/>
          <w:iCs/>
          <w:sz w:val="24"/>
          <w:szCs w:val="24"/>
        </w:rPr>
        <w:t>“</w:t>
      </w:r>
      <w:r>
        <w:rPr>
          <w:b w:val="false"/>
          <w:bCs w:val="false"/>
          <w:i/>
          <w:iCs/>
        </w:rPr>
        <w:t xml:space="preserve">In total, some 1,316 allegations formed 712 complaint cases made against Gwent Police in the past year” </w:t>
      </w:r>
      <w:r>
        <w:rPr>
          <w:b w:val="false"/>
          <w:bCs w:val="false"/>
          <w:i w:val="false"/>
          <w:iCs w:val="false"/>
        </w:rPr>
        <w:t>(Thomas, N</w:t>
      </w:r>
      <w:r>
        <w:rPr>
          <w:b w:val="false"/>
          <w:bCs w:val="false"/>
          <w:i/>
          <w:iCs/>
        </w:rPr>
        <w:t>. 2021).</w:t>
      </w:r>
    </w:p>
    <w:p>
      <w:pPr>
        <w:pStyle w:val="TextBody"/>
        <w:rPr/>
      </w:pPr>
      <w:r>
        <w:rPr/>
      </w:r>
    </w:p>
    <w:p>
      <w:pPr>
        <w:pStyle w:val="TextBody"/>
        <w:rPr>
          <w:b w:val="false"/>
          <w:b w:val="false"/>
          <w:bCs w:val="false"/>
          <w:sz w:val="24"/>
          <w:szCs w:val="24"/>
        </w:rPr>
      </w:pPr>
      <w:r>
        <w:rPr>
          <w:b w:val="false"/>
          <w:bCs w:val="false"/>
          <w:sz w:val="24"/>
          <w:szCs w:val="24"/>
        </w:rPr>
        <w:t xml:space="preserve">This is the number of complaints Gwent police received during 2020 and 2021. </w:t>
      </w:r>
    </w:p>
    <w:p>
      <w:pPr>
        <w:pStyle w:val="Normal"/>
        <w:ind w:left="0" w:right="237" w:hanging="0"/>
        <w:jc w:val="both"/>
        <w:rPr>
          <w:sz w:val="24"/>
        </w:rPr>
      </w:pPr>
      <w:r>
        <w:rPr>
          <w:b w:val="false"/>
          <w:bCs w:val="false"/>
          <w:sz w:val="24"/>
          <w:szCs w:val="24"/>
        </w:rPr>
        <w:t>each one of these complaints would have been looked into and investigated in the right manner and the outcomes would have varied between them on an individual basis.</w:t>
      </w:r>
    </w:p>
    <w:p>
      <w:pPr>
        <w:pStyle w:val="Normal"/>
        <w:ind w:left="0" w:right="237" w:hanging="0"/>
        <w:jc w:val="both"/>
        <w:rPr>
          <w:rFonts w:ascii="arial" w:hAnsi="arial"/>
          <w:b w:val="false"/>
          <w:b w:val="false"/>
          <w:bCs w:val="false"/>
          <w:sz w:val="24"/>
          <w:szCs w:val="24"/>
        </w:rPr>
      </w:pPr>
      <w:r>
        <w:rPr>
          <w:rFonts w:ascii="arial" w:hAnsi="arial"/>
          <w:b w:val="false"/>
          <w:bCs w:val="false"/>
          <w:sz w:val="24"/>
          <w:szCs w:val="24"/>
        </w:rPr>
      </w:r>
    </w:p>
    <w:p>
      <w:pPr>
        <w:pStyle w:val="Normal"/>
        <w:ind w:left="0" w:right="237" w:hanging="0"/>
        <w:jc w:val="both"/>
        <w:rPr>
          <w:rFonts w:ascii="arial" w:hAnsi="arial"/>
          <w:sz w:val="24"/>
          <w:szCs w:val="24"/>
        </w:rPr>
      </w:pPr>
      <w:r>
        <w:rPr>
          <w:rFonts w:ascii="arial" w:hAnsi="arial"/>
          <w:sz w:val="24"/>
          <w:szCs w:val="24"/>
        </w:rPr>
        <w:t xml:space="preserve">Gwent police have a plan in place to improve it’s equality and diversity within the workplace and also out to the wider community.  This plan is to look at all aspects of policing and what Gwent as a force can do to improve things. Gwent are looking at their recruitment and retention of their staff to ensure that the force is representative of there area that they are policing. The vision is that the force becomes more diverse to bring different experiences and opinions to gain a better understanding to police the community (Gwent Office of Police and Crime Commissioner, 2020). </w:t>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t xml:space="preserve">Their visions also look at educating their officers in areas of concern making them more aware of what is happening and including those who may be discriminated by the system of policing. This is a joint setup from the Chief Constable and the Chief Crime Commissioner to achieve their 4 outcomes in that time frame. </w:t>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t>The first outcome is to provide more support to people with vulnerability. This is to ensure the crime is investigated in the correct manner and to provide the additional support that may be needed for people who are vulnerable. The second outcome is fairness and  legitimacy so that it deals in the right manner and their   responses are proportionate and fair without any discrimination. The third is inclusion access and engagement. This ensures that people with protected characteristics can access what we do and voice their opinion on how best to move forward in the future. Lastly to ensure their workforce is represented in all these manners and are non discriminatory in any way. This strategy is available to the public via different platforms such as online and also written form (Gwent Office of Police and Crime Commissioner, 2020).</w:t>
      </w:r>
    </w:p>
    <w:p>
      <w:pPr>
        <w:pStyle w:val="Normal"/>
        <w:ind w:left="0" w:right="237" w:hanging="0"/>
        <w:jc w:val="both"/>
        <w:rPr>
          <w:rFonts w:ascii="arial" w:hAnsi="arial"/>
          <w:sz w:val="24"/>
          <w:szCs w:val="24"/>
        </w:rPr>
      </w:pPr>
      <w:r>
        <w:rPr>
          <w:rFonts w:ascii="arial" w:hAnsi="arial"/>
          <w:sz w:val="24"/>
          <w:szCs w:val="24"/>
        </w:rPr>
      </w:r>
    </w:p>
    <w:p>
      <w:pPr>
        <w:pStyle w:val="TextBody"/>
        <w:rPr/>
      </w:pPr>
      <w:r>
        <w:rPr>
          <w:b w:val="false"/>
          <w:bCs w:val="false"/>
          <w:i/>
          <w:iCs/>
        </w:rPr>
        <w:t>“</w:t>
      </w:r>
      <w:r>
        <w:rPr>
          <w:b w:val="false"/>
          <w:bCs w:val="false"/>
          <w:i/>
          <w:iCs/>
        </w:rPr>
        <w:t>In the Equality Act 2010, nine characteristics were identified as 'protected characteristics'. These are the characteristics where evidence shows there is still significant discrimination in employment, provision of goods and services and access to services such as education and health.”</w:t>
      </w:r>
      <w:r>
        <w:rPr/>
        <w:t xml:space="preserve"> </w:t>
      </w:r>
      <w:r>
        <w:rPr>
          <w:b w:val="false"/>
          <w:bCs w:val="false"/>
        </w:rPr>
        <w:t xml:space="preserve">(University of Dundee, 2022). </w:t>
      </w:r>
    </w:p>
    <w:p>
      <w:pPr>
        <w:pStyle w:val="TextBody"/>
        <w:rPr>
          <w:b w:val="false"/>
          <w:b w:val="false"/>
          <w:bCs w:val="false"/>
        </w:rPr>
      </w:pPr>
      <w:r>
        <w:rPr>
          <w:b w:val="false"/>
          <w:bCs w:val="false"/>
        </w:rPr>
      </w:r>
    </w:p>
    <w:p>
      <w:pPr>
        <w:pStyle w:val="Normal"/>
        <w:ind w:left="0" w:right="237" w:hanging="0"/>
        <w:jc w:val="both"/>
        <w:rPr>
          <w:rFonts w:ascii="arial" w:hAnsi="arial"/>
          <w:sz w:val="24"/>
          <w:szCs w:val="24"/>
        </w:rPr>
      </w:pPr>
      <w:r>
        <w:rPr>
          <w:rFonts w:ascii="arial" w:hAnsi="arial"/>
          <w:sz w:val="24"/>
          <w:szCs w:val="24"/>
        </w:rPr>
        <w:t>These areas are broken down into age, disability, gender reassignment, marriage and civil partnership, pregnancy and maternity,race, religion or belief, sex and sexual orientation.</w:t>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t xml:space="preserve">Gwent police have also brought in a new method on our working system to record crime with a new hate crime template that needs to be followed if a hate crime has been committed. This ensures officers are following the right path to be able to deal with the crime in an appropriate way that is not discriminatory. This allows for supervisors to also see what the officer has done and what they should do as a next step to deal with this type of situation. </w:t>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t>There are constant updates on the police intranet and training modules to ensure that officers are fully aware and constantly updated. This is a reminder to all and a platform to further their own knowledge and understanding and can be accessed whenever it suits the officer.</w:t>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t>(974)</w:t>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rFonts w:ascii="arial" w:hAnsi="arial"/>
          <w:sz w:val="24"/>
          <w:szCs w:val="24"/>
        </w:rPr>
      </w:pPr>
      <w:r>
        <w:rPr>
          <w:rFonts w:ascii="arial" w:hAnsi="arial"/>
          <w:sz w:val="24"/>
          <w:szCs w:val="24"/>
        </w:rPr>
      </w:r>
    </w:p>
    <w:p>
      <w:pPr>
        <w:pStyle w:val="Normal"/>
        <w:ind w:left="0" w:right="237" w:hanging="0"/>
        <w:jc w:val="both"/>
        <w:rPr/>
      </w:pPr>
      <w:r>
        <w:rPr/>
      </w:r>
    </w:p>
    <w:p>
      <w:pPr>
        <w:pStyle w:val="TextBody"/>
        <w:rPr>
          <w:b w:val="false"/>
          <w:b w:val="false"/>
          <w:bCs w:val="false"/>
        </w:rPr>
      </w:pPr>
      <w:r>
        <w:rPr>
          <w:b w:val="false"/>
          <w:bCs w:val="false"/>
        </w:rPr>
        <w:t>References</w:t>
      </w:r>
    </w:p>
    <w:p>
      <w:pPr>
        <w:pStyle w:val="Normal"/>
        <w:ind w:left="0" w:right="237" w:hanging="0"/>
        <w:jc w:val="both"/>
        <w:rPr/>
      </w:pPr>
      <w:r>
        <w:rPr/>
      </w:r>
    </w:p>
    <w:p>
      <w:pPr>
        <w:pStyle w:val="TextBody"/>
        <w:rPr>
          <w:b w:val="false"/>
          <w:b w:val="false"/>
          <w:bCs w:val="false"/>
        </w:rPr>
      </w:pPr>
      <w:r>
        <w:rPr>
          <w:b w:val="false"/>
          <w:bCs w:val="false"/>
        </w:rPr>
        <w:t xml:space="preserve">Beckley, A. 2014. </w:t>
      </w:r>
      <w:r>
        <w:rPr>
          <w:b w:val="false"/>
          <w:bCs w:val="false"/>
          <w:i/>
          <w:iCs/>
        </w:rPr>
        <w:t>Organisational Justice: Is the Police Service Ready for it?. J</w:t>
      </w:r>
      <w:r>
        <w:rPr>
          <w:b w:val="false"/>
          <w:bCs w:val="false"/>
          <w:i w:val="false"/>
          <w:iCs w:val="false"/>
        </w:rPr>
        <w:t xml:space="preserve">ournal of Policing, Intelligence and Counter Terrorism. Volume 9. Issue 2. pp 176-190. </w:t>
      </w:r>
      <w:hyperlink r:id="rId5">
        <w:r>
          <w:rPr>
            <w:rStyle w:val="InternetLink"/>
            <w:b w:val="false"/>
            <w:bCs w:val="false"/>
            <w:i w:val="false"/>
            <w:iCs w:val="false"/>
          </w:rPr>
          <w:t>https://doi.org/10.1080/18335330.2014.940820</w:t>
        </w:r>
      </w:hyperlink>
      <w:r>
        <w:rPr>
          <w:b w:val="false"/>
          <w:bCs w:val="false"/>
          <w:i w:val="false"/>
          <w:iCs w:val="false"/>
        </w:rPr>
        <w:t xml:space="preserve"> [Accessed 06/06/2022].</w:t>
      </w:r>
    </w:p>
    <w:p>
      <w:pPr>
        <w:pStyle w:val="TextBody"/>
        <w:rPr>
          <w:i w:val="false"/>
          <w:i w:val="false"/>
          <w:iCs w:val="false"/>
        </w:rPr>
      </w:pPr>
      <w:r>
        <w:rPr>
          <w:i w:val="false"/>
          <w:iCs w:val="false"/>
        </w:rPr>
      </w:r>
    </w:p>
    <w:p>
      <w:pPr>
        <w:pStyle w:val="TextBody"/>
        <w:rPr>
          <w:b w:val="false"/>
          <w:b w:val="false"/>
          <w:bCs w:val="false"/>
        </w:rPr>
      </w:pPr>
      <w:r>
        <w:rPr>
          <w:b w:val="false"/>
          <w:bCs w:val="false"/>
          <w:i w:val="false"/>
          <w:iCs w:val="false"/>
        </w:rPr>
        <w:t xml:space="preserve">College of Policing Limited. 2014. </w:t>
      </w:r>
      <w:r>
        <w:rPr>
          <w:b w:val="false"/>
          <w:bCs w:val="false"/>
          <w:i/>
          <w:iCs/>
        </w:rPr>
        <w:t xml:space="preserve">The Code of Ethics: Organisational Model. </w:t>
      </w:r>
      <w:r>
        <w:rPr>
          <w:b w:val="false"/>
          <w:bCs w:val="false"/>
          <w:i w:val="false"/>
          <w:iCs w:val="false"/>
        </w:rPr>
        <w:t xml:space="preserve">Available at: </w:t>
      </w:r>
      <w:hyperlink r:id="rId6">
        <w:r>
          <w:rPr>
            <w:rStyle w:val="InternetLink"/>
            <w:b w:val="false"/>
            <w:bCs w:val="false"/>
            <w:i/>
            <w:iCs/>
          </w:rPr>
          <w:t>https://assets.college.police.uk/s3fs-public/2021-02/code_supportingdocs_organisationalmodel.pdf</w:t>
        </w:r>
      </w:hyperlink>
      <w:r>
        <w:rPr>
          <w:b w:val="false"/>
          <w:bCs w:val="false"/>
          <w:i/>
          <w:iCs/>
        </w:rPr>
        <w:t xml:space="preserve"> </w:t>
      </w:r>
      <w:r>
        <w:rPr>
          <w:b w:val="false"/>
          <w:bCs w:val="false"/>
          <w:i w:val="false"/>
          <w:iCs w:val="false"/>
        </w:rPr>
        <w:t xml:space="preserve">[Accessed 06/06/2022]. </w:t>
      </w:r>
    </w:p>
    <w:p>
      <w:pPr>
        <w:pStyle w:val="TextBody"/>
        <w:rPr>
          <w:i w:val="false"/>
          <w:i w:val="false"/>
          <w:iCs w:val="false"/>
        </w:rPr>
      </w:pPr>
      <w:r>
        <w:rPr>
          <w:i w:val="false"/>
          <w:iCs w:val="false"/>
        </w:rPr>
      </w:r>
    </w:p>
    <w:p>
      <w:pPr>
        <w:pStyle w:val="TextBody"/>
        <w:rPr>
          <w:b w:val="false"/>
          <w:b w:val="false"/>
          <w:bCs w:val="false"/>
        </w:rPr>
      </w:pPr>
      <w:r>
        <w:rPr>
          <w:b w:val="false"/>
          <w:bCs w:val="false"/>
          <w:i w:val="false"/>
          <w:iCs w:val="false"/>
        </w:rPr>
        <w:t xml:space="preserve">College of Policing Limited. 2016. </w:t>
      </w:r>
      <w:r>
        <w:rPr>
          <w:b w:val="false"/>
          <w:bCs w:val="false"/>
          <w:i/>
          <w:iCs/>
        </w:rPr>
        <w:t xml:space="preserve">Competency and Values Framework for Policing: Overview of Framework. </w:t>
      </w:r>
      <w:r>
        <w:rPr>
          <w:b w:val="false"/>
          <w:bCs w:val="false"/>
          <w:i w:val="false"/>
          <w:iCs w:val="false"/>
        </w:rPr>
        <w:t xml:space="preserve">Available at: </w:t>
      </w:r>
      <w:hyperlink r:id="rId7">
        <w:r>
          <w:rPr>
            <w:rStyle w:val="InternetLink"/>
            <w:b w:val="false"/>
            <w:bCs w:val="false"/>
            <w:i w:val="false"/>
            <w:iCs w:val="false"/>
          </w:rPr>
          <w:t>https://d17wy4t6ps30xx.cloudfront.net/production/uploads/2017/09/Competency-and-Values-Framework-for-Policing_4.11.16.pdf</w:t>
        </w:r>
      </w:hyperlink>
      <w:r>
        <w:rPr>
          <w:b w:val="false"/>
          <w:bCs w:val="false"/>
          <w:i w:val="false"/>
          <w:iCs w:val="false"/>
        </w:rPr>
        <w:t xml:space="preserve"> [Accessed 06/06/2022]. </w:t>
      </w:r>
    </w:p>
    <w:p>
      <w:pPr>
        <w:pStyle w:val="TextBody"/>
        <w:rPr>
          <w:i w:val="false"/>
          <w:i w:val="false"/>
          <w:iCs w:val="false"/>
        </w:rPr>
      </w:pPr>
      <w:r>
        <w:rPr>
          <w:i w:val="false"/>
          <w:iCs w:val="false"/>
        </w:rPr>
      </w:r>
    </w:p>
    <w:p>
      <w:pPr>
        <w:pStyle w:val="TextBody"/>
        <w:rPr>
          <w:b w:val="false"/>
          <w:b w:val="false"/>
          <w:bCs w:val="false"/>
        </w:rPr>
      </w:pPr>
      <w:r>
        <w:rPr>
          <w:b w:val="false"/>
          <w:bCs w:val="false"/>
          <w:i w:val="false"/>
          <w:iCs w:val="false"/>
        </w:rPr>
        <w:t xml:space="preserve">Gwent Office of Police and Crime Commissioner. 2020. </w:t>
      </w:r>
      <w:r>
        <w:rPr>
          <w:b w:val="false"/>
          <w:bCs w:val="false"/>
          <w:i/>
          <w:iCs/>
        </w:rPr>
        <w:t xml:space="preserve">Joint Strategic Equality Plan 2020/2024. </w:t>
      </w:r>
      <w:r>
        <w:rPr>
          <w:b w:val="false"/>
          <w:bCs w:val="false"/>
          <w:i w:val="false"/>
          <w:iCs w:val="false"/>
        </w:rPr>
        <w:t xml:space="preserve">Available at: </w:t>
      </w:r>
      <w:hyperlink r:id="rId8">
        <w:r>
          <w:rPr>
            <w:rStyle w:val="InternetLink"/>
            <w:b w:val="false"/>
            <w:bCs w:val="false"/>
            <w:i w:val="false"/>
            <w:iCs w:val="false"/>
          </w:rPr>
          <w:t>https://www.gwent.police.uk/SysSiteAssets/media/downloads/gwent/equality-and-diversity/joint-strategic-equality-plan-2020.pdf</w:t>
        </w:r>
      </w:hyperlink>
      <w:r>
        <w:rPr>
          <w:b w:val="false"/>
          <w:bCs w:val="false"/>
          <w:i w:val="false"/>
          <w:iCs w:val="false"/>
        </w:rPr>
        <w:t xml:space="preserve"> [Accessed 06/06/2022]. </w:t>
      </w:r>
    </w:p>
    <w:p>
      <w:pPr>
        <w:pStyle w:val="TextBody"/>
        <w:rPr>
          <w:i w:val="false"/>
          <w:i w:val="false"/>
          <w:iCs w:val="false"/>
        </w:rPr>
      </w:pPr>
      <w:r>
        <w:rPr>
          <w:i w:val="false"/>
          <w:iCs w:val="false"/>
        </w:rPr>
      </w:r>
    </w:p>
    <w:p>
      <w:pPr>
        <w:pStyle w:val="TextBody"/>
        <w:rPr>
          <w:b w:val="false"/>
          <w:b w:val="false"/>
          <w:bCs w:val="false"/>
        </w:rPr>
      </w:pPr>
      <w:r>
        <w:rPr>
          <w:b w:val="false"/>
          <w:bCs w:val="false"/>
          <w:i w:val="false"/>
          <w:iCs w:val="false"/>
        </w:rPr>
        <w:t xml:space="preserve">University of Dundee. 2022. </w:t>
      </w:r>
      <w:r>
        <w:rPr>
          <w:b w:val="false"/>
          <w:bCs w:val="false"/>
          <w:i/>
          <w:iCs/>
        </w:rPr>
        <w:t xml:space="preserve">The Protected Characteristics Explained. </w:t>
      </w:r>
      <w:r>
        <w:rPr>
          <w:b w:val="false"/>
          <w:bCs w:val="false"/>
          <w:i w:val="false"/>
          <w:iCs w:val="false"/>
        </w:rPr>
        <w:t xml:space="preserve">Available at: </w:t>
      </w:r>
      <w:hyperlink r:id="rId9">
        <w:r>
          <w:rPr>
            <w:rStyle w:val="InternetLink"/>
            <w:b w:val="false"/>
            <w:bCs w:val="false"/>
            <w:i w:val="false"/>
            <w:iCs w:val="false"/>
          </w:rPr>
          <w:t>https://www.dundee.ac.uk/guides/protected-characteristics-explained</w:t>
        </w:r>
      </w:hyperlink>
      <w:r>
        <w:rPr>
          <w:b w:val="false"/>
          <w:bCs w:val="false"/>
          <w:i w:val="false"/>
          <w:iCs w:val="false"/>
        </w:rPr>
        <w:t xml:space="preserve"> [Accessed 06/06/2022]. </w:t>
      </w:r>
    </w:p>
    <w:p>
      <w:pPr>
        <w:pStyle w:val="Normal"/>
        <w:ind w:left="0" w:right="237" w:hanging="0"/>
        <w:jc w:val="both"/>
        <w:rPr/>
      </w:pPr>
      <w:r>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sectPr>
          <w:footerReference w:type="default" r:id="rId10"/>
          <w:type w:val="nextPage"/>
          <w:pgSz w:w="11906" w:h="16838"/>
          <w:pgMar w:left="1440" w:right="1440" w:header="0" w:top="1440" w:footer="720" w:bottom="1440" w:gutter="0"/>
          <w:pgNumType w:fmt="decimal"/>
          <w:formProt w:val="false"/>
          <w:textDirection w:val="lrTb"/>
          <w:docGrid w:type="default" w:linePitch="272" w:charSpace="8192"/>
        </w:sectPr>
        <w:pStyle w:val="Normal"/>
        <w:ind w:left="0" w:right="237" w:hanging="0"/>
        <w:jc w:val="both"/>
        <w:rPr>
          <w:sz w:val="24"/>
          <w:szCs w:val="24"/>
        </w:rPr>
      </w:pPr>
      <w:r>
        <w:rPr>
          <w:sz w:val="24"/>
          <w:szCs w:val="24"/>
        </w:rPr>
      </w:r>
    </w:p>
    <w:p>
      <w:pPr>
        <w:pStyle w:val="Normal"/>
        <w:ind w:left="0" w:right="237" w:hanging="0"/>
        <w:jc w:val="center"/>
        <w:rPr>
          <w:b/>
          <w:b/>
          <w:sz w:val="24"/>
          <w:szCs w:val="24"/>
        </w:rPr>
      </w:pPr>
      <w:r>
        <w:rPr>
          <w:b/>
          <w:sz w:val="24"/>
          <w:szCs w:val="24"/>
        </w:rPr>
        <w:t>Task 2</w:t>
      </w:r>
    </w:p>
    <w:p>
      <w:pPr>
        <w:pStyle w:val="Normal"/>
        <w:ind w:left="0" w:right="237" w:hanging="0"/>
        <w:jc w:val="both"/>
        <w:rPr>
          <w:b/>
          <w:b/>
          <w:sz w:val="24"/>
          <w:szCs w:val="24"/>
        </w:rPr>
      </w:pPr>
      <w:r>
        <w:rPr>
          <w:b/>
          <w:sz w:val="24"/>
          <w:szCs w:val="24"/>
        </w:rPr>
      </w:r>
    </w:p>
    <w:p>
      <w:pPr>
        <w:pStyle w:val="Normal"/>
        <w:ind w:left="0" w:right="237" w:hanging="0"/>
        <w:jc w:val="both"/>
        <w:rPr>
          <w:b/>
          <w:b/>
          <w:color w:val="auto"/>
          <w:sz w:val="24"/>
          <w:szCs w:val="24"/>
        </w:rPr>
      </w:pPr>
      <w:r>
        <w:rPr>
          <w:b/>
          <w:color w:val="auto"/>
          <w:sz w:val="24"/>
          <w:szCs w:val="24"/>
        </w:rPr>
        <w:t xml:space="preserve">Relevant areas of the National Policing Curriculum: </w:t>
      </w:r>
    </w:p>
    <w:p>
      <w:pPr>
        <w:pStyle w:val="Normal"/>
        <w:overflowPunct w:val="false"/>
        <w:spacing w:lineRule="auto" w:line="259"/>
        <w:ind w:left="0" w:right="237" w:hanging="0"/>
        <w:jc w:val="both"/>
        <w:textAlignment w:val="auto"/>
        <w:rPr>
          <w:b/>
          <w:b/>
          <w:sz w:val="24"/>
          <w:szCs w:val="24"/>
        </w:rPr>
      </w:pPr>
      <w:r>
        <w:rPr>
          <w:b/>
          <w:bCs/>
          <w:color w:val="auto"/>
          <w:sz w:val="24"/>
          <w:szCs w:val="24"/>
        </w:rPr>
        <w:t>Evidence based policing,</w:t>
      </w:r>
      <w:r>
        <w:rPr>
          <w:b/>
          <w:bCs/>
          <w:color w:val="auto"/>
          <w:sz w:val="24"/>
          <w:szCs w:val="24"/>
          <w:lang w:val="en-US"/>
        </w:rPr>
        <w:t xml:space="preserve"> Research Methods and Skills</w:t>
      </w:r>
      <w:r>
        <w:rPr>
          <w:b/>
          <w:bCs/>
          <w:color w:val="auto"/>
          <w:sz w:val="24"/>
          <w:szCs w:val="24"/>
        </w:rPr>
        <w:t xml:space="preserve">, </w:t>
      </w:r>
      <w:r>
        <w:rPr>
          <w:b/>
          <w:bCs/>
          <w:color w:val="auto"/>
          <w:sz w:val="24"/>
          <w:szCs w:val="24"/>
          <w:lang w:val="en-US"/>
        </w:rPr>
        <w:t>Decision-making and Discretion</w:t>
      </w:r>
      <w:r>
        <w:rPr>
          <w:b/>
          <w:bCs/>
          <w:color w:val="auto"/>
          <w:sz w:val="24"/>
          <w:szCs w:val="24"/>
        </w:rPr>
        <w:t> </w:t>
      </w:r>
    </w:p>
    <w:p>
      <w:pPr>
        <w:pStyle w:val="Normal"/>
        <w:ind w:left="0" w:right="237" w:hanging="0"/>
        <w:jc w:val="both"/>
        <w:rPr>
          <w:sz w:val="24"/>
          <w:szCs w:val="24"/>
        </w:rPr>
      </w:pPr>
      <w:r>
        <w:rPr>
          <w:sz w:val="24"/>
          <w:szCs w:val="24"/>
        </w:rPr>
      </w:r>
    </w:p>
    <w:p>
      <w:pPr>
        <w:pStyle w:val="Normal"/>
        <w:ind w:left="0" w:right="237" w:hanging="0"/>
        <w:jc w:val="both"/>
        <w:rPr>
          <w:b/>
          <w:b/>
          <w:sz w:val="24"/>
          <w:szCs w:val="24"/>
        </w:rPr>
      </w:pPr>
      <w:r>
        <w:rPr>
          <w:sz w:val="24"/>
          <w:szCs w:val="24"/>
        </w:rPr>
        <w:t xml:space="preserve">You must choose </w:t>
      </w:r>
      <w:r>
        <w:rPr>
          <w:b/>
          <w:bCs/>
          <w:sz w:val="24"/>
          <w:szCs w:val="24"/>
          <w:u w:val="single"/>
        </w:rPr>
        <w:t>a policing incident</w:t>
      </w:r>
      <w:r>
        <w:rPr>
          <w:b/>
          <w:bCs/>
          <w:sz w:val="24"/>
          <w:szCs w:val="24"/>
        </w:rPr>
        <w:t xml:space="preserve"> </w:t>
      </w:r>
      <w:r>
        <w:rPr>
          <w:sz w:val="24"/>
          <w:szCs w:val="24"/>
        </w:rPr>
        <w:t>involving a partnership approach which you played a significant role with an offender/service</w:t>
      </w:r>
      <w:r>
        <w:rPr>
          <w:b/>
          <w:bCs/>
          <w:sz w:val="24"/>
          <w:szCs w:val="24"/>
        </w:rPr>
        <w:t xml:space="preserve"> </w:t>
      </w:r>
      <w:r>
        <w:rPr>
          <w:sz w:val="24"/>
          <w:szCs w:val="24"/>
        </w:rPr>
        <w:t xml:space="preserve">user/victim and reflect on what happened. </w:t>
      </w:r>
    </w:p>
    <w:p>
      <w:pPr>
        <w:pStyle w:val="Normal"/>
        <w:ind w:left="0" w:right="237" w:hanging="0"/>
        <w:jc w:val="both"/>
        <w:rPr>
          <w:b/>
          <w:b/>
          <w:sz w:val="24"/>
          <w:szCs w:val="24"/>
        </w:rPr>
      </w:pPr>
      <w:r>
        <w:rPr>
          <w:b/>
          <w:sz w:val="24"/>
          <w:szCs w:val="24"/>
        </w:rPr>
      </w:r>
    </w:p>
    <w:tbl>
      <w:tblPr>
        <w:tblW w:w="9016" w:type="dxa"/>
        <w:jc w:val="left"/>
        <w:tblInd w:w="108" w:type="dxa"/>
        <w:tblCellMar>
          <w:top w:w="0" w:type="dxa"/>
          <w:left w:w="108" w:type="dxa"/>
          <w:bottom w:w="0" w:type="dxa"/>
          <w:right w:w="108" w:type="dxa"/>
        </w:tblCellMar>
      </w:tblPr>
      <w:tblGrid>
        <w:gridCol w:w="9016"/>
      </w:tblGrid>
      <w:tr>
        <w:trPr/>
        <w:tc>
          <w:tcPr>
            <w:tcW w:w="9016" w:type="dxa"/>
            <w:tcBorders>
              <w:top w:val="single" w:sz="4" w:space="0" w:color="000000"/>
              <w:left w:val="single" w:sz="4" w:space="0" w:color="000000"/>
              <w:bottom w:val="single" w:sz="4" w:space="0" w:color="000000"/>
              <w:right w:val="single" w:sz="4" w:space="0" w:color="000000"/>
            </w:tcBorders>
          </w:tcPr>
          <w:p>
            <w:pPr>
              <w:pStyle w:val="Normal"/>
              <w:overflowPunct w:val="false"/>
              <w:textAlignment w:val="auto"/>
              <w:rPr>
                <w:rStyle w:val="Normaltextrun"/>
                <w:sz w:val="18"/>
                <w:szCs w:val="18"/>
                <w:lang w:val="en-US"/>
              </w:rPr>
            </w:pPr>
            <w:r>
              <w:rPr>
                <w:sz w:val="18"/>
                <w:szCs w:val="18"/>
                <w:lang w:val="en-US"/>
              </w:rPr>
            </w:r>
          </w:p>
          <w:p>
            <w:pPr>
              <w:pStyle w:val="Normal"/>
              <w:ind w:left="0" w:right="237" w:hanging="0"/>
              <w:jc w:val="both"/>
              <w:rPr>
                <w:b/>
                <w:b/>
                <w:sz w:val="24"/>
                <w:szCs w:val="24"/>
              </w:rPr>
            </w:pPr>
            <w:r>
              <w:rPr>
                <w:b/>
                <w:bCs/>
                <w:sz w:val="24"/>
                <w:szCs w:val="24"/>
              </w:rPr>
              <w:t>Give a brief description</w:t>
            </w:r>
            <w:r>
              <w:rPr>
                <w:sz w:val="24"/>
                <w:szCs w:val="24"/>
              </w:rPr>
              <w:t xml:space="preserve"> of the problem including social and legislative contexts and any relevant cultural, ethnicity and language issues. </w:t>
            </w:r>
          </w:p>
          <w:p>
            <w:pPr>
              <w:pStyle w:val="Normal"/>
              <w:overflowPunct w:val="false"/>
              <w:textAlignment w:val="auto"/>
              <w:rPr>
                <w:sz w:val="24"/>
                <w:szCs w:val="24"/>
              </w:rPr>
            </w:pPr>
            <w:r>
              <w:rPr>
                <w:sz w:val="24"/>
                <w:szCs w:val="24"/>
              </w:rPr>
            </w:r>
          </w:p>
          <w:p>
            <w:pPr>
              <w:pStyle w:val="Normal"/>
              <w:overflowPunct w:val="false"/>
              <w:textAlignment w:val="auto"/>
              <w:rPr>
                <w:sz w:val="24"/>
                <w:szCs w:val="24"/>
              </w:rPr>
            </w:pPr>
            <w:r>
              <w:rPr>
                <w:sz w:val="24"/>
                <w:szCs w:val="24"/>
              </w:rPr>
              <w:t xml:space="preserve">What options did you consider when adopting a multi-agency approach? </w:t>
            </w:r>
          </w:p>
          <w:p>
            <w:pPr>
              <w:pStyle w:val="Normal"/>
              <w:overflowPunct w:val="false"/>
              <w:textAlignment w:val="auto"/>
              <w:rPr>
                <w:sz w:val="24"/>
                <w:szCs w:val="24"/>
              </w:rPr>
            </w:pPr>
            <w:r>
              <w:rPr>
                <w:sz w:val="24"/>
                <w:szCs w:val="24"/>
              </w:rPr>
            </w:r>
          </w:p>
          <w:p>
            <w:pPr>
              <w:pStyle w:val="Normal"/>
              <w:overflowPunct w:val="false"/>
              <w:textAlignment w:val="auto"/>
              <w:rPr>
                <w:sz w:val="24"/>
                <w:szCs w:val="24"/>
              </w:rPr>
            </w:pPr>
            <w:r>
              <w:rPr>
                <w:sz w:val="24"/>
                <w:szCs w:val="24"/>
              </w:rPr>
              <w:t>How did you decide on the most appropriate option to mitigate or resolve the problem and how did you evaluate the available evidence?</w:t>
            </w:r>
          </w:p>
          <w:p>
            <w:pPr>
              <w:pStyle w:val="Normal"/>
              <w:ind w:left="0" w:right="237" w:hanging="0"/>
              <w:rPr>
                <w:sz w:val="24"/>
                <w:szCs w:val="24"/>
              </w:rPr>
            </w:pPr>
            <w:r>
              <w:rPr>
                <w:sz w:val="24"/>
                <w:szCs w:val="24"/>
              </w:rPr>
            </w:r>
          </w:p>
          <w:p>
            <w:pPr>
              <w:pStyle w:val="Normal"/>
              <w:overflowPunct w:val="false"/>
              <w:textAlignment w:val="auto"/>
              <w:rPr>
                <w:sz w:val="24"/>
                <w:szCs w:val="24"/>
              </w:rPr>
            </w:pPr>
            <w:r>
              <w:rPr>
                <w:sz w:val="24"/>
                <w:szCs w:val="24"/>
              </w:rPr>
              <w:t>Justify your intervention and highlight potential consequences.</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b/>
                <w:b/>
                <w:sz w:val="24"/>
                <w:szCs w:val="24"/>
              </w:rPr>
            </w:pPr>
            <w:r>
              <w:rPr>
                <w:sz w:val="24"/>
                <w:szCs w:val="24"/>
              </w:rPr>
              <w:t xml:space="preserve">1500 words </w:t>
            </w:r>
            <w:r>
              <w:rPr>
                <w:i/>
                <w:iCs/>
                <w:sz w:val="24"/>
                <w:szCs w:val="24"/>
              </w:rPr>
              <w:t>(+/- 10%: include your actual word count at the end of each section)</w:t>
            </w:r>
          </w:p>
        </w:tc>
      </w:tr>
    </w:tbl>
    <w:p>
      <w:pPr>
        <w:pStyle w:val="Normal"/>
        <w:ind w:left="0" w:right="237" w:hanging="0"/>
        <w:jc w:val="both"/>
        <w:rPr>
          <w:sz w:val="24"/>
          <w:szCs w:val="24"/>
        </w:rPr>
      </w:pPr>
      <w:r>
        <w:rPr>
          <w:sz w:val="24"/>
          <w:szCs w:val="24"/>
        </w:rPr>
      </w:r>
    </w:p>
    <w:p>
      <w:pPr>
        <w:pStyle w:val="Normal"/>
        <w:ind w:left="0" w:right="237" w:hanging="0"/>
        <w:jc w:val="both"/>
        <w:rPr>
          <w:b/>
          <w:b/>
          <w:sz w:val="24"/>
          <w:szCs w:val="24"/>
        </w:rPr>
      </w:pPr>
      <w:r>
        <w:rPr>
          <w:b/>
          <w:sz w:val="24"/>
          <w:szCs w:val="24"/>
        </w:rPr>
        <w:t>ANSWER:</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In this question I will be talking about an incident that I have dealt with where I have been able to resolve the issue without the need for a criminal trail or criminalisation.</w:t>
      </w:r>
    </w:p>
    <w:p>
      <w:pPr>
        <w:pStyle w:val="Normal"/>
        <w:ind w:left="0" w:right="237" w:hanging="0"/>
        <w:jc w:val="both"/>
        <w:rPr>
          <w:sz w:val="24"/>
          <w:szCs w:val="24"/>
        </w:rPr>
      </w:pPr>
      <w:r>
        <w:rPr>
          <w:sz w:val="24"/>
          <w:szCs w:val="24"/>
        </w:rPr>
      </w:r>
    </w:p>
    <w:p>
      <w:pPr>
        <w:pStyle w:val="Normal"/>
        <w:ind w:left="0" w:right="237" w:hanging="0"/>
        <w:jc w:val="both"/>
        <w:rPr>
          <w:b/>
          <w:b/>
          <w:sz w:val="24"/>
          <w:szCs w:val="24"/>
        </w:rPr>
      </w:pPr>
      <w:r>
        <w:rPr>
          <w:rFonts w:cs="Arial"/>
          <w:color w:val="000000"/>
          <w:sz w:val="24"/>
          <w:szCs w:val="24"/>
          <w:lang w:eastAsia="en-GB"/>
        </w:rPr>
        <w:t>A scheduled appointment</w:t>
      </w:r>
      <w:r>
        <w:rPr>
          <w:sz w:val="24"/>
          <w:szCs w:val="24"/>
        </w:rPr>
        <w:t xml:space="preserve"> call was arranged in response to a reporting person wanted to report a theft of a horse. This was a call that I had not experienced before, where livestock property had been stolen but the concept of theft was the same as any other.</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After establishing the details of the call with the person it appeared that another police force was also dealing with another victim who had made a counter complaint of a horse theft and it also transpired that there was a third owner making the same accusation. After getting details it appeared that there were three victims and coincidently they were also three suspects.</w:t>
      </w:r>
    </w:p>
    <w:p>
      <w:pPr>
        <w:pStyle w:val="Normal"/>
        <w:ind w:left="0" w:right="237" w:hanging="0"/>
        <w:jc w:val="both"/>
        <w:rPr>
          <w:sz w:val="24"/>
          <w:szCs w:val="24"/>
        </w:rPr>
      </w:pPr>
      <w:r>
        <w:rPr>
          <w:sz w:val="24"/>
          <w:szCs w:val="24"/>
        </w:rPr>
      </w:r>
    </w:p>
    <w:p>
      <w:pPr>
        <w:pStyle w:val="TextBody"/>
        <w:rPr>
          <w:b/>
          <w:b/>
          <w:sz w:val="24"/>
          <w:szCs w:val="24"/>
        </w:rPr>
      </w:pPr>
      <w:r>
        <w:rPr>
          <w:b w:val="false"/>
          <w:bCs w:val="false"/>
        </w:rPr>
        <w:t>This call took a long time to establish what was actually happening and all three victim/suspects all lived in different areas not remotely close to my force area. This meant that I would have to work closely with other police forces that appeared to be on different shift plans. Other police forces also do not share the same platforms in which they record there crimes and documentation linked to such crimes making it an obstacle to be able to share information provided. However, by following the guidelines set out by the Wales Accord on the Sharing of Personal Information (WASPI) I was able to share personal information effectively and lawfully (WASPI, 2018).</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Another consideration that I had was knowing that there are a lot of laws related to the selling and buying of horses that I was not fully aware of. This then required me to research further information in regard to this. This led me to interactions with the Rural Crime department within Gwent police who were able to be a useful resource into this type of crime and the legislations behind it. Being able to have a team set up in regards to this sort of crime is a useful  way of further understanding and information. This can then be utilised by all officers to further their own knowledge and experiences. Further to conversations they were able to guide me around the knowledge of horse passports, what they do, legislations and rules around buying and selling horses (</w:t>
      </w:r>
      <w:hyperlink r:id="rId11">
        <w:r>
          <w:rPr>
            <w:rStyle w:val="InternetLink"/>
            <w:sz w:val="24"/>
            <w:szCs w:val="24"/>
          </w:rPr>
          <w:t>gov.uk</w:t>
        </w:r>
      </w:hyperlink>
      <w:r>
        <w:rPr>
          <w:sz w:val="24"/>
          <w:szCs w:val="24"/>
        </w:rPr>
        <w:t xml:space="preserve">. No date).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With this information I was able to gain a better understanding of the legislative contexts in which I was dealing with. Another aspect which posed a challenge was being able to effectively communicate with all parties without face to face communication. As an officer I find that being able to speak to someone face to face rather than on the phone allows me get more of an understanding of what people are saying, and feeling.</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After establishing with all parties what had happened I then had to try and find a solution that would be justified and fair and was in the public interest. To criminalise all three people was one of the options. The first lady had sold a horse without giving the passport which is an offence, the second sold that horse on again without documentation and not fulfilling her financial agreement (which is a civil matter) and the third for taking the horse knowing it had no documents with the intention of vigilante justice to take it and return it to the first owner without payment thus depriving the other of it permanently.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The second option that I considered was to be able to use a community resolution where all parties would return/pay for the horse in which case the first sale would be complete and the passport supplied to the other person, the second lady would then own this horse with no arguments over ownership and her sale to the third party could then be completed as contracted and the passport supplied back over to that party making it legal and following all guidelines.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With both options available I have then sought advice from my supervisor to see if there were any reasons that both options would not be a fair and proportionate approach. It was decided that either option was viable and that the decision would come down to myself to make that decision. I have then informed the other officers in the other force of my options and again have agreed both could be suitable and that they were happy for me to decide as the officer that has done the most work on this case.</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After considerations I have decided to use my discretion due to factors such as, no previous convictions on all parties, no involvement in recorded crimes and the welfare of the animal in question. This lead me to use a community resolution being given for all three parties. I then organised the date and time that all were available to be able to complete the necessary work that needed to be done and and once all had been completed they would all go their separate ways.</w:t>
      </w:r>
    </w:p>
    <w:p>
      <w:pPr>
        <w:pStyle w:val="Normal"/>
        <w:ind w:left="0" w:right="237" w:hanging="0"/>
        <w:jc w:val="both"/>
        <w:rPr>
          <w:sz w:val="24"/>
          <w:szCs w:val="24"/>
        </w:rPr>
      </w:pPr>
      <w:r>
        <w:rPr>
          <w:sz w:val="24"/>
          <w:szCs w:val="24"/>
        </w:rPr>
      </w:r>
    </w:p>
    <w:p>
      <w:pPr>
        <w:pStyle w:val="TextBody"/>
        <w:rPr>
          <w:b/>
          <w:b/>
          <w:sz w:val="24"/>
          <w:szCs w:val="24"/>
        </w:rPr>
      </w:pPr>
      <w:r>
        <w:rPr>
          <w:b w:val="false"/>
          <w:bCs w:val="false"/>
          <w:i/>
          <w:iCs/>
        </w:rPr>
        <w:t>“</w:t>
      </w:r>
      <w:r>
        <w:rPr>
          <w:b w:val="false"/>
          <w:bCs w:val="false"/>
          <w:i/>
          <w:iCs/>
        </w:rPr>
        <w:t>Police culture’ tends to be seen negatively, as a contrary and perverse influence upon the ‘proper’ exercise of police discretion”</w:t>
      </w:r>
      <w:r>
        <w:rPr>
          <w:b w:val="false"/>
          <w:bCs w:val="false"/>
        </w:rPr>
        <w:t xml:space="preserve"> (Goldsmith, A. 2010).</w:t>
      </w:r>
    </w:p>
    <w:p>
      <w:pPr>
        <w:pStyle w:val="TextBody"/>
        <w:rPr>
          <w:b w:val="false"/>
          <w:b w:val="false"/>
          <w:bCs w:val="false"/>
        </w:rPr>
      </w:pPr>
      <w:r>
        <w:rPr>
          <w:b w:val="false"/>
          <w:bCs w:val="false"/>
        </w:rPr>
      </w:r>
    </w:p>
    <w:p>
      <w:pPr>
        <w:pStyle w:val="TextBody"/>
        <w:rPr>
          <w:b/>
          <w:b/>
          <w:sz w:val="24"/>
          <w:szCs w:val="24"/>
        </w:rPr>
      </w:pPr>
      <w:r>
        <w:rPr>
          <w:b w:val="false"/>
          <w:bCs w:val="false"/>
        </w:rPr>
        <w:t xml:space="preserve">In exercising police discretion there is a need to ensure that it is done for the right purpose and not influenced by any means of bias. My decision was made in regards to the criminal backgrounds, seriousness of the offence and public perception.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Looking back upon this incident there are many areas of concern and availability within the case for there to be consequences. The process did involve emphasis on trust between all parties involved. This could have lead to a party to sustain financial loss and become a sole victim. This could have then lead to the perception of police being tarnished if as this may have occurred and the trust that these people may have for the police to be diminished. This could then have an impact on the community in which they live which would not only effect one community but three communities that would hear of the police in a negative manner.</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I felt that my intervention was key to this being resolved. I felt that I had been able to build a rapport with all involved and become a figure that they could trust in and understand that I wanted the best outcome for all involved. I felt that by showing them that I was willing to research laws around the selling and buying of horses and reinforce their awareness of such laws, there was a mutual respect. I feel that without my intervention this may have lead to the criminalisation of all involved when there was a better outcome that would have a positive impact on everyone including their respective community.</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This case was finalised in a positive way but it did not come about because of luck, it came about with careful planning, effective communication and mitigation from myself. No party was guided towards this resolution and were all in favour of the matter being dealt with in this way. The aim of Gwent police is to be able to police in a way that represents what is in the communities best interest.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This can hopefully lead to all three parties having a positive interaction with the police and that they feel it was dealt with effectively, compassionately and with a humanised side that had the interest to protect and serve all involved. This can then hopefully be passed onto their communities in which they live and help in the public building further trust in there police force. There is also now trust built between other police forces that were involved that lead to an outcome that all involved in where happy. </w:t>
      </w:r>
      <w:r>
        <w:rPr>
          <w:sz w:val="24"/>
          <w:szCs w:val="24"/>
        </w:rPr>
        <w:t xml:space="preserve">This then has an impact on not just one force area but three and that will help a large prepotion of people to rest assured that the police force are taking in all aspects of what is happening and are trying to police via consent and also in a way that is suitable and just with fairness and equality.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(1,</w:t>
      </w:r>
      <w:r>
        <w:rPr>
          <w:sz w:val="24"/>
          <w:szCs w:val="24"/>
        </w:rPr>
        <w:t>353</w:t>
      </w:r>
      <w:r>
        <w:rPr>
          <w:sz w:val="24"/>
          <w:szCs w:val="24"/>
        </w:rPr>
        <w:t>)</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References</w:t>
      </w:r>
    </w:p>
    <w:p>
      <w:pPr>
        <w:pStyle w:val="Normal"/>
        <w:ind w:left="0" w:right="237" w:hanging="0"/>
        <w:jc w:val="both"/>
        <w:rPr>
          <w:sz w:val="24"/>
          <w:szCs w:val="24"/>
        </w:rPr>
      </w:pPr>
      <w:r>
        <w:rPr>
          <w:sz w:val="24"/>
          <w:szCs w:val="24"/>
        </w:rPr>
      </w:r>
    </w:p>
    <w:p>
      <w:pPr>
        <w:pStyle w:val="TextBody"/>
        <w:rPr>
          <w:b w:val="false"/>
          <w:b w:val="false"/>
          <w:bCs w:val="false"/>
        </w:rPr>
      </w:pPr>
      <w:r>
        <w:rPr>
          <w:b w:val="false"/>
          <w:bCs w:val="false"/>
          <w:sz w:val="24"/>
          <w:szCs w:val="24"/>
        </w:rPr>
        <w:t xml:space="preserve">Goldsmith, A. 2010. </w:t>
      </w:r>
      <w:r>
        <w:rPr>
          <w:b w:val="false"/>
          <w:bCs w:val="false"/>
          <w:i/>
          <w:iCs/>
        </w:rPr>
        <w:t xml:space="preserve">Taking police culture seriously: Police discretion and the limits of law. </w:t>
      </w:r>
      <w:r>
        <w:rPr>
          <w:b w:val="false"/>
          <w:bCs w:val="false"/>
          <w:i w:val="false"/>
          <w:iCs w:val="false"/>
        </w:rPr>
        <w:t xml:space="preserve">Policing and Society. Volume 1. Issue 2. pp 91 – 114. </w:t>
      </w:r>
      <w:hyperlink r:id="rId12">
        <w:r>
          <w:rPr>
            <w:rStyle w:val="InternetLink"/>
            <w:b w:val="false"/>
            <w:bCs w:val="false"/>
            <w:i w:val="false"/>
            <w:iCs w:val="false"/>
          </w:rPr>
          <w:t>https://doi.org/10.1080/10439463.1990.9964608</w:t>
        </w:r>
      </w:hyperlink>
      <w:r>
        <w:rPr>
          <w:b w:val="false"/>
          <w:bCs w:val="false"/>
          <w:i w:val="false"/>
          <w:iCs w:val="false"/>
        </w:rPr>
        <w:t xml:space="preserve">. </w:t>
      </w:r>
    </w:p>
    <w:p>
      <w:pPr>
        <w:pStyle w:val="Normal"/>
        <w:ind w:left="0" w:right="237" w:hanging="0"/>
        <w:jc w:val="both"/>
        <w:rPr>
          <w:i/>
          <w:i/>
          <w:iCs/>
        </w:rPr>
      </w:pPr>
      <w:r>
        <w:rPr>
          <w:i/>
          <w:iCs/>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Gov.uk. No date. </w:t>
      </w:r>
      <w:r>
        <w:rPr>
          <w:i/>
          <w:iCs/>
          <w:sz w:val="24"/>
          <w:szCs w:val="24"/>
        </w:rPr>
        <w:t xml:space="preserve">Getting and Using a Horse Passport. </w:t>
      </w:r>
      <w:r>
        <w:rPr>
          <w:i w:val="false"/>
          <w:iCs w:val="false"/>
          <w:sz w:val="24"/>
          <w:szCs w:val="24"/>
        </w:rPr>
        <w:t xml:space="preserve">Available at: </w:t>
      </w:r>
      <w:hyperlink r:id="rId13">
        <w:r>
          <w:rPr>
            <w:rStyle w:val="InternetLink"/>
            <w:i w:val="false"/>
            <w:iCs w:val="false"/>
            <w:sz w:val="24"/>
            <w:szCs w:val="24"/>
          </w:rPr>
          <w:t>https://www.gov.uk/horse-passport</w:t>
        </w:r>
      </w:hyperlink>
      <w:r>
        <w:rPr>
          <w:i w:val="false"/>
          <w:iCs w:val="false"/>
          <w:sz w:val="24"/>
          <w:szCs w:val="24"/>
        </w:rPr>
        <w:t xml:space="preserve"> [Accessed 06/06/2022].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WASPI. 2018. </w:t>
      </w:r>
      <w:r>
        <w:rPr>
          <w:i/>
          <w:iCs/>
          <w:sz w:val="24"/>
          <w:szCs w:val="24"/>
        </w:rPr>
        <w:t xml:space="preserve">The Accord. </w:t>
      </w:r>
      <w:r>
        <w:rPr>
          <w:i w:val="false"/>
          <w:iCs w:val="false"/>
          <w:sz w:val="24"/>
          <w:szCs w:val="24"/>
        </w:rPr>
        <w:t xml:space="preserve">Available at: </w:t>
      </w:r>
      <w:hyperlink r:id="rId14">
        <w:r>
          <w:rPr>
            <w:rStyle w:val="InternetLink"/>
            <w:i w:val="false"/>
            <w:iCs w:val="false"/>
            <w:sz w:val="24"/>
            <w:szCs w:val="24"/>
          </w:rPr>
          <w:t>http://www.waspi.org/framework-documentation</w:t>
        </w:r>
      </w:hyperlink>
      <w:r>
        <w:rPr>
          <w:i w:val="false"/>
          <w:iCs w:val="false"/>
          <w:sz w:val="24"/>
          <w:szCs w:val="24"/>
        </w:rPr>
        <w:t xml:space="preserve"> [Accessed 06/06/2022].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b/>
          <w:b/>
          <w:sz w:val="24"/>
          <w:szCs w:val="24"/>
        </w:rPr>
      </w:pPr>
      <w:r>
        <w:rPr>
          <w:b/>
          <w:sz w:val="24"/>
          <w:szCs w:val="24"/>
        </w:rPr>
      </w:r>
      <w:r>
        <w:br w:type="page"/>
      </w:r>
    </w:p>
    <w:p>
      <w:pPr>
        <w:pStyle w:val="Normal"/>
        <w:ind w:left="0" w:right="237" w:hanging="0"/>
        <w:jc w:val="center"/>
        <w:rPr>
          <w:b/>
          <w:b/>
          <w:bCs/>
          <w:sz w:val="24"/>
          <w:szCs w:val="24"/>
        </w:rPr>
      </w:pPr>
      <w:r>
        <w:rPr>
          <w:b/>
          <w:bCs/>
          <w:sz w:val="24"/>
          <w:szCs w:val="24"/>
        </w:rPr>
        <w:t>Task 3</w:t>
      </w:r>
    </w:p>
    <w:p>
      <w:pPr>
        <w:pStyle w:val="Normal"/>
        <w:ind w:left="0" w:right="237" w:hanging="0"/>
        <w:jc w:val="both"/>
        <w:rPr>
          <w:b/>
          <w:b/>
          <w:bCs/>
          <w:sz w:val="24"/>
          <w:szCs w:val="24"/>
        </w:rPr>
      </w:pPr>
      <w:r>
        <w:rPr>
          <w:b/>
          <w:bCs/>
          <w:sz w:val="24"/>
          <w:szCs w:val="24"/>
        </w:rPr>
      </w:r>
    </w:p>
    <w:p>
      <w:pPr>
        <w:pStyle w:val="Normal"/>
        <w:ind w:left="0" w:right="237" w:hanging="0"/>
        <w:jc w:val="both"/>
        <w:rPr>
          <w:b/>
          <w:b/>
          <w:bCs/>
          <w:color w:val="auto"/>
          <w:sz w:val="24"/>
          <w:szCs w:val="24"/>
        </w:rPr>
      </w:pPr>
      <w:r>
        <w:rPr>
          <w:b/>
          <w:bCs/>
          <w:color w:val="auto"/>
          <w:sz w:val="24"/>
          <w:szCs w:val="24"/>
        </w:rPr>
        <w:t xml:space="preserve">Relevant areas of the National Policing Curriculum: </w:t>
      </w:r>
    </w:p>
    <w:p>
      <w:pPr>
        <w:pStyle w:val="Normal"/>
        <w:spacing w:lineRule="auto" w:line="259"/>
        <w:ind w:left="0" w:right="237" w:hanging="0"/>
        <w:jc w:val="both"/>
        <w:rPr>
          <w:b/>
          <w:b/>
          <w:bCs/>
          <w:color w:val="auto"/>
          <w:sz w:val="24"/>
          <w:szCs w:val="24"/>
        </w:rPr>
      </w:pPr>
      <w:r>
        <w:rPr>
          <w:b/>
          <w:bCs/>
          <w:color w:val="auto"/>
          <w:sz w:val="24"/>
          <w:szCs w:val="24"/>
        </w:rPr>
        <w:t xml:space="preserve">Vulnerability and Risk </w:t>
      </w:r>
    </w:p>
    <w:p>
      <w:pPr>
        <w:pStyle w:val="Normal"/>
        <w:ind w:left="0" w:right="237" w:hanging="0"/>
        <w:jc w:val="both"/>
        <w:rPr>
          <w:sz w:val="24"/>
          <w:szCs w:val="24"/>
        </w:rPr>
      </w:pPr>
      <w:r>
        <w:rPr>
          <w:sz w:val="24"/>
          <w:szCs w:val="24"/>
        </w:rPr>
      </w:r>
    </w:p>
    <w:p>
      <w:pPr>
        <w:pStyle w:val="Normal"/>
        <w:ind w:left="0" w:right="237" w:hanging="0"/>
        <w:jc w:val="both"/>
        <w:rPr>
          <w:b/>
          <w:b/>
          <w:sz w:val="24"/>
          <w:szCs w:val="24"/>
        </w:rPr>
      </w:pPr>
      <w:r>
        <w:rPr>
          <w:sz w:val="24"/>
          <w:szCs w:val="24"/>
        </w:rPr>
        <w:t xml:space="preserve">You must choose </w:t>
      </w:r>
      <w:r>
        <w:rPr>
          <w:b/>
          <w:bCs/>
          <w:sz w:val="24"/>
          <w:szCs w:val="24"/>
          <w:u w:val="single"/>
        </w:rPr>
        <w:t>a policing incident</w:t>
      </w:r>
      <w:r>
        <w:rPr>
          <w:b/>
          <w:bCs/>
          <w:sz w:val="24"/>
          <w:szCs w:val="24"/>
        </w:rPr>
        <w:t xml:space="preserve"> </w:t>
      </w:r>
      <w:r>
        <w:rPr>
          <w:sz w:val="24"/>
          <w:szCs w:val="24"/>
        </w:rPr>
        <w:t xml:space="preserve">in which you played a significant role with a victim of crime or anti-social behaviour and reflect on what happened. </w:t>
      </w:r>
    </w:p>
    <w:p>
      <w:pPr>
        <w:pStyle w:val="Normal"/>
        <w:ind w:left="0" w:right="237" w:hanging="0"/>
        <w:jc w:val="both"/>
        <w:rPr>
          <w:sz w:val="24"/>
          <w:szCs w:val="24"/>
        </w:rPr>
      </w:pPr>
      <w:r>
        <w:rPr>
          <w:sz w:val="24"/>
          <w:szCs w:val="24"/>
        </w:rPr>
      </w:r>
    </w:p>
    <w:tbl>
      <w:tblPr>
        <w:tblW w:w="9016" w:type="dxa"/>
        <w:jc w:val="left"/>
        <w:tblInd w:w="108" w:type="dxa"/>
        <w:tblCellMar>
          <w:top w:w="0" w:type="dxa"/>
          <w:left w:w="108" w:type="dxa"/>
          <w:bottom w:w="0" w:type="dxa"/>
          <w:right w:w="108" w:type="dxa"/>
        </w:tblCellMar>
      </w:tblPr>
      <w:tblGrid>
        <w:gridCol w:w="9016"/>
      </w:tblGrid>
      <w:tr>
        <w:trPr/>
        <w:tc>
          <w:tcPr>
            <w:tcW w:w="9016"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b/>
                <w:b/>
                <w:sz w:val="24"/>
                <w:szCs w:val="24"/>
              </w:rPr>
            </w:pPr>
            <w:r>
              <w:rPr>
                <w:rFonts w:eastAsia="Arial"/>
                <w:b/>
                <w:bCs/>
                <w:color w:val="000000"/>
                <w:sz w:val="24"/>
                <w:szCs w:val="24"/>
              </w:rPr>
              <w:t>Give a brief description</w:t>
            </w:r>
            <w:r>
              <w:rPr>
                <w:rFonts w:eastAsia="Arial"/>
                <w:color w:val="000000"/>
                <w:sz w:val="24"/>
                <w:szCs w:val="24"/>
              </w:rPr>
              <w:t xml:space="preserve"> of the incident including social and legislative contexts and any relevant cultural, ethnicity and language issues. </w:t>
            </w:r>
          </w:p>
          <w:p>
            <w:pPr>
              <w:pStyle w:val="Normal"/>
              <w:rPr>
                <w:color w:val="000000"/>
                <w:sz w:val="24"/>
                <w:szCs w:val="24"/>
                <w:lang w:val="en-US"/>
              </w:rPr>
            </w:pPr>
            <w:r>
              <w:rPr>
                <w:color w:val="000000"/>
                <w:sz w:val="24"/>
                <w:szCs w:val="24"/>
                <w:lang w:val="en-US"/>
              </w:rPr>
            </w:r>
          </w:p>
          <w:p>
            <w:pPr>
              <w:pStyle w:val="Normal"/>
              <w:rPr>
                <w:color w:val="000000"/>
                <w:sz w:val="24"/>
                <w:szCs w:val="24"/>
                <w:lang w:val="en-US"/>
              </w:rPr>
            </w:pPr>
            <w:r>
              <w:rPr>
                <w:color w:val="000000"/>
                <w:sz w:val="24"/>
                <w:szCs w:val="24"/>
                <w:lang w:val="en-US"/>
              </w:rPr>
              <w:t xml:space="preserve">Evaluate the appropriateness of different approaches (by professionals and the police) in supporting or managing vulnerable people or people at risk of harm. </w:t>
            </w:r>
          </w:p>
          <w:p>
            <w:pPr>
              <w:pStyle w:val="Normal"/>
              <w:rPr>
                <w:color w:val="000000"/>
                <w:sz w:val="24"/>
                <w:szCs w:val="24"/>
                <w:lang w:val="en-US"/>
              </w:rPr>
            </w:pPr>
            <w:r>
              <w:rPr>
                <w:color w:val="000000"/>
                <w:sz w:val="24"/>
                <w:szCs w:val="24"/>
                <w:lang w:val="en-US"/>
              </w:rPr>
            </w:r>
          </w:p>
          <w:p>
            <w:pPr>
              <w:pStyle w:val="Normal"/>
              <w:rPr>
                <w:sz w:val="24"/>
                <w:szCs w:val="24"/>
              </w:rPr>
            </w:pPr>
            <w:r>
              <w:rPr>
                <w:sz w:val="24"/>
                <w:szCs w:val="24"/>
              </w:rPr>
              <w:t xml:space="preserve">Evaluate what works in relation to tackling repeat victimisation and repeat offending.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b/>
                <w:b/>
                <w:sz w:val="24"/>
                <w:szCs w:val="24"/>
              </w:rPr>
            </w:pPr>
            <w:r>
              <w:rPr>
                <w:sz w:val="24"/>
                <w:szCs w:val="24"/>
              </w:rPr>
              <w:t xml:space="preserve">1250 words </w:t>
            </w:r>
            <w:r>
              <w:rPr>
                <w:i/>
                <w:iCs/>
                <w:sz w:val="24"/>
                <w:szCs w:val="24"/>
              </w:rPr>
              <w:t>(+/- 10%: include your actual word count at the end of each section)</w:t>
            </w:r>
          </w:p>
        </w:tc>
      </w:tr>
    </w:tbl>
    <w:p>
      <w:pPr>
        <w:pStyle w:val="Normal"/>
        <w:ind w:left="0" w:right="237" w:hanging="0"/>
        <w:jc w:val="both"/>
        <w:rPr>
          <w:b/>
          <w:b/>
          <w:bCs/>
          <w:sz w:val="24"/>
          <w:szCs w:val="24"/>
        </w:rPr>
      </w:pPr>
      <w:r>
        <w:rPr>
          <w:b/>
          <w:bCs/>
          <w:sz w:val="24"/>
          <w:szCs w:val="24"/>
        </w:rPr>
      </w:r>
    </w:p>
    <w:p>
      <w:pPr>
        <w:pStyle w:val="Normal"/>
        <w:ind w:left="0" w:right="237" w:hanging="0"/>
        <w:jc w:val="both"/>
        <w:rPr>
          <w:b/>
          <w:b/>
          <w:bCs/>
          <w:sz w:val="24"/>
          <w:szCs w:val="24"/>
        </w:rPr>
      </w:pPr>
      <w:r>
        <w:rPr>
          <w:b/>
          <w:bCs/>
          <w:sz w:val="24"/>
          <w:szCs w:val="24"/>
        </w:rPr>
        <w:t>ANSWER:</w:t>
      </w:r>
    </w:p>
    <w:p>
      <w:pPr>
        <w:pStyle w:val="Normal"/>
        <w:ind w:left="0" w:right="237" w:hanging="0"/>
        <w:jc w:val="both"/>
        <w:rPr>
          <w:sz w:val="24"/>
          <w:szCs w:val="24"/>
        </w:rPr>
      </w:pPr>
      <w:r>
        <w:rPr>
          <w:sz w:val="24"/>
          <w:szCs w:val="24"/>
        </w:rPr>
      </w:r>
    </w:p>
    <w:p>
      <w:pPr>
        <w:pStyle w:val="TextBody"/>
        <w:rPr>
          <w:b w:val="false"/>
          <w:b w:val="false"/>
          <w:bCs w:val="false"/>
        </w:rPr>
      </w:pPr>
      <w:r>
        <w:rPr>
          <w:b w:val="false"/>
          <w:bCs w:val="false"/>
        </w:rPr>
        <w:t>In this essay I will be discussing an incident that I have attended were I have played a significant role with the victim and what I have done to ensure the health and well-being of that person and how I have kept them safeguarded during the process and after the event.</w:t>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I have attended a call were the person has stated that they were defrauded of money over the value of £5000. this was reported by a member of the housing association and they stated that this person was vulnerable and needed police attendance. </w:t>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Before leaving for this call I have had a look at who the victim is and whether there has been any other information or incidents that this person has been involved in the police. There was previous calls that matched this description and all have outlined this person vulnerability. </w:t>
      </w:r>
    </w:p>
    <w:p>
      <w:pPr>
        <w:pStyle w:val="TextBody"/>
        <w:rPr>
          <w:b w:val="false"/>
          <w:b w:val="false"/>
          <w:bCs w:val="false"/>
        </w:rPr>
      </w:pPr>
      <w:r>
        <w:rPr>
          <w:b w:val="false"/>
          <w:bCs w:val="false"/>
        </w:rPr>
      </w:r>
    </w:p>
    <w:p>
      <w:pPr>
        <w:pStyle w:val="TextBody"/>
        <w:rPr>
          <w:b w:val="false"/>
          <w:b w:val="false"/>
          <w:bCs w:val="false"/>
        </w:rPr>
      </w:pPr>
      <w:r>
        <w:rPr>
          <w:b w:val="false"/>
          <w:bCs w:val="false"/>
        </w:rPr>
        <w:t>This person had a diagnosis of autism which I am familiar with having previously worked with autism for over seven years.</w:t>
      </w:r>
    </w:p>
    <w:p>
      <w:pPr>
        <w:pStyle w:val="TextBody"/>
        <w:rPr>
          <w:b w:val="false"/>
          <w:b w:val="false"/>
          <w:bCs w:val="false"/>
        </w:rPr>
      </w:pPr>
      <w:r>
        <w:rPr>
          <w:b w:val="false"/>
          <w:bCs w:val="false"/>
        </w:rPr>
      </w:r>
    </w:p>
    <w:p>
      <w:pPr>
        <w:pStyle w:val="TextBody"/>
        <w:rPr>
          <w:b/>
          <w:b/>
          <w:sz w:val="24"/>
          <w:szCs w:val="24"/>
        </w:rPr>
      </w:pPr>
      <w:r>
        <w:rPr>
          <w:b w:val="false"/>
          <w:bCs w:val="false"/>
          <w:i/>
          <w:iCs/>
        </w:rPr>
        <w:t>“</w:t>
      </w:r>
      <w:r>
        <w:rPr>
          <w:b w:val="false"/>
          <w:bCs w:val="false"/>
          <w:i/>
          <w:iCs/>
        </w:rPr>
        <w:t xml:space="preserve">It is suggested that many manifestations of autism are explicable in terms of cognitive and perceptual defects.” </w:t>
      </w:r>
      <w:r>
        <w:rPr>
          <w:b w:val="false"/>
          <w:bCs w:val="false"/>
          <w:i w:val="false"/>
          <w:iCs w:val="false"/>
        </w:rPr>
        <w:t xml:space="preserve">(Rutter, M. 1968). </w:t>
      </w:r>
    </w:p>
    <w:p>
      <w:pPr>
        <w:pStyle w:val="TextBody"/>
        <w:rPr>
          <w:b w:val="false"/>
          <w:b w:val="false"/>
          <w:bCs w:val="false"/>
          <w:i w:val="false"/>
          <w:i w:val="false"/>
          <w:iCs w:val="false"/>
        </w:rPr>
      </w:pPr>
      <w:r>
        <w:rPr>
          <w:b w:val="false"/>
          <w:bCs w:val="false"/>
          <w:i w:val="false"/>
          <w:iCs w:val="false"/>
        </w:rPr>
      </w:r>
    </w:p>
    <w:p>
      <w:pPr>
        <w:pStyle w:val="TextBody"/>
        <w:rPr>
          <w:b w:val="false"/>
          <w:b w:val="false"/>
          <w:bCs w:val="false"/>
        </w:rPr>
      </w:pPr>
      <w:r>
        <w:rPr>
          <w:b w:val="false"/>
          <w:bCs w:val="false"/>
        </w:rPr>
        <w:t>Being aware of this, I anticipated that I would be faced with different challenges while attending this call and due to Autism being individual for everyone, I would have to develop and work with this person on a completely individual process and try to deal with any complications as they present themselves.</w:t>
      </w:r>
    </w:p>
    <w:p>
      <w:pPr>
        <w:pStyle w:val="TextBody"/>
        <w:rPr>
          <w:b w:val="false"/>
          <w:b w:val="false"/>
          <w:bCs w:val="false"/>
        </w:rPr>
      </w:pPr>
      <w:r>
        <w:rPr>
          <w:b w:val="false"/>
          <w:bCs w:val="false"/>
        </w:rPr>
      </w:r>
    </w:p>
    <w:p>
      <w:pPr>
        <w:pStyle w:val="TextBody"/>
        <w:rPr>
          <w:b/>
          <w:b/>
          <w:sz w:val="24"/>
          <w:szCs w:val="24"/>
        </w:rPr>
      </w:pPr>
      <w:r>
        <w:rPr>
          <w:b w:val="false"/>
          <w:bCs w:val="false"/>
          <w:sz w:val="24"/>
          <w:szCs w:val="24"/>
        </w:rPr>
        <w:t xml:space="preserve">I then began to think of the many possibilities this call may en tale. Do I need an appropriate adult? Is the person able to communicate? Does he have capacity and understanding? Can he recall the event? These were the factors in my decision making prior to arriving at their address. Before leaving I had printed off a Witness Interview Booklet (WIB) that is used primarily for children and vulnerable victims as the first stage of disclosure. This gives the officer limited questions that they can ask and they write down the answers verbatim. The questions asked are who, what, where, when, why and how. Due to also having knowledge of the triad of impairment I was able to learn and think about the complications ahead. </w:t>
      </w:r>
    </w:p>
    <w:p>
      <w:pPr>
        <w:pStyle w:val="TextBody"/>
        <w:rPr>
          <w:b w:val="false"/>
          <w:b w:val="false"/>
          <w:bCs w:val="false"/>
          <w:sz w:val="24"/>
          <w:szCs w:val="24"/>
        </w:rPr>
      </w:pPr>
      <w:r>
        <w:rPr>
          <w:b w:val="false"/>
          <w:bCs w:val="false"/>
          <w:sz w:val="24"/>
          <w:szCs w:val="24"/>
        </w:rPr>
      </w:r>
    </w:p>
    <w:p>
      <w:pPr>
        <w:pStyle w:val="TextBody"/>
        <w:rPr>
          <w:b/>
          <w:b/>
          <w:sz w:val="24"/>
          <w:szCs w:val="24"/>
        </w:rPr>
      </w:pPr>
      <w:r>
        <w:rPr>
          <w:b w:val="false"/>
          <w:bCs w:val="false"/>
          <w:sz w:val="24"/>
          <w:szCs w:val="24"/>
        </w:rPr>
        <w:t>“</w:t>
      </w:r>
      <w:r>
        <w:rPr>
          <w:b w:val="false"/>
          <w:bCs w:val="false"/>
          <w:i/>
          <w:iCs/>
          <w:sz w:val="24"/>
          <w:szCs w:val="24"/>
        </w:rPr>
        <w:t xml:space="preserve">Exceptional pioneering work in the late 1970s gave rise to the concept of the triad of impairments as the central plank of the construct of autism: impaired communication; impaired social skills; and a restricted and repetitive way of being-in-the-world.” </w:t>
      </w:r>
      <w:r>
        <w:rPr>
          <w:b w:val="false"/>
          <w:bCs w:val="false"/>
          <w:i w:val="false"/>
          <w:iCs w:val="false"/>
          <w:sz w:val="24"/>
          <w:szCs w:val="24"/>
        </w:rPr>
        <w:t xml:space="preserve">(Cashin, A et al. 2009). </w:t>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Upon arrival I was greeted by the housing associations representative who worked with vulnerable clients and was given a brief description of why she was there and what has happened so far. She did express concerns over the persons ability to recall events and times and can get confused while explaining things. I was then introduced to the victim. </w:t>
      </w:r>
    </w:p>
    <w:p>
      <w:pPr>
        <w:pStyle w:val="TextBody"/>
        <w:rPr>
          <w:b w:val="false"/>
          <w:b w:val="false"/>
          <w:bCs w:val="false"/>
        </w:rPr>
      </w:pPr>
      <w:r>
        <w:rPr>
          <w:b w:val="false"/>
          <w:bCs w:val="false"/>
        </w:rPr>
      </w:r>
    </w:p>
    <w:p>
      <w:pPr>
        <w:pStyle w:val="TextBody"/>
        <w:rPr>
          <w:b/>
          <w:b/>
          <w:sz w:val="24"/>
          <w:szCs w:val="24"/>
        </w:rPr>
      </w:pPr>
      <w:r>
        <w:rPr>
          <w:b w:val="false"/>
          <w:bCs w:val="false"/>
          <w:sz w:val="24"/>
          <w:szCs w:val="24"/>
        </w:rPr>
        <w:t xml:space="preserve">With my first interactions with the person I have explained to them who I am, what I do and why I was there. This is not something that usually happens as the community are usually fully aware of what police do and why they attend but because they were autistic I did not want to make any presumptions at all and make everything as clear as I could. I did not discuss what had happened straight away with this person and firstly engaged in conversation. My thinking behind this was to try and make a rapport with this person that may help them feel safer and more secure to talk to me. </w:t>
      </w:r>
    </w:p>
    <w:p>
      <w:pPr>
        <w:pStyle w:val="TextBody"/>
        <w:rPr>
          <w:b w:val="false"/>
          <w:b w:val="false"/>
          <w:bCs w:val="false"/>
          <w:sz w:val="24"/>
          <w:szCs w:val="24"/>
        </w:rPr>
      </w:pPr>
      <w:r>
        <w:rPr>
          <w:b w:val="false"/>
          <w:bCs w:val="false"/>
          <w:sz w:val="24"/>
          <w:szCs w:val="24"/>
        </w:rPr>
      </w:r>
    </w:p>
    <w:p>
      <w:pPr>
        <w:pStyle w:val="TextBody"/>
        <w:rPr>
          <w:i/>
          <w:i/>
          <w:iCs/>
        </w:rPr>
      </w:pPr>
      <w:r>
        <w:rPr>
          <w:b w:val="false"/>
          <w:bCs w:val="false"/>
          <w:i/>
          <w:iCs/>
          <w:sz w:val="24"/>
          <w:szCs w:val="24"/>
        </w:rPr>
        <w:t>“</w:t>
      </w:r>
      <w:r>
        <w:rPr>
          <w:b w:val="false"/>
          <w:bCs w:val="false"/>
          <w:i/>
          <w:iCs/>
          <w:sz w:val="24"/>
          <w:szCs w:val="24"/>
        </w:rPr>
        <w:t>Results indicated that high rapport before misinformation increased the amount of accurate information reported in a subsequent witness interview compared to low rapport”.</w:t>
      </w:r>
      <w:r>
        <w:rPr>
          <w:b w:val="false"/>
          <w:bCs w:val="false"/>
          <w:i w:val="false"/>
          <w:iCs w:val="false"/>
          <w:sz w:val="24"/>
          <w:szCs w:val="24"/>
        </w:rPr>
        <w:t>(Kieckhaefer, J et al. 2013).</w:t>
      </w:r>
    </w:p>
    <w:p>
      <w:pPr>
        <w:pStyle w:val="TextBody"/>
        <w:rPr>
          <w:b w:val="false"/>
          <w:b w:val="false"/>
          <w:bCs w:val="false"/>
          <w:i w:val="false"/>
          <w:i w:val="false"/>
          <w:iCs w:val="false"/>
          <w:sz w:val="24"/>
          <w:szCs w:val="24"/>
        </w:rPr>
      </w:pPr>
      <w:r>
        <w:rPr>
          <w:b w:val="false"/>
          <w:bCs w:val="false"/>
          <w:i w:val="false"/>
          <w:iCs w:val="false"/>
          <w:sz w:val="24"/>
          <w:szCs w:val="24"/>
        </w:rPr>
      </w:r>
    </w:p>
    <w:p>
      <w:pPr>
        <w:pStyle w:val="TextBody"/>
        <w:rPr>
          <w:b/>
          <w:b/>
          <w:sz w:val="24"/>
          <w:szCs w:val="24"/>
        </w:rPr>
      </w:pPr>
      <w:r>
        <w:rPr>
          <w:b w:val="false"/>
          <w:bCs w:val="false"/>
          <w:sz w:val="24"/>
          <w:szCs w:val="24"/>
        </w:rPr>
        <w:t>Asking questions about that person such as there likes and interest with the hope of finding a way to better engage with the person. In doing this I was also able to slightly assess if this person was able to answer direct questions and give a suitable answer to these.</w:t>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After my interactions it was clear that this person would not be able to make a statement and would need the assistance of a WIB. Due to the housing associations person being there they consenting to act as the appropriate adult and also the victim was happy for this to continue. </w:t>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During the process of the WIB the victim started to get up and point out things to me involving what had happened such as pointing and showing me the items that he purchased under a false pretence. I was happy for this person to do this and followed the person around while completing the WIB on a clipboard. This is not how I would have usually conducted myself but I could see that this made the person feel more comfortable and confident in talking to me and providing that person with a slight distraction to having myself, a community support officer and a housing person staring at him. The WIB was completed in a multitude of rooms and throughout the process there were breaks provided for the person who asked to make a cup of tea and have a rest from thinking about the incident. </w:t>
      </w:r>
    </w:p>
    <w:p>
      <w:pPr>
        <w:pStyle w:val="TextBody"/>
        <w:rPr>
          <w:b w:val="false"/>
          <w:b w:val="false"/>
          <w:bCs w:val="false"/>
        </w:rPr>
      </w:pPr>
      <w:r>
        <w:rPr>
          <w:b w:val="false"/>
          <w:bCs w:val="false"/>
        </w:rPr>
      </w:r>
    </w:p>
    <w:p>
      <w:pPr>
        <w:pStyle w:val="TextBody"/>
        <w:rPr>
          <w:b w:val="false"/>
          <w:b w:val="false"/>
          <w:bCs w:val="false"/>
        </w:rPr>
      </w:pPr>
      <w:r>
        <w:rPr>
          <w:b w:val="false"/>
          <w:bCs w:val="false"/>
        </w:rPr>
        <w:t>During this incident I was able to look around the house and assess the building that the person was living in. I noticed that there was no spy hole or security chain on the door with frosted glass that does not show who is behind the door. I have then after the call safeguarded the individual by working alongside the council to see what they could do and what we as a police force could do to help this vulnerable person be better prepared in the future. CCTV was supplied by the council on the address with a video door alarm and also a security chain on the door to interact with people without the need to let them in. I also revisited this person and coached them in what the best measure is to answer the door while remaining safe, I also revisited again a week later to test this with a positive outcome as the person did all the necessary steps before letting me into the property. Due to the complexities of this person’s communication, my updates on the case have been given in person as the victim stated he struggles on the phone.</w:t>
      </w:r>
    </w:p>
    <w:p>
      <w:pPr>
        <w:pStyle w:val="TextBody"/>
        <w:rPr>
          <w:b w:val="false"/>
          <w:b w:val="false"/>
          <w:bCs w:val="false"/>
        </w:rPr>
      </w:pPr>
      <w:r>
        <w:rPr>
          <w:b w:val="false"/>
          <w:bCs w:val="false"/>
        </w:rPr>
      </w:r>
    </w:p>
    <w:p>
      <w:pPr>
        <w:pStyle w:val="TextBody"/>
        <w:rPr>
          <w:b/>
          <w:b/>
          <w:sz w:val="24"/>
          <w:szCs w:val="24"/>
        </w:rPr>
      </w:pPr>
      <w:r>
        <w:rPr>
          <w:b w:val="false"/>
          <w:bCs w:val="false"/>
          <w:i/>
          <w:iCs/>
        </w:rPr>
        <w:t>“</w:t>
      </w:r>
      <w:r>
        <w:rPr>
          <w:b w:val="false"/>
          <w:bCs w:val="false"/>
          <w:i/>
          <w:iCs/>
        </w:rPr>
        <w:t>an autistic individual may recognize a person from stored sensory fragments instead of as a whole. The person is then recognized by the colour of their clothes, their smell, or even their movements”</w:t>
      </w:r>
      <w:r>
        <w:rPr>
          <w:b w:val="false"/>
          <w:bCs w:val="false"/>
        </w:rPr>
        <w:t xml:space="preserve"> (Caminha, R. and Lampreia, C. 2012).  </w:t>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This is one of the main reasons that I perform updates in person to give this person the best chance of understanding who I am and what I am doing when making this contact. </w:t>
      </w:r>
    </w:p>
    <w:p>
      <w:pPr>
        <w:pStyle w:val="TextBody"/>
        <w:rPr>
          <w:b w:val="false"/>
          <w:b w:val="false"/>
          <w:bCs w:val="false"/>
        </w:rPr>
      </w:pPr>
      <w:r>
        <w:rPr>
          <w:b w:val="false"/>
          <w:bCs w:val="false"/>
        </w:rPr>
      </w:r>
    </w:p>
    <w:p>
      <w:pPr>
        <w:pStyle w:val="TextBody"/>
        <w:rPr>
          <w:b w:val="false"/>
          <w:b w:val="false"/>
          <w:bCs w:val="false"/>
        </w:rPr>
      </w:pPr>
      <w:r>
        <w:rPr>
          <w:b w:val="false"/>
          <w:bCs w:val="false"/>
        </w:rPr>
        <w:t>This person has been a victim on a number of occasions and due to the multi agency working we have been able to deliver a package to this person to ensure their safety in the future and hopefully a prevention and deterrent for criminals who try to exploit this person. This person is also now well know to the community policing officers and has his area under regular presence from police.</w:t>
      </w:r>
    </w:p>
    <w:p>
      <w:pPr>
        <w:pStyle w:val="TextBody"/>
        <w:rPr>
          <w:b w:val="false"/>
          <w:b w:val="false"/>
          <w:bCs w:val="false"/>
        </w:rPr>
      </w:pPr>
      <w:r>
        <w:rPr/>
      </w:r>
    </w:p>
    <w:p>
      <w:pPr>
        <w:pStyle w:val="TextBody"/>
        <w:rPr>
          <w:b w:val="false"/>
          <w:b w:val="false"/>
          <w:bCs w:val="false"/>
        </w:rPr>
      </w:pPr>
      <w:r>
        <w:rPr>
          <w:b w:val="false"/>
          <w:bCs w:val="false"/>
        </w:rPr>
        <w:t>1190</w:t>
      </w:r>
    </w:p>
    <w:p>
      <w:pPr>
        <w:pStyle w:val="TextBody"/>
        <w:rPr>
          <w:b w:val="false"/>
          <w:b w:val="false"/>
          <w:bCs w:val="false"/>
        </w:rPr>
      </w:pPr>
      <w:r>
        <w:rPr>
          <w:b w:val="false"/>
          <w:bCs w:val="false"/>
        </w:rPr>
      </w:r>
    </w:p>
    <w:p>
      <w:pPr>
        <w:pStyle w:val="TextBody"/>
        <w:rPr>
          <w:b w:val="false"/>
          <w:b w:val="false"/>
          <w:bCs w:val="false"/>
        </w:rPr>
      </w:pPr>
      <w:r>
        <w:rPr>
          <w:b w:val="false"/>
          <w:bCs w:val="false"/>
        </w:rPr>
        <w:t>References</w:t>
      </w:r>
    </w:p>
    <w:p>
      <w:pPr>
        <w:pStyle w:val="TextBody"/>
        <w:rPr>
          <w:b w:val="false"/>
          <w:b w:val="false"/>
          <w:bCs w:val="false"/>
        </w:rPr>
      </w:pPr>
      <w:r>
        <w:rPr>
          <w:b w:val="false"/>
          <w:bCs w:val="false"/>
        </w:rPr>
      </w:r>
    </w:p>
    <w:p>
      <w:pPr>
        <w:pStyle w:val="TextBody"/>
        <w:rPr>
          <w:b/>
          <w:b/>
          <w:sz w:val="24"/>
          <w:szCs w:val="24"/>
        </w:rPr>
      </w:pPr>
      <w:r>
        <w:rPr>
          <w:b w:val="false"/>
          <w:bCs w:val="false"/>
        </w:rPr>
        <w:t xml:space="preserve">Caminha, R. and Lampreia, C. 2012. </w:t>
      </w:r>
      <w:r>
        <w:rPr>
          <w:b w:val="false"/>
          <w:bCs w:val="false"/>
          <w:i/>
          <w:iCs/>
        </w:rPr>
        <w:t xml:space="preserve">Findings on sensory deficits in autism: implications for understanding the disorder. </w:t>
      </w:r>
      <w:r>
        <w:rPr>
          <w:b w:val="false"/>
          <w:bCs w:val="false"/>
          <w:i w:val="false"/>
          <w:iCs w:val="false"/>
        </w:rPr>
        <w:t xml:space="preserve">Psychology and neuroscience, 5(2) </w:t>
      </w:r>
      <w:hyperlink r:id="rId15">
        <w:r>
          <w:rPr>
            <w:rStyle w:val="InternetLink"/>
            <w:b w:val="false"/>
            <w:bCs w:val="false"/>
            <w:i w:val="false"/>
            <w:iCs w:val="false"/>
          </w:rPr>
          <w:t>https://doi.org/10.1590/S1983-32882012000200014</w:t>
        </w:r>
      </w:hyperlink>
      <w:r>
        <w:rPr>
          <w:b w:val="false"/>
          <w:bCs w:val="false"/>
          <w:i w:val="false"/>
          <w:iCs w:val="false"/>
        </w:rPr>
        <w:t xml:space="preserve"> </w:t>
      </w:r>
    </w:p>
    <w:p>
      <w:pPr>
        <w:pStyle w:val="TextBody"/>
        <w:rPr>
          <w:i/>
          <w:i/>
          <w:iCs/>
        </w:rPr>
      </w:pPr>
      <w:r>
        <w:rPr>
          <w:i/>
          <w:iCs/>
        </w:rPr>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Cashin, A and Barker, P. 2009. </w:t>
      </w:r>
      <w:r>
        <w:rPr>
          <w:b w:val="false"/>
          <w:bCs w:val="false"/>
          <w:i/>
          <w:iCs/>
        </w:rPr>
        <w:t xml:space="preserve">The Triad of Impairment Revisited. </w:t>
      </w:r>
      <w:r>
        <w:rPr>
          <w:b w:val="false"/>
          <w:bCs w:val="false"/>
          <w:i w:val="false"/>
          <w:iCs w:val="false"/>
        </w:rPr>
        <w:t xml:space="preserve">Journal of Child and Adolescent Psychiatric Nursing. 22(4), 189-193. </w:t>
      </w:r>
      <w:hyperlink r:id="rId16">
        <w:r>
          <w:rPr>
            <w:rStyle w:val="InternetLink"/>
            <w:b w:val="false"/>
            <w:bCs w:val="false"/>
            <w:i w:val="false"/>
            <w:iCs w:val="false"/>
          </w:rPr>
          <w:t>https://doi.org/10.1111/j.1744-6171.2009.00198.x</w:t>
        </w:r>
      </w:hyperlink>
      <w:r>
        <w:rPr>
          <w:b w:val="false"/>
          <w:bCs w:val="false"/>
          <w:i w:val="false"/>
          <w:iCs w:val="false"/>
        </w:rPr>
        <w:t xml:space="preserve"> </w:t>
      </w:r>
    </w:p>
    <w:p>
      <w:pPr>
        <w:pStyle w:val="TextBody"/>
        <w:rPr>
          <w:i w:val="false"/>
          <w:i w:val="false"/>
          <w:iCs w:val="false"/>
        </w:rPr>
      </w:pPr>
      <w:r>
        <w:rPr>
          <w:i w:val="false"/>
          <w:iCs w:val="false"/>
        </w:rPr>
      </w:r>
    </w:p>
    <w:p>
      <w:pPr>
        <w:pStyle w:val="TextBody"/>
        <w:rPr>
          <w:b/>
          <w:b/>
          <w:sz w:val="24"/>
          <w:szCs w:val="24"/>
        </w:rPr>
      </w:pPr>
      <w:r>
        <w:rPr>
          <w:b w:val="false"/>
          <w:bCs w:val="false"/>
        </w:rPr>
        <w:t xml:space="preserve">Jenna Mitchell Kieckhaefer, Jonathan Patrick Vallano &amp; Nadja Schreiber Compo (2014) Examining the positive effects of rapport building: When and why does rapport building benefit adult eyewitness memory?, Memory, 22:8, 1010-1023, DOI: </w:t>
      </w:r>
      <w:hyperlink r:id="rId17">
        <w:r>
          <w:rPr>
            <w:rStyle w:val="InternetLink"/>
            <w:b w:val="false"/>
            <w:bCs w:val="false"/>
          </w:rPr>
          <w:t>10.1080/09658211.2013.864313</w:t>
        </w:r>
      </w:hyperlink>
      <w:r>
        <w:rPr>
          <w:b w:val="false"/>
          <w:bCs w:val="false"/>
        </w:rPr>
        <w:t xml:space="preserve"> </w:t>
      </w:r>
    </w:p>
    <w:p>
      <w:pPr>
        <w:pStyle w:val="TextBody"/>
        <w:rPr>
          <w:i w:val="false"/>
          <w:i w:val="false"/>
          <w:iCs w:val="false"/>
        </w:rPr>
      </w:pPr>
      <w:r>
        <w:rPr>
          <w:i w:val="false"/>
          <w:iCs w:val="false"/>
        </w:rPr>
      </w:r>
    </w:p>
    <w:p>
      <w:pPr>
        <w:pStyle w:val="TextBody"/>
        <w:rPr>
          <w:b w:val="false"/>
          <w:b w:val="false"/>
          <w:bCs w:val="false"/>
        </w:rPr>
      </w:pPr>
      <w:r>
        <w:rPr>
          <w:b w:val="false"/>
          <w:bCs w:val="false"/>
        </w:rPr>
      </w:r>
    </w:p>
    <w:p>
      <w:pPr>
        <w:pStyle w:val="TextBody"/>
        <w:rPr>
          <w:b/>
          <w:b/>
          <w:sz w:val="24"/>
          <w:szCs w:val="24"/>
        </w:rPr>
      </w:pPr>
      <w:r>
        <w:rPr>
          <w:b w:val="false"/>
          <w:bCs w:val="false"/>
        </w:rPr>
        <w:t xml:space="preserve">Rutter, M. (1968). Concepts of autism: A review of research. </w:t>
      </w:r>
      <w:r>
        <w:rPr>
          <w:rStyle w:val="Emphasis"/>
          <w:b w:val="false"/>
          <w:bCs w:val="false"/>
        </w:rPr>
        <w:t>Child Psychology &amp; Psychiatry &amp; Allied Disciplines, 9</w:t>
      </w:r>
      <w:r>
        <w:rPr>
          <w:b w:val="false"/>
          <w:bCs w:val="false"/>
        </w:rPr>
        <w:t xml:space="preserve">(1), 1–25. </w:t>
      </w:r>
      <w:r>
        <w:rPr>
          <w:rStyle w:val="InternetLink"/>
          <w:b w:val="false"/>
          <w:bCs w:val="false"/>
        </w:rPr>
        <w:t>https://doi.org/10.1111/j.1469-7610.1968.tb02204.x</w:t>
      </w:r>
    </w:p>
    <w:p>
      <w:pPr>
        <w:pStyle w:val="TextBody"/>
        <w:rPr>
          <w:b w:val="false"/>
          <w:b w:val="false"/>
          <w:bCs w:val="false"/>
        </w:rPr>
      </w:pPr>
      <w:r>
        <w:rPr>
          <w:b w:val="false"/>
          <w:bCs w:val="false"/>
        </w:rPr>
      </w:r>
    </w:p>
    <w:p>
      <w:pPr>
        <w:pStyle w:val="TextBody"/>
        <w:rPr>
          <w:b w:val="false"/>
          <w:b w:val="false"/>
          <w:bCs w:val="false"/>
        </w:rPr>
      </w:pPr>
      <w:r>
        <w:rPr>
          <w:b w:val="false"/>
          <w:bCs w:val="false"/>
        </w:rPr>
      </w:r>
    </w:p>
    <w:p>
      <w:pPr>
        <w:pStyle w:val="Normal"/>
        <w:rPr>
          <w:b/>
          <w:b/>
          <w:sz w:val="24"/>
          <w:szCs w:val="24"/>
        </w:rPr>
      </w:pPr>
      <w:r>
        <w:rPr>
          <w:b/>
          <w:sz w:val="24"/>
          <w:szCs w:val="24"/>
        </w:rPr>
      </w:r>
      <w:r>
        <w:br w:type="page"/>
      </w:r>
    </w:p>
    <w:p>
      <w:pPr>
        <w:pStyle w:val="Normal"/>
        <w:ind w:left="0" w:right="237" w:hanging="0"/>
        <w:jc w:val="center"/>
        <w:rPr>
          <w:b/>
          <w:b/>
          <w:bCs/>
          <w:sz w:val="24"/>
          <w:szCs w:val="24"/>
        </w:rPr>
      </w:pPr>
      <w:r>
        <w:rPr>
          <w:b/>
          <w:bCs/>
          <w:sz w:val="24"/>
          <w:szCs w:val="24"/>
        </w:rPr>
        <w:t>Task 4</w:t>
      </w:r>
    </w:p>
    <w:p>
      <w:pPr>
        <w:pStyle w:val="Normal"/>
        <w:ind w:left="0" w:right="237" w:hanging="0"/>
        <w:jc w:val="both"/>
        <w:rPr>
          <w:rFonts w:eastAsia="Arial"/>
          <w:b/>
          <w:b/>
          <w:bCs/>
          <w:color w:val="000000"/>
          <w:sz w:val="24"/>
          <w:szCs w:val="24"/>
        </w:rPr>
      </w:pPr>
      <w:r>
        <w:rPr>
          <w:rFonts w:eastAsia="Arial"/>
          <w:b/>
          <w:bCs/>
          <w:color w:val="000000"/>
          <w:sz w:val="24"/>
          <w:szCs w:val="24"/>
        </w:rPr>
        <w:t xml:space="preserve">Relevant areas of the National Policing Curriculum: </w:t>
      </w:r>
    </w:p>
    <w:p>
      <w:pPr>
        <w:pStyle w:val="Normal"/>
        <w:ind w:left="0" w:right="237" w:hanging="0"/>
        <w:jc w:val="both"/>
        <w:rPr>
          <w:rFonts w:eastAsia="Arial"/>
          <w:b/>
          <w:b/>
          <w:bCs/>
          <w:color w:val="000000"/>
          <w:sz w:val="24"/>
          <w:szCs w:val="24"/>
        </w:rPr>
      </w:pPr>
      <w:r>
        <w:rPr>
          <w:rFonts w:eastAsia="Arial"/>
          <w:b/>
          <w:bCs/>
          <w:color w:val="000000"/>
          <w:sz w:val="24"/>
          <w:szCs w:val="24"/>
        </w:rPr>
        <w:t>Conducting investigations and information and intelligence.</w:t>
      </w:r>
    </w:p>
    <w:p>
      <w:pPr>
        <w:pStyle w:val="Normal"/>
        <w:ind w:left="0" w:right="237" w:hanging="0"/>
        <w:jc w:val="both"/>
        <w:rPr>
          <w:rFonts w:eastAsia="Arial"/>
          <w:color w:val="000000"/>
          <w:sz w:val="24"/>
          <w:szCs w:val="24"/>
        </w:rPr>
      </w:pPr>
      <w:r>
        <w:rPr>
          <w:rFonts w:eastAsia="Arial"/>
          <w:color w:val="000000"/>
          <w:sz w:val="24"/>
          <w:szCs w:val="24"/>
        </w:rPr>
      </w:r>
    </w:p>
    <w:p>
      <w:pPr>
        <w:pStyle w:val="Normal"/>
        <w:ind w:left="0" w:right="237" w:hanging="0"/>
        <w:jc w:val="both"/>
        <w:rPr>
          <w:b/>
          <w:b/>
          <w:sz w:val="24"/>
          <w:szCs w:val="24"/>
        </w:rPr>
      </w:pPr>
      <w:r>
        <w:rPr>
          <w:sz w:val="24"/>
          <w:szCs w:val="24"/>
        </w:rPr>
        <w:t xml:space="preserve">You must choose </w:t>
      </w:r>
      <w:r>
        <w:rPr>
          <w:b/>
          <w:bCs/>
          <w:sz w:val="24"/>
          <w:szCs w:val="24"/>
          <w:u w:val="single"/>
        </w:rPr>
        <w:t>a policing incident which is of serious and complex nature</w:t>
      </w:r>
      <w:r>
        <w:rPr>
          <w:b/>
          <w:bCs/>
          <w:sz w:val="24"/>
          <w:szCs w:val="24"/>
        </w:rPr>
        <w:t xml:space="preserve"> </w:t>
      </w:r>
      <w:r>
        <w:rPr>
          <w:sz w:val="24"/>
          <w:szCs w:val="24"/>
        </w:rPr>
        <w:t>in which you played a significant role with an offender/service</w:t>
      </w:r>
      <w:r>
        <w:rPr>
          <w:b/>
          <w:bCs/>
          <w:sz w:val="24"/>
          <w:szCs w:val="24"/>
        </w:rPr>
        <w:t xml:space="preserve"> </w:t>
      </w:r>
      <w:r>
        <w:rPr>
          <w:sz w:val="24"/>
          <w:szCs w:val="24"/>
        </w:rPr>
        <w:t xml:space="preserve">user/victim and reflect on what happened. </w:t>
      </w:r>
    </w:p>
    <w:p>
      <w:pPr>
        <w:pStyle w:val="Normal"/>
        <w:ind w:left="0" w:right="237" w:hanging="0"/>
        <w:jc w:val="both"/>
        <w:rPr>
          <w:rFonts w:eastAsia="Arial"/>
          <w:color w:val="000000"/>
          <w:sz w:val="24"/>
          <w:szCs w:val="24"/>
        </w:rPr>
      </w:pPr>
      <w:r>
        <w:rPr>
          <w:rFonts w:eastAsia="Arial"/>
          <w:color w:val="000000"/>
          <w:sz w:val="24"/>
          <w:szCs w:val="24"/>
        </w:rPr>
      </w:r>
    </w:p>
    <w:tbl>
      <w:tblPr>
        <w:tblW w:w="9016" w:type="dxa"/>
        <w:jc w:val="left"/>
        <w:tblInd w:w="108" w:type="dxa"/>
        <w:tblCellMar>
          <w:top w:w="0" w:type="dxa"/>
          <w:left w:w="108" w:type="dxa"/>
          <w:bottom w:w="0" w:type="dxa"/>
          <w:right w:w="108" w:type="dxa"/>
        </w:tblCellMar>
      </w:tblPr>
      <w:tblGrid>
        <w:gridCol w:w="9016"/>
      </w:tblGrid>
      <w:tr>
        <w:trPr/>
        <w:tc>
          <w:tcPr>
            <w:tcW w:w="9016" w:type="dxa"/>
            <w:tcBorders>
              <w:top w:val="single" w:sz="4" w:space="0" w:color="000000"/>
              <w:left w:val="single" w:sz="4" w:space="0" w:color="000000"/>
              <w:bottom w:val="single" w:sz="4" w:space="0" w:color="000000"/>
              <w:right w:val="single" w:sz="4" w:space="0" w:color="000000"/>
            </w:tcBorders>
          </w:tcPr>
          <w:p>
            <w:pPr>
              <w:pStyle w:val="Normal"/>
              <w:ind w:left="0" w:right="237" w:hanging="0"/>
              <w:jc w:val="both"/>
              <w:rPr>
                <w:b/>
                <w:b/>
                <w:sz w:val="24"/>
                <w:szCs w:val="24"/>
              </w:rPr>
            </w:pPr>
            <w:r>
              <w:rPr>
                <w:rFonts w:eastAsia="Arial"/>
                <w:b/>
                <w:bCs/>
                <w:color w:val="000000"/>
                <w:sz w:val="24"/>
                <w:szCs w:val="24"/>
              </w:rPr>
              <w:t>Give a brief description</w:t>
            </w:r>
            <w:r>
              <w:rPr>
                <w:rFonts w:eastAsia="Arial"/>
                <w:color w:val="000000"/>
                <w:sz w:val="24"/>
                <w:szCs w:val="24"/>
              </w:rPr>
              <w:t xml:space="preserve"> of the incident including social and legislative contexts and any relevant cultural, ethnicity and language issues. </w:t>
            </w:r>
          </w:p>
          <w:p>
            <w:pPr>
              <w:pStyle w:val="Normal"/>
              <w:ind w:left="0" w:right="237" w:hanging="0"/>
              <w:jc w:val="both"/>
              <w:rPr>
                <w:rFonts w:eastAsia="Arial"/>
                <w:color w:val="000000"/>
                <w:sz w:val="24"/>
                <w:szCs w:val="24"/>
              </w:rPr>
            </w:pPr>
            <w:r>
              <w:rPr>
                <w:rFonts w:eastAsia="Arial"/>
                <w:color w:val="000000"/>
                <w:sz w:val="24"/>
                <w:szCs w:val="24"/>
              </w:rPr>
            </w:r>
          </w:p>
          <w:p>
            <w:pPr>
              <w:pStyle w:val="Normal"/>
              <w:ind w:left="0" w:right="237" w:hanging="0"/>
              <w:jc w:val="both"/>
              <w:rPr>
                <w:b/>
                <w:b/>
                <w:sz w:val="24"/>
                <w:szCs w:val="24"/>
              </w:rPr>
            </w:pPr>
            <w:r>
              <w:rPr>
                <w:rFonts w:eastAsia="Arial"/>
                <w:b/>
                <w:bCs/>
                <w:color w:val="000000"/>
                <w:sz w:val="24"/>
                <w:szCs w:val="24"/>
              </w:rPr>
              <w:t>Consider how you have gathered, analysed and evaluated</w:t>
            </w:r>
            <w:r>
              <w:rPr>
                <w:rFonts w:eastAsia="Arial"/>
                <w:color w:val="000000"/>
                <w:sz w:val="24"/>
                <w:szCs w:val="24"/>
              </w:rPr>
              <w:t xml:space="preserve"> relevant information or intelligence from a range of sources as appropriate to the policing incident. Additionally, identify how you have developed the information and intelligence for the purpose of informing the tasking and co-ordination process. </w:t>
            </w:r>
          </w:p>
          <w:p>
            <w:pPr>
              <w:pStyle w:val="Normal"/>
              <w:jc w:val="both"/>
              <w:rPr>
                <w:rFonts w:eastAsia="Arial"/>
                <w:color w:val="000000"/>
                <w:sz w:val="24"/>
                <w:szCs w:val="24"/>
              </w:rPr>
            </w:pPr>
            <w:r>
              <w:rPr>
                <w:rFonts w:eastAsia="Arial"/>
                <w:color w:val="000000"/>
                <w:sz w:val="24"/>
                <w:szCs w:val="24"/>
              </w:rPr>
            </w:r>
          </w:p>
          <w:p>
            <w:pPr>
              <w:pStyle w:val="Normal"/>
              <w:jc w:val="both"/>
              <w:rPr>
                <w:b/>
                <w:b/>
                <w:sz w:val="24"/>
                <w:szCs w:val="24"/>
              </w:rPr>
            </w:pPr>
            <w:r>
              <w:rPr>
                <w:rFonts w:eastAsia="Arial"/>
                <w:b/>
                <w:bCs/>
                <w:color w:val="000000"/>
                <w:sz w:val="24"/>
                <w:szCs w:val="24"/>
              </w:rPr>
              <w:t>Focus</w:t>
            </w:r>
            <w:r>
              <w:rPr>
                <w:rFonts w:eastAsia="Arial"/>
                <w:color w:val="000000"/>
                <w:sz w:val="24"/>
                <w:szCs w:val="24"/>
              </w:rPr>
              <w:t xml:space="preserve"> on how you have made use of the additional sources of intelligence obtained through this complex investigation and </w:t>
            </w:r>
            <w:r>
              <w:rPr>
                <w:rFonts w:eastAsia="Arial"/>
                <w:b/>
                <w:bCs/>
                <w:color w:val="000000"/>
                <w:sz w:val="24"/>
                <w:szCs w:val="24"/>
              </w:rPr>
              <w:t>explain</w:t>
            </w:r>
            <w:r>
              <w:rPr>
                <w:rFonts w:eastAsia="Arial"/>
                <w:color w:val="000000"/>
                <w:sz w:val="24"/>
                <w:szCs w:val="24"/>
              </w:rPr>
              <w:t xml:space="preserve"> how you have </w:t>
            </w:r>
            <w:r>
              <w:rPr>
                <w:rFonts w:eastAsia="Arial"/>
                <w:b/>
                <w:bCs/>
                <w:color w:val="000000"/>
                <w:sz w:val="24"/>
                <w:szCs w:val="24"/>
              </w:rPr>
              <w:t>applied</w:t>
            </w:r>
            <w:r>
              <w:rPr>
                <w:rFonts w:eastAsia="Arial"/>
                <w:color w:val="000000"/>
                <w:sz w:val="24"/>
                <w:szCs w:val="24"/>
              </w:rPr>
              <w:t xml:space="preserve"> learning from previous serious and complex investigations.</w:t>
            </w:r>
          </w:p>
          <w:p>
            <w:pPr>
              <w:pStyle w:val="Normal"/>
              <w:ind w:left="0" w:right="237" w:hanging="0"/>
              <w:jc w:val="both"/>
              <w:rPr>
                <w:rFonts w:eastAsia="Arial"/>
                <w:color w:val="000000"/>
                <w:sz w:val="24"/>
                <w:szCs w:val="24"/>
              </w:rPr>
            </w:pPr>
            <w:r>
              <w:rPr>
                <w:rFonts w:eastAsia="Arial"/>
                <w:color w:val="000000"/>
                <w:sz w:val="24"/>
                <w:szCs w:val="24"/>
              </w:rPr>
            </w:r>
          </w:p>
          <w:p>
            <w:pPr>
              <w:pStyle w:val="Normal"/>
              <w:ind w:left="0" w:right="237" w:hanging="0"/>
              <w:jc w:val="both"/>
              <w:rPr>
                <w:rFonts w:eastAsia="Arial"/>
                <w:color w:val="000000"/>
                <w:sz w:val="24"/>
                <w:szCs w:val="24"/>
              </w:rPr>
            </w:pPr>
            <w:r>
              <w:rPr>
                <w:rFonts w:eastAsia="Arial"/>
                <w:color w:val="000000"/>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pPr>
              <w:pStyle w:val="Normal"/>
              <w:ind w:left="0" w:right="237" w:hanging="0"/>
              <w:jc w:val="both"/>
              <w:rPr>
                <w:rFonts w:eastAsia="Arial"/>
                <w:color w:val="000000"/>
                <w:sz w:val="24"/>
                <w:szCs w:val="24"/>
              </w:rPr>
            </w:pPr>
            <w:r>
              <w:rPr>
                <w:rFonts w:eastAsia="Arial"/>
                <w:color w:val="000000"/>
                <w:sz w:val="24"/>
                <w:szCs w:val="24"/>
              </w:rPr>
            </w:r>
          </w:p>
          <w:p>
            <w:pPr>
              <w:pStyle w:val="Normal"/>
              <w:ind w:left="0" w:right="237" w:hanging="0"/>
              <w:jc w:val="both"/>
              <w:rPr>
                <w:b/>
                <w:b/>
                <w:sz w:val="24"/>
                <w:szCs w:val="24"/>
              </w:rPr>
            </w:pPr>
            <w:r>
              <w:rPr>
                <w:rFonts w:eastAsia="Arial"/>
                <w:color w:val="000000"/>
                <w:sz w:val="24"/>
                <w:szCs w:val="24"/>
              </w:rPr>
              <w:t xml:space="preserve">1750 words </w:t>
            </w:r>
            <w:r>
              <w:rPr>
                <w:rFonts w:eastAsia="Arial"/>
                <w:i/>
                <w:iCs/>
                <w:color w:val="000000"/>
                <w:sz w:val="24"/>
                <w:szCs w:val="24"/>
              </w:rPr>
              <w:t>(+/- 10%: include your actual word count at the end of each section)</w:t>
            </w:r>
          </w:p>
          <w:p>
            <w:pPr>
              <w:pStyle w:val="Normal"/>
              <w:ind w:left="0" w:right="237" w:hanging="0"/>
              <w:jc w:val="both"/>
              <w:rPr>
                <w:rFonts w:eastAsia="Arial"/>
                <w:color w:val="000000"/>
                <w:sz w:val="24"/>
                <w:szCs w:val="24"/>
              </w:rPr>
            </w:pPr>
            <w:r>
              <w:rPr>
                <w:rFonts w:eastAsia="Arial"/>
                <w:color w:val="000000"/>
                <w:sz w:val="24"/>
                <w:szCs w:val="24"/>
              </w:rPr>
              <w:t xml:space="preserve"> </w:t>
            </w:r>
          </w:p>
        </w:tc>
      </w:tr>
    </w:tbl>
    <w:p>
      <w:pPr>
        <w:pStyle w:val="Normal"/>
        <w:ind w:left="0" w:right="237" w:hanging="0"/>
        <w:jc w:val="both"/>
        <w:rPr>
          <w:rFonts w:eastAsia="Arial"/>
          <w:color w:val="000000"/>
          <w:sz w:val="24"/>
          <w:szCs w:val="24"/>
        </w:rPr>
      </w:pPr>
      <w:r>
        <w:rPr>
          <w:rFonts w:eastAsia="Arial"/>
          <w:color w:val="000000"/>
          <w:sz w:val="24"/>
          <w:szCs w:val="24"/>
        </w:rPr>
      </w:r>
    </w:p>
    <w:p>
      <w:pPr>
        <w:pStyle w:val="Normal"/>
        <w:ind w:left="0" w:right="237" w:hanging="0"/>
        <w:jc w:val="both"/>
        <w:rPr>
          <w:b/>
          <w:b/>
          <w:sz w:val="24"/>
          <w:szCs w:val="24"/>
        </w:rPr>
      </w:pPr>
      <w:r>
        <w:rPr>
          <w:b/>
          <w:sz w:val="24"/>
          <w:szCs w:val="24"/>
        </w:rPr>
        <w:t>ANSWER:</w:t>
      </w:r>
    </w:p>
    <w:p>
      <w:pPr>
        <w:pStyle w:val="Normal"/>
        <w:ind w:left="0" w:right="237" w:hanging="0"/>
        <w:jc w:val="both"/>
        <w:rPr>
          <w:sz w:val="24"/>
          <w:szCs w:val="24"/>
        </w:rPr>
      </w:pPr>
      <w:r>
        <w:rPr>
          <w:sz w:val="24"/>
          <w:szCs w:val="24"/>
        </w:rPr>
      </w:r>
    </w:p>
    <w:p>
      <w:pPr>
        <w:pStyle w:val="TextBody"/>
        <w:rPr>
          <w:b w:val="false"/>
          <w:b w:val="false"/>
          <w:bCs w:val="false"/>
        </w:rPr>
      </w:pPr>
      <w:r>
        <w:rPr>
          <w:b w:val="false"/>
          <w:bCs w:val="false"/>
        </w:rPr>
        <w:t>In this essay I will be talking about an incident that I have attended that made me use all the relevant information and intelligence alongside my experiences thus far to better progress and deal with the crime.</w:t>
      </w:r>
    </w:p>
    <w:p>
      <w:pPr>
        <w:pStyle w:val="TextBody"/>
        <w:rPr>
          <w:b w:val="false"/>
          <w:b w:val="false"/>
          <w:bCs w:val="false"/>
        </w:rPr>
      </w:pPr>
      <w:r>
        <w:rPr>
          <w:b w:val="false"/>
          <w:bCs w:val="false"/>
        </w:rPr>
      </w:r>
    </w:p>
    <w:p>
      <w:pPr>
        <w:pStyle w:val="TextBody"/>
        <w:rPr>
          <w:b/>
          <w:b/>
          <w:sz w:val="24"/>
          <w:szCs w:val="24"/>
        </w:rPr>
      </w:pPr>
      <w:r>
        <w:rPr>
          <w:b w:val="false"/>
          <w:bCs w:val="false"/>
          <w:sz w:val="24"/>
          <w:szCs w:val="24"/>
        </w:rPr>
        <w:t xml:space="preserve">While on duty I was asked to look at a call involving a domestic incident that had occurred that night and to further the investigation. </w:t>
      </w:r>
    </w:p>
    <w:p>
      <w:pPr>
        <w:pStyle w:val="TextBody"/>
        <w:rPr>
          <w:b w:val="false"/>
          <w:b w:val="false"/>
          <w:bCs w:val="false"/>
          <w:sz w:val="24"/>
          <w:szCs w:val="24"/>
        </w:rPr>
      </w:pPr>
      <w:r>
        <w:rPr>
          <w:b w:val="false"/>
          <w:bCs w:val="false"/>
          <w:sz w:val="24"/>
          <w:szCs w:val="24"/>
        </w:rPr>
      </w:r>
    </w:p>
    <w:p>
      <w:pPr>
        <w:pStyle w:val="TextBody"/>
        <w:rPr>
          <w:b/>
          <w:b/>
          <w:sz w:val="24"/>
          <w:szCs w:val="24"/>
        </w:rPr>
      </w:pPr>
      <w:r>
        <w:rPr>
          <w:b w:val="false"/>
          <w:bCs w:val="false"/>
          <w:i/>
          <w:iCs/>
          <w:sz w:val="24"/>
          <w:szCs w:val="24"/>
        </w:rPr>
        <w:t>“</w:t>
      </w:r>
      <w:r>
        <w:rPr>
          <w:b w:val="false"/>
          <w:bCs w:val="false"/>
          <w:i/>
          <w:iCs/>
        </w:rPr>
        <w:t xml:space="preserve">We define domestic abuse as an incident or pattern of incidents of controlling, coercive, threatening, degrading and violent behaviour, including sexual violence, in the majority of cases by a partner or ex-partner” </w:t>
      </w:r>
      <w:r>
        <w:rPr>
          <w:b w:val="false"/>
          <w:bCs w:val="false"/>
          <w:i w:val="false"/>
          <w:iCs w:val="false"/>
        </w:rPr>
        <w:t>(Women’s Aid, no date.)</w:t>
      </w:r>
    </w:p>
    <w:p>
      <w:pPr>
        <w:pStyle w:val="TextBody"/>
        <w:rPr>
          <w:b w:val="false"/>
          <w:b w:val="false"/>
          <w:bCs w:val="false"/>
        </w:rPr>
      </w:pPr>
      <w:r>
        <w:rPr>
          <w:b w:val="false"/>
          <w:bCs w:val="false"/>
        </w:rPr>
      </w:r>
    </w:p>
    <w:p>
      <w:pPr>
        <w:pStyle w:val="TextBody"/>
        <w:rPr>
          <w:b w:val="false"/>
          <w:b w:val="false"/>
          <w:bCs w:val="false"/>
        </w:rPr>
      </w:pPr>
      <w:r>
        <w:rPr>
          <w:b w:val="false"/>
          <w:bCs w:val="false"/>
        </w:rPr>
      </w:r>
    </w:p>
    <w:p>
      <w:pPr>
        <w:pStyle w:val="TextBody"/>
        <w:rPr>
          <w:b w:val="false"/>
          <w:b w:val="false"/>
          <w:bCs w:val="false"/>
        </w:rPr>
      </w:pPr>
      <w:r>
        <w:rPr>
          <w:b w:val="false"/>
          <w:bCs w:val="false"/>
        </w:rPr>
        <w:t>Looking at what I had available so far I have been able to look at the call log entry which shows what has been stated by the reporting person to the police via the 999 call made. This gives you a basic idea of what has happened according to that person and details of the people that may be involved. The call was that an ex partner had turned up at the address with a jerry can full of petrol threatening to burn the house down and vehicles.</w:t>
      </w:r>
    </w:p>
    <w:p>
      <w:pPr>
        <w:pStyle w:val="TextBody"/>
        <w:rPr>
          <w:b w:val="false"/>
          <w:b w:val="false"/>
          <w:bCs w:val="false"/>
        </w:rPr>
      </w:pPr>
      <w:r>
        <w:rPr>
          <w:b w:val="false"/>
          <w:bCs w:val="false"/>
        </w:rPr>
      </w:r>
    </w:p>
    <w:p>
      <w:pPr>
        <w:pStyle w:val="TextBody"/>
        <w:rPr>
          <w:b w:val="false"/>
          <w:b w:val="false"/>
          <w:bCs w:val="false"/>
        </w:rPr>
      </w:pPr>
      <w:r>
        <w:rPr>
          <w:b w:val="false"/>
          <w:bCs w:val="false"/>
        </w:rPr>
        <w:t>Using the details of the people involved I have then been able to research these people to look at the previous calls to police as victims or suspects and to get some understanding of who they may be and if they pose any threat to myself or the public. This helps to build background information that I use alongside any other information I gather to help make an informed decision when the time comes to do so.</w:t>
      </w:r>
    </w:p>
    <w:p>
      <w:pPr>
        <w:pStyle w:val="TextBody"/>
        <w:rPr>
          <w:b w:val="false"/>
          <w:b w:val="false"/>
          <w:bCs w:val="false"/>
        </w:rPr>
      </w:pPr>
      <w:r>
        <w:rPr>
          <w:b w:val="false"/>
          <w:bCs w:val="false"/>
        </w:rPr>
      </w:r>
    </w:p>
    <w:p>
      <w:pPr>
        <w:pStyle w:val="TextBody"/>
        <w:rPr>
          <w:b w:val="false"/>
          <w:b w:val="false"/>
          <w:bCs w:val="false"/>
        </w:rPr>
      </w:pPr>
      <w:r>
        <w:rPr>
          <w:b w:val="false"/>
          <w:bCs w:val="false"/>
        </w:rPr>
        <w:t>After I have gathered this information and due to the fact this was not an emergency call so there was no reason to leave without finding this out I was then able to go to the address.</w:t>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Upon arrival I have establish who the reporting person was and was able to firstly see if they were in a fit and healthy state to be able to provide a statement and if they wished to. If they felt this was a safe area to do so and if they needed any additional support to provide this. </w:t>
      </w:r>
    </w:p>
    <w:p>
      <w:pPr>
        <w:pStyle w:val="TextBody"/>
        <w:rPr>
          <w:b w:val="false"/>
          <w:b w:val="false"/>
          <w:bCs w:val="false"/>
        </w:rPr>
      </w:pPr>
      <w:r>
        <w:rPr>
          <w:b w:val="false"/>
          <w:bCs w:val="false"/>
        </w:rPr>
      </w:r>
    </w:p>
    <w:p>
      <w:pPr>
        <w:pStyle w:val="TextBody"/>
        <w:rPr>
          <w:b w:val="false"/>
          <w:b w:val="false"/>
          <w:bCs w:val="false"/>
        </w:rPr>
      </w:pPr>
      <w:r>
        <w:rPr>
          <w:b w:val="false"/>
          <w:bCs w:val="false"/>
        </w:rPr>
        <w:t>I have then taken the statement from this person and the crimes disclosed were conspiracy to commit arson, threats of criminal damage and public order section 4. while taking the statement I was then able to ensure that the points to prove for each offence were there to show that there was a criminal offence had taken place.</w:t>
      </w:r>
    </w:p>
    <w:p>
      <w:pPr>
        <w:pStyle w:val="TextBody"/>
        <w:rPr>
          <w:b w:val="false"/>
          <w:b w:val="false"/>
          <w:bCs w:val="false"/>
        </w:rPr>
      </w:pPr>
      <w:r>
        <w:rPr>
          <w:b w:val="false"/>
          <w:bCs w:val="false"/>
        </w:rPr>
      </w:r>
    </w:p>
    <w:p>
      <w:pPr>
        <w:pStyle w:val="TextBody"/>
        <w:rPr>
          <w:b w:val="false"/>
          <w:b w:val="false"/>
          <w:bCs w:val="false"/>
        </w:rPr>
      </w:pPr>
      <w:r>
        <w:rPr>
          <w:b w:val="false"/>
          <w:bCs w:val="false"/>
        </w:rPr>
        <w:t>Due to the nature of the call and the criminal offences committed the first concern I had was for the safety of the victim and to provide as much safeguarding as needed for that person to be safe and secure in there home. This was amplified as the suspect in the case was still out in the public and not in the custody of police. Due to the conspiracy to commit arson and the fact the offender had left a jerry can of petrol which was seized by the police. Due to this I then had considerations of what I could do to help safeguard the victim from arson. Using multi agency working I was able to apply for target hardening on the address which was a referral that I put in place whereabouts the fire department would come to the address to ensure that it was as fire retardant as possible. I have also completed a Domestic Violence Stalking and Harassment form, this enables me to asses the level of risk posed to the individual.</w:t>
      </w:r>
    </w:p>
    <w:p>
      <w:pPr>
        <w:pStyle w:val="TextBody"/>
        <w:rPr>
          <w:b w:val="false"/>
          <w:b w:val="false"/>
          <w:bCs w:val="false"/>
        </w:rPr>
      </w:pPr>
      <w:r>
        <w:rPr>
          <w:b w:val="false"/>
          <w:bCs w:val="false"/>
        </w:rPr>
      </w:r>
    </w:p>
    <w:p>
      <w:pPr>
        <w:pStyle w:val="TextBody"/>
        <w:rPr>
          <w:b/>
          <w:b/>
          <w:sz w:val="24"/>
          <w:szCs w:val="24"/>
        </w:rPr>
      </w:pPr>
      <w:r>
        <w:rPr>
          <w:b w:val="false"/>
          <w:bCs w:val="false"/>
          <w:i/>
          <w:iCs/>
        </w:rPr>
        <w:t>“</w:t>
      </w:r>
      <w:r>
        <w:rPr>
          <w:b w:val="false"/>
          <w:bCs w:val="false"/>
          <w:i/>
          <w:iCs/>
        </w:rPr>
        <w:t>Results suggest that a low-intensity target-hardening intervention which adopted a near-repeat victimisation targeting strategy had a modest positive effect on residential burglary without increasing residents’ fear of crime”</w:t>
      </w:r>
      <w:r>
        <w:rPr>
          <w:b w:val="false"/>
          <w:bCs w:val="false"/>
        </w:rPr>
        <w:t xml:space="preserve"> </w:t>
      </w:r>
      <w:hyperlink r:id="rId18">
        <w:r>
          <w:rPr>
            <w:b w:val="false"/>
            <w:bCs w:val="false"/>
          </w:rPr>
          <w:t>(Johnson, S.D. 2017).</w:t>
        </w:r>
      </w:hyperlink>
    </w:p>
    <w:p>
      <w:pPr>
        <w:pStyle w:val="TextBody"/>
        <w:rPr>
          <w:b/>
          <w:b/>
          <w:sz w:val="24"/>
          <w:szCs w:val="24"/>
        </w:rPr>
      </w:pPr>
      <w:r>
        <w:rPr>
          <w:b/>
          <w:sz w:val="24"/>
          <w:szCs w:val="24"/>
        </w:rPr>
      </w:r>
    </w:p>
    <w:p>
      <w:pPr>
        <w:pStyle w:val="TextBody"/>
        <w:rPr>
          <w:b w:val="false"/>
          <w:b w:val="false"/>
          <w:bCs w:val="false"/>
        </w:rPr>
      </w:pPr>
      <w:r>
        <w:rPr>
          <w:b w:val="false"/>
          <w:bCs w:val="false"/>
        </w:rPr>
        <w:t>Although this study is in relation to burglary I believe that this could be transferable to arson in the same way.</w:t>
      </w:r>
    </w:p>
    <w:p>
      <w:pPr>
        <w:pStyle w:val="TextBody"/>
        <w:rPr>
          <w:b w:val="false"/>
          <w:b w:val="false"/>
          <w:bCs w:val="false"/>
        </w:rPr>
      </w:pPr>
      <w:r>
        <w:rPr>
          <w:b w:val="false"/>
          <w:bCs w:val="false"/>
        </w:rPr>
      </w:r>
    </w:p>
    <w:p>
      <w:pPr>
        <w:pStyle w:val="TextBody"/>
        <w:rPr>
          <w:b/>
          <w:b/>
          <w:sz w:val="24"/>
          <w:szCs w:val="24"/>
        </w:rPr>
      </w:pPr>
      <w:r>
        <w:rPr>
          <w:b w:val="false"/>
          <w:bCs w:val="false"/>
          <w:sz w:val="24"/>
          <w:szCs w:val="24"/>
        </w:rPr>
        <w:t xml:space="preserve">I have then had to look for any further lines of enquiry that would lead me to be able to progress this statement and provide further evidence. I have then performed house to house enquiry's and was able to get footage from a ring doorbell from the neighbour which was able to place this person at the scene at the time and show the threats made by that person. What it did not show was the jerry can tat had been seized by police so I have performed further investigations into this. </w:t>
      </w:r>
    </w:p>
    <w:p>
      <w:pPr>
        <w:pStyle w:val="TextBody"/>
        <w:rPr>
          <w:b/>
          <w:b/>
          <w:sz w:val="24"/>
          <w:szCs w:val="24"/>
        </w:rPr>
      </w:pPr>
      <w:r>
        <w:rPr>
          <w:b/>
          <w:sz w:val="24"/>
          <w:szCs w:val="24"/>
        </w:rPr>
      </w:r>
    </w:p>
    <w:p>
      <w:pPr>
        <w:pStyle w:val="TextBody"/>
        <w:rPr>
          <w:b/>
          <w:b/>
          <w:sz w:val="24"/>
          <w:szCs w:val="24"/>
        </w:rPr>
      </w:pPr>
      <w:r>
        <w:rPr>
          <w:b w:val="false"/>
          <w:bCs w:val="false"/>
          <w:i/>
          <w:iCs/>
          <w:sz w:val="24"/>
          <w:szCs w:val="24"/>
        </w:rPr>
        <w:t>“</w:t>
      </w:r>
      <w:r>
        <w:rPr>
          <w:b w:val="false"/>
          <w:bCs w:val="false"/>
          <w:i/>
          <w:iCs/>
          <w:sz w:val="24"/>
          <w:szCs w:val="24"/>
        </w:rPr>
        <w:t>T</w:t>
      </w:r>
      <w:r>
        <w:rPr>
          <w:b w:val="false"/>
          <w:bCs w:val="false"/>
          <w:i/>
          <w:iCs/>
        </w:rPr>
        <w:t>his article examines the admissibility of evidence from CCTV cameras, tracing the development of the law from the admissibility of photographs to audio-tape, video-tape and digital images in terms of: evidential status (and the application of the hearsay rule)”</w:t>
      </w:r>
      <w:r>
        <w:rPr>
          <w:b w:val="false"/>
          <w:bCs w:val="false"/>
        </w:rPr>
        <w:t xml:space="preserve"> </w:t>
      </w:r>
      <w:hyperlink r:id="rId19">
        <w:r>
          <w:rPr>
            <w:b w:val="false"/>
            <w:bCs w:val="false"/>
          </w:rPr>
          <w:t>(Murphy, T. 2010).</w:t>
        </w:r>
      </w:hyperlink>
    </w:p>
    <w:p>
      <w:pPr>
        <w:pStyle w:val="TextBody"/>
        <w:rPr>
          <w:b/>
          <w:b/>
          <w:sz w:val="24"/>
          <w:szCs w:val="24"/>
        </w:rPr>
      </w:pPr>
      <w:r>
        <w:rPr>
          <w:b/>
          <w:sz w:val="24"/>
          <w:szCs w:val="24"/>
        </w:rPr>
      </w:r>
    </w:p>
    <w:p>
      <w:pPr>
        <w:pStyle w:val="TextBody"/>
        <w:rPr>
          <w:b/>
          <w:b/>
          <w:sz w:val="24"/>
          <w:szCs w:val="24"/>
        </w:rPr>
      </w:pPr>
      <w:r>
        <w:rPr>
          <w:b w:val="false"/>
          <w:bCs w:val="false"/>
        </w:rPr>
        <w:t xml:space="preserve">This study shows that video footage is considered as good evidence as there is no interpretation and only shows what happened and when. </w:t>
      </w:r>
    </w:p>
    <w:p>
      <w:pPr>
        <w:pStyle w:val="TextBody"/>
        <w:rPr>
          <w:b w:val="false"/>
          <w:b w:val="false"/>
          <w:bCs w:val="false"/>
        </w:rPr>
      </w:pPr>
      <w:r>
        <w:rPr>
          <w:b w:val="false"/>
          <w:bCs w:val="false"/>
        </w:rPr>
      </w:r>
    </w:p>
    <w:p>
      <w:pPr>
        <w:pStyle w:val="TextBody"/>
        <w:rPr>
          <w:b w:val="false"/>
          <w:b w:val="false"/>
          <w:bCs w:val="false"/>
        </w:rPr>
      </w:pPr>
      <w:r>
        <w:rPr>
          <w:b w:val="false"/>
          <w:bCs w:val="false"/>
        </w:rPr>
        <w:t>I was then able to find a witness that was prepared to provide a statement and in so has described this person and how they know it to be this person with the item in question and also provide details of what the item looked like. This then strengthens the case and the offences that have been alleged.</w:t>
      </w:r>
    </w:p>
    <w:p>
      <w:pPr>
        <w:pStyle w:val="TextBody"/>
        <w:rPr>
          <w:b w:val="false"/>
          <w:b w:val="false"/>
          <w:bCs w:val="false"/>
        </w:rPr>
      </w:pPr>
      <w:r>
        <w:rPr>
          <w:b w:val="false"/>
          <w:bCs w:val="false"/>
        </w:rPr>
      </w:r>
    </w:p>
    <w:p>
      <w:pPr>
        <w:pStyle w:val="TextBody"/>
        <w:rPr>
          <w:b w:val="false"/>
          <w:b w:val="false"/>
          <w:bCs w:val="false"/>
        </w:rPr>
      </w:pPr>
      <w:r>
        <w:rPr>
          <w:b w:val="false"/>
          <w:bCs w:val="false"/>
        </w:rPr>
        <w:t>While performing this investigation it transpired that there was three victims to this offence who have all provided statements. 1 witness that provided a statement and seized video evidence of the offence in question. Compiling all this together gave me the ability to have the necessity for  arrest and to detain this person. I have then gone on active patrol for this person to try and locate them but was unable to on that day. I have then put this person on the handover sheets for my area asking officers to perform a priority arrest as this person was a high risk domestic violence offender.</w:t>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On my next shift I have looked at my previous occurrence and noticed that the offender was not located by police. This then meant I was able to try and locate this person myself. I have then had to think about what resources I have available to myself to locate this person. </w:t>
      </w:r>
    </w:p>
    <w:p>
      <w:pPr>
        <w:pStyle w:val="TextBody"/>
        <w:rPr>
          <w:b w:val="false"/>
          <w:b w:val="false"/>
          <w:bCs w:val="false"/>
        </w:rPr>
      </w:pPr>
      <w:r>
        <w:rPr>
          <w:b w:val="false"/>
          <w:bCs w:val="false"/>
        </w:rPr>
      </w:r>
    </w:p>
    <w:p>
      <w:pPr>
        <w:pStyle w:val="TextBody"/>
        <w:rPr>
          <w:b w:val="false"/>
          <w:b w:val="false"/>
          <w:bCs w:val="false"/>
        </w:rPr>
      </w:pPr>
      <w:r>
        <w:rPr>
          <w:b w:val="false"/>
          <w:bCs w:val="false"/>
        </w:rPr>
        <w:t>Firstly I compiled a list of addresses that were linked to this person. I have then also looked at all the information and intelligence on this person and any other addresses that were stated. I looked at the incidents this person had been involved in and the locations that he had been found previously. Once all this has compiled I have asked for an officer to come with me to these addresses, this was due to the markers on this person for violence.</w:t>
      </w:r>
    </w:p>
    <w:p>
      <w:pPr>
        <w:pStyle w:val="TextBody"/>
        <w:rPr>
          <w:b w:val="false"/>
          <w:b w:val="false"/>
          <w:bCs w:val="false"/>
        </w:rPr>
      </w:pPr>
      <w:r>
        <w:rPr>
          <w:b w:val="false"/>
          <w:bCs w:val="false"/>
        </w:rPr>
      </w:r>
    </w:p>
    <w:p>
      <w:pPr>
        <w:pStyle w:val="TextBody"/>
        <w:rPr>
          <w:b w:val="false"/>
          <w:b w:val="false"/>
          <w:bCs w:val="false"/>
        </w:rPr>
      </w:pPr>
      <w:r>
        <w:rPr>
          <w:b w:val="false"/>
          <w:bCs w:val="false"/>
        </w:rPr>
        <w:t>During this process I have maintained contact with the victims in order to help them feel confidence in the police and that the force was actively trying to resolve this issue. This I felt was very important as there was going to be a big impact on the community if the police were not able to deal with this situation. Due to there being three victims how this was dealt with would be told to multiple people in a small area and this may affect a lot of peoples trust in the community. Another action that I undertook was for the community support officers to patrol the area of the victim to provide presence and reassurance to the residents.</w:t>
      </w:r>
    </w:p>
    <w:p>
      <w:pPr>
        <w:pStyle w:val="TextBody"/>
        <w:rPr>
          <w:b w:val="false"/>
          <w:b w:val="false"/>
          <w:bCs w:val="false"/>
        </w:rPr>
      </w:pPr>
      <w:r>
        <w:rPr>
          <w:b w:val="false"/>
          <w:bCs w:val="false"/>
        </w:rPr>
      </w:r>
    </w:p>
    <w:p>
      <w:pPr>
        <w:pStyle w:val="TextBody"/>
        <w:rPr>
          <w:b w:val="false"/>
          <w:b w:val="false"/>
          <w:bCs w:val="false"/>
        </w:rPr>
      </w:pPr>
      <w:r>
        <w:rPr>
          <w:b w:val="false"/>
          <w:bCs w:val="false"/>
        </w:rPr>
        <w:t>With all the information gathered I was able to locate this person at an address that was supplied via information and intelligence. The person was arrested on suspicion of all the allegations and conveyed to custody. This person had to be handcuffed during this process. This was not done straight away but while speaking to the person I could see him hiding something in his pocket which turned out to be a needle. Due to this he was placed in cuffs for the safety of myself, collogues and himself.</w:t>
      </w:r>
    </w:p>
    <w:p>
      <w:pPr>
        <w:pStyle w:val="TextBody"/>
        <w:rPr>
          <w:b w:val="false"/>
          <w:b w:val="false"/>
          <w:bCs w:val="false"/>
        </w:rPr>
      </w:pPr>
      <w:r>
        <w:rPr>
          <w:b w:val="false"/>
          <w:bCs w:val="false"/>
        </w:rPr>
      </w:r>
    </w:p>
    <w:p>
      <w:pPr>
        <w:pStyle w:val="TextBody"/>
        <w:rPr>
          <w:b w:val="false"/>
          <w:b w:val="false"/>
          <w:bCs w:val="false"/>
        </w:rPr>
      </w:pPr>
      <w:r>
        <w:rPr>
          <w:b w:val="false"/>
          <w:bCs w:val="false"/>
        </w:rPr>
        <w:t>Due to the incident being deemed as a high risk incident CID then took over the rest of the investigation including interview. I ensured that all my documentation was in place and available and all evidence was preserved. All my actions were justified and legal and was to promote the well-being of all involved. Although no diversity issues presented itself in this incident I did ensure that my approach was ethical and was fully adjacent to the code of ethics that are at the centre of everything that I do within the police force. I took a statement off somebody that considered themselves to be elderly and as such is a protected characteristic. I ensured that she was safeguarded and felt confident in providing a statement that the police would take action and do there best to get a positive result.</w:t>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This incident was a big learning experiences from myself where I have dealt with multiple victims and witnesses, age was a factor for some as all three victims had children and a public protection notice had to be submitted for all three. Communication was also a big factor in this as I was fully aware that I wanted to ensure that all involved were updated at the right times and could gain confidence within the police force. This in turn could have the potential to reflect within the community and wider communities. </w:t>
      </w:r>
      <w:r>
        <w:rPr>
          <w:b w:val="false"/>
          <w:bCs w:val="false"/>
        </w:rPr>
        <w:t>Although this may just be theoretical it posses the best chance for the force when there are people who have had a positive experience and will be able to speak positively about the force that has dealt with the crime and not reflec5 upon such a big incident in there life with reservations of the police force</w:t>
      </w:r>
    </w:p>
    <w:p>
      <w:pPr>
        <w:pStyle w:val="TextBody"/>
        <w:rPr>
          <w:b w:val="false"/>
          <w:b w:val="false"/>
          <w:bCs w:val="false"/>
        </w:rPr>
      </w:pPr>
      <w:r>
        <w:rPr>
          <w:b w:val="false"/>
          <w:bCs w:val="false"/>
        </w:rPr>
      </w:r>
    </w:p>
    <w:p>
      <w:pPr>
        <w:pStyle w:val="TextBody"/>
        <w:rPr>
          <w:b w:val="false"/>
          <w:b w:val="false"/>
          <w:bCs w:val="false"/>
        </w:rPr>
      </w:pPr>
      <w:r>
        <w:rPr>
          <w:b w:val="false"/>
          <w:bCs w:val="false"/>
        </w:rPr>
        <w:t>1597</w:t>
      </w:r>
    </w:p>
    <w:p>
      <w:pPr>
        <w:pStyle w:val="TextBody"/>
        <w:rPr>
          <w:b w:val="false"/>
          <w:b w:val="false"/>
          <w:bCs w:val="false"/>
        </w:rPr>
      </w:pPr>
      <w:r>
        <w:rPr>
          <w:b w:val="false"/>
          <w:bCs w:val="false"/>
        </w:rPr>
      </w:r>
    </w:p>
    <w:p>
      <w:pPr>
        <w:pStyle w:val="TextBody"/>
        <w:rPr>
          <w:b w:val="false"/>
          <w:b w:val="false"/>
          <w:bCs w:val="false"/>
        </w:rPr>
      </w:pPr>
      <w:r>
        <w:rPr>
          <w:b w:val="false"/>
          <w:bCs w:val="false"/>
        </w:rPr>
        <w:t>References</w:t>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Johnson, S.D., Davies, T., Murray, A. </w:t>
      </w:r>
      <w:r>
        <w:rPr>
          <w:b w:val="false"/>
          <w:bCs w:val="false"/>
          <w:i/>
        </w:rPr>
        <w:t>et al.</w:t>
      </w:r>
      <w:r>
        <w:rPr>
          <w:b w:val="false"/>
          <w:bCs w:val="false"/>
        </w:rPr>
        <w:t xml:space="preserve"> Evaluation of operation swordfish: a near-repeat target-hardening strategy. </w:t>
      </w:r>
      <w:r>
        <w:rPr>
          <w:b w:val="false"/>
          <w:bCs w:val="false"/>
          <w:i/>
        </w:rPr>
        <w:t>J Exp Criminol</w:t>
      </w:r>
      <w:r>
        <w:rPr>
          <w:b w:val="false"/>
          <w:bCs w:val="false"/>
        </w:rPr>
        <w:t xml:space="preserve"> </w:t>
      </w:r>
      <w:r>
        <w:rPr>
          <w:b/>
          <w:bCs w:val="false"/>
        </w:rPr>
        <w:t xml:space="preserve">13, </w:t>
      </w:r>
      <w:r>
        <w:rPr>
          <w:b w:val="false"/>
          <w:bCs w:val="false"/>
        </w:rPr>
        <w:t xml:space="preserve">505–525 (2017). </w:t>
      </w:r>
      <w:hyperlink r:id="rId20">
        <w:r>
          <w:rPr>
            <w:rStyle w:val="InternetLink"/>
            <w:b w:val="false"/>
            <w:bCs w:val="false"/>
          </w:rPr>
          <w:t>https://doi.org/10.1007/s11292-017-9301-7</w:t>
        </w:r>
      </w:hyperlink>
      <w:r>
        <w:rPr>
          <w:b w:val="false"/>
          <w:bCs w:val="false"/>
        </w:rPr>
        <w:t xml:space="preserve"> </w:t>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Murphy, T. 2010. </w:t>
      </w:r>
      <w:r>
        <w:rPr>
          <w:b w:val="false"/>
          <w:bCs w:val="false"/>
          <w:i/>
          <w:iCs/>
        </w:rPr>
        <w:t xml:space="preserve">The Admissibility of CCTV Evidence in Criminal Proceedings. </w:t>
      </w:r>
      <w:r>
        <w:rPr>
          <w:b w:val="false"/>
          <w:bCs w:val="false"/>
          <w:i w:val="false"/>
          <w:iCs w:val="false"/>
        </w:rPr>
        <w:t xml:space="preserve">International Review of Law, Computers and Technology 13(3), pp 383-404. </w:t>
      </w:r>
      <w:hyperlink r:id="rId21">
        <w:r>
          <w:rPr>
            <w:rStyle w:val="InternetLink"/>
            <w:b w:val="false"/>
            <w:bCs w:val="false"/>
            <w:i w:val="false"/>
            <w:iCs w:val="false"/>
          </w:rPr>
          <w:t>https://doi.org/10.1080/13600869955044</w:t>
        </w:r>
      </w:hyperlink>
      <w:r>
        <w:rPr>
          <w:b w:val="false"/>
          <w:bCs w:val="false"/>
          <w:i w:val="false"/>
          <w:iCs w:val="false"/>
        </w:rPr>
        <w:t xml:space="preserve"> </w:t>
      </w:r>
    </w:p>
    <w:p>
      <w:pPr>
        <w:pStyle w:val="TextBody"/>
        <w:rPr>
          <w:b w:val="false"/>
          <w:b w:val="false"/>
          <w:bCs w:val="false"/>
        </w:rPr>
      </w:pPr>
      <w:r>
        <w:rPr>
          <w:b w:val="false"/>
          <w:bCs w:val="false"/>
        </w:rPr>
      </w:r>
    </w:p>
    <w:p>
      <w:pPr>
        <w:pStyle w:val="TextBody"/>
        <w:rPr>
          <w:b w:val="false"/>
          <w:b w:val="false"/>
          <w:bCs w:val="false"/>
        </w:rPr>
      </w:pPr>
      <w:r>
        <w:rPr>
          <w:b w:val="false"/>
          <w:bCs w:val="false"/>
        </w:rPr>
      </w:r>
    </w:p>
    <w:p>
      <w:pPr>
        <w:pStyle w:val="TextBody"/>
        <w:rPr>
          <w:b w:val="false"/>
          <w:b w:val="false"/>
          <w:bCs w:val="false"/>
        </w:rPr>
      </w:pPr>
      <w:r>
        <w:rPr>
          <w:b w:val="false"/>
          <w:bCs w:val="false"/>
        </w:rPr>
        <w:t xml:space="preserve">Women’s Aid. No date. </w:t>
      </w:r>
      <w:r>
        <w:rPr>
          <w:b w:val="false"/>
          <w:bCs w:val="false"/>
          <w:i/>
          <w:iCs/>
        </w:rPr>
        <w:t xml:space="preserve">What is Domestic Abuse?. </w:t>
      </w:r>
      <w:r>
        <w:rPr>
          <w:b w:val="false"/>
          <w:bCs w:val="false"/>
          <w:i w:val="false"/>
          <w:iCs w:val="false"/>
        </w:rPr>
        <w:t xml:space="preserve">Available at: </w:t>
      </w:r>
      <w:hyperlink r:id="rId22">
        <w:r>
          <w:rPr>
            <w:rStyle w:val="InternetLink"/>
            <w:b w:val="false"/>
            <w:bCs w:val="false"/>
            <w:i w:val="false"/>
            <w:iCs w:val="false"/>
          </w:rPr>
          <w:t>https://www.womensaid.org.uk/information-support/what-is-domestic-abuse/</w:t>
        </w:r>
      </w:hyperlink>
      <w:r>
        <w:rPr>
          <w:b w:val="false"/>
          <w:bCs w:val="false"/>
          <w:i w:val="false"/>
          <w:iCs w:val="false"/>
        </w:rPr>
        <w:t xml:space="preserve"> [Accessed 10/06/2022]. </w:t>
      </w:r>
    </w:p>
    <w:p>
      <w:pPr>
        <w:pStyle w:val="Normal"/>
        <w:ind w:left="0" w:right="237" w:hanging="0"/>
        <w:jc w:val="both"/>
        <w:rPr>
          <w:sz w:val="24"/>
          <w:szCs w:val="24"/>
        </w:rPr>
      </w:pPr>
      <w:r>
        <w:rPr>
          <w:sz w:val="24"/>
          <w:szCs w:val="24"/>
        </w:rPr>
      </w:r>
    </w:p>
    <w:p>
      <w:pPr>
        <w:pStyle w:val="ListParagraph"/>
        <w:spacing w:lineRule="auto" w:line="480" w:before="0" w:after="0"/>
        <w:ind w:left="0" w:right="0" w:hanging="0"/>
        <w:contextualSpacing/>
        <w:jc w:val="both"/>
        <w:rPr>
          <w:rFonts w:ascii="Calibri" w:hAnsi="Calibri"/>
          <w:i/>
          <w:i/>
          <w:iCs/>
          <w:sz w:val="24"/>
          <w:szCs w:val="24"/>
        </w:rPr>
      </w:pPr>
      <w:r>
        <w:rPr>
          <w:rFonts w:ascii="Calibri" w:hAnsi="Calibri"/>
          <w:i/>
          <w:iCs/>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pStyle w:val="Normal"/>
        <w:ind w:left="0" w:right="237" w:hanging="0"/>
        <w:jc w:val="both"/>
        <w:rPr>
          <w:b/>
          <w:b/>
          <w:sz w:val="24"/>
          <w:szCs w:val="24"/>
        </w:rPr>
      </w:pPr>
      <w:r>
        <w:rPr>
          <w:b/>
          <w:sz w:val="24"/>
          <w:szCs w:val="24"/>
        </w:rPr>
      </w:r>
    </w:p>
    <w:p>
      <w:pPr>
        <w:pStyle w:val="Normal"/>
        <w:ind w:left="0" w:right="237" w:hanging="0"/>
        <w:rPr>
          <w:b/>
          <w:b/>
          <w:sz w:val="24"/>
          <w:szCs w:val="24"/>
        </w:rPr>
      </w:pPr>
      <w:r>
        <w:rPr>
          <w:b/>
          <w:sz w:val="24"/>
          <w:szCs w:val="24"/>
        </w:rPr>
      </w:r>
      <w:r>
        <w:br w:type="page"/>
      </w:r>
    </w:p>
    <w:p>
      <w:pPr>
        <w:pStyle w:val="Normal"/>
        <w:ind w:left="0" w:right="237" w:hanging="0"/>
        <w:jc w:val="both"/>
        <w:rPr>
          <w:sz w:val="24"/>
          <w:szCs w:val="24"/>
        </w:rPr>
      </w:pPr>
      <w:r>
        <w:rPr>
          <w:sz w:val="24"/>
          <w:szCs w:val="24"/>
        </w:rPr>
      </w:r>
    </w:p>
    <w:p>
      <w:pPr>
        <w:pStyle w:val="Normal"/>
        <w:ind w:left="0" w:right="237" w:hanging="0"/>
        <w:jc w:val="center"/>
        <w:rPr>
          <w:b/>
          <w:b/>
          <w:bCs/>
          <w:sz w:val="24"/>
          <w:szCs w:val="24"/>
        </w:rPr>
      </w:pPr>
      <w:r>
        <w:rPr>
          <w:b/>
          <w:bCs/>
          <w:sz w:val="24"/>
          <w:szCs w:val="24"/>
        </w:rPr>
        <w:t>Task 5</w:t>
      </w:r>
    </w:p>
    <w:p>
      <w:pPr>
        <w:pStyle w:val="Normal"/>
        <w:ind w:left="0" w:right="237" w:hanging="0"/>
        <w:jc w:val="both"/>
        <w:rPr>
          <w:b/>
          <w:b/>
          <w:color w:val="auto"/>
          <w:sz w:val="24"/>
          <w:szCs w:val="24"/>
        </w:rPr>
      </w:pPr>
      <w:r>
        <w:rPr>
          <w:b/>
          <w:color w:val="auto"/>
          <w:sz w:val="24"/>
          <w:szCs w:val="24"/>
        </w:rPr>
        <w:t xml:space="preserve">Relevant areas of the National Policing Curriculum: </w:t>
      </w:r>
    </w:p>
    <w:p>
      <w:pPr>
        <w:pStyle w:val="Normal"/>
        <w:overflowPunct w:val="false"/>
        <w:textAlignment w:val="auto"/>
        <w:rPr>
          <w:b/>
          <w:b/>
          <w:color w:val="auto"/>
          <w:sz w:val="24"/>
          <w:szCs w:val="24"/>
        </w:rPr>
      </w:pPr>
      <w:r>
        <w:rPr>
          <w:b/>
          <w:color w:val="auto"/>
          <w:sz w:val="24"/>
          <w:szCs w:val="24"/>
        </w:rPr>
        <w:t>Digital Policing, Vulnerability and Risk </w:t>
      </w:r>
    </w:p>
    <w:p>
      <w:pPr>
        <w:pStyle w:val="Normal"/>
        <w:ind w:left="0" w:right="237" w:hanging="0"/>
        <w:jc w:val="both"/>
        <w:rPr>
          <w:b/>
          <w:b/>
          <w:sz w:val="24"/>
          <w:szCs w:val="24"/>
        </w:rPr>
      </w:pPr>
      <w:r>
        <w:rPr>
          <w:b/>
          <w:sz w:val="24"/>
          <w:szCs w:val="24"/>
        </w:rPr>
      </w:r>
    </w:p>
    <w:p>
      <w:pPr>
        <w:pStyle w:val="TableParagraph"/>
        <w:tabs>
          <w:tab w:val="clear" w:pos="720"/>
          <w:tab w:val="left" w:pos="355" w:leader="none"/>
        </w:tabs>
        <w:ind w:left="0" w:right="237" w:hanging="0"/>
        <w:rPr>
          <w:b/>
          <w:b/>
          <w:sz w:val="24"/>
          <w:szCs w:val="24"/>
        </w:rPr>
      </w:pPr>
      <w:r>
        <w:rPr>
          <w:sz w:val="24"/>
          <w:szCs w:val="24"/>
        </w:rPr>
        <w:t xml:space="preserve">You must choose </w:t>
      </w:r>
      <w:r>
        <w:rPr>
          <w:b/>
          <w:sz w:val="24"/>
          <w:szCs w:val="24"/>
          <w:u w:val="single"/>
        </w:rPr>
        <w:t>an incident</w:t>
      </w:r>
      <w:r>
        <w:rPr>
          <w:b/>
          <w:sz w:val="24"/>
          <w:szCs w:val="24"/>
        </w:rPr>
        <w:t xml:space="preserve"> </w:t>
      </w:r>
      <w:r>
        <w:rPr>
          <w:rFonts w:eastAsia="Times New Roman"/>
          <w:color w:val="000000"/>
          <w:sz w:val="24"/>
          <w:szCs w:val="24"/>
          <w:lang w:bidi="ar-SA"/>
        </w:rPr>
        <w:t>involving digital technologies</w:t>
      </w:r>
      <w:r>
        <w:rPr>
          <w:bCs/>
          <w:sz w:val="24"/>
          <w:szCs w:val="24"/>
        </w:rPr>
        <w:t xml:space="preserve"> and reflect</w:t>
      </w:r>
      <w:r>
        <w:rPr>
          <w:sz w:val="24"/>
          <w:szCs w:val="24"/>
        </w:rPr>
        <w:t xml:space="preserve"> on how you pro</w:t>
      </w:r>
      <w:r>
        <w:rPr>
          <w:rFonts w:eastAsia="Times New Roman"/>
          <w:color w:val="000000"/>
          <w:sz w:val="24"/>
          <w:szCs w:val="24"/>
          <w:lang w:bidi="ar-SA"/>
        </w:rPr>
        <w:t xml:space="preserve">vided an appropriate initial police response. </w:t>
      </w:r>
    </w:p>
    <w:p>
      <w:pPr>
        <w:pStyle w:val="Normal"/>
        <w:ind w:left="0" w:right="237" w:hanging="0"/>
        <w:jc w:val="both"/>
        <w:rPr>
          <w:b/>
          <w:b/>
          <w:sz w:val="24"/>
          <w:szCs w:val="24"/>
        </w:rPr>
      </w:pPr>
      <w:r>
        <w:rPr>
          <w:b/>
          <w:sz w:val="24"/>
          <w:szCs w:val="24"/>
        </w:rPr>
      </w:r>
    </w:p>
    <w:tbl>
      <w:tblPr>
        <w:tblW w:w="9016" w:type="dxa"/>
        <w:jc w:val="left"/>
        <w:tblInd w:w="108" w:type="dxa"/>
        <w:tblCellMar>
          <w:top w:w="0" w:type="dxa"/>
          <w:left w:w="108" w:type="dxa"/>
          <w:bottom w:w="0" w:type="dxa"/>
          <w:right w:w="108" w:type="dxa"/>
        </w:tblCellMar>
      </w:tblPr>
      <w:tblGrid>
        <w:gridCol w:w="9016"/>
      </w:tblGrid>
      <w:tr>
        <w:trPr/>
        <w:tc>
          <w:tcPr>
            <w:tcW w:w="9016" w:type="dxa"/>
            <w:tcBorders>
              <w:top w:val="single" w:sz="4" w:space="0" w:color="000000"/>
              <w:left w:val="single" w:sz="4" w:space="0" w:color="000000"/>
              <w:bottom w:val="single" w:sz="4" w:space="0" w:color="000000"/>
              <w:right w:val="single" w:sz="4" w:space="0" w:color="000000"/>
            </w:tcBorders>
          </w:tcPr>
          <w:p>
            <w:pPr>
              <w:pStyle w:val="TableParagraph"/>
              <w:tabs>
                <w:tab w:val="clear" w:pos="720"/>
                <w:tab w:val="left" w:pos="355" w:leader="none"/>
              </w:tabs>
              <w:ind w:left="0" w:right="237" w:hanging="0"/>
              <w:rPr>
                <w:rFonts w:eastAsia="Times New Roman"/>
                <w:color w:val="000000"/>
                <w:sz w:val="24"/>
                <w:szCs w:val="24"/>
                <w:lang w:bidi="ar-SA"/>
              </w:rPr>
            </w:pPr>
            <w:r>
              <w:rPr>
                <w:rFonts w:eastAsia="Times New Roman"/>
                <w:color w:val="000000"/>
                <w:sz w:val="24"/>
                <w:szCs w:val="24"/>
                <w:lang w:bidi="ar-SA"/>
              </w:rPr>
            </w:r>
          </w:p>
          <w:p>
            <w:pPr>
              <w:pStyle w:val="TableParagraph"/>
              <w:tabs>
                <w:tab w:val="clear" w:pos="720"/>
                <w:tab w:val="left" w:pos="355" w:leader="none"/>
              </w:tabs>
              <w:ind w:left="0" w:right="237" w:hanging="0"/>
              <w:rPr>
                <w:rFonts w:eastAsia="Times New Roman"/>
                <w:color w:val="000000"/>
                <w:sz w:val="24"/>
                <w:szCs w:val="24"/>
                <w:lang w:bidi="ar-SA"/>
              </w:rPr>
            </w:pPr>
            <w:r>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pPr>
              <w:pStyle w:val="Normal"/>
              <w:ind w:left="0" w:right="237" w:hanging="0"/>
              <w:jc w:val="both"/>
              <w:rPr>
                <w:sz w:val="24"/>
                <w:szCs w:val="24"/>
              </w:rPr>
            </w:pPr>
            <w:r>
              <w:rPr>
                <w:sz w:val="24"/>
                <w:szCs w:val="24"/>
              </w:rPr>
            </w:r>
          </w:p>
          <w:p>
            <w:pPr>
              <w:pStyle w:val="Normal"/>
              <w:ind w:left="0" w:right="237" w:hanging="0"/>
              <w:jc w:val="both"/>
              <w:rPr>
                <w:b/>
                <w:b/>
                <w:sz w:val="24"/>
                <w:szCs w:val="24"/>
              </w:rPr>
            </w:pPr>
            <w:r>
              <w:rPr>
                <w:rFonts w:eastAsia="Arial"/>
                <w:color w:val="000000"/>
                <w:sz w:val="24"/>
                <w:szCs w:val="24"/>
              </w:rPr>
              <w:t xml:space="preserve">1500 </w:t>
            </w:r>
            <w:r>
              <w:rPr>
                <w:sz w:val="24"/>
                <w:szCs w:val="24"/>
              </w:rPr>
              <w:t xml:space="preserve">words </w:t>
            </w:r>
            <w:r>
              <w:rPr>
                <w:i/>
                <w:iCs/>
                <w:sz w:val="24"/>
                <w:szCs w:val="24"/>
              </w:rPr>
              <w:t>(+/- 10%: include your actual word count at the end of each section)</w:t>
            </w:r>
          </w:p>
        </w:tc>
      </w:tr>
    </w:tbl>
    <w:p>
      <w:pPr>
        <w:pStyle w:val="Normal"/>
        <w:ind w:left="0" w:right="237" w:hanging="0"/>
        <w:jc w:val="both"/>
        <w:rPr>
          <w:sz w:val="24"/>
          <w:szCs w:val="24"/>
        </w:rPr>
      </w:pPr>
      <w:r>
        <w:rPr>
          <w:sz w:val="24"/>
          <w:szCs w:val="24"/>
        </w:rPr>
      </w:r>
    </w:p>
    <w:p>
      <w:pPr>
        <w:pStyle w:val="Normal"/>
        <w:ind w:left="0" w:right="237" w:hanging="0"/>
        <w:jc w:val="both"/>
        <w:rPr>
          <w:b/>
          <w:b/>
          <w:sz w:val="24"/>
          <w:szCs w:val="24"/>
        </w:rPr>
      </w:pPr>
      <w:r>
        <w:rPr>
          <w:b/>
          <w:sz w:val="24"/>
          <w:szCs w:val="24"/>
        </w:rPr>
        <w:t>ANSWER:</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In this answer I will be reflecting upon a time when I have had to investigate a crime involving the use of digital technologies and the people most at risk of being victims of cyber enabled crime.</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With the ever increasing use of technology in everyday crime the risk of crime enabled via technology is ever increasing. Due to the technology that is used there  is a department set up by GWENT police that help deal with these crimes and help an officer in finding out further information to progress investigations</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Wall, David S. et al (2017)  discuss how cyber crime is here to stay and will only increase as the use of technology becomes more and more used in society.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While on duty I have attended a call to a remote part of Monmouthshire for what has come through the control room as theft of £800 with very limited information. The reporting person and witness have no record with the police so again this limited any pre information that I may have.</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While at the address and speaking to the reporting person who’s age was over 80 years she has described that a male who stated her worked for Microsoft has told her that her computer had been hacked and he has come out from Microsoft to fix the problem. The male has then gone on this person laptop at her home address and has then asked for a bill of £800 to be paid to himself via card transactions.</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While gathering this information I have been able to gather certain key information to this case. Firstly this crime was not a theft but a distraction burglary and secondly the victim in this incident were vulnerable due to a protected characteristic. The victim in this case was the reporting persons husband who was around 90 years old and was suffering with dementia and had difficulties in remembering certain information.</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i/>
          <w:iCs/>
          <w:sz w:val="24"/>
          <w:szCs w:val="24"/>
        </w:rPr>
        <w:t>“</w:t>
      </w:r>
      <w:r>
        <w:rPr>
          <w:i/>
          <w:iCs/>
          <w:sz w:val="24"/>
          <w:szCs w:val="24"/>
        </w:rPr>
        <w:t xml:space="preserve">Although statistically a relatively rare occurrence, distraction burglary has created considerable public concern during recent years because of the predatory way in which older people are speciﬁcally targeted as victims and its potentially devastating impact.” </w:t>
      </w:r>
      <w:r>
        <w:rPr>
          <w:i w:val="false"/>
          <w:iCs w:val="false"/>
          <w:sz w:val="24"/>
          <w:szCs w:val="24"/>
        </w:rPr>
        <w:t>(Lister, S. &amp; Wall, D. 2006).</w:t>
      </w:r>
      <w:r>
        <w:rPr>
          <w:sz w:val="24"/>
          <w:szCs w:val="24"/>
        </w:rPr>
        <w:t xml:space="preserve"> In this study </w:t>
      </w:r>
      <w:r>
        <w:rPr>
          <w:i w:val="false"/>
          <w:iCs w:val="false"/>
          <w:sz w:val="24"/>
          <w:szCs w:val="24"/>
        </w:rPr>
        <w:t>Lister, S. &amp; Wall, D. (2006)</w:t>
      </w:r>
      <w:r>
        <w:rPr>
          <w:sz w:val="24"/>
          <w:szCs w:val="24"/>
        </w:rPr>
        <w:t xml:space="preserve"> suggest that there is an age targeted crime in most aspects and that the elderly are most at risk to this type of crime.</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While speaking to the reporting person it has transpired that this person had been back to the address on two previous occasions and had taken further bills for “computer maintenance”. This immediately reinforced the need to be able to safeguard these individuals as this clearly showed this person was now targeting them repeatedly.</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After taking a statement from the reporting person as a witness I was able to set out some further safeguarding measures for the individuals. I had them phone the bank and ask for a safe banking protocol to be activated which would tighten the security of any direct debits or money being taken out of the bank. The bank were informed what has happened and they were also able to put there own safeguarding measures in place.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I have also had to give safeguarding measures for the home. I have spoken to the victims in regards to locks, and CCTV at there home and how they can go about getting this done. Unfortunately they have not wanted to get CCTV on there property as they felt that there is not much crime in the area that they live and this wont happen again. I have tried to explain to them how this person had visited on a multiple occasions but they have been adamant that was something in which they did not wish to do. I have also had a visual check of the property to look for targeting signs or unexplained physical markers on the property that members of organised crime have used to show if there is possibility to target a vulnerable victim (Netatmo, no date). Although this is a theory and not much research has been completed surrounding this I still had considerations for it. </w:t>
      </w:r>
    </w:p>
    <w:p>
      <w:pPr>
        <w:pStyle w:val="Normal"/>
        <w:ind w:left="0" w:right="237" w:hanging="0"/>
        <w:jc w:val="both"/>
        <w:rPr>
          <w:sz w:val="24"/>
          <w:szCs w:val="24"/>
        </w:rPr>
      </w:pPr>
      <w:r>
        <w:rPr>
          <w:sz w:val="24"/>
          <w:szCs w:val="24"/>
        </w:rPr>
      </w:r>
    </w:p>
    <w:p>
      <w:pPr>
        <w:pStyle w:val="TextBody"/>
        <w:rPr>
          <w:sz w:val="24"/>
          <w:szCs w:val="24"/>
        </w:rPr>
      </w:pPr>
      <w:r>
        <w:rPr>
          <w:b w:val="false"/>
          <w:bCs w:val="false"/>
        </w:rPr>
        <w:t>I have also completed a public protection notice for both individuals as vulnerable adults due to there age, illness and vulnerability to crime. This was to try and get as much additional help as I could gather for the victims to feel safer and more secure in there own home.</w:t>
      </w:r>
      <w:r>
        <w:rPr>
          <w:b w:val="false"/>
          <w:bCs w:val="false"/>
          <w:u w:val="none"/>
        </w:rPr>
        <w:t xml:space="preserve"> D. O’Neill </w:t>
      </w:r>
      <w:r>
        <w:rPr>
          <w:b w:val="false"/>
          <w:bCs w:val="false"/>
        </w:rPr>
        <w:t>et al (1989) looks at burglary amongst the older population and the effects it may have after the incident such as social anxiety and loss of confidence. This was also relatable to this case as the majority of these have been performed by the suspect using a “confidence trick” such as posing as utilities personal. Due to this I have also been back to the property to ensure the well-being of the victims in case they needed additional help they may not have felt like they needed at the time.</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The victims did explain that they use the computer in which the offender had used to control many aspects of there lives including all there banking details and financial aspects. This then became a concern for these people being at risk of further loss so I have seized the item. </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After booking in the property into the Gwent property system I have asked for the high tech crime department to be able to look at the computer and ascertain as much detail as they could from the computer to see if there was any software put on the device, how compromised it was and what or any traces back to the person in question.</w:t>
      </w:r>
    </w:p>
    <w:p>
      <w:pPr>
        <w:pStyle w:val="Normal"/>
        <w:ind w:left="0" w:right="237" w:hanging="0"/>
        <w:jc w:val="both"/>
        <w:rPr>
          <w:sz w:val="24"/>
          <w:szCs w:val="24"/>
        </w:rPr>
      </w:pPr>
      <w:r>
        <w:rPr>
          <w:sz w:val="24"/>
          <w:szCs w:val="24"/>
        </w:rPr>
        <w:t>McGuire, M. and Dowling, S (2013) draw attention into Cyber-dependant crimes and discuss a case where a student was able to place a “password capturing software” upon other student’s computers to put them at a risk of financial loss.</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I have also made victims aware of the Gwent police cyber crime page which gives them more information on how to remain safe while using there laptops and other forms of technology.</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Unfortunately due to the wishes of the victims they have asked for there laptop to be returned and no longer wish to proceed with police action as they feel that they are safe from this happening again and just want to move forward and forget about the situation. Due to this I have had to return there property but I did send a letter attached with additional safeguarding measures and leaflets that may be able to help them stay safe in the future. I have also visited these people to show police presence and reassurance that l thought they did not support police action that this crime was taken seriously and that the focus was to ensure there safety.</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I have also engaged with the family of the victim with their consent to speak about security measures that have been put in place so far and also further measures that I would advise such as ring doorbells and home phone screening that can be requested by the phone line provider.</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Even though the victims did not proceed with a criminal and supported investigation I felt that I was able to try and support the victims as best I could in order to have confidence within the police force that they provide. This was there first interaction that they have had with the police and hopefully can be there last. This incident was the first of its kind for me and there was a lot  of different things to learn during this call and a first hand glimpse into the many ways that cyber crime and technologies enabled crimes can be permitted and the complications that it poses to the police force. </w:t>
      </w:r>
      <w:r>
        <w:rPr>
          <w:sz w:val="24"/>
          <w:szCs w:val="24"/>
        </w:rPr>
        <w:t>Althought there are many new ways for cyber crime to be enabled by criminals there is always teams and organisations trying to stop this with there security programs and built in software to stop this sort of crime being enabled. With further eductation in schools on technology there should be more understanding on how not to be at risk of being a victim to cyber crime or cyber related crime.</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1363</w:t>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t xml:space="preserve">References </w:t>
      </w:r>
    </w:p>
    <w:p>
      <w:pPr>
        <w:pStyle w:val="Normal"/>
        <w:ind w:left="0" w:right="237" w:hanging="0"/>
        <w:jc w:val="both"/>
        <w:rPr>
          <w:sz w:val="24"/>
          <w:szCs w:val="24"/>
        </w:rPr>
      </w:pPr>
      <w:r>
        <w:rPr>
          <w:sz w:val="24"/>
          <w:szCs w:val="24"/>
        </w:rPr>
      </w:r>
    </w:p>
    <w:p>
      <w:pPr>
        <w:pStyle w:val="TextBody"/>
        <w:rPr>
          <w:b w:val="false"/>
          <w:b w:val="false"/>
          <w:bCs w:val="false"/>
        </w:rPr>
      </w:pPr>
      <w:r>
        <w:rPr>
          <w:b w:val="false"/>
          <w:bCs w:val="false"/>
          <w:sz w:val="24"/>
          <w:szCs w:val="24"/>
        </w:rPr>
        <w:t xml:space="preserve">O'Neill D, O'Shea B, Lawlor R, McGee C, Walsh JB, Coakley D. </w:t>
      </w:r>
      <w:r>
        <w:rPr>
          <w:b w:val="false"/>
          <w:bCs w:val="false"/>
          <w:i/>
          <w:iCs/>
          <w:sz w:val="24"/>
          <w:szCs w:val="24"/>
        </w:rPr>
        <w:t>Effects of burglary on elderly people.</w:t>
      </w:r>
      <w:r>
        <w:rPr>
          <w:b w:val="false"/>
          <w:bCs w:val="false"/>
          <w:sz w:val="24"/>
          <w:szCs w:val="24"/>
        </w:rPr>
        <w:t xml:space="preserve"> </w:t>
      </w:r>
      <w:r>
        <w:rPr>
          <w:b w:val="false"/>
          <w:bCs w:val="false"/>
          <w:i/>
          <w:sz w:val="24"/>
          <w:szCs w:val="24"/>
        </w:rPr>
        <w:t>BMJ</w:t>
      </w:r>
      <w:r>
        <w:rPr>
          <w:b w:val="false"/>
          <w:bCs w:val="false"/>
          <w:sz w:val="24"/>
          <w:szCs w:val="24"/>
        </w:rPr>
        <w:t xml:space="preserve">. 1989;298(6688):1618-1619. doi:10.1136/bmj.298.6688.1618 </w:t>
      </w:r>
    </w:p>
    <w:p>
      <w:pPr>
        <w:pStyle w:val="Normal"/>
        <w:ind w:left="0" w:right="237" w:hanging="0"/>
        <w:jc w:val="both"/>
        <w:rPr>
          <w:sz w:val="24"/>
          <w:szCs w:val="24"/>
        </w:rPr>
      </w:pPr>
      <w:r>
        <w:rPr>
          <w:sz w:val="24"/>
          <w:szCs w:val="24"/>
        </w:rPr>
      </w:r>
    </w:p>
    <w:p>
      <w:pPr>
        <w:pStyle w:val="TextBody"/>
        <w:rPr>
          <w:b w:val="false"/>
          <w:b w:val="false"/>
          <w:bCs w:val="false"/>
        </w:rPr>
      </w:pPr>
      <w:r>
        <w:rPr>
          <w:b w:val="false"/>
          <w:bCs w:val="false"/>
          <w:sz w:val="24"/>
          <w:szCs w:val="24"/>
        </w:rPr>
        <w:t xml:space="preserve">Lister, S. &amp; Wall, D. 2006. </w:t>
      </w:r>
      <w:r>
        <w:rPr>
          <w:b w:val="false"/>
          <w:bCs w:val="false"/>
          <w:i/>
          <w:iCs/>
          <w:sz w:val="24"/>
          <w:szCs w:val="24"/>
        </w:rPr>
        <w:t>Deconstructing distraction burglary: an ageist offence?</w:t>
      </w:r>
      <w:r>
        <w:rPr>
          <w:b w:val="false"/>
          <w:bCs w:val="false"/>
          <w:sz w:val="24"/>
          <w:szCs w:val="24"/>
        </w:rPr>
        <w:t xml:space="preserve"> </w:t>
      </w:r>
    </w:p>
    <w:p>
      <w:pPr>
        <w:pStyle w:val="TextBody"/>
        <w:rPr>
          <w:sz w:val="24"/>
          <w:szCs w:val="24"/>
        </w:rPr>
      </w:pPr>
      <w:r>
        <w:rPr>
          <w:b w:val="false"/>
          <w:bCs w:val="false"/>
        </w:rPr>
        <w:t xml:space="preserve">Taylor and Francis. Available at: </w:t>
      </w:r>
      <w:hyperlink r:id="rId23">
        <w:r>
          <w:rPr>
            <w:rStyle w:val="InternetLink"/>
            <w:b w:val="false"/>
            <w:bCs w:val="false"/>
          </w:rPr>
          <w:t>https://www.taylorfrancis.com/chapters/edit/10.4324/9781843925729-13/deconstructing-distraction-burglary-ageist-offence-stuart-lister-david-wall</w:t>
        </w:r>
      </w:hyperlink>
      <w:r>
        <w:rPr>
          <w:b w:val="false"/>
          <w:bCs w:val="false"/>
        </w:rPr>
        <w:t xml:space="preserve"> [10/06/2022]. </w:t>
      </w:r>
    </w:p>
    <w:p>
      <w:pPr>
        <w:pStyle w:val="TextBody"/>
        <w:rPr>
          <w:b w:val="false"/>
          <w:b w:val="false"/>
          <w:bCs w:val="false"/>
        </w:rPr>
      </w:pPr>
      <w:r>
        <w:rPr>
          <w:b w:val="false"/>
          <w:bCs w:val="false"/>
        </w:rPr>
      </w:r>
    </w:p>
    <w:p>
      <w:pPr>
        <w:pStyle w:val="TextBody"/>
        <w:rPr>
          <w:sz w:val="24"/>
          <w:szCs w:val="24"/>
        </w:rPr>
      </w:pPr>
      <w:r>
        <w:rPr>
          <w:b w:val="false"/>
          <w:bCs w:val="false"/>
        </w:rPr>
        <w:t xml:space="preserve">McGuire, M. &amp; Dowling, S. (2013) </w:t>
      </w:r>
      <w:r>
        <w:rPr>
          <w:rFonts w:ascii="arial" w:hAnsi="arial"/>
          <w:b w:val="false"/>
          <w:bCs w:val="false"/>
          <w:i/>
          <w:iCs/>
          <w:sz w:val="24"/>
          <w:szCs w:val="24"/>
        </w:rPr>
        <w:t xml:space="preserve">Cyber crime: A review of the evidence Research Report 75. </w:t>
      </w:r>
      <w:r>
        <w:rPr>
          <w:rFonts w:ascii="arial" w:hAnsi="arial"/>
          <w:b w:val="false"/>
          <w:bCs w:val="false"/>
          <w:i w:val="false"/>
          <w:iCs w:val="false"/>
          <w:sz w:val="24"/>
          <w:szCs w:val="24"/>
        </w:rPr>
        <w:t xml:space="preserve">Available at: </w:t>
      </w:r>
      <w:hyperlink r:id="rId24">
        <w:r>
          <w:rPr>
            <w:rStyle w:val="InternetLink"/>
            <w:rFonts w:ascii="arial" w:hAnsi="arial"/>
            <w:b w:val="false"/>
            <w:bCs w:val="false"/>
            <w:i w:val="false"/>
            <w:iCs w:val="false"/>
            <w:sz w:val="24"/>
            <w:szCs w:val="24"/>
          </w:rPr>
          <w:t>https://www.bl.uk/britishlibrary/~/media/bl/global/social-welfare/pdfs/non-secure/c/y/b/cyber-crime-a-review-of-the-evidence-chapter-1-cyberdependent-crimes.pdf</w:t>
        </w:r>
      </w:hyperlink>
      <w:r>
        <w:rPr>
          <w:rFonts w:ascii="arial" w:hAnsi="arial"/>
          <w:b w:val="false"/>
          <w:bCs w:val="false"/>
          <w:i w:val="false"/>
          <w:iCs w:val="false"/>
          <w:sz w:val="24"/>
          <w:szCs w:val="24"/>
        </w:rPr>
        <w:t xml:space="preserve"> [Accessed 10/06/2022].</w:t>
      </w:r>
    </w:p>
    <w:p>
      <w:pPr>
        <w:pStyle w:val="TextBody"/>
        <w:rPr>
          <w:b w:val="false"/>
          <w:b w:val="false"/>
          <w:bCs w:val="false"/>
        </w:rPr>
      </w:pPr>
      <w:r>
        <w:rPr>
          <w:b w:val="false"/>
          <w:bCs w:val="false"/>
        </w:rPr>
      </w:r>
    </w:p>
    <w:p>
      <w:pPr>
        <w:pStyle w:val="TextBody"/>
        <w:rPr>
          <w:sz w:val="24"/>
          <w:szCs w:val="24"/>
        </w:rPr>
      </w:pPr>
      <w:r>
        <w:rPr>
          <w:b w:val="false"/>
          <w:bCs w:val="false"/>
        </w:rPr>
        <w:t xml:space="preserve">Netatmo. No date. </w:t>
      </w:r>
      <w:r>
        <w:rPr>
          <w:b w:val="false"/>
          <w:bCs w:val="false"/>
          <w:i/>
          <w:iCs/>
        </w:rPr>
        <w:t xml:space="preserve">Burglar code: what are the giveaway symbols you should look out for? Available at: </w:t>
      </w:r>
      <w:hyperlink r:id="rId25">
        <w:r>
          <w:rPr>
            <w:rStyle w:val="InternetLink"/>
            <w:b w:val="false"/>
            <w:bCs w:val="false"/>
            <w:i/>
            <w:iCs/>
          </w:rPr>
          <w:t>https://www.netatmo.com/en-gb/guides/security/burglary/faq/burglary-symbol</w:t>
        </w:r>
      </w:hyperlink>
      <w:r>
        <w:rPr>
          <w:b w:val="false"/>
          <w:bCs w:val="false"/>
          <w:i/>
          <w:iCs/>
        </w:rPr>
        <w:t xml:space="preserve"> [Accessed 10/06/2022].            </w:t>
      </w:r>
    </w:p>
    <w:p>
      <w:pPr>
        <w:pStyle w:val="TextBody"/>
        <w:rPr>
          <w:b w:val="false"/>
          <w:b w:val="false"/>
          <w:bCs w:val="false"/>
          <w:i/>
          <w:i/>
          <w:iCs/>
        </w:rPr>
      </w:pPr>
      <w:r>
        <w:rPr>
          <w:b w:val="false"/>
          <w:bCs w:val="false"/>
          <w:i/>
          <w:iCs/>
        </w:rPr>
      </w:r>
    </w:p>
    <w:p>
      <w:pPr>
        <w:pStyle w:val="Normal"/>
        <w:ind w:left="0" w:right="237" w:hanging="0"/>
        <w:jc w:val="both"/>
        <w:rPr>
          <w:sz w:val="24"/>
          <w:szCs w:val="24"/>
        </w:rPr>
      </w:pPr>
      <w:r>
        <w:rPr>
          <w:sz w:val="24"/>
          <w:szCs w:val="24"/>
        </w:rPr>
      </w:r>
    </w:p>
    <w:p>
      <w:pPr>
        <w:pStyle w:val="TextBody"/>
        <w:rPr>
          <w:sz w:val="24"/>
          <w:szCs w:val="24"/>
        </w:rPr>
      </w:pPr>
      <w:r>
        <w:rPr>
          <w:b w:val="false"/>
          <w:bCs w:val="false"/>
        </w:rPr>
        <w:t xml:space="preserve">Wall, David S., Crime, Security and Information Communication Technologies: The Changing Cybersecurity Threat Landscape and Its Implications for Regulation and Policing (July 20, 2017). Available at SSRN: </w:t>
      </w:r>
      <w:hyperlink r:id="rId26" w:tgtFrame="_blank">
        <w:r>
          <w:rPr>
            <w:rStyle w:val="InternetLink"/>
            <w:b w:val="false"/>
            <w:bCs w:val="false"/>
          </w:rPr>
          <w:t xml:space="preserve">http://dx.doi.org/10.2139/ssrn.3005872 </w:t>
        </w:r>
      </w:hyperlink>
    </w:p>
    <w:p>
      <w:pPr>
        <w:pStyle w:val="TextBody"/>
        <w:rPr>
          <w:b w:val="false"/>
          <w:b w:val="false"/>
          <w:bCs w:val="false"/>
        </w:rPr>
      </w:pPr>
      <w:r>
        <w:rPr>
          <w:b w:val="false"/>
          <w:bCs w:val="false"/>
        </w:rPr>
      </w:r>
    </w:p>
    <w:p>
      <w:pPr>
        <w:pStyle w:val="Normal"/>
        <w:ind w:left="0" w:right="237" w:hanging="0"/>
        <w:jc w:val="both"/>
        <w:rPr>
          <w:sz w:val="24"/>
          <w:szCs w:val="24"/>
        </w:rPr>
      </w:pPr>
      <w:r>
        <w:rPr>
          <w:sz w:val="24"/>
          <w:szCs w:val="24"/>
        </w:rPr>
      </w:r>
    </w:p>
    <w:p>
      <w:pPr>
        <w:pStyle w:val="Normal"/>
        <w:ind w:left="0" w:right="237" w:hanging="0"/>
        <w:jc w:val="both"/>
        <w:rPr>
          <w:sz w:val="24"/>
          <w:szCs w:val="24"/>
        </w:rPr>
      </w:pPr>
      <w:r>
        <w:rPr>
          <w:sz w:val="24"/>
          <w:szCs w:val="24"/>
        </w:rPr>
      </w:r>
    </w:p>
    <w:p>
      <w:pPr>
        <w:sectPr>
          <w:footerReference w:type="default" r:id="rId27"/>
          <w:type w:val="nextPage"/>
          <w:pgSz w:w="11906" w:h="16838"/>
          <w:pgMar w:left="1440" w:right="1440" w:header="0" w:top="1440" w:footer="720" w:bottom="1440" w:gutter="0"/>
          <w:pgNumType w:fmt="decimal"/>
          <w:formProt w:val="false"/>
          <w:textDirection w:val="lrTb"/>
          <w:docGrid w:type="default" w:linePitch="272" w:charSpace="8192"/>
        </w:sectPr>
        <w:pStyle w:val="Normal"/>
        <w:ind w:left="0" w:right="237" w:hanging="0"/>
        <w:jc w:val="both"/>
        <w:rPr>
          <w:sz w:val="24"/>
          <w:szCs w:val="24"/>
        </w:rPr>
      </w:pPr>
      <w:r>
        <w:rPr>
          <w:sz w:val="24"/>
          <w:szCs w:val="24"/>
        </w:rPr>
      </w:r>
    </w:p>
    <w:p>
      <w:pPr>
        <w:pStyle w:val="Normal"/>
        <w:spacing w:before="100" w:after="100"/>
        <w:ind w:left="0" w:right="225" w:hanging="0"/>
        <w:jc w:val="center"/>
        <w:rPr>
          <w:sz w:val="24"/>
          <w:szCs w:val="24"/>
        </w:rPr>
      </w:pPr>
      <w:r>
        <w:rPr>
          <w:rStyle w:val="Normaltextrun"/>
          <w:rFonts w:eastAsia="Arial" w:cs="Arial"/>
          <w:b/>
          <w:bCs/>
          <w:i w:val="false"/>
          <w:iCs w:val="false"/>
          <w:color w:val="000000"/>
          <w:sz w:val="24"/>
          <w:szCs w:val="24"/>
          <w:lang w:val="en-GB"/>
        </w:rPr>
        <w:t>Task 6</w:t>
      </w:r>
      <w:r>
        <w:rPr>
          <w:rStyle w:val="Eop"/>
          <w:rFonts w:eastAsia="Arial" w:cs="Arial"/>
          <w:b w:val="false"/>
          <w:bCs w:val="false"/>
          <w:i w:val="false"/>
          <w:iCs w:val="false"/>
          <w:color w:val="000000"/>
          <w:sz w:val="24"/>
          <w:szCs w:val="24"/>
          <w:lang w:val="en-GB"/>
        </w:rPr>
        <w:t> </w:t>
      </w:r>
    </w:p>
    <w:p>
      <w:pPr>
        <w:pStyle w:val="Normal"/>
        <w:spacing w:before="100" w:after="100"/>
        <w:rPr>
          <w:sz w:val="24"/>
          <w:szCs w:val="24"/>
        </w:rPr>
      </w:pPr>
      <w:r>
        <w:rPr>
          <w:rStyle w:val="Normaltextrun"/>
          <w:rFonts w:eastAsia="Arial" w:cs="Arial"/>
          <w:b/>
          <w:bCs/>
          <w:i w:val="false"/>
          <w:iCs w:val="false"/>
          <w:color w:val="000000"/>
          <w:sz w:val="24"/>
          <w:szCs w:val="24"/>
          <w:lang w:val="en-GB"/>
        </w:rPr>
        <w:t>Recognition and confirmation of progress on the Occupational Competency Portfolio (OCP).</w:t>
      </w:r>
      <w:r>
        <w:rPr>
          <w:rStyle w:val="Eop"/>
          <w:rFonts w:eastAsia="Arial" w:cs="Arial"/>
          <w:b w:val="false"/>
          <w:bCs w:val="false"/>
          <w:i w:val="false"/>
          <w:iCs w:val="false"/>
          <w:color w:val="000000"/>
          <w:sz w:val="24"/>
          <w:szCs w:val="24"/>
          <w:lang w:val="en-GB"/>
        </w:rPr>
        <w:t> </w:t>
      </w:r>
    </w:p>
    <w:p>
      <w:pPr>
        <w:pStyle w:val="Normal"/>
        <w:spacing w:before="100" w:after="100"/>
        <w:ind w:left="0" w:right="225" w:hanging="0"/>
        <w:jc w:val="both"/>
        <w:rPr>
          <w:sz w:val="24"/>
          <w:szCs w:val="24"/>
        </w:rPr>
      </w:pPr>
      <w:r>
        <w:rPr>
          <w:rStyle w:val="Normaltextrun"/>
          <w:rFonts w:eastAsia="Arial" w:cs="Arial"/>
          <w:b/>
          <w:bCs/>
          <w:i w:val="false"/>
          <w:iCs w:val="false"/>
          <w:color w:val="000000"/>
          <w:sz w:val="24"/>
          <w:szCs w:val="24"/>
          <w:lang w:val="en-GB"/>
        </w:rPr>
        <w:t> </w:t>
      </w:r>
      <w:r>
        <w:rPr>
          <w:rStyle w:val="Eop"/>
          <w:rFonts w:eastAsia="Arial" w:cs="Arial"/>
          <w:b w:val="false"/>
          <w:bCs w:val="false"/>
          <w:i w:val="false"/>
          <w:iCs w:val="false"/>
          <w:color w:val="000000"/>
          <w:sz w:val="24"/>
          <w:szCs w:val="24"/>
          <w:lang w:val="en-GB"/>
        </w:rPr>
        <w:t> </w:t>
      </w:r>
    </w:p>
    <w:p>
      <w:pPr>
        <w:pStyle w:val="Normal"/>
        <w:spacing w:before="100" w:after="100"/>
        <w:ind w:left="0" w:right="225" w:hanging="0"/>
        <w:jc w:val="both"/>
        <w:rPr>
          <w:sz w:val="24"/>
          <w:szCs w:val="24"/>
        </w:rPr>
      </w:pPr>
      <w:r>
        <w:rPr>
          <w:rStyle w:val="Eop"/>
          <w:rFonts w:eastAsia="Arial" w:cs="Arial"/>
          <w:b w:val="false"/>
          <w:bCs w:val="false"/>
          <w:i w:val="false"/>
          <w:iCs w:val="false"/>
          <w:color w:val="000000"/>
          <w:sz w:val="24"/>
          <w:szCs w:val="24"/>
          <w:lang w:val="en-GB"/>
        </w:rPr>
        <w:t> </w:t>
      </w:r>
    </w:p>
    <w:p>
      <w:pPr>
        <w:pStyle w:val="Normal"/>
        <w:spacing w:before="100" w:after="100"/>
        <w:ind w:left="0" w:right="225" w:hanging="0"/>
        <w:jc w:val="both"/>
        <w:rPr>
          <w:sz w:val="24"/>
          <w:szCs w:val="24"/>
        </w:rPr>
      </w:pPr>
      <w:r>
        <w:rPr>
          <w:rStyle w:val="Eop"/>
          <w:rFonts w:eastAsia="Arial" w:cs="Arial"/>
          <w:b w:val="false"/>
          <w:bCs w:val="false"/>
          <w:i w:val="false"/>
          <w:iCs w:val="false"/>
          <w:color w:val="000000"/>
          <w:sz w:val="24"/>
          <w:szCs w:val="24"/>
          <w:lang w:val="en-GB"/>
        </w:rPr>
        <w:t> </w:t>
      </w:r>
    </w:p>
    <w:p>
      <w:pPr>
        <w:pStyle w:val="Normal"/>
        <w:spacing w:before="100" w:after="100"/>
        <w:ind w:left="0" w:right="225" w:hanging="0"/>
        <w:jc w:val="both"/>
        <w:rPr>
          <w:sz w:val="24"/>
          <w:szCs w:val="24"/>
        </w:rPr>
      </w:pPr>
      <w:r>
        <w:rPr>
          <w:rStyle w:val="Normaltextrun"/>
          <w:rFonts w:eastAsia="Arial" w:cs="Arial"/>
          <w:b w:val="false"/>
          <w:bCs w:val="false"/>
          <w:i/>
          <w:iCs/>
          <w:color w:val="000000"/>
          <w:sz w:val="24"/>
          <w:szCs w:val="24"/>
          <w:lang w:val="en-GB"/>
        </w:rPr>
        <w:t>By signing the section below you are acknowledging your continuing progress on O.C.P. </w:t>
      </w:r>
      <w:r>
        <w:rPr>
          <w:rStyle w:val="Eop"/>
          <w:rFonts w:eastAsia="Arial" w:cs="Arial"/>
          <w:b w:val="false"/>
          <w:bCs w:val="false"/>
          <w:i w:val="false"/>
          <w:iCs w:val="false"/>
          <w:color w:val="000000"/>
          <w:sz w:val="24"/>
          <w:szCs w:val="24"/>
          <w:lang w:val="en-GB"/>
        </w:rPr>
        <w:t> </w:t>
      </w:r>
    </w:p>
    <w:p>
      <w:pPr>
        <w:pStyle w:val="Normal"/>
        <w:spacing w:before="100" w:after="100"/>
        <w:ind w:left="0" w:right="225" w:hanging="0"/>
        <w:jc w:val="both"/>
        <w:rPr>
          <w:rFonts w:ascii="Segoe UI" w:hAnsi="Segoe UI" w:eastAsia="Segoe UI" w:cs="Segoe UI"/>
          <w:b w:val="false"/>
          <w:b w:val="false"/>
          <w:bCs w:val="false"/>
          <w:i w:val="false"/>
          <w:i w:val="false"/>
          <w:iCs w:val="false"/>
          <w:color w:val="000000"/>
          <w:sz w:val="18"/>
          <w:szCs w:val="18"/>
          <w:lang w:val="en-GB"/>
        </w:rPr>
      </w:pPr>
      <w:r>
        <w:rPr>
          <w:rFonts w:eastAsia="Segoe UI" w:cs="Segoe UI" w:ascii="Segoe UI" w:hAnsi="Segoe UI"/>
          <w:b w:val="false"/>
          <w:bCs w:val="false"/>
          <w:i w:val="false"/>
          <w:iCs w:val="false"/>
          <w:color w:val="000000"/>
          <w:sz w:val="18"/>
          <w:szCs w:val="18"/>
          <w:lang w:val="en-GB"/>
        </w:rPr>
      </w:r>
    </w:p>
    <w:p>
      <w:pPr>
        <w:pStyle w:val="Normal"/>
        <w:spacing w:before="100" w:after="100"/>
        <w:ind w:left="0" w:right="225" w:hanging="0"/>
        <w:jc w:val="both"/>
        <w:rPr>
          <w:sz w:val="24"/>
          <w:szCs w:val="24"/>
        </w:rPr>
      </w:pPr>
      <w:r>
        <w:rPr>
          <w:rStyle w:val="Normaltextrun"/>
          <w:rFonts w:eastAsia="Arial" w:cs="Arial"/>
          <w:b w:val="false"/>
          <w:bCs w:val="false"/>
          <w:i/>
          <w:iCs/>
          <w:color w:val="000000"/>
          <w:sz w:val="24"/>
          <w:szCs w:val="24"/>
          <w:lang w:val="en-GB"/>
        </w:rPr>
        <w:t>This is recognised by the university as work that is fully supporting this module BMPP 5003D; Policing in the workplace 2and in signing it will be equivalent to 1000 words towards the 8000 words equivalent total.</w:t>
      </w:r>
      <w:r>
        <w:rPr>
          <w:rStyle w:val="Eop"/>
          <w:rFonts w:eastAsia="Arial" w:cs="Arial"/>
          <w:b w:val="false"/>
          <w:bCs w:val="false"/>
          <w:i w:val="false"/>
          <w:iCs w:val="false"/>
          <w:color w:val="000000"/>
          <w:sz w:val="24"/>
          <w:szCs w:val="24"/>
          <w:lang w:val="en-GB"/>
        </w:rPr>
        <w:t> </w:t>
      </w:r>
    </w:p>
    <w:p>
      <w:pPr>
        <w:pStyle w:val="Normal"/>
        <w:spacing w:before="100" w:after="100"/>
        <w:ind w:left="0" w:right="225" w:hanging="0"/>
        <w:jc w:val="both"/>
        <w:rPr>
          <w:sz w:val="24"/>
          <w:szCs w:val="24"/>
        </w:rPr>
      </w:pPr>
      <w:r>
        <w:rPr>
          <w:rStyle w:val="Eop"/>
          <w:rFonts w:eastAsia="Arial" w:cs="Arial"/>
          <w:b w:val="false"/>
          <w:bCs w:val="false"/>
          <w:i w:val="false"/>
          <w:iCs w:val="false"/>
          <w:color w:val="000000"/>
          <w:sz w:val="24"/>
          <w:szCs w:val="24"/>
          <w:lang w:val="en-GB"/>
        </w:rPr>
        <w:t> </w:t>
      </w:r>
    </w:p>
    <w:p>
      <w:pPr>
        <w:pStyle w:val="Normal"/>
        <w:spacing w:before="100" w:after="100"/>
        <w:rPr>
          <w:sz w:val="24"/>
          <w:szCs w:val="24"/>
        </w:rPr>
      </w:pPr>
      <w:r>
        <w:rPr>
          <w:rStyle w:val="Eop"/>
          <w:rFonts w:eastAsia="Arial" w:cs="Arial"/>
          <w:b w:val="false"/>
          <w:bCs w:val="false"/>
          <w:i w:val="false"/>
          <w:iCs w:val="false"/>
          <w:color w:val="000000"/>
          <w:sz w:val="24"/>
          <w:szCs w:val="24"/>
          <w:lang w:val="en-GB"/>
        </w:rPr>
        <w:t> </w:t>
      </w:r>
    </w:p>
    <w:p>
      <w:pPr>
        <w:pStyle w:val="Normal"/>
        <w:spacing w:before="100" w:after="100"/>
        <w:rPr>
          <w:sz w:val="24"/>
          <w:szCs w:val="24"/>
        </w:rPr>
      </w:pPr>
      <w:r>
        <w:rPr>
          <w:rStyle w:val="Eop"/>
          <w:rFonts w:eastAsia="Arial" w:cs="Arial"/>
          <w:b w:val="false"/>
          <w:bCs w:val="false"/>
          <w:i w:val="false"/>
          <w:iCs w:val="false"/>
          <w:color w:val="000000"/>
          <w:sz w:val="24"/>
          <w:szCs w:val="24"/>
          <w:lang w:val="en-GB"/>
        </w:rPr>
        <w:t> </w:t>
      </w:r>
    </w:p>
    <w:p>
      <w:pPr>
        <w:pStyle w:val="Normal"/>
        <w:spacing w:before="100" w:after="100"/>
        <w:rPr>
          <w:sz w:val="24"/>
          <w:szCs w:val="24"/>
        </w:rPr>
      </w:pPr>
      <w:r>
        <w:rPr>
          <w:rStyle w:val="Eop"/>
          <w:rFonts w:eastAsia="Arial" w:cs="Arial"/>
          <w:b w:val="false"/>
          <w:bCs w:val="false"/>
          <w:i w:val="false"/>
          <w:iCs w:val="false"/>
          <w:color w:val="000000"/>
          <w:sz w:val="24"/>
          <w:szCs w:val="24"/>
          <w:lang w:val="en-GB"/>
        </w:rPr>
        <w:t> </w:t>
      </w:r>
    </w:p>
    <w:p>
      <w:pPr>
        <w:pStyle w:val="Normal"/>
        <w:spacing w:before="100" w:after="100"/>
        <w:rPr>
          <w:sz w:val="24"/>
          <w:szCs w:val="24"/>
        </w:rPr>
      </w:pPr>
      <w:r>
        <w:rPr>
          <w:rStyle w:val="Normaltextrun"/>
          <w:rFonts w:eastAsia="Arial" w:cs="Arial"/>
          <w:b/>
          <w:bCs/>
          <w:i w:val="false"/>
          <w:iCs w:val="false"/>
          <w:color w:val="000000"/>
          <w:sz w:val="24"/>
          <w:szCs w:val="24"/>
          <w:lang w:val="en-GB"/>
        </w:rPr>
        <w:t>Confirmation of the progress on the Occupational Competency Portfolio (OCP).</w:t>
      </w:r>
      <w:r>
        <w:rPr>
          <w:rStyle w:val="Eop"/>
          <w:rFonts w:eastAsia="Arial" w:cs="Arial"/>
          <w:b w:val="false"/>
          <w:bCs w:val="false"/>
          <w:i w:val="false"/>
          <w:iCs w:val="false"/>
          <w:color w:val="000000"/>
          <w:sz w:val="24"/>
          <w:szCs w:val="24"/>
          <w:lang w:val="en-GB"/>
        </w:rPr>
        <w:t> </w:t>
      </w:r>
    </w:p>
    <w:p>
      <w:pPr>
        <w:pStyle w:val="Normal"/>
        <w:spacing w:before="100" w:after="100"/>
        <w:rPr>
          <w:sz w:val="24"/>
          <w:szCs w:val="24"/>
        </w:rPr>
      </w:pPr>
      <w:r>
        <w:rPr>
          <w:rStyle w:val="Eop"/>
          <w:rFonts w:eastAsia="Arial" w:cs="Arial"/>
          <w:b w:val="false"/>
          <w:bCs w:val="false"/>
          <w:i w:val="false"/>
          <w:iCs w:val="false"/>
          <w:color w:val="000000"/>
          <w:sz w:val="24"/>
          <w:szCs w:val="24"/>
          <w:lang w:val="en-GB"/>
        </w:rPr>
        <w:t> </w:t>
      </w:r>
    </w:p>
    <w:p>
      <w:pPr>
        <w:pStyle w:val="Normal"/>
        <w:spacing w:before="100" w:after="100"/>
        <w:rPr>
          <w:sz w:val="24"/>
          <w:szCs w:val="24"/>
        </w:rPr>
      </w:pPr>
      <w:r>
        <w:rPr>
          <w:rStyle w:val="Normaltextrun"/>
          <w:rFonts w:eastAsia="Arial" w:cs="Arial"/>
          <w:b w:val="false"/>
          <w:bCs w:val="false"/>
          <w:i w:val="false"/>
          <w:iCs w:val="false"/>
          <w:color w:val="000000"/>
          <w:sz w:val="24"/>
          <w:szCs w:val="24"/>
          <w:lang w:val="en-GB"/>
        </w:rPr>
        <w:t>I confirm that I am progressing with the Occupational Competency Portfolio (OCP) in accordance to the regulations.  </w:t>
      </w:r>
    </w:p>
    <w:p>
      <w:pPr>
        <w:pStyle w:val="Normal"/>
        <w:spacing w:before="100" w:after="100"/>
        <w:rPr>
          <w:sz w:val="24"/>
          <w:szCs w:val="24"/>
        </w:rPr>
      </w:pPr>
      <w:r>
        <w:rPr>
          <w:rStyle w:val="Eop"/>
          <w:rFonts w:eastAsia="Arial" w:cs="Arial"/>
          <w:b w:val="false"/>
          <w:bCs w:val="false"/>
          <w:i w:val="false"/>
          <w:iCs w:val="false"/>
          <w:color w:val="000000"/>
          <w:sz w:val="24"/>
          <w:szCs w:val="24"/>
          <w:lang w:val="en-GB"/>
        </w:rPr>
        <w:t> </w:t>
      </w:r>
    </w:p>
    <w:p>
      <w:pPr>
        <w:pStyle w:val="Normal"/>
        <w:spacing w:before="100" w:after="100"/>
        <w:jc w:val="both"/>
        <w:rPr>
          <w:sz w:val="24"/>
          <w:szCs w:val="24"/>
        </w:rPr>
      </w:pPr>
      <w:r>
        <w:rPr>
          <w:rStyle w:val="Normaltextrun"/>
          <w:rFonts w:eastAsia="Arial" w:cs="Arial"/>
          <w:b w:val="false"/>
          <w:bCs w:val="false"/>
          <w:i w:val="false"/>
          <w:iCs w:val="false"/>
          <w:color w:val="000000"/>
          <w:sz w:val="24"/>
          <w:szCs w:val="24"/>
          <w:lang w:val="en-GB"/>
        </w:rPr>
        <w:t>Signed: </w:t>
      </w:r>
      <w:r>
        <w:rPr>
          <w:rStyle w:val="Normaltextrun"/>
          <w:rFonts w:eastAsia="Arial" w:cs="Arial"/>
          <w:b w:val="false"/>
          <w:bCs w:val="false"/>
          <w:i w:val="false"/>
          <w:iCs w:val="false"/>
          <w:color w:val="000000"/>
          <w:kern w:val="0"/>
          <w:sz w:val="24"/>
          <w:szCs w:val="24"/>
          <w:lang w:val="en-GB" w:eastAsia="en-GB" w:bidi="ar-SA"/>
        </w:rPr>
        <w:t>coakley</w:t>
      </w:r>
      <w:r>
        <w:rPr>
          <w:rStyle w:val="Normaltextrun"/>
          <w:rFonts w:eastAsia="Arial" w:cs="Arial"/>
          <w:b w:val="false"/>
          <w:bCs w:val="false"/>
          <w:i w:val="false"/>
          <w:iCs w:val="false"/>
          <w:color w:val="000000"/>
          <w:sz w:val="24"/>
          <w:szCs w:val="24"/>
          <w:lang w:val="en-GB"/>
        </w:rPr>
        <w:t xml:space="preserve"> (Learner – electronic signature accepted.) </w:t>
      </w:r>
    </w:p>
    <w:p>
      <w:pPr>
        <w:pStyle w:val="Normal"/>
        <w:spacing w:before="100" w:after="100"/>
        <w:jc w:val="both"/>
        <w:rPr>
          <w:sz w:val="24"/>
          <w:szCs w:val="24"/>
        </w:rPr>
      </w:pPr>
      <w:r>
        <w:rPr>
          <w:rStyle w:val="Eop"/>
          <w:rFonts w:eastAsia="Arial" w:cs="Arial"/>
          <w:b w:val="false"/>
          <w:bCs w:val="false"/>
          <w:i w:val="false"/>
          <w:iCs w:val="false"/>
          <w:color w:val="000000"/>
          <w:sz w:val="24"/>
          <w:szCs w:val="24"/>
          <w:lang w:val="en-GB"/>
        </w:rPr>
        <w:t> </w:t>
      </w:r>
    </w:p>
    <w:p>
      <w:pPr>
        <w:pStyle w:val="Normal"/>
        <w:spacing w:before="100" w:after="100"/>
        <w:jc w:val="both"/>
        <w:rPr>
          <w:sz w:val="24"/>
          <w:szCs w:val="24"/>
        </w:rPr>
      </w:pPr>
      <w:r>
        <w:rPr>
          <w:rStyle w:val="Normaltextrun"/>
          <w:rFonts w:eastAsia="Arial" w:cs="Arial"/>
          <w:b w:val="false"/>
          <w:bCs w:val="false"/>
          <w:i w:val="false"/>
          <w:iCs w:val="false"/>
          <w:color w:val="000000"/>
          <w:sz w:val="24"/>
          <w:szCs w:val="24"/>
          <w:lang w:val="en-GB"/>
        </w:rPr>
        <w:t>Date: _</w:t>
      </w:r>
      <w:r>
        <w:rPr>
          <w:rStyle w:val="Normaltextrun"/>
          <w:rFonts w:eastAsia="Arial" w:cs="Arial"/>
          <w:b w:val="false"/>
          <w:bCs w:val="false"/>
          <w:i w:val="false"/>
          <w:iCs w:val="false"/>
          <w:color w:val="000000"/>
          <w:sz w:val="24"/>
          <w:szCs w:val="24"/>
          <w:lang w:val="en-GB"/>
        </w:rPr>
        <w:t>13/06/2022</w:t>
      </w:r>
      <w:r>
        <w:rPr>
          <w:rStyle w:val="Normaltextrun"/>
          <w:rFonts w:eastAsia="Arial" w:cs="Arial"/>
          <w:b w:val="false"/>
          <w:bCs w:val="false"/>
          <w:i w:val="false"/>
          <w:iCs w:val="false"/>
          <w:color w:val="000000"/>
          <w:sz w:val="24"/>
          <w:szCs w:val="24"/>
          <w:lang w:val="en-GB"/>
        </w:rPr>
        <w:t xml:space="preserve"> _ _ _ _ _ _ _ _ _ </w:t>
      </w:r>
    </w:p>
    <w:p>
      <w:pPr>
        <w:pStyle w:val="Normal"/>
        <w:spacing w:before="240" w:after="60"/>
        <w:ind w:left="0" w:right="237" w:hanging="0"/>
        <w:jc w:val="both"/>
        <w:rPr>
          <w:rFonts w:ascii="Arial" w:hAnsi="Arial" w:eastAsia="Times New Roman" w:cs="Arial"/>
          <w:b/>
          <w:b/>
          <w:bCs/>
          <w:color w:val="000000"/>
          <w:sz w:val="24"/>
          <w:szCs w:val="24"/>
        </w:rPr>
      </w:pPr>
      <w:r>
        <w:rPr>
          <w:rFonts w:eastAsia="Times New Roman" w:cs="Arial"/>
          <w:b/>
          <w:bCs/>
          <w:color w:val="000000"/>
          <w:sz w:val="24"/>
          <w:szCs w:val="24"/>
        </w:rPr>
      </w:r>
    </w:p>
    <w:p>
      <w:pPr>
        <w:pStyle w:val="Normal"/>
        <w:spacing w:before="240" w:after="60"/>
        <w:ind w:left="0" w:right="237" w:hanging="0"/>
        <w:jc w:val="both"/>
        <w:rPr>
          <w:b/>
          <w:b/>
          <w:bCs/>
          <w:sz w:val="24"/>
          <w:szCs w:val="24"/>
        </w:rPr>
      </w:pPr>
      <w:r>
        <w:rPr>
          <w:b/>
          <w:bCs/>
          <w:sz w:val="24"/>
          <w:szCs w:val="24"/>
        </w:rPr>
      </w:r>
    </w:p>
    <w:p>
      <w:pPr>
        <w:pStyle w:val="Normal"/>
        <w:spacing w:before="240" w:after="60"/>
        <w:ind w:left="0" w:right="237" w:hanging="0"/>
        <w:jc w:val="both"/>
        <w:rPr>
          <w:b/>
          <w:b/>
          <w:bCs/>
          <w:sz w:val="24"/>
          <w:szCs w:val="24"/>
        </w:rPr>
      </w:pPr>
      <w:r>
        <w:rPr>
          <w:b/>
          <w:bCs/>
          <w:sz w:val="24"/>
          <w:szCs w:val="24"/>
        </w:rPr>
      </w:r>
    </w:p>
    <w:p>
      <w:pPr>
        <w:pStyle w:val="Normal"/>
        <w:keepNext w:val="true"/>
        <w:spacing w:before="240" w:after="60"/>
        <w:ind w:left="0" w:right="237" w:hanging="0"/>
        <w:jc w:val="both"/>
        <w:rPr>
          <w:b/>
          <w:b/>
          <w:sz w:val="24"/>
          <w:szCs w:val="24"/>
        </w:rPr>
      </w:pPr>
      <w:r>
        <w:rPr>
          <w:b/>
          <w:sz w:val="24"/>
          <w:szCs w:val="24"/>
        </w:rPr>
        <w:t>Bibliography</w:t>
      </w:r>
    </w:p>
    <w:p>
      <w:pPr>
        <w:pStyle w:val="Normal"/>
        <w:keepNext w:val="true"/>
        <w:spacing w:before="240" w:after="60"/>
        <w:ind w:left="0" w:right="237" w:hanging="0"/>
        <w:jc w:val="both"/>
        <w:rPr>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pPr>
        <w:pStyle w:val="Normal"/>
        <w:ind w:left="0" w:right="237" w:hanging="0"/>
        <w:jc w:val="both"/>
        <w:rPr>
          <w:b/>
          <w:b/>
          <w:sz w:val="24"/>
          <w:szCs w:val="24"/>
        </w:rPr>
      </w:pPr>
      <w:r>
        <w:rPr>
          <w:b/>
          <w:sz w:val="24"/>
          <w:szCs w:val="24"/>
        </w:rPr>
      </w:r>
    </w:p>
    <w:p>
      <w:pPr>
        <w:pStyle w:val="Normal"/>
        <w:keepNext w:val="true"/>
        <w:ind w:left="0" w:right="237" w:hanging="0"/>
        <w:rPr>
          <w:sz w:val="24"/>
          <w:szCs w:val="24"/>
        </w:rPr>
      </w:pPr>
      <w:r>
        <w:rPr/>
      </w:r>
    </w:p>
    <w:sectPr>
      <w:footerReference w:type="default" r:id="rId28"/>
      <w:type w:val="nextPage"/>
      <w:pgSz w:w="11906" w:h="16838"/>
      <w:pgMar w:left="1440" w:right="1440" w:header="0" w:top="1440" w:footer="720" w:bottom="1440" w:gutter="0"/>
      <w:pgNumType w:fmt="decimal"/>
      <w:formProt w:val="false"/>
      <w:textDirection w:val="lrTb"/>
      <w:docGrid w:type="default" w:linePitch="272"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Cambria">
    <w:charset w:val="01"/>
    <w:family w:val="roman"/>
    <w:pitch w:val="variable"/>
  </w:font>
  <w:font w:name="Liberation Serif">
    <w:altName w:val="Times New Roman"/>
    <w:charset w:val="01"/>
    <w:family w:val="swiss"/>
    <w:pitch w:val="variable"/>
  </w:font>
  <w:font w:name="Liberation Sans">
    <w:altName w:val="Arial"/>
    <w:charset w:val="01"/>
    <w:family w:val="roman"/>
    <w:pitch w:val="variable"/>
  </w:font>
  <w:font w:name="Tahoma">
    <w:charset w:val="01"/>
    <w:family w:val="roman"/>
    <w:pitch w:val="variable"/>
  </w:font>
  <w:font w:name="Calibri">
    <w:charset w:val="01"/>
    <w:family w:val="roman"/>
    <w:pitch w:val="variable"/>
  </w:font>
  <w:font w:name="arial">
    <w:charset w:val="01"/>
    <w:family w:val="roman"/>
    <w:pitch w:val="variable"/>
  </w:font>
  <w:font w:name="Segoe UI">
    <w:charset w:val="01"/>
    <w:family w:val="roman"/>
    <w:pitch w:val="variable"/>
  </w:font>
  <w:font w:name="Symbol">
    <w:charset w:val="02"/>
    <w:family w:val="auto"/>
    <w:pitch w:val="default"/>
  </w:font>
  <w:font w:name="Courier New">
    <w:charset w:val="01"/>
    <w:family w:val="auto"/>
    <w:pitch w:val="default"/>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fldChar w:fldCharType="begin"/>
    </w:r>
    <w:r>
      <w:rPr/>
      <w:instrText> PAGE </w:instrText>
    </w:r>
    <w:r>
      <w:rPr/>
      <w:fldChar w:fldCharType="separate"/>
    </w:r>
    <w:r>
      <w:rPr/>
      <w:t>8</w:t>
    </w:r>
    <w:r>
      <w:rPr/>
      <w:fldChar w:fldCharType="end"/>
    </w:r>
  </w:p>
  <w:p>
    <w:pPr>
      <w:pStyle w:val="Footer"/>
      <w:ind w:left="0" w:right="360" w:hanging="0"/>
      <w:jc w:val="cen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fldChar w:fldCharType="begin"/>
    </w:r>
    <w:r>
      <w:rPr/>
      <w:instrText> PAGE </w:instrText>
    </w:r>
    <w:r>
      <w:rPr/>
      <w:fldChar w:fldCharType="separate"/>
    </w:r>
    <w:r>
      <w:rPr/>
      <w:t>26</w:t>
    </w:r>
    <w:r>
      <w:rPr/>
      <w:fldChar w:fldCharType="end"/>
    </w:r>
  </w:p>
  <w:p>
    <w:pPr>
      <w:pStyle w:val="Footer"/>
      <w:ind w:left="0" w:right="360" w:hanging="0"/>
      <w:jc w:val="cen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right"/>
      <w:rPr/>
    </w:pPr>
    <w:r>
      <w:rPr/>
      <w:fldChar w:fldCharType="begin"/>
    </w:r>
    <w:r>
      <w:rPr/>
      <w:instrText> PAGE </w:instrText>
    </w:r>
    <w:r>
      <w:rPr/>
      <w:fldChar w:fldCharType="separate"/>
    </w:r>
    <w:r>
      <w:rPr/>
      <w:t>27</w:t>
    </w:r>
    <w:r>
      <w:rPr/>
      <w:fldChar w:fldCharType="end"/>
    </w:r>
  </w:p>
  <w:p>
    <w:pPr>
      <w:pStyle w:val="Footer"/>
      <w:ind w:left="0" w:right="360" w:hanging="0"/>
      <w:jc w:val="cen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39"/>
  <w:defaultTabStop w:val="720"/>
  <w:compat>
    <w:doNotExpandShiftReturn/>
  </w:compat>
  <w:autoHyphenation w:val="true"/>
  <w:doNotHyphenateCaps/>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zh-TW" w:bidi="ar-SA"/>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textAlignment w:val="baseline"/>
    </w:pPr>
    <w:rPr>
      <w:rFonts w:ascii="Arial" w:hAnsi="Arial" w:eastAsia="Times New Roman" w:cs="Arial"/>
      <w:color w:val="000000"/>
      <w:kern w:val="0"/>
      <w:sz w:val="20"/>
      <w:szCs w:val="20"/>
      <w:lang w:val="en-GB" w:eastAsia="en-GB" w:bidi="ar-SA"/>
    </w:rPr>
  </w:style>
  <w:style w:type="paragraph" w:styleId="Heading1">
    <w:name w:val="Heading 1"/>
    <w:basedOn w:val="Normal"/>
    <w:next w:val="Normal"/>
    <w:qFormat/>
    <w:pPr>
      <w:keepNext w:val="true"/>
      <w:spacing w:before="240" w:after="60"/>
      <w:outlineLvl w:val="0"/>
    </w:pPr>
    <w:rPr>
      <w:b/>
      <w:kern w:val="2"/>
      <w:sz w:val="28"/>
    </w:rPr>
  </w:style>
  <w:style w:type="paragraph" w:styleId="Heading2">
    <w:name w:val="Heading 2"/>
    <w:basedOn w:val="Normal"/>
    <w:next w:val="Normal"/>
    <w:qFormat/>
    <w:pPr>
      <w:keepNext w:val="true"/>
      <w:spacing w:before="240" w:after="60"/>
      <w:outlineLvl w:val="1"/>
    </w:pPr>
    <w:rPr>
      <w:rFonts w:ascii="Cambria" w:hAnsi="Cambria" w:cs="Times New Roman"/>
      <w:b/>
      <w:bCs/>
      <w:i/>
      <w:iCs/>
      <w:sz w:val="28"/>
      <w:szCs w:val="28"/>
    </w:rPr>
  </w:style>
  <w:style w:type="paragraph" w:styleId="Heading3">
    <w:name w:val="Heading 3"/>
    <w:basedOn w:val="Heading"/>
    <w:next w:val="TextBody"/>
    <w:qFormat/>
    <w:pPr>
      <w:spacing w:before="140" w:after="120"/>
      <w:outlineLvl w:val="2"/>
    </w:pPr>
    <w:rPr>
      <w:rFonts w:ascii="Liberation Serif" w:hAnsi="Liberation Serif" w:eastAsia="Noto Serif CJK TC" w:cs="DejaVu Sans"/>
      <w:b/>
      <w:bCs/>
      <w:sz w:val="28"/>
      <w:szCs w:val="28"/>
    </w:rPr>
  </w:style>
  <w:style w:type="character" w:styleId="DefaultParagraphFont">
    <w:name w:val="Default Paragraph Font"/>
    <w:qFormat/>
    <w:rPr/>
  </w:style>
  <w:style w:type="character" w:styleId="Pagenumber">
    <w:name w:val="page number"/>
    <w:qFormat/>
    <w:rPr/>
  </w:style>
  <w:style w:type="character" w:styleId="InternetLink">
    <w:name w:val="Hyperlink"/>
    <w:rPr>
      <w:color w:val="0000FF"/>
      <w:u w:val="single"/>
    </w:rPr>
  </w:style>
  <w:style w:type="character" w:styleId="Annotationreference">
    <w:name w:val="annotation reference"/>
    <w:qFormat/>
    <w:rPr>
      <w:sz w:val="16"/>
      <w:szCs w:val="16"/>
    </w:rPr>
  </w:style>
  <w:style w:type="character" w:styleId="CommentTextChar">
    <w:name w:val="Comment Text Char"/>
    <w:qFormat/>
    <w:rPr>
      <w:rFonts w:ascii="Arial" w:hAnsi="Arial" w:cs="Arial"/>
      <w:color w:val="000000"/>
    </w:rPr>
  </w:style>
  <w:style w:type="character" w:styleId="CommentSubjectChar">
    <w:name w:val="Comment Subject Char"/>
    <w:qFormat/>
    <w:rPr>
      <w:rFonts w:ascii="Arial" w:hAnsi="Arial" w:cs="Arial"/>
      <w:b/>
      <w:bCs/>
      <w:color w:val="000000"/>
    </w:rPr>
  </w:style>
  <w:style w:type="character" w:styleId="Heading2Char">
    <w:name w:val="Heading 2 Char"/>
    <w:qFormat/>
    <w:rPr>
      <w:rFonts w:ascii="Cambria" w:hAnsi="Cambria" w:eastAsia="Times New Roman" w:cs="Times New Roman"/>
      <w:b/>
      <w:bCs/>
      <w:i/>
      <w:iCs/>
      <w:color w:val="000000"/>
      <w:sz w:val="28"/>
      <w:szCs w:val="28"/>
    </w:rPr>
  </w:style>
  <w:style w:type="character" w:styleId="BodyText3Char">
    <w:name w:val="Body Text 3 Char"/>
    <w:qFormat/>
    <w:rPr>
      <w:rFonts w:ascii="Arial" w:hAnsi="Arial" w:cs="Arial"/>
      <w:color w:val="000000"/>
      <w:sz w:val="16"/>
      <w:szCs w:val="16"/>
    </w:rPr>
  </w:style>
  <w:style w:type="character" w:styleId="FooterChar">
    <w:name w:val="Footer Char"/>
    <w:qFormat/>
    <w:rPr>
      <w:rFonts w:ascii="Arial" w:hAnsi="Arial" w:cs="Arial"/>
      <w:color w:val="000000"/>
    </w:rPr>
  </w:style>
  <w:style w:type="character" w:styleId="Normaltextrun">
    <w:name w:val="normaltextrun"/>
    <w:basedOn w:val="DefaultParagraphFont"/>
    <w:qFormat/>
    <w:rPr/>
  </w:style>
  <w:style w:type="character" w:styleId="Spellingerror">
    <w:name w:val="spellingerror"/>
    <w:basedOn w:val="DefaultParagraphFont"/>
    <w:qFormat/>
    <w:rPr/>
  </w:style>
  <w:style w:type="character" w:styleId="Contextualspellingandgrammarerror">
    <w:name w:val="contextualspellingandgrammarerror"/>
    <w:basedOn w:val="DefaultParagraphFont"/>
    <w:qFormat/>
    <w:rPr/>
  </w:style>
  <w:style w:type="character" w:styleId="Eop">
    <w:name w:val="eop"/>
    <w:basedOn w:val="DefaultParagraphFont"/>
    <w:qFormat/>
    <w:rPr/>
  </w:style>
  <w:style w:type="character" w:styleId="VisitedInternetLink">
    <w:name w:val="FollowedHyperlink"/>
    <w:rPr>
      <w:color w:val="800000"/>
      <w:u w:val="single"/>
      <w:lang w:val="zxx" w:eastAsia="zxx" w:bidi="zxx"/>
    </w:rPr>
  </w:style>
  <w:style w:type="character" w:styleId="Emphasis">
    <w:name w:val="Emphasis"/>
    <w:qFormat/>
    <w:rPr>
      <w:i/>
      <w:iCs/>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rPr>
      <w:b/>
      <w:sz w:val="24"/>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eaderandFooter">
    <w:name w:val="Header and Footer"/>
    <w:basedOn w:val="Normal"/>
    <w:qFormat/>
    <w:pPr/>
    <w:rPr/>
  </w:style>
  <w:style w:type="paragraph" w:styleId="Header">
    <w:name w:val="Header"/>
    <w:basedOn w:val="Normal"/>
    <w:pPr>
      <w:tabs>
        <w:tab w:val="clear" w:pos="720"/>
        <w:tab w:val="center" w:pos="4320" w:leader="none"/>
        <w:tab w:val="right" w:pos="8640" w:leader="none"/>
      </w:tabs>
    </w:pPr>
    <w:rPr/>
  </w:style>
  <w:style w:type="paragraph" w:styleId="Footer">
    <w:name w:val="Footer"/>
    <w:basedOn w:val="Normal"/>
    <w:pPr>
      <w:tabs>
        <w:tab w:val="clear" w:pos="720"/>
        <w:tab w:val="center" w:pos="4320" w:leader="none"/>
        <w:tab w:val="right" w:pos="8640" w:leader="none"/>
      </w:tabs>
    </w:pPr>
    <w:rPr/>
  </w:style>
  <w:style w:type="paragraph" w:styleId="BalloonText">
    <w:name w:val="Balloon Text"/>
    <w:basedOn w:val="Normal"/>
    <w:qFormat/>
    <w:pPr/>
    <w:rPr>
      <w:rFonts w:ascii="Tahoma" w:hAnsi="Tahoma" w:cs="Tahoma"/>
      <w:sz w:val="16"/>
      <w:szCs w:val="16"/>
    </w:rPr>
  </w:style>
  <w:style w:type="paragraph" w:styleId="Annotationtext">
    <w:name w:val="annotation text"/>
    <w:basedOn w:val="Normal"/>
    <w:qFormat/>
    <w:pPr/>
    <w:rPr/>
  </w:style>
  <w:style w:type="paragraph" w:styleId="Annotationsubject">
    <w:name w:val="annotation subject"/>
    <w:basedOn w:val="Annotationtext"/>
    <w:next w:val="Annotationtext"/>
    <w:qFormat/>
    <w:pPr/>
    <w:rPr>
      <w:b/>
      <w:bCs/>
    </w:rPr>
  </w:style>
  <w:style w:type="paragraph" w:styleId="BodyText3">
    <w:name w:val="Body Text 3"/>
    <w:basedOn w:val="Normal"/>
    <w:qFormat/>
    <w:pPr>
      <w:spacing w:before="0" w:after="120"/>
    </w:pPr>
    <w:rPr>
      <w:sz w:val="16"/>
      <w:szCs w:val="16"/>
    </w:rPr>
  </w:style>
  <w:style w:type="paragraph" w:styleId="ColorfulShadingAccent11">
    <w:name w:val="Colorful Shading - Accent 11"/>
    <w:qFormat/>
    <w:pPr>
      <w:widowControl/>
      <w:suppressAutoHyphens w:val="true"/>
      <w:overflowPunct w:val="true"/>
      <w:bidi w:val="0"/>
      <w:spacing w:before="0" w:after="0"/>
      <w:jc w:val="left"/>
    </w:pPr>
    <w:rPr>
      <w:rFonts w:ascii="Arial" w:hAnsi="Arial" w:eastAsia="Times New Roman" w:cs="Arial"/>
      <w:color w:val="000000"/>
      <w:kern w:val="0"/>
      <w:sz w:val="20"/>
      <w:szCs w:val="20"/>
      <w:lang w:val="en-GB" w:eastAsia="en-GB" w:bidi="ar-SA"/>
    </w:rPr>
  </w:style>
  <w:style w:type="paragraph" w:styleId="ListParagraph">
    <w:name w:val="List Paragraph"/>
    <w:basedOn w:val="Normal"/>
    <w:qFormat/>
    <w:pPr>
      <w:spacing w:before="0" w:after="0"/>
      <w:ind w:left="720" w:right="0" w:hanging="0"/>
      <w:contextualSpacing/>
    </w:pPr>
    <w:rPr/>
  </w:style>
  <w:style w:type="paragraph" w:styleId="TableParagraph">
    <w:name w:val="Table Paragraph"/>
    <w:basedOn w:val="Normal"/>
    <w:qFormat/>
    <w:pPr>
      <w:widowControl w:val="false"/>
      <w:overflowPunct w:val="false"/>
      <w:ind w:left="108" w:right="0" w:hanging="0"/>
      <w:textAlignment w:val="auto"/>
    </w:pPr>
    <w:rPr>
      <w:rFonts w:eastAsia="Arial"/>
      <w:color w:val="auto"/>
      <w:sz w:val="22"/>
      <w:szCs w:val="22"/>
      <w:lang w:bidi="en-GB"/>
    </w:rPr>
  </w:style>
  <w:style w:type="paragraph" w:styleId="Paragraph">
    <w:name w:val="paragraph"/>
    <w:basedOn w:val="Normal"/>
    <w:qFormat/>
    <w:pPr>
      <w:overflowPunct w:val="false"/>
      <w:spacing w:before="100" w:after="100"/>
      <w:textAlignment w:val="auto"/>
    </w:pPr>
    <w:rPr>
      <w:rFonts w:ascii="Times New Roman" w:hAnsi="Times New Roman" w:cs="Times New Roman"/>
      <w:color w:val="auto"/>
      <w:sz w:val="24"/>
      <w:szCs w:val="24"/>
      <w:lang w:eastAsia="zh-TW"/>
    </w:rPr>
  </w:style>
  <w:style w:type="paragraph" w:styleId="TableContents">
    <w:name w:val="Table Contents"/>
    <w:basedOn w:val="Normal"/>
    <w:qFormat/>
    <w:pPr>
      <w:suppressLineNumbers/>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uwtsd.ac.uk/media/uwtsd-website/content-assets/documents/academic-office/aqh-chapters/chapters---en/Chapter_07_Assessment_Taught_Programmes_Pages_72-79-UPDATED-05-11-2019.pdf" TargetMode="External"/><Relationship Id="rId4" Type="http://schemas.openxmlformats.org/officeDocument/2006/relationships/hyperlink" Target="https://moodle.uwtsd.ac.uk/pluginfile.php/298870/mod_resource/content/1/Reflective Practice for Policing Students - Selina Copley Chapter5.pdf" TargetMode="External"/><Relationship Id="rId5" Type="http://schemas.openxmlformats.org/officeDocument/2006/relationships/hyperlink" Target="https://doi.org/10.1080/18335330.2014.940820" TargetMode="External"/><Relationship Id="rId6" Type="http://schemas.openxmlformats.org/officeDocument/2006/relationships/hyperlink" Target="https://assets.college.police.uk/s3fs-public/2021-02/code_supportingdocs_organisationalmodel.pdf" TargetMode="External"/><Relationship Id="rId7" Type="http://schemas.openxmlformats.org/officeDocument/2006/relationships/hyperlink" Target="https://d17wy4t6ps30xx.cloudfront.net/production/uploads/2017/09/Competency-and-Values-Framework-for-Policing_4.11.16.pdf" TargetMode="External"/><Relationship Id="rId8" Type="http://schemas.openxmlformats.org/officeDocument/2006/relationships/hyperlink" Target="https://www.gwent.police.uk/SysSiteAssets/media/downloads/gwent/equality-and-diversity/joint-strategic-equality-plan-2020.pdf" TargetMode="External"/><Relationship Id="rId9" Type="http://schemas.openxmlformats.org/officeDocument/2006/relationships/hyperlink" Target="https://www.dundee.ac.uk/guides/protected-characteristics-explained" TargetMode="External"/><Relationship Id="rId10" Type="http://schemas.openxmlformats.org/officeDocument/2006/relationships/footer" Target="footer1.xml"/><Relationship Id="rId11" Type="http://schemas.openxmlformats.org/officeDocument/2006/relationships/hyperlink" Target="https://www.gov.uk/horse-passport" TargetMode="External"/><Relationship Id="rId12" Type="http://schemas.openxmlformats.org/officeDocument/2006/relationships/hyperlink" Target="https://doi.org/10.1080/10439463.1990.9964608" TargetMode="External"/><Relationship Id="rId13" Type="http://schemas.openxmlformats.org/officeDocument/2006/relationships/hyperlink" Target="https://www.gov.uk/horse-passport" TargetMode="External"/><Relationship Id="rId14" Type="http://schemas.openxmlformats.org/officeDocument/2006/relationships/hyperlink" Target="http://www.waspi.org/framework-documentation" TargetMode="External"/><Relationship Id="rId15" Type="http://schemas.openxmlformats.org/officeDocument/2006/relationships/hyperlink" Target="https://doi.org/10.1590/S1983-32882012000200014" TargetMode="External"/><Relationship Id="rId16" Type="http://schemas.openxmlformats.org/officeDocument/2006/relationships/hyperlink" Target="https://doi.org/10.1111/j.1744-6171.2009.00198.x" TargetMode="External"/><Relationship Id="rId17" Type="http://schemas.openxmlformats.org/officeDocument/2006/relationships/hyperlink" Target="https://doi.org/10.1080/09658211.2013.864313" TargetMode="External"/><Relationship Id="rId18" Type="http://schemas.openxmlformats.org/officeDocument/2006/relationships/hyperlink" Target="https://link.springer.com/article/10.1007/s11292-017-9301-7" TargetMode="External"/><Relationship Id="rId19" Type="http://schemas.openxmlformats.org/officeDocument/2006/relationships/hyperlink" Target="https://www.tandfonline.com/doi/abs/10.1080/13600869955044" TargetMode="External"/><Relationship Id="rId20" Type="http://schemas.openxmlformats.org/officeDocument/2006/relationships/hyperlink" Target="https://doi.org/10.1007/s11292-017-9301-7" TargetMode="External"/><Relationship Id="rId21" Type="http://schemas.openxmlformats.org/officeDocument/2006/relationships/hyperlink" Target="https://doi.org/10.1080/13600869955044" TargetMode="External"/><Relationship Id="rId22" Type="http://schemas.openxmlformats.org/officeDocument/2006/relationships/hyperlink" Target="https://www.womensaid.org.uk/information-support/what-is-domestic-abuse/" TargetMode="External"/><Relationship Id="rId23" Type="http://schemas.openxmlformats.org/officeDocument/2006/relationships/hyperlink" Target="https://www.taylorfrancis.com/chapters/edit/10.4324/9781843925729-13/deconstructing-distraction-burglary-ageist-offence-stuart-lister-david-wall" TargetMode="External"/><Relationship Id="rId24" Type="http://schemas.openxmlformats.org/officeDocument/2006/relationships/hyperlink" Target="https://www.bl.uk/britishlibrary/~/media/bl/global/social-welfare/pdfs/non-secure/c/y/b/cyber-crime-a-review-of-the-evidence-chapter-1-cyberdependent-crimes.pdf" TargetMode="External"/><Relationship Id="rId25" Type="http://schemas.openxmlformats.org/officeDocument/2006/relationships/hyperlink" Target="https://www.netatmo.com/en-gb/guides/security/burglary/faq/burglary-symbol" TargetMode="External"/><Relationship Id="rId26" Type="http://schemas.openxmlformats.org/officeDocument/2006/relationships/hyperlink" Target="https://dx.doi.org/10.2139/ssrn.3005872" TargetMode="External"/><Relationship Id="rId27" Type="http://schemas.openxmlformats.org/officeDocument/2006/relationships/footer" Target="footer2.xml"/><Relationship Id="rId28" Type="http://schemas.openxmlformats.org/officeDocument/2006/relationships/footer" Target="footer3.xml"/><Relationship Id="rId29" Type="http://schemas.openxmlformats.org/officeDocument/2006/relationships/numbering" Target="numbering.xm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1739</TotalTime>
  <Application>LibreOffice/6.4.7.2$Linux_X86_64 LibreOffice_project/40$Build-2</Application>
  <Pages>27</Pages>
  <Words>8426</Words>
  <Characters>42772</Characters>
  <CharactersWithSpaces>51082</CharactersWithSpaces>
  <Paragraphs>281</Paragraphs>
  <Company>Powys County Council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2019-06-20T10:03:00Z</dcterms:created>
  <dc:creator>GC</dc:creator>
  <dc:description/>
  <dc:language>en-GB</dc:language>
  <cp:lastModifiedBy/>
  <cp:lastPrinted>2014-08-26T08:55:00Z</cp:lastPrinted>
  <dcterms:modified xsi:type="dcterms:W3CDTF">2022-06-13T21:56:47Z</dcterms:modified>
  <cp:revision>123</cp:revision>
  <dc:subject/>
  <dc:title>NORTH AND WEST WALES PQ1 PROGRAMME</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Powys County Council</vt:lpwstr>
  </property>
  <property fmtid="{D5CDD505-2E9C-101B-9397-08002B2CF9AE}" pid="4" name="ContentTypeId">
    <vt:lpwstr>0x01010054EC8029807A2946B625B0D114BCF650</vt:lpwstr>
  </property>
  <property fmtid="{D5CDD505-2E9C-101B-9397-08002B2CF9AE}" pid="5" name="DocSecurity">
    <vt:i4>0</vt:i4>
  </property>
  <property fmtid="{D5CDD505-2E9C-101B-9397-08002B2CF9AE}" pid="6" name="HyperlinksChanged">
    <vt:bool>0</vt:bool>
  </property>
  <property fmtid="{D5CDD505-2E9C-101B-9397-08002B2CF9AE}" pid="7" name="LinksUpToDate">
    <vt:bool>0</vt:bool>
  </property>
  <property fmtid="{D5CDD505-2E9C-101B-9397-08002B2CF9AE}" pid="8" name="ScaleCrop">
    <vt:bool>0</vt:bool>
  </property>
  <property fmtid="{D5CDD505-2E9C-101B-9397-08002B2CF9AE}" pid="9" name="ShareDoc">
    <vt:bool>0</vt:bool>
  </property>
</Properties>
</file>