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theme/theme1.xml" ContentType="application/vnd.openxmlformats-officedocument.theme+xml"/>
  <Override PartName="/word/header1.xml" ContentType="application/vnd.openxmlformats-officedocument.wordprocessingml.header+xml"/>
  <Override PartName="/word/charts/chart1.xml" ContentType="application/vnd.openxmlformats-officedocument.drawingml.chart+xml"/>
  <Override PartName="/word/document.xml" ContentType="application/vnd.openxmlformats-officedocument.wordprocessingml.document.main+xml"/>
  <Override PartName="/word/settings.xml" ContentType="application/vnd.openxmlformats-officedocument.wordprocessingml.settings+xml"/>
  <Override PartName="/word/drawings/drawing1.xml" ContentType="application/vnd.openxmlformats-officedocument.drawingml.chartshapes+xml"/>
  <Override PartName="/word/charts/chart2.xml" ContentType="application/vnd.openxmlformats-officedocument.drawingml.chart+xml"/>
  <Override PartName="/word/fontTable.xml" ContentType="application/vnd.openxmlformats-officedocument.wordprocessingml.fontTable+xml"/>
  <Override PartName="/word/charts/colors1.xml" ContentType="application/vnd.ms-office.chartcolorstyle+xml"/>
  <Override PartName="/word/footer2.xml" ContentType="application/vnd.openxmlformats-officedocument.wordprocessingml.footer+xml"/>
  <Override PartName="/" ContentType="application/vnd.openxmlformats-package.core-properties+xml"/>
  <Override PartName="/word/charts/colors2.xml" ContentType="application/vnd.ms-office.chartcolorstyle+xml"/>
  <Override PartName="/word/charts/style1.xml" ContentType="application/vnd.ms-office.chartstyle+xml"/>
  <Override PartName="/word/footer3.xml" ContentType="application/vnd.openxmlformats-officedocument.wordprocessingml.footer+xml"/>
  <Override PartName="/word/charts/style2.xml" ContentType="application/vnd.ms-office.chartsty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p14="http://schemas.microsoft.com/office/word/2010/wordprocessingDrawing" xmlns:wpi="http://schemas.microsoft.com/office/word/2010/wordprocessingInk" xmlns:aink="http://schemas.microsoft.com/office/drawing/2016/ink">
  <w:body>
    <w:p>
      <w:pPr>
        <w:widowControl w:val="on"/>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376821" cy="5627354"/>
            <wp:effectExtent l="0" t="0" r="0" b="0"/>
            <wp:docPr id="15"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24"/>
                    <a:srcRect l="13483" t="29108" r="52926" b="8389"/>
                    <a:stretch/>
                  </pic:blipFill>
                  <pic:spPr>
                    <a:xfrm>
                      <a:off x="0" y="0"/>
                      <a:ext cx="5376821" cy="5627354"/>
                    </a:xfrm>
                    <a:prstGeom prst="rect">
                      <a:avLst/>
                    </a:prstGeom>
                  </pic:spPr>
                </pic:pic>
              </a:graphicData>
            </a:graphic>
          </wp:inline>
        </w:drawing>
      </w:r>
    </w:p>
    <w:p>
      <w:pPr>
        <w:widowControl w:val="on"/>
        <w:rPr>
          <w:rFonts w:ascii="Times New Roman" w:cs="Times New Roman" w:eastAsia="Times New Roman" w:hAnsi="Times New Roman"/>
        </w:rPr>
      </w:pPr>
      <w:r>
        <w:rPr/>
        <w:br w:type="page"/>
      </w: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r>
        <w:rPr/>
        <w:drawing xmlns:mc="http://schemas.openxmlformats.org/markup-compatibility/2006">
          <wp:inline distT="0" distB="0" distL="0" distR="0">
            <wp:extent cx="5290874" cy="5198588"/>
            <wp:effectExtent l="0" t="0" r="0" b="0"/>
            <wp:docPr id="16"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25"/>
                    <a:srcRect l="56610" t="36168" r="12954" b="10665"/>
                    <a:stretch/>
                  </pic:blipFill>
                  <pic:spPr>
                    <a:xfrm>
                      <a:off x="0" y="0"/>
                      <a:ext cx="5290874" cy="5198588"/>
                    </a:xfrm>
                    <a:prstGeom prst="rect">
                      <a:avLst/>
                    </a:prstGeom>
                  </pic:spPr>
                </pic:pic>
              </a:graphicData>
            </a:graphic>
          </wp:inline>
        </w:drawing>
      </w:r>
    </w:p>
    <w:p>
      <w:pPr>
        <w:rPr>
          <w:rFonts w:ascii="Times New Roman" w:cs="Times New Roman" w:eastAsia="Times New Roman" w:hAnsi="Times New Roman"/>
        </w:rPr>
      </w:pPr>
      <w:r>
        <w:rPr/>
        <w:br w:type="page"/>
      </w:r>
    </w:p>
    <w:p>
      <w:pPr>
        <w:widowControl w:val="on"/>
        <w:rPr>
          <w:rFonts w:ascii="Times New Roman" w:cs="Times New Roman" w:eastAsia="Times New Roman" w:hAnsi="Times New Roman"/>
        </w:rPr>
      </w:pPr>
      <w:r>
        <w:rPr>
          <w:rFonts w:ascii="Times New Roman" w:cs="Times New Roman" w:eastAsia="Times New Roman" w:hAnsi="Times New Roman"/>
          <w:rtl w:val="off"/>
        </w:rPr>
        <w:t>Executive Summary</w:t>
      </w:r>
    </w:p>
    <w:p>
      <w:pPr>
        <w:widowControl w:val="on"/>
        <w:rPr>
          <w:rFonts w:ascii="Times New Roman" w:cs="Times New Roman" w:eastAsia="Times New Roman" w:hAnsi="Times New Roman"/>
        </w:rPr>
      </w:pPr>
      <w:r>
        <w:rPr/>
        <w:br w:type="page"/>
      </w:r>
    </w:p>
    <w:p>
      <w:pPr>
        <w:widowControl w:val="on"/>
        <w:rPr>
          <w:rFonts w:ascii="Times New Roman" w:cs="Times New Roman" w:eastAsia="Times New Roman" w:hAnsi="Times New Roman"/>
        </w:rPr>
      </w:pPr>
    </w:p>
    <w:p>
      <w:pPr>
        <w:widowControl w:val="on"/>
        <w:pBdr>
          <w:top w:val="nil" w:sz="4" w:space="0"/>
          <w:left w:val="nil" w:sz="4" w:space="0"/>
          <w:bottom w:val="nil" w:sz="4" w:space="0"/>
          <w:right w:val="nil" w:sz="4" w:space="0"/>
          <w:between w:val="nil" w:sz="4" w:space="0"/>
        </w:pBdr>
        <w:jc w:val="both"/>
        <w:rPr>
          <w:rFonts w:ascii="Times New Roman" w:cs="Times New Roman" w:eastAsia="Times New Roman" w:hAnsi="Times New Roman"/>
          <w:color w:val="000000"/>
        </w:rPr>
        <w:sectPr>
          <w:headerReference w:type="default" r:id="rId26"/>
          <w:footerReference w:type="default" r:id="rId27"/>
          <w:pgSz w:w="11906" w:h="16838" w:orient="portrait"/>
          <w:pgMar w:top="1440" w:right="1800" w:bottom="1440" w:left="1800" w:header="851" w:footer="992"/>
          <w:pgNumType w:start="1"/>
        </w:sectPr>
      </w:pPr>
      <w:r>
        <w:rPr/>
        <w:drawing xmlns:mc="http://schemas.openxmlformats.org/markup-compatibility/2006">
          <wp:inline distT="0" distB="0" distL="0" distR="0">
            <wp:extent cx="5292498" cy="5324379"/>
            <wp:effectExtent l="0" t="0" r="0" b="0"/>
            <wp:docPr id="1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28"/>
                    <a:srcRect l="55372" t="33022" r="15255" b="14442"/>
                    <a:stretch/>
                  </pic:blipFill>
                  <pic:spPr>
                    <a:xfrm>
                      <a:off x="0" y="0"/>
                      <a:ext cx="5292498" cy="5324379"/>
                    </a:xfrm>
                    <a:prstGeom prst="rect">
                      <a:avLst/>
                    </a:prstGeom>
                  </pic:spPr>
                </pic:pic>
              </a:graphicData>
            </a:graphic>
          </wp:inline>
        </w:drawing>
      </w:r>
    </w:p>
    <w:p>
      <w:pPr>
        <w:widowControl w:val="on"/>
        <w:numPr>
          <w:ilvl w:val="0"/>
          <w:numId w:val="1"/>
        </w:numPr>
        <w:pBdr>
          <w:top w:val="nil" w:sz="4" w:space="0"/>
          <w:left w:val="nil" w:sz="4" w:space="0"/>
          <w:bottom w:val="nil" w:sz="4" w:space="0"/>
          <w:right w:val="nil" w:sz="4" w:space="0"/>
          <w:between w:val="nil" w:sz="4" w:space="0"/>
        </w:pBdr>
        <w:spacing w:line="360" w:lineRule="auto"/>
        <w:ind w:left="480" w:hanging="480"/>
        <w:jc w:val="both"/>
        <w:rPr>
          <w:rFonts w:ascii="Times New Roman" w:cs="Times New Roman" w:eastAsia="Times New Roman" w:hAnsi="Times New Roman"/>
          <w:b/>
          <w:color w:val="000000"/>
          <w:u w:val="single"/>
        </w:rPr>
      </w:pPr>
      <w:r>
        <w:rPr>
          <w:rFonts w:ascii="Times New Roman" w:cs="Times New Roman" w:eastAsia="Times New Roman" w:hAnsi="Times New Roman"/>
          <w:b/>
          <w:color w:val="000000"/>
          <w:u w:val="single"/>
          <w:rtl w:val="off"/>
        </w:rPr>
        <w:t>Introduction</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Jewellery is one of luxury goods in Hong Kong. As the “Brand of Hong Kong’ recognized worldwide and turned as shopping paradise, the brands are benefited from the Tourism, especially for the Frequent Induvial Travel after 2003. During the pandemic period in last 3 years, the revenue is deteriorated. (</w:t>
      </w:r>
      <w:r>
        <w:rPr>
          <w:rFonts w:ascii="Times New Roman" w:cs="Times New Roman" w:eastAsia="Times New Roman" w:hAnsi="Times New Roman"/>
          <w:rtl w:val="off"/>
        </w:rPr>
        <w:t>Luk Fook Holdings (International) Limited, 2019</w:t>
      </w:r>
      <w:r>
        <w:rPr>
          <w:rFonts w:ascii="Times New Roman" w:cs="Times New Roman" w:eastAsia="Times New Roman" w:hAnsi="Times New Roman"/>
          <w:color w:val="000000"/>
          <w:rtl w:val="off"/>
        </w:rPr>
        <w:t xml:space="preserve">) When the economic is affected and the willingness of purchase of shopper goods will be affected.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Lukfook Jewellery (LKJ) is one of the renowned luxury brands in Hong Kong found in 1991 and listed as Luk Fook Holdings (International) Limited in 1997 (HKEX: 0059). </w:t>
      </w:r>
      <w:r>
        <w:rPr>
          <w:rFonts w:ascii="Times New Roman" w:cs="Times New Roman" w:eastAsia="Times New Roman" w:hAnsi="Times New Roman"/>
          <w:color w:val="000000"/>
          <w:rtl w:val="off"/>
        </w:rPr>
        <w:t>(</w:t>
      </w:r>
      <w:r>
        <w:rPr>
          <w:rFonts w:ascii="Times New Roman" w:cs="Times New Roman" w:eastAsia="Times New Roman" w:hAnsi="Times New Roman"/>
          <w:rtl w:val="off"/>
        </w:rPr>
        <w:t>Luk Fook Holdings (International) Limited, 2022) LKJ has 3 kinds of business as licensing, retailing, and wholesaling and retailing is the major sources of the revenue. The branches located mainly in Eastern Asian countries over 2900 shops. It also had launched the professional institutions to foster the professionalism among the industries. China Gems Laboratory Limited providing services in authentication of diamonds, jadeite jade gemstones, and jewellery. Victoria Gemological Institute Limited engages in professional training in jewellery authentication.</w:t>
      </w:r>
      <w:r>
        <w:rPr>
          <w:rFonts w:ascii="Times New Roman" w:cs="Times New Roman" w:eastAsia="Times New Roman" w:hAnsi="Times New Roman"/>
          <w:color w:val="000000"/>
          <w:rtl w:val="off"/>
        </w:rPr>
        <w:t xml:space="preserve"> (</w:t>
      </w:r>
      <w:r>
        <w:rPr>
          <w:rFonts w:ascii="Times New Roman" w:cs="Times New Roman" w:eastAsia="Times New Roman" w:hAnsi="Times New Roman"/>
          <w:rtl w:val="off"/>
        </w:rPr>
        <w:t>Luk Fook Holdings (International) Limited, 2022)</w:t>
      </w:r>
    </w:p>
    <w:p>
      <w:pPr>
        <w:widowControl w:val="on"/>
        <w:spacing w:line="360" w:lineRule="auto"/>
        <w:jc w:val="both"/>
        <w:rPr>
          <w:rFonts w:ascii="Times New Roman" w:cs="Times New Roman" w:eastAsia="Times New Roman" w:hAnsi="Times New Roman"/>
        </w:rPr>
      </w:pP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With the reopening of the border, the spending of the tourists increase which stimulated the retail sales. As studied, the provisional estimate of the value of sales of jewellery, watches and clock, and precious gifts increased by 88.0% in the first quarter of 2023.(CCCCCCXXXXXXXXXXXXXX)</w:t>
      </w:r>
    </w:p>
    <w:p>
      <w:pPr>
        <w:widowControl w:val="on"/>
        <w:spacing w:line="360" w:lineRule="auto"/>
        <w:jc w:val="both"/>
        <w:rPr>
          <w:rFonts w:ascii="Times New Roman" w:cs="Times New Roman" w:eastAsia="Times New Roman" w:hAnsi="Times New Roman"/>
        </w:rPr>
      </w:pP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Gold and Platinum (gold) and Fixed price jewellery (jewellery) are the products that LKJ sells. As showed figure 1.1, the sales amount of gold products which in orange color is higher than jewellery which in pink color. It had been a lit higher than gold in 2020. However, the sales amount of the fixed price jewellery still below the gold even in the rebounded of economic in 2021 with the consumer vouchers. (XXXXX) In 2023, the sales amounts of jewellery in the decreasing trend to only sharing 37% of the total amount while the gold increased to 63%. The dot lines  represent the tendency of the sales and assumed both will decrease in 2024 and continue to have lower sales amount of jewellery. This report will concentrate on jewellery part.</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226050" cy="2794000"/>
            <wp:effectExtent l="0" t="0" r="0" b="0"/>
            <wp:docPr id="18" name="image2.png"/>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widowControl w:val="on"/>
        <w:spacing w:line="360" w:lineRule="auto"/>
        <w:jc w:val="both"/>
        <w:rPr>
          <w:rFonts w:ascii="Times New Roman" w:cs="Times New Roman" w:eastAsia="Times New Roman" w:hAnsi="Times New Roman"/>
        </w:rPr>
      </w:pP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As studied the population projections till 2037, female population aged 35 to 54 have a steady grow and showed the population in 25 to 34 are abnormal. So, to continue in target in the segment who have more willingness to spend money, a continue marketing in targeting the segment is the choice.</w:t>
      </w:r>
    </w:p>
    <w:p>
      <w:pPr>
        <w:widowControl w:val="on"/>
        <w:spacing w:line="360" w:lineRule="auto"/>
        <w:jc w:val="both"/>
        <w:rPr>
          <w:rFonts w:ascii="Times New Roman" w:cs="Times New Roman" w:eastAsia="Times New Roman" w:hAnsi="Times New Roman"/>
          <w:highlight w:val="yellow"/>
        </w:rPr>
      </w:pPr>
      <w:r>
        <w:rPr>
          <w:rFonts w:ascii="Times New Roman" w:cs="Times New Roman" w:eastAsia="Times New Roman" w:hAnsi="Times New Roman"/>
        </w:rPr>
        <w:drawing xmlns:mc="http://schemas.openxmlformats.org/markup-compatibility/2006">
          <wp:inline distT="0" distB="0" distL="0" distR="0">
            <wp:extent cx="5274310" cy="4241800"/>
            <wp:effectExtent l="0" t="0" r="0" b="0"/>
            <wp:docPr id="19" name="image2.png"/>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ascii="Times New Roman" w:cs="Times New Roman" w:eastAsia="Times New Roman" w:hAnsi="Times New Roman"/>
          <w:highlight w:val="yellow"/>
          <w:rtl w:val="off"/>
        </w:rPr>
        <w:t xml:space="preserve"> </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Thus, this report will study in jewellery and to continue in target in the same segment.</w:t>
      </w:r>
    </w:p>
    <w:p>
      <w:pPr>
        <w:rPr>
          <w:rFonts w:ascii="Times New Roman" w:cs="Times New Roman" w:eastAsia="Times New Roman" w:hAnsi="Times New Roman"/>
        </w:rPr>
      </w:pPr>
      <w:r>
        <w:rPr/>
        <w:br w:type="page"/>
      </w:r>
      <w:r>
        <w:rPr>
          <w:rFonts w:ascii="Times New Roman" w:cs="Times New Roman" w:eastAsia="Times New Roman" w:hAnsi="Times New Roman"/>
          <w:rtl w:val="off"/>
        </w:rPr>
        <w:t xml:space="preserve"> </w:t>
      </w:r>
    </w:p>
    <w:p>
      <w:pPr>
        <w:widowControl w:val="on"/>
        <w:numPr>
          <w:ilvl w:val="0"/>
          <w:numId w:val="1"/>
        </w:numPr>
        <w:pBdr>
          <w:top w:val="nil" w:sz="4" w:space="0"/>
          <w:left w:val="nil" w:sz="4" w:space="0"/>
          <w:bottom w:val="nil" w:sz="4" w:space="0"/>
          <w:right w:val="nil" w:sz="4" w:space="0"/>
          <w:between w:val="nil" w:sz="4" w:space="0"/>
        </w:pBdr>
        <w:spacing w:line="360" w:lineRule="auto"/>
        <w:ind w:left="480" w:hanging="48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Situational Analysis</w:t>
      </w: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To understand the current situation of LKJ, general analysis on external and internal analysis should be used.</w:t>
      </w: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2.1</w:t>
        <w:tab/>
        <w:t>External Analysis</w:t>
      </w:r>
    </w:p>
    <w:p>
      <w:pPr>
        <w:widowControl w:val="on"/>
        <w:spacing w:line="360" w:lineRule="auto"/>
        <w:ind w:left="480" w:firstLine="0"/>
        <w:jc w:val="both"/>
        <w:rPr>
          <w:rFonts w:ascii="Times New Roman" w:cs="Times New Roman" w:eastAsia="Times New Roman" w:hAnsi="Times New Roman"/>
        </w:rPr>
      </w:pPr>
      <w:r>
        <w:rPr>
          <w:rFonts w:ascii="Times New Roman" w:cs="Times New Roman" w:eastAsia="Times New Roman" w:hAnsi="Times New Roman"/>
          <w:rtl w:val="off"/>
        </w:rPr>
        <w:t>External environment is the factors that affecting the macro-economic factors that LKJ cannot control.</w:t>
      </w: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2.1.1 PESTLE Analysis</w:t>
      </w: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In this analysis, PEST analysis is used for understanding the strategic risk in the external environment factors in 4 aspects: Political, Economic, Social and Technological (Sammut‐Bonnici &amp; Galea, 2014).</w:t>
      </w: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p>
    <w:p>
      <w:pPr>
        <w:widowControl w:val="on"/>
        <w:pBdr>
          <w:top w:val="nil" w:sz="4" w:space="0"/>
          <w:left w:val="nil" w:sz="4" w:space="0"/>
          <w:bottom w:val="nil" w:sz="4" w:space="0"/>
          <w:right w:val="nil" w:sz="4" w:space="0"/>
          <w:between w:val="nil" w:sz="4" w:space="0"/>
        </w:pBdr>
        <w:spacing w:line="360" w:lineRule="auto"/>
        <w:ind w:left="480" w:firstLine="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2.1.1.1</w:t>
        <w:tab/>
        <w:t>Political Factors</w:t>
      </w:r>
    </w:p>
    <w:p>
      <w:pPr>
        <w:spacing w:line="360" w:lineRule="auto"/>
        <w:ind w:left="360" w:firstLine="0"/>
        <w:jc w:val="both"/>
        <w:rPr>
          <w:rFonts w:ascii="Times New Roman" w:cs="Times New Roman" w:eastAsia="Times New Roman" w:hAnsi="Times New Roman"/>
        </w:rPr>
      </w:pPr>
      <w:r>
        <w:rPr>
          <w:rFonts w:ascii="Times New Roman" w:cs="Times New Roman" w:eastAsia="Times New Roman" w:hAnsi="Times New Roman"/>
          <w:rtl w:val="off"/>
        </w:rPr>
        <w:t>Since Covid-19 treat as common flu, all the anti-epidemic Measurement and social distancing measurements had been released. (Hong Kong’s Information Services Department, 2022, World Health Organization, 2023) The restrictions of travel had been lifted. (The Standard, 2023) After reopening of boarders amongst Hong Kong, Macau and Mainland, it is expected the flow in of the tourists and the trade moving forward along the path to normalcy. (xxx)</w:t>
      </w:r>
    </w:p>
    <w:p>
      <w:pPr>
        <w:widowControl w:val="on"/>
        <w:spacing w:line="360" w:lineRule="auto"/>
        <w:jc w:val="both"/>
        <w:rPr>
          <w:rFonts w:ascii="Times New Roman" w:cs="Times New Roman" w:eastAsia="Times New Roman" w:hAnsi="Times New Roman"/>
        </w:rPr>
      </w:pPr>
    </w:p>
    <w:p>
      <w:pPr>
        <w:widowControl w:val="on"/>
        <w:spacing w:line="360" w:lineRule="auto"/>
        <w:ind w:left="360" w:firstLine="0"/>
        <w:jc w:val="both"/>
        <w:rPr>
          <w:rFonts w:ascii="Times New Roman" w:cs="Times New Roman" w:eastAsia="Times New Roman" w:hAnsi="Times New Roman"/>
        </w:rPr>
      </w:pPr>
      <w:r>
        <w:rPr>
          <w:rFonts w:ascii="Times New Roman" w:cs="Times New Roman" w:eastAsia="Times New Roman" w:hAnsi="Times New Roman"/>
          <w:rtl w:val="off"/>
        </w:rPr>
        <w:t xml:space="preserve">2.1.1.2 </w:t>
        <w:tab/>
        <w:t>Economic Factors</w:t>
      </w:r>
    </w:p>
    <w:p>
      <w:pPr>
        <w:widowControl w:val="on"/>
        <w:spacing w:line="360" w:lineRule="auto"/>
        <w:ind w:left="360" w:firstLine="0"/>
        <w:jc w:val="both"/>
        <w:rPr>
          <w:rFonts w:ascii="Times New Roman" w:cs="Times New Roman" w:eastAsia="Times New Roman" w:hAnsi="Times New Roman"/>
        </w:rPr>
      </w:pPr>
      <w:r>
        <w:rPr>
          <w:rFonts w:ascii="Times New Roman" w:cs="Times New Roman" w:eastAsia="Times New Roman" w:hAnsi="Times New Roman"/>
          <w:rtl w:val="off"/>
        </w:rPr>
        <w:t xml:space="preserve">During the covid-19, the world was locked down and the economic activities taking a hit. Revenue of Jewellery industry which belongs to the luxury industry is decrease (xxxx). As mentioned by Mr. Paul Chan, he hoped citizens should increase their spending because the household spending decreases even resume normal. (The Standard, 2023) Local spending of Hongkongers is decrease after travel restrictions of Hong Kong released and the citizens are urging in travel outside to relax for the 3-years locked. (NOW </w:t>
      </w:r>
      <w:r>
        <w:rPr>
          <w:rFonts w:ascii="PMingLiu" w:cs="PMingLiu" w:eastAsia="PMingLiu" w:hAnsi="PMingLiu"/>
          <w:rtl w:val="off"/>
        </w:rPr>
        <w:t>新聞</w:t>
      </w:r>
      <w:r>
        <w:rPr>
          <w:rFonts w:ascii="Times New Roman" w:cs="Times New Roman" w:eastAsia="Times New Roman" w:hAnsi="Times New Roman"/>
          <w:rtl w:val="off"/>
        </w:rPr>
        <w:t>, 2023) These all might implied the economic situations will be worse in the coming future.</w:t>
      </w:r>
    </w:p>
    <w:p>
      <w:pPr>
        <w:widowControl w:val="on"/>
        <w:spacing w:line="360" w:lineRule="auto"/>
        <w:ind w:left="720" w:firstLine="0"/>
        <w:jc w:val="both"/>
        <w:rPr>
          <w:rFonts w:ascii="Times New Roman" w:cs="Times New Roman" w:eastAsia="Times New Roman" w:hAnsi="Times New Roman"/>
        </w:rPr>
      </w:pPr>
    </w:p>
    <w:p>
      <w:pPr>
        <w:widowControl w:val="on"/>
        <w:spacing w:line="360" w:lineRule="auto"/>
        <w:ind w:left="360" w:firstLine="0"/>
        <w:jc w:val="both"/>
        <w:rPr>
          <w:rFonts w:ascii="Times New Roman" w:cs="Times New Roman" w:eastAsia="Times New Roman" w:hAnsi="Times New Roman"/>
        </w:rPr>
      </w:pPr>
    </w:p>
    <w:p>
      <w:pPr>
        <w:widowControl w:val="on"/>
        <w:spacing w:line="360" w:lineRule="auto"/>
        <w:ind w:left="360" w:firstLine="0"/>
        <w:jc w:val="both"/>
        <w:rPr>
          <w:rFonts w:ascii="Times New Roman" w:cs="Times New Roman" w:eastAsia="Times New Roman" w:hAnsi="Times New Roman"/>
        </w:rPr>
      </w:pPr>
    </w:p>
    <w:p>
      <w:pPr>
        <w:keepNext w:val="off"/>
        <w:keepLines w:val="off"/>
        <w:pageBreakBefore w:val="off"/>
        <w:widowControl w:val="off"/>
        <w:numPr>
          <w:ilvl w:val="3"/>
          <w:numId w:val="3"/>
        </w:numPr>
        <w:pBdr>
          <w:top w:val="nil" w:sz="4" w:space="0"/>
          <w:left w:val="nil" w:sz="4" w:space="0"/>
          <w:bottom w:val="nil" w:sz="4" w:space="0"/>
          <w:right w:val="nil" w:sz="4" w:space="0"/>
          <w:between w:val="nil" w:sz="4" w:space="0"/>
        </w:pBdr>
        <w:shd w:val="clear" w:fill="auto"/>
        <w:spacing w:before="0" w:after="0" w:line="360" w:lineRule="auto"/>
        <w:ind w:left="1080" w:right="0" w:hanging="720"/>
        <w:jc w:val="both"/>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Social Factors</w:t>
      </w:r>
    </w:p>
    <w:p>
      <w:pPr>
        <w:widowControl w:val="on"/>
        <w:spacing w:line="360" w:lineRule="auto"/>
        <w:ind w:left="360" w:firstLine="0"/>
        <w:jc w:val="both"/>
        <w:rPr>
          <w:rFonts w:ascii="Times New Roman" w:cs="Times New Roman" w:eastAsia="Times New Roman" w:hAnsi="Times New Roman"/>
        </w:rPr>
      </w:pPr>
      <w:r>
        <w:rPr>
          <w:rFonts w:ascii="Times New Roman" w:cs="Times New Roman" w:eastAsia="Times New Roman" w:hAnsi="Times New Roman"/>
          <w:rtl w:val="off"/>
        </w:rPr>
        <w:t>The long-lasting pandemic time, the business had already changed their business mode to survive. The consumer behavior also adopting the new changes. So, in post-covid era, the business needs to change the business mode to continue in their operations (Morgan, 2021, Fabius et al, 2020) The world is taking the adaptations in all aspects. In the new era, the spending mode of new generation is different from those in the baby boomers. (Deloitte, 2022) And people tend to have more tailor made services and more personalized services are in need. (CXXXX) They will choose the products can show their personalities. Jewellery is one of the fashions to match their outfits (XXXXXXXXX)</w:t>
      </w:r>
    </w:p>
    <w:p>
      <w:pPr>
        <w:widowControl w:val="on"/>
        <w:spacing w:line="360" w:lineRule="auto"/>
        <w:ind w:left="360" w:firstLine="0"/>
        <w:jc w:val="both"/>
        <w:rPr>
          <w:rFonts w:ascii="Times New Roman" w:cs="Times New Roman" w:eastAsia="Times New Roman" w:hAnsi="Times New Roman"/>
        </w:rPr>
      </w:pPr>
    </w:p>
    <w:p>
      <w:pPr>
        <w:spacing w:line="360" w:lineRule="auto"/>
        <w:ind w:firstLine="360"/>
        <w:jc w:val="both"/>
        <w:rPr>
          <w:rFonts w:ascii="Times New Roman" w:cs="Times New Roman" w:eastAsia="Times New Roman" w:hAnsi="Times New Roman"/>
        </w:rPr>
      </w:pPr>
      <w:r>
        <w:rPr>
          <w:rFonts w:ascii="Times New Roman" w:cs="Times New Roman" w:eastAsia="Times New Roman" w:hAnsi="Times New Roman"/>
          <w:rtl w:val="off"/>
        </w:rPr>
        <w:t>2.1.1.4</w:t>
        <w:tab/>
        <w:t>Technical Factors</w:t>
      </w:r>
    </w:p>
    <w:p>
      <w:pPr>
        <w:widowControl w:val="on"/>
        <w:spacing w:line="360" w:lineRule="auto"/>
        <w:ind w:left="360" w:firstLine="0"/>
        <w:jc w:val="both"/>
        <w:rPr>
          <w:rFonts w:ascii="Times New Roman" w:cs="Times New Roman" w:eastAsia="Times New Roman" w:hAnsi="Times New Roman"/>
        </w:rPr>
      </w:pPr>
      <w:r>
        <w:rPr>
          <w:rFonts w:ascii="Times New Roman" w:cs="Times New Roman" w:eastAsia="Times New Roman" w:hAnsi="Times New Roman"/>
          <w:rtl w:val="off"/>
        </w:rPr>
        <w:t>The business and the customers adopted the new mode of business, online shopping is happened been the trend. (Fabius et al, 2020) Smartphone and social media is an essential of our lives.   (Mekky, 2022, Wong, 2023) AI and Chatbox support are widely used in all business to reduce the cost of the operations. (XX)</w:t>
      </w:r>
    </w:p>
    <w:p>
      <w:pPr>
        <w:widowControl w:val="on"/>
        <w:jc w:val="both"/>
        <w:rPr>
          <w:rFonts w:ascii="Times New Roman" w:cs="Times New Roman" w:eastAsia="Times New Roman" w:hAnsi="Times New Roman"/>
        </w:rPr>
      </w:pPr>
    </w:p>
    <w:p>
      <w:pPr>
        <w:jc w:val="both"/>
        <w:rPr>
          <w:rFonts w:ascii="Times New Roman" w:cs="Times New Roman" w:eastAsia="Times New Roman" w:hAnsi="Times New Roman"/>
        </w:rPr>
      </w:pPr>
      <w:r>
        <w:rPr/>
        <w:br w:type="page"/>
      </w:r>
    </w:p>
    <w:p>
      <w:pPr>
        <w:widowControl w:val="on"/>
        <w:ind w:left="360" w:firstLine="0"/>
        <w:rPr>
          <w:rFonts w:ascii="Times New Roman" w:cs="Times New Roman" w:eastAsia="Times New Roman" w:hAnsi="Times New Roman"/>
        </w:rPr>
      </w:pPr>
    </w:p>
    <w:p>
      <w:pPr>
        <w:keepNext w:val="off"/>
        <w:keepLines w:val="off"/>
        <w:pageBreakBefore w:val="off"/>
        <w:widowControl w:val="on"/>
        <w:numPr>
          <w:ilvl w:val="1"/>
          <w:numId w:val="3"/>
        </w:numPr>
        <w:pBdr>
          <w:top w:val="nil" w:sz="4" w:space="0"/>
          <w:left w:val="nil" w:sz="4" w:space="0"/>
          <w:bottom w:val="nil" w:sz="4" w:space="0"/>
          <w:right w:val="nil" w:sz="4" w:space="0"/>
          <w:between w:val="nil" w:sz="4" w:space="0"/>
        </w:pBdr>
        <w:shd w:val="clear" w:fill="auto"/>
        <w:spacing w:before="0" w:after="0" w:line="360" w:lineRule="auto"/>
        <w:ind w:left="780" w:right="0" w:hanging="660"/>
        <w:jc w:val="both"/>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Internal Analysis</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For microenvironments, we will look into the internal environment. In this part, we use value chain analysis. </w:t>
      </w:r>
    </w:p>
    <w:p>
      <w:pPr>
        <w:widowControl w:val="on"/>
        <w:spacing w:line="360" w:lineRule="auto"/>
        <w:jc w:val="both"/>
        <w:rPr>
          <w:rFonts w:ascii="Times New Roman" w:cs="Times New Roman" w:eastAsia="Times New Roman" w:hAnsi="Times New Roman"/>
        </w:rPr>
      </w:pPr>
    </w:p>
    <w:p>
      <w:pPr>
        <w:widowControl w:val="on"/>
        <w:numPr>
          <w:ilvl w:val="2"/>
          <w:numId w:val="3"/>
        </w:numPr>
        <w:pBdr>
          <w:top w:val="nil" w:sz="4" w:space="0"/>
          <w:left w:val="nil" w:sz="4" w:space="0"/>
          <w:bottom w:val="nil" w:sz="4" w:space="0"/>
          <w:right w:val="nil" w:sz="4" w:space="0"/>
          <w:between w:val="nil" w:sz="4" w:space="0"/>
        </w:pBdr>
        <w:spacing w:line="360" w:lineRule="auto"/>
        <w:ind w:left="960" w:hanging="72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Value Chain Analysis </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It can be used to set up the competitive strategies, understand the internal sources of the competitive advantage which establish the interrelationship between create value and activities to gain the profit (Porter, 1985) </w:t>
      </w:r>
      <w:r>
        <w:rPr>
          <w:rFonts w:ascii="PMingLiu" w:cs="PMingLiu" w:eastAsia="PMingLiu" w:hAnsi="PMingLiu"/>
          <w:rtl w:val="off"/>
        </w:rPr>
        <w:t xml:space="preserve">The model below shows the concept of how the primary and support activities added value. </w:t>
      </w:r>
    </w:p>
    <w:p>
      <w:pPr>
        <w:widowControl w:val="on"/>
        <w:spacing w:line="360" w:lineRule="auto"/>
        <w:jc w:val="both"/>
        <w:rPr>
          <w:rFonts w:ascii="Times New Roman" w:cs="Times New Roman" w:eastAsia="Times New Roman" w:hAnsi="Times New Roman"/>
        </w:rPr>
      </w:pP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Figure 2.1 The model of Value Chain Analysis</w:t>
      </w:r>
    </w:p>
    <w:p>
      <w:pPr>
        <w:widowControl w:val="on"/>
        <w:rPr>
          <w:rFonts w:ascii="Times New Roman" w:cs="Times New Roman" w:eastAsia="Times New Roman" w:hAnsi="Times New Roman"/>
          <w:color w:val="000000"/>
        </w:rPr>
      </w:pPr>
      <w:r>
        <w:rPr>
          <w:rFonts w:ascii="Times New Roman" w:cs="Times New Roman" w:eastAsia="Times New Roman" w:hAnsi="Times New Roman"/>
          <w:color w:val="000000"/>
          <w:highlight w:val="white"/>
          <w:rtl w:val="off"/>
        </w:rPr>
        <w:t xml:space="preserve"> </w:t>
      </w:r>
      <w:r>
        <w:rPr/>
        <w:drawing xmlns:mc="http://schemas.openxmlformats.org/markup-compatibility/2006">
          <wp:anchor allowOverlap="1" behindDoc="0" distT="0" distB="0" distL="114300" distR="114300" layoutInCell="1" locked="0" relativeHeight="0" simplePos="0">
            <wp:simplePos x="0" y="0"/>
            <wp:positionH relativeFrom="column">
              <wp:posOffset>1989</wp:posOffset>
            </wp:positionH>
            <wp:positionV relativeFrom="paragraph">
              <wp:posOffset>2650</wp:posOffset>
            </wp:positionV>
            <wp:extent cx="5089392" cy="2716836"/>
            <wp:effectExtent l="0" t="0" r="0" b="0"/>
            <wp:wrapSquare wrapText="bothSides"/>
            <wp:docPr id="20"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12.png"/>
                    <pic:cNvPicPr preferRelativeResize="0"/>
                  </pic:nvPicPr>
                  <pic:blipFill>
                    <a:blip r:embed="rId29"/>
                    <a:srcRect l="6261" t="26826" r="36592" b="18939"/>
                    <a:stretch/>
                  </pic:blipFill>
                  <pic:spPr>
                    <a:xfrm>
                      <a:off x="0" y="0"/>
                      <a:ext cx="5089392" cy="2716836"/>
                    </a:xfrm>
                    <a:prstGeom prst="rect">
                      <a:avLst/>
                    </a:prstGeom>
                  </pic:spPr>
                </pic:pic>
              </a:graphicData>
            </a:graphic>
          </wp:anchor>
        </w:drawing>
      </w: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2.1.1.1</w:t>
        <w:tab/>
        <w:t>Analysis of the primary activities</w:t>
      </w: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The primary activities are the processes involved in raw materials, production, maintaining and supporting a good or service to add value and create competitive advantage.</w:t>
      </w:r>
    </w:p>
    <w:p>
      <w:pPr>
        <w:widowControl w:val="on"/>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2.1.1.1.1</w:t>
        <w:tab/>
        <w:t>Inbound logistic:</w:t>
      </w:r>
    </w:p>
    <w:p>
      <w:pPr>
        <w:widowControl w:val="on"/>
        <w:spacing w:line="360" w:lineRule="auto"/>
        <w:jc w:val="both"/>
        <w:rPr>
          <w:rFonts w:ascii="Times New Roman" w:cs="Times New Roman" w:eastAsia="Times New Roman" w:hAnsi="Times New Roman"/>
        </w:rPr>
      </w:pP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LKJ has its own sources of materials and makes sure a stable supply in a high quality. Apart from cooperate with Shanghai Gold Exchange and Shanghai Diamond Exchange, LKJ is also the sightholder of De Beers which allows with steady quality rough diamond supply. With the connections, LKJ can contact the suppliers directly. All jewellery passed the Kimberley Process Certification Scheme which proved the rough diamonds are not mined in war zones to lower the environmental and social risk. Value is added with the high-quality materials from suppliers to ensuring high-quality standards.</w:t>
      </w:r>
    </w:p>
    <w:p>
      <w:pPr>
        <w:widowControl w:val="on"/>
        <w:spacing w:line="360" w:lineRule="auto"/>
        <w:jc w:val="both"/>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2.1.1.1.2</w:t>
        <w:tab/>
        <w:t>Operation:</w:t>
      </w:r>
    </w:p>
    <w:p>
      <w:pPr>
        <w:widowControl w:val="on"/>
        <w:spacing w:after="240" w:line="360" w:lineRule="auto"/>
        <w:jc w:val="both"/>
        <w:rPr>
          <w:rFonts w:ascii="Times New Roman" w:cs="Times New Roman" w:eastAsia="Times New Roman" w:hAnsi="Times New Roman"/>
        </w:rPr>
      </w:pPr>
      <w:r>
        <w:rPr>
          <w:rFonts w:ascii="Times New Roman" w:cs="Times New Roman" w:eastAsia="Times New Roman" w:hAnsi="Times New Roman"/>
          <w:rtl w:val="off"/>
        </w:rPr>
        <w:t>LKJ has operational Control which allows the standardization of the products. And the large-scale jewellery processing plant in Guangzhou gained in the cost effectiveness and production efficiency which also awarded ISO 9001 to better quality. It is more efficient in production methods and allows professional development for skilled employees. Sales and Inventory System Access is also real-time in the company. It will reduce the costs borne by the customers and value-added.</w:t>
      </w: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2.1.1.1.3</w:t>
        <w:tab/>
        <w:t>Outbound logistic:</w:t>
      </w:r>
    </w:p>
    <w:p>
      <w:pPr>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The central inventory department will control all the stock and to distribute the product to fulfill the orders of the stores. As there are mature delivery platform, LKJ also use SF express to send the products to customers within Hong Kong but the amount over </w:t>
      </w:r>
      <w:r>
        <w:rPr>
          <w:rFonts w:ascii="Times New Roman" w:cs="Times New Roman" w:eastAsia="Times New Roman" w:hAnsi="Times New Roman"/>
          <w:highlight w:val="white"/>
          <w:rtl w:val="off"/>
        </w:rPr>
        <w:t>HK$10,000, figurines, solid gold pieces and accessories cannot be sent.</w:t>
      </w:r>
      <w:r>
        <w:rPr>
          <w:rFonts w:ascii="Times New Roman" w:cs="Times New Roman" w:eastAsia="Times New Roman" w:hAnsi="Times New Roman"/>
          <w:rtl w:val="off"/>
        </w:rPr>
        <w:t xml:space="preserve"> The goods would be delivered through other platform to fasten the delivery process.  </w:t>
      </w:r>
    </w:p>
    <w:p>
      <w:pPr>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2.1.1.1.4</w:t>
        <w:tab/>
        <w:t>Marketing and Sales:</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LKJ has its own marketing and branding strategy, with the effective advertisements in public relation, sponsorship, and the advertising in social media arouse the interests of the customers, and to spotlight the specific needs of customers and to be superior to their competitors among the market. The details will be analyzed in the Section 4.</w:t>
      </w:r>
    </w:p>
    <w:p>
      <w:pPr>
        <w:widowControl w:val="on"/>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2.1.1.1.5</w:t>
        <w:tab/>
        <w:t>Service: </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LKJ has provided the tailor-made and pre-sales consultation services to their customers (XXXXX) before the deal is made. By not only setting up the chatbot service for general customer enquiry. There is also after-sale service for the customers. For after sales services, they provide free maintenance services and advise for 1 year. Besides, LKJ deliver with </w:t>
      </w:r>
      <w:r>
        <w:rPr>
          <w:rFonts w:ascii="Times New Roman" w:cs="Times New Roman" w:eastAsia="Times New Roman" w:hAnsi="Times New Roman"/>
          <w:highlight w:val="white"/>
          <w:rtl w:val="off"/>
        </w:rPr>
        <w:t>the Beauty of Love with Six Heartfelt Services to high tier shopping experience.</w:t>
      </w:r>
    </w:p>
    <w:p>
      <w:pPr>
        <w:widowControl w:val="on"/>
        <w:spacing w:line="360" w:lineRule="auto"/>
        <w:rPr>
          <w:rFonts w:ascii="Times New Roman" w:cs="Times New Roman" w:eastAsia="Times New Roman" w:hAnsi="Times New Roman"/>
        </w:rPr>
      </w:pPr>
    </w:p>
    <w:p>
      <w:pPr>
        <w:widowControl w:val="on"/>
        <w:spacing w:after="240" w:line="360" w:lineRule="auto"/>
        <w:rPr>
          <w:rFonts w:ascii="Times New Roman" w:cs="Times New Roman" w:eastAsia="Times New Roman" w:hAnsi="Times New Roman"/>
        </w:rPr>
      </w:pPr>
      <w:r>
        <w:rPr>
          <w:rFonts w:ascii="Times New Roman" w:cs="Times New Roman" w:eastAsia="Times New Roman" w:hAnsi="Times New Roman"/>
          <w:rtl w:val="off"/>
        </w:rPr>
        <w:t>Figure 2.2 showing the Autoreply chatbox in website</w:t>
      </w:r>
      <w:r>
        <w:rPr>
          <w:rFonts w:ascii="Times New Roman" w:cs="Times New Roman" w:eastAsia="Times New Roman" w:hAnsi="Times New Roman"/>
          <w:rtl w:val="off"/>
        </w:rPr>
        <w:br w:type="textWrapping"/>
      </w:r>
      <w:r>
        <w:rPr>
          <w:rFonts w:ascii="Times New Roman" w:cs="Times New Roman" w:eastAsia="Times New Roman" w:hAnsi="Times New Roman"/>
        </w:rPr>
        <w:drawing xmlns:mc="http://schemas.openxmlformats.org/markup-compatibility/2006">
          <wp:inline distT="0" distB="0" distL="114300" distR="114300">
            <wp:extent cx="5267053" cy="2191951"/>
            <wp:effectExtent l="0" t="0" r="0" b="0"/>
            <wp:docPr id="21"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4.png"/>
                    <pic:cNvPicPr preferRelativeResize="0"/>
                  </pic:nvPicPr>
                  <pic:blipFill>
                    <a:blip r:embed="rId30"/>
                    <a:srcRect l="138" t="8805" b="17308"/>
                    <a:stretch/>
                  </pic:blipFill>
                  <pic:spPr>
                    <a:xfrm>
                      <a:off x="0" y="0"/>
                      <a:ext cx="5267053" cy="2191951"/>
                    </a:xfrm>
                    <a:prstGeom prst="rect">
                      <a:avLst/>
                    </a:prstGeom>
                  </pic:spPr>
                </pic:pic>
              </a:graphicData>
            </a:graphic>
          </wp:inline>
        </w:drawing>
      </w: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2.1.1.2</w:t>
        <w:tab/>
        <w:t xml:space="preserve">Analysis the secondary activities </w:t>
      </w: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Supporting activities are there to help improve the efficiency of the primary activities. By increasing efficiency, it benefits from support activities which typically show as overhead on a company.</w:t>
      </w:r>
    </w:p>
    <w:p>
      <w:pPr>
        <w:widowControl w:val="on"/>
        <w:spacing w:line="360" w:lineRule="auto"/>
        <w:rPr>
          <w:rFonts w:ascii="Times New Roman" w:cs="Times New Roman" w:eastAsia="Times New Roman" w:hAnsi="Times New Roman"/>
          <w:color w:val="2d2d2d"/>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2.1.1.2.1</w:t>
        <w:tab/>
        <w:t>Firm Infrastructure:</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LKJ set up the management execution system with a clear organization structure and allows different department to perform the own uniqueness to support the operations of LKJ. Apart from the Board of Directors and top management in the decision-making process, there are accounting and finance, procurement, human resources departments etc. to support the organizations operate. Risk Management and Sustainability Committee and the Audit Committee are responsible for the monitor and control of the policy in right positions.</w:t>
      </w:r>
    </w:p>
    <w:p>
      <w:pPr>
        <w:widowControl w:val="on"/>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2.1.1.2.2</w:t>
        <w:tab/>
        <w:t>Human Resource Management:</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LKJ had a range of system in recruitment, hiring, training, development, retention, and compensation of employees. LKJ has put a lot of effects to train up the skills of the staffs in basic and advanced courses during the join in of staffs. Besides, LKJ had its own institutions to train up the skills. </w:t>
      </w:r>
    </w:p>
    <w:p>
      <w:pPr>
        <w:widowControl w:val="on"/>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2.1.1.2.3</w:t>
        <w:tab/>
        <w:t>Technology development:</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As LKJ develop in new products and new design to serve the new demand of customers. Technology can help enable feedback. LKJ uses several platforms where clients can ask questions, make suggestions, express opinions publicly and share experiences. As technology are matured now, the use of auto reply in chatbox and reply had also been used in LKJ.  </w:t>
      </w:r>
    </w:p>
    <w:p>
      <w:pPr>
        <w:widowControl w:val="on"/>
        <w:spacing w:after="240" w:line="360" w:lineRule="auto"/>
        <w:rPr>
          <w:rFonts w:ascii="Times New Roman" w:cs="Times New Roman" w:eastAsia="Times New Roman" w:hAnsi="Times New Roman"/>
        </w:rPr>
      </w:pPr>
    </w:p>
    <w:p>
      <w:pPr>
        <w:widowControl w:val="on"/>
        <w:spacing w:line="360" w:lineRule="auto"/>
        <w:rPr>
          <w:rFonts w:ascii="Times New Roman" w:cs="Times New Roman" w:eastAsia="Times New Roman" w:hAnsi="Times New Roman"/>
        </w:rPr>
      </w:pPr>
      <w:r>
        <w:rPr>
          <w:rFonts w:ascii="Times New Roman" w:cs="Times New Roman" w:eastAsia="Times New Roman" w:hAnsi="Times New Roman"/>
          <w:rtl w:val="off"/>
        </w:rPr>
        <w:t>2.1.1.2.4</w:t>
        <w:tab/>
        <w:t>Procurement:</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Procurement is integrated into the supply chain throughout the company. LKJ sets extensive terms, requirements, and criteria for all its procurement transactions. This enables standardized materials to be negotiated with stable suppliers at reasonable prices, thereby gaining a competitive advantage.</w:t>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To ensure that the raw materials meet the quality requirements, the comprehensive quality inspection is needed. Furthermore, LKJ had a relationship with the partner factories as Shanghai Gold Exchange, Shanghai Diamond Exchange and De Beers, one of the world’s largest diamond suppliers.</w:t>
      </w:r>
    </w:p>
    <w:p>
      <w:pPr>
        <w:spacing w:line="360" w:lineRule="auto"/>
        <w:rPr>
          <w:rFonts w:ascii="Times New Roman" w:cs="Times New Roman" w:eastAsia="Times New Roman" w:hAnsi="Times New Roman"/>
        </w:rPr>
      </w:pPr>
      <w:r>
        <w:rPr/>
        <w:br w:type="page"/>
      </w:r>
    </w:p>
    <w:p>
      <w:pPr>
        <w:widowControl w:val="on"/>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2.2.2  SWOT Analysis</w:t>
        <w:tab/>
        <w:t xml:space="preserve"> </w:t>
      </w:r>
    </w:p>
    <w:p>
      <w:pPr>
        <w:widowControl w:val="on"/>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rtl w:val="off"/>
        </w:rPr>
        <w:t xml:space="preserve">SWOT analysis is used for studying a company’s internal environment. It divided in the factors that the ability of control from the company. Strengths and weaknesses can control by the company while opportunities and threats in external factors cannot. It is a summary to allows the company to understand the current environment before any business decisions. </w:t>
      </w:r>
      <w:r>
        <w:rPr>
          <w:rFonts w:ascii="Times New Roman" w:cs="Times New Roman" w:eastAsia="Times New Roman" w:hAnsi="Times New Roman"/>
          <w:i/>
          <w:highlight w:val="yellow"/>
          <w:rtl w:val="off"/>
        </w:rPr>
        <w:t>(Skye Schooley, 2023)</w:t>
      </w:r>
    </w:p>
    <w:p>
      <w:pPr>
        <w:rPr>
          <w:rFonts w:ascii="Times New Roman" w:cs="Times New Roman" w:eastAsia="Times New Roman" w:hAnsi="Times New Roman"/>
          <w:color w:val="000000"/>
        </w:rPr>
      </w:pPr>
      <w:r>
        <w:rPr/>
        <w:drawing xmlns:mc="http://schemas.openxmlformats.org/markup-compatibility/2006">
          <wp:inline distT="0" distB="0" distL="114300" distR="114300">
            <wp:extent cx="5253189" cy="6719190"/>
            <wp:effectExtent l="0" t="0" r="0" b="0"/>
            <wp:docPr id="22"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6.png"/>
                    <pic:cNvPicPr preferRelativeResize="0"/>
                  </pic:nvPicPr>
                  <pic:blipFill>
                    <a:blip r:embed="rId31"/>
                    <a:srcRect l="18152" t="29915" r="55534" b="10247"/>
                    <a:stretch/>
                  </pic:blipFill>
                  <pic:spPr>
                    <a:xfrm>
                      <a:off x="0" y="0"/>
                      <a:ext cx="5253189" cy="6719190"/>
                    </a:xfrm>
                    <a:prstGeom prst="rect">
                      <a:avLst/>
                    </a:prstGeom>
                  </pic:spPr>
                </pic:pic>
              </a:graphicData>
            </a:graphic>
          </wp:inline>
        </w:drawing>
      </w:r>
      <w:r>
        <w:rPr/>
        <w:drawing xmlns:mc="http://schemas.openxmlformats.org/markup-compatibility/2006">
          <wp:inline distT="0" distB="0" distL="114300" distR="114300">
            <wp:extent cx="5404575" cy="1641390"/>
            <wp:effectExtent l="0" t="0" r="0" b="0"/>
            <wp:docPr id="23"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5.png"/>
                    <pic:cNvPicPr preferRelativeResize="0"/>
                  </pic:nvPicPr>
                  <pic:blipFill>
                    <a:blip r:embed="rId32"/>
                    <a:srcRect l="55109" t="41668" r="18574" b="44121"/>
                    <a:stretch/>
                  </pic:blipFill>
                  <pic:spPr>
                    <a:xfrm>
                      <a:off x="0" y="0"/>
                      <a:ext cx="5404575" cy="1641390"/>
                    </a:xfrm>
                    <a:prstGeom prst="rect">
                      <a:avLst/>
                    </a:prstGeom>
                  </pic:spPr>
                </pic:pic>
              </a:graphicData>
            </a:graphic>
          </wp:inline>
        </w:drawing>
      </w:r>
      <w:r>
        <w:rPr/>
        <w:br w:type="page"/>
      </w:r>
    </w:p>
    <w:p>
      <w:pPr>
        <w:keepNext w:val="off"/>
        <w:keepLines w:val="off"/>
        <w:pageBreakBefore w:val="off"/>
        <w:widowControl w:val="off"/>
        <w:numPr>
          <w:ilvl w:val="0"/>
          <w:numId w:val="1"/>
        </w:numPr>
        <w:pBdr>
          <w:top w:val="nil" w:sz="4" w:space="0"/>
          <w:left w:val="nil" w:sz="4" w:space="0"/>
          <w:bottom w:val="nil" w:sz="4" w:space="0"/>
          <w:right w:val="nil" w:sz="4" w:space="0"/>
          <w:between w:val="nil" w:sz="4" w:space="0"/>
        </w:pBdr>
        <w:shd w:val="clear" w:fill="auto"/>
        <w:spacing w:before="0" w:after="0" w:line="360" w:lineRule="auto"/>
        <w:ind w:left="480" w:right="0" w:hanging="48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Segmentation, Targeting and positioning.</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rPr>
      </w:pPr>
      <w:r>
        <w:rPr>
          <w:rFonts w:ascii="Times New Roman" w:cs="Times New Roman" w:eastAsia="Times New Roman" w:hAnsi="Times New Roman"/>
          <w:rtl w:val="off"/>
        </w:rPr>
        <w:t>STP marketing is a strategic approach that involves dividing a larger market into smaller segments and positioning a product or service to meet their needs and preferences, thereby helping to deliver the correct and relevant message to an engaged audience. (XXXX) LKJ targeted in the middle-to-high end market, and those who get those in wedding and generation Z market. (L</w:t>
      </w:r>
      <w:r>
        <w:rPr>
          <w:rFonts w:ascii="PMingLiu" w:cs="PMingLiu" w:eastAsia="PMingLiu" w:hAnsi="PMingLiu"/>
          <w:rtl w:val="off"/>
        </w:rPr>
        <w:t>ukfook XXXX)</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3.1</w:t>
        <w:tab/>
        <w:t>Segmentation</w:t>
      </w:r>
    </w:p>
    <w:p>
      <w:pP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Market segmentation is an actual process to identify the market segments by breaks the audience into smaller groups. This process separates a wide range of consumers who base into subgroups of consumers who have specified needs and wants (</w:t>
      </w:r>
      <w:r>
        <w:rPr>
          <w:rFonts w:ascii="Times New Roman" w:cs="Times New Roman" w:eastAsia="Times New Roman" w:hAnsi="Times New Roman"/>
          <w:color w:val="000000"/>
          <w:highlight w:val="yellow"/>
          <w:rtl w:val="off"/>
        </w:rPr>
        <w:t>Camilleri,2018</w:t>
      </w:r>
      <w:r>
        <w:rPr>
          <w:rFonts w:ascii="Times New Roman" w:cs="Times New Roman" w:eastAsia="Times New Roman" w:hAnsi="Times New Roman"/>
          <w:color w:val="000000"/>
          <w:rtl w:val="off"/>
        </w:rPr>
        <w:t>).</w:t>
      </w:r>
    </w:p>
    <w:p>
      <w:pPr>
        <w:spacing w:line="360" w:lineRule="auto"/>
        <w:jc w:val="both"/>
        <w:rPr>
          <w:rFonts w:ascii="Times New Roman" w:cs="Times New Roman" w:eastAsia="Times New Roman" w:hAnsi="Times New Roman"/>
          <w:color w:val="000000"/>
        </w:rPr>
      </w:pPr>
    </w:p>
    <w:p>
      <w:pP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LKJ use demographic attributes to segment its customers. It defined the market segment by age, income and different family cycle. Currently LKJ using </w:t>
      </w:r>
      <w:r>
        <w:rPr>
          <w:rFonts w:ascii="Times New Roman" w:cs="Times New Roman" w:eastAsia="Times New Roman" w:hAnsi="Times New Roman"/>
          <w:color w:val="000000"/>
          <w:highlight w:val="white"/>
          <w:rtl w:val="off"/>
        </w:rPr>
        <w:t>differentiated marketing in as offering different products, promotions, and customer experience to serve different markets.</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3.2</w:t>
        <w:tab/>
        <w:t xml:space="preserve">Targeting </w:t>
      </w:r>
    </w:p>
    <w:p>
      <w:pPr>
        <w:spacing w:line="360" w:lineRule="auto"/>
        <w:rPr>
          <w:rFonts w:ascii="Times New Roman" w:cs="Times New Roman" w:eastAsia="Times New Roman" w:hAnsi="Times New Roman"/>
          <w:color w:val="000000"/>
        </w:rPr>
      </w:pPr>
      <w:r>
        <w:rPr>
          <w:rFonts w:ascii="Times New Roman" w:cs="Times New Roman" w:eastAsia="Times New Roman" w:hAnsi="Times New Roman"/>
          <w:color w:val="000000"/>
          <w:rtl w:val="off"/>
        </w:rPr>
        <w:t>Targeting is the process that to determine the segments to target by evaluating how profitable different segments in the market that will offer the largest return and will be the most profitable.   (XXXXXXXXXXXX)</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pPr>
      <w:r>
        <w:rPr>
          <w:rFonts w:ascii="Times New Roman" w:cs="Times New Roman" w:eastAsia="Times New Roman" w:hAnsi="Times New Roman"/>
          <w:rtl w:val="off"/>
        </w:rPr>
        <w:t xml:space="preserve">LKJ targeted to several segments in different brands focus on different segments. The basic of the middle-to-high end class who are willing to spend a value price to have the products and services. The group who get marriage, and the new generations Z are also more willing to spend money. As studied, the segment of wedding segment is more eager to spend money as it said to be once in lifetime. (XXXXXXX). The next consumer group will be the generation Z who will have impact to the global economy and will have a steady growth in Hong Kong with around aged 30 to 35 segments shown in figure 1.2. </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3.3</w:t>
        <w:tab/>
        <w:t>Positioning</w:t>
      </w:r>
    </w:p>
    <w:p>
      <w:pPr>
        <w:spacing w:line="360" w:lineRule="auto"/>
        <w:rPr>
          <w:rFonts w:ascii="Times New Roman" w:cs="Times New Roman" w:eastAsia="Times New Roman" w:hAnsi="Times New Roman"/>
          <w:color w:val="000000"/>
        </w:rPr>
      </w:pPr>
      <w:r>
        <w:rPr>
          <w:rFonts w:ascii="Times New Roman" w:cs="Times New Roman" w:eastAsia="Times New Roman" w:hAnsi="Times New Roman"/>
          <w:color w:val="000000"/>
          <w:rtl w:val="off"/>
        </w:rPr>
        <w:t>Positioning involves creating a unique and compelling brand among the competitive market that makes it stand out among consumers in a target segment. (XXXXX)</w:t>
      </w:r>
    </w:p>
    <w:p>
      <w:pPr>
        <w:spacing w:line="360" w:lineRule="auto"/>
        <w:rPr>
          <w:rFonts w:ascii="Times New Roman" w:cs="Times New Roman" w:eastAsia="Times New Roman" w:hAnsi="Times New Roman"/>
          <w:color w:val="000000"/>
        </w:rPr>
      </w:pPr>
      <w:r>
        <w:rPr>
          <w:rFonts w:ascii="Times New Roman" w:cs="Times New Roman" w:eastAsia="Times New Roman" w:hAnsi="Times New Roman"/>
          <w:rtl w:val="off"/>
        </w:rPr>
        <w:t>LKJ shows the long-standing image of Miss Hong Kong, which is dignified, elegant, smart, and well-educated. This will shows the special icon or personality of this kind of women in the new era. B</w:t>
      </w:r>
      <w:r>
        <w:rPr>
          <w:rFonts w:ascii="Roboto" w:cs="Roboto" w:eastAsia="Roboto" w:hAnsi="Roboto"/>
          <w:color w:val="4d5156"/>
          <w:sz w:val="21"/>
          <w:szCs w:val="21"/>
          <w:highlight w:val="white"/>
          <w:rtl w:val="off"/>
        </w:rPr>
        <w:t>rave, Confident, Independent and strong while match in the feminine.</w:t>
      </w: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r>
        <w:rPr/>
        <w:drawing xmlns:mc="http://schemas.openxmlformats.org/markup-compatibility/2006">
          <wp:inline distT="0" distB="0" distL="114300" distR="114300">
            <wp:extent cx="5159050" cy="2334323"/>
            <wp:effectExtent l="0" t="0" r="0" b="0"/>
            <wp:docPr id="24"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9.png"/>
                    <pic:cNvPicPr preferRelativeResize="0"/>
                  </pic:nvPicPr>
                  <pic:blipFill>
                    <a:blip r:embed="rId33"/>
                    <a:srcRect l="24440" t="27611" r="12231" b="21447"/>
                    <a:stretch/>
                  </pic:blipFill>
                  <pic:spPr>
                    <a:xfrm>
                      <a:off x="0" y="0"/>
                      <a:ext cx="5159050" cy="2334323"/>
                    </a:xfrm>
                    <a:prstGeom prst="rect">
                      <a:avLst/>
                    </a:prstGeom>
                  </pic:spPr>
                </pic:pic>
              </a:graphicData>
            </a:graphic>
          </wp:inline>
        </w:drawing>
      </w: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rPr>
          <w:rFonts w:ascii="Times New Roman" w:cs="Times New Roman" w:eastAsia="Times New Roman" w:hAnsi="Times New Roman"/>
        </w:rPr>
      </w:pPr>
      <w:r>
        <w:rPr/>
        <w:br w:type="page"/>
      </w:r>
    </w:p>
    <w:p>
      <w:pPr>
        <w:widowControl w:val="on"/>
        <w:rPr>
          <w:rFonts w:ascii="Times New Roman" w:cs="Times New Roman" w:eastAsia="Times New Roman" w:hAnsi="Times New Roman"/>
        </w:rPr>
      </w:pPr>
    </w:p>
    <w:p>
      <w:pPr>
        <w:numPr>
          <w:ilvl w:val="0"/>
          <w:numId w:val="1"/>
        </w:numPr>
        <w:pBdr>
          <w:top w:val="nil" w:sz="4" w:space="0"/>
          <w:left w:val="nil" w:sz="4" w:space="0"/>
          <w:bottom w:val="nil" w:sz="4" w:space="0"/>
          <w:right w:val="nil" w:sz="4" w:space="0"/>
          <w:between w:val="nil" w:sz="4" w:space="0"/>
        </w:pBdr>
        <w:spacing w:line="360" w:lineRule="auto"/>
        <w:ind w:left="480" w:hanging="480"/>
        <w:rPr>
          <w:rFonts w:ascii="Times New Roman" w:cs="Times New Roman" w:eastAsia="Times New Roman" w:hAnsi="Times New Roman"/>
          <w:color w:val="000000"/>
        </w:rPr>
      </w:pPr>
      <w:r>
        <w:rPr>
          <w:rFonts w:ascii="Times New Roman" w:cs="Times New Roman" w:eastAsia="Times New Roman" w:hAnsi="Times New Roman"/>
          <w:color w:val="000000"/>
          <w:rtl w:val="off"/>
        </w:rPr>
        <w:t>Marketing Mix</w:t>
      </w: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color w:val="000000"/>
        </w:rPr>
      </w:pPr>
      <w:r>
        <w:rPr>
          <w:rFonts w:ascii="Times New Roman" w:cs="Times New Roman" w:eastAsia="Times New Roman" w:hAnsi="Times New Roman"/>
          <w:rtl w:val="off"/>
        </w:rPr>
        <w:t>The marketing mix refers to the set of actions, or tactics, that a company uses to promote its brand or product in the market. The 4Ps make up a typical marketing mix - Price, Product, Promotion and Place. However, nowadays, the marketing mix increasingly includes several other Ps like Packaging, Positioning, People and even Politics as vital mix elements. (Kolter, 1989</w:t>
      </w:r>
      <w:r>
        <w:rPr>
          <w:rFonts w:ascii="PMingLiu" w:cs="PMingLiu" w:eastAsia="PMingLiu" w:hAnsi="PMingLiu"/>
          <w:rtl w:val="off"/>
        </w:rPr>
        <w:t>）</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color w:val="000000"/>
        </w:rPr>
      </w:pPr>
      <w:r>
        <w:rPr>
          <w:rFonts w:ascii="Times New Roman" w:cs="Times New Roman" w:eastAsia="Times New Roman" w:hAnsi="Times New Roman"/>
          <w:color w:val="000000"/>
          <w:rtl w:val="off"/>
        </w:rPr>
        <w:t>4.1</w:t>
        <w:tab/>
        <w:t>Product</w:t>
      </w:r>
    </w:p>
    <w:p>
      <w:pP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Product can be offered to the market for attention, acquisition, use or consumption to satisfy some want or need. It includes objects, services, people, places, organizations and ideas. (</w:t>
      </w:r>
      <w:r>
        <w:rPr>
          <w:rFonts w:ascii="Times New Roman" w:cs="Times New Roman" w:eastAsia="Times New Roman" w:hAnsi="Times New Roman"/>
          <w:rtl w:val="off"/>
        </w:rPr>
        <w:t>Kolter et al, 2020</w:t>
      </w:r>
      <w:r>
        <w:rPr>
          <w:rFonts w:ascii="PMingLiu" w:cs="PMingLiu" w:eastAsia="PMingLiu" w:hAnsi="PMingLiu"/>
          <w:rtl w:val="off"/>
        </w:rPr>
        <w:t>）</w:t>
      </w:r>
    </w:p>
    <w:p>
      <w:pPr>
        <w:spacing w:line="360" w:lineRule="auto"/>
        <w:jc w:val="both"/>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Jewellery is the specialty goods with limited distribution with high price to promote the brand uniqueness. LKJ is a very strong in branding that helps to identify with the differentiation with the competitors.  It is found that there is distinctive name of each product line called individual branding. LKJ has 1 brand with 4 sub-brands in multi-brand strategy selling different targeting to different groups of customers. Service product is common nowadays. With providing the warranty, repair and maintenance and efficient handling of complaints and return, LKJ gives the strong confidences to reduce the risk of the purchase of customers. Besides, the jewellery products will be awarded with the certificate from the LKJ to prove its uniqueness with class which gives the quality perceptions in the mind of customers. </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4.2</w:t>
        <w:tab/>
        <w:t>Price</w:t>
      </w: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pPr>
      <w:r>
        <w:rPr>
          <w:rFonts w:ascii="Times New Roman" w:cs="Times New Roman" w:eastAsia="Times New Roman" w:hAnsi="Times New Roman"/>
          <w:rtl w:val="off"/>
        </w:rPr>
        <w:t>This refers to the selling price of a product or service under consider market conditions. Price refers to the amount that can be sold to consumers after considering the pricing strategy and analyzing competitors. (</w:t>
      </w:r>
      <w:r>
        <w:rPr>
          <w:rFonts w:ascii="Times New Roman" w:cs="Times New Roman" w:eastAsia="Times New Roman" w:hAnsi="Times New Roman"/>
          <w:color w:val="000000"/>
          <w:rtl w:val="off"/>
        </w:rPr>
        <w:t>Singh, 2012)</w:t>
      </w:r>
    </w:p>
    <w:p>
      <w:pPr>
        <w:pBdr>
          <w:top w:val="nil" w:sz="4" w:space="0"/>
          <w:left w:val="nil" w:sz="4" w:space="0"/>
          <w:bottom w:val="nil" w:sz="4" w:space="0"/>
          <w:right w:val="nil" w:sz="4" w:space="0"/>
          <w:between w:val="nil" w:sz="4" w:space="0"/>
        </w:pBdr>
        <w:spacing w:line="360" w:lineRule="auto"/>
        <w:rPr>
          <w:rFonts w:ascii="Helvetica Neue" w:cs="Helvetica Neue" w:eastAsia="Helvetica Neue" w:hAnsi="Helvetica Neue"/>
          <w:color w:val="626a70"/>
          <w:sz w:val="27"/>
          <w:szCs w:val="27"/>
        </w:rPr>
      </w:pP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pPr>
      <w:r>
        <w:rPr>
          <w:rFonts w:ascii="Times New Roman" w:cs="Times New Roman" w:eastAsia="Times New Roman" w:hAnsi="Times New Roman"/>
          <w:rtl w:val="off"/>
        </w:rPr>
        <w:t>LKJ is unique in providing the professional and qualified jewellery with certificates in the market. (Luk Fook Holdings (International) Limited, 2022) And it is using the “Value-in-Use” Approach as LKJ understand differentiated worth as compared to competitors.</w:t>
      </w: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pP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4.3</w:t>
        <w:tab/>
        <w:t>Place</w:t>
      </w:r>
    </w:p>
    <w:p>
      <w:pPr>
        <w:spacing w:line="360" w:lineRule="auto"/>
        <w:rPr>
          <w:rFonts w:ascii="Times New Roman" w:cs="Times New Roman" w:eastAsia="Times New Roman" w:hAnsi="Times New Roman"/>
        </w:rPr>
      </w:pPr>
      <w:r>
        <w:rPr>
          <w:rFonts w:ascii="Times New Roman" w:cs="Times New Roman" w:eastAsia="Times New Roman" w:hAnsi="Times New Roman"/>
          <w:rtl w:val="off"/>
        </w:rPr>
        <w:t>The process of moving a product or service from a manufacturer to a consumer involves warehousing facilities, distribution channels, shipping methods, and inventory control management. Channels are designed to increase the availability of goods or services to potential customers.(CXXX)</w:t>
      </w: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pP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pPr>
      <w:r>
        <w:rPr>
          <w:rFonts w:ascii="Times New Roman" w:cs="Times New Roman" w:eastAsia="Times New Roman" w:hAnsi="Times New Roman"/>
          <w:rtl w:val="off"/>
        </w:rPr>
        <w:t xml:space="preserve">There are self-operated shops at convenient locations allows accessibility. Licensing shops are also exits but the sales are not significant to Hong Kong sales. </w:t>
      </w:r>
      <w:r>
        <w:rPr>
          <w:rFonts w:ascii="Times New Roman" w:cs="Times New Roman" w:eastAsia="Times New Roman" w:hAnsi="Times New Roman"/>
          <w:sz w:val="22"/>
          <w:szCs w:val="22"/>
          <w:rtl w:val="off"/>
        </w:rPr>
        <w:t xml:space="preserve">LKJ has partnered with HKTV MALL to sell the jewellery products online. </w:t>
      </w:r>
      <w:r>
        <w:rPr>
          <w:rFonts w:ascii="Times New Roman" w:cs="Times New Roman" w:eastAsia="Times New Roman" w:hAnsi="Times New Roman"/>
          <w:rtl w:val="off"/>
        </w:rPr>
        <w:t>And there are also products selling on the websites through the online ordering, delivery will be sent by delivery company.</w:t>
      </w: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ind w:left="48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4.4</w:t>
        <w:tab/>
        <w:t>Promotion</w:t>
      </w:r>
    </w:p>
    <w:p>
      <w:pPr>
        <w:spacing w:line="360" w:lineRule="auto"/>
        <w:rPr>
          <w:rFonts w:ascii="Times New Roman" w:cs="Times New Roman" w:eastAsia="Times New Roman" w:hAnsi="Times New Roman"/>
        </w:rPr>
      </w:pPr>
      <w:r>
        <w:rPr>
          <w:rFonts w:ascii="Times New Roman" w:cs="Times New Roman" w:eastAsia="Times New Roman" w:hAnsi="Times New Roman"/>
          <w:rtl w:val="off"/>
        </w:rPr>
        <w:t xml:space="preserve">Promotion is an important part of </w:t>
      </w:r>
      <w:r>
        <w:rPr>
          <w:rFonts w:ascii="PMingLiu" w:cs="PMingLiu" w:eastAsia="PMingLiu" w:hAnsi="PMingLiu"/>
          <w:rtl w:val="off"/>
        </w:rPr>
        <w:t>marketing</w:t>
      </w:r>
      <w:r>
        <w:rPr>
          <w:rFonts w:ascii="Times New Roman" w:cs="Times New Roman" w:eastAsia="Times New Roman" w:hAnsi="Times New Roman"/>
          <w:rtl w:val="off"/>
        </w:rPr>
        <w:t xml:space="preserve"> as it is used to communicate the value to customers and arouse the consumer awareness to do persuasively purchase on the product and thus create a lasting relationship with customers. (</w:t>
      </w:r>
      <w:r>
        <w:rPr>
          <w:rFonts w:ascii="Times New Roman" w:cs="Times New Roman" w:eastAsia="Times New Roman" w:hAnsi="Times New Roman"/>
          <w:color w:val="000000"/>
          <w:rtl w:val="off"/>
        </w:rPr>
        <w:t>Novak, 2011</w:t>
      </w:r>
      <w:r>
        <w:rPr>
          <w:rFonts w:ascii="Times New Roman" w:cs="Times New Roman" w:eastAsia="Times New Roman" w:hAnsi="Times New Roman"/>
          <w:rtl w:val="off"/>
        </w:rPr>
        <w:t xml:space="preserve">) In this part, it is used to carry out the uniqeiness and the image passively to the receivers and </w:t>
      </w:r>
      <w:r>
        <w:rPr>
          <w:rFonts w:ascii="PMingLiu" w:cs="PMingLiu" w:eastAsia="PMingLiu" w:hAnsi="PMingLiu"/>
          <w:rtl w:val="off"/>
        </w:rPr>
        <w:t xml:space="preserve">it is pull strategy in the past. With aid of new technology, it becomes more active now. </w:t>
      </w:r>
    </w:p>
    <w:p>
      <w:pPr>
        <w:spacing w:line="360" w:lineRule="auto"/>
        <w:rPr>
          <w:rFonts w:ascii="Times New Roman" w:cs="Times New Roman" w:eastAsia="Times New Roman" w:hAnsi="Times New Roman"/>
          <w:b/>
        </w:rPr>
      </w:pPr>
    </w:p>
    <w:p>
      <w:pPr>
        <w:spacing w:line="360" w:lineRule="auto"/>
        <w:rPr>
          <w:rFonts w:ascii="Times New Roman" w:cs="Times New Roman" w:eastAsia="Times New Roman" w:hAnsi="Times New Roman"/>
        </w:rPr>
      </w:pPr>
      <w:r>
        <w:rPr>
          <w:rFonts w:ascii="Times New Roman" w:cs="Times New Roman" w:eastAsia="Times New Roman" w:hAnsi="Times New Roman"/>
          <w:b/>
          <w:rtl w:val="off"/>
        </w:rPr>
        <w:t xml:space="preserve">In Advertising, </w:t>
      </w:r>
      <w:r>
        <w:rPr>
          <w:rFonts w:ascii="Times New Roman" w:cs="Times New Roman" w:eastAsia="Times New Roman" w:hAnsi="Times New Roman"/>
          <w:rtl w:val="off"/>
        </w:rPr>
        <w:t>LkJ using traditional advertising in T</w:t>
      </w:r>
      <w:r>
        <w:rPr>
          <w:rFonts w:ascii="PMingLiu" w:cs="PMingLiu" w:eastAsia="PMingLiu" w:hAnsi="PMingLiu"/>
          <w:rtl w:val="off"/>
        </w:rPr>
        <w:t>V</w:t>
      </w:r>
      <w:r>
        <w:rPr>
          <w:rFonts w:ascii="Times New Roman" w:cs="Times New Roman" w:eastAsia="Times New Roman" w:hAnsi="Times New Roman"/>
          <w:rtl w:val="off"/>
        </w:rPr>
        <w:t xml:space="preserve">, Transit advertising, Printed media in Newspaper and the Fairs and exhibitions of Jewellery and wedding </w:t>
      </w:r>
      <w:r>
        <w:rPr>
          <w:rFonts w:ascii="PMingLiu" w:cs="PMingLiu" w:eastAsia="PMingLiu" w:hAnsi="PMingLiu"/>
          <w:rtl w:val="off"/>
        </w:rPr>
        <w:t xml:space="preserve">every year hold by the Government. </w:t>
      </w:r>
      <w:r>
        <w:rPr>
          <w:rFonts w:ascii="Times New Roman" w:cs="Times New Roman" w:eastAsia="Times New Roman" w:hAnsi="Times New Roman"/>
          <w:rtl w:val="off"/>
        </w:rPr>
        <w:t> </w:t>
      </w:r>
    </w:p>
    <w:p>
      <w:pPr>
        <w:spacing w:line="360" w:lineRule="auto"/>
        <w:rPr>
          <w:rFonts w:ascii="Times New Roman" w:cs="Times New Roman" w:eastAsia="Times New Roman" w:hAnsi="Times New Roman"/>
        </w:rPr>
      </w:pPr>
    </w:p>
    <w:p>
      <w:pPr>
        <w:spacing w:line="360" w:lineRule="auto"/>
        <w:rPr>
          <w:rFonts w:ascii="Times New Roman" w:cs="Times New Roman" w:eastAsia="Times New Roman" w:hAnsi="Times New Roman"/>
          <w:sz w:val="22"/>
          <w:szCs w:val="22"/>
        </w:rPr>
      </w:pPr>
      <w:r>
        <w:rPr>
          <w:rFonts w:ascii="Times New Roman" w:cs="Times New Roman" w:eastAsia="Times New Roman" w:hAnsi="Times New Roman"/>
          <w:b/>
          <w:sz w:val="22"/>
          <w:szCs w:val="22"/>
          <w:rtl w:val="off"/>
        </w:rPr>
        <w:t xml:space="preserve">While in Sale promotion part, </w:t>
      </w:r>
      <w:r>
        <w:rPr>
          <w:rFonts w:ascii="Times New Roman" w:cs="Times New Roman" w:eastAsia="Times New Roman" w:hAnsi="Times New Roman"/>
          <w:sz w:val="22"/>
          <w:szCs w:val="22"/>
          <w:rtl w:val="off"/>
        </w:rPr>
        <w:t xml:space="preserve">LKJ hold promotional activities in the retail store to attract the consumer in special occasion, such as special Festivals,  </w:t>
      </w:r>
      <w:r>
        <w:rPr>
          <w:rFonts w:ascii="PMingLiu" w:cs="PMingLiu" w:eastAsia="PMingLiu" w:hAnsi="PMingLiu"/>
          <w:sz w:val="22"/>
          <w:szCs w:val="22"/>
          <w:rtl w:val="off"/>
        </w:rPr>
        <w:t>Valentine’s Day, Mothers’ Day</w:t>
      </w:r>
      <w:r>
        <w:rPr>
          <w:rFonts w:ascii="Times New Roman" w:cs="Times New Roman" w:eastAsia="Times New Roman" w:hAnsi="Times New Roman"/>
          <w:sz w:val="22"/>
          <w:szCs w:val="22"/>
          <w:rtl w:val="off"/>
        </w:rPr>
        <w:t>. Promotions can potentially create a strong bond between brands and consumers.</w:t>
      </w:r>
    </w:p>
    <w:p>
      <w:pPr>
        <w:spacing w:line="360" w:lineRule="auto"/>
        <w:rPr>
          <w:rFonts w:ascii="Times New Roman" w:cs="Times New Roman" w:eastAsia="Times New Roman" w:hAnsi="Times New Roman"/>
          <w:b/>
          <w:sz w:val="22"/>
          <w:szCs w:val="22"/>
        </w:rPr>
      </w:pPr>
    </w:p>
    <w:p>
      <w:pPr>
        <w:spacing w:line="360" w:lineRule="auto"/>
        <w:rPr>
          <w:rFonts w:ascii="Times New Roman" w:cs="Times New Roman" w:eastAsia="Times New Roman" w:hAnsi="Times New Roman"/>
          <w:sz w:val="22"/>
          <w:szCs w:val="22"/>
        </w:rPr>
      </w:pPr>
      <w:r>
        <w:rPr>
          <w:rFonts w:ascii="Times New Roman" w:cs="Times New Roman" w:eastAsia="Times New Roman" w:hAnsi="Times New Roman"/>
          <w:sz w:val="22"/>
          <w:szCs w:val="22"/>
          <w:rtl w:val="off"/>
        </w:rPr>
        <w:t xml:space="preserve">There are key contribution in </w:t>
      </w:r>
      <w:r>
        <w:rPr>
          <w:rFonts w:ascii="Times New Roman" w:cs="Times New Roman" w:eastAsia="Times New Roman" w:hAnsi="Times New Roman"/>
          <w:b/>
          <w:sz w:val="22"/>
          <w:szCs w:val="22"/>
          <w:rtl w:val="off"/>
        </w:rPr>
        <w:t xml:space="preserve">Personal selling. LKJ </w:t>
      </w:r>
      <w:r>
        <w:rPr>
          <w:rFonts w:ascii="Times New Roman" w:cs="Times New Roman" w:eastAsia="Times New Roman" w:hAnsi="Times New Roman"/>
          <w:sz w:val="22"/>
          <w:szCs w:val="22"/>
          <w:rtl w:val="off"/>
        </w:rPr>
        <w:t>will provide sales staffs with training on jewelry knowledge and customer service skills, thereby enhancing the brand's positive image.</w:t>
      </w:r>
    </w:p>
    <w:p>
      <w:pPr>
        <w:spacing w:line="360" w:lineRule="auto"/>
        <w:rPr>
          <w:rFonts w:ascii="Times New Roman" w:cs="Times New Roman" w:eastAsia="Times New Roman" w:hAnsi="Times New Roman"/>
          <w:sz w:val="22"/>
          <w:szCs w:val="22"/>
        </w:rPr>
      </w:pPr>
    </w:p>
    <w:p>
      <w:pPr>
        <w:spacing w:line="360" w:lineRule="auto"/>
        <w:rPr>
          <w:rFonts w:ascii="Times New Roman" w:cs="Times New Roman" w:eastAsia="Times New Roman" w:hAnsi="Times New Roman"/>
          <w:sz w:val="22"/>
          <w:szCs w:val="22"/>
        </w:rPr>
      </w:pPr>
      <w:r>
        <w:rPr>
          <w:rFonts w:ascii="Times New Roman" w:cs="Times New Roman" w:eastAsia="Times New Roman" w:hAnsi="Times New Roman"/>
          <w:sz w:val="22"/>
          <w:szCs w:val="22"/>
          <w:rtl w:val="off"/>
        </w:rPr>
        <w:t>Public relations also played an important role in Lee Kwang-je. Since the late 1990s, LFJ has sponsored diamond crowns and precious jewelry for "Miss Hong Kong". Ms. Pauline Yeung, the co-founder of LFJ has been the iconic spokesperson since its establishment. She has served as a promotional ambassador for the brand. It became the hallmark of the competitions, as the winner would have a photo shooting for the advertisement right after the competitions finished. In addition, LFJ sponsors horse races events and marathons events to raise awareness among the middle class.</w:t>
      </w:r>
    </w:p>
    <w:p>
      <w:pPr>
        <w:widowControl w:val="on"/>
        <w:spacing w:line="360" w:lineRule="auto"/>
        <w:rPr>
          <w:rFonts w:ascii="Times New Roman" w:cs="Times New Roman" w:eastAsia="Times New Roman" w:hAnsi="Times New Roman"/>
          <w:sz w:val="22"/>
          <w:szCs w:val="22"/>
        </w:rPr>
      </w:pPr>
    </w:p>
    <w:p>
      <w:pPr>
        <w:shd w:val="clear" w:fill="ffffff"/>
        <w:spacing w:after="400" w:line="360" w:lineRule="auto"/>
        <w:jc w:val="both"/>
        <w:rPr>
          <w:rFonts w:ascii="Times New Roman" w:cs="Times New Roman" w:eastAsia="Times New Roman" w:hAnsi="Times New Roman"/>
          <w:color w:val="222222"/>
          <w:sz w:val="22"/>
          <w:szCs w:val="22"/>
        </w:rPr>
      </w:pPr>
      <w:r>
        <w:rPr>
          <w:rFonts w:ascii="Times New Roman" w:cs="Times New Roman" w:eastAsia="Times New Roman" w:hAnsi="Times New Roman"/>
          <w:color w:val="222222"/>
          <w:sz w:val="22"/>
          <w:szCs w:val="22"/>
          <w:rtl w:val="off"/>
        </w:rPr>
        <w:t>In conclusion, there are improvements in the 4Ps. LFJ has its Unique selling point of its special pre-longed image and the specialty resources and support with the suppliers in the certificate qualifications. The price also set as value-in-use to give the perceived value to the customers. It also keens in jewellery knowledge within the industry. It can success to develop in their position and gain the competitive advantage in the market. Nevertheless, the place and promotions would be improved. For the place part, there are direct online sale even on the website of LKJ, and there are no selling price even in the official websites. Besides, the official social media platform has little followers and with not frequent updates and no online live sales promotion which will reach the target of the new segment. (Kamp, 2023, Mekky, 2022),With the further recommendations will be discussed in section 6.</w:t>
      </w:r>
    </w:p>
    <w:tbl>
      <w:tblPr>
        <w:tblStyle w:val="Table1"/>
        <w:tblW w:w="8296"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8296"/>
      </w:tblGrid>
      <w:tr>
        <w:trPr>
          <w:cantSplit w:val="off"/>
          <w:tblHeader w:val="off"/>
        </w:trPr>
        <w:tc>
          <w:tcPr>
            <w:cnfStyle w:val="000000100000"/>
          </w:tcPr>
          <w:p>
            <w:pPr>
              <w:widowControl w:val="on"/>
              <w:spacing w:line="360" w:lineRule="auto"/>
              <w:rPr>
                <w:rFonts w:ascii="Times New Roman" w:cs="Times New Roman" w:eastAsia="Times New Roman" w:hAnsi="Times New Roman"/>
                <w:sz w:val="22"/>
                <w:szCs w:val="22"/>
              </w:rPr>
            </w:pPr>
            <w:r>
              <w:rPr/>
              <w:drawing xmlns:mc="http://schemas.openxmlformats.org/markup-compatibility/2006">
                <wp:inline distT="0" distB="0" distL="0" distR="0">
                  <wp:extent cx="5274310" cy="2668910"/>
                  <wp:effectExtent l="0" t="0" r="0" b="0"/>
                  <wp:docPr id="25"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7.png"/>
                          <pic:cNvPicPr preferRelativeResize="0"/>
                        </pic:nvPicPr>
                        <pic:blipFill>
                          <a:blip r:embed="rId34"/>
                          <a:srcRect t="4718" b="5320"/>
                          <a:stretch/>
                        </pic:blipFill>
                        <pic:spPr>
                          <a:xfrm>
                            <a:off x="0" y="0"/>
                            <a:ext cx="5274310" cy="2668910"/>
                          </a:xfrm>
                          <a:prstGeom prst="rect">
                            <a:avLst/>
                          </a:prstGeom>
                        </pic:spPr>
                      </pic:pic>
                    </a:graphicData>
                  </a:graphic>
                </wp:inline>
              </w:drawing>
            </w:r>
          </w:p>
        </w:tc>
      </w:tr>
      <w:tr>
        <w:trPr>
          <w:cantSplit w:val="off"/>
          <w:tblHeader w:val="off"/>
        </w:trPr>
        <w:tc>
          <w:tcPr>
            <w:cnfStyle w:val="000000010000"/>
          </w:tcPr>
          <w:p>
            <w:pPr>
              <w:widowControl w:val="on"/>
              <w:spacing w:line="360" w:lineRule="auto"/>
              <w:rPr>
                <w:rFonts w:ascii="Times New Roman" w:cs="Times New Roman" w:eastAsia="Times New Roman" w:hAnsi="Times New Roman"/>
                <w:sz w:val="22"/>
                <w:szCs w:val="22"/>
              </w:rPr>
            </w:pPr>
            <w:r>
              <w:rPr>
                <w:rFonts w:ascii="Times New Roman" w:cs="Times New Roman" w:eastAsia="Times New Roman" w:hAnsi="Times New Roman"/>
                <w:sz w:val="22"/>
                <w:szCs w:val="22"/>
                <w:rtl w:val="off"/>
              </w:rPr>
              <w:t xml:space="preserve">Figure 4.1 Picture showing no selling price on the official </w:t>
            </w:r>
          </w:p>
        </w:tc>
      </w:tr>
    </w:tbl>
    <w:p>
      <w:pPr>
        <w:widowControl w:val="on"/>
        <w:spacing w:line="360" w:lineRule="auto"/>
        <w:rPr>
          <w:rFonts w:ascii="Times New Roman" w:cs="Times New Roman" w:eastAsia="Times New Roman" w:hAnsi="Times New Roman"/>
          <w:sz w:val="22"/>
          <w:szCs w:val="22"/>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tbl>
      <w:tblPr>
        <w:tblStyle w:val="Table2"/>
        <w:tblW w:w="8691"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4345"/>
        <w:gridCol w:w="4346"/>
      </w:tblGrid>
      <w:tr>
        <w:trPr>
          <w:cantSplit w:val="off"/>
          <w:trHeight w:val="3959" w:hRule="atLeast"/>
          <w:tblHeader w:val="off"/>
        </w:trPr>
        <w:tc>
          <w:tcPr>
            <w:cnfStyle w:val="000000100000"/>
            <w:gridSpan w:val="2"/>
          </w:tcPr>
          <w:p>
            <w:pPr>
              <w:widowControl w:val="on"/>
              <w:rPr>
                <w:rFonts w:ascii="Times New Roman" w:cs="Times New Roman" w:eastAsia="Times New Roman" w:hAnsi="Times New Roman"/>
              </w:rPr>
            </w:pPr>
            <w:r>
              <w:rPr/>
              <w:drawing xmlns:mc="http://schemas.openxmlformats.org/markup-compatibility/2006">
                <wp:inline distT="0" distB="0" distL="0" distR="0">
                  <wp:extent cx="5274310" cy="2491381"/>
                  <wp:effectExtent l="0" t="0" r="0" b="0"/>
                  <wp:docPr id="26"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8.png"/>
                          <pic:cNvPicPr preferRelativeResize="0"/>
                        </pic:nvPicPr>
                        <pic:blipFill>
                          <a:blip r:embed="rId35"/>
                          <a:srcRect t="9435" b="6586"/>
                          <a:stretch/>
                        </pic:blipFill>
                        <pic:spPr>
                          <a:xfrm>
                            <a:off x="0" y="0"/>
                            <a:ext cx="5274310" cy="2491381"/>
                          </a:xfrm>
                          <a:prstGeom prst="rect">
                            <a:avLst/>
                          </a:prstGeom>
                        </pic:spPr>
                      </pic:pic>
                    </a:graphicData>
                  </a:graphic>
                </wp:inline>
              </w:drawing>
            </w:r>
          </w:p>
        </w:tc>
      </w:tr>
      <w:tr>
        <w:trPr>
          <w:cantSplit w:val="off"/>
          <w:trHeight w:val="585" w:hRule="atLeast"/>
          <w:tblHeader w:val="off"/>
        </w:trPr>
        <w:tc>
          <w:tcPr>
            <w:cnfStyle w:val="000000010000"/>
            <w:gridSpan w:val="2"/>
          </w:tcPr>
          <w:p>
            <w:pPr>
              <w:widowControl w:val="on"/>
              <w:rPr>
                <w:rFonts w:ascii="Times New Roman" w:cs="Times New Roman" w:eastAsia="Times New Roman" w:hAnsi="Times New Roman"/>
              </w:rPr>
            </w:pPr>
            <w:r>
              <w:rPr>
                <w:rFonts w:ascii="Times New Roman" w:cs="Times New Roman" w:eastAsia="Times New Roman" w:hAnsi="Times New Roman"/>
                <w:rtl w:val="off"/>
              </w:rPr>
              <w:t>Figure 4.2 showing the page that when clicking in the product</w:t>
            </w:r>
          </w:p>
        </w:tc>
      </w:tr>
      <w:tr>
        <w:trPr>
          <w:cantSplit w:val="off"/>
          <w:trHeight w:val="553" w:hRule="atLeast"/>
          <w:tblHeader w:val="off"/>
        </w:trPr>
        <w:tc>
          <w:tcPr>
            <w:cnfStyle w:val="000000100000"/>
          </w:tcPr>
          <w:p>
            <w:pPr>
              <w:widowControl w:val="on"/>
              <w:rPr>
                <w:rFonts w:ascii="Times New Roman" w:cs="Times New Roman" w:eastAsia="Times New Roman" w:hAnsi="Times New Roman"/>
              </w:rPr>
            </w:pPr>
            <w:r>
              <w:rPr/>
              <w:drawing xmlns:mc="http://schemas.openxmlformats.org/markup-compatibility/2006">
                <wp:inline distT="0" distB="0" distL="0" distR="0">
                  <wp:extent cx="2317542" cy="4305289"/>
                  <wp:effectExtent l="0" t="0" r="0" b="0"/>
                  <wp:docPr id="27"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0.png"/>
                          <pic:cNvPicPr preferRelativeResize="0"/>
                        </pic:nvPicPr>
                        <pic:blipFill>
                          <a:blip r:embed="rId36"/>
                          <a:srcRect/>
                          <a:stretch>
                            <a:fillRect/>
                          </a:stretch>
                        </pic:blipFill>
                        <pic:spPr>
                          <a:xfrm>
                            <a:off x="0" y="0"/>
                            <a:ext cx="2317542" cy="4305289"/>
                          </a:xfrm>
                          <a:prstGeom prst="rect">
                            <a:avLst/>
                          </a:prstGeom>
                        </pic:spPr>
                      </pic:pic>
                    </a:graphicData>
                  </a:graphic>
                </wp:inline>
              </w:drawing>
            </w:r>
          </w:p>
        </w:tc>
        <w:tc>
          <w:tcPr>
            <w:cnfStyle w:val="000000100000"/>
          </w:tcPr>
          <w:p>
            <w:pPr>
              <w:widowControl w:val="on"/>
              <w:rPr>
                <w:rFonts w:ascii="Times New Roman" w:cs="Times New Roman" w:eastAsia="Times New Roman" w:hAnsi="Times New Roman"/>
              </w:rPr>
            </w:pPr>
            <w:r>
              <w:rPr/>
              <w:drawing xmlns:mc="http://schemas.openxmlformats.org/markup-compatibility/2006">
                <wp:inline distT="0" distB="0" distL="0" distR="0">
                  <wp:extent cx="1835704" cy="4293355"/>
                  <wp:effectExtent l="0" t="0" r="0" b="0"/>
                  <wp:docPr id="28"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11.png"/>
                          <pic:cNvPicPr preferRelativeResize="0"/>
                        </pic:nvPicPr>
                        <pic:blipFill>
                          <a:blip r:embed="rId37"/>
                          <a:srcRect/>
                          <a:stretch>
                            <a:fillRect/>
                          </a:stretch>
                        </pic:blipFill>
                        <pic:spPr>
                          <a:xfrm>
                            <a:off x="0" y="0"/>
                            <a:ext cx="1835704" cy="4293355"/>
                          </a:xfrm>
                          <a:prstGeom prst="rect">
                            <a:avLst/>
                          </a:prstGeom>
                        </pic:spPr>
                      </pic:pic>
                    </a:graphicData>
                  </a:graphic>
                </wp:inline>
              </w:drawing>
            </w:r>
          </w:p>
        </w:tc>
      </w:tr>
      <w:tr>
        <w:trPr>
          <w:cantSplit w:val="off"/>
          <w:trHeight w:val="553" w:hRule="atLeast"/>
          <w:tblHeader w:val="off"/>
        </w:trPr>
        <w:tc>
          <w:tcPr>
            <w:cnfStyle w:val="000000010000"/>
          </w:tcPr>
          <w:p>
            <w:pPr>
              <w:widowControl w:val="on"/>
              <w:rPr>
                <w:rFonts w:ascii="Times New Roman" w:cs="Times New Roman" w:eastAsia="Times New Roman" w:hAnsi="Times New Roman"/>
              </w:rPr>
            </w:pPr>
            <w:r>
              <w:rPr>
                <w:rFonts w:ascii="Times New Roman" w:cs="Times New Roman" w:eastAsia="Times New Roman" w:hAnsi="Times New Roman"/>
                <w:rtl w:val="off"/>
              </w:rPr>
              <w:t>Figure 4.3 showing the social media platform with less followers and no online live sales promotion</w:t>
            </w:r>
          </w:p>
        </w:tc>
        <w:tc>
          <w:tcPr>
            <w:cnfStyle w:val="000000010000"/>
          </w:tcPr>
          <w:p>
            <w:pPr>
              <w:widowControl w:val="on"/>
              <w:rPr>
                <w:rFonts w:ascii="Times New Roman" w:cs="Times New Roman" w:eastAsia="Times New Roman" w:hAnsi="Times New Roman"/>
              </w:rPr>
            </w:pPr>
            <w:r>
              <w:rPr>
                <w:rFonts w:ascii="Times New Roman" w:cs="Times New Roman" w:eastAsia="Times New Roman" w:hAnsi="Times New Roman"/>
                <w:rtl w:val="off"/>
              </w:rPr>
              <w:t>Figure 4.4 showing the official Instagram with little followers with no frequent update</w:t>
            </w:r>
          </w:p>
        </w:tc>
      </w:tr>
    </w:tbl>
    <w:p>
      <w:pPr>
        <w:widowControl w:val="on"/>
        <w:rPr>
          <w:rFonts w:ascii="Times New Roman" w:cs="Times New Roman" w:eastAsia="Times New Roman" w:hAnsi="Times New Roman"/>
        </w:rPr>
      </w:pPr>
    </w:p>
    <w:p>
      <w:pPr>
        <w:rPr>
          <w:rFonts w:ascii="Times New Roman" w:cs="Times New Roman" w:eastAsia="Times New Roman" w:hAnsi="Times New Roman"/>
        </w:rPr>
      </w:pPr>
      <w:r>
        <w:rPr/>
        <w:br w:type="page"/>
      </w:r>
    </w:p>
    <w:p>
      <w:pPr>
        <w:widowControl w:val="on"/>
        <w:rPr>
          <w:rFonts w:ascii="Times New Roman" w:cs="Times New Roman" w:eastAsia="Times New Roman" w:hAnsi="Times New Roman"/>
        </w:rPr>
      </w:pPr>
    </w:p>
    <w:p>
      <w:pPr>
        <w:numPr>
          <w:ilvl w:val="0"/>
          <w:numId w:val="1"/>
        </w:numPr>
        <w:pBdr>
          <w:top w:val="nil" w:sz="4" w:space="0"/>
          <w:left w:val="nil" w:sz="4" w:space="0"/>
          <w:bottom w:val="nil" w:sz="4" w:space="0"/>
          <w:right w:val="nil" w:sz="4" w:space="0"/>
          <w:between w:val="nil" w:sz="4" w:space="0"/>
        </w:pBdr>
        <w:spacing w:line="360" w:lineRule="auto"/>
        <w:ind w:left="480" w:hanging="480"/>
        <w:rPr>
          <w:rFonts w:ascii="Times New Roman" w:cs="Times New Roman" w:eastAsia="Times New Roman" w:hAnsi="Times New Roman"/>
          <w:color w:val="000000"/>
        </w:rPr>
      </w:pPr>
      <w:r>
        <w:rPr>
          <w:rFonts w:ascii="Times New Roman" w:cs="Times New Roman" w:eastAsia="Times New Roman" w:hAnsi="Times New Roman"/>
          <w:color w:val="000000"/>
          <w:rtl w:val="off"/>
        </w:rPr>
        <w:t>Future development</w:t>
      </w:r>
      <w:r>
        <w:rPr>
          <w:rFonts w:ascii="Times New Roman" w:cs="Times New Roman" w:eastAsia="Times New Roman" w:hAnsi="Times New Roman"/>
          <w:b/>
          <w:i/>
          <w:color w:val="000000"/>
          <w:rtl w:val="off"/>
        </w:rPr>
        <w:t xml:space="preserve"> </w:t>
      </w:r>
      <w:r>
        <w:rPr>
          <w:rFonts w:ascii="Times New Roman" w:cs="Times New Roman" w:eastAsia="Times New Roman" w:hAnsi="Times New Roman"/>
          <w:color w:val="000000"/>
          <w:rtl w:val="off"/>
        </w:rPr>
        <w:t>in the Area of Marketing</w:t>
      </w:r>
    </w:p>
    <w:p>
      <w:pPr>
        <w:widowControl w:val="on"/>
        <w:rPr>
          <w:rFonts w:ascii="Times New Roman" w:cs="Times New Roman" w:eastAsia="Times New Roman" w:hAnsi="Times New Roman"/>
          <w:color w:val="000000"/>
        </w:rPr>
      </w:pPr>
    </w:p>
    <w:p>
      <w:pPr>
        <w:keepNext w:val="off"/>
        <w:keepLines w:val="off"/>
        <w:pageBreakBefore w:val="off"/>
        <w:widowControl w:val="on"/>
        <w:numPr>
          <w:ilvl w:val="0"/>
          <w:numId w:val="4"/>
        </w:numPr>
        <w:pBdr>
          <w:top w:val="nil" w:sz="4" w:space="0"/>
          <w:left w:val="nil" w:sz="4" w:space="0"/>
          <w:bottom w:val="nil" w:sz="4" w:space="0"/>
          <w:right w:val="nil" w:sz="4" w:space="0"/>
          <w:between w:val="nil" w:sz="4" w:space="0"/>
        </w:pBdr>
        <w:shd w:val="clear" w:fill="auto"/>
        <w:spacing w:before="0" w:after="0" w:line="360" w:lineRule="auto"/>
        <w:ind w:left="840" w:right="0" w:hanging="36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Importance of using Brick and mortar</w:t>
      </w:r>
    </w:p>
    <w:p>
      <w:pPr>
        <w:widowControl w:val="on"/>
        <w:pBdr>
          <w:top w:val="nil" w:sz="4" w:space="0"/>
          <w:left w:val="nil" w:sz="4" w:space="0"/>
          <w:bottom w:val="nil" w:sz="4" w:space="0"/>
          <w:right w:val="nil" w:sz="4" w:space="0"/>
          <w:between w:val="nil" w:sz="4" w:space="0"/>
        </w:pBdr>
        <w:spacing w:line="360" w:lineRule="auto"/>
        <w:ind w:left="840" w:firstLine="0"/>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Covid-19 foster the development of online shopping during locked down while people will continue this kind of omni channel. (Dartnell, 2022, Mastercard Economics Institute, 2023) It is more important that the business keep using this kind of channels to increase the accessibility to the customers. Without the omni channels, there will decrease the competitiveness as the competitors also doing this. (Hall, 2022)</w:t>
      </w:r>
    </w:p>
    <w:p>
      <w:pPr>
        <w:widowControl w:val="on"/>
        <w:pBdr>
          <w:top w:val="nil" w:sz="4" w:space="0"/>
          <w:left w:val="nil" w:sz="4" w:space="0"/>
          <w:bottom w:val="nil" w:sz="4" w:space="0"/>
          <w:right w:val="nil" w:sz="4" w:space="0"/>
          <w:between w:val="nil" w:sz="4" w:space="0"/>
        </w:pBdr>
        <w:spacing w:line="360" w:lineRule="auto"/>
        <w:ind w:left="780" w:firstLine="0"/>
        <w:rPr>
          <w:rFonts w:ascii="Times New Roman" w:cs="Times New Roman" w:eastAsia="Times New Roman" w:hAnsi="Times New Roman"/>
          <w:color w:val="000000"/>
        </w:rPr>
      </w:pPr>
    </w:p>
    <w:p>
      <w:pPr>
        <w:keepNext w:val="off"/>
        <w:keepLines w:val="off"/>
        <w:pageBreakBefore w:val="off"/>
        <w:widowControl w:val="on"/>
        <w:numPr>
          <w:ilvl w:val="0"/>
          <w:numId w:val="4"/>
        </w:numPr>
        <w:pBdr>
          <w:top w:val="nil" w:sz="4" w:space="0"/>
          <w:left w:val="nil" w:sz="4" w:space="0"/>
          <w:bottom w:val="nil" w:sz="4" w:space="0"/>
          <w:right w:val="nil" w:sz="4" w:space="0"/>
          <w:between w:val="nil" w:sz="4" w:space="0"/>
        </w:pBdr>
        <w:shd w:val="clear" w:fill="auto"/>
        <w:spacing w:before="0" w:after="0" w:line="360" w:lineRule="auto"/>
        <w:ind w:left="840" w:right="0" w:hanging="36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Changed in business mode in post-covid time-Personalize services and retail therapy </w:t>
      </w:r>
    </w:p>
    <w:p>
      <w:pPr>
        <w:widowControl w:val="on"/>
        <w:pBdr>
          <w:top w:val="nil" w:sz="4" w:space="0"/>
          <w:left w:val="nil" w:sz="4" w:space="0"/>
          <w:bottom w:val="nil" w:sz="4" w:space="0"/>
          <w:right w:val="nil" w:sz="4" w:space="0"/>
          <w:between w:val="nil" w:sz="4" w:space="0"/>
        </w:pBdr>
        <w:spacing w:line="360" w:lineRule="auto"/>
        <w:ind w:left="84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People are tending to improve their wellbeing after the release of the social-distancing and there is increase trend in ‘retail therapy’ to taking care of the mental and spiritual side. During the shopping time, people willing to have a personalized services based on their needs. (Fabius </w:t>
      </w:r>
      <w:r>
        <w:rPr>
          <w:rFonts w:ascii="Times New Roman" w:cs="Times New Roman" w:eastAsia="Times New Roman" w:hAnsi="Times New Roman"/>
          <w:i/>
          <w:color w:val="000000"/>
          <w:rtl w:val="off"/>
        </w:rPr>
        <w:t>et al.</w:t>
      </w:r>
      <w:r>
        <w:rPr>
          <w:rFonts w:ascii="Times New Roman" w:cs="Times New Roman" w:eastAsia="Times New Roman" w:hAnsi="Times New Roman"/>
          <w:color w:val="000000"/>
          <w:rtl w:val="off"/>
        </w:rPr>
        <w:t>, 2020, Mastercard Economics Institute, 2023)</w:t>
      </w:r>
    </w:p>
    <w:p>
      <w:pPr>
        <w:widowControl w:val="on"/>
        <w:pBdr>
          <w:top w:val="nil" w:sz="4" w:space="0"/>
          <w:left w:val="nil" w:sz="4" w:space="0"/>
          <w:bottom w:val="nil" w:sz="4" w:space="0"/>
          <w:right w:val="nil" w:sz="4" w:space="0"/>
          <w:between w:val="nil" w:sz="4" w:space="0"/>
        </w:pBdr>
        <w:ind w:left="660" w:firstLine="0"/>
        <w:rPr>
          <w:rFonts w:ascii="Times New Roman" w:cs="Times New Roman" w:eastAsia="Times New Roman" w:hAnsi="Times New Roman"/>
          <w:color w:val="000000"/>
        </w:rPr>
      </w:pPr>
    </w:p>
    <w:p>
      <w:pPr>
        <w:keepNext w:val="off"/>
        <w:keepLines w:val="off"/>
        <w:pageBreakBefore w:val="off"/>
        <w:widowControl w:val="on"/>
        <w:numPr>
          <w:ilvl w:val="0"/>
          <w:numId w:val="4"/>
        </w:numPr>
        <w:pBdr>
          <w:top w:val="nil" w:sz="4" w:space="0"/>
          <w:left w:val="nil" w:sz="4" w:space="0"/>
          <w:bottom w:val="nil" w:sz="4" w:space="0"/>
          <w:right w:val="nil" w:sz="4" w:space="0"/>
          <w:between w:val="nil" w:sz="4" w:space="0"/>
        </w:pBdr>
        <w:shd w:val="clear" w:fill="auto"/>
        <w:spacing w:before="0" w:after="0" w:line="360" w:lineRule="auto"/>
        <w:ind w:left="840" w:right="0" w:hanging="36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Jewellery is a fashion</w:t>
      </w:r>
    </w:p>
    <w:p>
      <w:pPr>
        <w:widowControl w:val="on"/>
        <w:pBdr>
          <w:top w:val="nil" w:sz="4" w:space="0"/>
          <w:left w:val="nil" w:sz="4" w:space="0"/>
          <w:bottom w:val="nil" w:sz="4" w:space="0"/>
          <w:right w:val="nil" w:sz="4" w:space="0"/>
          <w:between w:val="nil" w:sz="4" w:space="0"/>
        </w:pBdr>
        <w:spacing w:line="360" w:lineRule="auto"/>
        <w:ind w:left="780" w:firstLine="0"/>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As stated in </w:t>
      </w:r>
      <w:r>
        <w:rPr>
          <w:i/>
          <w:rtl w:val="off"/>
        </w:rPr>
        <w:t>HKTDC (2023)</w:t>
      </w:r>
      <w:r>
        <w:rPr>
          <w:rFonts w:ascii="Times New Roman" w:cs="Times New Roman" w:eastAsia="Times New Roman" w:hAnsi="Times New Roman"/>
          <w:color w:val="000000"/>
          <w:rtl w:val="off"/>
        </w:rPr>
        <w:t>, Jewelry is a fashion. Customers choose tailor-made jewellry to match the personality. Jewelry design is more and more influenced by clothing fashion. The population of consumers are buying accessories such as jewelry to express their fashion sense.</w:t>
      </w:r>
    </w:p>
    <w:p>
      <w:pPr>
        <w:widowControl w:val="on"/>
        <w:pBdr>
          <w:top w:val="nil" w:sz="4" w:space="0"/>
          <w:left w:val="nil" w:sz="4" w:space="0"/>
          <w:bottom w:val="nil" w:sz="4" w:space="0"/>
          <w:right w:val="nil" w:sz="4" w:space="0"/>
          <w:between w:val="nil" w:sz="4" w:space="0"/>
        </w:pBdr>
        <w:spacing w:line="360" w:lineRule="auto"/>
        <w:ind w:left="780" w:firstLine="0"/>
        <w:rPr>
          <w:rFonts w:ascii="Times New Roman" w:cs="Times New Roman" w:eastAsia="Times New Roman" w:hAnsi="Times New Roman"/>
          <w:color w:val="000000"/>
        </w:rPr>
      </w:pPr>
    </w:p>
    <w:p>
      <w:pPr>
        <w:keepNext w:val="off"/>
        <w:keepLines w:val="off"/>
        <w:pageBreakBefore w:val="off"/>
        <w:widowControl w:val="on"/>
        <w:numPr>
          <w:ilvl w:val="0"/>
          <w:numId w:val="4"/>
        </w:numPr>
        <w:pBdr>
          <w:top w:val="nil" w:sz="4" w:space="0"/>
          <w:left w:val="nil" w:sz="4" w:space="0"/>
          <w:bottom w:val="nil" w:sz="4" w:space="0"/>
          <w:right w:val="nil" w:sz="4" w:space="0"/>
          <w:between w:val="nil" w:sz="4" w:space="0"/>
        </w:pBdr>
        <w:shd w:val="clear" w:fill="auto"/>
        <w:spacing w:before="0" w:after="0" w:line="360" w:lineRule="auto"/>
        <w:ind w:left="840" w:right="0" w:hanging="36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Generation Y and Z will be the important consumer group</w:t>
      </w:r>
    </w:p>
    <w:p>
      <w:pPr>
        <w:keepNext w:val="off"/>
        <w:keepLines w:val="off"/>
        <w:pageBreakBefore w:val="off"/>
        <w:widowControl w:val="on"/>
        <w:pBdr>
          <w:top w:val="nil" w:sz="4" w:space="0"/>
          <w:left w:val="nil" w:sz="4" w:space="0"/>
          <w:bottom w:val="nil" w:sz="4" w:space="0"/>
          <w:right w:val="nil" w:sz="4" w:space="0"/>
          <w:between w:val="nil" w:sz="4" w:space="0"/>
        </w:pBdr>
        <w:shd w:val="clear" w:fill="auto"/>
        <w:spacing w:before="0" w:after="0" w:line="360" w:lineRule="auto"/>
        <w:ind w:left="840" w:right="0" w:firstLine="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Gen Y and Gen Z consumers become important consumers to jewelry. This group will treat jewelry as must-have item everyday. Luxury brands are launching affordable collections for their selection who welcome by the new generation who is trend conscious. (</w:t>
      </w:r>
      <w:r>
        <w:rPr>
          <w:rFonts w:ascii="Times New Roman" w:cs="Times New Roman" w:eastAsia="Times New Roman" w:hAnsi="Times New Roman"/>
          <w:b w:val="off"/>
          <w:i/>
          <w:smallCaps w:val="off"/>
          <w:color w:val="000000"/>
          <w:sz w:val="24"/>
          <w:szCs w:val="24"/>
          <w:u w:val="none"/>
          <w:shd w:val="clear" w:fill="auto"/>
          <w:vertAlign w:val="baseline"/>
          <w:rtl w:val="off"/>
        </w:rPr>
        <w:t>Deloitte</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2022, </w:t>
      </w:r>
      <w:r>
        <w:rPr>
          <w:rFonts w:ascii="Calibri" w:cs="Calibri" w:eastAsia="Calibri" w:hAnsi="Calibri"/>
          <w:b w:val="off"/>
          <w:i/>
          <w:smallCaps w:val="off"/>
          <w:color w:val="000000"/>
          <w:sz w:val="24"/>
          <w:szCs w:val="24"/>
          <w:u w:val="none"/>
          <w:shd w:val="clear" w:fill="auto"/>
          <w:vertAlign w:val="baseline"/>
          <w:rtl w:val="off"/>
        </w:rPr>
        <w:t>HKTDC, 2023)</w:t>
      </w:r>
    </w:p>
    <w:p>
      <w:pPr>
        <w:widowControl w:val="on"/>
        <w:pBdr>
          <w:top w:val="nil" w:sz="4" w:space="0"/>
          <w:left w:val="nil" w:sz="4" w:space="0"/>
          <w:bottom w:val="nil" w:sz="4" w:space="0"/>
          <w:right w:val="nil" w:sz="4" w:space="0"/>
          <w:between w:val="nil" w:sz="4" w:space="0"/>
        </w:pBdr>
        <w:ind w:left="660" w:firstLine="0"/>
        <w:rPr>
          <w:rFonts w:ascii="Times New Roman" w:cs="Times New Roman" w:eastAsia="Times New Roman" w:hAnsi="Times New Roman"/>
          <w:color w:val="000000"/>
        </w:rPr>
      </w:pPr>
      <w:r>
        <w:rPr/>
        <w:br w:type="page"/>
      </w:r>
    </w:p>
    <w:p>
      <w:pPr>
        <w:keepNext w:val="off"/>
        <w:keepLines w:val="off"/>
        <w:pageBreakBefore w:val="off"/>
        <w:widowControl w:val="off"/>
        <w:numPr>
          <w:ilvl w:val="0"/>
          <w:numId w:val="1"/>
        </w:numPr>
        <w:pBdr>
          <w:top w:val="nil" w:sz="4" w:space="0"/>
          <w:left w:val="nil" w:sz="4" w:space="0"/>
          <w:bottom w:val="nil" w:sz="4" w:space="0"/>
          <w:right w:val="nil" w:sz="4" w:space="0"/>
          <w:between w:val="nil" w:sz="4" w:space="0"/>
        </w:pBdr>
        <w:shd w:val="clear" w:fill="auto"/>
        <w:spacing w:before="0" w:after="0" w:line="360" w:lineRule="auto"/>
        <w:ind w:left="480" w:right="0" w:hanging="48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Recommendation</w:t>
      </w:r>
    </w:p>
    <w:p>
      <w:pPr>
        <w:spacing w:line="360" w:lineRule="auto"/>
        <w:rPr>
          <w:rFonts w:ascii="Times New Roman" w:cs="Times New Roman" w:eastAsia="Times New Roman" w:hAnsi="Times New Roman"/>
        </w:rPr>
      </w:pPr>
    </w:p>
    <w:p>
      <w:pPr>
        <w:widowControl w:val="on"/>
        <w:numPr>
          <w:ilvl w:val="0"/>
          <w:numId w:val="2"/>
        </w:numPr>
        <w:ind w:left="720" w:hanging="360"/>
        <w:rPr>
          <w:rFonts w:ascii="Times New Roman" w:cs="Times New Roman" w:eastAsia="Times New Roman" w:hAnsi="Times New Roman"/>
        </w:rPr>
      </w:pPr>
      <w:r>
        <w:rPr>
          <w:rFonts w:ascii="Times New Roman" w:cs="Times New Roman" w:eastAsia="Times New Roman" w:hAnsi="Times New Roman"/>
          <w:rtl w:val="off"/>
        </w:rPr>
        <w:t xml:space="preserve">Use more up to date ways to do promote.eg. social media, while continue to use public advertising </w:t>
      </w:r>
    </w:p>
    <w:p>
      <w:pPr>
        <w:widowControl w:val="on"/>
        <w:ind w:left="720" w:firstLine="0"/>
        <w:rPr>
          <w:rFonts w:ascii="Times New Roman" w:cs="Times New Roman" w:eastAsia="Times New Roman" w:hAnsi="Times New Roman"/>
        </w:rPr>
      </w:pPr>
    </w:p>
    <w:p>
      <w:pPr>
        <w:widowControl w:val="on"/>
        <w:numPr>
          <w:ilvl w:val="0"/>
          <w:numId w:val="2"/>
        </w:numPr>
        <w:ind w:left="720" w:hanging="360"/>
        <w:rPr>
          <w:rFonts w:ascii="Times New Roman" w:cs="Times New Roman" w:eastAsia="Times New Roman" w:hAnsi="Times New Roman"/>
        </w:rPr>
      </w:pPr>
      <w:r>
        <w:rPr>
          <w:rFonts w:ascii="Times New Roman" w:cs="Times New Roman" w:eastAsia="Times New Roman" w:hAnsi="Times New Roman"/>
          <w:rtl w:val="off"/>
        </w:rPr>
        <w:t>Strength in the tailor-made products services</w:t>
      </w:r>
    </w:p>
    <w:p>
      <w:pPr>
        <w:widowControl w:val="on"/>
        <w:numPr>
          <w:ilvl w:val="0"/>
          <w:numId w:val="2"/>
        </w:numPr>
        <w:ind w:left="720" w:hanging="360"/>
        <w:rPr>
          <w:rFonts w:ascii="Times New Roman" w:cs="Times New Roman" w:eastAsia="Times New Roman" w:hAnsi="Times New Roman"/>
        </w:rPr>
      </w:pPr>
      <w:r>
        <w:rPr>
          <w:rFonts w:ascii="Times New Roman" w:cs="Times New Roman" w:eastAsia="Times New Roman" w:hAnsi="Times New Roman"/>
          <w:rtl w:val="off"/>
        </w:rPr>
        <w:t xml:space="preserve">Better service to product </w:t>
      </w: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widowControl w:val="on"/>
        <w:rPr>
          <w:rFonts w:ascii="Times New Roman" w:cs="Times New Roman" w:eastAsia="Times New Roman" w:hAnsi="Times New Roman"/>
        </w:rPr>
      </w:pPr>
    </w:p>
    <w:p>
      <w:pPr>
        <w:rPr>
          <w:rFonts w:ascii="Times New Roman" w:cs="Times New Roman" w:eastAsia="Times New Roman" w:hAnsi="Times New Roman"/>
        </w:rPr>
      </w:pPr>
      <w:r>
        <w:rPr/>
        <w:br w:type="page"/>
      </w:r>
    </w:p>
    <w:p>
      <w:pPr>
        <w:widowControl w:val="on"/>
        <w:rPr>
          <w:rFonts w:ascii="Times New Roman" w:cs="Times New Roman" w:eastAsia="Times New Roman" w:hAnsi="Times New Roman"/>
        </w:rPr>
      </w:pPr>
    </w:p>
    <w:p>
      <w:pPr>
        <w:numPr>
          <w:ilvl w:val="0"/>
          <w:numId w:val="1"/>
        </w:numPr>
        <w:pBdr>
          <w:top w:val="nil" w:sz="4" w:space="0"/>
          <w:left w:val="nil" w:sz="4" w:space="0"/>
          <w:bottom w:val="nil" w:sz="4" w:space="0"/>
          <w:right w:val="nil" w:sz="4" w:space="0"/>
          <w:between w:val="nil" w:sz="4" w:space="0"/>
        </w:pBdr>
        <w:spacing w:line="360" w:lineRule="auto"/>
        <w:ind w:left="480" w:hanging="480"/>
        <w:rPr>
          <w:rFonts w:ascii="Times New Roman" w:cs="Times New Roman" w:eastAsia="Times New Roman" w:hAnsi="Times New Roman"/>
          <w:color w:val="000000"/>
        </w:rPr>
      </w:pPr>
      <w:r>
        <w:rPr>
          <w:rFonts w:ascii="Times New Roman" w:cs="Times New Roman" w:eastAsia="Times New Roman" w:hAnsi="Times New Roman"/>
          <w:color w:val="000000"/>
          <w:rtl w:val="off"/>
        </w:rPr>
        <w:t>Conclusion</w:t>
      </w:r>
    </w:p>
    <w:p>
      <w:pPr>
        <w:rPr>
          <w:rFonts w:ascii="Times New Roman" w:cs="Times New Roman" w:eastAsia="Times New Roman" w:hAnsi="Times New Roman"/>
          <w:color w:val="000000"/>
        </w:rPr>
      </w:pPr>
    </w:p>
    <w:p>
      <w:pPr>
        <w:pBdr>
          <w:top w:val="nil" w:sz="4" w:space="0"/>
          <w:left w:val="nil" w:sz="4" w:space="0"/>
          <w:bottom w:val="nil" w:sz="4" w:space="0"/>
          <w:right w:val="nil" w:sz="4" w:space="0"/>
          <w:between w:val="nil" w:sz="4" w:space="0"/>
        </w:pBdr>
        <w:spacing w:line="360" w:lineRule="auto"/>
        <w:rPr>
          <w:rFonts w:ascii="Times New Roman" w:cs="Times New Roman" w:eastAsia="Times New Roman" w:hAnsi="Times New Roman"/>
        </w:rPr>
        <w:sectPr>
          <w:footerReference w:type="default" r:id="rId38"/>
          <w:type w:val="nextPage"/>
          <w:pgSz w:w="11906" w:h="16838" w:orient="portrait"/>
          <w:pgMar w:top="1440" w:right="1800" w:bottom="1440" w:left="1800" w:header="851" w:footer="992"/>
          <w:pgNumType w:start="1"/>
        </w:sectPr>
      </w:pPr>
      <w:r>
        <w:rPr>
          <w:rFonts w:ascii="Times New Roman" w:cs="Times New Roman" w:eastAsia="Times New Roman" w:hAnsi="Times New Roman"/>
          <w:rtl w:val="off"/>
        </w:rPr>
        <w:t>Lkj is a recognized Hong Kong Brand and a iconic image to be soapicated. To target the new market of generation, to be young is the important to the market in the new and ever changing environment.</w:t>
      </w:r>
      <w:r>
        <w:rPr>
          <w:rFonts w:ascii="Times New Roman" w:cs="Times New Roman" w:eastAsia="Times New Roman" w:hAnsi="Times New Roman"/>
        </w:rPr>
        <w:t>
</w:t>
      </w:r>
    </w:p>
    <w:p>
      <w:pPr>
        <w:spacing w:line="360" w:lineRule="auto"/>
        <w:rPr>
          <w:rFonts w:ascii="Times New Roman" w:cs="Times New Roman" w:eastAsia="Times New Roman" w:hAnsi="Times New Roman"/>
        </w:rPr>
      </w:pPr>
      <w:r>
        <w:rPr>
          <w:rFonts w:ascii="Times New Roman" w:cs="Times New Roman" w:eastAsia="Times New Roman" w:hAnsi="Times New Roman"/>
          <w:rtl w:val="off"/>
        </w:rPr>
        <w:t>Reference</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i/>
          <w:color w:val="000000"/>
          <w:rtl w:val="off"/>
        </w:rPr>
        <w:t>Deloitte</w:t>
      </w:r>
      <w:r>
        <w:rPr>
          <w:rFonts w:ascii="Times New Roman" w:cs="Times New Roman" w:eastAsia="Times New Roman" w:hAnsi="Times New Roman"/>
          <w:color w:val="000000"/>
          <w:rtl w:val="off"/>
        </w:rPr>
        <w:t xml:space="preserve"> (2022) </w:t>
      </w:r>
      <w:r>
        <w:rPr>
          <w:rFonts w:ascii="Times New Roman" w:cs="Times New Roman" w:eastAsia="Times New Roman" w:hAnsi="Times New Roman"/>
          <w:i/>
          <w:color w:val="000000"/>
          <w:rtl w:val="off"/>
        </w:rPr>
        <w:t>Deloitte's Gen z and millennial survey reveals two generations striving for balance and advocating for change - press release, Deloitte</w:t>
      </w:r>
      <w:r>
        <w:rPr>
          <w:rFonts w:ascii="Times New Roman" w:cs="Times New Roman" w:eastAsia="Times New Roman" w:hAnsi="Times New Roman"/>
          <w:color w:val="000000"/>
          <w:rtl w:val="off"/>
        </w:rPr>
        <w:t xml:space="preserve">. Available at: https://www.deloitte.com/global/en/about/press-room/deloittes-gen-z-and-millennial-survey-reveals-two-generations-striving-for-balance-and-advocating-for-change.html (Accessed: 27 March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Fabius, V. </w:t>
      </w:r>
      <w:r>
        <w:rPr>
          <w:rFonts w:ascii="Times New Roman" w:cs="Times New Roman" w:eastAsia="Times New Roman" w:hAnsi="Times New Roman"/>
          <w:i/>
          <w:color w:val="000000"/>
          <w:rtl w:val="off"/>
        </w:rPr>
        <w:t>et al.</w:t>
      </w:r>
      <w:r>
        <w:rPr>
          <w:rFonts w:ascii="Times New Roman" w:cs="Times New Roman" w:eastAsia="Times New Roman" w:hAnsi="Times New Roman"/>
          <w:color w:val="000000"/>
          <w:rtl w:val="off"/>
        </w:rPr>
        <w:t xml:space="preserve"> (2020) </w:t>
      </w:r>
      <w:r>
        <w:rPr>
          <w:rFonts w:ascii="Times New Roman" w:cs="Times New Roman" w:eastAsia="Times New Roman" w:hAnsi="Times New Roman"/>
          <w:i/>
          <w:color w:val="000000"/>
          <w:rtl w:val="off"/>
        </w:rPr>
        <w:t>How covid-19 is changing consumer behavior-now and forever</w:t>
      </w:r>
      <w:r>
        <w:rPr>
          <w:rFonts w:ascii="Times New Roman" w:cs="Times New Roman" w:eastAsia="Times New Roman" w:hAnsi="Times New Roman"/>
          <w:color w:val="000000"/>
          <w:rtl w:val="off"/>
        </w:rPr>
        <w:t xml:space="preserve">, </w:t>
      </w:r>
      <w:r>
        <w:rPr>
          <w:rFonts w:ascii="Times New Roman" w:cs="Times New Roman" w:eastAsia="Times New Roman" w:hAnsi="Times New Roman"/>
          <w:i/>
          <w:color w:val="000000"/>
          <w:rtl w:val="off"/>
        </w:rPr>
        <w:t>McKinsey &amp; Company</w:t>
      </w:r>
      <w:r>
        <w:rPr>
          <w:rFonts w:ascii="Times New Roman" w:cs="Times New Roman" w:eastAsia="Times New Roman" w:hAnsi="Times New Roman"/>
          <w:color w:val="000000"/>
          <w:rtl w:val="off"/>
        </w:rPr>
        <w:t xml:space="preserve">. Available at: https://www.mckinsey.com/industries/retail/our-insights/how-covid-19-is-changing-consumer-behavior-now-and-forever (Accessed: 3 May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Hong Kong’s Information Services Department (2022). </w:t>
      </w:r>
      <w:r>
        <w:rPr>
          <w:rFonts w:ascii="Times New Roman" w:cs="Times New Roman" w:eastAsia="Times New Roman" w:hAnsi="Times New Roman"/>
          <w:i/>
          <w:color w:val="000000"/>
          <w:rtl w:val="off"/>
        </w:rPr>
        <w:t>Social distancing set to be eased</w:t>
      </w:r>
      <w:r>
        <w:rPr>
          <w:rFonts w:ascii="Times New Roman" w:cs="Times New Roman" w:eastAsia="Times New Roman" w:hAnsi="Times New Roman"/>
          <w:color w:val="000000"/>
          <w:rtl w:val="off"/>
        </w:rPr>
        <w:t xml:space="preserve"> Available at: https://www.news.gov.hk/eng/2022/03/20220321/20220321_124329_218.html (Accessed: 15 June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McKinsey &amp; Company (2020) </w:t>
      </w:r>
      <w:r>
        <w:rPr>
          <w:rFonts w:ascii="Times New Roman" w:cs="Times New Roman" w:eastAsia="Times New Roman" w:hAnsi="Times New Roman"/>
          <w:i/>
          <w:color w:val="000000"/>
          <w:rtl w:val="off"/>
        </w:rPr>
        <w:t xml:space="preserve">How COVID-19 has pushed companies over the technology tipping point-and transformed business forever </w:t>
      </w:r>
      <w:r>
        <w:rPr>
          <w:rFonts w:ascii="Times New Roman" w:cs="Times New Roman" w:eastAsia="Times New Roman" w:hAnsi="Times New Roman"/>
          <w:color w:val="000000"/>
          <w:rtl w:val="off"/>
        </w:rPr>
        <w:t xml:space="preserve">Available at: https://www.mckinsey.com/capabilities/strategy-and-corporate-finance/our-insights/how-covid-19-has-pushed-companies-over-the-technology-tipping-point-and-transformed-business-forever (Accessed: 3 May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Mekky, M. (2022) </w:t>
      </w:r>
      <w:r>
        <w:rPr>
          <w:rFonts w:ascii="Times New Roman" w:cs="Times New Roman" w:eastAsia="Times New Roman" w:hAnsi="Times New Roman"/>
          <w:i/>
          <w:color w:val="000000"/>
          <w:rtl w:val="off"/>
        </w:rPr>
        <w:t>Council post: How social media is changing the face of Pr</w:t>
      </w:r>
      <w:r>
        <w:rPr>
          <w:rFonts w:ascii="Times New Roman" w:cs="Times New Roman" w:eastAsia="Times New Roman" w:hAnsi="Times New Roman"/>
          <w:color w:val="000000"/>
          <w:rtl w:val="off"/>
        </w:rPr>
        <w:t xml:space="preserve">, </w:t>
      </w:r>
      <w:r>
        <w:rPr>
          <w:rFonts w:ascii="Times New Roman" w:cs="Times New Roman" w:eastAsia="Times New Roman" w:hAnsi="Times New Roman"/>
          <w:i/>
          <w:color w:val="000000"/>
          <w:rtl w:val="off"/>
        </w:rPr>
        <w:t>Forbes</w:t>
      </w:r>
      <w:r>
        <w:rPr>
          <w:rFonts w:ascii="Times New Roman" w:cs="Times New Roman" w:eastAsia="Times New Roman" w:hAnsi="Times New Roman"/>
          <w:color w:val="000000"/>
          <w:rtl w:val="off"/>
        </w:rPr>
        <w:t>. Forbes Magazine. Available at: https://www.forbes.com/sites/forbesagencycouncil/2019/02/21/how-social-media-is-changing-the-face-of-pr/?sh=12c0ebcd724f (Accessed: 7 April 2023).</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Neiman, H. (2021) </w:t>
      </w:r>
      <w:r>
        <w:rPr>
          <w:rFonts w:ascii="Times New Roman" w:cs="Times New Roman" w:eastAsia="Times New Roman" w:hAnsi="Times New Roman"/>
          <w:i/>
          <w:color w:val="000000"/>
          <w:rtl w:val="off"/>
        </w:rPr>
        <w:t>Council post: What will the restaurant industry look like post-pandemic?</w:t>
      </w:r>
      <w:r>
        <w:rPr>
          <w:rFonts w:ascii="Times New Roman" w:cs="Times New Roman" w:eastAsia="Times New Roman" w:hAnsi="Times New Roman"/>
          <w:color w:val="000000"/>
          <w:rtl w:val="off"/>
        </w:rPr>
        <w:t xml:space="preserve">, </w:t>
      </w:r>
      <w:r>
        <w:rPr>
          <w:rFonts w:ascii="Times New Roman" w:cs="Times New Roman" w:eastAsia="Times New Roman" w:hAnsi="Times New Roman"/>
          <w:i/>
          <w:color w:val="000000"/>
          <w:rtl w:val="off"/>
        </w:rPr>
        <w:t>Forbes</w:t>
      </w:r>
      <w:r>
        <w:rPr>
          <w:rFonts w:ascii="Times New Roman" w:cs="Times New Roman" w:eastAsia="Times New Roman" w:hAnsi="Times New Roman"/>
          <w:color w:val="000000"/>
          <w:rtl w:val="off"/>
        </w:rPr>
        <w:t>. Forbes Magazine. Available at: https://www.forbes.com/sites/forbescommunicationscouncil/2021/06/08/what-will-the-restaurant-industry-look-like-post-pandemic/?sh=6cae62281982 (Accessed: 3 May 2023).</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NOW 新聞. (2023) 通關後港人多北上消費 深圳餐廳：五成顧客是港人, Now 新聞. Available at: https://news.now.com/home/local/player?newsId=522381 (Accessed: 26 June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i/>
          <w:color w:val="000000"/>
          <w:rtl w:val="off"/>
        </w:rPr>
        <w:t xml:space="preserve">The Standard (2023) Paul Chan urges residents to spend more to boost the economy, The Standard. Available at: https://www.thestandard.com.hk/breaking-news/section/4/205174/Paul-Chan-urges-residents-to-spend-more-to-boost-the-economy (Accessed: 23 June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Wong, Rebecca  (2023) </w:t>
      </w:r>
      <w:r>
        <w:rPr>
          <w:rFonts w:ascii="PMingLiu" w:cs="PMingLiu" w:eastAsia="PMingLiu" w:hAnsi="PMingLiu"/>
          <w:color w:val="000000"/>
          <w:rtl w:val="off"/>
        </w:rPr>
        <w:t>小紅書</w:t>
      </w:r>
      <w:r>
        <w:rPr>
          <w:rFonts w:ascii="Times New Roman" w:cs="Times New Roman" w:eastAsia="Times New Roman" w:hAnsi="Times New Roman"/>
          <w:color w:val="000000"/>
          <w:rtl w:val="off"/>
        </w:rPr>
        <w:t>=</w:t>
      </w:r>
      <w:r>
        <w:rPr>
          <w:rFonts w:ascii="PMingLiu" w:cs="PMingLiu" w:eastAsia="PMingLiu" w:hAnsi="PMingLiu"/>
          <w:color w:val="000000"/>
          <w:rtl w:val="off"/>
        </w:rPr>
        <w:t>內地版</w:t>
      </w:r>
      <w:r>
        <w:rPr>
          <w:rFonts w:ascii="Times New Roman" w:cs="Times New Roman" w:eastAsia="Times New Roman" w:hAnsi="Times New Roman"/>
          <w:color w:val="000000"/>
          <w:rtl w:val="off"/>
        </w:rPr>
        <w:t>Instagram</w:t>
      </w:r>
      <w:r>
        <w:rPr>
          <w:rFonts w:ascii="PMingLiu" w:cs="PMingLiu" w:eastAsia="PMingLiu" w:hAnsi="PMingLiu"/>
          <w:color w:val="000000"/>
          <w:rtl w:val="off"/>
        </w:rPr>
        <w:t>？社交媒體行銷新玩法︰打造香港最美打卡勝地吸人流！「金魚街」如何變成網紅新寵？</w:t>
      </w:r>
      <w:r>
        <w:rPr>
          <w:rFonts w:ascii="Times New Roman" w:cs="Times New Roman" w:eastAsia="Times New Roman" w:hAnsi="Times New Roman"/>
          <w:color w:val="000000"/>
          <w:rtl w:val="off"/>
        </w:rPr>
        <w:t xml:space="preserve"> </w:t>
      </w:r>
      <w:r>
        <w:rPr>
          <w:rFonts w:ascii="PMingLiu" w:cs="PMingLiu" w:eastAsia="PMingLiu" w:hAnsi="PMingLiu"/>
          <w:color w:val="000000"/>
          <w:rtl w:val="off"/>
        </w:rPr>
        <w:t>跨境營商戰略</w:t>
      </w:r>
      <w:r>
        <w:rPr>
          <w:rFonts w:ascii="Times New Roman" w:cs="Times New Roman" w:eastAsia="Times New Roman" w:hAnsi="Times New Roman"/>
          <w:color w:val="000000"/>
          <w:rtl w:val="off"/>
        </w:rPr>
        <w:t xml:space="preserve"> | etnet</w:t>
      </w:r>
      <w:r>
        <w:rPr>
          <w:rFonts w:ascii="PMingLiu" w:cs="PMingLiu" w:eastAsia="PMingLiu" w:hAnsi="PMingLiu"/>
          <w:color w:val="000000"/>
          <w:rtl w:val="off"/>
        </w:rPr>
        <w:t>經濟通</w:t>
      </w:r>
      <w:r>
        <w:rPr>
          <w:rFonts w:ascii="Times New Roman" w:cs="Times New Roman" w:eastAsia="Times New Roman" w:hAnsi="Times New Roman"/>
          <w:color w:val="000000"/>
          <w:rtl w:val="off"/>
        </w:rPr>
        <w:t>Available at: http://www.etnet.com.hk/www/tc/lifestyle/digitalnewage/chinaecommerce/84271#%E5%B0%8F%E7%B4%85%E6%9B%B8=%E5%85%A7%E5%9C%B0%E7%89%88Instagram%EF%BC%9F%E7%A4%BE%E4%BA%A4%E5%AA%92%E9%AB%94%E8%A1%8C%E9%8A%B7%E6%96%B0%E7%8E%A9%E6%B3%95%EF%B8%B0%E6%89%93%E9%80%A0%E9%A6%99%E6%B8%AF%E6%9C%80%E7%BE%8E%E6%89%93%E5%8D%A1%E5%8B%9D%E5%9C%B0%E5%90%B8%E4%BA%BA%E6%B5%81%EF%BC%81%E3%80%8C%E9%87%91%E9%AD%9A%E8%A1%97%E3%80%8D%E5%A6%82%E4%BD%95%E8%AE%8A%E6%88%90%E7%B6%B2%E7%B4%85%E6%96%B0%E5%AF%B5%EF%BC%9F (Accessed: 3 June 2023).</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 xml:space="preserve">The Standard (2023) </w:t>
      </w:r>
      <w:r>
        <w:rPr>
          <w:rFonts w:ascii="Times New Roman" w:cs="Times New Roman" w:eastAsia="Times New Roman" w:hAnsi="Times New Roman"/>
          <w:i/>
          <w:rtl w:val="off"/>
        </w:rPr>
        <w:t>John Lee welcomes the positive effects of the Golden Week Holidays</w:t>
      </w:r>
      <w:r>
        <w:rPr>
          <w:rFonts w:ascii="Times New Roman" w:cs="Times New Roman" w:eastAsia="Times New Roman" w:hAnsi="Times New Roman"/>
          <w:rtl w:val="off"/>
        </w:rPr>
        <w:t xml:space="preserve">, </w:t>
      </w:r>
      <w:r>
        <w:rPr>
          <w:rFonts w:ascii="Times New Roman" w:cs="Times New Roman" w:eastAsia="Times New Roman" w:hAnsi="Times New Roman"/>
          <w:i/>
          <w:rtl w:val="off"/>
        </w:rPr>
        <w:t>The Standard</w:t>
      </w:r>
      <w:r>
        <w:rPr>
          <w:rFonts w:ascii="Times New Roman" w:cs="Times New Roman" w:eastAsia="Times New Roman" w:hAnsi="Times New Roman"/>
          <w:rtl w:val="off"/>
        </w:rPr>
        <w:t>. Available at: https://www.thestandard.com.hk/breaking-news/section/4/203236/John-Lee-welcomes-the-positive-effects-of-the-Golden-Week-holidays (Accessed: 04 May 2023).</w:t>
      </w:r>
    </w:p>
    <w:p>
      <w:pPr>
        <w:keepNext w:val="off"/>
        <w:keepLines w:val="off"/>
        <w:pageBreakBefore w:val="off"/>
        <w:widowControl w:val="on"/>
        <w:pBdr>
          <w:top w:val="nil" w:sz="4" w:space="0"/>
          <w:left w:val="nil" w:sz="4" w:space="0"/>
          <w:bottom w:val="nil" w:sz="4" w:space="0"/>
          <w:right w:val="nil" w:sz="4" w:space="0"/>
          <w:between w:val="nil" w:sz="4" w:space="0"/>
        </w:pBdr>
        <w:shd w:val="clear" w:fill="auto"/>
        <w:spacing w:before="280" w:after="280" w:line="360" w:lineRule="auto"/>
        <w:ind w:left="0" w:right="0" w:firstLine="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Dartnell, L. (2022) </w:t>
      </w:r>
      <w:r>
        <w:rPr>
          <w:rFonts w:ascii="Times New Roman" w:cs="Times New Roman" w:eastAsia="Times New Roman" w:hAnsi="Times New Roman"/>
          <w:b w:val="off"/>
          <w:i/>
          <w:smallCaps w:val="off"/>
          <w:color w:val="000000"/>
          <w:sz w:val="24"/>
          <w:szCs w:val="24"/>
          <w:u w:val="none"/>
          <w:shd w:val="clear" w:fill="auto"/>
          <w:vertAlign w:val="baseline"/>
          <w:rtl w:val="off"/>
        </w:rPr>
        <w:t>The COVID-19 changes that could last long-term</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w:t>
      </w:r>
      <w:r>
        <w:rPr>
          <w:rFonts w:ascii="Times New Roman" w:cs="Times New Roman" w:eastAsia="Times New Roman" w:hAnsi="Times New Roman"/>
          <w:b w:val="off"/>
          <w:i/>
          <w:smallCaps w:val="off"/>
          <w:color w:val="000000"/>
          <w:sz w:val="24"/>
          <w:szCs w:val="24"/>
          <w:u w:val="none"/>
          <w:shd w:val="clear" w:fill="auto"/>
          <w:vertAlign w:val="baseline"/>
          <w:rtl w:val="off"/>
        </w:rPr>
        <w:t>BBC Future</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Available at: https://www.bbc.com/future/article/20200629-which-lockdown-changes-are-here-to-stay (Accessed: 03 May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rPr>
      </w:pPr>
      <w:r>
        <w:rPr>
          <w:rFonts w:ascii="Times New Roman" w:cs="Times New Roman" w:eastAsia="Times New Roman" w:hAnsi="Times New Roman"/>
          <w:rtl w:val="off"/>
        </w:rPr>
        <w:t>RTHK HK (2023)</w:t>
      </w:r>
      <w:r>
        <w:rPr>
          <w:rFonts w:ascii="Times New Roman" w:cs="Times New Roman" w:eastAsia="Times New Roman" w:hAnsi="Times New Roman"/>
          <w:i/>
          <w:rtl w:val="off"/>
        </w:rPr>
        <w:t xml:space="preserve"> pins hope on Golden Week to attract back tourists</w:t>
      </w:r>
      <w:r>
        <w:rPr>
          <w:rFonts w:ascii="Times New Roman" w:cs="Times New Roman" w:eastAsia="Times New Roman" w:hAnsi="Times New Roman"/>
          <w:rtl w:val="off"/>
        </w:rPr>
        <w:t>. Available at: https://news.rthk.hk/rthk/en/component/k2/1693565-20230325.htm (Accessed: 29 April 2023).</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rPr>
      </w:pPr>
    </w:p>
    <w:p>
      <w:pPr>
        <w:keepNext w:val="off"/>
        <w:keepLines w:val="off"/>
        <w:pageBreakBefore w:val="off"/>
        <w:widowControl w:val="on"/>
        <w:pBdr>
          <w:top w:val="nil" w:sz="4" w:space="0"/>
          <w:left w:val="nil" w:sz="4" w:space="0"/>
          <w:bottom w:val="nil" w:sz="4" w:space="0"/>
          <w:right w:val="nil" w:sz="4" w:space="0"/>
          <w:between w:val="nil" w:sz="4" w:space="0"/>
        </w:pBdr>
        <w:shd w:val="clear" w:fill="auto"/>
        <w:spacing w:before="280" w:after="280" w:line="360" w:lineRule="auto"/>
        <w:ind w:left="0" w:right="0" w:firstLine="0"/>
        <w:jc w:val="both"/>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HKSAR (2020) </w:t>
      </w:r>
      <w:r>
        <w:rPr>
          <w:rFonts w:ascii="Times New Roman" w:cs="Times New Roman" w:eastAsia="Times New Roman" w:hAnsi="Times New Roman"/>
          <w:b w:val="off"/>
          <w:i/>
          <w:smallCaps w:val="off"/>
          <w:color w:val="000000"/>
          <w:sz w:val="24"/>
          <w:szCs w:val="24"/>
          <w:u w:val="none"/>
          <w:shd w:val="clear" w:fill="auto"/>
          <w:vertAlign w:val="baseline"/>
          <w:rtl w:val="off"/>
        </w:rPr>
        <w:t>Compulsory quarantine of certain persons arriving at Hong Kong Regulation and prevention and control of disease (Disclosure of Information) Regulation gazette</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w:t>
      </w:r>
      <w:r>
        <w:rPr>
          <w:rFonts w:ascii="Times New Roman" w:cs="Times New Roman" w:eastAsia="Times New Roman" w:hAnsi="Times New Roman"/>
          <w:b w:val="off"/>
          <w:i/>
          <w:smallCaps w:val="off"/>
          <w:color w:val="000000"/>
          <w:sz w:val="24"/>
          <w:szCs w:val="24"/>
          <w:u w:val="none"/>
          <w:shd w:val="clear" w:fill="auto"/>
          <w:vertAlign w:val="baseline"/>
          <w:rtl w:val="off"/>
        </w:rPr>
        <w:t>Press Releases.</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Available at: https://www.info.gov.hk/gia/general/202002/07/P2020020700674.htm?fontSize=1 (Accessed: 16 March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Kotler, P., Armstrong, G. M., Harris, L. C., He, H. (</w:t>
      </w:r>
      <w:r>
        <w:rPr>
          <w:rtl w:val="off"/>
        </w:rPr>
        <w:t>2020</w:t>
      </w:r>
      <w:r>
        <w:rPr>
          <w:rFonts w:ascii="Times New Roman" w:cs="Times New Roman" w:eastAsia="Times New Roman" w:hAnsi="Times New Roman"/>
          <w:color w:val="000000"/>
          <w:rtl w:val="off"/>
        </w:rPr>
        <w:t>). </w:t>
      </w:r>
      <w:r>
        <w:rPr>
          <w:i/>
          <w:rtl w:val="off"/>
        </w:rPr>
        <w:t>Principles of Marketing</w:t>
      </w:r>
      <w:r>
        <w:rPr>
          <w:rtl w:val="off"/>
        </w:rPr>
        <w:t>.</w:t>
      </w:r>
      <w:r>
        <w:rPr>
          <w:rFonts w:ascii="Times New Roman" w:cs="Times New Roman" w:eastAsia="Times New Roman" w:hAnsi="Times New Roman"/>
          <w:color w:val="000000"/>
          <w:rtl w:val="off"/>
        </w:rPr>
        <w:t> United Kingdom, Pearson Education Limited.</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p>
    <w:p>
      <w:pPr>
        <w:keepNext w:val="off"/>
        <w:keepLines w:val="off"/>
        <w:pageBreakBefore w:val="off"/>
        <w:widowControl w:val="on"/>
        <w:pBdr>
          <w:top w:val="nil" w:sz="4" w:space="0"/>
          <w:left w:val="nil" w:sz="4" w:space="0"/>
          <w:bottom w:val="nil" w:sz="4" w:space="0"/>
          <w:right w:val="nil" w:sz="4" w:space="0"/>
          <w:between w:val="nil" w:sz="4" w:space="0"/>
        </w:pBdr>
        <w:shd w:val="clear" w:fill="auto"/>
        <w:spacing w:before="280" w:after="280" w:line="360" w:lineRule="auto"/>
        <w:ind w:left="0" w:right="0" w:firstLine="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Mastercard Economics Institute (2023) </w:t>
      </w:r>
      <w:r>
        <w:rPr>
          <w:rFonts w:ascii="Times New Roman" w:cs="Times New Roman" w:eastAsia="Times New Roman" w:hAnsi="Times New Roman"/>
          <w:b w:val="off"/>
          <w:i/>
          <w:smallCaps w:val="off"/>
          <w:color w:val="000000"/>
          <w:sz w:val="24"/>
          <w:szCs w:val="24"/>
          <w:u w:val="none"/>
          <w:shd w:val="clear" w:fill="auto"/>
          <w:vertAlign w:val="baseline"/>
          <w:rtl w:val="off"/>
        </w:rPr>
        <w:t>Mastercard Economics Institute Shines spotlight on how covid impacted hong kong consumers’ spending trends</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w:t>
      </w:r>
      <w:r>
        <w:rPr>
          <w:rFonts w:ascii="Times New Roman" w:cs="Times New Roman" w:eastAsia="Times New Roman" w:hAnsi="Times New Roman"/>
          <w:b w:val="off"/>
          <w:i/>
          <w:smallCaps w:val="off"/>
          <w:color w:val="000000"/>
          <w:sz w:val="24"/>
          <w:szCs w:val="24"/>
          <w:u w:val="none"/>
          <w:shd w:val="clear" w:fill="auto"/>
          <w:vertAlign w:val="baseline"/>
          <w:rtl w:val="off"/>
        </w:rPr>
        <w:t>Mastercard Newsroom</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Available at: https://www.mastercard.com/news/ap/en-hk/newsroom/press-releases/en-hk/2023/mastercard-economics-institute-shines-spotlight-on-how-covid-impacted-hong-kong-consumers-spending-trends/ (Accessed: 4 July 2023). </w:t>
      </w:r>
    </w:p>
    <w:p>
      <w:pPr>
        <w:keepNext w:val="off"/>
        <w:keepLines w:val="off"/>
        <w:pageBreakBefore w:val="off"/>
        <w:widowControl w:val="on"/>
        <w:pBdr>
          <w:top w:val="nil" w:sz="4" w:space="0"/>
          <w:left w:val="nil" w:sz="4" w:space="0"/>
          <w:bottom w:val="nil" w:sz="4" w:space="0"/>
          <w:right w:val="nil" w:sz="4" w:space="0"/>
          <w:between w:val="nil" w:sz="4" w:space="0"/>
        </w:pBdr>
        <w:shd w:val="clear" w:fill="auto"/>
        <w:spacing w:before="280" w:after="280" w:line="360" w:lineRule="auto"/>
        <w:ind w:left="0" w:right="0" w:firstLine="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smallCaps w:val="off"/>
          <w:color w:val="000000"/>
          <w:sz w:val="24"/>
          <w:szCs w:val="24"/>
          <w:u w:val="none"/>
          <w:shd w:val="clear" w:fill="auto"/>
          <w:vertAlign w:val="baseline"/>
          <w:rtl w:val="off"/>
        </w:rPr>
        <w:t>HKTDC (2023) Jewellery Industry in Hong Kong</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 </w:t>
      </w:r>
      <w:r>
        <w:rPr>
          <w:rFonts w:ascii="Times New Roman" w:cs="Times New Roman" w:eastAsia="Times New Roman" w:hAnsi="Times New Roman"/>
          <w:b w:val="off"/>
          <w:i/>
          <w:smallCaps w:val="off"/>
          <w:color w:val="000000"/>
          <w:sz w:val="24"/>
          <w:szCs w:val="24"/>
          <w:u w:val="none"/>
          <w:shd w:val="clear" w:fill="auto"/>
          <w:vertAlign w:val="baseline"/>
          <w:rtl w:val="off"/>
        </w:rPr>
        <w:t>HKTDC research</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Available at: https://research.hktdc.com/en/article/MzEzOTU0Nzcx (Accessed: 24 June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Singh M. (2012), ‘Marketing Mix of 4P’S for Competitive Advantage’, IOSR Journal of Business and Management Available at: https://d1wqtxts1xzle7.cloudfront.net/28251386/G0364045-libre.pdf?1390873668=&amp;response-content-disposition=inline%3B+filename%3DIOSR_JBM_www_iosrjournals_org.pdf&amp;Expires=1688606494&amp;Signature=OhYWKIA5Ek-HhAh21TjruhkxDr6nJZgvYe8NDqq1-o1VaB3c63Q8wWx57LjTc4BApH4xmFN5ogNw73jzVqUI9e0p8lCVGxoGHkrZEZe6BQbU3SQ~t2U4DUwk1vNHfjvsX1zZWwSXI2xuLA12L2Lu3RrZLNe6uT8m~FeXxR6tMq-p9ZPrbV~-S6hrz0co~h3V2YEyfiSboWCeuM5kAVeyrjYULS2FynrlwPF5tkDCup2R59Pav7bETm-rv2HYnw3P~oT1eaZtavi-b7IV7e2dSgBF5lMK3CN5PRAN6m17hMQYzUGE8qVYNhZGqmU~y18Xed04fGULv~7HoyvuXHedYQ__&amp;Key-Pair-Id=APKAJLOHF5GGSLRBV4ZA (Accessed 5th July 2023)</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Lockett, Asia R., (2018) Online Marketing Strategies for Increasing Sales Revenues of Small Retail Businesses</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 xml:space="preserve">Hall, J. (2022) </w:t>
      </w:r>
      <w:r>
        <w:rPr>
          <w:rFonts w:ascii="Times New Roman" w:cs="Times New Roman" w:eastAsia="Times New Roman" w:hAnsi="Times New Roman"/>
          <w:i/>
          <w:color w:val="000000"/>
          <w:rtl w:val="off"/>
        </w:rPr>
        <w:t>Council post: Social media marketing tips every business should be using</w:t>
      </w:r>
      <w:r>
        <w:rPr>
          <w:rFonts w:ascii="Times New Roman" w:cs="Times New Roman" w:eastAsia="Times New Roman" w:hAnsi="Times New Roman"/>
          <w:color w:val="000000"/>
          <w:rtl w:val="off"/>
        </w:rPr>
        <w:t xml:space="preserve">, </w:t>
      </w:r>
      <w:r>
        <w:rPr>
          <w:rFonts w:ascii="Times New Roman" w:cs="Times New Roman" w:eastAsia="Times New Roman" w:hAnsi="Times New Roman"/>
          <w:i/>
          <w:color w:val="000000"/>
          <w:rtl w:val="off"/>
        </w:rPr>
        <w:t>Forbes</w:t>
      </w:r>
      <w:r>
        <w:rPr>
          <w:rFonts w:ascii="Times New Roman" w:cs="Times New Roman" w:eastAsia="Times New Roman" w:hAnsi="Times New Roman"/>
          <w:color w:val="000000"/>
          <w:rtl w:val="off"/>
        </w:rPr>
        <w:t xml:space="preserve">. Available at: https://www.forbes.com/sites/forbesagencycouncil/2021/10/29/social-media-marketing-tips-every-business-should-be-using/?sh=195cee6432c0 (Accessed: 07 June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Darmanwan D. and Grenier E. (2021) ‘Competitive Advantage and Service Marketing Mix’, Journal of Social Science Studies Vol. 1, No. 2, Available at https://ejournal.metromedia.education/index.php/jos3/article/view/9/15 (Accessed 5th July 2023)</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p>
    <w:p>
      <w:pPr>
        <w:keepNext w:val="off"/>
        <w:keepLines w:val="off"/>
        <w:pageBreakBefore w:val="off"/>
        <w:widowControl w:val="on"/>
        <w:pBdr>
          <w:top w:val="nil" w:sz="4" w:space="0"/>
          <w:left w:val="nil" w:sz="4" w:space="0"/>
          <w:bottom w:val="nil" w:sz="4" w:space="0"/>
          <w:right w:val="nil" w:sz="4" w:space="0"/>
          <w:between w:val="nil" w:sz="4" w:space="0"/>
        </w:pBdr>
        <w:shd w:val="clear" w:fill="auto"/>
        <w:spacing w:before="280" w:after="280" w:line="360" w:lineRule="auto"/>
        <w:ind w:left="0" w:right="0" w:firstLine="0"/>
        <w:jc w:val="left"/>
        <w:rPr>
          <w:rFonts w:ascii="Times New Roman" w:cs="Times New Roman" w:eastAsia="Times New Roman" w:hAnsi="Times New Roman"/>
          <w:b w:val="off"/>
          <w:i w:val="off"/>
          <w:smallCaps w:val="off"/>
          <w:color w:val="000000"/>
          <w:sz w:val="24"/>
          <w:szCs w:val="24"/>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Kemp, S. (2023) </w:t>
      </w:r>
      <w:r>
        <w:rPr>
          <w:rFonts w:ascii="Times New Roman" w:cs="Times New Roman" w:eastAsia="Times New Roman" w:hAnsi="Times New Roman"/>
          <w:b w:val="off"/>
          <w:i/>
          <w:smallCaps w:val="off"/>
          <w:color w:val="000000"/>
          <w:sz w:val="24"/>
          <w:szCs w:val="24"/>
          <w:u w:val="none"/>
          <w:shd w:val="clear" w:fill="auto"/>
          <w:vertAlign w:val="baseline"/>
          <w:rtl w:val="off"/>
        </w:rPr>
        <w:t>Digital 2023: Hong Kong - DataReportal – global digital insights</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w:t>
      </w:r>
      <w:r>
        <w:rPr>
          <w:rFonts w:ascii="Times New Roman" w:cs="Times New Roman" w:eastAsia="Times New Roman" w:hAnsi="Times New Roman"/>
          <w:b w:val="off"/>
          <w:i/>
          <w:smallCaps w:val="off"/>
          <w:color w:val="000000"/>
          <w:sz w:val="24"/>
          <w:szCs w:val="24"/>
          <w:u w:val="none"/>
          <w:shd w:val="clear" w:fill="auto"/>
          <w:vertAlign w:val="baseline"/>
          <w:rtl w:val="off"/>
        </w:rPr>
        <w:t>DataReportal</w:t>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 Available at: https://datareportal.com/reports/digital-2023-hong-kong (Accessed: 24 June 2023). </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Hall, J. (2022)</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r>
        <w:rPr>
          <w:rFonts w:ascii="Times New Roman" w:cs="Times New Roman" w:eastAsia="Times New Roman" w:hAnsi="Times New Roman"/>
          <w:color w:val="000000"/>
          <w:rtl w:val="off"/>
        </w:rPr>
        <w:t>Novak D. (2011), ‘PROMOTION AS INSTRUMENT OF MARKETING MIX’, I International Symposium Engineering Management And Competitiveness 2011,  Available at https://citeseerx.ist.psu.edu/document?repid=rep1&amp;type=pdf&amp;doi=a7ba6691bb0e869bc2e880951a156f112ade9f4e (Accessed 5th July 2023)</w:t>
      </w:r>
    </w:p>
    <w:p>
      <w:pPr>
        <w:widowControl w:val="on"/>
        <w:pBdr>
          <w:top w:val="nil" w:sz="4" w:space="0"/>
          <w:left w:val="nil" w:sz="4" w:space="0"/>
          <w:bottom w:val="nil" w:sz="4" w:space="0"/>
          <w:right w:val="nil" w:sz="4" w:space="0"/>
          <w:between w:val="nil" w:sz="4" w:space="0"/>
        </w:pBdr>
        <w:spacing w:line="360" w:lineRule="auto"/>
        <w:jc w:val="both"/>
        <w:rPr>
          <w:rFonts w:ascii="Times New Roman" w:cs="Times New Roman" w:eastAsia="Times New Roman" w:hAnsi="Times New Roman"/>
          <w:color w:val="000000"/>
        </w:rPr>
      </w:pPr>
    </w:p>
    <w:sectPr>
      <w:footerReference w:type="default" r:id="rId39"/>
      <w:type w:val="nextPage"/>
      <w:pgSz w:w="11906" w:h="16838" w:orient="portrait"/>
      <w:pgMar w:top="1440" w:right="1800" w:bottom="1440" w:left="1800" w:header="851" w:footer="992"/>
      <w:pgNumType w:start="1"/>
    </w:sectPr>
  </w:body>
</w:document>
</file>

<file path=word/fontTable.xml><?xml version="1.0" encoding="utf-8"?>
<w:fonts xmlns:r="http://schemas.openxmlformats.org/officeDocument/2006/relationships" xmlns:w="http://schemas.openxmlformats.org/wordprocessingml/2006/main">
  <w:font w:name="Calibri"/>
  <w:font w:name="Georgia"/>
  <w:font w:name="Times New Roman"/>
  <w:font w:name="PMingLiu"/>
  <w:font w:name="Roboto"/>
  <w:font w:name="Helvetica Neue"/>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p14="http://schemas.microsoft.com/office/word/2010/wordprocessingDrawing" xmlns:wpi="http://schemas.microsoft.com/office/word/2010/wordprocessingInk" xmlns:aink="http://schemas.microsoft.com/office/drawing/2016/ink">
  <w:p>
    <w:pPr>
      <w:keepNext w:val="off"/>
      <w:keepLines w:val="off"/>
      <w:pageBreakBefore w:val="off"/>
      <w:widowControl w:val="off"/>
      <w:pBdr>
        <w:top w:val="nil" w:sz="4" w:space="0"/>
        <w:left w:val="nil" w:sz="4" w:space="0"/>
        <w:bottom w:val="nil" w:sz="4" w:space="0"/>
        <w:right w:val="nil" w:sz="4" w:space="0"/>
        <w:between w:val="nil" w:sz="4" w:space="0"/>
      </w:pBdr>
      <w:shd w:val="clear" w:fill="auto"/>
      <w:tabs>
        <w:tab w:val="center" w:leader="none" w:pos="4153"/>
        <w:tab w:val="right" w:leader="none" w:pos="8306"/>
      </w:tabs>
      <w:spacing w:before="0" w:after="0" w:line="240" w:lineRule="auto"/>
      <w:ind w:left="0" w:right="200" w:firstLine="0"/>
      <w:jc w:val="right"/>
      <w:rPr>
        <w:rFonts w:ascii="Calibri" w:cs="Calibri" w:eastAsia="Calibri" w:hAnsi="Calibri"/>
        <w:b w:val="off"/>
        <w:i w:val="off"/>
        <w:smallCaps w:val="off"/>
        <w:color w:val="000000"/>
        <w:sz w:val="20"/>
        <w:szCs w:val="20"/>
        <w:u w:val="none"/>
        <w:shd w:val="clear" w:fill="auto"/>
        <w:vertAlign w:val="baseline"/>
      </w:rPr>
    </w:pPr>
  </w:p>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p14="http://schemas.microsoft.com/office/word/2010/wordprocessingDrawing" xmlns:wpi="http://schemas.microsoft.com/office/word/2010/wordprocessingInk" xmlns:aink="http://schemas.microsoft.com/office/drawing/2016/ink">
  <w:p>
    <w:pPr>
      <w:keepNext w:val="off"/>
      <w:keepLines w:val="off"/>
      <w:pageBreakBefore w:val="off"/>
      <w:widowControl w:val="off"/>
      <w:pBdr>
        <w:top w:val="nil" w:sz="4" w:space="0"/>
        <w:left w:val="nil" w:sz="4" w:space="0"/>
        <w:bottom w:val="nil" w:sz="4" w:space="0"/>
        <w:right w:val="nil" w:sz="4" w:space="0"/>
        <w:between w:val="nil" w:sz="4" w:space="0"/>
      </w:pBdr>
      <w:shd w:val="clear" w:fill="auto"/>
      <w:tabs>
        <w:tab w:val="center" w:leader="none" w:pos="4153"/>
        <w:tab w:val="right" w:leader="none" w:pos="8306"/>
      </w:tabs>
      <w:spacing w:before="0" w:after="0" w:line="240" w:lineRule="auto"/>
      <w:ind w:left="0" w:right="200" w:firstLine="0"/>
      <w:jc w:val="right"/>
      <w:rPr>
        <w:rFonts w:ascii="Calibri" w:cs="Calibri" w:eastAsia="Calibri" w:hAnsi="Calibri"/>
        <w:b w:val="off"/>
        <w:i w:val="off"/>
        <w:smallCaps w:val="off"/>
        <w:color w:val="000000"/>
        <w:sz w:val="20"/>
        <w:szCs w:val="20"/>
        <w:u w:val="none"/>
        <w:shd w:val="clear" w:fill="auto"/>
        <w:vertAlign w:val="baseline"/>
      </w:rPr>
    </w:pPr>
    <w:r>
      <w:fldChar w:fldCharType="begin"/>
    </w:r>
    <w:r>
      <w:instrText xml:space="preserve">PAGE</w:instrText>
    </w:r>
    <w:r>
      <w:fldChar w:fldCharType="end"/>
    </w:r>
  </w:p>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p14="http://schemas.microsoft.com/office/word/2010/wordprocessingDrawing" xmlns:wpi="http://schemas.microsoft.com/office/word/2010/wordprocessingInk" xmlns:aink="http://schemas.microsoft.com/office/drawing/2016/ink">
  <w:p>
    <w:pPr>
      <w:keepNext w:val="off"/>
      <w:keepLines w:val="off"/>
      <w:pageBreakBefore w:val="off"/>
      <w:widowControl w:val="off"/>
      <w:pBdr>
        <w:top w:val="nil" w:sz="4" w:space="0"/>
        <w:left w:val="nil" w:sz="4" w:space="0"/>
        <w:bottom w:val="nil" w:sz="4" w:space="0"/>
        <w:right w:val="nil" w:sz="4" w:space="0"/>
        <w:between w:val="nil" w:sz="4" w:space="0"/>
      </w:pBdr>
      <w:shd w:val="clear" w:fill="auto"/>
      <w:tabs>
        <w:tab w:val="center" w:leader="none" w:pos="4153"/>
        <w:tab w:val="right" w:leader="none" w:pos="8306"/>
      </w:tabs>
      <w:spacing w:before="0" w:after="0" w:line="240" w:lineRule="auto"/>
      <w:ind w:left="0" w:right="200" w:firstLine="0"/>
      <w:jc w:val="right"/>
      <w:rPr>
        <w:rFonts w:ascii="Calibri" w:cs="Calibri" w:eastAsia="Calibri" w:hAnsi="Calibri"/>
        <w:b w:val="off"/>
        <w:i w:val="off"/>
        <w:smallCaps w:val="off"/>
        <w:color w:val="000000"/>
        <w:sz w:val="20"/>
        <w:szCs w:val="20"/>
        <w:u w:val="none"/>
        <w:shd w:val="clear" w:fill="auto"/>
        <w:vertAlign w:val="baseline"/>
      </w:rPr>
    </w:pPr>
    <w:r>
      <w:fldChar w:fldCharType="begin"/>
    </w:r>
    <w:r>
      <w:instrText xml:space="preserve">PAGE</w:instrText>
    </w:r>
    <w:r>
      <w:fldChar w:fldCharType="end"/>
    </w:r>
  </w:p>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p14="http://schemas.microsoft.com/office/word/2010/wordprocessingDrawing" xmlns:wpi="http://schemas.microsoft.com/office/word/2010/wordprocessingInk" xmlns:aink="http://schemas.microsoft.com/office/drawing/2016/ink">
  <w:p>
    <w:pPr>
      <w:keepNext w:val="off"/>
      <w:keepLines w:val="off"/>
      <w:pageBreakBefore w:val="off"/>
      <w:widowControl w:val="off"/>
      <w:pBdr>
        <w:top w:val="nil" w:sz="4" w:space="0"/>
        <w:left w:val="nil" w:sz="4" w:space="0"/>
        <w:bottom w:val="nil" w:sz="4" w:space="0"/>
        <w:right w:val="nil" w:sz="4" w:space="0"/>
        <w:between w:val="nil" w:sz="4" w:space="0"/>
      </w:pBdr>
      <w:shd w:val="clear" w:fill="auto"/>
      <w:tabs>
        <w:tab w:val="center" w:leader="none" w:pos="4153"/>
        <w:tab w:val="right" w:leader="none" w:pos="8306"/>
      </w:tabs>
      <w:spacing w:before="0" w:after="0" w:line="240" w:lineRule="auto"/>
      <w:ind w:left="0" w:right="0" w:firstLine="0"/>
      <w:jc w:val="right"/>
      <w:rPr>
        <w:rFonts w:ascii="Calibri" w:cs="Calibri" w:eastAsia="Calibri" w:hAnsi="Calibri"/>
        <w:b w:val="off"/>
        <w:i w:val="off"/>
        <w:smallCaps w:val="off"/>
        <w:color w:val="000000"/>
        <w:sz w:val="20"/>
        <w:szCs w:val="20"/>
        <w:u w:val="none"/>
        <w:shd w:val="clear" w:fill="auto"/>
        <w:vertAlign w:val="baseline"/>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lvl w:ilvl="0" w:tentative="0">
      <w:start w:val="1"/>
      <w:numFmt w:val="decimal"/>
      <w:lvlText w:val="%1."/>
      <w:lvlJc w:val="left"/>
      <w:pPr>
        <w:ind w:left="480" w:hanging="480"/>
      </w:pPr>
      <w:rPr/>
    </w:lvl>
    <w:lvl w:ilvl="1" w:tentative="0">
      <w:start w:val="2"/>
      <w:numFmt w:val="decimal"/>
      <w:lvlText w:val="%1.%2"/>
      <w:lvlJc w:val="left"/>
      <w:pPr>
        <w:ind w:left="480" w:hanging="480"/>
      </w:pPr>
      <w:rPr/>
    </w:lvl>
    <w:lvl w:ilvl="2" w:tentative="0">
      <w:start w:val="1"/>
      <w:numFmt w:val="decimal"/>
      <w:lvlText w:val="%1.%2.%3"/>
      <w:lvlJc w:val="left"/>
      <w:pPr>
        <w:ind w:left="720" w:hanging="720"/>
      </w:pPr>
      <w:rPr/>
    </w:lvl>
    <w:lvl w:ilvl="3" w:tentative="0">
      <w:start w:val="1"/>
      <w:numFmt w:val="decimal"/>
      <w:lvlText w:val="%1.%2.%3.%4"/>
      <w:lvlJc w:val="left"/>
      <w:pPr>
        <w:ind w:left="720" w:hanging="720"/>
      </w:pPr>
      <w:rPr/>
    </w:lvl>
    <w:lvl w:ilvl="4" w:tentative="0">
      <w:start w:val="1"/>
      <w:numFmt w:val="decimal"/>
      <w:lvlText w:val="%1.%2.%3.%4.%5"/>
      <w:lvlJc w:val="left"/>
      <w:pPr>
        <w:ind w:left="1080" w:hanging="1080"/>
      </w:pPr>
      <w:rPr/>
    </w:lvl>
    <w:lvl w:ilvl="5" w:tentative="0">
      <w:start w:val="1"/>
      <w:numFmt w:val="decimal"/>
      <w:lvlText w:val="%1.%2.%3.%4.%5.%6"/>
      <w:lvlJc w:val="left"/>
      <w:pPr>
        <w:ind w:left="1080" w:hanging="1080"/>
      </w:pPr>
      <w:rPr/>
    </w:lvl>
    <w:lvl w:ilvl="6" w:tentative="0">
      <w:start w:val="1"/>
      <w:numFmt w:val="decimal"/>
      <w:lvlText w:val="%1.%2.%3.%4.%5.%6.%7"/>
      <w:lvlJc w:val="left"/>
      <w:pPr>
        <w:ind w:left="1440" w:hanging="1440"/>
      </w:pPr>
      <w:rPr/>
    </w:lvl>
    <w:lvl w:ilvl="7" w:tentative="0">
      <w:start w:val="1"/>
      <w:numFmt w:val="decimal"/>
      <w:lvlText w:val="%1.%2.%3.%4.%5.%6.%7.%8"/>
      <w:lvlJc w:val="left"/>
      <w:pPr>
        <w:ind w:left="1440" w:hanging="1440"/>
      </w:pPr>
      <w:rPr/>
    </w:lvl>
    <w:lvl w:ilvl="8" w:tentative="0">
      <w:start w:val="1"/>
      <w:numFmt w:val="decimal"/>
      <w:lvlText w:val="%1.%2.%3.%4.%5.%6.%7.%8.%9"/>
      <w:lvlJc w:val="left"/>
      <w:pPr>
        <w:ind w:left="1800" w:hanging="1800"/>
      </w:pPr>
      <w:rPr/>
    </w:lvl>
  </w:abstractNum>
  <w:abstractNum w:abstractNumId="1">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2">
    <w:lvl w:ilvl="0" w:tentative="0">
      <w:start w:val="2"/>
      <w:numFmt w:val="decimal"/>
      <w:lvlText w:val="%1"/>
      <w:lvlJc w:val="left"/>
      <w:pPr>
        <w:ind w:left="660" w:hanging="660"/>
      </w:pPr>
      <w:rPr/>
    </w:lvl>
    <w:lvl w:ilvl="1" w:tentative="0">
      <w:start w:val="1"/>
      <w:numFmt w:val="decimal"/>
      <w:lvlText w:val="%1.%2"/>
      <w:lvlJc w:val="left"/>
      <w:pPr>
        <w:ind w:left="780" w:hanging="660"/>
      </w:pPr>
      <w:rPr/>
    </w:lvl>
    <w:lvl w:ilvl="2" w:tentative="0">
      <w:start w:val="1"/>
      <w:numFmt w:val="decimal"/>
      <w:lvlText w:val="%1.%2.%3"/>
      <w:lvlJc w:val="left"/>
      <w:pPr>
        <w:ind w:left="960" w:hanging="720"/>
      </w:pPr>
      <w:rPr/>
    </w:lvl>
    <w:lvl w:ilvl="3" w:tentative="0">
      <w:start w:val="3"/>
      <w:numFmt w:val="decimal"/>
      <w:lvlText w:val="%1.%2.%3.%4"/>
      <w:lvlJc w:val="left"/>
      <w:pPr>
        <w:ind w:left="1080" w:hanging="720"/>
      </w:pPr>
      <w:rPr/>
    </w:lvl>
    <w:lvl w:ilvl="4" w:tentative="0">
      <w:start w:val="1"/>
      <w:numFmt w:val="decimal"/>
      <w:lvlText w:val="%1.%2.%3.%4.%5"/>
      <w:lvlJc w:val="left"/>
      <w:pPr>
        <w:ind w:left="1560" w:hanging="1080"/>
      </w:pPr>
      <w:rPr/>
    </w:lvl>
    <w:lvl w:ilvl="5" w:tentative="0">
      <w:start w:val="1"/>
      <w:numFmt w:val="decimal"/>
      <w:lvlText w:val="%1.%2.%3.%4.%5.%6"/>
      <w:lvlJc w:val="left"/>
      <w:pPr>
        <w:ind w:left="1680" w:hanging="1080"/>
      </w:pPr>
      <w:rPr/>
    </w:lvl>
    <w:lvl w:ilvl="6" w:tentative="0">
      <w:start w:val="1"/>
      <w:numFmt w:val="decimal"/>
      <w:lvlText w:val="%1.%2.%3.%4.%5.%6.%7"/>
      <w:lvlJc w:val="left"/>
      <w:pPr>
        <w:ind w:left="2160" w:hanging="1440"/>
      </w:pPr>
      <w:rPr/>
    </w:lvl>
    <w:lvl w:ilvl="7" w:tentative="0">
      <w:start w:val="1"/>
      <w:numFmt w:val="decimal"/>
      <w:lvlText w:val="%1.%2.%3.%4.%5.%6.%7.%8"/>
      <w:lvlJc w:val="left"/>
      <w:pPr>
        <w:ind w:left="2280" w:hanging="1440"/>
      </w:pPr>
      <w:rPr/>
    </w:lvl>
    <w:lvl w:ilvl="8" w:tentative="0">
      <w:start w:val="1"/>
      <w:numFmt w:val="decimal"/>
      <w:lvlText w:val="%1.%2.%3.%4.%5.%6.%7.%8.%9"/>
      <w:lvlJc w:val="left"/>
      <w:pPr>
        <w:ind w:left="2760" w:hanging="1800"/>
      </w:pPr>
      <w:rPr/>
    </w:lvl>
  </w:abstractNum>
  <w:abstractNum w:abstractNumId="3">
    <w:lvl w:ilvl="0" w:tentative="0">
      <w:start w:val="1"/>
      <w:numFmt w:val="decimal"/>
      <w:lvlText w:val="%1."/>
      <w:lvlJc w:val="left"/>
      <w:pPr>
        <w:ind w:left="840" w:hanging="360"/>
      </w:pPr>
      <w:rPr/>
    </w:lvl>
    <w:lvl w:ilvl="1" w:tentative="0">
      <w:start w:val="1"/>
      <w:numFmt w:val="decimal"/>
      <w:lvlText w:val="%2、"/>
      <w:lvlJc w:val="left"/>
      <w:pPr>
        <w:ind w:left="1440" w:hanging="480"/>
      </w:pPr>
      <w:rPr/>
    </w:lvl>
    <w:lvl w:ilvl="2" w:tentative="0">
      <w:start w:val="1"/>
      <w:numFmt w:val="lowerRoman"/>
      <w:lvlText w:val="%3."/>
      <w:lvlJc w:val="right"/>
      <w:pPr>
        <w:ind w:left="1920" w:hanging="480"/>
      </w:pPr>
      <w:rPr/>
    </w:lvl>
    <w:lvl w:ilvl="3" w:tentative="0">
      <w:start w:val="1"/>
      <w:numFmt w:val="decimal"/>
      <w:lvlText w:val="%4."/>
      <w:lvlJc w:val="left"/>
      <w:pPr>
        <w:ind w:left="2400" w:hanging="480"/>
      </w:pPr>
      <w:rPr/>
    </w:lvl>
    <w:lvl w:ilvl="4" w:tentative="0">
      <w:start w:val="1"/>
      <w:numFmt w:val="decimal"/>
      <w:lvlText w:val="%5、"/>
      <w:lvlJc w:val="left"/>
      <w:pPr>
        <w:ind w:left="2880" w:hanging="480"/>
      </w:pPr>
      <w:rPr/>
    </w:lvl>
    <w:lvl w:ilvl="5" w:tentative="0">
      <w:start w:val="1"/>
      <w:numFmt w:val="lowerRoman"/>
      <w:lvlText w:val="%6."/>
      <w:lvlJc w:val="right"/>
      <w:pPr>
        <w:ind w:left="3360" w:hanging="480"/>
      </w:pPr>
      <w:rPr/>
    </w:lvl>
    <w:lvl w:ilvl="6" w:tentative="0">
      <w:start w:val="1"/>
      <w:numFmt w:val="decimal"/>
      <w:lvlText w:val="%7."/>
      <w:lvlJc w:val="left"/>
      <w:pPr>
        <w:ind w:left="3840" w:hanging="480"/>
      </w:pPr>
      <w:rPr/>
    </w:lvl>
    <w:lvl w:ilvl="7" w:tentative="0">
      <w:start w:val="1"/>
      <w:numFmt w:val="decimal"/>
      <w:lvlText w:val="%8、"/>
      <w:lvlJc w:val="left"/>
      <w:pPr>
        <w:ind w:left="4320" w:hanging="480"/>
      </w:pPr>
      <w:rPr/>
    </w:lvl>
    <w:lvl w:ilvl="8" w:tentative="0">
      <w:start w:val="1"/>
      <w:numFmt w:val="lowerRoman"/>
      <w:lvlText w:val="%9."/>
      <w:lvlJc w:val="right"/>
      <w:pPr>
        <w:ind w:left="4800" w:hanging="480"/>
      </w:pPr>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Calibri" w:cs="Calibri" w:eastAsia="Calibri" w:hAnsi="Calibri"/>
        <w:sz w:val="24"/>
        <w:szCs w:val="24"/>
        <w:lang w:val="en-US"/>
      </w:rPr>
    </w:rPrDefault>
    <w:pPrDefault>
      <w:pPr>
        <w:widowControl w:val="off"/>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styleId="DefaultParagraphFont">
    <w:name w:val="Default Paragraph Font"/>
    <w:uiPriority w:val="1"/>
    <w:semiHidden w:val="on"/>
    <w:unhideWhenUsed w:val="on"/>
  </w:style>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style>
  <w:style w:type="table" w:default="1" w:styleId="TableNormal">
    <w:name w:val="Table Normal"/>
    <w:uiPriority w:val="99"/>
  </w:style>
  <w:style w:type="paragraph" w:styleId="Heading1">
    <w:name w:val="Heading 1"/>
    <w:basedOn w:val="Normal"/>
    <w:next w:val="Normal"/>
    <w:uiPriority w:val="99"/>
    <w:pPr>
      <w:keepNext w:val="on"/>
      <w:keepLines w:val="on"/>
      <w:spacing w:before="480" w:after="120"/>
    </w:pPr>
    <w:rPr>
      <w:b/>
      <w:sz w:val="48"/>
      <w:szCs w:val="48"/>
    </w:rPr>
  </w:style>
  <w:style w:type="paragraph" w:styleId="Heading2">
    <w:name w:val="Heading 2"/>
    <w:basedOn w:val="Normal"/>
    <w:next w:val="Normal"/>
    <w:uiPriority w:val="99"/>
    <w:pPr>
      <w:keepNext w:val="on"/>
      <w:keepLines w:val="on"/>
      <w:spacing w:before="360" w:after="80"/>
    </w:pPr>
    <w:rPr>
      <w:b/>
      <w:sz w:val="36"/>
      <w:szCs w:val="36"/>
    </w:rPr>
  </w:style>
  <w:style w:type="paragraph" w:styleId="Heading3">
    <w:name w:val="Heading 3"/>
    <w:basedOn w:val="Normal"/>
    <w:next w:val="Normal"/>
    <w:uiPriority w:val="99"/>
    <w:pPr>
      <w:keepNext w:val="on"/>
      <w:keepLines w:val="on"/>
      <w:spacing w:before="280" w:after="80"/>
    </w:pPr>
    <w:rPr>
      <w:b/>
      <w:sz w:val="28"/>
      <w:szCs w:val="28"/>
    </w:rPr>
  </w:style>
  <w:style w:type="paragraph" w:styleId="Heading4">
    <w:name w:val="Heading 4"/>
    <w:basedOn w:val="Normal"/>
    <w:next w:val="Normal"/>
    <w:uiPriority w:val="99"/>
    <w:pPr>
      <w:keepNext w:val="on"/>
      <w:keepLines w:val="on"/>
      <w:spacing w:before="240" w:after="40"/>
    </w:pPr>
    <w:rPr>
      <w:b/>
    </w:rPr>
  </w:style>
  <w:style w:type="paragraph" w:styleId="Heading5">
    <w:name w:val="Heading 5"/>
    <w:basedOn w:val="Normal"/>
    <w:next w:val="Normal"/>
    <w:uiPriority w:val="99"/>
    <w:pPr>
      <w:keepNext w:val="on"/>
      <w:keepLines w:val="on"/>
      <w:spacing w:before="220" w:after="40"/>
    </w:pPr>
    <w:rPr>
      <w:b/>
      <w:sz w:val="22"/>
      <w:szCs w:val="22"/>
    </w:rPr>
  </w:style>
  <w:style w:type="paragraph" w:styleId="Heading6">
    <w:name w:val="Heading 6"/>
    <w:basedOn w:val="Normal"/>
    <w:next w:val="Normal"/>
    <w:uiPriority w:val="99"/>
    <w:pPr>
      <w:keepNext w:val="on"/>
      <w:keepLines w:val="on"/>
      <w:spacing w:before="200" w:after="40"/>
    </w:pPr>
    <w:rPr>
      <w:b/>
      <w:sz w:val="20"/>
      <w:szCs w:val="20"/>
    </w:rPr>
  </w:style>
  <w:style w:type="paragraph" w:styleId="Title">
    <w:name w:val="Title"/>
    <w:basedOn w:val="Normal"/>
    <w:next w:val="Normal"/>
    <w:uiPriority w:val="99"/>
    <w:pPr>
      <w:keepNext w:val="on"/>
      <w:keepLines w:val="on"/>
      <w:spacing w:before="480" w:after="120"/>
    </w:pPr>
    <w:rPr>
      <w:b/>
      <w:sz w:val="72"/>
      <w:szCs w:val="72"/>
    </w:rPr>
  </w:style>
  <w:style w:type="paragraph" w:styleId="Subtitle">
    <w:name w:val="Subtitle"/>
    <w:basedOn w:val="Normal"/>
    <w:next w:val="Normal"/>
    <w:uiPriority w:val="99"/>
    <w:pPr>
      <w:keepNext w:val="on"/>
      <w:keepLines w:val="on"/>
      <w:spacing w:before="360" w:after="80"/>
    </w:pPr>
    <w:rPr>
      <w:rFonts w:ascii="Georgia" w:cs="Georgia" w:eastAsia="Georgia" w:hAnsi="Georgia"/>
      <w:i/>
      <w:color w:val="666666"/>
      <w:sz w:val="48"/>
      <w:szCs w:val="48"/>
    </w:rPr>
  </w:style>
  <w:style w:type="table" w:styleId="Table1">
    <w:name w:val="Table1"/>
    <w:basedOn w:val="TableNormal"/>
    <w:uiPriority w:val="99"/>
    <w:tblPr>
      <w:tblStyleRowBandSize w:val="1"/>
      <w:tblStyleColBandSize w:val="1"/>
      <w:tblCellMar>
        <w:top w:w="0" w:type="dxa"/>
        <w:left w:w="108" w:type="dxa"/>
        <w:bottom w:w="0" w:type="dxa"/>
        <w:right w:w="108" w:type="dxa"/>
      </w:tblCellMar>
    </w:tblPr>
  </w:style>
  <w:style w:type="table" w:styleId="Table2">
    <w:name w:val="Table2"/>
    <w:basedOn w:val="TableNormal"/>
    <w:uiPriority w:val="99"/>
    <w:tblPr>
      <w:tblStyleRowBandSize w:val="1"/>
      <w:tblStyleColBandSize w:val="1"/>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image" Target="media/image15.png"/><Relationship Id="rId29" Type="http://schemas.openxmlformats.org/officeDocument/2006/relationships/image" Target="media/image16.png"/><Relationship Id="rId3" Type="http://schemas.openxmlformats.org/officeDocument/2006/relationships/fontTable" Target="fontTable.xml"/><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footer" Target="footer2.xml"/><Relationship Id="rId39" Type="http://schemas.openxmlformats.org/officeDocument/2006/relationships/footer" Target="footer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10" Type="http://schemas.openxmlformats.org/officeDocument/2006/relationships/image" Target="media/image2.png"/><Relationship Id="rId11" Type="http://schemas.openxmlformats.org/officeDocument/2006/relationships/chart" Target="charts/chart2.xml"/><Relationship Id="rId12" Type="http://schemas.openxmlformats.org/officeDocument/2006/relationships/chart" Target="charts/chart1.xml"/><Relationship Id="rId13" Type="http://schemas.openxmlformats.org/officeDocument/2006/relationships/image" Target="media/image12.png"/><Relationship Id="rId14" Type="http://schemas.openxmlformats.org/officeDocument/2006/relationships/image" Target="media/image4.png"/><Relationship Id="rId15" Type="http://schemas.openxmlformats.org/officeDocument/2006/relationships/image" Target="media/image6.png"/><Relationship Id="rId16" Type="http://schemas.openxmlformats.org/officeDocument/2006/relationships/image" Target="media/image5.png"/><Relationship Id="rId17" Type="http://schemas.openxmlformats.org/officeDocument/2006/relationships/image" Target="media/image9.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10.png"/><Relationship Id="rId21" Type="http://schemas.openxmlformats.org/officeDocument/2006/relationships/image" Target="media/image11.png"/></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er3.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27963;&#38913;&#31807;1"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https://d.docs.live.net/4353fe1ea3d7b558/&#25991;&#20214;/&#27963;&#38913;&#31807;1.xlsx" TargetMode="Externa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a:t>Figure 1.2</a:t>
            </a:r>
          </a:p>
          <a:p>
            <a:pPr>
              <a:defRPr/>
            </a:pPr>
            <a:r>
              <a:rPr lang="en-US" altLang="zh-TW" sz="1400" b="0" i="0" u="none" strike="noStrike" kern="1200" spc="0" baseline="0">
                <a:solidFill>
                  <a:sysClr val="windowText" lastClr="000000">
                    <a:lumMod val="65000"/>
                    <a:lumOff val="35000"/>
                  </a:sysClr>
                </a:solidFill>
              </a:rPr>
              <a:t>Poplution </a:t>
            </a:r>
            <a:r>
              <a:rPr lang="en-US" altLang="zh-TW"/>
              <a:t>Projections</a:t>
            </a:r>
            <a:r>
              <a:rPr lang="en-US" altLang="zh-TW" baseline="0"/>
              <a:t> of </a:t>
            </a:r>
            <a:r>
              <a:rPr lang="en-US" altLang="zh-TW"/>
              <a:t>Female </a:t>
            </a:r>
            <a:r>
              <a:rPr lang="en-US" altLang="zh-TW" baseline="0"/>
              <a:t>among aged 25-64 in 2023 to 2037 in Hong Kong</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lineChart>
        <c:grouping val="standard"/>
        <c:varyColors val="0"/>
        <c:ser>
          <c:idx val="0"/>
          <c:order val="0"/>
          <c:tx>
            <c:strRef>
              <c:f>工作表1!$A$4</c:f>
              <c:strCache>
                <c:ptCount val="1"/>
                <c:pt idx="0">
                  <c:v>25 - 29</c:v>
                </c:pt>
              </c:strCache>
            </c:strRef>
          </c:tx>
          <c:spPr>
            <a:ln w="28575" cap="rnd">
              <a:solidFill>
                <a:schemeClr val="accent1"/>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工作表1!$B$4:$P$4</c:f>
              <c:numCache>
                <c:formatCode>General</c:formatCode>
                <c:ptCount val="15"/>
                <c:pt idx="0">
                  <c:v>6.2</c:v>
                </c:pt>
                <c:pt idx="1">
                  <c:v>5.9</c:v>
                </c:pt>
                <c:pt idx="2">
                  <c:v>5.6</c:v>
                </c:pt>
                <c:pt idx="3">
                  <c:v>5.3</c:v>
                </c:pt>
                <c:pt idx="4">
                  <c:v>5</c:v>
                </c:pt>
                <c:pt idx="5">
                  <c:v>4.9000000000000004</c:v>
                </c:pt>
                <c:pt idx="6">
                  <c:v>4.8</c:v>
                </c:pt>
                <c:pt idx="7">
                  <c:v>4.7</c:v>
                </c:pt>
                <c:pt idx="8">
                  <c:v>4.8</c:v>
                </c:pt>
                <c:pt idx="9">
                  <c:v>5.0999999999999996</c:v>
                </c:pt>
                <c:pt idx="10">
                  <c:v>5.4</c:v>
                </c:pt>
                <c:pt idx="11">
                  <c:v>5.7</c:v>
                </c:pt>
                <c:pt idx="12">
                  <c:v>6</c:v>
                </c:pt>
                <c:pt idx="13">
                  <c:v>6.4</c:v>
                </c:pt>
                <c:pt idx="14">
                  <c:v>6.6</c:v>
                </c:pt>
              </c:numCache>
              <c:extLst/>
            </c:numRef>
          </c:val>
          <c:smooth val="0"/>
          <c:extLst>
            <c:ext xmlns:c16="http://schemas.microsoft.com/office/drawing/2014/chart" uri="{C3380CC4-5D6E-409C-BE32-E72D297353CC}">
              <c16:uniqueId val="{00000000-8013-41B9-ACA7-FF09EFF59549}"/>
            </c:ext>
          </c:extLst>
        </c:ser>
        <c:ser>
          <c:idx val="1"/>
          <c:order val="1"/>
          <c:tx>
            <c:strRef>
              <c:f>工作表1!$A$5</c:f>
              <c:strCache>
                <c:ptCount val="1"/>
                <c:pt idx="0">
                  <c:v>30 - 34</c:v>
                </c:pt>
              </c:strCache>
            </c:strRef>
          </c:tx>
          <c:spPr>
            <a:ln w="28575" cap="rnd">
              <a:solidFill>
                <a:schemeClr val="accent2"/>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工作表1!$B$5:$P$5</c:f>
              <c:numCache>
                <c:formatCode>General</c:formatCode>
                <c:ptCount val="15"/>
                <c:pt idx="0">
                  <c:v>7.3</c:v>
                </c:pt>
                <c:pt idx="1">
                  <c:v>7.2</c:v>
                </c:pt>
                <c:pt idx="2">
                  <c:v>7.2</c:v>
                </c:pt>
                <c:pt idx="3">
                  <c:v>7.1</c:v>
                </c:pt>
                <c:pt idx="4">
                  <c:v>7.1</c:v>
                </c:pt>
                <c:pt idx="5">
                  <c:v>6.9</c:v>
                </c:pt>
                <c:pt idx="6">
                  <c:v>6.7</c:v>
                </c:pt>
                <c:pt idx="7">
                  <c:v>6.4</c:v>
                </c:pt>
                <c:pt idx="8">
                  <c:v>6.1</c:v>
                </c:pt>
                <c:pt idx="9">
                  <c:v>5.8</c:v>
                </c:pt>
                <c:pt idx="10">
                  <c:v>5.7</c:v>
                </c:pt>
                <c:pt idx="11">
                  <c:v>5.7</c:v>
                </c:pt>
                <c:pt idx="12">
                  <c:v>5.7</c:v>
                </c:pt>
                <c:pt idx="13">
                  <c:v>5.8</c:v>
                </c:pt>
                <c:pt idx="14">
                  <c:v>6.1</c:v>
                </c:pt>
              </c:numCache>
              <c:extLst/>
            </c:numRef>
          </c:val>
          <c:smooth val="0"/>
          <c:extLst>
            <c:ext xmlns:c16="http://schemas.microsoft.com/office/drawing/2014/chart" uri="{C3380CC4-5D6E-409C-BE32-E72D297353CC}">
              <c16:uniqueId val="{00000001-8013-41B9-ACA7-FF09EFF59549}"/>
            </c:ext>
          </c:extLst>
        </c:ser>
        <c:ser>
          <c:idx val="2"/>
          <c:order val="2"/>
          <c:tx>
            <c:strRef>
              <c:f>工作表1!$A$6</c:f>
              <c:strCache>
                <c:ptCount val="1"/>
                <c:pt idx="0">
                  <c:v>35 - 39</c:v>
                </c:pt>
              </c:strCache>
            </c:strRef>
          </c:tx>
          <c:spPr>
            <a:ln w="28575" cap="rnd">
              <a:solidFill>
                <a:schemeClr val="accent3"/>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工作表1!$B$6:$P$6</c:f>
              <c:numCache>
                <c:formatCode>General</c:formatCode>
                <c:ptCount val="15"/>
                <c:pt idx="0">
                  <c:v>7.9</c:v>
                </c:pt>
                <c:pt idx="1">
                  <c:v>7.9</c:v>
                </c:pt>
                <c:pt idx="2">
                  <c:v>7.9</c:v>
                </c:pt>
                <c:pt idx="3">
                  <c:v>7.9</c:v>
                </c:pt>
                <c:pt idx="4">
                  <c:v>7.9</c:v>
                </c:pt>
                <c:pt idx="5">
                  <c:v>7.9</c:v>
                </c:pt>
                <c:pt idx="6">
                  <c:v>7.8</c:v>
                </c:pt>
                <c:pt idx="7">
                  <c:v>7.8</c:v>
                </c:pt>
                <c:pt idx="8">
                  <c:v>7.8</c:v>
                </c:pt>
                <c:pt idx="9">
                  <c:v>7.8</c:v>
                </c:pt>
                <c:pt idx="10">
                  <c:v>7.6</c:v>
                </c:pt>
                <c:pt idx="11">
                  <c:v>7.4</c:v>
                </c:pt>
                <c:pt idx="12">
                  <c:v>7.1</c:v>
                </c:pt>
                <c:pt idx="13">
                  <c:v>6.9</c:v>
                </c:pt>
                <c:pt idx="14">
                  <c:v>6.6</c:v>
                </c:pt>
              </c:numCache>
              <c:extLst/>
            </c:numRef>
          </c:val>
          <c:smooth val="0"/>
          <c:extLst>
            <c:ext xmlns:c16="http://schemas.microsoft.com/office/drawing/2014/chart" uri="{C3380CC4-5D6E-409C-BE32-E72D297353CC}">
              <c16:uniqueId val="{00000002-8013-41B9-ACA7-FF09EFF59549}"/>
            </c:ext>
          </c:extLst>
        </c:ser>
        <c:ser>
          <c:idx val="3"/>
          <c:order val="3"/>
          <c:tx>
            <c:strRef>
              <c:f>工作表1!$A$7</c:f>
              <c:strCache>
                <c:ptCount val="1"/>
                <c:pt idx="0">
                  <c:v>40 - 44</c:v>
                </c:pt>
              </c:strCache>
            </c:strRef>
          </c:tx>
          <c:spPr>
            <a:ln w="28575" cap="rnd">
              <a:solidFill>
                <a:schemeClr val="accent4"/>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工作表1!$B$7:$P$7</c:f>
              <c:numCache>
                <c:formatCode>General</c:formatCode>
                <c:ptCount val="15"/>
                <c:pt idx="0">
                  <c:v>7.9</c:v>
                </c:pt>
                <c:pt idx="1">
                  <c:v>7.9</c:v>
                </c:pt>
                <c:pt idx="2">
                  <c:v>7.9</c:v>
                </c:pt>
                <c:pt idx="3">
                  <c:v>7.8</c:v>
                </c:pt>
                <c:pt idx="4">
                  <c:v>7.7</c:v>
                </c:pt>
                <c:pt idx="5">
                  <c:v>7.6</c:v>
                </c:pt>
                <c:pt idx="6">
                  <c:v>7.7</c:v>
                </c:pt>
                <c:pt idx="7">
                  <c:v>7.7</c:v>
                </c:pt>
                <c:pt idx="8">
                  <c:v>7.7</c:v>
                </c:pt>
                <c:pt idx="9">
                  <c:v>7.7</c:v>
                </c:pt>
                <c:pt idx="10">
                  <c:v>7.7</c:v>
                </c:pt>
                <c:pt idx="11">
                  <c:v>7.6</c:v>
                </c:pt>
                <c:pt idx="12">
                  <c:v>7.6</c:v>
                </c:pt>
                <c:pt idx="13">
                  <c:v>7.6</c:v>
                </c:pt>
                <c:pt idx="14">
                  <c:v>7.6</c:v>
                </c:pt>
              </c:numCache>
              <c:extLst/>
            </c:numRef>
          </c:val>
          <c:smooth val="0"/>
          <c:extLst>
            <c:ext xmlns:c16="http://schemas.microsoft.com/office/drawing/2014/chart" uri="{C3380CC4-5D6E-409C-BE32-E72D297353CC}">
              <c16:uniqueId val="{00000003-8013-41B9-ACA7-FF09EFF59549}"/>
            </c:ext>
          </c:extLst>
        </c:ser>
        <c:ser>
          <c:idx val="4"/>
          <c:order val="4"/>
          <c:tx>
            <c:strRef>
              <c:f>工作表1!$A$8</c:f>
              <c:strCache>
                <c:ptCount val="1"/>
                <c:pt idx="0">
                  <c:v>45 - 49</c:v>
                </c:pt>
              </c:strCache>
            </c:strRef>
          </c:tx>
          <c:spPr>
            <a:ln w="28575" cap="rnd">
              <a:solidFill>
                <a:schemeClr val="accent5"/>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工作表1!$B$8:$P$8</c:f>
              <c:numCache>
                <c:formatCode>General</c:formatCode>
                <c:ptCount val="15"/>
                <c:pt idx="0">
                  <c:v>7.3</c:v>
                </c:pt>
                <c:pt idx="1">
                  <c:v>7.1</c:v>
                </c:pt>
                <c:pt idx="2">
                  <c:v>7.1</c:v>
                </c:pt>
                <c:pt idx="3">
                  <c:v>7.2</c:v>
                </c:pt>
                <c:pt idx="4">
                  <c:v>7.3</c:v>
                </c:pt>
                <c:pt idx="5">
                  <c:v>7.4</c:v>
                </c:pt>
                <c:pt idx="6">
                  <c:v>7.4</c:v>
                </c:pt>
                <c:pt idx="7">
                  <c:v>7.4</c:v>
                </c:pt>
                <c:pt idx="8">
                  <c:v>7.3</c:v>
                </c:pt>
                <c:pt idx="9">
                  <c:v>7.2</c:v>
                </c:pt>
                <c:pt idx="10">
                  <c:v>7.1</c:v>
                </c:pt>
                <c:pt idx="11">
                  <c:v>7.2</c:v>
                </c:pt>
                <c:pt idx="12">
                  <c:v>7.2</c:v>
                </c:pt>
                <c:pt idx="13">
                  <c:v>7.3</c:v>
                </c:pt>
                <c:pt idx="14">
                  <c:v>7.3</c:v>
                </c:pt>
              </c:numCache>
              <c:extLst/>
            </c:numRef>
          </c:val>
          <c:smooth val="0"/>
          <c:extLst>
            <c:ext xmlns:c16="http://schemas.microsoft.com/office/drawing/2014/chart" uri="{C3380CC4-5D6E-409C-BE32-E72D297353CC}">
              <c16:uniqueId val="{00000004-8013-41B9-ACA7-FF09EFF59549}"/>
            </c:ext>
          </c:extLst>
        </c:ser>
        <c:ser>
          <c:idx val="5"/>
          <c:order val="5"/>
          <c:tx>
            <c:strRef>
              <c:f>工作表1!$A$9</c:f>
              <c:strCache>
                <c:ptCount val="1"/>
                <c:pt idx="0">
                  <c:v>50 - 54</c:v>
                </c:pt>
              </c:strCache>
            </c:strRef>
          </c:tx>
          <c:spPr>
            <a:ln w="28575" cap="rnd">
              <a:solidFill>
                <a:schemeClr val="accent6"/>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工作表1!$B$9:$P$9</c:f>
              <c:numCache>
                <c:formatCode>General</c:formatCode>
                <c:ptCount val="15"/>
                <c:pt idx="0">
                  <c:v>7.3</c:v>
                </c:pt>
                <c:pt idx="1">
                  <c:v>7.3</c:v>
                </c:pt>
                <c:pt idx="2">
                  <c:v>7.1</c:v>
                </c:pt>
                <c:pt idx="3">
                  <c:v>7</c:v>
                </c:pt>
                <c:pt idx="4">
                  <c:v>6.9</c:v>
                </c:pt>
                <c:pt idx="5">
                  <c:v>6.7</c:v>
                </c:pt>
                <c:pt idx="6">
                  <c:v>6.6</c:v>
                </c:pt>
                <c:pt idx="7">
                  <c:v>6.6</c:v>
                </c:pt>
                <c:pt idx="8">
                  <c:v>6.7</c:v>
                </c:pt>
                <c:pt idx="9">
                  <c:v>6.7</c:v>
                </c:pt>
                <c:pt idx="10">
                  <c:v>6.8</c:v>
                </c:pt>
                <c:pt idx="11">
                  <c:v>6.9</c:v>
                </c:pt>
                <c:pt idx="12">
                  <c:v>6.8</c:v>
                </c:pt>
                <c:pt idx="13">
                  <c:v>6.8</c:v>
                </c:pt>
                <c:pt idx="14">
                  <c:v>6.7</c:v>
                </c:pt>
              </c:numCache>
              <c:extLst/>
            </c:numRef>
          </c:val>
          <c:smooth val="0"/>
          <c:extLst>
            <c:ext xmlns:c16="http://schemas.microsoft.com/office/drawing/2014/chart" uri="{C3380CC4-5D6E-409C-BE32-E72D297353CC}">
              <c16:uniqueId val="{00000005-8013-41B9-ACA7-FF09EFF59549}"/>
            </c:ext>
          </c:extLst>
        </c:ser>
        <c:ser>
          <c:idx val="6"/>
          <c:order val="6"/>
          <c:tx>
            <c:strRef>
              <c:f>工作表1!$A$10</c:f>
              <c:strCache>
                <c:ptCount val="1"/>
                <c:pt idx="0">
                  <c:v>55 - 59</c:v>
                </c:pt>
              </c:strCache>
            </c:strRef>
          </c:tx>
          <c:spPr>
            <a:ln w="28575" cap="rnd">
              <a:solidFill>
                <a:schemeClr val="accent1">
                  <a:lumMod val="60000"/>
                </a:schemeClr>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工作表1!$B$10:$P$10</c:f>
              <c:numCache>
                <c:formatCode>General</c:formatCode>
                <c:ptCount val="15"/>
                <c:pt idx="0">
                  <c:v>7.6</c:v>
                </c:pt>
                <c:pt idx="1">
                  <c:v>7.3</c:v>
                </c:pt>
                <c:pt idx="2">
                  <c:v>7.1</c:v>
                </c:pt>
                <c:pt idx="3">
                  <c:v>7</c:v>
                </c:pt>
                <c:pt idx="4">
                  <c:v>7</c:v>
                </c:pt>
                <c:pt idx="5">
                  <c:v>7</c:v>
                </c:pt>
                <c:pt idx="6">
                  <c:v>7</c:v>
                </c:pt>
                <c:pt idx="7">
                  <c:v>6.9</c:v>
                </c:pt>
                <c:pt idx="8">
                  <c:v>6.7</c:v>
                </c:pt>
                <c:pt idx="9">
                  <c:v>6.6</c:v>
                </c:pt>
                <c:pt idx="10">
                  <c:v>6.4</c:v>
                </c:pt>
                <c:pt idx="11">
                  <c:v>6.3</c:v>
                </c:pt>
                <c:pt idx="12">
                  <c:v>6.3</c:v>
                </c:pt>
                <c:pt idx="13">
                  <c:v>6.4</c:v>
                </c:pt>
                <c:pt idx="14">
                  <c:v>6.5</c:v>
                </c:pt>
              </c:numCache>
              <c:extLst/>
            </c:numRef>
          </c:val>
          <c:smooth val="0"/>
          <c:extLst>
            <c:ext xmlns:c16="http://schemas.microsoft.com/office/drawing/2014/chart" uri="{C3380CC4-5D6E-409C-BE32-E72D297353CC}">
              <c16:uniqueId val="{00000006-8013-41B9-ACA7-FF09EFF59549}"/>
            </c:ext>
          </c:extLst>
        </c:ser>
        <c:ser>
          <c:idx val="7"/>
          <c:order val="7"/>
          <c:tx>
            <c:strRef>
              <c:f>工作表1!$A$11</c:f>
              <c:strCache>
                <c:ptCount val="1"/>
                <c:pt idx="0">
                  <c:v>60 - 64</c:v>
                </c:pt>
              </c:strCache>
            </c:strRef>
          </c:tx>
          <c:spPr>
            <a:ln w="28575" cap="rnd">
              <a:solidFill>
                <a:schemeClr val="accent2">
                  <a:lumMod val="60000"/>
                </a:schemeClr>
              </a:solidFill>
              <a:round/>
            </a:ln>
            <a:effectLst/>
          </c:spPr>
          <c:marker>
            <c:symbol val="none"/>
          </c:marker>
          <c:cat>
            <c:numRef>
              <c:f>工作表1!$B$3:$P$3</c:f>
              <c:numCache>
                <c:formatCode>General</c:formatCode>
                <c:ptCount val="15"/>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numCache>
              <c:extLst/>
            </c:numRef>
          </c:cat>
          <c:val>
            <c:numRef>
              <c:f>工作表1!$B$11:$P$11</c:f>
              <c:numCache>
                <c:formatCode>General</c:formatCode>
                <c:ptCount val="15"/>
                <c:pt idx="0">
                  <c:v>8.1999999999999993</c:v>
                </c:pt>
                <c:pt idx="1">
                  <c:v>8.1999999999999993</c:v>
                </c:pt>
                <c:pt idx="2">
                  <c:v>8.1</c:v>
                </c:pt>
                <c:pt idx="3">
                  <c:v>7.9</c:v>
                </c:pt>
                <c:pt idx="4">
                  <c:v>7.6</c:v>
                </c:pt>
                <c:pt idx="5">
                  <c:v>7.2</c:v>
                </c:pt>
                <c:pt idx="6">
                  <c:v>6.9</c:v>
                </c:pt>
                <c:pt idx="7">
                  <c:v>6.7</c:v>
                </c:pt>
                <c:pt idx="8">
                  <c:v>6.7</c:v>
                </c:pt>
                <c:pt idx="9">
                  <c:v>6.6</c:v>
                </c:pt>
                <c:pt idx="10">
                  <c:v>6.7</c:v>
                </c:pt>
                <c:pt idx="11">
                  <c:v>6.6</c:v>
                </c:pt>
                <c:pt idx="12">
                  <c:v>6.5</c:v>
                </c:pt>
                <c:pt idx="13">
                  <c:v>6.4</c:v>
                </c:pt>
                <c:pt idx="14">
                  <c:v>6.3</c:v>
                </c:pt>
              </c:numCache>
              <c:extLst/>
            </c:numRef>
          </c:val>
          <c:smooth val="0"/>
          <c:extLst>
            <c:ext xmlns:c16="http://schemas.microsoft.com/office/drawing/2014/chart" uri="{C3380CC4-5D6E-409C-BE32-E72D297353CC}">
              <c16:uniqueId val="{00000007-8013-41B9-ACA7-FF09EFF59549}"/>
            </c:ext>
          </c:extLst>
        </c:ser>
        <c:dLbls>
          <c:showLegendKey val="0"/>
          <c:showVal val="0"/>
          <c:showCatName val="0"/>
          <c:showSerName val="0"/>
          <c:showPercent val="0"/>
          <c:showBubbleSize val="0"/>
        </c:dLbls>
        <c:smooth val="0"/>
        <c:axId val="414282991"/>
        <c:axId val="414273871"/>
      </c:lineChart>
      <c:catAx>
        <c:axId val="4142829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414273871"/>
        <c:crosses val="autoZero"/>
        <c:auto val="1"/>
        <c:lblAlgn val="ctr"/>
        <c:lblOffset val="100"/>
        <c:noMultiLvlLbl val="0"/>
      </c:catAx>
      <c:valAx>
        <c:axId val="414273871"/>
        <c:scaling>
          <c:orientation val="minMax"/>
          <c:max val="8.5"/>
          <c:min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in"/>
        <c:minorTickMark val="out"/>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414282991"/>
        <c:crosses val="autoZero"/>
        <c:crossBetween val="between"/>
        <c:majorUnit val="2"/>
        <c:min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spc="0" normalizeH="0" baseline="0">
                <a:solidFill>
                  <a:schemeClr val="tx1">
                    <a:lumMod val="65000"/>
                    <a:lumOff val="35000"/>
                  </a:schemeClr>
                </a:solidFill>
                <a:latin typeface="+mj-lt"/>
                <a:ea typeface="+mj-ea"/>
                <a:cs typeface="+mj-cs"/>
              </a:defRPr>
            </a:pPr>
            <a:r>
              <a:rPr lang="en-US" altLang="zh-TW" sz="1400" b="1"/>
              <a:t>Figure</a:t>
            </a:r>
            <a:r>
              <a:rPr lang="en-US" altLang="zh-TW" sz="1400" b="1" baseline="0"/>
              <a:t> 1.1 </a:t>
            </a:r>
          </a:p>
          <a:p>
            <a:pPr>
              <a:defRPr sz="1400" b="1"/>
            </a:pPr>
            <a:r>
              <a:rPr lang="en-US" altLang="zh-TW" sz="1400" b="1"/>
              <a:t>The</a:t>
            </a:r>
            <a:r>
              <a:rPr lang="en-US" altLang="zh-TW" sz="1400" b="1" baseline="0"/>
              <a:t> sales of the products and Fixed Price Jewelry</a:t>
            </a:r>
            <a:endParaRPr lang="zh-TW" altLang="en-US" sz="1400" b="1"/>
          </a:p>
        </c:rich>
      </c:tx>
      <c:layout>
        <c:manualLayout>
          <c:xMode val="edge"/>
          <c:yMode val="edge"/>
          <c:x val="0.16949168109757845"/>
          <c:y val="1.3973156764495348E-2"/>
        </c:manualLayout>
      </c:layout>
      <c:overlay val="0"/>
      <c:spPr>
        <a:noFill/>
        <a:ln>
          <a:noFill/>
        </a:ln>
        <a:effectLst/>
      </c:spPr>
      <c:txPr>
        <a:bodyPr rot="0" spcFirstLastPara="1" vertOverflow="ellipsis" vert="horz" wrap="square" anchor="ctr" anchorCtr="1"/>
        <a:lstStyle/>
        <a:p>
          <a:pPr>
            <a:defRPr sz="1400" b="1" i="0" u="none" strike="noStrike" kern="1200" cap="none" spc="0" normalizeH="0" baseline="0">
              <a:solidFill>
                <a:schemeClr val="tx1">
                  <a:lumMod val="65000"/>
                  <a:lumOff val="35000"/>
                </a:schemeClr>
              </a:solidFill>
              <a:latin typeface="+mj-lt"/>
              <a:ea typeface="+mj-ea"/>
              <a:cs typeface="+mj-cs"/>
            </a:defRPr>
          </a:pPr>
          <a:endParaRPr lang="zh-HK"/>
        </a:p>
      </c:txPr>
    </c:title>
    <c:autoTitleDeleted val="0"/>
    <c:plotArea>
      <c:layout>
        <c:manualLayout>
          <c:layoutTarget val="inner"/>
          <c:xMode val="edge"/>
          <c:yMode val="edge"/>
          <c:x val="7.8025371828521428E-2"/>
          <c:y val="0.19083333333333333"/>
          <c:w val="0.86486351706036746"/>
          <c:h val="0.60975284339457569"/>
        </c:manualLayout>
      </c:layout>
      <c:lineChart>
        <c:grouping val="standard"/>
        <c:varyColors val="0"/>
        <c:ser>
          <c:idx val="0"/>
          <c:order val="0"/>
          <c:tx>
            <c:strRef>
              <c:f>工作表1!$C$3</c:f>
              <c:strCache>
                <c:ptCount val="1"/>
                <c:pt idx="0">
                  <c:v>Gold</c:v>
                </c:pt>
              </c:strCache>
            </c:strRef>
          </c:tx>
          <c:spPr>
            <a:ln w="38100" cap="rnd">
              <a:solidFill>
                <a:schemeClr val="accent6">
                  <a:lumMod val="75000"/>
                </a:schemeClr>
              </a:solidFill>
              <a:prstDash val="solid"/>
              <a:round/>
            </a:ln>
            <a:effectLst/>
          </c:spPr>
          <c:marker>
            <c:symbol val="none"/>
          </c:marker>
          <c:trendline>
            <c:spPr>
              <a:ln w="53975" cap="rnd">
                <a:solidFill>
                  <a:schemeClr val="accent6">
                    <a:lumMod val="75000"/>
                  </a:schemeClr>
                </a:solidFill>
                <a:prstDash val="sysDot"/>
                <a:round/>
              </a:ln>
              <a:effectLst/>
            </c:spPr>
            <c:trendlineType val="linear"/>
            <c:dispRSqr val="0"/>
            <c:dispEq val="0"/>
          </c:trendline>
          <c:cat>
            <c:numRef>
              <c:f>工作表1!$D$2:$I$2</c:f>
              <c:numCache>
                <c:formatCode>General</c:formatCode>
                <c:ptCount val="6"/>
                <c:pt idx="0">
                  <c:v>2018</c:v>
                </c:pt>
                <c:pt idx="1">
                  <c:v>2019</c:v>
                </c:pt>
                <c:pt idx="2">
                  <c:v>2020</c:v>
                </c:pt>
                <c:pt idx="3">
                  <c:v>2021</c:v>
                </c:pt>
                <c:pt idx="4">
                  <c:v>2022</c:v>
                </c:pt>
                <c:pt idx="5">
                  <c:v>2023</c:v>
                </c:pt>
              </c:numCache>
            </c:numRef>
          </c:cat>
          <c:val>
            <c:numRef>
              <c:f>工作表1!$D$3:$I$3</c:f>
              <c:numCache>
                <c:formatCode>General</c:formatCode>
                <c:ptCount val="6"/>
                <c:pt idx="0">
                  <c:v>7725</c:v>
                </c:pt>
                <c:pt idx="1">
                  <c:v>7798</c:v>
                </c:pt>
                <c:pt idx="2">
                  <c:v>5012</c:v>
                </c:pt>
                <c:pt idx="3">
                  <c:v>3720</c:v>
                </c:pt>
                <c:pt idx="4">
                  <c:v>5527</c:v>
                </c:pt>
                <c:pt idx="5">
                  <c:v>6887</c:v>
                </c:pt>
              </c:numCache>
            </c:numRef>
          </c:val>
          <c:smooth val="0"/>
          <c:extLst>
            <c:ext xmlns:c16="http://schemas.microsoft.com/office/drawing/2014/chart" uri="{C3380CC4-5D6E-409C-BE32-E72D297353CC}">
              <c16:uniqueId val="{00000001-D2BF-476D-AD8B-68A96D8E565B}"/>
            </c:ext>
          </c:extLst>
        </c:ser>
        <c:ser>
          <c:idx val="1"/>
          <c:order val="1"/>
          <c:tx>
            <c:strRef>
              <c:f>工作表1!$C$4</c:f>
              <c:strCache>
                <c:ptCount val="1"/>
                <c:pt idx="0">
                  <c:v>Fixed Price Jewelry</c:v>
                </c:pt>
              </c:strCache>
            </c:strRef>
          </c:tx>
          <c:spPr>
            <a:ln w="38100" cap="rnd" cmpd="sng">
              <a:solidFill>
                <a:srgbClr val="DEA3F9"/>
              </a:solidFill>
              <a:prstDash val="solid"/>
              <a:round/>
            </a:ln>
            <a:effectLst/>
          </c:spPr>
          <c:marker>
            <c:symbol val="none"/>
          </c:marker>
          <c:trendline>
            <c:spPr>
              <a:ln w="60325" cap="rnd">
                <a:solidFill>
                  <a:srgbClr val="DEA3F9"/>
                </a:solidFill>
                <a:prstDash val="sysDot"/>
                <a:round/>
              </a:ln>
              <a:effectLst/>
            </c:spPr>
            <c:trendlineType val="linear"/>
            <c:dispRSqr val="0"/>
            <c:dispEq val="0"/>
          </c:trendline>
          <c:cat>
            <c:numRef>
              <c:f>工作表1!$D$2:$I$2</c:f>
              <c:numCache>
                <c:formatCode>General</c:formatCode>
                <c:ptCount val="6"/>
                <c:pt idx="0">
                  <c:v>2018</c:v>
                </c:pt>
                <c:pt idx="1">
                  <c:v>2019</c:v>
                </c:pt>
                <c:pt idx="2">
                  <c:v>2020</c:v>
                </c:pt>
                <c:pt idx="3">
                  <c:v>2021</c:v>
                </c:pt>
                <c:pt idx="4">
                  <c:v>2022</c:v>
                </c:pt>
                <c:pt idx="5">
                  <c:v>2023</c:v>
                </c:pt>
              </c:numCache>
            </c:numRef>
          </c:cat>
          <c:val>
            <c:numRef>
              <c:f>工作表1!$D$4:$I$4</c:f>
              <c:numCache>
                <c:formatCode>General</c:formatCode>
                <c:ptCount val="6"/>
                <c:pt idx="0">
                  <c:v>6200</c:v>
                </c:pt>
                <c:pt idx="1">
                  <c:v>7255</c:v>
                </c:pt>
                <c:pt idx="2">
                  <c:v>5421</c:v>
                </c:pt>
                <c:pt idx="3">
                  <c:v>1081</c:v>
                </c:pt>
                <c:pt idx="4">
                  <c:v>4958</c:v>
                </c:pt>
                <c:pt idx="5">
                  <c:v>4038</c:v>
                </c:pt>
              </c:numCache>
            </c:numRef>
          </c:val>
          <c:smooth val="0"/>
          <c:extLst>
            <c:ext xmlns:c16="http://schemas.microsoft.com/office/drawing/2014/chart" uri="{C3380CC4-5D6E-409C-BE32-E72D297353CC}">
              <c16:uniqueId val="{00000003-D2BF-476D-AD8B-68A96D8E565B}"/>
            </c:ext>
          </c:extLst>
        </c:ser>
        <c:dLbls>
          <c:showLegendKey val="0"/>
          <c:showVal val="0"/>
          <c:showCatName val="0"/>
          <c:showSerName val="0"/>
          <c:showPercent val="0"/>
          <c:showBubbleSize val="0"/>
        </c:dLbls>
        <c:smooth val="0"/>
        <c:axId val="485517023"/>
        <c:axId val="485521823"/>
        <c:extLst/>
      </c:lineChart>
      <c:catAx>
        <c:axId val="485517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HK"/>
          </a:p>
        </c:txPr>
        <c:crossAx val="485521823"/>
        <c:crosses val="autoZero"/>
        <c:auto val="1"/>
        <c:lblAlgn val="ctr"/>
        <c:lblOffset val="100"/>
        <c:noMultiLvlLbl val="0"/>
      </c:catAx>
      <c:valAx>
        <c:axId val="48552182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485517023"/>
        <c:crosses val="autoZero"/>
        <c:crossBetween val="between"/>
      </c:valAx>
      <c:spPr>
        <a:noFill/>
        <a:ln>
          <a:noFill/>
        </a:ln>
        <a:effectLst/>
      </c:spPr>
    </c:plotArea>
    <c:legend>
      <c:legendPos val="t"/>
      <c:layout>
        <c:manualLayout>
          <c:xMode val="edge"/>
          <c:yMode val="edge"/>
          <c:x val="0.21717913146640389"/>
          <c:y val="0.91231496062992123"/>
          <c:w val="0.6371686072655256"/>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cdr:x>
      <cdr:y>0.08102</cdr:y>
    </cdr:from>
    <cdr:to>
      <cdr:x>0.14583</cdr:x>
      <cdr:y>0.19676</cdr:y>
    </cdr:to>
    <cdr:sp macro="" textlink="">
      <cdr:nvSpPr>
        <cdr:cNvPr id="3" name="文字方塊 2">
          <a:extLst xmlns:a="http://schemas.openxmlformats.org/drawingml/2006/main">
            <a:ext uri="{FF2B5EF4-FFF2-40B4-BE49-F238E27FC236}">
              <a16:creationId xmlns:a16="http://schemas.microsoft.com/office/drawing/2014/main" id="{5C963214-6603-4AA8-5677-7ADA6B98BCDB}"/>
            </a:ext>
          </a:extLst>
        </cdr:cNvPr>
        <cdr:cNvSpPr txBox="1"/>
      </cdr:nvSpPr>
      <cdr:spPr>
        <a:xfrm xmlns:a="http://schemas.openxmlformats.org/drawingml/2006/main">
          <a:off x="0" y="222250"/>
          <a:ext cx="666750" cy="3175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altLang="zh-TW" sz="1100"/>
            <a:t>HK Millons</a:t>
          </a:r>
          <a:r>
            <a:rPr lang="en-US" altLang="zh-TW" sz="1100" baseline="0"/>
            <a:t> $</a:t>
          </a:r>
          <a:endParaRPr lang="zh-TW" altLang="en-US" sz="1100"/>
        </a:p>
      </cdr:txBody>
    </cdr:sp>
  </cdr:relSizeAnchor>
  <cdr:relSizeAnchor xmlns:cdr="http://schemas.openxmlformats.org/drawingml/2006/chartDrawing">
    <cdr:from>
      <cdr:x>0.89028</cdr:x>
      <cdr:y>0.80556</cdr:y>
    </cdr:from>
    <cdr:to>
      <cdr:x>0.99444</cdr:x>
      <cdr:y>0.94676</cdr:y>
    </cdr:to>
    <cdr:sp macro="" textlink="">
      <cdr:nvSpPr>
        <cdr:cNvPr id="4" name="文字方塊 3">
          <a:extLst xmlns:a="http://schemas.openxmlformats.org/drawingml/2006/main">
            <a:ext uri="{FF2B5EF4-FFF2-40B4-BE49-F238E27FC236}">
              <a16:creationId xmlns:a16="http://schemas.microsoft.com/office/drawing/2014/main" id="{1B672742-4A9C-B62F-120E-6BB78688A019}"/>
            </a:ext>
          </a:extLst>
        </cdr:cNvPr>
        <cdr:cNvSpPr txBox="1"/>
      </cdr:nvSpPr>
      <cdr:spPr>
        <a:xfrm xmlns:a="http://schemas.openxmlformats.org/drawingml/2006/main">
          <a:off x="4070350" y="2209800"/>
          <a:ext cx="476250" cy="38735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altLang="zh-TW" sz="1100"/>
            <a:t>Year</a:t>
          </a:r>
          <a:endParaRPr lang="zh-TW" alt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