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rFonts w:eastAsiaTheme="minorEastAsia"/>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sdtContent>
            <w:p w14:paraId="14F2F2DB" w14:textId="70E2A446" w:rsidR="007D1947" w:rsidRDefault="001B0401">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ASSIGNMENT OF Contemporary Issues in Performance Management</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475B7674" w14:textId="62EB11D1" w:rsidR="007D1947" w:rsidRDefault="001B0401">
              <w:pPr>
                <w:pStyle w:val="NoSpacing"/>
                <w:jc w:val="center"/>
                <w:rPr>
                  <w:color w:val="5B9BD5" w:themeColor="accent1"/>
                  <w:sz w:val="28"/>
                  <w:szCs w:val="28"/>
                </w:rPr>
              </w:pPr>
              <w:r>
                <w:rPr>
                  <w:color w:val="5B9BD5" w:themeColor="accent1"/>
                  <w:sz w:val="28"/>
                  <w:szCs w:val="28"/>
                </w:rPr>
                <w:t>from Yi Wang</w:t>
              </w:r>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5-10T00:00:00Z">
                                    <w:dateFormat w:val="MMMM d, yyyy"/>
                                    <w:lid w:val="en-US"/>
                                    <w:storeMappedDataAs w:val="dateTime"/>
                                    <w:calendar w:val="gregorian"/>
                                  </w:date>
                                </w:sdtPr>
                                <w:sdtEndPr/>
                                <w:sdtContent>
                                  <w:p w14:paraId="52BAF8D9" w14:textId="2945516C" w:rsidR="007D1947" w:rsidRDefault="00F35AF2">
                                    <w:pPr>
                                      <w:pStyle w:val="NoSpacing"/>
                                      <w:spacing w:after="40"/>
                                      <w:jc w:val="center"/>
                                      <w:rPr>
                                        <w:caps/>
                                        <w:color w:val="5B9BD5" w:themeColor="accent1"/>
                                        <w:sz w:val="28"/>
                                        <w:szCs w:val="28"/>
                                      </w:rPr>
                                    </w:pPr>
                                    <w:r>
                                      <w:rPr>
                                        <w:caps/>
                                        <w:color w:val="5B9BD5" w:themeColor="accent1"/>
                                        <w:sz w:val="28"/>
                                        <w:szCs w:val="28"/>
                                      </w:rPr>
                                      <w:t>May 10, 2023</w:t>
                                    </w:r>
                                  </w:p>
                                </w:sdtContent>
                              </w:sdt>
                              <w:p w14:paraId="69E98CB3" w14:textId="77777777" w:rsidR="007D1947" w:rsidRDefault="002E64B8">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2E64B8">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5-10T00:00:00Z">
                              <w:dateFormat w:val="MMMM d, yyyy"/>
                              <w:lid w:val="en-US"/>
                              <w:storeMappedDataAs w:val="dateTime"/>
                              <w:calendar w:val="gregorian"/>
                            </w:date>
                          </w:sdtPr>
                          <w:sdtEndPr/>
                          <w:sdtContent>
                            <w:p w14:paraId="52BAF8D9" w14:textId="2945516C" w:rsidR="007D1947" w:rsidRDefault="00F35AF2">
                              <w:pPr>
                                <w:pStyle w:val="NoSpacing"/>
                                <w:spacing w:after="40"/>
                                <w:jc w:val="center"/>
                                <w:rPr>
                                  <w:caps/>
                                  <w:color w:val="5B9BD5" w:themeColor="accent1"/>
                                  <w:sz w:val="28"/>
                                  <w:szCs w:val="28"/>
                                </w:rPr>
                              </w:pPr>
                              <w:r>
                                <w:rPr>
                                  <w:caps/>
                                  <w:color w:val="5B9BD5" w:themeColor="accent1"/>
                                  <w:sz w:val="28"/>
                                  <w:szCs w:val="28"/>
                                </w:rPr>
                                <w:t>May 10, 2023</w:t>
                              </w:r>
                            </w:p>
                          </w:sdtContent>
                        </w:sdt>
                        <w:p w14:paraId="69E98CB3" w14:textId="77777777" w:rsidR="007D1947" w:rsidRDefault="002E64B8">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2E64B8">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B882A3E" w14:textId="77777777" w:rsidR="00D63426" w:rsidRDefault="007D1947" w:rsidP="007D1947">
          <w:pPr>
            <w:pStyle w:val="Heading1"/>
          </w:pPr>
          <w:r>
            <w:br w:type="page"/>
          </w:r>
          <w:bookmarkStart w:id="0" w:name="_Toc129339185"/>
        </w:p>
        <w:p w14:paraId="5512BED9" w14:textId="77777777" w:rsidR="00D63426" w:rsidRDefault="00D63426" w:rsidP="007D1947">
          <w:pPr>
            <w:pStyle w:val="Heading1"/>
          </w:pPr>
        </w:p>
        <w:p w14:paraId="078A531F" w14:textId="71C95D71" w:rsidR="007D1947" w:rsidRDefault="007D1947" w:rsidP="007D1947">
          <w:pPr>
            <w:pStyle w:val="Heading1"/>
            <w:rPr>
              <w:rFonts w:ascii="New Roma" w:eastAsiaTheme="minorEastAsia" w:hAnsi="New Roma" w:cs="Segoe UI" w:hint="eastAsia"/>
              <w:b/>
              <w:bCs/>
              <w:color w:val="auto"/>
              <w:shd w:val="clear" w:color="auto" w:fill="FFFFFF"/>
            </w:rPr>
          </w:pPr>
          <w:r w:rsidRPr="00DF708C">
            <w:rPr>
              <w:rFonts w:ascii="New Roma" w:eastAsiaTheme="minorEastAsia" w:hAnsi="New Roma" w:cs="Segoe UI"/>
              <w:b/>
              <w:bCs/>
              <w:color w:val="auto"/>
              <w:shd w:val="clear" w:color="auto" w:fill="FFFFFF"/>
            </w:rPr>
            <w:t>Executive Summary</w:t>
          </w:r>
          <w:bookmarkEnd w:id="0"/>
        </w:p>
        <w:p w14:paraId="2283EE0F" w14:textId="77777777" w:rsidR="00D63426" w:rsidRPr="00D63426" w:rsidRDefault="00D63426" w:rsidP="00D63426"/>
        <w:p w14:paraId="62AB7F7D" w14:textId="14FFDDD1" w:rsidR="007D1947" w:rsidRPr="00DF708C" w:rsidRDefault="00DF708C">
          <w:pPr>
            <w:rPr>
              <w:rFonts w:ascii="New Roma" w:hAnsi="New Roma" w:cs="Segoe UI" w:hint="eastAsia"/>
              <w:sz w:val="24"/>
              <w:szCs w:val="24"/>
              <w:shd w:val="clear" w:color="auto" w:fill="FFFFFF"/>
            </w:rPr>
          </w:pPr>
          <w:r w:rsidRPr="00DF708C">
            <w:rPr>
              <w:rFonts w:ascii="New Roma" w:hAnsi="New Roma" w:cs="Segoe UI"/>
              <w:sz w:val="24"/>
              <w:szCs w:val="24"/>
              <w:shd w:val="clear" w:color="auto" w:fill="FFFFFF"/>
            </w:rPr>
            <w:t>Based on performance management research from two companies, this paper explores key aspects of developing effective performance management strategies and techniques, including goal setting, performance feedback, performance measurement, and rewards and recognition. The challenges both companies share include clearly defined, measurable goals and the ability to provide objective and constructive feedback. To address these challenges requires a comprehensive understanding of the factors that contribute to effective performance management and the ability to adapt these strategies to the unique circumstances of each organization. This article will explore the common challenges organizations face in implementing effective performance management practices from different perspectives of both companies and discuss potential strategies to address these challenges with a view to providing practical insights into ongoing performance management discussions. The results showed that both Portal Fabrication plc and Troyland had certain problems in operation, which mainly centered on corporate finance, marketing strategy, quantitative and qualitative performance management, business reorganization and so on. The results of this study can provide analysis for the two companies and help them make contributions to performance management.</w:t>
          </w:r>
        </w:p>
        <w:p w14:paraId="6846CF66" w14:textId="77777777" w:rsidR="007D1947" w:rsidRDefault="007D1947"/>
        <w:p w14:paraId="19457B29" w14:textId="731225B9" w:rsidR="00D63426" w:rsidRDefault="00D63426">
          <w:r>
            <w:t xml:space="preserve">Word count: </w:t>
          </w:r>
          <w:r w:rsidR="002E64B8">
            <w:t>4</w:t>
          </w:r>
          <w:r>
            <w:t>,</w:t>
          </w:r>
          <w:r w:rsidR="001B0401">
            <w:t>994</w:t>
          </w:r>
        </w:p>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7BC12A6B" w14:textId="77777777" w:rsidR="007D1947" w:rsidRDefault="007D1947"/>
        <w:p w14:paraId="3C8549E0" w14:textId="77777777" w:rsidR="007D1947" w:rsidRDefault="007D1947"/>
        <w:p w14:paraId="606FEBB7" w14:textId="77777777" w:rsidR="007D1947" w:rsidRDefault="007D1947"/>
        <w:p w14:paraId="40B2C76A" w14:textId="77777777" w:rsidR="007D1947" w:rsidRDefault="007D1947"/>
        <w:p w14:paraId="2598F19F" w14:textId="77777777" w:rsidR="007D1947" w:rsidRDefault="007D1947"/>
        <w:p w14:paraId="777A1881" w14:textId="77777777" w:rsidR="007D1947" w:rsidRDefault="007D1947"/>
        <w:p w14:paraId="220B1276" w14:textId="77777777" w:rsidR="007D1947" w:rsidRDefault="007D1947"/>
        <w:p w14:paraId="1DD00D9D" w14:textId="77777777" w:rsidR="007D1947" w:rsidRDefault="007D1947"/>
        <w:p w14:paraId="66DDECEB" w14:textId="77777777" w:rsidR="007D1947" w:rsidRDefault="007D1947"/>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rFonts w:eastAsiaTheme="minorEastAsia"/>
              <w:b/>
              <w:bCs/>
              <w:noProof/>
            </w:rPr>
          </w:sdtEndPr>
          <w:sdtContent>
            <w:p w14:paraId="1DFECD67" w14:textId="77777777" w:rsidR="007D1947" w:rsidRPr="00DF708C" w:rsidRDefault="007D1947">
              <w:pPr>
                <w:pStyle w:val="TOCHeading"/>
                <w:rPr>
                  <w:rFonts w:ascii="New Roma" w:eastAsiaTheme="minorEastAsia" w:hAnsi="New Roma" w:cs="Segoe UI" w:hint="eastAsia"/>
                  <w:b/>
                  <w:bCs/>
                  <w:color w:val="auto"/>
                  <w:sz w:val="24"/>
                  <w:szCs w:val="24"/>
                  <w:shd w:val="clear" w:color="auto" w:fill="FFFFFF"/>
                  <w:lang w:val="en-GB"/>
                </w:rPr>
              </w:pPr>
              <w:r w:rsidRPr="00DF708C">
                <w:rPr>
                  <w:rFonts w:ascii="New Roma" w:eastAsiaTheme="minorEastAsia" w:hAnsi="New Roma" w:cs="Segoe UI"/>
                  <w:b/>
                  <w:bCs/>
                  <w:color w:val="auto"/>
                  <w:sz w:val="24"/>
                  <w:szCs w:val="24"/>
                  <w:shd w:val="clear" w:color="auto" w:fill="FFFFFF"/>
                  <w:lang w:val="en-GB"/>
                </w:rPr>
                <w:t>Table of Contents</w:t>
              </w:r>
            </w:p>
            <w:p w14:paraId="56FC09A4" w14:textId="4A45E5E6" w:rsidR="00DF3B0A" w:rsidRPr="00DF708C" w:rsidRDefault="007D1947">
              <w:pPr>
                <w:pStyle w:val="TOC1"/>
                <w:tabs>
                  <w:tab w:val="right" w:leader="dot" w:pos="9016"/>
                </w:tabs>
                <w:rPr>
                  <w:rFonts w:ascii="New Roma" w:hAnsi="New Roma" w:cs="Segoe UI" w:hint="eastAsia"/>
                  <w:sz w:val="24"/>
                  <w:szCs w:val="24"/>
                  <w:shd w:val="clear" w:color="auto" w:fill="FFFFFF"/>
                </w:rPr>
              </w:pPr>
              <w:r>
                <w:fldChar w:fldCharType="begin"/>
              </w:r>
              <w:r>
                <w:instrText xml:space="preserve"> TOC \o "1-3" \h \z \u </w:instrText>
              </w:r>
              <w:r>
                <w:fldChar w:fldCharType="separate"/>
              </w:r>
              <w:hyperlink w:anchor="_Toc129339185" w:history="1">
                <w:r w:rsidR="00DF3B0A" w:rsidRPr="00DF708C">
                  <w:rPr>
                    <w:rFonts w:ascii="New Roma" w:hAnsi="New Roma" w:cs="Segoe UI"/>
                    <w:sz w:val="24"/>
                    <w:szCs w:val="24"/>
                    <w:shd w:val="clear" w:color="auto" w:fill="FFFFFF"/>
                  </w:rPr>
                  <w:t>Executive Summary</w:t>
                </w:r>
                <w:r w:rsidR="00DF3B0A" w:rsidRPr="00DF708C">
                  <w:rPr>
                    <w:rFonts w:ascii="New Roma" w:hAnsi="New Roma" w:cs="Segoe UI"/>
                    <w:webHidden/>
                    <w:sz w:val="24"/>
                    <w:szCs w:val="24"/>
                    <w:shd w:val="clear" w:color="auto" w:fill="FFFFFF"/>
                  </w:rPr>
                  <w:tab/>
                </w:r>
                <w:r w:rsidR="00DF708C">
                  <w:rPr>
                    <w:rFonts w:ascii="New Roma" w:hAnsi="New Roma" w:cs="Segoe UI"/>
                    <w:webHidden/>
                    <w:sz w:val="24"/>
                    <w:szCs w:val="24"/>
                    <w:shd w:val="clear" w:color="auto" w:fill="FFFFFF"/>
                  </w:rPr>
                  <w:t>2</w:t>
                </w:r>
              </w:hyperlink>
            </w:p>
            <w:p w14:paraId="1E0AAC0D" w14:textId="484F8256" w:rsidR="00DF3B0A" w:rsidRPr="00DF708C" w:rsidRDefault="002E64B8">
              <w:pPr>
                <w:pStyle w:val="TOC1"/>
                <w:tabs>
                  <w:tab w:val="right" w:leader="dot" w:pos="9016"/>
                </w:tabs>
                <w:rPr>
                  <w:rFonts w:ascii="New Roma" w:hAnsi="New Roma" w:cs="Segoe UI" w:hint="eastAsia"/>
                  <w:sz w:val="24"/>
                  <w:szCs w:val="24"/>
                  <w:shd w:val="clear" w:color="auto" w:fill="FFFFFF"/>
                </w:rPr>
              </w:pPr>
              <w:hyperlink w:anchor="_Toc129339186" w:history="1">
                <w:r w:rsidR="00DF3B0A" w:rsidRPr="00DF708C">
                  <w:rPr>
                    <w:rFonts w:ascii="New Roma" w:hAnsi="New Roma" w:cs="Segoe UI"/>
                    <w:sz w:val="24"/>
                    <w:szCs w:val="24"/>
                    <w:shd w:val="clear" w:color="auto" w:fill="FFFFFF"/>
                  </w:rPr>
                  <w:t>Introduction</w:t>
                </w:r>
                <w:r w:rsidR="00DF3B0A" w:rsidRPr="00DF708C">
                  <w:rPr>
                    <w:rFonts w:ascii="New Roma" w:hAnsi="New Roma" w:cs="Segoe UI"/>
                    <w:webHidden/>
                    <w:sz w:val="24"/>
                    <w:szCs w:val="24"/>
                    <w:shd w:val="clear" w:color="auto" w:fill="FFFFFF"/>
                  </w:rPr>
                  <w:tab/>
                </w:r>
                <w:r w:rsidR="00DF708C">
                  <w:rPr>
                    <w:rFonts w:ascii="New Roma" w:hAnsi="New Roma" w:cs="Segoe UI"/>
                    <w:webHidden/>
                    <w:sz w:val="24"/>
                    <w:szCs w:val="24"/>
                    <w:shd w:val="clear" w:color="auto" w:fill="FFFFFF"/>
                  </w:rPr>
                  <w:t>4</w:t>
                </w:r>
              </w:hyperlink>
            </w:p>
            <w:p w14:paraId="1A772F8A" w14:textId="298B836E" w:rsidR="00DF3B0A" w:rsidRPr="00DF708C" w:rsidRDefault="002E64B8">
              <w:pPr>
                <w:pStyle w:val="TOC1"/>
                <w:tabs>
                  <w:tab w:val="right" w:leader="dot" w:pos="9016"/>
                </w:tabs>
                <w:rPr>
                  <w:rFonts w:ascii="New Roma" w:hAnsi="New Roma" w:cs="Segoe UI" w:hint="eastAsia"/>
                  <w:sz w:val="24"/>
                  <w:szCs w:val="24"/>
                  <w:shd w:val="clear" w:color="auto" w:fill="FFFFFF"/>
                </w:rPr>
              </w:pPr>
              <w:hyperlink w:anchor="_Toc129339187" w:history="1">
                <w:r w:rsidR="00DF3B0A" w:rsidRPr="00DF708C">
                  <w:rPr>
                    <w:rFonts w:ascii="New Roma" w:hAnsi="New Roma" w:cs="Segoe UI"/>
                    <w:sz w:val="24"/>
                    <w:szCs w:val="24"/>
                    <w:shd w:val="clear" w:color="auto" w:fill="FFFFFF"/>
                  </w:rPr>
                  <w:t>Main Findings</w:t>
                </w:r>
                <w:r w:rsidR="00DF3B0A" w:rsidRPr="00DF708C">
                  <w:rPr>
                    <w:rFonts w:ascii="New Roma" w:hAnsi="New Roma" w:cs="Segoe UI"/>
                    <w:webHidden/>
                    <w:sz w:val="24"/>
                    <w:szCs w:val="24"/>
                    <w:shd w:val="clear" w:color="auto" w:fill="FFFFFF"/>
                  </w:rPr>
                  <w:tab/>
                </w:r>
                <w:r w:rsidR="00DF3B0A" w:rsidRPr="00DF708C">
                  <w:rPr>
                    <w:rFonts w:ascii="New Roma" w:hAnsi="New Roma" w:cs="Segoe UI"/>
                    <w:webHidden/>
                    <w:sz w:val="24"/>
                    <w:szCs w:val="24"/>
                    <w:shd w:val="clear" w:color="auto" w:fill="FFFFFF"/>
                  </w:rPr>
                  <w:fldChar w:fldCharType="begin"/>
                </w:r>
                <w:r w:rsidR="00DF3B0A" w:rsidRPr="00DF708C">
                  <w:rPr>
                    <w:rFonts w:ascii="New Roma" w:hAnsi="New Roma" w:cs="Segoe UI"/>
                    <w:webHidden/>
                    <w:sz w:val="24"/>
                    <w:szCs w:val="24"/>
                    <w:shd w:val="clear" w:color="auto" w:fill="FFFFFF"/>
                  </w:rPr>
                  <w:instrText xml:space="preserve"> PAGEREF _Toc129339187 \h </w:instrText>
                </w:r>
                <w:r w:rsidR="00DF3B0A" w:rsidRPr="00DF708C">
                  <w:rPr>
                    <w:rFonts w:ascii="New Roma" w:hAnsi="New Roma" w:cs="Segoe UI"/>
                    <w:webHidden/>
                    <w:sz w:val="24"/>
                    <w:szCs w:val="24"/>
                    <w:shd w:val="clear" w:color="auto" w:fill="FFFFFF"/>
                  </w:rPr>
                </w:r>
                <w:r w:rsidR="00DF3B0A" w:rsidRPr="00DF708C">
                  <w:rPr>
                    <w:rFonts w:ascii="New Roma" w:hAnsi="New Roma" w:cs="Segoe UI"/>
                    <w:webHidden/>
                    <w:sz w:val="24"/>
                    <w:szCs w:val="24"/>
                    <w:shd w:val="clear" w:color="auto" w:fill="FFFFFF"/>
                  </w:rPr>
                  <w:fldChar w:fldCharType="separate"/>
                </w:r>
                <w:r w:rsidR="00DF3B0A" w:rsidRPr="00DF708C">
                  <w:rPr>
                    <w:rFonts w:ascii="New Roma" w:hAnsi="New Roma" w:cs="Segoe UI"/>
                    <w:webHidden/>
                    <w:sz w:val="24"/>
                    <w:szCs w:val="24"/>
                    <w:shd w:val="clear" w:color="auto" w:fill="FFFFFF"/>
                  </w:rPr>
                  <w:t>4</w:t>
                </w:r>
                <w:r w:rsidR="00DF3B0A" w:rsidRPr="00DF708C">
                  <w:rPr>
                    <w:rFonts w:ascii="New Roma" w:hAnsi="New Roma" w:cs="Segoe UI"/>
                    <w:webHidden/>
                    <w:sz w:val="24"/>
                    <w:szCs w:val="24"/>
                    <w:shd w:val="clear" w:color="auto" w:fill="FFFFFF"/>
                  </w:rPr>
                  <w:fldChar w:fldCharType="end"/>
                </w:r>
              </w:hyperlink>
            </w:p>
            <w:p w14:paraId="6967792D" w14:textId="3CDEB24D" w:rsidR="00DF3B0A" w:rsidRPr="00DF708C" w:rsidRDefault="002E64B8">
              <w:pPr>
                <w:pStyle w:val="TOC2"/>
                <w:tabs>
                  <w:tab w:val="right" w:leader="dot" w:pos="9016"/>
                </w:tabs>
                <w:rPr>
                  <w:rFonts w:ascii="New Roma" w:hAnsi="New Roma" w:cs="Segoe UI" w:hint="eastAsia"/>
                  <w:sz w:val="24"/>
                  <w:szCs w:val="24"/>
                  <w:shd w:val="clear" w:color="auto" w:fill="FFFFFF"/>
                </w:rPr>
              </w:pPr>
              <w:hyperlink w:anchor="_Toc129339188" w:history="1">
                <w:r w:rsidR="00DF3B0A" w:rsidRPr="00DF708C">
                  <w:rPr>
                    <w:rFonts w:ascii="New Roma" w:hAnsi="New Roma" w:cs="Segoe UI"/>
                    <w:sz w:val="24"/>
                    <w:szCs w:val="24"/>
                    <w:shd w:val="clear" w:color="auto" w:fill="FFFFFF"/>
                  </w:rPr>
                  <w:t>Task 1 – Portal Fabrication PLC</w:t>
                </w:r>
                <w:r w:rsidR="00DF3B0A" w:rsidRPr="00DF708C">
                  <w:rPr>
                    <w:rFonts w:ascii="New Roma" w:hAnsi="New Roma" w:cs="Segoe UI"/>
                    <w:webHidden/>
                    <w:sz w:val="24"/>
                    <w:szCs w:val="24"/>
                    <w:shd w:val="clear" w:color="auto" w:fill="FFFFFF"/>
                  </w:rPr>
                  <w:tab/>
                </w:r>
                <w:r w:rsidR="00DF708C">
                  <w:rPr>
                    <w:rFonts w:ascii="New Roma" w:hAnsi="New Roma" w:cs="Segoe UI"/>
                    <w:webHidden/>
                    <w:sz w:val="24"/>
                    <w:szCs w:val="24"/>
                    <w:shd w:val="clear" w:color="auto" w:fill="FFFFFF"/>
                  </w:rPr>
                  <w:t>5</w:t>
                </w:r>
              </w:hyperlink>
            </w:p>
            <w:p w14:paraId="41A0AE74" w14:textId="13EC7703" w:rsidR="00DF3B0A" w:rsidRPr="00DF708C" w:rsidRDefault="002E64B8">
              <w:pPr>
                <w:pStyle w:val="TOC2"/>
                <w:tabs>
                  <w:tab w:val="right" w:leader="dot" w:pos="9016"/>
                </w:tabs>
                <w:rPr>
                  <w:rFonts w:ascii="New Roma" w:hAnsi="New Roma" w:cs="Segoe UI" w:hint="eastAsia"/>
                  <w:sz w:val="24"/>
                  <w:szCs w:val="24"/>
                  <w:shd w:val="clear" w:color="auto" w:fill="FFFFFF"/>
                </w:rPr>
              </w:pPr>
              <w:hyperlink w:anchor="_Toc129339189" w:history="1">
                <w:r w:rsidR="00DF3B0A" w:rsidRPr="00DF708C">
                  <w:rPr>
                    <w:rFonts w:ascii="New Roma" w:hAnsi="New Roma" w:cs="Segoe UI"/>
                    <w:sz w:val="24"/>
                    <w:szCs w:val="24"/>
                    <w:shd w:val="clear" w:color="auto" w:fill="FFFFFF"/>
                  </w:rPr>
                  <w:t>Task 2 – Troy Brands</w:t>
                </w:r>
                <w:r w:rsidR="00DF3B0A" w:rsidRPr="00DF708C">
                  <w:rPr>
                    <w:rFonts w:ascii="New Roma" w:hAnsi="New Roma" w:cs="Segoe UI"/>
                    <w:webHidden/>
                    <w:sz w:val="24"/>
                    <w:szCs w:val="24"/>
                    <w:shd w:val="clear" w:color="auto" w:fill="FFFFFF"/>
                  </w:rPr>
                  <w:tab/>
                </w:r>
                <w:r w:rsidR="00DF708C">
                  <w:rPr>
                    <w:rFonts w:ascii="New Roma" w:hAnsi="New Roma" w:cs="Segoe UI"/>
                    <w:webHidden/>
                    <w:sz w:val="24"/>
                    <w:szCs w:val="24"/>
                    <w:shd w:val="clear" w:color="auto" w:fill="FFFFFF"/>
                  </w:rPr>
                  <w:t>8</w:t>
                </w:r>
              </w:hyperlink>
            </w:p>
            <w:p w14:paraId="4C5182B0" w14:textId="1471E798" w:rsidR="00DF3B0A" w:rsidRPr="00DF708C" w:rsidRDefault="002E64B8">
              <w:pPr>
                <w:pStyle w:val="TOC1"/>
                <w:tabs>
                  <w:tab w:val="right" w:leader="dot" w:pos="9016"/>
                </w:tabs>
                <w:rPr>
                  <w:rFonts w:ascii="New Roma" w:hAnsi="New Roma" w:cs="Segoe UI" w:hint="eastAsia"/>
                  <w:sz w:val="24"/>
                  <w:szCs w:val="24"/>
                  <w:shd w:val="clear" w:color="auto" w:fill="FFFFFF"/>
                </w:rPr>
              </w:pPr>
              <w:hyperlink w:anchor="_Toc129339190" w:history="1">
                <w:r w:rsidR="00DF3B0A" w:rsidRPr="00DF708C">
                  <w:rPr>
                    <w:rFonts w:ascii="New Roma" w:hAnsi="New Roma" w:cs="Segoe UI"/>
                    <w:sz w:val="24"/>
                    <w:szCs w:val="24"/>
                    <w:shd w:val="clear" w:color="auto" w:fill="FFFFFF"/>
                  </w:rPr>
                  <w:t>Conclusion</w:t>
                </w:r>
                <w:r w:rsidR="00DF3B0A" w:rsidRPr="00DF708C">
                  <w:rPr>
                    <w:rFonts w:ascii="New Roma" w:hAnsi="New Roma" w:cs="Segoe UI"/>
                    <w:webHidden/>
                    <w:sz w:val="24"/>
                    <w:szCs w:val="24"/>
                    <w:shd w:val="clear" w:color="auto" w:fill="FFFFFF"/>
                  </w:rPr>
                  <w:tab/>
                </w:r>
                <w:r w:rsidR="00DF708C">
                  <w:rPr>
                    <w:rFonts w:ascii="New Roma" w:hAnsi="New Roma" w:cs="Segoe UI"/>
                    <w:webHidden/>
                    <w:sz w:val="24"/>
                    <w:szCs w:val="24"/>
                    <w:shd w:val="clear" w:color="auto" w:fill="FFFFFF"/>
                  </w:rPr>
                  <w:t>13</w:t>
                </w:r>
              </w:hyperlink>
            </w:p>
            <w:p w14:paraId="6E0F7F03" w14:textId="6522B14C" w:rsidR="00DF3B0A" w:rsidRPr="00DF708C" w:rsidRDefault="002E64B8">
              <w:pPr>
                <w:pStyle w:val="TOC1"/>
                <w:tabs>
                  <w:tab w:val="right" w:leader="dot" w:pos="9016"/>
                </w:tabs>
                <w:rPr>
                  <w:rFonts w:ascii="New Roma" w:hAnsi="New Roma" w:cs="Segoe UI" w:hint="eastAsia"/>
                  <w:sz w:val="24"/>
                  <w:szCs w:val="24"/>
                  <w:shd w:val="clear" w:color="auto" w:fill="FFFFFF"/>
                </w:rPr>
              </w:pPr>
              <w:hyperlink w:anchor="_Toc129339191" w:history="1">
                <w:r w:rsidR="00DF3B0A" w:rsidRPr="00DF708C">
                  <w:rPr>
                    <w:rFonts w:ascii="New Roma" w:hAnsi="New Roma" w:cs="Segoe UI"/>
                    <w:sz w:val="24"/>
                    <w:szCs w:val="24"/>
                    <w:shd w:val="clear" w:color="auto" w:fill="FFFFFF"/>
                  </w:rPr>
                  <w:t>Bibliography</w:t>
                </w:r>
                <w:r w:rsidR="00DF3B0A" w:rsidRPr="00DF708C">
                  <w:rPr>
                    <w:rFonts w:ascii="New Roma" w:hAnsi="New Roma" w:cs="Segoe UI"/>
                    <w:webHidden/>
                    <w:sz w:val="24"/>
                    <w:szCs w:val="24"/>
                    <w:shd w:val="clear" w:color="auto" w:fill="FFFFFF"/>
                  </w:rPr>
                  <w:tab/>
                </w:r>
                <w:r w:rsidR="00DF708C">
                  <w:rPr>
                    <w:rFonts w:ascii="New Roma" w:hAnsi="New Roma" w:cs="Segoe UI"/>
                    <w:webHidden/>
                    <w:sz w:val="24"/>
                    <w:szCs w:val="24"/>
                    <w:shd w:val="clear" w:color="auto" w:fill="FFFFFF"/>
                  </w:rPr>
                  <w:t>14</w:t>
                </w:r>
              </w:hyperlink>
            </w:p>
            <w:p w14:paraId="63889790" w14:textId="7D88E37D" w:rsidR="00DF3B0A" w:rsidRDefault="002E64B8">
              <w:pPr>
                <w:pStyle w:val="TOC1"/>
                <w:tabs>
                  <w:tab w:val="right" w:leader="dot" w:pos="9016"/>
                </w:tabs>
                <w:rPr>
                  <w:rFonts w:ascii="New Roma" w:hAnsi="New Roma" w:cs="Segoe UI" w:hint="eastAsia"/>
                  <w:sz w:val="24"/>
                  <w:szCs w:val="24"/>
                  <w:shd w:val="clear" w:color="auto" w:fill="FFFFFF"/>
                </w:rPr>
              </w:pPr>
              <w:hyperlink w:anchor="_Toc129339192" w:history="1">
                <w:r w:rsidR="00DF3B0A" w:rsidRPr="00DF708C">
                  <w:rPr>
                    <w:rFonts w:ascii="New Roma" w:hAnsi="New Roma" w:cs="Segoe UI"/>
                    <w:sz w:val="24"/>
                    <w:szCs w:val="24"/>
                    <w:shd w:val="clear" w:color="auto" w:fill="FFFFFF"/>
                  </w:rPr>
                  <w:t>Appendix</w:t>
                </w:r>
                <w:r w:rsidR="00DF3B0A" w:rsidRPr="00DF708C">
                  <w:rPr>
                    <w:rFonts w:ascii="New Roma" w:hAnsi="New Roma" w:cs="Segoe UI"/>
                    <w:webHidden/>
                    <w:sz w:val="24"/>
                    <w:szCs w:val="24"/>
                    <w:shd w:val="clear" w:color="auto" w:fill="FFFFFF"/>
                  </w:rPr>
                  <w:tab/>
                </w:r>
              </w:hyperlink>
              <w:r w:rsidR="00DF708C">
                <w:rPr>
                  <w:rFonts w:ascii="New Roma" w:hAnsi="New Roma" w:cs="Segoe UI"/>
                  <w:sz w:val="24"/>
                  <w:szCs w:val="24"/>
                  <w:shd w:val="clear" w:color="auto" w:fill="FFFFFF"/>
                </w:rPr>
                <w:t>8</w:t>
              </w:r>
            </w:p>
            <w:p w14:paraId="33A431A3" w14:textId="600D9A29" w:rsidR="00DF708C" w:rsidRDefault="002E64B8" w:rsidP="00DF708C">
              <w:pPr>
                <w:pStyle w:val="TOC2"/>
                <w:tabs>
                  <w:tab w:val="right" w:leader="dot" w:pos="9016"/>
                </w:tabs>
                <w:rPr>
                  <w:rFonts w:ascii="New Roma" w:hAnsi="New Roma" w:cs="Segoe UI" w:hint="eastAsia"/>
                  <w:sz w:val="24"/>
                  <w:szCs w:val="24"/>
                  <w:shd w:val="clear" w:color="auto" w:fill="FFFFFF"/>
                </w:rPr>
              </w:pPr>
              <w:hyperlink w:anchor="_Toc129339188" w:history="1">
                <w:r w:rsidR="00DF708C" w:rsidRPr="00DF708C">
                  <w:rPr>
                    <w:rFonts w:ascii="New Roma" w:hAnsi="New Roma" w:cs="Segoe UI"/>
                    <w:sz w:val="24"/>
                    <w:szCs w:val="24"/>
                    <w:shd w:val="clear" w:color="auto" w:fill="FFFFFF"/>
                  </w:rPr>
                  <w:t>T</w:t>
                </w:r>
                <w:r w:rsidR="00DF708C">
                  <w:rPr>
                    <w:rFonts w:ascii="New Roma" w:hAnsi="New Roma" w:cs="Segoe UI"/>
                    <w:sz w:val="24"/>
                    <w:szCs w:val="24"/>
                    <w:shd w:val="clear" w:color="auto" w:fill="FFFFFF"/>
                  </w:rPr>
                  <w:t xml:space="preserve">able </w:t>
                </w:r>
                <w:r w:rsidR="00DF708C" w:rsidRPr="00DF708C">
                  <w:rPr>
                    <w:rFonts w:ascii="New Roma" w:hAnsi="New Roma" w:cs="Segoe UI"/>
                    <w:sz w:val="24"/>
                    <w:szCs w:val="24"/>
                    <w:shd w:val="clear" w:color="auto" w:fill="FFFFFF"/>
                  </w:rPr>
                  <w:t>1 –</w:t>
                </w:r>
                <w:r w:rsidR="00DF708C">
                  <w:rPr>
                    <w:rFonts w:ascii="New Roma" w:hAnsi="New Roma" w:cs="Segoe UI"/>
                    <w:sz w:val="24"/>
                    <w:szCs w:val="24"/>
                    <w:shd w:val="clear" w:color="auto" w:fill="FFFFFF"/>
                  </w:rPr>
                  <w:t xml:space="preserve"> Current State Portal</w:t>
                </w:r>
                <w:r w:rsidR="00DF708C" w:rsidRPr="00DF708C">
                  <w:rPr>
                    <w:rFonts w:ascii="New Roma" w:hAnsi="New Roma" w:cs="Segoe UI"/>
                    <w:webHidden/>
                    <w:sz w:val="24"/>
                    <w:szCs w:val="24"/>
                    <w:shd w:val="clear" w:color="auto" w:fill="FFFFFF"/>
                  </w:rPr>
                  <w:tab/>
                </w:r>
                <w:r w:rsidR="00DF708C">
                  <w:rPr>
                    <w:rFonts w:ascii="New Roma" w:hAnsi="New Roma" w:cs="Segoe UI"/>
                    <w:webHidden/>
                    <w:sz w:val="24"/>
                    <w:szCs w:val="24"/>
                    <w:shd w:val="clear" w:color="auto" w:fill="FFFFFF"/>
                  </w:rPr>
                  <w:t>8</w:t>
                </w:r>
              </w:hyperlink>
            </w:p>
            <w:p w14:paraId="0D1914B8" w14:textId="0D8DB4ED" w:rsidR="00DF708C" w:rsidRPr="00DF708C" w:rsidRDefault="002E64B8" w:rsidP="00DF708C">
              <w:pPr>
                <w:pStyle w:val="TOC2"/>
                <w:tabs>
                  <w:tab w:val="right" w:leader="dot" w:pos="9016"/>
                </w:tabs>
                <w:rPr>
                  <w:rFonts w:ascii="New Roma" w:hAnsi="New Roma" w:cs="Segoe UI" w:hint="eastAsia"/>
                  <w:sz w:val="24"/>
                  <w:szCs w:val="24"/>
                  <w:shd w:val="clear" w:color="auto" w:fill="FFFFFF"/>
                </w:rPr>
              </w:pPr>
              <w:hyperlink w:anchor="_Toc129339188" w:history="1">
                <w:r w:rsidR="00DF708C" w:rsidRPr="00DF708C">
                  <w:rPr>
                    <w:rFonts w:ascii="New Roma" w:hAnsi="New Roma" w:cs="Segoe UI"/>
                    <w:sz w:val="24"/>
                    <w:szCs w:val="24"/>
                    <w:shd w:val="clear" w:color="auto" w:fill="FFFFFF"/>
                  </w:rPr>
                  <w:t>T</w:t>
                </w:r>
                <w:r w:rsidR="00DF708C">
                  <w:rPr>
                    <w:rFonts w:ascii="New Roma" w:hAnsi="New Roma" w:cs="Segoe UI"/>
                    <w:sz w:val="24"/>
                    <w:szCs w:val="24"/>
                    <w:shd w:val="clear" w:color="auto" w:fill="FFFFFF"/>
                  </w:rPr>
                  <w:t>able 2</w:t>
                </w:r>
                <w:r w:rsidR="00DF708C" w:rsidRPr="00DF708C">
                  <w:rPr>
                    <w:rFonts w:ascii="New Roma" w:hAnsi="New Roma" w:cs="Segoe UI"/>
                    <w:sz w:val="24"/>
                    <w:szCs w:val="24"/>
                    <w:shd w:val="clear" w:color="auto" w:fill="FFFFFF"/>
                  </w:rPr>
                  <w:t xml:space="preserve"> –</w:t>
                </w:r>
                <w:r w:rsidR="00DF708C">
                  <w:rPr>
                    <w:rFonts w:ascii="New Roma" w:hAnsi="New Roma" w:cs="Segoe UI"/>
                    <w:sz w:val="24"/>
                    <w:szCs w:val="24"/>
                    <w:shd w:val="clear" w:color="auto" w:fill="FFFFFF"/>
                  </w:rPr>
                  <w:t xml:space="preserve"> </w:t>
                </w:r>
                <w:r w:rsidR="00DF708C" w:rsidRPr="00D33AED">
                  <w:rPr>
                    <w:rFonts w:ascii="New Roma" w:hAnsi="New Roma" w:cs="Segoe UI"/>
                    <w:sz w:val="24"/>
                    <w:szCs w:val="24"/>
                    <w:shd w:val="clear" w:color="auto" w:fill="FFFFFF"/>
                  </w:rPr>
                  <w:t xml:space="preserve">Balanced Scorecard </w:t>
                </w:r>
                <w:r w:rsidR="00DF708C" w:rsidRPr="00A35584">
                  <w:rPr>
                    <w:rFonts w:ascii="New Roma" w:hAnsi="New Roma" w:cs="Segoe UI"/>
                    <w:sz w:val="24"/>
                    <w:szCs w:val="24"/>
                    <w:shd w:val="clear" w:color="auto" w:fill="FFFFFF"/>
                  </w:rPr>
                  <w:t>Troyland</w:t>
                </w:r>
                <w:r w:rsidR="00DF708C" w:rsidRPr="00DF708C">
                  <w:rPr>
                    <w:rFonts w:ascii="New Roma" w:hAnsi="New Roma" w:cs="Segoe UI"/>
                    <w:webHidden/>
                    <w:sz w:val="24"/>
                    <w:szCs w:val="24"/>
                    <w:shd w:val="clear" w:color="auto" w:fill="FFFFFF"/>
                  </w:rPr>
                  <w:tab/>
                </w:r>
                <w:r w:rsidR="00DF708C">
                  <w:rPr>
                    <w:rFonts w:ascii="New Roma" w:hAnsi="New Roma" w:cs="Segoe UI"/>
                    <w:webHidden/>
                    <w:sz w:val="24"/>
                    <w:szCs w:val="24"/>
                    <w:shd w:val="clear" w:color="auto" w:fill="FFFFFF"/>
                  </w:rPr>
                  <w:t>11</w:t>
                </w:r>
              </w:hyperlink>
            </w:p>
            <w:p w14:paraId="41985C48" w14:textId="77777777" w:rsidR="00DF708C" w:rsidRPr="00DF708C" w:rsidRDefault="00DF708C" w:rsidP="00DF708C"/>
            <w:p w14:paraId="3D1D99DB" w14:textId="77777777" w:rsidR="00DF708C" w:rsidRPr="00DF708C" w:rsidRDefault="00DF708C" w:rsidP="00DF708C"/>
            <w:p w14:paraId="05194699" w14:textId="50304834" w:rsidR="007D1947" w:rsidRDefault="007D1947">
              <w:r>
                <w:rPr>
                  <w:b/>
                  <w:bCs/>
                  <w:noProof/>
                </w:rPr>
                <w:fldChar w:fldCharType="end"/>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655F29CA" w14:textId="77777777" w:rsidR="007D1947" w:rsidRDefault="007D1947"/>
        <w:p w14:paraId="0ED321E6" w14:textId="0F0FB166" w:rsidR="007D1947" w:rsidRPr="003841D2" w:rsidRDefault="007D1947" w:rsidP="003841D2">
          <w:pPr>
            <w:pStyle w:val="Heading1"/>
            <w:jc w:val="center"/>
            <w:rPr>
              <w:rFonts w:ascii="New Roma" w:eastAsiaTheme="minorEastAsia" w:hAnsi="New Roma" w:cs="Segoe UI" w:hint="eastAsia"/>
              <w:b/>
              <w:bCs/>
              <w:color w:val="auto"/>
              <w:shd w:val="clear" w:color="auto" w:fill="FFFFFF"/>
            </w:rPr>
          </w:pPr>
          <w:bookmarkStart w:id="1" w:name="_Toc129339186"/>
          <w:r w:rsidRPr="003841D2">
            <w:rPr>
              <w:rFonts w:ascii="New Roma" w:eastAsiaTheme="minorEastAsia" w:hAnsi="New Roma" w:cs="Segoe UI"/>
              <w:b/>
              <w:bCs/>
              <w:color w:val="auto"/>
              <w:shd w:val="clear" w:color="auto" w:fill="FFFFFF"/>
            </w:rPr>
            <w:lastRenderedPageBreak/>
            <w:t>Introduction</w:t>
          </w:r>
          <w:bookmarkEnd w:id="1"/>
          <w:r w:rsidR="00480872" w:rsidRPr="003841D2">
            <w:rPr>
              <w:rFonts w:ascii="New Roma" w:eastAsiaTheme="minorEastAsia" w:hAnsi="New Roma" w:cs="Segoe UI"/>
              <w:b/>
              <w:bCs/>
              <w:color w:val="auto"/>
              <w:shd w:val="clear" w:color="auto" w:fill="FFFFFF"/>
            </w:rPr>
            <w:t xml:space="preserve"> </w:t>
          </w:r>
          <w:r w:rsidR="00E91208" w:rsidRPr="003841D2">
            <w:rPr>
              <w:rFonts w:ascii="New Roma" w:eastAsiaTheme="minorEastAsia" w:hAnsi="New Roma" w:cs="Segoe UI"/>
              <w:b/>
              <w:bCs/>
              <w:color w:val="auto"/>
              <w:shd w:val="clear" w:color="auto" w:fill="FFFFFF"/>
            </w:rPr>
            <w:t xml:space="preserve"> </w:t>
          </w:r>
        </w:p>
        <w:p w14:paraId="54C81D2A" w14:textId="77777777" w:rsidR="007D1947" w:rsidRDefault="007D1947" w:rsidP="007D1947"/>
        <w:p w14:paraId="60F1AC61" w14:textId="0ED6B850" w:rsidR="003841D2" w:rsidRPr="003841D2" w:rsidRDefault="003841D2" w:rsidP="003841D2">
          <w:pPr>
            <w:pStyle w:val="Heading1"/>
            <w:rPr>
              <w:rFonts w:ascii="New Roma" w:eastAsiaTheme="minorEastAsia" w:hAnsi="New Roma" w:cs="Segoe UI" w:hint="eastAsia"/>
              <w:color w:val="auto"/>
              <w:sz w:val="24"/>
              <w:szCs w:val="24"/>
              <w:shd w:val="clear" w:color="auto" w:fill="FFFFFF"/>
            </w:rPr>
          </w:pPr>
          <w:r w:rsidRPr="003841D2">
            <w:rPr>
              <w:rFonts w:ascii="New Roma" w:eastAsiaTheme="minorEastAsia" w:hAnsi="New Roma" w:cs="Segoe UI"/>
              <w:color w:val="auto"/>
              <w:sz w:val="24"/>
              <w:szCs w:val="24"/>
              <w:shd w:val="clear" w:color="auto" w:fill="FFFFFF"/>
            </w:rPr>
            <w:t>This paper is based on the research programs and reports of two companies on corporate performance management. Focus setting is to develop effective strategies and techniques to measure and improve performance in response to problems existing in two companies. This report will develop effective performance management from several key aspects, including goal setting, performance feedback, performance measurement, and rewards and recognition (Abadi, 2019). Common challenges in both companies include clearly defined, measurable goals and the ability to provide objective and constructive feedback. Addressing these challenges requires a comprehensive understanding of the factors that contribute to effective performance management and the ability to adapt these strategies to the unique circumstances of each organization.</w:t>
          </w:r>
        </w:p>
        <w:p w14:paraId="5DBAD65B" w14:textId="1DD85237" w:rsidR="004A11F6" w:rsidRPr="003841D2" w:rsidRDefault="003841D2" w:rsidP="003841D2">
          <w:pPr>
            <w:pStyle w:val="Heading1"/>
            <w:rPr>
              <w:rFonts w:ascii="New Roma" w:eastAsiaTheme="minorEastAsia" w:hAnsi="New Roma" w:cs="Segoe UI" w:hint="eastAsia"/>
              <w:color w:val="auto"/>
              <w:sz w:val="24"/>
              <w:szCs w:val="24"/>
              <w:shd w:val="clear" w:color="auto" w:fill="FFFFFF"/>
            </w:rPr>
          </w:pPr>
          <w:r w:rsidRPr="003841D2">
            <w:rPr>
              <w:rFonts w:ascii="New Roma" w:eastAsiaTheme="minorEastAsia" w:hAnsi="New Roma" w:cs="Segoe UI"/>
              <w:color w:val="auto"/>
              <w:sz w:val="24"/>
              <w:szCs w:val="24"/>
              <w:shd w:val="clear" w:color="auto" w:fill="FFFFFF"/>
            </w:rPr>
            <w:t>Th</w:t>
          </w:r>
          <w:r>
            <w:rPr>
              <w:rFonts w:ascii="New Roma" w:eastAsiaTheme="minorEastAsia" w:hAnsi="New Roma" w:cs="Segoe UI"/>
              <w:color w:val="auto"/>
              <w:sz w:val="24"/>
              <w:szCs w:val="24"/>
              <w:shd w:val="clear" w:color="auto" w:fill="FFFFFF"/>
            </w:rPr>
            <w:t>i</w:t>
          </w:r>
          <w:r w:rsidRPr="003841D2">
            <w:rPr>
              <w:rFonts w:ascii="New Roma" w:eastAsiaTheme="minorEastAsia" w:hAnsi="New Roma" w:cs="Segoe UI"/>
              <w:color w:val="auto"/>
              <w:sz w:val="24"/>
              <w:szCs w:val="24"/>
              <w:shd w:val="clear" w:color="auto" w:fill="FFFFFF"/>
            </w:rPr>
            <w:t>s article will explore some of the common challenges organizations face in implementing effective performance management practices from different perspectives of the two companies and discuss potential strategies for addressing these challenges. In doing so, the researchers hope to contribute to the ongoing discussion about performance management and provide practical insights to organizations looking to improve performance management practices at their two companies.</w:t>
          </w:r>
        </w:p>
        <w:p w14:paraId="7C657C89" w14:textId="77777777" w:rsidR="00AA2A91" w:rsidRDefault="00AA2A91" w:rsidP="004D519C"/>
        <w:p w14:paraId="2E293EB9" w14:textId="77777777" w:rsidR="00480872" w:rsidRPr="00BB56E7" w:rsidRDefault="00480872" w:rsidP="00BB56E7">
          <w:pPr>
            <w:pStyle w:val="Heading1"/>
            <w:jc w:val="center"/>
            <w:rPr>
              <w:rFonts w:ascii="New Roma" w:eastAsiaTheme="minorEastAsia" w:hAnsi="New Roma" w:cs="Segoe UI" w:hint="eastAsia"/>
              <w:b/>
              <w:bCs/>
              <w:color w:val="auto"/>
              <w:shd w:val="clear" w:color="auto" w:fill="FFFFFF"/>
            </w:rPr>
          </w:pPr>
          <w:bookmarkStart w:id="2" w:name="_Toc129339187"/>
          <w:r w:rsidRPr="00BB56E7">
            <w:rPr>
              <w:rFonts w:ascii="New Roma" w:eastAsiaTheme="minorEastAsia" w:hAnsi="New Roma" w:cs="Segoe UI"/>
              <w:b/>
              <w:bCs/>
              <w:color w:val="auto"/>
              <w:shd w:val="clear" w:color="auto" w:fill="FFFFFF"/>
            </w:rPr>
            <w:t>Main Findings</w:t>
          </w:r>
          <w:bookmarkEnd w:id="2"/>
        </w:p>
        <w:p w14:paraId="1AB48393" w14:textId="77777777" w:rsidR="008B0ADD" w:rsidRDefault="008B0ADD" w:rsidP="008B0ADD">
          <w:pPr>
            <w:rPr>
              <w:rFonts w:ascii="New Roma" w:hAnsi="New Roma" w:cs="Segoe UI" w:hint="eastAsia"/>
              <w:sz w:val="24"/>
              <w:szCs w:val="24"/>
              <w:shd w:val="clear" w:color="auto" w:fill="FFFFFF"/>
            </w:rPr>
          </w:pPr>
        </w:p>
        <w:p w14:paraId="772E331B" w14:textId="36E217B6" w:rsidR="008B0ADD" w:rsidRPr="008B0ADD" w:rsidRDefault="008B0ADD" w:rsidP="008B0ADD">
          <w:pPr>
            <w:rPr>
              <w:rFonts w:ascii="New Roma" w:hAnsi="New Roma" w:cs="Segoe UI" w:hint="eastAsia"/>
              <w:sz w:val="24"/>
              <w:szCs w:val="24"/>
              <w:shd w:val="clear" w:color="auto" w:fill="FFFFFF"/>
            </w:rPr>
          </w:pPr>
          <w:r w:rsidRPr="008B0ADD">
            <w:rPr>
              <w:rFonts w:ascii="New Roma" w:hAnsi="New Roma" w:cs="Segoe UI"/>
              <w:sz w:val="24"/>
              <w:szCs w:val="24"/>
              <w:shd w:val="clear" w:color="auto" w:fill="FFFFFF"/>
            </w:rPr>
            <w:t>Performance management refers to the joint participation of the company's senior management and staff in the company's plan and implementation in order to achieve the company's established direction. The company plan includes plan formulation, performance appraisal and evaluation, and personnel communication. It is A circular process in which the company's employees achieve the goal of performance improvement through coordination, with the purpose of improving the performance of the company's individuals and departments (Armstrong. M &amp; Baron. A, 2000; Buckingham. M. &amp; Goodall. A, 2015).</w:t>
          </w:r>
        </w:p>
        <w:p w14:paraId="2B4F525B" w14:textId="36ED6182" w:rsidR="008B0ADD" w:rsidRDefault="008B0ADD" w:rsidP="008B0ADD">
          <w:pPr>
            <w:rPr>
              <w:rFonts w:ascii="New Roma" w:hAnsi="New Roma" w:cs="Segoe UI" w:hint="eastAsia"/>
              <w:sz w:val="24"/>
              <w:szCs w:val="24"/>
              <w:shd w:val="clear" w:color="auto" w:fill="FFFFFF"/>
            </w:rPr>
          </w:pPr>
          <w:r w:rsidRPr="008B0ADD">
            <w:rPr>
              <w:rFonts w:ascii="New Roma" w:hAnsi="New Roma" w:cs="Segoe UI"/>
              <w:sz w:val="24"/>
              <w:szCs w:val="24"/>
              <w:shd w:val="clear" w:color="auto" w:fill="FFFFFF"/>
            </w:rPr>
            <w:t>In the basic link of performance management, it is necessary to make a performance plan first. The second part is performance communication, in order to ensure that employees and all departments can understand, so that performance management can be effectively implemented. Effective performance guidance can be divided into three forms: daily work guidance from superiors to subordinates, regular performance meetings, and performance review and feedback, which are the core links of performance appraisal and evaluation. Problems in this link will lead to negative impacts on corporate performance management (Li el at, 2022).</w:t>
          </w:r>
          <w:bookmarkStart w:id="3" w:name="_Toc129339188"/>
        </w:p>
        <w:p w14:paraId="3B5723EB" w14:textId="77777777" w:rsidR="00BB56E7" w:rsidRDefault="00BB56E7" w:rsidP="008B0ADD">
          <w:pPr>
            <w:rPr>
              <w:rFonts w:ascii="New Roma" w:hAnsi="New Roma" w:cs="Segoe UI" w:hint="eastAsia"/>
              <w:sz w:val="24"/>
              <w:szCs w:val="24"/>
              <w:shd w:val="clear" w:color="auto" w:fill="FFFFFF"/>
            </w:rPr>
          </w:pPr>
        </w:p>
        <w:p w14:paraId="1C75CBDD" w14:textId="77777777" w:rsidR="008B0ADD" w:rsidRPr="008B0ADD" w:rsidRDefault="008B0ADD" w:rsidP="008B0ADD">
          <w:pPr>
            <w:rPr>
              <w:rFonts w:ascii="New Roma" w:hAnsi="New Roma" w:cs="Segoe UI" w:hint="eastAsia"/>
              <w:sz w:val="24"/>
              <w:szCs w:val="24"/>
              <w:shd w:val="clear" w:color="auto" w:fill="FFFFFF"/>
            </w:rPr>
          </w:pPr>
        </w:p>
        <w:p w14:paraId="582CB3A5" w14:textId="46474F1C" w:rsidR="008B0ADD" w:rsidRDefault="00DF3B0A" w:rsidP="008B0ADD">
          <w:pPr>
            <w:pStyle w:val="Heading2"/>
            <w:jc w:val="center"/>
            <w:rPr>
              <w:rFonts w:ascii="New Roma" w:eastAsiaTheme="minorEastAsia" w:hAnsi="New Roma" w:cs="Segoe UI" w:hint="eastAsia"/>
              <w:b/>
              <w:bCs/>
              <w:color w:val="auto"/>
              <w:sz w:val="32"/>
              <w:szCs w:val="32"/>
              <w:shd w:val="clear" w:color="auto" w:fill="FFFFFF"/>
            </w:rPr>
          </w:pPr>
          <w:r w:rsidRPr="005265B4">
            <w:rPr>
              <w:rFonts w:ascii="New Roma" w:eastAsiaTheme="minorEastAsia" w:hAnsi="New Roma" w:cs="Segoe UI"/>
              <w:b/>
              <w:bCs/>
              <w:color w:val="auto"/>
              <w:sz w:val="32"/>
              <w:szCs w:val="32"/>
              <w:shd w:val="clear" w:color="auto" w:fill="FFFFFF"/>
            </w:rPr>
            <w:lastRenderedPageBreak/>
            <w:t xml:space="preserve">Task 1 – </w:t>
          </w:r>
          <w:bookmarkEnd w:id="3"/>
          <w:r w:rsidR="00B93E7F" w:rsidRPr="005265B4">
            <w:rPr>
              <w:rFonts w:ascii="New Roma" w:eastAsiaTheme="minorEastAsia" w:hAnsi="New Roma" w:cs="Segoe UI"/>
              <w:b/>
              <w:bCs/>
              <w:color w:val="auto"/>
              <w:sz w:val="32"/>
              <w:szCs w:val="32"/>
              <w:shd w:val="clear" w:color="auto" w:fill="FFFFFF"/>
            </w:rPr>
            <w:t>Case Study of Portal Fabrication PLC</w:t>
          </w:r>
        </w:p>
        <w:p w14:paraId="03F029EF" w14:textId="77777777" w:rsidR="008B0ADD" w:rsidRPr="008B0ADD" w:rsidRDefault="008B0ADD" w:rsidP="008B0ADD"/>
        <w:p w14:paraId="457CA0F3" w14:textId="67CF21AC" w:rsidR="0027537F" w:rsidRPr="005265B4" w:rsidRDefault="0027537F" w:rsidP="005265B4">
          <w:pPr>
            <w:pStyle w:val="Heading1"/>
            <w:rPr>
              <w:rFonts w:ascii="New Roma" w:eastAsiaTheme="minorEastAsia" w:hAnsi="New Roma" w:cs="Segoe UI" w:hint="eastAsia"/>
              <w:color w:val="auto"/>
              <w:sz w:val="24"/>
              <w:szCs w:val="24"/>
              <w:shd w:val="clear" w:color="auto" w:fill="FFFFFF"/>
            </w:rPr>
          </w:pPr>
          <w:r w:rsidRPr="005265B4">
            <w:rPr>
              <w:rFonts w:ascii="New Roma" w:eastAsiaTheme="minorEastAsia" w:hAnsi="New Roma" w:cs="Segoe UI"/>
              <w:color w:val="auto"/>
              <w:sz w:val="24"/>
              <w:szCs w:val="24"/>
              <w:shd w:val="clear" w:color="auto" w:fill="FFFFFF"/>
            </w:rPr>
            <w:t>Portal Fabrication plc is a manufacturing business, which was profitable in two ways: the first was to manufacture and sell high-quality machines and the second was to sell warranty service. The company has two divisions: manufacturing/sales (i.e. M/S) and service, with the manufacturing/sales division responsible for the first type of business and the service division responsible for the second. From the financial statements, it is shown that the sales revenue, operating cost profit, headquarters expenses apportioned and Capital employed of M/S department are much higher than those of service department. This indicates that the company's main business is from M/S department, so the income and expenditure of this department are relatively high. The expenses of the service sector are mainly labor costs and department management fees, which are internal fixed expenses.</w:t>
          </w:r>
        </w:p>
        <w:p w14:paraId="7B379C0C" w14:textId="48CCF9F3" w:rsidR="00B93E7F" w:rsidRPr="005265B4" w:rsidRDefault="0027537F" w:rsidP="00B93E7F">
          <w:pPr>
            <w:pStyle w:val="Heading1"/>
            <w:rPr>
              <w:rFonts w:ascii="New Roma" w:eastAsiaTheme="minorEastAsia" w:hAnsi="New Roma" w:cs="Segoe UI" w:hint="eastAsia"/>
              <w:color w:val="auto"/>
              <w:sz w:val="24"/>
              <w:szCs w:val="24"/>
              <w:shd w:val="clear" w:color="auto" w:fill="FFFFFF"/>
            </w:rPr>
          </w:pPr>
          <w:r w:rsidRPr="005265B4">
            <w:rPr>
              <w:rFonts w:ascii="New Roma" w:eastAsiaTheme="minorEastAsia" w:hAnsi="New Roma" w:cs="Segoe UI"/>
              <w:color w:val="auto"/>
              <w:sz w:val="24"/>
              <w:szCs w:val="24"/>
              <w:shd w:val="clear" w:color="auto" w:fill="FFFFFF"/>
            </w:rPr>
            <w:t xml:space="preserve">In terms of measuring performance ability between departments, there are the following two measurement standards: First, economic performance and management performance. Economic performance can be calculated and measured by return on investment or residual income and economic added value. Management performance is the performance of the department manager, namely the profitability of the department manager within the projects under his control. </w:t>
          </w:r>
          <w:r w:rsidR="005265B4" w:rsidRPr="005265B4">
            <w:rPr>
              <w:rFonts w:ascii="New Roma" w:eastAsiaTheme="minorEastAsia" w:hAnsi="New Roma" w:cs="Segoe UI"/>
              <w:color w:val="auto"/>
              <w:sz w:val="24"/>
              <w:szCs w:val="24"/>
              <w:shd w:val="clear" w:color="auto" w:fill="FFFFFF"/>
            </w:rPr>
            <w:t>To</w:t>
          </w:r>
          <w:r w:rsidRPr="005265B4">
            <w:rPr>
              <w:rFonts w:ascii="New Roma" w:eastAsiaTheme="minorEastAsia" w:hAnsi="New Roma" w:cs="Segoe UI"/>
              <w:color w:val="auto"/>
              <w:sz w:val="24"/>
              <w:szCs w:val="24"/>
              <w:shd w:val="clear" w:color="auto" w:fill="FFFFFF"/>
            </w:rPr>
            <w:t xml:space="preserve"> maximize shareholders' interests, shareholders take total shareholder return (TSR) as the standard to measure the company's annual </w:t>
          </w:r>
          <w:r w:rsidR="007D1066" w:rsidRPr="005265B4">
            <w:rPr>
              <w:rFonts w:ascii="New Roma" w:eastAsiaTheme="minorEastAsia" w:hAnsi="New Roma" w:cs="Segoe UI"/>
              <w:color w:val="auto"/>
              <w:sz w:val="24"/>
              <w:szCs w:val="24"/>
              <w:shd w:val="clear" w:color="auto" w:fill="FFFFFF"/>
            </w:rPr>
            <w:t>performance</w:t>
          </w:r>
          <w:r w:rsidR="007D1066">
            <w:rPr>
              <w:rFonts w:ascii="New Roma" w:eastAsiaTheme="minorEastAsia" w:hAnsi="New Roma" w:cs="Segoe UI"/>
              <w:color w:val="auto"/>
              <w:sz w:val="24"/>
              <w:szCs w:val="24"/>
              <w:shd w:val="clear" w:color="auto" w:fill="FFFFFF"/>
            </w:rPr>
            <w:t xml:space="preserve"> </w:t>
          </w:r>
          <w:r w:rsidR="007D1066">
            <w:rPr>
              <w:rFonts w:ascii="New Roma" w:eastAsiaTheme="minorEastAsia" w:hAnsi="New Roma" w:cs="Segoe UI" w:hint="eastAsia"/>
              <w:color w:val="auto"/>
              <w:sz w:val="24"/>
              <w:szCs w:val="24"/>
              <w:shd w:val="clear" w:color="auto" w:fill="FFFFFF"/>
            </w:rPr>
            <w:t>(</w:t>
          </w:r>
          <w:r w:rsidR="007D1066" w:rsidRPr="007D1066">
            <w:rPr>
              <w:rFonts w:ascii="New Roma" w:eastAsiaTheme="minorEastAsia" w:hAnsi="New Roma" w:cs="Segoe UI"/>
              <w:color w:val="auto"/>
              <w:sz w:val="24"/>
              <w:szCs w:val="24"/>
              <w:shd w:val="clear" w:color="auto" w:fill="FFFFFF"/>
            </w:rPr>
            <w:t>BARTKUS, 2022</w:t>
          </w:r>
          <w:r w:rsidR="007D1066">
            <w:rPr>
              <w:rFonts w:ascii="New Roma" w:eastAsiaTheme="minorEastAsia" w:hAnsi="New Roma" w:cs="Segoe UI"/>
              <w:color w:val="auto"/>
              <w:sz w:val="24"/>
              <w:szCs w:val="24"/>
              <w:shd w:val="clear" w:color="auto" w:fill="FFFFFF"/>
            </w:rPr>
            <w:t>)</w:t>
          </w:r>
          <w:r w:rsidRPr="005265B4">
            <w:rPr>
              <w:rFonts w:ascii="New Roma" w:eastAsiaTheme="minorEastAsia" w:hAnsi="New Roma" w:cs="Segoe UI"/>
              <w:color w:val="auto"/>
              <w:sz w:val="24"/>
              <w:szCs w:val="24"/>
              <w:shd w:val="clear" w:color="auto" w:fill="FFFFFF"/>
            </w:rPr>
            <w:t>. The formula for calculating total shareholder return is as follows:</w:t>
          </w:r>
        </w:p>
        <w:p w14:paraId="15DA3A30" w14:textId="535D9F06" w:rsidR="00B93E7F" w:rsidRPr="0027537F" w:rsidRDefault="0027537F" w:rsidP="0027537F">
          <w:pPr>
            <w:rPr>
              <w:b/>
              <w:bCs/>
            </w:rPr>
          </w:pPr>
          <w:r w:rsidRPr="0027537F">
            <w:rPr>
              <w:b/>
              <w:bCs/>
            </w:rPr>
            <w:t xml:space="preserve">(Ending stock price - beginning stock price + dividend) </w:t>
          </w:r>
          <w:r>
            <w:rPr>
              <w:rFonts w:hint="eastAsia"/>
              <w:b/>
              <w:bCs/>
              <w:lang w:eastAsia="zh-CN"/>
            </w:rPr>
            <w:t>/</w:t>
          </w:r>
          <w:r>
            <w:rPr>
              <w:b/>
              <w:bCs/>
              <w:lang w:eastAsia="zh-CN"/>
            </w:rPr>
            <w:t xml:space="preserve"> </w:t>
          </w:r>
          <w:r w:rsidRPr="0027537F">
            <w:rPr>
              <w:b/>
              <w:bCs/>
            </w:rPr>
            <w:t>beginning stock price = total shareholder return</w:t>
          </w:r>
        </w:p>
        <w:p w14:paraId="729BC775" w14:textId="5AB4017C" w:rsidR="00B93E7F" w:rsidRPr="005265B4" w:rsidRDefault="0027537F" w:rsidP="00B93E7F">
          <w:pPr>
            <w:rPr>
              <w:rFonts w:ascii="New Roma" w:hAnsi="New Roma" w:cs="Segoe UI" w:hint="eastAsia"/>
              <w:sz w:val="24"/>
              <w:szCs w:val="24"/>
              <w:shd w:val="clear" w:color="auto" w:fill="FFFFFF"/>
            </w:rPr>
          </w:pPr>
          <w:r w:rsidRPr="005265B4">
            <w:rPr>
              <w:rFonts w:ascii="New Roma" w:hAnsi="New Roma" w:cs="Segoe UI"/>
              <w:sz w:val="24"/>
              <w:szCs w:val="24"/>
              <w:shd w:val="clear" w:color="auto" w:fill="FFFFFF"/>
            </w:rPr>
            <w:t xml:space="preserve">Therefore, </w:t>
          </w:r>
          <w:r w:rsidR="005265B4" w:rsidRPr="005265B4">
            <w:rPr>
              <w:rFonts w:ascii="New Roma" w:hAnsi="New Roma" w:cs="Segoe UI"/>
              <w:sz w:val="24"/>
              <w:szCs w:val="24"/>
              <w:shd w:val="clear" w:color="auto" w:fill="FFFFFF"/>
            </w:rPr>
            <w:t>to</w:t>
          </w:r>
          <w:r w:rsidRPr="005265B4">
            <w:rPr>
              <w:rFonts w:ascii="New Roma" w:hAnsi="New Roma" w:cs="Segoe UI"/>
              <w:sz w:val="24"/>
              <w:szCs w:val="24"/>
              <w:shd w:val="clear" w:color="auto" w:fill="FFFFFF"/>
            </w:rPr>
            <w:t xml:space="preserve"> use TSR, the stock price must be mastered. The limitation of using TSR is that it cannot be applied to departments or private companies. return on </w:t>
          </w:r>
          <w:r w:rsidR="005265B4" w:rsidRPr="005265B4">
            <w:rPr>
              <w:rFonts w:ascii="New Roma" w:hAnsi="New Roma" w:cs="Segoe UI"/>
              <w:sz w:val="24"/>
              <w:szCs w:val="24"/>
              <w:shd w:val="clear" w:color="auto" w:fill="FFFFFF"/>
            </w:rPr>
            <w:t xml:space="preserve">investment </w:t>
          </w:r>
          <w:r w:rsidR="005265B4" w:rsidRPr="005265B4">
            <w:rPr>
              <w:rFonts w:ascii="New Roma" w:hAnsi="New Roma" w:cs="Segoe UI" w:hint="eastAsia"/>
              <w:sz w:val="24"/>
              <w:szCs w:val="24"/>
              <w:shd w:val="clear" w:color="auto" w:fill="FFFFFF"/>
            </w:rPr>
            <w:t>(</w:t>
          </w:r>
          <w:r w:rsidRPr="005265B4">
            <w:rPr>
              <w:rFonts w:ascii="New Roma" w:hAnsi="New Roma" w:cs="Segoe UI"/>
              <w:sz w:val="24"/>
              <w:szCs w:val="24"/>
              <w:shd w:val="clear" w:color="auto" w:fill="FFFFFF"/>
            </w:rPr>
            <w:t>ROI) can be used to measure the performance of different departments. ROI r</w:t>
          </w:r>
          <w:r w:rsidRPr="005265B4">
            <w:rPr>
              <w:rFonts w:ascii="New Roma" w:hAnsi="New Roma" w:cs="Segoe UI" w:hint="eastAsia"/>
              <w:sz w:val="24"/>
              <w:szCs w:val="24"/>
              <w:shd w:val="clear" w:color="auto" w:fill="FFFFFF"/>
            </w:rPr>
            <w:t>epresents the percentage of the profits of the department in the assets used by the department. It can be used to measure whether the company has made correct investment decisions in the past, and can also be compared with other departments</w:t>
          </w:r>
          <w:r w:rsidRPr="005265B4">
            <w:rPr>
              <w:rFonts w:ascii="New Roma" w:hAnsi="New Roma" w:cs="Segoe UI"/>
              <w:sz w:val="24"/>
              <w:szCs w:val="24"/>
              <w:shd w:val="clear" w:color="auto" w:fill="FFFFFF"/>
            </w:rPr>
            <w:t>:</w:t>
          </w:r>
        </w:p>
        <w:p w14:paraId="1CA873D6" w14:textId="7A9DBBA9" w:rsidR="0027537F" w:rsidRPr="007D1066" w:rsidRDefault="0027537F" w:rsidP="007D1066">
          <w:pPr>
            <w:jc w:val="center"/>
            <w:rPr>
              <w:b/>
              <w:bCs/>
              <w:lang w:eastAsia="zh-CN"/>
            </w:rPr>
          </w:pPr>
          <w:r w:rsidRPr="0027537F">
            <w:rPr>
              <w:rFonts w:ascii="Arial" w:hAnsi="Arial" w:cs="Arial"/>
              <w:b/>
              <w:bCs/>
              <w:color w:val="191919"/>
              <w:shd w:val="clear" w:color="auto" w:fill="FFFFFF"/>
              <w:lang w:eastAsia="zh-CN"/>
            </w:rPr>
            <w:t>ROI= (return on investment - Cost of investment)/Cost of investment x100%</w:t>
          </w:r>
        </w:p>
        <w:p w14:paraId="673A4D00" w14:textId="77777777" w:rsidR="005265B4" w:rsidRDefault="0027537F" w:rsidP="00B93E7F">
          <w:pPr>
            <w:rPr>
              <w:rFonts w:ascii="New Roma" w:hAnsi="New Roma" w:cs="Segoe UI" w:hint="eastAsia"/>
              <w:b/>
              <w:bCs/>
              <w:sz w:val="24"/>
              <w:szCs w:val="24"/>
              <w:shd w:val="clear" w:color="auto" w:fill="FFFFFF"/>
            </w:rPr>
          </w:pPr>
          <w:r w:rsidRPr="005265B4">
            <w:rPr>
              <w:rFonts w:ascii="New Roma" w:hAnsi="New Roma" w:cs="Segoe UI"/>
              <w:sz w:val="24"/>
              <w:szCs w:val="24"/>
              <w:shd w:val="clear" w:color="auto" w:fill="FFFFFF"/>
            </w:rPr>
            <w:t>The accounting data required by this formula is relatively simple and easy, which can directly reflect the expenditure and income to judge the profit situation. However, this calculation method does not</w:t>
          </w:r>
          <w:r w:rsidRPr="0027537F">
            <w:rPr>
              <w:lang w:eastAsia="zh-CN"/>
            </w:rPr>
            <w:t xml:space="preserve"> </w:t>
          </w:r>
          <w:r w:rsidRPr="005265B4">
            <w:rPr>
              <w:rFonts w:ascii="New Roma" w:hAnsi="New Roma" w:cs="Segoe UI"/>
              <w:sz w:val="24"/>
              <w:szCs w:val="24"/>
              <w:shd w:val="clear" w:color="auto" w:fill="FFFFFF"/>
            </w:rPr>
            <w:t>consider the limitations of the time factor, and it cannot compare the differences between different departments in different revenue periods vertically, which may also lead to inconsistent company objectives. ROI is a short-term performance appraisal index, and managers may abandon long-term valuable projects to improve ROI in the short term. The main limitation of ROI is that it leads to sub-optimization. Therefore, the shareholders will worry that the performance of the department manager cannot be reflected through the calculation of the above method, and want to seek a better way, Residual Income an economic value added (EVATM) have been suggested. Economic performance of the division:</w:t>
          </w:r>
          <w:r w:rsidRPr="0027537F">
            <w:rPr>
              <w:rFonts w:ascii="New Roma" w:hAnsi="New Roma" w:cs="Segoe UI"/>
              <w:b/>
              <w:bCs/>
              <w:sz w:val="24"/>
              <w:szCs w:val="24"/>
              <w:shd w:val="clear" w:color="auto" w:fill="FFFFFF"/>
            </w:rPr>
            <w:t xml:space="preserve"> </w:t>
          </w:r>
        </w:p>
        <w:p w14:paraId="66121BB6" w14:textId="77777777" w:rsidR="007D1066" w:rsidRDefault="007D1066" w:rsidP="00B93E7F">
          <w:pPr>
            <w:rPr>
              <w:rFonts w:ascii="New Roma" w:hAnsi="New Roma" w:cs="Segoe UI" w:hint="eastAsia"/>
              <w:b/>
              <w:bCs/>
              <w:sz w:val="24"/>
              <w:szCs w:val="24"/>
              <w:shd w:val="clear" w:color="auto" w:fill="FFFFFF"/>
            </w:rPr>
          </w:pPr>
        </w:p>
        <w:p w14:paraId="74E8D5A7" w14:textId="1CE70F15" w:rsidR="00B93E7F" w:rsidRPr="005265B4" w:rsidRDefault="0027537F" w:rsidP="00B93E7F">
          <w:pPr>
            <w:rPr>
              <w:lang w:eastAsia="zh-CN"/>
            </w:rPr>
          </w:pPr>
          <w:r w:rsidRPr="0027537F">
            <w:rPr>
              <w:rFonts w:ascii="New Roma" w:hAnsi="New Roma" w:cs="Segoe UI"/>
              <w:b/>
              <w:bCs/>
              <w:sz w:val="24"/>
              <w:szCs w:val="24"/>
              <w:shd w:val="clear" w:color="auto" w:fill="FFFFFF"/>
            </w:rPr>
            <w:t xml:space="preserve">RI = divisional contribution minus a charge for the cost of capital on the total investment in assets used by the division. </w:t>
          </w:r>
        </w:p>
        <w:p w14:paraId="36D6147D" w14:textId="2D658273" w:rsidR="00B93E7F" w:rsidRPr="0027537F" w:rsidRDefault="0027537F" w:rsidP="00B93E7F">
          <w:pPr>
            <w:rPr>
              <w:rFonts w:ascii="New Roma" w:hAnsi="New Roma" w:cs="Segoe UI" w:hint="eastAsia"/>
              <w:sz w:val="24"/>
              <w:szCs w:val="24"/>
              <w:shd w:val="clear" w:color="auto" w:fill="FFFFFF"/>
            </w:rPr>
          </w:pPr>
          <w:r w:rsidRPr="0027537F">
            <w:rPr>
              <w:rFonts w:ascii="New Roma" w:hAnsi="New Roma" w:cs="Segoe UI"/>
              <w:sz w:val="24"/>
              <w:szCs w:val="24"/>
              <w:shd w:val="clear" w:color="auto" w:fill="FFFFFF"/>
            </w:rPr>
            <w:t>RI uses different capital costs for assets of different risk categories and is applicable to different departments, but it also needs to be determined according to the assets and market conditions of the department. As an absolute value index, RI can be accepted as long as the return-on-investment projects is greater than the cost. It is better for managers to select investment projects. Compared with ROI, RI overcomes the limitations brought by inconsistent goals. economic value added (EVATM) is frequently used to evaluate the departmental benefits. The formula is as follows:</w:t>
          </w:r>
        </w:p>
        <w:p w14:paraId="122FC6C2" w14:textId="77777777" w:rsidR="0027537F" w:rsidRPr="0027537F" w:rsidRDefault="0027537F" w:rsidP="0027537F">
          <w:pPr>
            <w:rPr>
              <w:rFonts w:ascii="New Roma" w:hAnsi="New Roma" w:cs="Segoe UI" w:hint="eastAsia"/>
              <w:b/>
              <w:bCs/>
              <w:sz w:val="24"/>
              <w:szCs w:val="24"/>
              <w:shd w:val="clear" w:color="auto" w:fill="FFFFFF"/>
            </w:rPr>
          </w:pPr>
          <w:r w:rsidRPr="0027537F">
            <w:rPr>
              <w:rFonts w:ascii="New Roma" w:hAnsi="New Roma" w:cs="Segoe UI"/>
              <w:b/>
              <w:bCs/>
              <w:sz w:val="24"/>
              <w:szCs w:val="24"/>
              <w:shd w:val="clear" w:color="auto" w:fill="FFFFFF"/>
            </w:rPr>
            <w:t>EVATM = divisional profit + accounting adjustments – cost of capital charge on divisional assets</w:t>
          </w:r>
        </w:p>
        <w:p w14:paraId="0318AE1B" w14:textId="7DC704D0" w:rsidR="0027537F" w:rsidRPr="0027537F" w:rsidRDefault="0027537F" w:rsidP="00B93E7F">
          <w:pPr>
            <w:rPr>
              <w:rFonts w:ascii="New Roma" w:hAnsi="New Roma" w:cs="Segoe UI" w:hint="eastAsia"/>
              <w:sz w:val="24"/>
              <w:szCs w:val="24"/>
              <w:shd w:val="clear" w:color="auto" w:fill="FFFFFF"/>
            </w:rPr>
          </w:pPr>
          <w:r w:rsidRPr="0027537F">
            <w:rPr>
              <w:rFonts w:ascii="New Roma" w:hAnsi="New Roma" w:cs="Segoe UI"/>
              <w:sz w:val="24"/>
              <w:szCs w:val="24"/>
              <w:shd w:val="clear" w:color="auto" w:fill="FFFFFF"/>
            </w:rPr>
            <w:t>EVA spreads costs over the years that benefit from expenses, rather than collecting all costs in one year, and measures economic added value equal to the net present value of future cash flows, so using EVA for performance evaluation will help companies make the best investment decisions. However, it is not easy to obtain the accounting numbers needed to calculate EVA, so it is not that easy to operate.</w:t>
          </w:r>
        </w:p>
        <w:p w14:paraId="328C026F" w14:textId="4E6813FE" w:rsidR="0027537F" w:rsidRPr="0027537F" w:rsidRDefault="0027537F" w:rsidP="00B93E7F">
          <w:pPr>
            <w:rPr>
              <w:rFonts w:ascii="New Roma" w:hAnsi="New Roma" w:cs="Segoe UI" w:hint="eastAsia"/>
              <w:sz w:val="24"/>
              <w:szCs w:val="24"/>
              <w:shd w:val="clear" w:color="auto" w:fill="FFFFFF"/>
            </w:rPr>
          </w:pPr>
          <w:r w:rsidRPr="0027537F">
            <w:rPr>
              <w:rFonts w:ascii="New Roma" w:hAnsi="New Roma" w:cs="Segoe UI"/>
              <w:sz w:val="24"/>
              <w:szCs w:val="24"/>
              <w:shd w:val="clear" w:color="auto" w:fill="FFFFFF"/>
            </w:rPr>
            <w:t>The transfer pricing between departments is that one department sells the commodities or services it produces to another department. The transfer price is generally generated between the parent company and its subsidiary, and the two companies exchange commodities and services. The price charged by A company for selling commodities or services to B company is called the transfer price.</w:t>
          </w:r>
        </w:p>
        <w:p w14:paraId="1FDBC242" w14:textId="77777777" w:rsidR="0027537F" w:rsidRDefault="0027537F" w:rsidP="00B93E7F">
          <w:pPr>
            <w:rPr>
              <w:lang w:eastAsia="zh-CN"/>
            </w:rPr>
          </w:pPr>
        </w:p>
        <w:p w14:paraId="5E9C9D19" w14:textId="26C275E3" w:rsidR="0027537F" w:rsidRPr="0027537F" w:rsidRDefault="0027537F" w:rsidP="00B93E7F">
          <w:pPr>
            <w:rPr>
              <w:rFonts w:ascii="New Roma" w:hAnsi="New Roma" w:cs="Segoe UI" w:hint="eastAsia"/>
              <w:sz w:val="24"/>
              <w:szCs w:val="24"/>
              <w:shd w:val="clear" w:color="auto" w:fill="FFFFFF"/>
            </w:rPr>
          </w:pPr>
          <w:r w:rsidRPr="0027537F">
            <w:rPr>
              <w:rFonts w:ascii="New Roma" w:hAnsi="New Roma" w:cs="Segoe UI"/>
              <w:sz w:val="24"/>
              <w:szCs w:val="24"/>
              <w:shd w:val="clear" w:color="auto" w:fill="FFFFFF"/>
            </w:rPr>
            <w:t>There were two types of warranty service for Portal Fabrication plc. The first one was within the warranty scope of Portal, which was the recharge service of M/S department, which could earn an annual fee of 10 million pounds per year. There were 4-5 pieces of equipment needed to be repaired within the warranty period. The M/S department charges the service department for the parts needed for maintenance according to the cost price. Each maintenance cost is 85 pounds, so the annual maintenance cost is 425 pounds. In this way, the M/S department sells its maintenance service to the service department, and the service department pays about 425 pounds to the M/S department every year, thus completing the transfer pricing between the two departments. An effective transfer price should motivate the department manager to make economic decisions conducive to the maximization of the department's interests and provide the department manager with effective information on performance. At the same time, the transfer price can reasonably avoid taxes. By transferring commodities to countries with low tax rate, the company can realize high pricing to obtain higher profit rate. However, there may be differences in pricing and transfer policies among different departments, which will cost time and manpower in the process of implementing transfer prices, resulting in a large amount of extra costs. Moreover, sellers and</w:t>
          </w:r>
          <w:r w:rsidRPr="0027537F">
            <w:rPr>
              <w:lang w:eastAsia="zh-CN"/>
            </w:rPr>
            <w:t xml:space="preserve"> </w:t>
          </w:r>
          <w:r w:rsidRPr="0027537F">
            <w:rPr>
              <w:rFonts w:ascii="New Roma" w:hAnsi="New Roma" w:cs="Segoe UI"/>
              <w:sz w:val="24"/>
              <w:szCs w:val="24"/>
              <w:shd w:val="clear" w:color="auto" w:fill="FFFFFF"/>
            </w:rPr>
            <w:t xml:space="preserve">buyers hold different functions and bear different risks, which are all risks of transfer prices. The transfer price mainly has the following methods: Based on market price, marginal </w:t>
          </w:r>
          <w:r w:rsidRPr="0027537F">
            <w:rPr>
              <w:rFonts w:ascii="New Roma" w:hAnsi="New Roma" w:cs="Segoe UI"/>
              <w:sz w:val="24"/>
              <w:szCs w:val="24"/>
              <w:shd w:val="clear" w:color="auto" w:fill="FFFFFF"/>
            </w:rPr>
            <w:lastRenderedPageBreak/>
            <w:t>cost, total cost, cost plus markup and negotiation, the company's board of directors is prepared to calculate and compare the first and fourth pricing methods to select the transfer price method that meets the company's requirements. In the calculation of market-based price, the service department acts as the intermediate department, and M/S provides maintenance services for the service department. The company sells 550,000 units per year, of which 8% of the equipment needs to be repaired, 55*8%=4.4. M/S charges the service department at the cost price, which is about 85*4=340 pounds. If the service department contracts the warranty service to an engineering company, the fixed price for each repair service of the engineering company is 200 pounds according to the market price. The engineering company that contracted the repair needs to pay 200*4=800 pounds to the service department, so your service department can earn the difference: 800-340=460 pounds. If the cost of use plus a markup is added, the markup is added to the full cost transfer price or marginal cost transfer price. The full cost transfer price better reflects the long-term cost of the service. To calculate the full cost, we need to further calculate the full cost per unit. The service department needs to pay a cost price of 85 pounds for each repair and needs 4 hours to complete the service, so the repair cost of each unit of the service department is 85/4=21.3 pounds, and the engineering company spends 200 pounds for four hours of repair, so the price of one unit is 200/4=50 pounds. The service department contracts the repair work to the engineering company. A unit of this sector can earn 50-21.3=28.7 pounds. The transfer price of marginal cost = the variable cost of the supplier unit. 28.7 pounds is the increased cost of the service sector.</w:t>
          </w:r>
        </w:p>
        <w:p w14:paraId="1E08DC98" w14:textId="54B63953" w:rsidR="0027537F" w:rsidRPr="0027537F" w:rsidRDefault="0027537F" w:rsidP="00B93E7F">
          <w:pPr>
            <w:rPr>
              <w:rFonts w:ascii="New Roma" w:hAnsi="New Roma" w:cs="Segoe UI" w:hint="eastAsia"/>
              <w:sz w:val="24"/>
              <w:szCs w:val="24"/>
              <w:shd w:val="clear" w:color="auto" w:fill="FFFFFF"/>
            </w:rPr>
          </w:pPr>
          <w:r w:rsidRPr="0027537F">
            <w:rPr>
              <w:rFonts w:ascii="New Roma" w:hAnsi="New Roma" w:cs="Segoe UI"/>
              <w:sz w:val="24"/>
              <w:szCs w:val="24"/>
              <w:shd w:val="clear" w:color="auto" w:fill="FFFFFF"/>
            </w:rPr>
            <w:t>A company's management system is very important, it will help and coordinate the whole organization to make plans and control decisions and help the manager to achieve decision-making responsibility, so that individuals and teams move towards common goals. The company's information management system should contain enough indicators. The Portal information system was originally very single and only considered based on individual functions, but the new system is comprehensive data analysis, and the access channels are increased. Any site can be accessed, and the database can be entered and updated in real time. If the information system is technically effective, it will promote the close connection between the company and the manager, increase the sense of trust and justice, promote the strategic unity between each department and the company, increase the controllability and timeliness, more detailed data, more transparent information, fast and accurate integration, and processing of data, and shorten the time cost of transaction of each department.</w:t>
          </w:r>
        </w:p>
        <w:p w14:paraId="2A5C76E2" w14:textId="59A8CA6C" w:rsidR="00B93E7F" w:rsidRPr="0027537F" w:rsidRDefault="0027537F" w:rsidP="00B93E7F">
          <w:pPr>
            <w:rPr>
              <w:rFonts w:ascii="New Roma" w:hAnsi="New Roma" w:cs="Segoe UI" w:hint="eastAsia"/>
              <w:sz w:val="24"/>
              <w:szCs w:val="24"/>
              <w:shd w:val="clear" w:color="auto" w:fill="FFFFFF"/>
            </w:rPr>
          </w:pPr>
          <w:r w:rsidRPr="0027537F">
            <w:rPr>
              <w:rFonts w:ascii="New Roma" w:hAnsi="New Roma" w:cs="Segoe UI"/>
              <w:sz w:val="24"/>
              <w:szCs w:val="24"/>
              <w:shd w:val="clear" w:color="auto" w:fill="FFFFFF"/>
            </w:rPr>
            <w:t>In the long run, it can provide enterprises with long-term effective economic benefits. The new information system also has a qualitative leap in network application services. Previously, every user had an account in each website, so users must remember the password of each account to successfully access, which takes a long time and is not high security. Now the new system can only use a single account to access each site to access the network of data and resources, users do not need to have multiple usernames and passwords, which is very convenient for users.</w:t>
          </w:r>
        </w:p>
        <w:p w14:paraId="786F02B7" w14:textId="77777777" w:rsidR="00B93E7F" w:rsidRDefault="00B93E7F" w:rsidP="00B93E7F">
          <w:pPr>
            <w:rPr>
              <w:lang w:eastAsia="zh-CN"/>
            </w:rPr>
          </w:pPr>
        </w:p>
        <w:p w14:paraId="36A3799D" w14:textId="77777777" w:rsidR="00BB56E7" w:rsidRPr="00B93E7F" w:rsidRDefault="00BB56E7" w:rsidP="00B93E7F">
          <w:pPr>
            <w:rPr>
              <w:lang w:eastAsia="zh-CN"/>
            </w:rPr>
          </w:pPr>
        </w:p>
        <w:p w14:paraId="654CFE29" w14:textId="113D455A" w:rsidR="00B93E7F" w:rsidRDefault="00B93E7F" w:rsidP="00B93E7F">
          <w:pPr>
            <w:jc w:val="center"/>
            <w:rPr>
              <w:rFonts w:ascii="New Roma" w:hAnsi="New Roma" w:cs="Segoe UI" w:hint="eastAsia"/>
              <w:b/>
              <w:bCs/>
              <w:sz w:val="32"/>
              <w:szCs w:val="32"/>
              <w:shd w:val="clear" w:color="auto" w:fill="FFFFFF"/>
            </w:rPr>
          </w:pPr>
          <w:r w:rsidRPr="00EA33FF">
            <w:rPr>
              <w:rFonts w:ascii="New Roma" w:hAnsi="New Roma" w:cs="Segoe UI"/>
              <w:b/>
              <w:bCs/>
              <w:sz w:val="32"/>
              <w:szCs w:val="32"/>
              <w:shd w:val="clear" w:color="auto" w:fill="FFFFFF"/>
            </w:rPr>
            <w:lastRenderedPageBreak/>
            <w:t>Task 2</w:t>
          </w:r>
          <w:r>
            <w:rPr>
              <w:rFonts w:ascii="New Roma" w:hAnsi="New Roma" w:cs="Segoe UI"/>
              <w:b/>
              <w:bCs/>
              <w:sz w:val="32"/>
              <w:szCs w:val="32"/>
              <w:shd w:val="clear" w:color="auto" w:fill="FFFFFF"/>
            </w:rPr>
            <w:t xml:space="preserve"> </w:t>
          </w:r>
          <w:r w:rsidRPr="00B93E7F">
            <w:rPr>
              <w:rFonts w:ascii="New Roma" w:hAnsi="New Roma" w:cs="Segoe UI"/>
              <w:b/>
              <w:bCs/>
              <w:sz w:val="32"/>
              <w:szCs w:val="32"/>
              <w:shd w:val="clear" w:color="auto" w:fill="FFFFFF"/>
            </w:rPr>
            <w:t>–</w:t>
          </w:r>
          <w:r w:rsidRPr="00EA33FF">
            <w:rPr>
              <w:rFonts w:ascii="New Roma" w:hAnsi="New Roma" w:cs="Segoe UI"/>
              <w:b/>
              <w:bCs/>
              <w:sz w:val="32"/>
              <w:szCs w:val="32"/>
              <w:shd w:val="clear" w:color="auto" w:fill="FFFFFF"/>
            </w:rPr>
            <w:t xml:space="preserve"> Troyland Limited business report</w:t>
          </w:r>
        </w:p>
        <w:p w14:paraId="55BF46FB" w14:textId="77777777" w:rsidR="00B93E7F" w:rsidRPr="00EA33FF" w:rsidRDefault="00B93E7F" w:rsidP="00B93E7F">
          <w:pPr>
            <w:jc w:val="center"/>
            <w:rPr>
              <w:rFonts w:ascii="New Roma" w:hAnsi="New Roma" w:cs="Segoe UI" w:hint="eastAsia"/>
              <w:b/>
              <w:bCs/>
              <w:sz w:val="32"/>
              <w:szCs w:val="32"/>
              <w:shd w:val="clear" w:color="auto" w:fill="FFFFFF"/>
            </w:rPr>
          </w:pPr>
        </w:p>
        <w:p w14:paraId="2612EE17" w14:textId="77777777" w:rsidR="00B93E7F" w:rsidRPr="00086ECE" w:rsidRDefault="00B93E7F" w:rsidP="00B93E7F">
          <w:pPr>
            <w:rPr>
              <w:rFonts w:ascii="New Roma" w:hAnsi="New Roma" w:cs="Segoe UI" w:hint="eastAsia"/>
              <w:b/>
              <w:bCs/>
              <w:sz w:val="28"/>
              <w:szCs w:val="28"/>
              <w:shd w:val="clear" w:color="auto" w:fill="FFFFFF"/>
            </w:rPr>
          </w:pPr>
          <w:r w:rsidRPr="00086ECE">
            <w:rPr>
              <w:rFonts w:ascii="New Roma" w:hAnsi="New Roma" w:cs="Segoe UI" w:hint="eastAsia"/>
              <w:b/>
              <w:bCs/>
              <w:sz w:val="28"/>
              <w:szCs w:val="28"/>
              <w:shd w:val="clear" w:color="auto" w:fill="FFFFFF"/>
            </w:rPr>
            <w:t>I</w:t>
          </w:r>
          <w:r w:rsidRPr="00086ECE">
            <w:rPr>
              <w:rFonts w:ascii="New Roma" w:hAnsi="New Roma" w:cs="Segoe UI"/>
              <w:b/>
              <w:bCs/>
              <w:sz w:val="28"/>
              <w:szCs w:val="28"/>
              <w:shd w:val="clear" w:color="auto" w:fill="FFFFFF"/>
            </w:rPr>
            <w:t>ntroduction</w:t>
          </w:r>
        </w:p>
        <w:p w14:paraId="3F44B934" w14:textId="77777777" w:rsidR="00B93E7F" w:rsidRDefault="00B93E7F" w:rsidP="00B93E7F">
          <w:pPr>
            <w:rPr>
              <w:rFonts w:ascii="New Roma" w:hAnsi="New Roma" w:cs="Segoe UI" w:hint="eastAsia"/>
              <w:sz w:val="24"/>
              <w:szCs w:val="24"/>
              <w:shd w:val="clear" w:color="auto" w:fill="FFFFFF"/>
            </w:rPr>
          </w:pPr>
          <w:r w:rsidRPr="00AA4AFB">
            <w:rPr>
              <w:rFonts w:ascii="New Roma" w:hAnsi="New Roma" w:cs="Segoe UI"/>
              <w:sz w:val="24"/>
              <w:szCs w:val="24"/>
              <w:shd w:val="clear" w:color="auto" w:fill="FFFFFF"/>
            </w:rPr>
            <w:t>Since entering the second decade of the 21st century, earth-shaking changes have taken place in the world situation. The public health events caused by the outbreak of COVID-19 and the military conflict between Russia and Ukraine have brought unprecedented challenges to the existing international order and globalization (Pinzaru. F., Zbuchea. A, 2020; Mbah.R.E. &amp; Wasum, 2022). Under such a background, Troyland Limited's business not only needs to face the challenges of complex international situation, but also needs to face the challenges brought by changes in the industry. This report will analyze three aspects of enterprise growth crisis, corporate performance and business process reengineering under the current situation of Troyland Limited</w:t>
          </w:r>
          <w:r>
            <w:rPr>
              <w:rFonts w:ascii="New Roma" w:hAnsi="New Roma" w:cs="Segoe UI"/>
              <w:sz w:val="24"/>
              <w:szCs w:val="24"/>
              <w:shd w:val="clear" w:color="auto" w:fill="FFFFFF"/>
            </w:rPr>
            <w:t>.</w:t>
          </w:r>
        </w:p>
        <w:p w14:paraId="4A81D95B" w14:textId="77777777" w:rsidR="00B93E7F" w:rsidRDefault="00B93E7F" w:rsidP="00B93E7F">
          <w:pPr>
            <w:rPr>
              <w:rFonts w:ascii="New Roma" w:hAnsi="New Roma" w:cs="Segoe UI" w:hint="eastAsia"/>
              <w:sz w:val="24"/>
              <w:szCs w:val="24"/>
              <w:shd w:val="clear" w:color="auto" w:fill="FFFFFF"/>
            </w:rPr>
          </w:pPr>
        </w:p>
        <w:p w14:paraId="727C4D40" w14:textId="77777777" w:rsidR="00B93E7F" w:rsidRPr="00EA33FF" w:rsidRDefault="00B93E7F" w:rsidP="00B93E7F">
          <w:pPr>
            <w:rPr>
              <w:rFonts w:ascii="New Roma" w:hAnsi="New Roma" w:cs="Segoe UI" w:hint="eastAsia"/>
              <w:b/>
              <w:bCs/>
              <w:sz w:val="28"/>
              <w:szCs w:val="28"/>
              <w:shd w:val="clear" w:color="auto" w:fill="FFFFFF"/>
            </w:rPr>
          </w:pPr>
          <w:r w:rsidRPr="00EA33FF">
            <w:rPr>
              <w:rFonts w:ascii="New Roma" w:hAnsi="New Roma" w:cs="Segoe UI"/>
              <w:b/>
              <w:bCs/>
              <w:sz w:val="28"/>
              <w:szCs w:val="28"/>
              <w:shd w:val="clear" w:color="auto" w:fill="FFFFFF"/>
            </w:rPr>
            <w:t>The Growth Crisis Facing Troyland Limited</w:t>
          </w:r>
        </w:p>
        <w:p w14:paraId="25AC7E3F" w14:textId="77777777" w:rsidR="00B93E7F" w:rsidRPr="00AA4AFB" w:rsidRDefault="00B93E7F" w:rsidP="00B93E7F">
          <w:pPr>
            <w:rPr>
              <w:rFonts w:ascii="New Roma" w:hAnsi="New Roma" w:cs="Segoe UI" w:hint="eastAsia"/>
              <w:sz w:val="24"/>
              <w:szCs w:val="24"/>
              <w:shd w:val="clear" w:color="auto" w:fill="FFFFFF"/>
            </w:rPr>
          </w:pPr>
          <w:r w:rsidRPr="00AA4AFB">
            <w:rPr>
              <w:rFonts w:ascii="New Roma" w:hAnsi="New Roma" w:cs="Segoe UI"/>
              <w:sz w:val="24"/>
              <w:szCs w:val="24"/>
              <w:shd w:val="clear" w:color="auto" w:fill="FFFFFF"/>
            </w:rPr>
            <w:t>As can be seen from the statement of operating funds, Troyland Limited's operating funds gradually increased in 2018, 2019 and 20203, and its liabilities stabilized at about 180 thousand pounds, while its operating funds and assets increased in the three years. However, the company entered 2021 with debts of 237 thousand pounds, an average increase of 31 percent over the previous three years. Working capital is 160 thousand pounds lower than in 2019, and assets are down nearly 25 percent. The results of the financial performance statement and the market share statement also indicate that the company's performance in 2021 declined significantly. It was clear that Troyland was facing a growth crisis. There are many factors related to the growth crisis of enterprises, which can be roughly divided into macro factors, micro factors, external factors and internal factors.</w:t>
          </w:r>
        </w:p>
        <w:p w14:paraId="6574033D" w14:textId="77777777" w:rsidR="00B93E7F" w:rsidRDefault="00B93E7F" w:rsidP="00B93E7F">
          <w:pPr>
            <w:rPr>
              <w:rFonts w:ascii="New Roma" w:hAnsi="New Roma" w:cs="Segoe UI" w:hint="eastAsia"/>
              <w:sz w:val="24"/>
              <w:szCs w:val="24"/>
              <w:shd w:val="clear" w:color="auto" w:fill="FFFFFF"/>
            </w:rPr>
          </w:pPr>
          <w:r w:rsidRPr="008A1375">
            <w:rPr>
              <w:rFonts w:ascii="New Roma" w:hAnsi="New Roma" w:cs="Segoe UI"/>
              <w:sz w:val="24"/>
              <w:szCs w:val="24"/>
              <w:shd w:val="clear" w:color="auto" w:fill="FFFFFF"/>
            </w:rPr>
            <w:t xml:space="preserve">At the macro level, there are two aspects that will affect the company's business. First, rising oil and gas prices due to the Russia-Ukraine conflict led to rising prices and a weakening of sterling (REUTERS, 2022). Since the conflict between Russia and Ukraine will not end in the short term, such a situation will have a negative impact on economic growth, business investment, price levels and consumer spending in European economies. Most of Troyland's consumers come from London and continental Europe, and the decline of consumer level will bring more obvious impact on the company's commodity business. Second, the impact of the World economic recession. According to the latest forecast of the World Bank, the growth in 2023 is only 1.7%, which is a significant decrease compared with the forecast of 3% in 2022 (World Bank, 2022). Among them, the UK economy contracted more than previously expected, the US interest rate rose to a 14-year high, and the Chinese factory performance was lower than expected (Daniel Thomas, 2022; Natalie Sherman.,2022). World Bank President David Malpass says the downturn is long term and people around the world will have lower incomes than they did before COVID-19 (Jonathan Josephs, 2022). There are signs </w:t>
          </w:r>
          <w:r w:rsidRPr="008A1375">
            <w:rPr>
              <w:rFonts w:ascii="New Roma" w:hAnsi="New Roma" w:cs="Segoe UI"/>
              <w:sz w:val="24"/>
              <w:szCs w:val="24"/>
              <w:shd w:val="clear" w:color="auto" w:fill="FFFFFF"/>
            </w:rPr>
            <w:lastRenderedPageBreak/>
            <w:t>that a world recession will occur, and tough economic conditions in the UK and the eurozone will affect the company's future business layout.</w:t>
          </w:r>
        </w:p>
        <w:p w14:paraId="2EAD1886" w14:textId="77777777" w:rsidR="00B93E7F" w:rsidRDefault="00B93E7F" w:rsidP="00B93E7F">
          <w:pPr>
            <w:rPr>
              <w:rFonts w:ascii="New Roma" w:hAnsi="New Roma" w:cs="Segoe UI" w:hint="eastAsia"/>
              <w:sz w:val="24"/>
              <w:szCs w:val="24"/>
              <w:shd w:val="clear" w:color="auto" w:fill="FFFFFF"/>
            </w:rPr>
          </w:pPr>
          <w:r w:rsidRPr="00B743C2">
            <w:rPr>
              <w:rFonts w:ascii="New Roma" w:hAnsi="New Roma" w:cs="Segoe UI"/>
              <w:sz w:val="24"/>
              <w:szCs w:val="24"/>
              <w:shd w:val="clear" w:color="auto" w:fill="FFFFFF"/>
            </w:rPr>
            <w:t>In the micro factors, due to the impact of the epidemic and war, consumers' consumption preferences have changed greatly. In terms of purchasing necessities and non-necessities, most consumers choose to purchase more necessities (Raturi. R, 2022). The cost performance and price of products become the main consideration of consumers when purchasing products (Raturi. R, 2022). In addition, the researchers found that residents' savings increased</w:t>
          </w:r>
          <w:r w:rsidRPr="00B743C2">
            <w:rPr>
              <w:rFonts w:ascii="New Roma" w:hAnsi="New Roma" w:cs="Segoe UI" w:hint="eastAsia"/>
              <w:sz w:val="24"/>
              <w:szCs w:val="24"/>
              <w:shd w:val="clear" w:color="auto" w:fill="FFFFFF"/>
            </w:rPr>
            <w:t>,</w:t>
          </w:r>
          <w:r w:rsidRPr="00B743C2">
            <w:rPr>
              <w:rFonts w:ascii="New Roma" w:hAnsi="New Roma" w:cs="Segoe UI"/>
              <w:sz w:val="24"/>
              <w:szCs w:val="24"/>
              <w:shd w:val="clear" w:color="auto" w:fill="FFFFFF"/>
            </w:rPr>
            <w:t xml:space="preserve"> and the purchase rate decreased, which led to a decline in consumers' impulse to buy (Dou el at, 2020). Troyland's products are mostly shoes, sandals, boots and accessories, etc., which are only used by middle- and upper-clas</w:t>
          </w:r>
          <w:r w:rsidRPr="00B743C2">
            <w:rPr>
              <w:rFonts w:ascii="New Roma" w:hAnsi="New Roma" w:cs="Segoe UI" w:hint="eastAsia"/>
              <w:sz w:val="24"/>
              <w:szCs w:val="24"/>
              <w:shd w:val="clear" w:color="auto" w:fill="FFFFFF"/>
            </w:rPr>
            <w:t>s</w:t>
          </w:r>
          <w:r w:rsidRPr="00B743C2">
            <w:rPr>
              <w:rFonts w:ascii="New Roma" w:hAnsi="New Roma" w:cs="Segoe UI"/>
              <w:sz w:val="24"/>
              <w:szCs w:val="24"/>
              <w:shd w:val="clear" w:color="auto" w:fill="FFFFFF"/>
            </w:rPr>
            <w:t xml:space="preserve"> customers. The study suggests that changing consumer preferences during the pandemic in 2021 contributed to the company's sales decline.</w:t>
          </w:r>
        </w:p>
        <w:p w14:paraId="41928C98" w14:textId="77777777" w:rsidR="00B93E7F" w:rsidRDefault="00B93E7F" w:rsidP="00B93E7F">
          <w:pPr>
            <w:rPr>
              <w:rFonts w:ascii="New Roma" w:hAnsi="New Roma" w:cs="Segoe UI" w:hint="eastAsia"/>
              <w:sz w:val="24"/>
              <w:szCs w:val="24"/>
              <w:shd w:val="clear" w:color="auto" w:fill="FFFFFF"/>
            </w:rPr>
          </w:pPr>
          <w:r w:rsidRPr="00A35584">
            <w:rPr>
              <w:rFonts w:ascii="New Roma" w:hAnsi="New Roma" w:cs="Segoe UI"/>
              <w:sz w:val="24"/>
              <w:szCs w:val="24"/>
              <w:shd w:val="clear" w:color="auto" w:fill="FFFFFF"/>
            </w:rPr>
            <w:t xml:space="preserve">In the external environment, there are mainly two aspects that will have an impact on the future development of the company. First, competition from the same industry. Troyland's main business is in London, England and major countries in the euro zone. The company's products face competition from industry giants such as Clarks, Church's and Crockett &amp; Jones in London, as well as a host of international brands such as Tod's, Santoni, Allen Edmonds and Berluti in the eurozone. Troyland, meanwhile, faces competition from companies of its size, nearby shops and traditional shoe shops in London that have been around for hundreds of years. The industry is very competitive. The company's "London market share table" shows an average annual decline of 1% since 2019. Secondly, Troyland has certain risks in the supply of raw materials for its products, most of which come from developing countries. Due to political, economic, cultural and other factors in some developing countries, the domestic situation of the country is constantly changing. Such instability will impact the supply of raw materials for the company's products, thus affecting the sales price and sales volume (Moheb-Alizadeh. H., </w:t>
          </w:r>
          <w:r w:rsidRPr="00A35584">
            <w:rPr>
              <w:rFonts w:ascii="New Roma" w:hAnsi="New Roma" w:cs="Segoe UI" w:hint="eastAsia"/>
              <w:sz w:val="24"/>
              <w:szCs w:val="24"/>
              <w:shd w:val="clear" w:color="auto" w:fill="FFFFFF"/>
            </w:rPr>
            <w:t>&amp;</w:t>
          </w:r>
          <w:r w:rsidRPr="00A35584">
            <w:rPr>
              <w:rFonts w:ascii="New Roma" w:hAnsi="New Roma" w:cs="Segoe UI"/>
              <w:sz w:val="24"/>
              <w:szCs w:val="24"/>
              <w:shd w:val="clear" w:color="auto" w:fill="FFFFFF"/>
            </w:rPr>
            <w:t xml:space="preserve"> Handfield. R, 2018).</w:t>
          </w:r>
        </w:p>
        <w:p w14:paraId="2E287ABD" w14:textId="77777777" w:rsidR="00B93E7F" w:rsidRDefault="00B93E7F" w:rsidP="00B93E7F">
          <w:pPr>
            <w:rPr>
              <w:rFonts w:ascii="New Roma" w:hAnsi="New Roma" w:cs="Segoe UI" w:hint="eastAsia"/>
              <w:sz w:val="24"/>
              <w:szCs w:val="24"/>
              <w:shd w:val="clear" w:color="auto" w:fill="FFFFFF"/>
            </w:rPr>
          </w:pPr>
          <w:r w:rsidRPr="00A35584">
            <w:rPr>
              <w:rFonts w:ascii="New Roma" w:hAnsi="New Roma" w:cs="Segoe UI"/>
              <w:sz w:val="24"/>
              <w:szCs w:val="24"/>
              <w:shd w:val="clear" w:color="auto" w:fill="FFFFFF"/>
            </w:rPr>
            <w:t>In the internal environment, the employee turnover rate of the company will affect the future development of the company. Companies need to become more competitive, and retaining the best employees is an important part of that. Employees themselves are the most important corporate assets in a company's operation (Rivai, 2009). The departure of employees is a loss to the company. Kumar et al.(2012) pointed out that employee turnover would increase a company's operating costs, thus reducing its social influence, and a higher turnover rate would bring more negative social impacts to a company. According to the statistics of Gillis(1994), the turnover rate of employees is within the range of 10% to 5%, which belongs to the normal dimission range. When the turnover rate of employees exceeds 10% per year, it will be relatively high. As can be seen from the "employee table" of Troyland Company, the average turnover rate of the company in three years exceeded 15%, which itself increased the burden on the internal operation of the company, and thus reduced the employees' willingness to work and loyalty to the company.</w:t>
          </w:r>
        </w:p>
        <w:p w14:paraId="61F95E21" w14:textId="77777777" w:rsidR="00B93E7F" w:rsidRDefault="00B93E7F" w:rsidP="00B93E7F">
          <w:pPr>
            <w:rPr>
              <w:rFonts w:ascii="New Roma" w:hAnsi="New Roma" w:cs="Segoe UI" w:hint="eastAsia"/>
              <w:sz w:val="24"/>
              <w:szCs w:val="24"/>
              <w:shd w:val="clear" w:color="auto" w:fill="FFFFFF"/>
            </w:rPr>
          </w:pPr>
        </w:p>
        <w:p w14:paraId="369CFE0B" w14:textId="77777777" w:rsidR="00B93E7F" w:rsidRDefault="00B93E7F" w:rsidP="00B93E7F">
          <w:pPr>
            <w:rPr>
              <w:rFonts w:ascii="New Roma" w:hAnsi="New Roma" w:cs="Segoe UI" w:hint="eastAsia"/>
              <w:sz w:val="24"/>
              <w:szCs w:val="24"/>
              <w:shd w:val="clear" w:color="auto" w:fill="FFFFFF"/>
            </w:rPr>
          </w:pPr>
        </w:p>
        <w:p w14:paraId="3FCAAE9C" w14:textId="77777777" w:rsidR="00B93E7F" w:rsidRDefault="00B93E7F" w:rsidP="00B93E7F">
          <w:pPr>
            <w:rPr>
              <w:rFonts w:ascii="New Roma" w:hAnsi="New Roma" w:cs="Segoe UI" w:hint="eastAsia"/>
              <w:b/>
              <w:bCs/>
              <w:sz w:val="28"/>
              <w:szCs w:val="28"/>
              <w:shd w:val="clear" w:color="auto" w:fill="FFFFFF"/>
            </w:rPr>
          </w:pPr>
          <w:bookmarkStart w:id="4" w:name="_Hlk134464366"/>
          <w:r w:rsidRPr="00EA33FF">
            <w:rPr>
              <w:rFonts w:ascii="New Roma" w:hAnsi="New Roma" w:cs="Segoe UI"/>
              <w:b/>
              <w:bCs/>
              <w:sz w:val="28"/>
              <w:szCs w:val="28"/>
              <w:shd w:val="clear" w:color="auto" w:fill="FFFFFF"/>
            </w:rPr>
            <w:lastRenderedPageBreak/>
            <w:t xml:space="preserve">Quantitative and </w:t>
          </w:r>
          <w:r>
            <w:rPr>
              <w:rFonts w:ascii="New Roma" w:hAnsi="New Roma" w:cs="Segoe UI"/>
              <w:b/>
              <w:bCs/>
              <w:sz w:val="28"/>
              <w:szCs w:val="28"/>
              <w:shd w:val="clear" w:color="auto" w:fill="FFFFFF"/>
            </w:rPr>
            <w:t>Q</w:t>
          </w:r>
          <w:r w:rsidRPr="00EA33FF">
            <w:rPr>
              <w:rFonts w:ascii="New Roma" w:hAnsi="New Roma" w:cs="Segoe UI"/>
              <w:b/>
              <w:bCs/>
              <w:sz w:val="28"/>
              <w:szCs w:val="28"/>
              <w:shd w:val="clear" w:color="auto" w:fill="FFFFFF"/>
            </w:rPr>
            <w:t xml:space="preserve">ualitative </w:t>
          </w:r>
          <w:r>
            <w:rPr>
              <w:rFonts w:ascii="New Roma" w:hAnsi="New Roma" w:cs="Segoe UI"/>
              <w:b/>
              <w:bCs/>
              <w:sz w:val="28"/>
              <w:szCs w:val="28"/>
              <w:shd w:val="clear" w:color="auto" w:fill="FFFFFF"/>
            </w:rPr>
            <w:t>P</w:t>
          </w:r>
          <w:r w:rsidRPr="00EA33FF">
            <w:rPr>
              <w:rFonts w:ascii="New Roma" w:hAnsi="New Roma" w:cs="Segoe UI"/>
              <w:b/>
              <w:bCs/>
              <w:sz w:val="28"/>
              <w:szCs w:val="28"/>
              <w:shd w:val="clear" w:color="auto" w:fill="FFFFFF"/>
            </w:rPr>
            <w:t xml:space="preserve">erformance </w:t>
          </w:r>
          <w:r>
            <w:rPr>
              <w:rFonts w:ascii="New Roma" w:hAnsi="New Roma" w:cs="Segoe UI"/>
              <w:b/>
              <w:bCs/>
              <w:sz w:val="28"/>
              <w:szCs w:val="28"/>
              <w:shd w:val="clear" w:color="auto" w:fill="FFFFFF"/>
            </w:rPr>
            <w:t>A</w:t>
          </w:r>
          <w:r w:rsidRPr="00EA33FF">
            <w:rPr>
              <w:rFonts w:ascii="New Roma" w:hAnsi="New Roma" w:cs="Segoe UI"/>
              <w:b/>
              <w:bCs/>
              <w:sz w:val="28"/>
              <w:szCs w:val="28"/>
              <w:shd w:val="clear" w:color="auto" w:fill="FFFFFF"/>
            </w:rPr>
            <w:t>nalyse</w:t>
          </w:r>
        </w:p>
        <w:bookmarkEnd w:id="4"/>
        <w:p w14:paraId="5D995C81" w14:textId="77777777" w:rsidR="00B93E7F" w:rsidRPr="00090791" w:rsidRDefault="00B93E7F" w:rsidP="00B93E7F">
          <w:pPr>
            <w:rPr>
              <w:rFonts w:ascii="New Roma" w:hAnsi="New Roma" w:cs="Segoe UI" w:hint="eastAsia"/>
              <w:sz w:val="24"/>
              <w:szCs w:val="24"/>
              <w:shd w:val="clear" w:color="auto" w:fill="FFFFFF"/>
            </w:rPr>
          </w:pPr>
          <w:r w:rsidRPr="00090791">
            <w:rPr>
              <w:rFonts w:ascii="New Roma" w:hAnsi="New Roma" w:cs="Segoe UI"/>
              <w:sz w:val="24"/>
              <w:szCs w:val="24"/>
              <w:shd w:val="clear" w:color="auto" w:fill="FFFFFF"/>
            </w:rPr>
            <w:t>Balanced Scorecard (BSC) is a set of analysis system to measure and help enterprises specify strategic plans. It was first proposed by Kaplan and Norton in 1992. Kaplan and Norton argue that it is the design of BCS to develop strategies for all companies in the industry (Kaplan.R.s., &amp; Norton, 2005). BCS is a business performance management tool that comprehensively evaluates and manages business performance based on four perspectives: finance, customer, internal business, and Learning and growth. Helps companies achieve strategic goals and improve business performance by setting key performance indicators (KPIs) and targets. Because of this, companies in the industry need to subdivide their marketing strategies into different target markets to find a suitable marketing strategy for the company.</w:t>
          </w:r>
        </w:p>
        <w:p w14:paraId="5F7EA5CA" w14:textId="77777777" w:rsidR="00B93E7F" w:rsidRPr="00090791" w:rsidRDefault="00B93E7F" w:rsidP="00B93E7F">
          <w:pPr>
            <w:rPr>
              <w:rFonts w:ascii="New Roma" w:hAnsi="New Roma" w:cs="Segoe UI" w:hint="eastAsia"/>
              <w:sz w:val="24"/>
              <w:szCs w:val="24"/>
              <w:shd w:val="clear" w:color="auto" w:fill="FFFFFF"/>
            </w:rPr>
          </w:pPr>
          <w:r w:rsidRPr="00090791">
            <w:rPr>
              <w:rFonts w:ascii="New Roma" w:hAnsi="New Roma" w:cs="Segoe UI"/>
              <w:sz w:val="24"/>
              <w:szCs w:val="24"/>
              <w:shd w:val="clear" w:color="auto" w:fill="FFFFFF"/>
            </w:rPr>
            <w:t>For many retailers like Troyland, the Balanced scorecard offers four benefits. First, the Balanced Scorecard can help retailers translate strategic goals into specific performance indicators and action plans to achieve better business performance. Second, the Balanced Scorecard assesses retailers in terms of customers, internal operations and learning and growth, ensuring that all aspects of the business are effectively managed and improved. Third, the balanced scorecard can promote collaboration and communication within the enterprise, so that various departments can better coordinate their work and achieve the overall business objectives. Finally, balanced scorecards can help retailers make more informed decisions in the rapidly changing market environment, so as to gain greater advantages in the competition (Tuan.T. T., 2020).</w:t>
          </w:r>
        </w:p>
        <w:p w14:paraId="18AB29ED" w14:textId="77777777" w:rsidR="00B93E7F" w:rsidRPr="00090791" w:rsidRDefault="00B93E7F" w:rsidP="00B93E7F">
          <w:pPr>
            <w:rPr>
              <w:rFonts w:ascii="New Roma" w:hAnsi="New Roma" w:cs="Segoe UI" w:hint="eastAsia"/>
              <w:sz w:val="24"/>
              <w:szCs w:val="24"/>
              <w:shd w:val="clear" w:color="auto" w:fill="FFFFFF"/>
            </w:rPr>
          </w:pPr>
          <w:r w:rsidRPr="00090791">
            <w:rPr>
              <w:rFonts w:ascii="New Roma" w:hAnsi="New Roma" w:cs="Segoe UI"/>
              <w:sz w:val="24"/>
              <w:szCs w:val="24"/>
              <w:shd w:val="clear" w:color="auto" w:fill="FFFFFF"/>
            </w:rPr>
            <w:t>According to the overview and relevant statements of Troyland in recent years, such as financial statements, performance statements, market share statements and employee status statements, these data show that Troyland's business situation has declined seriously in recent years, with all internal indexes declining by nearly 30%. It can be seen from the statistics of Troyland in BSC as shown in Table 1. The financial objectives, customer objectives, internal business objectives and learning and growth objectives in the table are all unsatisfactory. This table is made according to Troyland's recent overview and related statements and simulates the company's business layout in terms of market strategy, human resources and marketing strategy. As shown in Table 1, Troyland is unclear about customer goals and internal business goals. This also led to a sharp decline in the fiscal position, which in 2021 was down nearly -286% from the previous year. The sales department and manager of the company should bear a lot of responsibility for this situation. At the same time, the company had a turnover rate of more than 10 percent from 15 employees.</w:t>
          </w:r>
        </w:p>
        <w:p w14:paraId="79742004" w14:textId="3B454449" w:rsidR="00B93E7F" w:rsidRPr="00090791" w:rsidRDefault="00B93E7F" w:rsidP="00B93E7F">
          <w:pPr>
            <w:rPr>
              <w:rFonts w:ascii="New Roma" w:hAnsi="New Roma" w:cs="Segoe UI" w:hint="eastAsia"/>
              <w:sz w:val="24"/>
              <w:szCs w:val="24"/>
              <w:shd w:val="clear" w:color="auto" w:fill="FFFFFF"/>
            </w:rPr>
          </w:pPr>
          <w:r>
            <w:rPr>
              <w:rFonts w:ascii="New Roma" w:hAnsi="New Roma" w:cs="Segoe UI"/>
              <w:sz w:val="24"/>
              <w:szCs w:val="24"/>
              <w:shd w:val="clear" w:color="auto" w:fill="FFFFFF"/>
            </w:rPr>
            <w:t>O</w:t>
          </w:r>
          <w:r>
            <w:rPr>
              <w:rFonts w:ascii="New Roma" w:hAnsi="New Roma" w:cs="Segoe UI" w:hint="eastAsia"/>
              <w:sz w:val="24"/>
              <w:szCs w:val="24"/>
              <w:shd w:val="clear" w:color="auto" w:fill="FFFFFF"/>
            </w:rPr>
            <w:t>ver</w:t>
          </w:r>
          <w:r>
            <w:rPr>
              <w:rFonts w:ascii="New Roma" w:hAnsi="New Roma" w:cs="Segoe UI"/>
              <w:sz w:val="24"/>
              <w:szCs w:val="24"/>
              <w:shd w:val="clear" w:color="auto" w:fill="FFFFFF"/>
            </w:rPr>
            <w:t>all</w:t>
          </w:r>
          <w:r w:rsidRPr="00090791">
            <w:rPr>
              <w:rFonts w:ascii="New Roma" w:hAnsi="New Roma" w:cs="Segoe UI"/>
              <w:sz w:val="24"/>
              <w:szCs w:val="24"/>
              <w:shd w:val="clear" w:color="auto" w:fill="FFFFFF"/>
            </w:rPr>
            <w:t xml:space="preserve">, the current state of Troyland is worrying. This paper analyzes three reasons leading to the decline of the company. First, customer goals that are consistent with the development of the company, such as increasing customer satisfaction and customer loyalty, are not set. Second, Troyland did not develop a new market plan and internal operating targets, which resulted in the company's London market share in 2021 declining for two consecutive years to 0.25% from 2.75% before 2019. Third, due to changes in the external environment, such as the global economy and the outbreak of </w:t>
          </w:r>
          <w:r w:rsidRPr="00090791">
            <w:rPr>
              <w:rFonts w:ascii="New Roma" w:hAnsi="New Roma" w:cs="Segoe UI"/>
              <w:sz w:val="24"/>
              <w:szCs w:val="24"/>
              <w:shd w:val="clear" w:color="auto" w:fill="FFFFFF"/>
            </w:rPr>
            <w:lastRenderedPageBreak/>
            <w:t>COVID-19 in Europe, the consumer market weakened, and the company did not make timely response.</w:t>
          </w:r>
        </w:p>
        <w:p w14:paraId="76FD3F1F" w14:textId="77777777" w:rsidR="00B93E7F" w:rsidRPr="00E12251" w:rsidRDefault="00B93E7F" w:rsidP="00B93E7F">
          <w:pPr>
            <w:rPr>
              <w:rFonts w:ascii="New Roma" w:hAnsi="New Roma" w:cs="Segoe UI" w:hint="eastAsia"/>
              <w:sz w:val="24"/>
              <w:szCs w:val="24"/>
              <w:shd w:val="clear" w:color="auto" w:fill="FFFFFF"/>
            </w:rPr>
          </w:pPr>
          <w:r w:rsidRPr="00E12251">
            <w:rPr>
              <w:rFonts w:ascii="New Roma" w:hAnsi="New Roma" w:cs="Segoe UI"/>
              <w:sz w:val="24"/>
              <w:szCs w:val="24"/>
              <w:shd w:val="clear" w:color="auto" w:fill="FFFFFF"/>
            </w:rPr>
            <w:t>T</w:t>
          </w:r>
          <w:r w:rsidRPr="00E12251">
            <w:rPr>
              <w:rFonts w:ascii="New Roma" w:hAnsi="New Roma" w:cs="Segoe UI" w:hint="eastAsia"/>
              <w:sz w:val="24"/>
              <w:szCs w:val="24"/>
              <w:shd w:val="clear" w:color="auto" w:fill="FFFFFF"/>
            </w:rPr>
            <w:t>a</w:t>
          </w:r>
          <w:r w:rsidRPr="00E12251">
            <w:rPr>
              <w:rFonts w:ascii="New Roma" w:hAnsi="New Roma" w:cs="Segoe UI"/>
              <w:sz w:val="24"/>
              <w:szCs w:val="24"/>
              <w:shd w:val="clear" w:color="auto" w:fill="FFFFFF"/>
            </w:rPr>
            <w:t xml:space="preserve">ble 1: </w:t>
          </w:r>
          <w:r w:rsidRPr="00D33AED">
            <w:rPr>
              <w:rFonts w:ascii="New Roma" w:hAnsi="New Roma" w:cs="Segoe UI"/>
              <w:sz w:val="24"/>
              <w:szCs w:val="24"/>
              <w:shd w:val="clear" w:color="auto" w:fill="FFFFFF"/>
            </w:rPr>
            <w:t>Current State Balanced Scorecard for</w:t>
          </w:r>
          <w:r>
            <w:rPr>
              <w:rFonts w:ascii="New Roma" w:hAnsi="New Roma" w:cs="Segoe UI"/>
              <w:sz w:val="24"/>
              <w:szCs w:val="24"/>
              <w:shd w:val="clear" w:color="auto" w:fill="FFFFFF"/>
            </w:rPr>
            <w:t xml:space="preserve"> </w:t>
          </w:r>
          <w:r w:rsidRPr="00A35584">
            <w:rPr>
              <w:rFonts w:ascii="New Roma" w:hAnsi="New Roma" w:cs="Segoe UI"/>
              <w:sz w:val="24"/>
              <w:szCs w:val="24"/>
              <w:shd w:val="clear" w:color="auto" w:fill="FFFFFF"/>
            </w:rPr>
            <w:t>Troyland</w:t>
          </w:r>
        </w:p>
        <w:tbl>
          <w:tblPr>
            <w:tblStyle w:val="TableGrid"/>
            <w:tblW w:w="0" w:type="auto"/>
            <w:tblLook w:val="04A0" w:firstRow="1" w:lastRow="0" w:firstColumn="1" w:lastColumn="0" w:noHBand="0" w:noVBand="1"/>
          </w:tblPr>
          <w:tblGrid>
            <w:gridCol w:w="2037"/>
            <w:gridCol w:w="1012"/>
            <w:gridCol w:w="1169"/>
            <w:gridCol w:w="968"/>
            <w:gridCol w:w="1072"/>
            <w:gridCol w:w="1494"/>
            <w:gridCol w:w="1264"/>
          </w:tblGrid>
          <w:tr w:rsidR="00B93E7F" w:rsidRPr="00D63D32" w14:paraId="0BF608B3" w14:textId="77777777" w:rsidTr="00ED3CCF">
            <w:tc>
              <w:tcPr>
                <w:tcW w:w="2037" w:type="dxa"/>
              </w:tcPr>
              <w:p w14:paraId="6C6B8A43" w14:textId="77777777" w:rsidR="00B93E7F" w:rsidRPr="00D63D32" w:rsidRDefault="00B93E7F" w:rsidP="00ED3CCF">
                <w:pPr>
                  <w:jc w:val="center"/>
                  <w:rPr>
                    <w:rFonts w:ascii="New Roma" w:hAnsi="New Roma" w:cs="Segoe UI" w:hint="eastAsia"/>
                    <w:b/>
                    <w:bCs/>
                    <w:sz w:val="20"/>
                    <w:szCs w:val="20"/>
                    <w:shd w:val="clear" w:color="auto" w:fill="FFFFFF"/>
                  </w:rPr>
                </w:pPr>
                <w:r w:rsidRPr="00D63D32">
                  <w:rPr>
                    <w:rFonts w:ascii="New Roma" w:hAnsi="New Roma" w:cs="Segoe UI"/>
                    <w:b/>
                    <w:bCs/>
                    <w:sz w:val="20"/>
                    <w:szCs w:val="20"/>
                    <w:shd w:val="clear" w:color="auto" w:fill="FFFFFF"/>
                  </w:rPr>
                  <w:t>Objective/Indicator</w:t>
                </w:r>
              </w:p>
            </w:tc>
            <w:tc>
              <w:tcPr>
                <w:tcW w:w="1025" w:type="dxa"/>
              </w:tcPr>
              <w:p w14:paraId="74A40BDF" w14:textId="77777777" w:rsidR="00B93E7F" w:rsidRPr="00D63D32" w:rsidRDefault="00B93E7F" w:rsidP="00ED3CCF">
                <w:pPr>
                  <w:jc w:val="center"/>
                  <w:rPr>
                    <w:rFonts w:ascii="New Roma" w:hAnsi="New Roma" w:cs="Segoe UI" w:hint="eastAsia"/>
                    <w:b/>
                    <w:bCs/>
                    <w:sz w:val="20"/>
                    <w:szCs w:val="20"/>
                    <w:shd w:val="clear" w:color="auto" w:fill="FFFFFF"/>
                  </w:rPr>
                </w:pPr>
                <w:r w:rsidRPr="00D63D32">
                  <w:rPr>
                    <w:rFonts w:ascii="New Roma" w:hAnsi="New Roma" w:cs="Segoe UI"/>
                    <w:b/>
                    <w:bCs/>
                    <w:sz w:val="20"/>
                    <w:szCs w:val="20"/>
                    <w:shd w:val="clear" w:color="auto" w:fill="FFFFFF"/>
                  </w:rPr>
                  <w:t>Target</w:t>
                </w:r>
                <w:r>
                  <w:rPr>
                    <w:rFonts w:ascii="New Roma" w:hAnsi="New Roma" w:cs="Segoe UI"/>
                    <w:b/>
                    <w:bCs/>
                    <w:sz w:val="20"/>
                    <w:szCs w:val="20"/>
                    <w:shd w:val="clear" w:color="auto" w:fill="FFFFFF"/>
                  </w:rPr>
                  <w:t xml:space="preserve"> for 2021 </w:t>
                </w:r>
              </w:p>
            </w:tc>
            <w:tc>
              <w:tcPr>
                <w:tcW w:w="1185" w:type="dxa"/>
              </w:tcPr>
              <w:p w14:paraId="54685AA1" w14:textId="77777777" w:rsidR="00B93E7F" w:rsidRPr="00D63D32" w:rsidRDefault="00B93E7F" w:rsidP="00ED3CCF">
                <w:pPr>
                  <w:jc w:val="center"/>
                  <w:rPr>
                    <w:rFonts w:ascii="New Roma" w:hAnsi="New Roma" w:cs="Segoe UI" w:hint="eastAsia"/>
                    <w:b/>
                    <w:bCs/>
                    <w:sz w:val="20"/>
                    <w:szCs w:val="20"/>
                    <w:shd w:val="clear" w:color="auto" w:fill="FFFFFF"/>
                  </w:rPr>
                </w:pPr>
                <w:r w:rsidRPr="00D63D32">
                  <w:rPr>
                    <w:rFonts w:ascii="New Roma" w:hAnsi="New Roma" w:cs="Segoe UI"/>
                    <w:b/>
                    <w:bCs/>
                    <w:sz w:val="20"/>
                    <w:szCs w:val="20"/>
                    <w:shd w:val="clear" w:color="auto" w:fill="FFFFFF"/>
                  </w:rPr>
                  <w:t>Actual</w:t>
                </w:r>
                <w:r>
                  <w:rPr>
                    <w:rFonts w:ascii="New Roma" w:hAnsi="New Roma" w:cs="Segoe UI"/>
                    <w:b/>
                    <w:bCs/>
                    <w:sz w:val="20"/>
                    <w:szCs w:val="20"/>
                    <w:shd w:val="clear" w:color="auto" w:fill="FFFFFF"/>
                  </w:rPr>
                  <w:t xml:space="preserve"> </w:t>
                </w:r>
                <w:r>
                  <w:rPr>
                    <w:rFonts w:ascii="New Roma" w:hAnsi="New Roma" w:cs="Segoe UI" w:hint="eastAsia"/>
                    <w:b/>
                    <w:bCs/>
                    <w:sz w:val="20"/>
                    <w:szCs w:val="20"/>
                    <w:shd w:val="clear" w:color="auto" w:fill="FFFFFF"/>
                  </w:rPr>
                  <w:t>by</w:t>
                </w:r>
                <w:r>
                  <w:rPr>
                    <w:rFonts w:ascii="New Roma" w:hAnsi="New Roma" w:cs="Segoe UI"/>
                    <w:b/>
                    <w:bCs/>
                    <w:sz w:val="20"/>
                    <w:szCs w:val="20"/>
                    <w:shd w:val="clear" w:color="auto" w:fill="FFFFFF"/>
                  </w:rPr>
                  <w:t xml:space="preserve"> Last year</w:t>
                </w:r>
                <w:r w:rsidRPr="007206A9">
                  <w:rPr>
                    <w:rFonts w:ascii="New Roma" w:hAnsi="New Roma" w:cs="Segoe UI"/>
                    <w:b/>
                    <w:bCs/>
                    <w:sz w:val="20"/>
                    <w:szCs w:val="20"/>
                    <w:shd w:val="clear" w:color="auto" w:fill="FFFFFF"/>
                  </w:rPr>
                  <w:t xml:space="preserve"> </w:t>
                </w:r>
              </w:p>
            </w:tc>
            <w:tc>
              <w:tcPr>
                <w:tcW w:w="993" w:type="dxa"/>
              </w:tcPr>
              <w:p w14:paraId="4269ACA1" w14:textId="77777777" w:rsidR="00B93E7F" w:rsidRPr="00D63D32" w:rsidRDefault="00B93E7F" w:rsidP="00ED3CCF">
                <w:pPr>
                  <w:jc w:val="center"/>
                  <w:rPr>
                    <w:rFonts w:ascii="New Roma" w:hAnsi="New Roma" w:cs="Segoe UI" w:hint="eastAsia"/>
                    <w:b/>
                    <w:bCs/>
                    <w:sz w:val="20"/>
                    <w:szCs w:val="20"/>
                    <w:shd w:val="clear" w:color="auto" w:fill="FFFFFF"/>
                  </w:rPr>
                </w:pPr>
                <w:r w:rsidRPr="00D63D32">
                  <w:rPr>
                    <w:rFonts w:ascii="New Roma" w:hAnsi="New Roma" w:cs="Segoe UI"/>
                    <w:b/>
                    <w:bCs/>
                    <w:sz w:val="20"/>
                    <w:szCs w:val="20"/>
                    <w:shd w:val="clear" w:color="auto" w:fill="FFFFFF"/>
                  </w:rPr>
                  <w:t>Gap</w:t>
                </w:r>
              </w:p>
            </w:tc>
            <w:tc>
              <w:tcPr>
                <w:tcW w:w="1036" w:type="dxa"/>
              </w:tcPr>
              <w:p w14:paraId="6B1063AB" w14:textId="77777777" w:rsidR="00B93E7F" w:rsidRPr="00D63D32" w:rsidRDefault="00B93E7F" w:rsidP="00ED3CCF">
                <w:pPr>
                  <w:jc w:val="center"/>
                  <w:rPr>
                    <w:rFonts w:ascii="New Roma" w:hAnsi="New Roma" w:cs="Segoe UI" w:hint="eastAsia"/>
                    <w:b/>
                    <w:bCs/>
                    <w:sz w:val="20"/>
                    <w:szCs w:val="20"/>
                    <w:shd w:val="clear" w:color="auto" w:fill="FFFFFF"/>
                  </w:rPr>
                </w:pPr>
                <w:r w:rsidRPr="00D63D32">
                  <w:rPr>
                    <w:rFonts w:ascii="New Roma" w:hAnsi="New Roma" w:cs="Segoe UI"/>
                    <w:b/>
                    <w:bCs/>
                    <w:sz w:val="20"/>
                    <w:szCs w:val="20"/>
                    <w:shd w:val="clear" w:color="auto" w:fill="FFFFFF"/>
                  </w:rPr>
                  <w:t>Action Plan</w:t>
                </w:r>
              </w:p>
            </w:tc>
            <w:tc>
              <w:tcPr>
                <w:tcW w:w="1516" w:type="dxa"/>
              </w:tcPr>
              <w:p w14:paraId="6ECC8663" w14:textId="77777777" w:rsidR="00B93E7F" w:rsidRPr="00D63D32" w:rsidRDefault="00B93E7F" w:rsidP="00ED3CCF">
                <w:pPr>
                  <w:jc w:val="center"/>
                  <w:rPr>
                    <w:rFonts w:ascii="New Roma" w:hAnsi="New Roma" w:cs="Segoe UI" w:hint="eastAsia"/>
                    <w:b/>
                    <w:bCs/>
                    <w:sz w:val="20"/>
                    <w:szCs w:val="20"/>
                    <w:shd w:val="clear" w:color="auto" w:fill="FFFFFF"/>
                  </w:rPr>
                </w:pPr>
                <w:r w:rsidRPr="00D63D32">
                  <w:rPr>
                    <w:rFonts w:ascii="New Roma" w:hAnsi="New Roma" w:cs="Segoe UI"/>
                    <w:b/>
                    <w:bCs/>
                    <w:sz w:val="20"/>
                    <w:szCs w:val="20"/>
                    <w:shd w:val="clear" w:color="auto" w:fill="FFFFFF"/>
                  </w:rPr>
                  <w:t>Person in Charge</w:t>
                </w:r>
              </w:p>
            </w:tc>
            <w:tc>
              <w:tcPr>
                <w:tcW w:w="1224" w:type="dxa"/>
              </w:tcPr>
              <w:p w14:paraId="374C7A21" w14:textId="77777777" w:rsidR="00B93E7F" w:rsidRPr="00D63D32" w:rsidRDefault="00B93E7F" w:rsidP="00ED3CCF">
                <w:pPr>
                  <w:jc w:val="center"/>
                  <w:rPr>
                    <w:rFonts w:ascii="New Roma" w:hAnsi="New Roma" w:cs="Segoe UI" w:hint="eastAsia"/>
                    <w:b/>
                    <w:bCs/>
                    <w:sz w:val="20"/>
                    <w:szCs w:val="20"/>
                    <w:shd w:val="clear" w:color="auto" w:fill="FFFFFF"/>
                  </w:rPr>
                </w:pPr>
                <w:r w:rsidRPr="00D63D32">
                  <w:rPr>
                    <w:rFonts w:ascii="New Roma" w:hAnsi="New Roma" w:cs="Segoe UI"/>
                    <w:b/>
                    <w:bCs/>
                    <w:sz w:val="20"/>
                    <w:szCs w:val="20"/>
                    <w:shd w:val="clear" w:color="auto" w:fill="FFFFFF"/>
                  </w:rPr>
                  <w:t>Progress Tracking</w:t>
                </w:r>
              </w:p>
            </w:tc>
          </w:tr>
          <w:tr w:rsidR="00B93E7F" w:rsidRPr="00384BDB" w14:paraId="19C386AD" w14:textId="77777777" w:rsidTr="00ED3CCF">
            <w:tc>
              <w:tcPr>
                <w:tcW w:w="2037" w:type="dxa"/>
              </w:tcPr>
              <w:p w14:paraId="78B88427" w14:textId="77777777" w:rsidR="00B93E7F" w:rsidRPr="00384BDB" w:rsidRDefault="00B93E7F" w:rsidP="00ED3CCF">
                <w:pPr>
                  <w:jc w:val="center"/>
                  <w:rPr>
                    <w:rFonts w:ascii="New Roma" w:hAnsi="New Roma" w:cs="Segoe UI" w:hint="eastAsia"/>
                    <w:sz w:val="20"/>
                    <w:szCs w:val="20"/>
                    <w:shd w:val="clear" w:color="auto" w:fill="FFFFFF"/>
                  </w:rPr>
                </w:pPr>
                <w:r w:rsidRPr="00384BDB">
                  <w:rPr>
                    <w:rFonts w:ascii="New Roma" w:hAnsi="New Roma" w:cs="Segoe UI"/>
                    <w:sz w:val="20"/>
                    <w:szCs w:val="20"/>
                    <w:shd w:val="clear" w:color="auto" w:fill="FFFFFF"/>
                  </w:rPr>
                  <w:t>Financial Objective</w:t>
                </w:r>
              </w:p>
            </w:tc>
            <w:tc>
              <w:tcPr>
                <w:tcW w:w="1025" w:type="dxa"/>
              </w:tcPr>
              <w:p w14:paraId="59B2D729" w14:textId="77777777" w:rsidR="00B93E7F" w:rsidRPr="007206A9" w:rsidRDefault="00B93E7F" w:rsidP="00ED3CCF">
                <w:pPr>
                  <w:jc w:val="center"/>
                  <w:rPr>
                    <w:rFonts w:ascii="New Roma" w:hAnsi="New Roma" w:cs="Segoe UI" w:hint="eastAsia"/>
                    <w:sz w:val="18"/>
                    <w:szCs w:val="18"/>
                    <w:shd w:val="clear" w:color="auto" w:fill="FFFFFF"/>
                  </w:rPr>
                </w:pPr>
                <w:r w:rsidRPr="007206A9">
                  <w:rPr>
                    <w:rFonts w:ascii="New Roma" w:hAnsi="New Roma" w:cs="Segoe UI"/>
                    <w:sz w:val="18"/>
                    <w:szCs w:val="18"/>
                    <w:shd w:val="clear" w:color="auto" w:fill="FFFFFF"/>
                  </w:rPr>
                  <w:t>-160</w:t>
                </w:r>
                <w:r>
                  <w:rPr>
                    <w:rFonts w:ascii="New Roma" w:hAnsi="New Roma" w:cs="Segoe UI"/>
                    <w:sz w:val="18"/>
                    <w:szCs w:val="18"/>
                    <w:shd w:val="clear" w:color="auto" w:fill="FFFFFF"/>
                  </w:rPr>
                  <w:t>,000 pounds</w:t>
                </w:r>
                <w:r w:rsidRPr="007206A9">
                  <w:rPr>
                    <w:rFonts w:ascii="New Roma" w:hAnsi="New Roma" w:cs="Segoe UI"/>
                    <w:sz w:val="18"/>
                    <w:szCs w:val="18"/>
                    <w:shd w:val="clear" w:color="auto" w:fill="FFFFFF"/>
                  </w:rPr>
                  <w:t xml:space="preserve"> after tax</w:t>
                </w:r>
              </w:p>
            </w:tc>
            <w:tc>
              <w:tcPr>
                <w:tcW w:w="1185" w:type="dxa"/>
              </w:tcPr>
              <w:p w14:paraId="3CF517A3" w14:textId="77777777" w:rsidR="00B93E7F" w:rsidRPr="007206A9" w:rsidRDefault="00B93E7F" w:rsidP="00ED3CCF">
                <w:pPr>
                  <w:jc w:val="center"/>
                  <w:rPr>
                    <w:rFonts w:ascii="New Roma" w:hAnsi="New Roma" w:cs="Segoe UI" w:hint="eastAsia"/>
                    <w:sz w:val="18"/>
                    <w:szCs w:val="18"/>
                    <w:shd w:val="clear" w:color="auto" w:fill="FFFFFF"/>
                  </w:rPr>
                </w:pPr>
                <w:r w:rsidRPr="007206A9">
                  <w:rPr>
                    <w:rFonts w:ascii="New Roma" w:hAnsi="New Roma" w:cs="Segoe UI"/>
                    <w:sz w:val="18"/>
                    <w:szCs w:val="18"/>
                    <w:shd w:val="clear" w:color="auto" w:fill="FFFFFF"/>
                  </w:rPr>
                  <w:t>86</w:t>
                </w:r>
                <w:r>
                  <w:rPr>
                    <w:rFonts w:ascii="New Roma" w:hAnsi="New Roma" w:cs="Segoe UI"/>
                    <w:sz w:val="18"/>
                    <w:szCs w:val="18"/>
                    <w:shd w:val="clear" w:color="auto" w:fill="FFFFFF"/>
                  </w:rPr>
                  <w:t>,000 pounds after tax</w:t>
                </w:r>
              </w:p>
            </w:tc>
            <w:tc>
              <w:tcPr>
                <w:tcW w:w="993" w:type="dxa"/>
              </w:tcPr>
              <w:p w14:paraId="21989698" w14:textId="77777777" w:rsidR="00B93E7F" w:rsidRPr="007206A9" w:rsidRDefault="00B93E7F" w:rsidP="00ED3CCF">
                <w:pPr>
                  <w:jc w:val="center"/>
                  <w:rPr>
                    <w:rFonts w:ascii="New Roma" w:hAnsi="New Roma" w:cs="Segoe UI" w:hint="eastAsia"/>
                    <w:sz w:val="18"/>
                    <w:szCs w:val="18"/>
                    <w:shd w:val="clear" w:color="auto" w:fill="FFFFFF"/>
                  </w:rPr>
                </w:pPr>
                <w:r w:rsidRPr="007206A9">
                  <w:rPr>
                    <w:rFonts w:ascii="New Roma" w:hAnsi="New Roma" w:cs="Segoe UI"/>
                    <w:sz w:val="18"/>
                    <w:szCs w:val="18"/>
                    <w:shd w:val="clear" w:color="auto" w:fill="FFFFFF"/>
                  </w:rPr>
                  <w:t>-286%</w:t>
                </w:r>
              </w:p>
            </w:tc>
            <w:tc>
              <w:tcPr>
                <w:tcW w:w="1036" w:type="dxa"/>
              </w:tcPr>
              <w:p w14:paraId="75D5F88B" w14:textId="77777777" w:rsidR="00B93E7F" w:rsidRPr="007206A9" w:rsidRDefault="00B93E7F" w:rsidP="00ED3CCF">
                <w:pPr>
                  <w:jc w:val="center"/>
                  <w:rPr>
                    <w:rFonts w:ascii="New Roma" w:hAnsi="New Roma" w:cs="Segoe UI" w:hint="eastAsia"/>
                    <w:sz w:val="18"/>
                    <w:szCs w:val="18"/>
                    <w:shd w:val="clear" w:color="auto" w:fill="FFFFFF"/>
                  </w:rPr>
                </w:pPr>
                <w:r w:rsidRPr="007206A9">
                  <w:rPr>
                    <w:rFonts w:ascii="New Roma" w:hAnsi="New Roma" w:cs="Segoe UI"/>
                    <w:sz w:val="18"/>
                    <w:szCs w:val="18"/>
                    <w:shd w:val="clear" w:color="auto" w:fill="FFFFFF"/>
                  </w:rPr>
                  <w:t>Optimize product portfolio</w:t>
                </w:r>
              </w:p>
            </w:tc>
            <w:tc>
              <w:tcPr>
                <w:tcW w:w="1516" w:type="dxa"/>
              </w:tcPr>
              <w:p w14:paraId="2CACD699" w14:textId="77777777" w:rsidR="00B93E7F" w:rsidRPr="007206A9" w:rsidRDefault="00B93E7F" w:rsidP="00ED3CCF">
                <w:pPr>
                  <w:jc w:val="center"/>
                  <w:rPr>
                    <w:rFonts w:ascii="New Roma" w:hAnsi="New Roma" w:cs="Segoe UI" w:hint="eastAsia"/>
                    <w:sz w:val="18"/>
                    <w:szCs w:val="18"/>
                    <w:shd w:val="clear" w:color="auto" w:fill="FFFFFF"/>
                  </w:rPr>
                </w:pPr>
                <w:r>
                  <w:rPr>
                    <w:rFonts w:ascii="New Roma" w:hAnsi="New Roma" w:cs="Segoe UI"/>
                    <w:sz w:val="18"/>
                    <w:szCs w:val="18"/>
                    <w:shd w:val="clear" w:color="auto" w:fill="FFFFFF"/>
                  </w:rPr>
                  <w:t>S</w:t>
                </w:r>
                <w:r w:rsidRPr="008D6502">
                  <w:rPr>
                    <w:rFonts w:ascii="New Roma" w:hAnsi="New Roma" w:cs="Segoe UI"/>
                    <w:sz w:val="18"/>
                    <w:szCs w:val="18"/>
                    <w:shd w:val="clear" w:color="auto" w:fill="FFFFFF"/>
                  </w:rPr>
                  <w:t>ales departments</w:t>
                </w:r>
              </w:p>
            </w:tc>
            <w:tc>
              <w:tcPr>
                <w:tcW w:w="1224" w:type="dxa"/>
              </w:tcPr>
              <w:p w14:paraId="7DB166D9" w14:textId="77777777" w:rsidR="00B93E7F" w:rsidRPr="007206A9" w:rsidRDefault="00B93E7F" w:rsidP="00ED3CCF">
                <w:pPr>
                  <w:jc w:val="center"/>
                  <w:rPr>
                    <w:rFonts w:ascii="New Roma" w:hAnsi="New Roma" w:cs="Segoe UI" w:hint="eastAsia"/>
                    <w:sz w:val="18"/>
                    <w:szCs w:val="18"/>
                    <w:shd w:val="clear" w:color="auto" w:fill="FFFFFF"/>
                  </w:rPr>
                </w:pPr>
                <w:r w:rsidRPr="008D6502">
                  <w:rPr>
                    <w:rFonts w:ascii="New Roma" w:hAnsi="New Roma" w:cs="Segoe UI"/>
                    <w:sz w:val="18"/>
                    <w:szCs w:val="18"/>
                    <w:shd w:val="clear" w:color="auto" w:fill="FFFFFF"/>
                  </w:rPr>
                  <w:t>Regularly evaluate investment portfolio</w:t>
                </w:r>
              </w:p>
            </w:tc>
          </w:tr>
          <w:tr w:rsidR="00B93E7F" w:rsidRPr="00384BDB" w14:paraId="54DF3882" w14:textId="77777777" w:rsidTr="00ED3CCF">
            <w:tc>
              <w:tcPr>
                <w:tcW w:w="2037" w:type="dxa"/>
              </w:tcPr>
              <w:p w14:paraId="7D12476D" w14:textId="77777777" w:rsidR="00B93E7F" w:rsidRPr="00384BDB" w:rsidRDefault="00B93E7F" w:rsidP="00ED3CCF">
                <w:pPr>
                  <w:jc w:val="center"/>
                  <w:rPr>
                    <w:rFonts w:ascii="New Roma" w:hAnsi="New Roma" w:cs="Segoe UI" w:hint="eastAsia"/>
                    <w:sz w:val="20"/>
                    <w:szCs w:val="20"/>
                    <w:shd w:val="clear" w:color="auto" w:fill="FFFFFF"/>
                  </w:rPr>
                </w:pPr>
                <w:r w:rsidRPr="00384BDB">
                  <w:rPr>
                    <w:rFonts w:ascii="New Roma" w:hAnsi="New Roma" w:cs="Segoe UI"/>
                    <w:sz w:val="20"/>
                    <w:szCs w:val="20"/>
                    <w:shd w:val="clear" w:color="auto" w:fill="FFFFFF"/>
                  </w:rPr>
                  <w:t>Customer Objective</w:t>
                </w:r>
              </w:p>
            </w:tc>
            <w:tc>
              <w:tcPr>
                <w:tcW w:w="1025" w:type="dxa"/>
              </w:tcPr>
              <w:p w14:paraId="414B23B9" w14:textId="77777777" w:rsidR="00B93E7F" w:rsidRPr="007206A9" w:rsidRDefault="00B93E7F" w:rsidP="00ED3CCF">
                <w:pPr>
                  <w:jc w:val="center"/>
                  <w:rPr>
                    <w:rFonts w:ascii="New Roma" w:hAnsi="New Roma" w:cs="Segoe UI" w:hint="eastAsia"/>
                    <w:sz w:val="18"/>
                    <w:szCs w:val="18"/>
                    <w:shd w:val="clear" w:color="auto" w:fill="FFFFFF"/>
                  </w:rPr>
                </w:pPr>
                <w:r>
                  <w:rPr>
                    <w:rFonts w:ascii="New Roma" w:hAnsi="New Roma" w:cs="Segoe UI"/>
                    <w:sz w:val="18"/>
                    <w:szCs w:val="18"/>
                    <w:shd w:val="clear" w:color="auto" w:fill="FFFFFF"/>
                  </w:rPr>
                  <w:t>N/A</w:t>
                </w:r>
              </w:p>
            </w:tc>
            <w:tc>
              <w:tcPr>
                <w:tcW w:w="1185" w:type="dxa"/>
              </w:tcPr>
              <w:p w14:paraId="7AA6453F" w14:textId="77777777" w:rsidR="00B93E7F" w:rsidRPr="007206A9" w:rsidRDefault="00B93E7F" w:rsidP="00ED3CCF">
                <w:pPr>
                  <w:jc w:val="center"/>
                  <w:rPr>
                    <w:rFonts w:ascii="New Roma" w:hAnsi="New Roma" w:cs="Segoe UI" w:hint="eastAsia"/>
                    <w:sz w:val="18"/>
                    <w:szCs w:val="18"/>
                    <w:shd w:val="clear" w:color="auto" w:fill="FFFFFF"/>
                  </w:rPr>
                </w:pPr>
                <w:r>
                  <w:rPr>
                    <w:rFonts w:ascii="New Roma" w:hAnsi="New Roma" w:cs="Segoe UI"/>
                    <w:sz w:val="18"/>
                    <w:szCs w:val="18"/>
                    <w:shd w:val="clear" w:color="auto" w:fill="FFFFFF"/>
                  </w:rPr>
                  <w:t>82%</w:t>
                </w:r>
              </w:p>
            </w:tc>
            <w:tc>
              <w:tcPr>
                <w:tcW w:w="993" w:type="dxa"/>
              </w:tcPr>
              <w:p w14:paraId="57BB884F" w14:textId="77777777" w:rsidR="00B93E7F" w:rsidRPr="007206A9" w:rsidRDefault="00B93E7F" w:rsidP="00ED3CCF">
                <w:pPr>
                  <w:jc w:val="center"/>
                  <w:rPr>
                    <w:rFonts w:ascii="New Roma" w:hAnsi="New Roma" w:cs="Segoe UI" w:hint="eastAsia"/>
                    <w:sz w:val="18"/>
                    <w:szCs w:val="18"/>
                    <w:shd w:val="clear" w:color="auto" w:fill="FFFFFF"/>
                  </w:rPr>
                </w:pPr>
                <w:r>
                  <w:rPr>
                    <w:rFonts w:ascii="New Roma" w:hAnsi="New Roma" w:cs="Segoe UI"/>
                    <w:sz w:val="18"/>
                    <w:szCs w:val="18"/>
                    <w:shd w:val="clear" w:color="auto" w:fill="FFFFFF"/>
                  </w:rPr>
                  <w:t>N/A</w:t>
                </w:r>
              </w:p>
            </w:tc>
            <w:tc>
              <w:tcPr>
                <w:tcW w:w="1036" w:type="dxa"/>
              </w:tcPr>
              <w:p w14:paraId="50691371" w14:textId="77777777" w:rsidR="00B93E7F" w:rsidRPr="007206A9" w:rsidRDefault="00B93E7F" w:rsidP="00ED3CCF">
                <w:pPr>
                  <w:jc w:val="center"/>
                  <w:rPr>
                    <w:rFonts w:ascii="New Roma" w:hAnsi="New Roma" w:cs="Segoe UI" w:hint="eastAsia"/>
                    <w:sz w:val="18"/>
                    <w:szCs w:val="18"/>
                    <w:shd w:val="clear" w:color="auto" w:fill="FFFFFF"/>
                  </w:rPr>
                </w:pPr>
                <w:r w:rsidRPr="008D6502">
                  <w:rPr>
                    <w:rFonts w:ascii="New Roma" w:hAnsi="New Roma" w:cs="Segoe UI"/>
                    <w:sz w:val="18"/>
                    <w:szCs w:val="18"/>
                    <w:shd w:val="clear" w:color="auto" w:fill="FFFFFF"/>
                  </w:rPr>
                  <w:t>Improve customer support services</w:t>
                </w:r>
              </w:p>
            </w:tc>
            <w:tc>
              <w:tcPr>
                <w:tcW w:w="1516" w:type="dxa"/>
              </w:tcPr>
              <w:p w14:paraId="6A1BC099" w14:textId="77777777" w:rsidR="00B93E7F" w:rsidRPr="007206A9" w:rsidRDefault="00B93E7F" w:rsidP="00ED3CCF">
                <w:pPr>
                  <w:jc w:val="center"/>
                  <w:rPr>
                    <w:rFonts w:ascii="New Roma" w:hAnsi="New Roma" w:cs="Segoe UI" w:hint="eastAsia"/>
                    <w:sz w:val="18"/>
                    <w:szCs w:val="18"/>
                    <w:shd w:val="clear" w:color="auto" w:fill="FFFFFF"/>
                  </w:rPr>
                </w:pPr>
                <w:r>
                  <w:rPr>
                    <w:rFonts w:ascii="New Roma" w:hAnsi="New Roma" w:cs="Segoe UI"/>
                    <w:sz w:val="18"/>
                    <w:szCs w:val="18"/>
                    <w:shd w:val="clear" w:color="auto" w:fill="FFFFFF"/>
                  </w:rPr>
                  <w:t>S</w:t>
                </w:r>
                <w:r w:rsidRPr="008D6502">
                  <w:rPr>
                    <w:rFonts w:ascii="New Roma" w:hAnsi="New Roma" w:cs="Segoe UI"/>
                    <w:sz w:val="18"/>
                    <w:szCs w:val="18"/>
                    <w:shd w:val="clear" w:color="auto" w:fill="FFFFFF"/>
                  </w:rPr>
                  <w:t>ales departments</w:t>
                </w:r>
              </w:p>
            </w:tc>
            <w:tc>
              <w:tcPr>
                <w:tcW w:w="1224" w:type="dxa"/>
              </w:tcPr>
              <w:p w14:paraId="45B892A9" w14:textId="77777777" w:rsidR="00B93E7F" w:rsidRPr="007206A9" w:rsidRDefault="00B93E7F" w:rsidP="00ED3CCF">
                <w:pPr>
                  <w:jc w:val="center"/>
                  <w:rPr>
                    <w:rFonts w:ascii="New Roma" w:hAnsi="New Roma" w:cs="Segoe UI" w:hint="eastAsia"/>
                    <w:sz w:val="18"/>
                    <w:szCs w:val="18"/>
                    <w:shd w:val="clear" w:color="auto" w:fill="FFFFFF"/>
                  </w:rPr>
                </w:pPr>
                <w:r w:rsidRPr="008D6502">
                  <w:rPr>
                    <w:rFonts w:ascii="New Roma" w:hAnsi="New Roma" w:cs="Segoe UI"/>
                    <w:sz w:val="18"/>
                    <w:szCs w:val="18"/>
                    <w:shd w:val="clear" w:color="auto" w:fill="FFFFFF"/>
                  </w:rPr>
                  <w:t>Collect customer feedback regularly</w:t>
                </w:r>
              </w:p>
            </w:tc>
          </w:tr>
          <w:tr w:rsidR="00B93E7F" w:rsidRPr="00384BDB" w14:paraId="44FB8B5E" w14:textId="77777777" w:rsidTr="00ED3CCF">
            <w:tc>
              <w:tcPr>
                <w:tcW w:w="2037" w:type="dxa"/>
              </w:tcPr>
              <w:p w14:paraId="1287A846" w14:textId="77777777" w:rsidR="00B93E7F" w:rsidRPr="00384BDB" w:rsidRDefault="00B93E7F" w:rsidP="00ED3CCF">
                <w:pPr>
                  <w:rPr>
                    <w:rFonts w:ascii="New Roma" w:hAnsi="New Roma" w:cs="Segoe UI" w:hint="eastAsia"/>
                    <w:sz w:val="20"/>
                    <w:szCs w:val="20"/>
                    <w:shd w:val="clear" w:color="auto" w:fill="FFFFFF"/>
                  </w:rPr>
                </w:pPr>
                <w:r w:rsidRPr="00384BDB">
                  <w:rPr>
                    <w:rFonts w:ascii="New Roma" w:hAnsi="New Roma" w:cs="Segoe UI"/>
                    <w:sz w:val="20"/>
                    <w:szCs w:val="20"/>
                    <w:shd w:val="clear" w:color="auto" w:fill="FFFFFF"/>
                  </w:rPr>
                  <w:t>Internal Process Objective</w:t>
                </w:r>
              </w:p>
            </w:tc>
            <w:tc>
              <w:tcPr>
                <w:tcW w:w="1025" w:type="dxa"/>
              </w:tcPr>
              <w:p w14:paraId="794F3F1F" w14:textId="77777777" w:rsidR="00B93E7F" w:rsidRPr="007206A9" w:rsidRDefault="00B93E7F" w:rsidP="00ED3CCF">
                <w:pPr>
                  <w:jc w:val="center"/>
                  <w:rPr>
                    <w:rFonts w:ascii="New Roma" w:hAnsi="New Roma" w:cs="Segoe UI" w:hint="eastAsia"/>
                    <w:sz w:val="18"/>
                    <w:szCs w:val="18"/>
                    <w:shd w:val="clear" w:color="auto" w:fill="FFFFFF"/>
                  </w:rPr>
                </w:pPr>
                <w:r>
                  <w:rPr>
                    <w:rFonts w:ascii="New Roma" w:hAnsi="New Roma" w:cs="Segoe UI"/>
                    <w:sz w:val="18"/>
                    <w:szCs w:val="18"/>
                    <w:shd w:val="clear" w:color="auto" w:fill="FFFFFF"/>
                  </w:rPr>
                  <w:t>N/A</w:t>
                </w:r>
              </w:p>
            </w:tc>
            <w:tc>
              <w:tcPr>
                <w:tcW w:w="1185" w:type="dxa"/>
              </w:tcPr>
              <w:p w14:paraId="70358337" w14:textId="77777777" w:rsidR="00B93E7F" w:rsidRPr="007206A9" w:rsidRDefault="00B93E7F" w:rsidP="00ED3CCF">
                <w:pPr>
                  <w:jc w:val="center"/>
                  <w:rPr>
                    <w:rFonts w:ascii="New Roma" w:hAnsi="New Roma" w:cs="Segoe UI" w:hint="eastAsia"/>
                    <w:sz w:val="18"/>
                    <w:szCs w:val="18"/>
                    <w:shd w:val="clear" w:color="auto" w:fill="FFFFFF"/>
                  </w:rPr>
                </w:pPr>
                <w:r w:rsidRPr="008D6502">
                  <w:rPr>
                    <w:rFonts w:ascii="New Roma" w:hAnsi="New Roma" w:cs="Segoe UI"/>
                    <w:sz w:val="18"/>
                    <w:szCs w:val="18"/>
                    <w:shd w:val="clear" w:color="auto" w:fill="FFFFFF"/>
                  </w:rPr>
                  <w:t>Employee error rate</w:t>
                </w:r>
                <w:r>
                  <w:rPr>
                    <w:rFonts w:ascii="New Roma" w:hAnsi="New Roma" w:cs="Segoe UI"/>
                    <w:sz w:val="18"/>
                    <w:szCs w:val="18"/>
                    <w:shd w:val="clear" w:color="auto" w:fill="FFFFFF"/>
                  </w:rPr>
                  <w:t xml:space="preserve"> 6%</w:t>
                </w:r>
              </w:p>
            </w:tc>
            <w:tc>
              <w:tcPr>
                <w:tcW w:w="993" w:type="dxa"/>
              </w:tcPr>
              <w:p w14:paraId="4FF7D808" w14:textId="77777777" w:rsidR="00B93E7F" w:rsidRPr="007206A9" w:rsidRDefault="00B93E7F" w:rsidP="00ED3CCF">
                <w:pPr>
                  <w:jc w:val="center"/>
                  <w:rPr>
                    <w:rFonts w:ascii="New Roma" w:hAnsi="New Roma" w:cs="Segoe UI" w:hint="eastAsia"/>
                    <w:sz w:val="18"/>
                    <w:szCs w:val="18"/>
                    <w:shd w:val="clear" w:color="auto" w:fill="FFFFFF"/>
                  </w:rPr>
                </w:pPr>
                <w:r>
                  <w:rPr>
                    <w:rFonts w:ascii="New Roma" w:hAnsi="New Roma" w:cs="Segoe UI"/>
                    <w:sz w:val="18"/>
                    <w:szCs w:val="18"/>
                    <w:shd w:val="clear" w:color="auto" w:fill="FFFFFF"/>
                  </w:rPr>
                  <w:t>N/A</w:t>
                </w:r>
              </w:p>
            </w:tc>
            <w:tc>
              <w:tcPr>
                <w:tcW w:w="1036" w:type="dxa"/>
              </w:tcPr>
              <w:p w14:paraId="722778E7" w14:textId="77777777" w:rsidR="00B93E7F" w:rsidRPr="007206A9" w:rsidRDefault="00B93E7F" w:rsidP="00ED3CCF">
                <w:pPr>
                  <w:jc w:val="center"/>
                  <w:rPr>
                    <w:rFonts w:ascii="New Roma" w:hAnsi="New Roma" w:cs="Segoe UI" w:hint="eastAsia"/>
                    <w:sz w:val="18"/>
                    <w:szCs w:val="18"/>
                    <w:shd w:val="clear" w:color="auto" w:fill="FFFFFF"/>
                  </w:rPr>
                </w:pPr>
                <w:r w:rsidRPr="008D6502">
                  <w:rPr>
                    <w:rFonts w:ascii="New Roma" w:hAnsi="New Roma" w:cs="Segoe UI"/>
                    <w:sz w:val="18"/>
                    <w:szCs w:val="18"/>
                    <w:shd w:val="clear" w:color="auto" w:fill="FFFFFF"/>
                  </w:rPr>
                  <w:t>Implement more efficient production processes</w:t>
                </w:r>
              </w:p>
            </w:tc>
            <w:tc>
              <w:tcPr>
                <w:tcW w:w="1516" w:type="dxa"/>
              </w:tcPr>
              <w:p w14:paraId="6F56397D" w14:textId="77777777" w:rsidR="00B93E7F" w:rsidRPr="007206A9" w:rsidRDefault="00B93E7F" w:rsidP="00ED3CCF">
                <w:pPr>
                  <w:jc w:val="center"/>
                  <w:rPr>
                    <w:rFonts w:ascii="New Roma" w:hAnsi="New Roma" w:cs="Segoe UI" w:hint="eastAsia"/>
                    <w:sz w:val="18"/>
                    <w:szCs w:val="18"/>
                    <w:shd w:val="clear" w:color="auto" w:fill="FFFFFF"/>
                  </w:rPr>
                </w:pPr>
                <w:r>
                  <w:rPr>
                    <w:rFonts w:ascii="New Roma" w:hAnsi="New Roma" w:cs="Segoe UI"/>
                    <w:sz w:val="18"/>
                    <w:szCs w:val="18"/>
                    <w:shd w:val="clear" w:color="auto" w:fill="FFFFFF"/>
                  </w:rPr>
                  <w:t>M</w:t>
                </w:r>
                <w:r w:rsidRPr="008D6502">
                  <w:rPr>
                    <w:rFonts w:ascii="New Roma" w:hAnsi="New Roma" w:cs="Segoe UI"/>
                    <w:sz w:val="18"/>
                    <w:szCs w:val="18"/>
                    <w:shd w:val="clear" w:color="auto" w:fill="FFFFFF"/>
                  </w:rPr>
                  <w:t>anager</w:t>
                </w:r>
                <w:r>
                  <w:rPr>
                    <w:rFonts w:ascii="New Roma" w:hAnsi="New Roma" w:cs="Segoe UI"/>
                    <w:sz w:val="18"/>
                    <w:szCs w:val="18"/>
                    <w:shd w:val="clear" w:color="auto" w:fill="FFFFFF"/>
                  </w:rPr>
                  <w:t xml:space="preserve"> and </w:t>
                </w:r>
                <w:r w:rsidRPr="000C2432">
                  <w:rPr>
                    <w:rFonts w:ascii="New Roma" w:hAnsi="New Roma" w:cs="Segoe UI"/>
                    <w:sz w:val="18"/>
                    <w:szCs w:val="18"/>
                    <w:shd w:val="clear" w:color="auto" w:fill="FFFFFF"/>
                  </w:rPr>
                  <w:t>Procurement and storage department</w:t>
                </w:r>
              </w:p>
            </w:tc>
            <w:tc>
              <w:tcPr>
                <w:tcW w:w="1224" w:type="dxa"/>
              </w:tcPr>
              <w:p w14:paraId="59E86F1D" w14:textId="77777777" w:rsidR="00B93E7F" w:rsidRPr="007206A9" w:rsidRDefault="00B93E7F" w:rsidP="00ED3CCF">
                <w:pPr>
                  <w:jc w:val="center"/>
                  <w:rPr>
                    <w:rFonts w:ascii="New Roma" w:hAnsi="New Roma" w:cs="Segoe UI" w:hint="eastAsia"/>
                    <w:sz w:val="18"/>
                    <w:szCs w:val="18"/>
                    <w:shd w:val="clear" w:color="auto" w:fill="FFFFFF"/>
                  </w:rPr>
                </w:pPr>
                <w:r w:rsidRPr="008D6502">
                  <w:rPr>
                    <w:rFonts w:ascii="New Roma" w:hAnsi="New Roma" w:cs="Segoe UI"/>
                    <w:sz w:val="18"/>
                    <w:szCs w:val="18"/>
                    <w:shd w:val="clear" w:color="auto" w:fill="FFFFFF"/>
                  </w:rPr>
                  <w:t>Regularly evaluate process improvement effectiveness</w:t>
                </w:r>
              </w:p>
            </w:tc>
          </w:tr>
          <w:tr w:rsidR="00B93E7F" w:rsidRPr="00384BDB" w14:paraId="1D9B98C5" w14:textId="77777777" w:rsidTr="00ED3CCF">
            <w:tc>
              <w:tcPr>
                <w:tcW w:w="2037" w:type="dxa"/>
              </w:tcPr>
              <w:p w14:paraId="011E7B34" w14:textId="77777777" w:rsidR="00B93E7F" w:rsidRPr="00384BDB" w:rsidRDefault="00B93E7F" w:rsidP="00ED3CCF">
                <w:pPr>
                  <w:rPr>
                    <w:rFonts w:ascii="New Roma" w:hAnsi="New Roma" w:cs="Segoe UI" w:hint="eastAsia"/>
                    <w:sz w:val="20"/>
                    <w:szCs w:val="20"/>
                    <w:shd w:val="clear" w:color="auto" w:fill="FFFFFF"/>
                  </w:rPr>
                </w:pPr>
                <w:r w:rsidRPr="00384BDB">
                  <w:rPr>
                    <w:rFonts w:ascii="New Roma" w:hAnsi="New Roma" w:cs="Segoe UI"/>
                    <w:sz w:val="20"/>
                    <w:szCs w:val="20"/>
                    <w:shd w:val="clear" w:color="auto" w:fill="FFFFFF"/>
                  </w:rPr>
                  <w:t>Learning and Growth Objective</w:t>
                </w:r>
              </w:p>
            </w:tc>
            <w:tc>
              <w:tcPr>
                <w:tcW w:w="1025" w:type="dxa"/>
              </w:tcPr>
              <w:p w14:paraId="09693C81" w14:textId="77777777" w:rsidR="00B93E7F" w:rsidRPr="007206A9" w:rsidRDefault="00B93E7F" w:rsidP="00ED3CCF">
                <w:pPr>
                  <w:jc w:val="center"/>
                  <w:rPr>
                    <w:rFonts w:ascii="New Roma" w:hAnsi="New Roma" w:cs="Segoe UI" w:hint="eastAsia"/>
                    <w:sz w:val="18"/>
                    <w:szCs w:val="18"/>
                    <w:shd w:val="clear" w:color="auto" w:fill="FFFFFF"/>
                  </w:rPr>
                </w:pPr>
                <w:r>
                  <w:rPr>
                    <w:rFonts w:ascii="New Roma" w:hAnsi="New Roma" w:cs="Segoe UI"/>
                    <w:sz w:val="18"/>
                    <w:szCs w:val="18"/>
                    <w:shd w:val="clear" w:color="auto" w:fill="FFFFFF"/>
                  </w:rPr>
                  <w:t>100%</w:t>
                </w:r>
              </w:p>
            </w:tc>
            <w:tc>
              <w:tcPr>
                <w:tcW w:w="1185" w:type="dxa"/>
              </w:tcPr>
              <w:p w14:paraId="2542E6B3" w14:textId="77777777" w:rsidR="00B93E7F" w:rsidRPr="007206A9" w:rsidRDefault="00B93E7F" w:rsidP="00ED3CCF">
                <w:pPr>
                  <w:jc w:val="center"/>
                  <w:rPr>
                    <w:rFonts w:ascii="New Roma" w:hAnsi="New Roma" w:cs="Segoe UI" w:hint="eastAsia"/>
                    <w:sz w:val="18"/>
                    <w:szCs w:val="18"/>
                    <w:shd w:val="clear" w:color="auto" w:fill="FFFFFF"/>
                  </w:rPr>
                </w:pPr>
                <w:r>
                  <w:rPr>
                    <w:rFonts w:ascii="New Roma" w:hAnsi="New Roma" w:cs="Segoe UI"/>
                    <w:sz w:val="18"/>
                    <w:szCs w:val="18"/>
                    <w:shd w:val="clear" w:color="auto" w:fill="FFFFFF"/>
                  </w:rPr>
                  <w:t>86%</w:t>
                </w:r>
              </w:p>
            </w:tc>
            <w:tc>
              <w:tcPr>
                <w:tcW w:w="993" w:type="dxa"/>
              </w:tcPr>
              <w:p w14:paraId="12992B19" w14:textId="77777777" w:rsidR="00B93E7F" w:rsidRPr="007206A9" w:rsidRDefault="00B93E7F" w:rsidP="00ED3CCF">
                <w:pPr>
                  <w:jc w:val="center"/>
                  <w:rPr>
                    <w:rFonts w:ascii="New Roma" w:hAnsi="New Roma" w:cs="Segoe UI" w:hint="eastAsia"/>
                    <w:sz w:val="18"/>
                    <w:szCs w:val="18"/>
                    <w:shd w:val="clear" w:color="auto" w:fill="FFFFFF"/>
                  </w:rPr>
                </w:pPr>
                <w:r>
                  <w:rPr>
                    <w:rFonts w:ascii="New Roma" w:hAnsi="New Roma" w:cs="Segoe UI"/>
                    <w:sz w:val="18"/>
                    <w:szCs w:val="18"/>
                    <w:shd w:val="clear" w:color="auto" w:fill="FFFFFF"/>
                  </w:rPr>
                  <w:t>-14%</w:t>
                </w:r>
              </w:p>
            </w:tc>
            <w:tc>
              <w:tcPr>
                <w:tcW w:w="1036" w:type="dxa"/>
              </w:tcPr>
              <w:p w14:paraId="1917138C" w14:textId="77777777" w:rsidR="00B93E7F" w:rsidRPr="007206A9" w:rsidRDefault="00B93E7F" w:rsidP="00ED3CCF">
                <w:pPr>
                  <w:jc w:val="center"/>
                  <w:rPr>
                    <w:rFonts w:ascii="New Roma" w:hAnsi="New Roma" w:cs="Segoe UI" w:hint="eastAsia"/>
                    <w:sz w:val="18"/>
                    <w:szCs w:val="18"/>
                    <w:shd w:val="clear" w:color="auto" w:fill="FFFFFF"/>
                  </w:rPr>
                </w:pPr>
                <w:r w:rsidRPr="008D6502">
                  <w:rPr>
                    <w:rFonts w:ascii="New Roma" w:hAnsi="New Roma" w:cs="Segoe UI"/>
                    <w:sz w:val="18"/>
                    <w:szCs w:val="18"/>
                    <w:shd w:val="clear" w:color="auto" w:fill="FFFFFF"/>
                  </w:rPr>
                  <w:t>Strengthen employee training program</w:t>
                </w:r>
              </w:p>
            </w:tc>
            <w:tc>
              <w:tcPr>
                <w:tcW w:w="1516" w:type="dxa"/>
              </w:tcPr>
              <w:p w14:paraId="25559932" w14:textId="77777777" w:rsidR="00B93E7F" w:rsidRPr="007206A9" w:rsidRDefault="00B93E7F" w:rsidP="00ED3CCF">
                <w:pPr>
                  <w:jc w:val="center"/>
                  <w:rPr>
                    <w:rFonts w:ascii="New Roma" w:hAnsi="New Roma" w:cs="Segoe UI" w:hint="eastAsia"/>
                    <w:sz w:val="18"/>
                    <w:szCs w:val="18"/>
                    <w:shd w:val="clear" w:color="auto" w:fill="FFFFFF"/>
                  </w:rPr>
                </w:pPr>
                <w:r>
                  <w:rPr>
                    <w:rFonts w:ascii="New Roma" w:hAnsi="New Roma" w:cs="Segoe UI"/>
                    <w:sz w:val="18"/>
                    <w:szCs w:val="18"/>
                    <w:shd w:val="clear" w:color="auto" w:fill="FFFFFF"/>
                  </w:rPr>
                  <w:t>M</w:t>
                </w:r>
                <w:r w:rsidRPr="008D6502">
                  <w:rPr>
                    <w:rFonts w:ascii="New Roma" w:hAnsi="New Roma" w:cs="Segoe UI"/>
                    <w:sz w:val="18"/>
                    <w:szCs w:val="18"/>
                    <w:shd w:val="clear" w:color="auto" w:fill="FFFFFF"/>
                  </w:rPr>
                  <w:t>anager</w:t>
                </w:r>
              </w:p>
            </w:tc>
            <w:tc>
              <w:tcPr>
                <w:tcW w:w="1224" w:type="dxa"/>
              </w:tcPr>
              <w:p w14:paraId="5FE2DF41" w14:textId="77777777" w:rsidR="00B93E7F" w:rsidRPr="007206A9" w:rsidRDefault="00B93E7F" w:rsidP="00ED3CCF">
                <w:pPr>
                  <w:jc w:val="center"/>
                  <w:rPr>
                    <w:rFonts w:ascii="New Roma" w:hAnsi="New Roma" w:cs="Segoe UI" w:hint="eastAsia"/>
                    <w:sz w:val="18"/>
                    <w:szCs w:val="18"/>
                    <w:shd w:val="clear" w:color="auto" w:fill="FFFFFF"/>
                  </w:rPr>
                </w:pPr>
                <w:r w:rsidRPr="000C2432">
                  <w:rPr>
                    <w:rFonts w:ascii="New Roma" w:hAnsi="New Roma" w:cs="Segoe UI"/>
                    <w:sz w:val="18"/>
                    <w:szCs w:val="18"/>
                    <w:shd w:val="clear" w:color="auto" w:fill="FFFFFF"/>
                  </w:rPr>
                  <w:t>Regularly evaluate training program effectiveness</w:t>
                </w:r>
              </w:p>
            </w:tc>
          </w:tr>
        </w:tbl>
        <w:p w14:paraId="754078C2" w14:textId="77777777" w:rsidR="00B93E7F" w:rsidRDefault="00B93E7F" w:rsidP="00B93E7F">
          <w:pPr>
            <w:spacing w:line="240" w:lineRule="auto"/>
            <w:rPr>
              <w:rFonts w:ascii="New Roma" w:hAnsi="New Roma" w:cs="Segoe UI" w:hint="eastAsia"/>
              <w:sz w:val="24"/>
              <w:szCs w:val="24"/>
              <w:shd w:val="clear" w:color="auto" w:fill="FFFFFF"/>
              <w:lang w:val="en-US"/>
            </w:rPr>
          </w:pPr>
        </w:p>
        <w:p w14:paraId="45659759" w14:textId="77777777" w:rsidR="00B93E7F" w:rsidRPr="00090791" w:rsidRDefault="00B93E7F" w:rsidP="00B93E7F">
          <w:pPr>
            <w:spacing w:line="240" w:lineRule="auto"/>
            <w:rPr>
              <w:rFonts w:ascii="New Roma" w:hAnsi="New Roma" w:cs="Segoe UI" w:hint="eastAsia"/>
              <w:sz w:val="24"/>
              <w:szCs w:val="24"/>
              <w:shd w:val="clear" w:color="auto" w:fill="FFFFFF"/>
            </w:rPr>
          </w:pPr>
          <w:r w:rsidRPr="000D229F">
            <w:rPr>
              <w:rFonts w:ascii="New Roma" w:hAnsi="New Roma" w:cs="Segoe UI"/>
              <w:sz w:val="24"/>
              <w:szCs w:val="24"/>
              <w:shd w:val="clear" w:color="auto" w:fill="FFFFFF"/>
            </w:rPr>
            <w:t>According to the above problems, this paper puts forward the following suggestions and reformulates a new qualitative and quantitative performance balance scorecard as shown in Table 2. The table is re-established from financial perspective, customers perspective, internal business perspective, learning and growth Formulate Troyland's future market strategy and business layout from these four perspectives. This article has the following two suggestions from the financial perspective section. First, the market share of competitive products in Troyland should be maintained, and the sales of similar products should be increased on this basis to increase the sales revenue of similar products. That step is to stabilize the company's most loyal customers. Second, the company needs to improve its profitability and adopt the cost of goods sold (COGS) strategy. The company needs to reduce the costs incurred in the process of selling products or providing services, such as raw materials, direct labor and manufacturing expenses. The plan is to help Troyland generate more profit while selling. In the customers perspective section of this article, there are two suggestions for improving customer satisfaction and adding more new customers. The company consistently scores well on customer satisfaction, which is a huge advantage when it comes to maintaining existing customers. In addition, you need to add new customers to the original customers. The suggestion of this paper is to optimize the original products and create corresponding products for more groups of customers.</w:t>
          </w:r>
        </w:p>
        <w:p w14:paraId="656C0852" w14:textId="77777777" w:rsidR="00B93E7F" w:rsidRPr="000D229F" w:rsidRDefault="00B93E7F" w:rsidP="00B93E7F">
          <w:pPr>
            <w:spacing w:line="240" w:lineRule="auto"/>
            <w:rPr>
              <w:rFonts w:ascii="New Roma" w:hAnsi="New Roma" w:cs="Segoe UI" w:hint="eastAsia"/>
              <w:sz w:val="24"/>
              <w:szCs w:val="24"/>
              <w:shd w:val="clear" w:color="auto" w:fill="FFFFFF"/>
            </w:rPr>
          </w:pPr>
          <w:r w:rsidRPr="000D229F">
            <w:rPr>
              <w:rFonts w:ascii="New Roma" w:hAnsi="New Roma" w:cs="Segoe UI"/>
              <w:sz w:val="24"/>
              <w:szCs w:val="24"/>
              <w:shd w:val="clear" w:color="auto" w:fill="FFFFFF"/>
            </w:rPr>
            <w:t xml:space="preserve">From the internal business perspective, the company needs to improve the operation efficiency. On the one hand, it can improve the ways of staff training, performance pay, etc., and on the other hand, it can improve the management personnel, such as developing more efficient delivery service. Shorten business processes and improve upstream and downstream coordination of the supply chain to save time. At the same time, Troyland needs to expand its reach to include large developed UK cities other than London as new markets. There are two reasons why Britain's large developed cities are chosen. First of all, the economy of London is developed, and people's wages are higher </w:t>
          </w:r>
          <w:r w:rsidRPr="000D229F">
            <w:rPr>
              <w:rFonts w:ascii="New Roma" w:hAnsi="New Roma" w:cs="Segoe UI"/>
              <w:sz w:val="24"/>
              <w:szCs w:val="24"/>
              <w:shd w:val="clear" w:color="auto" w:fill="FFFFFF"/>
            </w:rPr>
            <w:lastRenderedPageBreak/>
            <w:t>than those of other areas. Troyland's products are set by the middle and upper class people. Large, developed cities meet the same criteria as London, with a similar clientele. Second, having a chain store in the UK can increase the brand's popularity in the country and help develop more new customers.</w:t>
          </w:r>
        </w:p>
        <w:p w14:paraId="7C882D91" w14:textId="77777777" w:rsidR="00B93E7F" w:rsidRPr="000D229F" w:rsidRDefault="00B93E7F" w:rsidP="00B93E7F">
          <w:pPr>
            <w:spacing w:line="240" w:lineRule="auto"/>
            <w:rPr>
              <w:rFonts w:ascii="New Roma" w:hAnsi="New Roma" w:cs="Segoe UI" w:hint="eastAsia"/>
              <w:sz w:val="24"/>
              <w:szCs w:val="24"/>
              <w:shd w:val="clear" w:color="auto" w:fill="FFFFFF"/>
            </w:rPr>
          </w:pPr>
          <w:r w:rsidRPr="000D229F">
            <w:rPr>
              <w:rFonts w:ascii="New Roma" w:hAnsi="New Roma" w:cs="Segoe UI"/>
              <w:sz w:val="24"/>
              <w:szCs w:val="24"/>
              <w:shd w:val="clear" w:color="auto" w:fill="FFFFFF"/>
            </w:rPr>
            <w:t>In the learning and growth perspective, the company needs to help employees increase their working ability and raise their wages. On the one hand, enhancing the work efficiency of employees can ensure that employees finish their work on time and increase the quality of work. On the other hand, employees can get higher salary after their ability is enhanced, which will increase the sense of belonging to the company.</w:t>
          </w:r>
        </w:p>
        <w:p w14:paraId="0F491694" w14:textId="77777777" w:rsidR="00B93E7F" w:rsidRDefault="00B93E7F" w:rsidP="00B93E7F">
          <w:pPr>
            <w:spacing w:line="240" w:lineRule="auto"/>
            <w:rPr>
              <w:rFonts w:ascii="New Roma" w:hAnsi="New Roma" w:cs="Segoe UI" w:hint="eastAsia"/>
              <w:sz w:val="24"/>
              <w:szCs w:val="24"/>
              <w:shd w:val="clear" w:color="auto" w:fill="FFFFFF"/>
              <w:lang w:val="en-US"/>
            </w:rPr>
          </w:pPr>
        </w:p>
        <w:p w14:paraId="01F3EBD5" w14:textId="77777777" w:rsidR="00B93E7F" w:rsidRDefault="00B93E7F" w:rsidP="00B93E7F">
          <w:pPr>
            <w:spacing w:line="240" w:lineRule="auto"/>
            <w:rPr>
              <w:rFonts w:ascii="New Roma" w:hAnsi="New Roma" w:cs="Segoe UI" w:hint="eastAsia"/>
              <w:sz w:val="24"/>
              <w:szCs w:val="24"/>
              <w:shd w:val="clear" w:color="auto" w:fill="FFFFFF"/>
              <w:lang w:val="en-US"/>
            </w:rPr>
          </w:pPr>
          <w:r>
            <w:rPr>
              <w:rFonts w:ascii="New Roma" w:hAnsi="New Roma" w:cs="Segoe UI"/>
              <w:sz w:val="24"/>
              <w:szCs w:val="24"/>
              <w:shd w:val="clear" w:color="auto" w:fill="FFFFFF"/>
              <w:lang w:val="en-US"/>
            </w:rPr>
            <w:t xml:space="preserve">Table 2: </w:t>
          </w:r>
          <w:r w:rsidRPr="00D33AED">
            <w:rPr>
              <w:rFonts w:ascii="New Roma" w:hAnsi="New Roma" w:cs="Segoe UI"/>
              <w:sz w:val="24"/>
              <w:szCs w:val="24"/>
              <w:shd w:val="clear" w:color="auto" w:fill="FFFFFF"/>
            </w:rPr>
            <w:t xml:space="preserve">Balanced Scorecard for Future </w:t>
          </w:r>
          <w:r w:rsidRPr="00A35584">
            <w:rPr>
              <w:rFonts w:ascii="New Roma" w:hAnsi="New Roma" w:cs="Segoe UI"/>
              <w:sz w:val="24"/>
              <w:szCs w:val="24"/>
              <w:shd w:val="clear" w:color="auto" w:fill="FFFFFF"/>
            </w:rPr>
            <w:t>Troyland</w:t>
          </w:r>
          <w:r w:rsidRPr="00D33AED">
            <w:rPr>
              <w:rFonts w:ascii="New Roma" w:hAnsi="New Roma" w:cs="Segoe UI"/>
              <w:sz w:val="24"/>
              <w:szCs w:val="24"/>
              <w:shd w:val="clear" w:color="auto" w:fill="FFFFFF"/>
            </w:rPr>
            <w:t xml:space="preserve"> Development</w:t>
          </w:r>
        </w:p>
        <w:tbl>
          <w:tblPr>
            <w:tblStyle w:val="PlainTable3"/>
            <w:tblW w:w="0" w:type="auto"/>
            <w:tblLook w:val="0480" w:firstRow="0" w:lastRow="0" w:firstColumn="1" w:lastColumn="0" w:noHBand="0" w:noVBand="1"/>
          </w:tblPr>
          <w:tblGrid>
            <w:gridCol w:w="2694"/>
            <w:gridCol w:w="3316"/>
            <w:gridCol w:w="3006"/>
          </w:tblGrid>
          <w:tr w:rsidR="00B93E7F" w14:paraId="0AFEF4A2" w14:textId="77777777" w:rsidTr="00ED3C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4" w:type="dxa"/>
                <w:vMerge w:val="restart"/>
              </w:tcPr>
              <w:p w14:paraId="05AB0979" w14:textId="77777777" w:rsidR="00B93E7F" w:rsidRDefault="00B93E7F" w:rsidP="00ED3CCF">
                <w:pPr>
                  <w:rPr>
                    <w:rFonts w:ascii="New Roma" w:hAnsi="New Roma" w:cs="Segoe UI" w:hint="eastAsia"/>
                    <w:sz w:val="24"/>
                    <w:szCs w:val="24"/>
                    <w:shd w:val="clear" w:color="auto" w:fill="FFFFFF"/>
                    <w:lang w:val="en-US"/>
                  </w:rPr>
                </w:pPr>
                <w:r>
                  <w:rPr>
                    <w:rFonts w:ascii="New Roma" w:hAnsi="New Roma" w:cs="Segoe UI"/>
                    <w:sz w:val="24"/>
                    <w:szCs w:val="24"/>
                    <w:shd w:val="clear" w:color="auto" w:fill="FFFFFF"/>
                    <w:lang w:val="en-US"/>
                  </w:rPr>
                  <w:t>FINANCIAL PERSPECTIVE:</w:t>
                </w:r>
              </w:p>
            </w:tc>
            <w:tc>
              <w:tcPr>
                <w:tcW w:w="3316" w:type="dxa"/>
              </w:tcPr>
              <w:p w14:paraId="0D971831" w14:textId="77777777" w:rsidR="00B93E7F" w:rsidRPr="00504481" w:rsidRDefault="00B93E7F" w:rsidP="00ED3CCF">
                <w:pPr>
                  <w:cnfStyle w:val="000000100000" w:firstRow="0" w:lastRow="0" w:firstColumn="0" w:lastColumn="0" w:oddVBand="0" w:evenVBand="0" w:oddHBand="1" w:evenHBand="0" w:firstRowFirstColumn="0" w:firstRowLastColumn="0" w:lastRowFirstColumn="0" w:lastRowLastColumn="0"/>
                  <w:rPr>
                    <w:rFonts w:ascii="New Roma" w:hAnsi="New Roma" w:cs="Segoe UI" w:hint="eastAsia"/>
                    <w:b/>
                    <w:bCs/>
                    <w:sz w:val="24"/>
                    <w:szCs w:val="24"/>
                    <w:shd w:val="clear" w:color="auto" w:fill="FFFFFF"/>
                    <w:lang w:val="en-US"/>
                  </w:rPr>
                </w:pPr>
                <w:r w:rsidRPr="00504481">
                  <w:rPr>
                    <w:rFonts w:ascii="New Roma" w:hAnsi="New Roma" w:cs="Segoe UI"/>
                    <w:b/>
                    <w:bCs/>
                    <w:sz w:val="24"/>
                    <w:szCs w:val="24"/>
                    <w:shd w:val="clear" w:color="auto" w:fill="FFFFFF"/>
                    <w:lang w:val="en-US"/>
                  </w:rPr>
                  <w:t>Objective</w:t>
                </w:r>
              </w:p>
            </w:tc>
            <w:tc>
              <w:tcPr>
                <w:tcW w:w="3006" w:type="dxa"/>
              </w:tcPr>
              <w:p w14:paraId="7887C0DE" w14:textId="77777777" w:rsidR="00B93E7F" w:rsidRPr="00504481" w:rsidRDefault="00B93E7F" w:rsidP="00ED3CCF">
                <w:pPr>
                  <w:cnfStyle w:val="000000100000" w:firstRow="0" w:lastRow="0" w:firstColumn="0" w:lastColumn="0" w:oddVBand="0" w:evenVBand="0" w:oddHBand="1" w:evenHBand="0" w:firstRowFirstColumn="0" w:firstRowLastColumn="0" w:lastRowFirstColumn="0" w:lastRowLastColumn="0"/>
                  <w:rPr>
                    <w:rFonts w:ascii="New Roma" w:hAnsi="New Roma" w:cs="Segoe UI" w:hint="eastAsia"/>
                    <w:b/>
                    <w:bCs/>
                    <w:sz w:val="24"/>
                    <w:szCs w:val="24"/>
                    <w:shd w:val="clear" w:color="auto" w:fill="FFFFFF"/>
                    <w:lang w:val="en-US"/>
                  </w:rPr>
                </w:pPr>
                <w:r w:rsidRPr="00504481">
                  <w:rPr>
                    <w:rFonts w:ascii="New Roma" w:hAnsi="New Roma" w:cs="Segoe UI"/>
                    <w:b/>
                    <w:bCs/>
                    <w:sz w:val="24"/>
                    <w:szCs w:val="24"/>
                    <w:shd w:val="clear" w:color="auto" w:fill="FFFFFF"/>
                    <w:lang w:val="en-US"/>
                  </w:rPr>
                  <w:t>Performance measure</w:t>
                </w:r>
              </w:p>
            </w:tc>
          </w:tr>
          <w:tr w:rsidR="00B93E7F" w14:paraId="57A74F97" w14:textId="77777777" w:rsidTr="00ED3CCF">
            <w:tc>
              <w:tcPr>
                <w:cnfStyle w:val="001000000000" w:firstRow="0" w:lastRow="0" w:firstColumn="1" w:lastColumn="0" w:oddVBand="0" w:evenVBand="0" w:oddHBand="0" w:evenHBand="0" w:firstRowFirstColumn="0" w:firstRowLastColumn="0" w:lastRowFirstColumn="0" w:lastRowLastColumn="0"/>
                <w:tcW w:w="2694" w:type="dxa"/>
                <w:vMerge/>
              </w:tcPr>
              <w:p w14:paraId="71FB9CFA" w14:textId="77777777" w:rsidR="00B93E7F" w:rsidRDefault="00B93E7F" w:rsidP="00ED3CCF">
                <w:pPr>
                  <w:rPr>
                    <w:rFonts w:ascii="New Roma" w:hAnsi="New Roma" w:cs="Segoe UI" w:hint="eastAsia"/>
                    <w:sz w:val="24"/>
                    <w:szCs w:val="24"/>
                    <w:shd w:val="clear" w:color="auto" w:fill="FFFFFF"/>
                    <w:lang w:val="en-US"/>
                  </w:rPr>
                </w:pPr>
              </w:p>
            </w:tc>
            <w:tc>
              <w:tcPr>
                <w:tcW w:w="3316" w:type="dxa"/>
              </w:tcPr>
              <w:p w14:paraId="5CC21084" w14:textId="77777777" w:rsidR="00B93E7F" w:rsidRDefault="00B93E7F" w:rsidP="00ED3CCF">
                <w:pPr>
                  <w:cnfStyle w:val="000000000000" w:firstRow="0" w:lastRow="0" w:firstColumn="0" w:lastColumn="0" w:oddVBand="0" w:evenVBand="0" w:oddHBand="0" w:evenHBand="0" w:firstRowFirstColumn="0" w:firstRowLastColumn="0" w:lastRowFirstColumn="0" w:lastRowLastColumn="0"/>
                  <w:rPr>
                    <w:rFonts w:ascii="New Roma" w:hAnsi="New Roma" w:cs="Segoe UI" w:hint="eastAsia"/>
                    <w:sz w:val="24"/>
                    <w:szCs w:val="24"/>
                    <w:shd w:val="clear" w:color="auto" w:fill="FFFFFF"/>
                    <w:lang w:val="en-US"/>
                  </w:rPr>
                </w:pPr>
                <w:r w:rsidRPr="00F848F4">
                  <w:rPr>
                    <w:rFonts w:ascii="New Roma" w:hAnsi="New Roma" w:cs="Segoe UI"/>
                    <w:sz w:val="24"/>
                    <w:szCs w:val="24"/>
                    <w:shd w:val="clear" w:color="auto" w:fill="FFFFFF"/>
                    <w:lang w:val="en-US"/>
                  </w:rPr>
                  <w:t>Maintain and increase existing market share</w:t>
                </w:r>
              </w:p>
            </w:tc>
            <w:tc>
              <w:tcPr>
                <w:tcW w:w="3006" w:type="dxa"/>
              </w:tcPr>
              <w:p w14:paraId="1C006ECC" w14:textId="77777777" w:rsidR="00B93E7F" w:rsidRDefault="00B93E7F" w:rsidP="00ED3CCF">
                <w:pPr>
                  <w:cnfStyle w:val="000000000000" w:firstRow="0" w:lastRow="0" w:firstColumn="0" w:lastColumn="0" w:oddVBand="0" w:evenVBand="0" w:oddHBand="0" w:evenHBand="0" w:firstRowFirstColumn="0" w:firstRowLastColumn="0" w:lastRowFirstColumn="0" w:lastRowLastColumn="0"/>
                  <w:rPr>
                    <w:rFonts w:ascii="New Roma" w:hAnsi="New Roma" w:cs="Segoe UI" w:hint="eastAsia"/>
                    <w:sz w:val="24"/>
                    <w:szCs w:val="24"/>
                    <w:shd w:val="clear" w:color="auto" w:fill="FFFFFF"/>
                    <w:lang w:val="en-US"/>
                  </w:rPr>
                </w:pPr>
                <w:r>
                  <w:rPr>
                    <w:rFonts w:ascii="New Roma" w:hAnsi="New Roma" w:cs="Segoe UI" w:hint="eastAsia"/>
                    <w:sz w:val="24"/>
                    <w:szCs w:val="24"/>
                    <w:shd w:val="clear" w:color="auto" w:fill="FFFFFF"/>
                    <w:lang w:val="en-US"/>
                  </w:rPr>
                  <w:t>Di</w:t>
                </w:r>
              </w:p>
            </w:tc>
          </w:tr>
          <w:tr w:rsidR="00B93E7F" w14:paraId="3055EDAF" w14:textId="77777777" w:rsidTr="00ED3C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4" w:type="dxa"/>
                <w:vMerge/>
              </w:tcPr>
              <w:p w14:paraId="48A538A2" w14:textId="77777777" w:rsidR="00B93E7F" w:rsidRDefault="00B93E7F" w:rsidP="00ED3CCF">
                <w:pPr>
                  <w:rPr>
                    <w:rFonts w:ascii="New Roma" w:hAnsi="New Roma" w:cs="Segoe UI" w:hint="eastAsia"/>
                    <w:sz w:val="24"/>
                    <w:szCs w:val="24"/>
                    <w:shd w:val="clear" w:color="auto" w:fill="FFFFFF"/>
                    <w:lang w:val="en-US"/>
                  </w:rPr>
                </w:pPr>
              </w:p>
            </w:tc>
            <w:tc>
              <w:tcPr>
                <w:tcW w:w="3316" w:type="dxa"/>
              </w:tcPr>
              <w:p w14:paraId="057A8475" w14:textId="77777777" w:rsidR="00B93E7F" w:rsidRPr="0070671C" w:rsidRDefault="00B93E7F" w:rsidP="00ED3CCF">
                <w:pPr>
                  <w:cnfStyle w:val="000000100000" w:firstRow="0" w:lastRow="0" w:firstColumn="0" w:lastColumn="0" w:oddVBand="0" w:evenVBand="0" w:oddHBand="1" w:evenHBand="0" w:firstRowFirstColumn="0" w:firstRowLastColumn="0" w:lastRowFirstColumn="0" w:lastRowLastColumn="0"/>
                  <w:rPr>
                    <w:rFonts w:ascii="New Roma" w:hAnsi="New Roma" w:cs="Segoe UI" w:hint="eastAsia"/>
                    <w:sz w:val="24"/>
                    <w:szCs w:val="24"/>
                    <w:shd w:val="clear" w:color="auto" w:fill="FFFFFF"/>
                    <w:lang w:val="en-US"/>
                  </w:rPr>
                </w:pPr>
                <w:r w:rsidRPr="0070671C">
                  <w:rPr>
                    <w:rFonts w:ascii="New Roma" w:hAnsi="New Roma" w:cs="Segoe UI"/>
                    <w:sz w:val="24"/>
                    <w:szCs w:val="24"/>
                    <w:shd w:val="clear" w:color="auto" w:fill="FFFFFF"/>
                    <w:lang w:val="en-US"/>
                  </w:rPr>
                  <w:t>Increase profitability</w:t>
                </w:r>
              </w:p>
            </w:tc>
            <w:tc>
              <w:tcPr>
                <w:tcW w:w="3006" w:type="dxa"/>
              </w:tcPr>
              <w:p w14:paraId="48383BAB" w14:textId="77777777" w:rsidR="00B93E7F" w:rsidRDefault="00B93E7F" w:rsidP="00ED3CCF">
                <w:pPr>
                  <w:cnfStyle w:val="000000100000" w:firstRow="0" w:lastRow="0" w:firstColumn="0" w:lastColumn="0" w:oddVBand="0" w:evenVBand="0" w:oddHBand="1" w:evenHBand="0" w:firstRowFirstColumn="0" w:firstRowLastColumn="0" w:lastRowFirstColumn="0" w:lastRowLastColumn="0"/>
                  <w:rPr>
                    <w:rFonts w:ascii="New Roma" w:hAnsi="New Roma" w:cs="Segoe UI" w:hint="eastAsia"/>
                    <w:sz w:val="24"/>
                    <w:szCs w:val="24"/>
                    <w:shd w:val="clear" w:color="auto" w:fill="FFFFFF"/>
                    <w:lang w:val="en-US"/>
                  </w:rPr>
                </w:pPr>
                <w:bookmarkStart w:id="5" w:name="_Hlk134474876"/>
                <w:r w:rsidRPr="00F848F4">
                  <w:rPr>
                    <w:rFonts w:ascii="New Roma" w:hAnsi="New Roma" w:cs="Segoe UI"/>
                    <w:sz w:val="24"/>
                    <w:szCs w:val="24"/>
                    <w:shd w:val="clear" w:color="auto" w:fill="FFFFFF"/>
                    <w:lang w:val="en-US"/>
                  </w:rPr>
                  <w:t>Cost of goods sold (COGS)</w:t>
                </w:r>
                <w:bookmarkEnd w:id="5"/>
              </w:p>
            </w:tc>
          </w:tr>
          <w:tr w:rsidR="00B93E7F" w14:paraId="728779DA" w14:textId="77777777" w:rsidTr="00ED3CCF">
            <w:tc>
              <w:tcPr>
                <w:cnfStyle w:val="001000000000" w:firstRow="0" w:lastRow="0" w:firstColumn="1" w:lastColumn="0" w:oddVBand="0" w:evenVBand="0" w:oddHBand="0" w:evenHBand="0" w:firstRowFirstColumn="0" w:firstRowLastColumn="0" w:lastRowFirstColumn="0" w:lastRowLastColumn="0"/>
                <w:tcW w:w="2694" w:type="dxa"/>
                <w:vMerge w:val="restart"/>
              </w:tcPr>
              <w:p w14:paraId="6B8C0EE4" w14:textId="77777777" w:rsidR="00B93E7F" w:rsidRDefault="00B93E7F" w:rsidP="00ED3CCF">
                <w:pPr>
                  <w:rPr>
                    <w:rFonts w:ascii="New Roma" w:hAnsi="New Roma" w:cs="Segoe UI" w:hint="eastAsia"/>
                    <w:sz w:val="24"/>
                    <w:szCs w:val="24"/>
                    <w:shd w:val="clear" w:color="auto" w:fill="FFFFFF"/>
                    <w:lang w:val="en-US"/>
                  </w:rPr>
                </w:pPr>
                <w:r>
                  <w:rPr>
                    <w:rFonts w:ascii="New Roma" w:hAnsi="New Roma" w:cs="Segoe UI"/>
                    <w:sz w:val="24"/>
                    <w:szCs w:val="24"/>
                    <w:shd w:val="clear" w:color="auto" w:fill="FFFFFF"/>
                    <w:lang w:val="en-US"/>
                  </w:rPr>
                  <w:t>CUSTOMER PERSPECTIVE:</w:t>
                </w:r>
              </w:p>
            </w:tc>
            <w:tc>
              <w:tcPr>
                <w:tcW w:w="3316" w:type="dxa"/>
              </w:tcPr>
              <w:p w14:paraId="77242322" w14:textId="77777777" w:rsidR="00B93E7F" w:rsidRDefault="00B93E7F" w:rsidP="00ED3CCF">
                <w:pPr>
                  <w:cnfStyle w:val="000000000000" w:firstRow="0" w:lastRow="0" w:firstColumn="0" w:lastColumn="0" w:oddVBand="0" w:evenVBand="0" w:oddHBand="0" w:evenHBand="0" w:firstRowFirstColumn="0" w:firstRowLastColumn="0" w:lastRowFirstColumn="0" w:lastRowLastColumn="0"/>
                  <w:rPr>
                    <w:rFonts w:ascii="New Roma" w:hAnsi="New Roma" w:cs="Segoe UI" w:hint="eastAsia"/>
                    <w:sz w:val="24"/>
                    <w:szCs w:val="24"/>
                    <w:shd w:val="clear" w:color="auto" w:fill="FFFFFF"/>
                    <w:lang w:val="en-US"/>
                  </w:rPr>
                </w:pPr>
                <w:r w:rsidRPr="00504481">
                  <w:rPr>
                    <w:rFonts w:ascii="New Roma" w:hAnsi="New Roma" w:cs="Segoe UI"/>
                    <w:b/>
                    <w:bCs/>
                    <w:sz w:val="24"/>
                    <w:szCs w:val="24"/>
                    <w:shd w:val="clear" w:color="auto" w:fill="FFFFFF"/>
                    <w:lang w:val="en-US"/>
                  </w:rPr>
                  <w:t>Objective</w:t>
                </w:r>
              </w:p>
            </w:tc>
            <w:tc>
              <w:tcPr>
                <w:tcW w:w="3006" w:type="dxa"/>
              </w:tcPr>
              <w:p w14:paraId="4064B52E" w14:textId="77777777" w:rsidR="00B93E7F" w:rsidRDefault="00B93E7F" w:rsidP="00ED3CCF">
                <w:pPr>
                  <w:cnfStyle w:val="000000000000" w:firstRow="0" w:lastRow="0" w:firstColumn="0" w:lastColumn="0" w:oddVBand="0" w:evenVBand="0" w:oddHBand="0" w:evenHBand="0" w:firstRowFirstColumn="0" w:firstRowLastColumn="0" w:lastRowFirstColumn="0" w:lastRowLastColumn="0"/>
                  <w:rPr>
                    <w:rFonts w:ascii="New Roma" w:hAnsi="New Roma" w:cs="Segoe UI" w:hint="eastAsia"/>
                    <w:sz w:val="24"/>
                    <w:szCs w:val="24"/>
                    <w:shd w:val="clear" w:color="auto" w:fill="FFFFFF"/>
                    <w:lang w:val="en-US"/>
                  </w:rPr>
                </w:pPr>
                <w:r w:rsidRPr="00504481">
                  <w:rPr>
                    <w:rFonts w:ascii="New Roma" w:hAnsi="New Roma" w:cs="Segoe UI"/>
                    <w:b/>
                    <w:bCs/>
                    <w:sz w:val="24"/>
                    <w:szCs w:val="24"/>
                    <w:shd w:val="clear" w:color="auto" w:fill="FFFFFF"/>
                    <w:lang w:val="en-US"/>
                  </w:rPr>
                  <w:t>Performance measure</w:t>
                </w:r>
              </w:p>
            </w:tc>
          </w:tr>
          <w:tr w:rsidR="00B93E7F" w14:paraId="7A320FB2" w14:textId="77777777" w:rsidTr="00ED3C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4" w:type="dxa"/>
                <w:vMerge/>
              </w:tcPr>
              <w:p w14:paraId="525A9FB9" w14:textId="77777777" w:rsidR="00B93E7F" w:rsidRDefault="00B93E7F" w:rsidP="00ED3CCF">
                <w:pPr>
                  <w:rPr>
                    <w:rFonts w:ascii="New Roma" w:hAnsi="New Roma" w:cs="Segoe UI" w:hint="eastAsia"/>
                    <w:sz w:val="24"/>
                    <w:szCs w:val="24"/>
                    <w:shd w:val="clear" w:color="auto" w:fill="FFFFFF"/>
                    <w:lang w:val="en-US"/>
                  </w:rPr>
                </w:pPr>
              </w:p>
            </w:tc>
            <w:tc>
              <w:tcPr>
                <w:tcW w:w="3316" w:type="dxa"/>
              </w:tcPr>
              <w:p w14:paraId="79AE5C0A" w14:textId="77777777" w:rsidR="00B93E7F" w:rsidRDefault="00B93E7F" w:rsidP="00ED3CCF">
                <w:pPr>
                  <w:cnfStyle w:val="000000100000" w:firstRow="0" w:lastRow="0" w:firstColumn="0" w:lastColumn="0" w:oddVBand="0" w:evenVBand="0" w:oddHBand="1" w:evenHBand="0" w:firstRowFirstColumn="0" w:firstRowLastColumn="0" w:lastRowFirstColumn="0" w:lastRowLastColumn="0"/>
                  <w:rPr>
                    <w:rFonts w:ascii="New Roma" w:hAnsi="New Roma" w:cs="Segoe UI" w:hint="eastAsia"/>
                    <w:sz w:val="24"/>
                    <w:szCs w:val="24"/>
                    <w:shd w:val="clear" w:color="auto" w:fill="FFFFFF"/>
                    <w:lang w:val="en-US"/>
                  </w:rPr>
                </w:pPr>
                <w:r w:rsidRPr="0070671C">
                  <w:rPr>
                    <w:rFonts w:ascii="New Roma" w:hAnsi="New Roma" w:cs="Segoe UI"/>
                    <w:sz w:val="24"/>
                    <w:szCs w:val="24"/>
                    <w:shd w:val="clear" w:color="auto" w:fill="FFFFFF"/>
                    <w:lang w:val="en-US"/>
                  </w:rPr>
                  <w:t>Improve customer satisfaction</w:t>
                </w:r>
              </w:p>
            </w:tc>
            <w:tc>
              <w:tcPr>
                <w:tcW w:w="3006" w:type="dxa"/>
              </w:tcPr>
              <w:p w14:paraId="310DD1B0" w14:textId="77777777" w:rsidR="00B93E7F" w:rsidRDefault="00B93E7F" w:rsidP="00ED3CCF">
                <w:pPr>
                  <w:cnfStyle w:val="000000100000" w:firstRow="0" w:lastRow="0" w:firstColumn="0" w:lastColumn="0" w:oddVBand="0" w:evenVBand="0" w:oddHBand="1" w:evenHBand="0" w:firstRowFirstColumn="0" w:firstRowLastColumn="0" w:lastRowFirstColumn="0" w:lastRowLastColumn="0"/>
                  <w:rPr>
                    <w:rFonts w:ascii="New Roma" w:hAnsi="New Roma" w:cs="Segoe UI" w:hint="eastAsia"/>
                    <w:sz w:val="24"/>
                    <w:szCs w:val="24"/>
                    <w:shd w:val="clear" w:color="auto" w:fill="FFFFFF"/>
                    <w:lang w:val="en-US"/>
                  </w:rPr>
                </w:pPr>
                <w:r w:rsidRPr="00F848F4">
                  <w:rPr>
                    <w:rFonts w:ascii="New Roma" w:hAnsi="New Roma" w:cs="Segoe UI"/>
                    <w:sz w:val="24"/>
                    <w:szCs w:val="24"/>
                    <w:shd w:val="clear" w:color="auto" w:fill="FFFFFF"/>
                    <w:lang w:val="en-US"/>
                  </w:rPr>
                  <w:t>Customer retention rate</w:t>
                </w:r>
              </w:p>
            </w:tc>
          </w:tr>
          <w:tr w:rsidR="00B93E7F" w14:paraId="584C9E3D" w14:textId="77777777" w:rsidTr="00ED3CCF">
            <w:tc>
              <w:tcPr>
                <w:cnfStyle w:val="001000000000" w:firstRow="0" w:lastRow="0" w:firstColumn="1" w:lastColumn="0" w:oddVBand="0" w:evenVBand="0" w:oddHBand="0" w:evenHBand="0" w:firstRowFirstColumn="0" w:firstRowLastColumn="0" w:lastRowFirstColumn="0" w:lastRowLastColumn="0"/>
                <w:tcW w:w="2694" w:type="dxa"/>
                <w:vMerge/>
              </w:tcPr>
              <w:p w14:paraId="6D9119CB" w14:textId="77777777" w:rsidR="00B93E7F" w:rsidRDefault="00B93E7F" w:rsidP="00ED3CCF">
                <w:pPr>
                  <w:rPr>
                    <w:rFonts w:ascii="New Roma" w:hAnsi="New Roma" w:cs="Segoe UI" w:hint="eastAsia"/>
                    <w:sz w:val="24"/>
                    <w:szCs w:val="24"/>
                    <w:shd w:val="clear" w:color="auto" w:fill="FFFFFF"/>
                    <w:lang w:val="en-US"/>
                  </w:rPr>
                </w:pPr>
              </w:p>
            </w:tc>
            <w:tc>
              <w:tcPr>
                <w:tcW w:w="3316" w:type="dxa"/>
              </w:tcPr>
              <w:p w14:paraId="729783F1" w14:textId="77777777" w:rsidR="00B93E7F" w:rsidRDefault="00B93E7F" w:rsidP="00ED3CCF">
                <w:pPr>
                  <w:cnfStyle w:val="000000000000" w:firstRow="0" w:lastRow="0" w:firstColumn="0" w:lastColumn="0" w:oddVBand="0" w:evenVBand="0" w:oddHBand="0" w:evenHBand="0" w:firstRowFirstColumn="0" w:firstRowLastColumn="0" w:lastRowFirstColumn="0" w:lastRowLastColumn="0"/>
                  <w:rPr>
                    <w:rFonts w:ascii="New Roma" w:hAnsi="New Roma" w:cs="Segoe UI" w:hint="eastAsia"/>
                    <w:sz w:val="24"/>
                    <w:szCs w:val="24"/>
                    <w:shd w:val="clear" w:color="auto" w:fill="FFFFFF"/>
                    <w:lang w:val="en-US"/>
                  </w:rPr>
                </w:pPr>
                <w:r w:rsidRPr="00F848F4">
                  <w:rPr>
                    <w:rFonts w:ascii="New Roma" w:hAnsi="New Roma" w:cs="Segoe UI"/>
                    <w:sz w:val="24"/>
                    <w:szCs w:val="24"/>
                    <w:shd w:val="clear" w:color="auto" w:fill="FFFFFF"/>
                    <w:lang w:val="en-US"/>
                  </w:rPr>
                  <w:t>Increase the proportion of new customers</w:t>
                </w:r>
              </w:p>
            </w:tc>
            <w:tc>
              <w:tcPr>
                <w:tcW w:w="3006" w:type="dxa"/>
              </w:tcPr>
              <w:p w14:paraId="39ADB6DA" w14:textId="77777777" w:rsidR="00B93E7F" w:rsidRDefault="00B93E7F" w:rsidP="00ED3CCF">
                <w:pPr>
                  <w:cnfStyle w:val="000000000000" w:firstRow="0" w:lastRow="0" w:firstColumn="0" w:lastColumn="0" w:oddVBand="0" w:evenVBand="0" w:oddHBand="0" w:evenHBand="0" w:firstRowFirstColumn="0" w:firstRowLastColumn="0" w:lastRowFirstColumn="0" w:lastRowLastColumn="0"/>
                  <w:rPr>
                    <w:rFonts w:ascii="New Roma" w:hAnsi="New Roma" w:cs="Segoe UI" w:hint="eastAsia"/>
                    <w:sz w:val="24"/>
                    <w:szCs w:val="24"/>
                    <w:shd w:val="clear" w:color="auto" w:fill="FFFFFF"/>
                    <w:lang w:val="en-US"/>
                  </w:rPr>
                </w:pPr>
                <w:r w:rsidRPr="002C798A">
                  <w:rPr>
                    <w:rFonts w:ascii="New Roma" w:hAnsi="New Roma" w:cs="Segoe UI"/>
                    <w:sz w:val="24"/>
                    <w:szCs w:val="24"/>
                    <w:shd w:val="clear" w:color="auto" w:fill="FFFFFF"/>
                    <w:lang w:val="en-US"/>
                  </w:rPr>
                  <w:t>Innovative products based on the original products</w:t>
                </w:r>
              </w:p>
            </w:tc>
          </w:tr>
          <w:tr w:rsidR="00B93E7F" w14:paraId="21E8306F" w14:textId="77777777" w:rsidTr="00ED3C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4" w:type="dxa"/>
                <w:vMerge w:val="restart"/>
              </w:tcPr>
              <w:p w14:paraId="0E5F6A39" w14:textId="77777777" w:rsidR="00B93E7F" w:rsidRDefault="00B93E7F" w:rsidP="00ED3CCF">
                <w:pPr>
                  <w:rPr>
                    <w:rFonts w:ascii="New Roma" w:hAnsi="New Roma" w:cs="Segoe UI" w:hint="eastAsia"/>
                    <w:sz w:val="24"/>
                    <w:szCs w:val="24"/>
                    <w:shd w:val="clear" w:color="auto" w:fill="FFFFFF"/>
                    <w:lang w:val="en-US"/>
                  </w:rPr>
                </w:pPr>
                <w:r>
                  <w:rPr>
                    <w:rFonts w:ascii="New Roma" w:hAnsi="New Roma" w:cs="Segoe UI"/>
                    <w:sz w:val="24"/>
                    <w:szCs w:val="24"/>
                    <w:shd w:val="clear" w:color="auto" w:fill="FFFFFF"/>
                    <w:lang w:val="en-US"/>
                  </w:rPr>
                  <w:t>internal business perspective:</w:t>
                </w:r>
              </w:p>
            </w:tc>
            <w:tc>
              <w:tcPr>
                <w:tcW w:w="3316" w:type="dxa"/>
              </w:tcPr>
              <w:p w14:paraId="7D7ABAEF" w14:textId="77777777" w:rsidR="00B93E7F" w:rsidRDefault="00B93E7F" w:rsidP="00ED3CCF">
                <w:pPr>
                  <w:cnfStyle w:val="000000100000" w:firstRow="0" w:lastRow="0" w:firstColumn="0" w:lastColumn="0" w:oddVBand="0" w:evenVBand="0" w:oddHBand="1" w:evenHBand="0" w:firstRowFirstColumn="0" w:firstRowLastColumn="0" w:lastRowFirstColumn="0" w:lastRowLastColumn="0"/>
                  <w:rPr>
                    <w:rFonts w:ascii="New Roma" w:hAnsi="New Roma" w:cs="Segoe UI" w:hint="eastAsia"/>
                    <w:sz w:val="24"/>
                    <w:szCs w:val="24"/>
                    <w:shd w:val="clear" w:color="auto" w:fill="FFFFFF"/>
                    <w:lang w:val="en-US"/>
                  </w:rPr>
                </w:pPr>
                <w:r w:rsidRPr="00504481">
                  <w:rPr>
                    <w:rFonts w:ascii="New Roma" w:hAnsi="New Roma" w:cs="Segoe UI"/>
                    <w:b/>
                    <w:bCs/>
                    <w:sz w:val="24"/>
                    <w:szCs w:val="24"/>
                    <w:shd w:val="clear" w:color="auto" w:fill="FFFFFF"/>
                    <w:lang w:val="en-US"/>
                  </w:rPr>
                  <w:t>Objective</w:t>
                </w:r>
              </w:p>
            </w:tc>
            <w:tc>
              <w:tcPr>
                <w:tcW w:w="3006" w:type="dxa"/>
              </w:tcPr>
              <w:p w14:paraId="686265CC" w14:textId="77777777" w:rsidR="00B93E7F" w:rsidRDefault="00B93E7F" w:rsidP="00ED3CCF">
                <w:pPr>
                  <w:cnfStyle w:val="000000100000" w:firstRow="0" w:lastRow="0" w:firstColumn="0" w:lastColumn="0" w:oddVBand="0" w:evenVBand="0" w:oddHBand="1" w:evenHBand="0" w:firstRowFirstColumn="0" w:firstRowLastColumn="0" w:lastRowFirstColumn="0" w:lastRowLastColumn="0"/>
                  <w:rPr>
                    <w:rFonts w:ascii="New Roma" w:hAnsi="New Roma" w:cs="Segoe UI" w:hint="eastAsia"/>
                    <w:sz w:val="24"/>
                    <w:szCs w:val="24"/>
                    <w:shd w:val="clear" w:color="auto" w:fill="FFFFFF"/>
                    <w:lang w:val="en-US"/>
                  </w:rPr>
                </w:pPr>
                <w:r w:rsidRPr="00504481">
                  <w:rPr>
                    <w:rFonts w:ascii="New Roma" w:hAnsi="New Roma" w:cs="Segoe UI"/>
                    <w:b/>
                    <w:bCs/>
                    <w:sz w:val="24"/>
                    <w:szCs w:val="24"/>
                    <w:shd w:val="clear" w:color="auto" w:fill="FFFFFF"/>
                    <w:lang w:val="en-US"/>
                  </w:rPr>
                  <w:t>Performance measure</w:t>
                </w:r>
              </w:p>
            </w:tc>
          </w:tr>
          <w:tr w:rsidR="00B93E7F" w14:paraId="4DB47206" w14:textId="77777777" w:rsidTr="00ED3CCF">
            <w:tc>
              <w:tcPr>
                <w:cnfStyle w:val="001000000000" w:firstRow="0" w:lastRow="0" w:firstColumn="1" w:lastColumn="0" w:oddVBand="0" w:evenVBand="0" w:oddHBand="0" w:evenHBand="0" w:firstRowFirstColumn="0" w:firstRowLastColumn="0" w:lastRowFirstColumn="0" w:lastRowLastColumn="0"/>
                <w:tcW w:w="2694" w:type="dxa"/>
                <w:vMerge/>
              </w:tcPr>
              <w:p w14:paraId="6396C653" w14:textId="77777777" w:rsidR="00B93E7F" w:rsidRDefault="00B93E7F" w:rsidP="00ED3CCF">
                <w:pPr>
                  <w:rPr>
                    <w:rFonts w:ascii="New Roma" w:hAnsi="New Roma" w:cs="Segoe UI" w:hint="eastAsia"/>
                    <w:sz w:val="24"/>
                    <w:szCs w:val="24"/>
                    <w:shd w:val="clear" w:color="auto" w:fill="FFFFFF"/>
                    <w:lang w:val="en-US"/>
                  </w:rPr>
                </w:pPr>
              </w:p>
            </w:tc>
            <w:tc>
              <w:tcPr>
                <w:tcW w:w="3316" w:type="dxa"/>
              </w:tcPr>
              <w:p w14:paraId="2A433A3E" w14:textId="77777777" w:rsidR="00B93E7F" w:rsidRDefault="00B93E7F" w:rsidP="00ED3CCF">
                <w:pPr>
                  <w:cnfStyle w:val="000000000000" w:firstRow="0" w:lastRow="0" w:firstColumn="0" w:lastColumn="0" w:oddVBand="0" w:evenVBand="0" w:oddHBand="0" w:evenHBand="0" w:firstRowFirstColumn="0" w:firstRowLastColumn="0" w:lastRowFirstColumn="0" w:lastRowLastColumn="0"/>
                  <w:rPr>
                    <w:rFonts w:ascii="New Roma" w:hAnsi="New Roma" w:cs="Segoe UI" w:hint="eastAsia"/>
                    <w:sz w:val="24"/>
                    <w:szCs w:val="24"/>
                    <w:shd w:val="clear" w:color="auto" w:fill="FFFFFF"/>
                    <w:lang w:val="en-US"/>
                  </w:rPr>
                </w:pPr>
                <w:r w:rsidRPr="0070671C">
                  <w:rPr>
                    <w:rFonts w:ascii="New Roma" w:hAnsi="New Roma" w:cs="Segoe UI"/>
                    <w:sz w:val="24"/>
                    <w:szCs w:val="24"/>
                    <w:shd w:val="clear" w:color="auto" w:fill="FFFFFF"/>
                    <w:lang w:val="en-US"/>
                  </w:rPr>
                  <w:t>Improve operational efficiency</w:t>
                </w:r>
              </w:p>
            </w:tc>
            <w:tc>
              <w:tcPr>
                <w:tcW w:w="3006" w:type="dxa"/>
              </w:tcPr>
              <w:p w14:paraId="701E1910" w14:textId="77777777" w:rsidR="00B93E7F" w:rsidRDefault="00B93E7F" w:rsidP="00ED3CCF">
                <w:pPr>
                  <w:cnfStyle w:val="000000000000" w:firstRow="0" w:lastRow="0" w:firstColumn="0" w:lastColumn="0" w:oddVBand="0" w:evenVBand="0" w:oddHBand="0" w:evenHBand="0" w:firstRowFirstColumn="0" w:firstRowLastColumn="0" w:lastRowFirstColumn="0" w:lastRowLastColumn="0"/>
                  <w:rPr>
                    <w:rFonts w:ascii="New Roma" w:hAnsi="New Roma" w:cs="Segoe UI" w:hint="eastAsia"/>
                    <w:sz w:val="24"/>
                    <w:szCs w:val="24"/>
                    <w:shd w:val="clear" w:color="auto" w:fill="FFFFFF"/>
                    <w:lang w:val="en-US"/>
                  </w:rPr>
                </w:pPr>
                <w:r w:rsidRPr="002C798A">
                  <w:rPr>
                    <w:rFonts w:ascii="New Roma" w:hAnsi="New Roma" w:cs="Segoe UI"/>
                    <w:sz w:val="24"/>
                    <w:szCs w:val="24"/>
                    <w:shd w:val="clear" w:color="auto" w:fill="FFFFFF"/>
                    <w:lang w:val="en-US"/>
                  </w:rPr>
                  <w:t>On-time delivery</w:t>
                </w:r>
              </w:p>
            </w:tc>
          </w:tr>
          <w:tr w:rsidR="00B93E7F" w14:paraId="5892B4E3" w14:textId="77777777" w:rsidTr="00ED3C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4" w:type="dxa"/>
                <w:vMerge/>
              </w:tcPr>
              <w:p w14:paraId="1E8729B9" w14:textId="77777777" w:rsidR="00B93E7F" w:rsidRDefault="00B93E7F" w:rsidP="00ED3CCF">
                <w:pPr>
                  <w:rPr>
                    <w:rFonts w:ascii="New Roma" w:hAnsi="New Roma" w:cs="Segoe UI" w:hint="eastAsia"/>
                    <w:sz w:val="24"/>
                    <w:szCs w:val="24"/>
                    <w:shd w:val="clear" w:color="auto" w:fill="FFFFFF"/>
                    <w:lang w:val="en-US"/>
                  </w:rPr>
                </w:pPr>
              </w:p>
            </w:tc>
            <w:tc>
              <w:tcPr>
                <w:tcW w:w="3316" w:type="dxa"/>
              </w:tcPr>
              <w:p w14:paraId="42585401" w14:textId="77777777" w:rsidR="00B93E7F" w:rsidRDefault="00B93E7F" w:rsidP="00ED3CCF">
                <w:pPr>
                  <w:cnfStyle w:val="000000100000" w:firstRow="0" w:lastRow="0" w:firstColumn="0" w:lastColumn="0" w:oddVBand="0" w:evenVBand="0" w:oddHBand="1" w:evenHBand="0" w:firstRowFirstColumn="0" w:firstRowLastColumn="0" w:lastRowFirstColumn="0" w:lastRowLastColumn="0"/>
                  <w:rPr>
                    <w:rFonts w:ascii="New Roma" w:hAnsi="New Roma" w:cs="Segoe UI" w:hint="eastAsia"/>
                    <w:sz w:val="24"/>
                    <w:szCs w:val="24"/>
                    <w:shd w:val="clear" w:color="auto" w:fill="FFFFFF"/>
                    <w:lang w:val="en-US"/>
                  </w:rPr>
                </w:pPr>
                <w:r>
                  <w:rPr>
                    <w:rFonts w:ascii="New Roma" w:hAnsi="New Roma" w:cs="Segoe UI"/>
                    <w:sz w:val="24"/>
                    <w:szCs w:val="24"/>
                    <w:shd w:val="clear" w:color="auto" w:fill="FFFFFF"/>
                    <w:lang w:val="en-US"/>
                  </w:rPr>
                  <w:t>D</w:t>
                </w:r>
                <w:r>
                  <w:rPr>
                    <w:rFonts w:ascii="New Roma" w:hAnsi="New Roma" w:cs="Segoe UI" w:hint="eastAsia"/>
                    <w:sz w:val="24"/>
                    <w:szCs w:val="24"/>
                    <w:shd w:val="clear" w:color="auto" w:fill="FFFFFF"/>
                    <w:lang w:val="en-US"/>
                  </w:rPr>
                  <w:t>e</w:t>
                </w:r>
                <w:r>
                  <w:rPr>
                    <w:rFonts w:ascii="New Roma" w:hAnsi="New Roma" w:cs="Segoe UI"/>
                    <w:sz w:val="24"/>
                    <w:szCs w:val="24"/>
                    <w:shd w:val="clear" w:color="auto" w:fill="FFFFFF"/>
                    <w:lang w:val="en-US"/>
                  </w:rPr>
                  <w:t xml:space="preserve">velop new markets </w:t>
                </w:r>
              </w:p>
            </w:tc>
            <w:tc>
              <w:tcPr>
                <w:tcW w:w="3006" w:type="dxa"/>
              </w:tcPr>
              <w:p w14:paraId="519B943C" w14:textId="77777777" w:rsidR="00B93E7F" w:rsidRDefault="00B93E7F" w:rsidP="00ED3CCF">
                <w:pPr>
                  <w:cnfStyle w:val="000000100000" w:firstRow="0" w:lastRow="0" w:firstColumn="0" w:lastColumn="0" w:oddVBand="0" w:evenVBand="0" w:oddHBand="1" w:evenHBand="0" w:firstRowFirstColumn="0" w:firstRowLastColumn="0" w:lastRowFirstColumn="0" w:lastRowLastColumn="0"/>
                  <w:rPr>
                    <w:rFonts w:ascii="New Roma" w:hAnsi="New Roma" w:cs="Segoe UI" w:hint="eastAsia"/>
                    <w:sz w:val="24"/>
                    <w:szCs w:val="24"/>
                    <w:shd w:val="clear" w:color="auto" w:fill="FFFFFF"/>
                    <w:lang w:val="en-US"/>
                  </w:rPr>
                </w:pPr>
                <w:r>
                  <w:rPr>
                    <w:rFonts w:ascii="New Roma" w:hAnsi="New Roma" w:cs="Segoe UI"/>
                    <w:sz w:val="24"/>
                    <w:szCs w:val="24"/>
                    <w:shd w:val="clear" w:color="auto" w:fill="FFFFFF"/>
                    <w:lang w:val="en-US"/>
                  </w:rPr>
                  <w:t>Sale revenue from new market</w:t>
                </w:r>
              </w:p>
            </w:tc>
          </w:tr>
          <w:tr w:rsidR="00B93E7F" w14:paraId="343F7720" w14:textId="77777777" w:rsidTr="00ED3CCF">
            <w:tc>
              <w:tcPr>
                <w:cnfStyle w:val="001000000000" w:firstRow="0" w:lastRow="0" w:firstColumn="1" w:lastColumn="0" w:oddVBand="0" w:evenVBand="0" w:oddHBand="0" w:evenHBand="0" w:firstRowFirstColumn="0" w:firstRowLastColumn="0" w:lastRowFirstColumn="0" w:lastRowLastColumn="0"/>
                <w:tcW w:w="2694" w:type="dxa"/>
                <w:vMerge w:val="restart"/>
              </w:tcPr>
              <w:p w14:paraId="0F32424F" w14:textId="77777777" w:rsidR="00B93E7F" w:rsidRDefault="00B93E7F" w:rsidP="00ED3CCF">
                <w:pPr>
                  <w:rPr>
                    <w:rFonts w:ascii="New Roma" w:hAnsi="New Roma" w:cs="Segoe UI" w:hint="eastAsia"/>
                    <w:sz w:val="24"/>
                    <w:szCs w:val="24"/>
                    <w:shd w:val="clear" w:color="auto" w:fill="FFFFFF"/>
                    <w:lang w:val="en-US"/>
                  </w:rPr>
                </w:pPr>
                <w:r>
                  <w:rPr>
                    <w:rFonts w:ascii="New Roma" w:hAnsi="New Roma" w:cs="Segoe UI"/>
                    <w:sz w:val="24"/>
                    <w:szCs w:val="24"/>
                    <w:shd w:val="clear" w:color="auto" w:fill="FFFFFF"/>
                    <w:lang w:val="en-US"/>
                  </w:rPr>
                  <w:t>learning &amp; growth perspective:</w:t>
                </w:r>
              </w:p>
            </w:tc>
            <w:tc>
              <w:tcPr>
                <w:tcW w:w="3316" w:type="dxa"/>
              </w:tcPr>
              <w:p w14:paraId="16267C03" w14:textId="77777777" w:rsidR="00B93E7F" w:rsidRDefault="00B93E7F" w:rsidP="00ED3CCF">
                <w:pPr>
                  <w:cnfStyle w:val="000000000000" w:firstRow="0" w:lastRow="0" w:firstColumn="0" w:lastColumn="0" w:oddVBand="0" w:evenVBand="0" w:oddHBand="0" w:evenHBand="0" w:firstRowFirstColumn="0" w:firstRowLastColumn="0" w:lastRowFirstColumn="0" w:lastRowLastColumn="0"/>
                  <w:rPr>
                    <w:rFonts w:ascii="New Roma" w:hAnsi="New Roma" w:cs="Segoe UI" w:hint="eastAsia"/>
                    <w:sz w:val="24"/>
                    <w:szCs w:val="24"/>
                    <w:shd w:val="clear" w:color="auto" w:fill="FFFFFF"/>
                    <w:lang w:val="en-US"/>
                  </w:rPr>
                </w:pPr>
                <w:r w:rsidRPr="00504481">
                  <w:rPr>
                    <w:rFonts w:ascii="New Roma" w:hAnsi="New Roma" w:cs="Segoe UI"/>
                    <w:b/>
                    <w:bCs/>
                    <w:sz w:val="24"/>
                    <w:szCs w:val="24"/>
                    <w:shd w:val="clear" w:color="auto" w:fill="FFFFFF"/>
                    <w:lang w:val="en-US"/>
                  </w:rPr>
                  <w:t>Objective</w:t>
                </w:r>
              </w:p>
            </w:tc>
            <w:tc>
              <w:tcPr>
                <w:tcW w:w="3006" w:type="dxa"/>
              </w:tcPr>
              <w:p w14:paraId="5D70321D" w14:textId="77777777" w:rsidR="00B93E7F" w:rsidRDefault="00B93E7F" w:rsidP="00ED3CCF">
                <w:pPr>
                  <w:cnfStyle w:val="000000000000" w:firstRow="0" w:lastRow="0" w:firstColumn="0" w:lastColumn="0" w:oddVBand="0" w:evenVBand="0" w:oddHBand="0" w:evenHBand="0" w:firstRowFirstColumn="0" w:firstRowLastColumn="0" w:lastRowFirstColumn="0" w:lastRowLastColumn="0"/>
                  <w:rPr>
                    <w:rFonts w:ascii="New Roma" w:hAnsi="New Roma" w:cs="Segoe UI" w:hint="eastAsia"/>
                    <w:sz w:val="24"/>
                    <w:szCs w:val="24"/>
                    <w:shd w:val="clear" w:color="auto" w:fill="FFFFFF"/>
                    <w:lang w:val="en-US"/>
                  </w:rPr>
                </w:pPr>
                <w:r w:rsidRPr="00504481">
                  <w:rPr>
                    <w:rFonts w:ascii="New Roma" w:hAnsi="New Roma" w:cs="Segoe UI"/>
                    <w:b/>
                    <w:bCs/>
                    <w:sz w:val="24"/>
                    <w:szCs w:val="24"/>
                    <w:shd w:val="clear" w:color="auto" w:fill="FFFFFF"/>
                    <w:lang w:val="en-US"/>
                  </w:rPr>
                  <w:t>Performance measure</w:t>
                </w:r>
              </w:p>
            </w:tc>
          </w:tr>
          <w:tr w:rsidR="00B93E7F" w14:paraId="4085C6CF" w14:textId="77777777" w:rsidTr="00ED3C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4" w:type="dxa"/>
                <w:vMerge/>
              </w:tcPr>
              <w:p w14:paraId="01C9D262" w14:textId="77777777" w:rsidR="00B93E7F" w:rsidRDefault="00B93E7F" w:rsidP="00ED3CCF">
                <w:pPr>
                  <w:rPr>
                    <w:rFonts w:ascii="New Roma" w:hAnsi="New Roma" w:cs="Segoe UI" w:hint="eastAsia"/>
                    <w:sz w:val="24"/>
                    <w:szCs w:val="24"/>
                    <w:shd w:val="clear" w:color="auto" w:fill="FFFFFF"/>
                    <w:lang w:val="en-US"/>
                  </w:rPr>
                </w:pPr>
              </w:p>
            </w:tc>
            <w:tc>
              <w:tcPr>
                <w:tcW w:w="3316" w:type="dxa"/>
              </w:tcPr>
              <w:p w14:paraId="36989F37" w14:textId="77777777" w:rsidR="00B93E7F" w:rsidRDefault="00B93E7F" w:rsidP="00ED3CCF">
                <w:pPr>
                  <w:cnfStyle w:val="000000100000" w:firstRow="0" w:lastRow="0" w:firstColumn="0" w:lastColumn="0" w:oddVBand="0" w:evenVBand="0" w:oddHBand="1" w:evenHBand="0" w:firstRowFirstColumn="0" w:firstRowLastColumn="0" w:lastRowFirstColumn="0" w:lastRowLastColumn="0"/>
                  <w:rPr>
                    <w:rFonts w:ascii="New Roma" w:hAnsi="New Roma" w:cs="Segoe UI" w:hint="eastAsia"/>
                    <w:sz w:val="24"/>
                    <w:szCs w:val="24"/>
                    <w:shd w:val="clear" w:color="auto" w:fill="FFFFFF"/>
                    <w:lang w:val="en-US"/>
                  </w:rPr>
                </w:pPr>
                <w:r>
                  <w:rPr>
                    <w:rFonts w:ascii="Gilroy" w:hAnsi="Gilroy"/>
                    <w:color w:val="000000"/>
                    <w:shd w:val="clear" w:color="auto" w:fill="FFFFFF"/>
                  </w:rPr>
                  <w:t>Enhance work ability</w:t>
                </w:r>
              </w:p>
            </w:tc>
            <w:tc>
              <w:tcPr>
                <w:tcW w:w="3006" w:type="dxa"/>
              </w:tcPr>
              <w:p w14:paraId="1820E1DE" w14:textId="77777777" w:rsidR="00B93E7F" w:rsidRPr="00F848F4" w:rsidRDefault="00B93E7F" w:rsidP="00ED3CCF">
                <w:pPr>
                  <w:cnfStyle w:val="000000100000" w:firstRow="0" w:lastRow="0" w:firstColumn="0" w:lastColumn="0" w:oddVBand="0" w:evenVBand="0" w:oddHBand="1" w:evenHBand="0" w:firstRowFirstColumn="0" w:firstRowLastColumn="0" w:lastRowFirstColumn="0" w:lastRowLastColumn="0"/>
                  <w:rPr>
                    <w:rFonts w:ascii="Gilroy" w:hAnsi="Gilroy" w:hint="eastAsia"/>
                    <w:color w:val="000000"/>
                    <w:shd w:val="clear" w:color="auto" w:fill="FFFFFF"/>
                  </w:rPr>
                </w:pPr>
                <w:r w:rsidRPr="00F848F4">
                  <w:rPr>
                    <w:rFonts w:ascii="Gilroy" w:hAnsi="Gilroy"/>
                    <w:color w:val="000000"/>
                    <w:shd w:val="clear" w:color="auto" w:fill="FFFFFF"/>
                  </w:rPr>
                  <w:t>Training hours per employee</w:t>
                </w:r>
              </w:p>
            </w:tc>
          </w:tr>
          <w:tr w:rsidR="00B93E7F" w14:paraId="69A398E7" w14:textId="77777777" w:rsidTr="00ED3CCF">
            <w:tc>
              <w:tcPr>
                <w:cnfStyle w:val="001000000000" w:firstRow="0" w:lastRow="0" w:firstColumn="1" w:lastColumn="0" w:oddVBand="0" w:evenVBand="0" w:oddHBand="0" w:evenHBand="0" w:firstRowFirstColumn="0" w:firstRowLastColumn="0" w:lastRowFirstColumn="0" w:lastRowLastColumn="0"/>
                <w:tcW w:w="2694" w:type="dxa"/>
                <w:vMerge/>
              </w:tcPr>
              <w:p w14:paraId="6728BFC6" w14:textId="77777777" w:rsidR="00B93E7F" w:rsidRDefault="00B93E7F" w:rsidP="00ED3CCF">
                <w:pPr>
                  <w:rPr>
                    <w:rFonts w:ascii="New Roma" w:hAnsi="New Roma" w:cs="Segoe UI" w:hint="eastAsia"/>
                    <w:sz w:val="24"/>
                    <w:szCs w:val="24"/>
                    <w:shd w:val="clear" w:color="auto" w:fill="FFFFFF"/>
                    <w:lang w:val="en-US"/>
                  </w:rPr>
                </w:pPr>
              </w:p>
            </w:tc>
            <w:tc>
              <w:tcPr>
                <w:tcW w:w="3316" w:type="dxa"/>
              </w:tcPr>
              <w:p w14:paraId="21520133" w14:textId="77777777" w:rsidR="00B93E7F" w:rsidRDefault="00B93E7F" w:rsidP="00ED3CCF">
                <w:pPr>
                  <w:cnfStyle w:val="000000000000" w:firstRow="0" w:lastRow="0" w:firstColumn="0" w:lastColumn="0" w:oddVBand="0" w:evenVBand="0" w:oddHBand="0" w:evenHBand="0" w:firstRowFirstColumn="0" w:firstRowLastColumn="0" w:lastRowFirstColumn="0" w:lastRowLastColumn="0"/>
                  <w:rPr>
                    <w:rFonts w:ascii="New Roma" w:hAnsi="New Roma" w:cs="Segoe UI" w:hint="eastAsia"/>
                    <w:sz w:val="24"/>
                    <w:szCs w:val="24"/>
                    <w:shd w:val="clear" w:color="auto" w:fill="FFFFFF"/>
                    <w:lang w:val="en-US"/>
                  </w:rPr>
                </w:pPr>
                <w:r w:rsidRPr="00F848F4">
                  <w:rPr>
                    <w:rFonts w:ascii="New Roma" w:hAnsi="New Roma" w:cs="Segoe UI"/>
                    <w:sz w:val="24"/>
                    <w:szCs w:val="24"/>
                    <w:shd w:val="clear" w:color="auto" w:fill="FFFFFF"/>
                    <w:lang w:val="en-US"/>
                  </w:rPr>
                  <w:t>Foster employee development</w:t>
                </w:r>
              </w:p>
            </w:tc>
            <w:tc>
              <w:tcPr>
                <w:tcW w:w="3006" w:type="dxa"/>
              </w:tcPr>
              <w:p w14:paraId="6204B514" w14:textId="77777777" w:rsidR="00B93E7F" w:rsidRPr="00F848F4" w:rsidRDefault="00B93E7F" w:rsidP="00ED3CCF">
                <w:pPr>
                  <w:cnfStyle w:val="000000000000" w:firstRow="0" w:lastRow="0" w:firstColumn="0" w:lastColumn="0" w:oddVBand="0" w:evenVBand="0" w:oddHBand="0" w:evenHBand="0" w:firstRowFirstColumn="0" w:firstRowLastColumn="0" w:lastRowFirstColumn="0" w:lastRowLastColumn="0"/>
                  <w:rPr>
                    <w:rFonts w:ascii="Gilroy" w:hAnsi="Gilroy" w:hint="eastAsia"/>
                    <w:color w:val="000000"/>
                    <w:shd w:val="clear" w:color="auto" w:fill="FFFFFF"/>
                  </w:rPr>
                </w:pPr>
                <w:r>
                  <w:rPr>
                    <w:rFonts w:ascii="Gilroy" w:hAnsi="Gilroy"/>
                    <w:color w:val="000000"/>
                    <w:shd w:val="clear" w:color="auto" w:fill="FFFFFF"/>
                  </w:rPr>
                  <w:t>Employee salary increase</w:t>
                </w:r>
              </w:p>
            </w:tc>
          </w:tr>
        </w:tbl>
        <w:p w14:paraId="442DD18D" w14:textId="77777777" w:rsidR="00B93E7F" w:rsidRDefault="00B93E7F" w:rsidP="00B93E7F">
          <w:pPr>
            <w:spacing w:line="240" w:lineRule="auto"/>
            <w:rPr>
              <w:rFonts w:ascii="New Roma" w:hAnsi="New Roma" w:cs="Segoe UI" w:hint="eastAsia"/>
              <w:sz w:val="24"/>
              <w:szCs w:val="24"/>
              <w:shd w:val="clear" w:color="auto" w:fill="FFFFFF"/>
              <w:lang w:val="en-US"/>
            </w:rPr>
          </w:pPr>
        </w:p>
        <w:p w14:paraId="2CCCDCD3" w14:textId="77777777" w:rsidR="00B93E7F" w:rsidRDefault="00B93E7F" w:rsidP="00B93E7F">
          <w:pPr>
            <w:spacing w:line="240" w:lineRule="auto"/>
            <w:rPr>
              <w:rFonts w:ascii="New Roma" w:hAnsi="New Roma" w:cs="Segoe UI" w:hint="eastAsia"/>
              <w:sz w:val="24"/>
              <w:szCs w:val="24"/>
              <w:shd w:val="clear" w:color="auto" w:fill="FFFFFF"/>
              <w:lang w:val="en-US"/>
            </w:rPr>
          </w:pPr>
        </w:p>
        <w:p w14:paraId="4A4052E2" w14:textId="77777777" w:rsidR="00B93E7F" w:rsidRDefault="00B93E7F" w:rsidP="00B93E7F">
          <w:pPr>
            <w:rPr>
              <w:rFonts w:ascii="Segoe UI" w:hAnsi="Segoe UI" w:cs="Segoe UI"/>
              <w:shd w:val="clear" w:color="auto" w:fill="FFFFFF"/>
            </w:rPr>
          </w:pPr>
        </w:p>
        <w:p w14:paraId="20B885D7" w14:textId="77777777" w:rsidR="00B93E7F" w:rsidRDefault="00B93E7F" w:rsidP="00B93E7F">
          <w:pPr>
            <w:rPr>
              <w:rFonts w:ascii="New Roma" w:hAnsi="New Roma" w:cs="Segoe UI" w:hint="eastAsia"/>
              <w:b/>
              <w:bCs/>
              <w:sz w:val="28"/>
              <w:szCs w:val="28"/>
              <w:shd w:val="clear" w:color="auto" w:fill="FFFFFF"/>
            </w:rPr>
          </w:pPr>
          <w:r w:rsidRPr="006159AF">
            <w:rPr>
              <w:rFonts w:ascii="New Roma" w:hAnsi="New Roma" w:cs="Segoe UI"/>
              <w:b/>
              <w:bCs/>
              <w:sz w:val="28"/>
              <w:szCs w:val="28"/>
              <w:shd w:val="clear" w:color="auto" w:fill="FFFFFF"/>
            </w:rPr>
            <w:t xml:space="preserve">Business </w:t>
          </w:r>
          <w:r>
            <w:rPr>
              <w:rFonts w:ascii="New Roma" w:hAnsi="New Roma" w:cs="Segoe UI"/>
              <w:b/>
              <w:bCs/>
              <w:sz w:val="28"/>
              <w:szCs w:val="28"/>
              <w:shd w:val="clear" w:color="auto" w:fill="FFFFFF"/>
            </w:rPr>
            <w:t>P</w:t>
          </w:r>
          <w:r w:rsidRPr="006159AF">
            <w:rPr>
              <w:rFonts w:ascii="New Roma" w:hAnsi="New Roma" w:cs="Segoe UI"/>
              <w:b/>
              <w:bCs/>
              <w:sz w:val="28"/>
              <w:szCs w:val="28"/>
              <w:shd w:val="clear" w:color="auto" w:fill="FFFFFF"/>
            </w:rPr>
            <w:t xml:space="preserve">rocess </w:t>
          </w:r>
          <w:r>
            <w:rPr>
              <w:rFonts w:ascii="New Roma" w:hAnsi="New Roma" w:cs="Segoe UI"/>
              <w:b/>
              <w:bCs/>
              <w:sz w:val="28"/>
              <w:szCs w:val="28"/>
              <w:shd w:val="clear" w:color="auto" w:fill="FFFFFF"/>
            </w:rPr>
            <w:t>R</w:t>
          </w:r>
          <w:r w:rsidRPr="006159AF">
            <w:rPr>
              <w:rFonts w:ascii="New Roma" w:hAnsi="New Roma" w:cs="Segoe UI"/>
              <w:b/>
              <w:bCs/>
              <w:sz w:val="28"/>
              <w:szCs w:val="28"/>
              <w:shd w:val="clear" w:color="auto" w:fill="FFFFFF"/>
            </w:rPr>
            <w:t>eengineering in Troyland</w:t>
          </w:r>
        </w:p>
        <w:p w14:paraId="61F3457F" w14:textId="77777777" w:rsidR="00B93E7F" w:rsidRDefault="00B93E7F" w:rsidP="00B93E7F">
          <w:pPr>
            <w:rPr>
              <w:rFonts w:ascii="New Roma" w:hAnsi="New Roma" w:cs="Segoe UI" w:hint="eastAsia"/>
              <w:sz w:val="24"/>
              <w:szCs w:val="24"/>
              <w:shd w:val="clear" w:color="auto" w:fill="FFFFFF"/>
            </w:rPr>
          </w:pPr>
          <w:r w:rsidRPr="0056686B">
            <w:rPr>
              <w:rFonts w:ascii="New Roma" w:hAnsi="New Roma" w:cs="Segoe UI"/>
              <w:sz w:val="24"/>
              <w:szCs w:val="24"/>
              <w:shd w:val="clear" w:color="auto" w:fill="FFFFFF"/>
            </w:rPr>
            <w:t>Business Process Reengineering (BPR) refers to the management method of redesigning and reorganizing enterprise business processes to optimize and reshape business processes and improve enterprise efficiency and competitiveness (Abdolvand el at, 2008). BPR clearly analyzes and helps companies achieve their goals, which may include improving effectiveness and efficiency and reducing overhead costs. BPR provides guidance to enterprises in the following aspects:</w:t>
          </w:r>
        </w:p>
        <w:p w14:paraId="4CBE0269" w14:textId="77777777" w:rsidR="00B93E7F" w:rsidRPr="0056686B" w:rsidRDefault="00B93E7F" w:rsidP="00B93E7F">
          <w:pPr>
            <w:pStyle w:val="ListParagraph"/>
            <w:numPr>
              <w:ilvl w:val="0"/>
              <w:numId w:val="1"/>
            </w:numPr>
            <w:rPr>
              <w:rFonts w:ascii="New Roma" w:hAnsi="New Roma" w:cs="Segoe UI" w:hint="eastAsia"/>
              <w:sz w:val="24"/>
              <w:szCs w:val="24"/>
              <w:shd w:val="clear" w:color="auto" w:fill="FFFFFF"/>
            </w:rPr>
          </w:pPr>
          <w:r w:rsidRPr="0056686B">
            <w:rPr>
              <w:rFonts w:ascii="New Roma" w:hAnsi="New Roma" w:cs="Segoe UI"/>
              <w:sz w:val="24"/>
              <w:szCs w:val="24"/>
              <w:shd w:val="clear" w:color="auto" w:fill="FFFFFF"/>
            </w:rPr>
            <w:t>Redesign each link in the business process of the enterprise.</w:t>
          </w:r>
        </w:p>
        <w:p w14:paraId="306F57DA" w14:textId="77777777" w:rsidR="00B93E7F" w:rsidRPr="0056686B" w:rsidRDefault="00B93E7F" w:rsidP="00B93E7F">
          <w:pPr>
            <w:pStyle w:val="ListParagraph"/>
            <w:numPr>
              <w:ilvl w:val="0"/>
              <w:numId w:val="1"/>
            </w:numPr>
            <w:rPr>
              <w:rFonts w:ascii="New Roma" w:hAnsi="New Roma" w:cs="Segoe UI" w:hint="eastAsia"/>
              <w:sz w:val="24"/>
              <w:szCs w:val="24"/>
              <w:shd w:val="clear" w:color="auto" w:fill="FFFFFF"/>
            </w:rPr>
          </w:pPr>
          <w:r w:rsidRPr="0056686B">
            <w:rPr>
              <w:rFonts w:ascii="New Roma" w:hAnsi="New Roma" w:cs="Segoe UI"/>
              <w:sz w:val="24"/>
              <w:szCs w:val="24"/>
              <w:shd w:val="clear" w:color="auto" w:fill="FFFFFF"/>
            </w:rPr>
            <w:t>Use new technologies to establish business processes in line with the social development of The Times.</w:t>
          </w:r>
        </w:p>
        <w:p w14:paraId="3A8A1AA4" w14:textId="77777777" w:rsidR="00B93E7F" w:rsidRDefault="00B93E7F" w:rsidP="00B93E7F">
          <w:pPr>
            <w:pStyle w:val="ListParagraph"/>
            <w:numPr>
              <w:ilvl w:val="0"/>
              <w:numId w:val="1"/>
            </w:numPr>
            <w:rPr>
              <w:rFonts w:ascii="New Roma" w:hAnsi="New Roma" w:cs="Segoe UI" w:hint="eastAsia"/>
              <w:sz w:val="24"/>
              <w:szCs w:val="24"/>
              <w:shd w:val="clear" w:color="auto" w:fill="FFFFFF"/>
            </w:rPr>
          </w:pPr>
          <w:r w:rsidRPr="0056686B">
            <w:rPr>
              <w:rFonts w:ascii="New Roma" w:hAnsi="New Roma" w:cs="Segoe UI"/>
              <w:sz w:val="24"/>
              <w:szCs w:val="24"/>
              <w:shd w:val="clear" w:color="auto" w:fill="FFFFFF"/>
            </w:rPr>
            <w:t>Attempts to achieve strategic outcomes at the organizational level.</w:t>
          </w:r>
        </w:p>
        <w:p w14:paraId="5F2CD440" w14:textId="77777777" w:rsidR="00B93E7F" w:rsidRDefault="00B93E7F" w:rsidP="00B93E7F">
          <w:pPr>
            <w:rPr>
              <w:rFonts w:ascii="New Roma" w:hAnsi="New Roma" w:cs="Segoe UI" w:hint="eastAsia"/>
              <w:sz w:val="24"/>
              <w:szCs w:val="24"/>
              <w:shd w:val="clear" w:color="auto" w:fill="FFFFFF"/>
            </w:rPr>
          </w:pPr>
          <w:r w:rsidRPr="0056686B">
            <w:rPr>
              <w:rFonts w:ascii="New Roma" w:hAnsi="New Roma" w:cs="Segoe UI"/>
              <w:sz w:val="24"/>
              <w:szCs w:val="24"/>
              <w:shd w:val="clear" w:color="auto" w:fill="FFFFFF"/>
            </w:rPr>
            <w:lastRenderedPageBreak/>
            <w:t>Troyland's business is mainly footwear products. The BPR of this enterprise needs to re-examine and redesign the relevant business processes of the upstream and downstream of the enterprise, including supply chain management, sales, production, logistics and other processes, to reduce costs, improve efficiency and enhance competitiveness. In the process of business process reengineering, Troyland needs to comprehensively consider all the links within the enterprise, analyze the bottlenecks of its business process, find out the solutions mainly centering on sales and expanding new markets, and optimize and reorganize the business process.</w:t>
          </w:r>
        </w:p>
        <w:p w14:paraId="55D790D0" w14:textId="77777777" w:rsidR="00B93E7F" w:rsidRDefault="00B93E7F" w:rsidP="00B93E7F">
          <w:pPr>
            <w:rPr>
              <w:rFonts w:ascii="New Roma" w:hAnsi="New Roma" w:cs="Segoe UI" w:hint="eastAsia"/>
              <w:sz w:val="24"/>
              <w:szCs w:val="24"/>
              <w:shd w:val="clear" w:color="auto" w:fill="FFFFFF"/>
            </w:rPr>
          </w:pPr>
          <w:r w:rsidRPr="00DF5266">
            <w:rPr>
              <w:rFonts w:ascii="New Roma" w:hAnsi="New Roma" w:cs="Segoe UI"/>
              <w:sz w:val="24"/>
              <w:szCs w:val="24"/>
              <w:shd w:val="clear" w:color="auto" w:fill="FFFFFF"/>
            </w:rPr>
            <w:t>Supply chain management reorganization of related products. At present, the world economy is falling into recession under the influence of Russia-Ukraine war, US dollar credibility crisis, regional conflicts and epidemic, etc. Troyland's products need to be carefully selected from raw materials, manufacturers and suppliers, and some factors such as political instability in some developing countries may affect the company's product prices and supply chain delivery time. This will greatly increase operating costs and logistics costs. Troyland must choose countries or regions that have a good relationship with the UK or the EU as the source of stable raw material suppliers, and process products in countries close to the UK, to ensure the stable supply of products and cope with the changeable and complex situation in the world.</w:t>
          </w:r>
        </w:p>
        <w:p w14:paraId="49DB552D" w14:textId="77777777" w:rsidR="00B93E7F" w:rsidRDefault="00B93E7F" w:rsidP="00B93E7F">
          <w:pPr>
            <w:rPr>
              <w:rFonts w:ascii="New Roma" w:hAnsi="New Roma" w:cs="Segoe UI" w:hint="eastAsia"/>
              <w:sz w:val="24"/>
              <w:szCs w:val="24"/>
              <w:shd w:val="clear" w:color="auto" w:fill="FFFFFF"/>
            </w:rPr>
          </w:pPr>
          <w:r w:rsidRPr="00DF5266">
            <w:rPr>
              <w:rFonts w:ascii="New Roma" w:hAnsi="New Roma" w:cs="Segoe UI"/>
              <w:sz w:val="24"/>
              <w:szCs w:val="24"/>
              <w:shd w:val="clear" w:color="auto" w:fill="FFFFFF"/>
            </w:rPr>
            <w:t>BPR is also required at the sales end, and the sales department cannot only target customers in London as its main sales target. It needs to expand its sales to areas other than London. In the past three years, some customers have come from continental Europe. It is necessary to maintain a good relationship with the existing European customers and improve the efficiency of online shopping and logistics, so as to increase the user experience of continental customers and let the customers on the other side know the development process of Troyland. At the same time, Troyland can open its branches in the capitals of major European countries such as Berlin, Paris, Milan and other famous cities, to let more European customers know and buy its products and improve its popularity.</w:t>
          </w:r>
        </w:p>
        <w:p w14:paraId="7E5F8279" w14:textId="77777777" w:rsidR="00B93E7F" w:rsidRDefault="00B93E7F" w:rsidP="00B93E7F">
          <w:pPr>
            <w:rPr>
              <w:rFonts w:ascii="New Roma" w:hAnsi="New Roma" w:cs="Segoe UI" w:hint="eastAsia"/>
              <w:sz w:val="24"/>
              <w:szCs w:val="24"/>
              <w:shd w:val="clear" w:color="auto" w:fill="FFFFFF"/>
            </w:rPr>
          </w:pPr>
          <w:r w:rsidRPr="00DF5266">
            <w:rPr>
              <w:rFonts w:ascii="New Roma" w:hAnsi="New Roma" w:cs="Segoe UI"/>
              <w:sz w:val="24"/>
              <w:szCs w:val="24"/>
              <w:shd w:val="clear" w:color="auto" w:fill="FFFFFF"/>
            </w:rPr>
            <w:t>Within the company, Troyland also needs to carry out BPR. Compared with the previous team of 15 people, the company should try to reduce the staff under the current operating state. No new employees will be recruited, the original 13 people will be maintained, and the work will be allocated reasonably. The goal is to reduce human resource costs and thus reduce the overall operating costs of the company.</w:t>
          </w:r>
        </w:p>
        <w:p w14:paraId="3F6E529F" w14:textId="77777777" w:rsidR="00DF3B0A" w:rsidRDefault="00DF3B0A" w:rsidP="005014C5">
          <w:pPr>
            <w:rPr>
              <w:rFonts w:ascii="New Roma" w:hAnsi="New Roma" w:cs="Segoe UI" w:hint="eastAsia"/>
              <w:sz w:val="24"/>
              <w:szCs w:val="24"/>
              <w:shd w:val="clear" w:color="auto" w:fill="FFFFFF"/>
            </w:rPr>
          </w:pPr>
        </w:p>
        <w:p w14:paraId="16DD430D" w14:textId="77777777" w:rsidR="00FC48B3" w:rsidRDefault="00FC48B3" w:rsidP="005014C5">
          <w:pPr>
            <w:rPr>
              <w:rFonts w:ascii="New Roma" w:hAnsi="New Roma" w:cs="Segoe UI" w:hint="eastAsia"/>
              <w:sz w:val="24"/>
              <w:szCs w:val="24"/>
              <w:shd w:val="clear" w:color="auto" w:fill="FFFFFF"/>
            </w:rPr>
          </w:pPr>
        </w:p>
        <w:p w14:paraId="68C24D9C" w14:textId="77777777" w:rsidR="00FC48B3" w:rsidRDefault="00FC48B3" w:rsidP="005014C5">
          <w:pPr>
            <w:rPr>
              <w:rFonts w:ascii="New Roma" w:hAnsi="New Roma" w:cs="Segoe UI" w:hint="eastAsia"/>
              <w:sz w:val="24"/>
              <w:szCs w:val="24"/>
              <w:shd w:val="clear" w:color="auto" w:fill="FFFFFF"/>
            </w:rPr>
          </w:pPr>
        </w:p>
        <w:p w14:paraId="5D0267FE" w14:textId="77777777" w:rsidR="00FC48B3" w:rsidRDefault="00FC48B3" w:rsidP="005014C5">
          <w:pPr>
            <w:rPr>
              <w:rFonts w:ascii="New Roma" w:hAnsi="New Roma" w:cs="Segoe UI" w:hint="eastAsia"/>
              <w:sz w:val="24"/>
              <w:szCs w:val="24"/>
              <w:shd w:val="clear" w:color="auto" w:fill="FFFFFF"/>
            </w:rPr>
          </w:pPr>
        </w:p>
        <w:p w14:paraId="42624C6E" w14:textId="77777777" w:rsidR="00FC48B3" w:rsidRDefault="00FC48B3" w:rsidP="005014C5">
          <w:pPr>
            <w:rPr>
              <w:rFonts w:ascii="New Roma" w:hAnsi="New Roma" w:cs="Segoe UI" w:hint="eastAsia"/>
              <w:sz w:val="24"/>
              <w:szCs w:val="24"/>
              <w:shd w:val="clear" w:color="auto" w:fill="FFFFFF"/>
            </w:rPr>
          </w:pPr>
        </w:p>
        <w:p w14:paraId="36772511" w14:textId="77777777" w:rsidR="00FC48B3" w:rsidRPr="005014C5" w:rsidRDefault="00FC48B3" w:rsidP="005014C5"/>
        <w:p w14:paraId="5C67928C" w14:textId="0F0FB0E8" w:rsidR="00AA2A91" w:rsidRDefault="00AA2A91" w:rsidP="00DF7413">
          <w:pPr>
            <w:pStyle w:val="Heading1"/>
            <w:jc w:val="center"/>
            <w:rPr>
              <w:rFonts w:ascii="New Roma" w:eastAsiaTheme="minorEastAsia" w:hAnsi="New Roma" w:cs="Segoe UI" w:hint="eastAsia"/>
              <w:b/>
              <w:bCs/>
              <w:color w:val="auto"/>
              <w:sz w:val="28"/>
              <w:szCs w:val="28"/>
              <w:shd w:val="clear" w:color="auto" w:fill="FFFFFF"/>
            </w:rPr>
          </w:pPr>
          <w:bookmarkStart w:id="6" w:name="_Toc129339190"/>
          <w:r w:rsidRPr="00DF7413">
            <w:rPr>
              <w:rFonts w:ascii="New Roma" w:eastAsiaTheme="minorEastAsia" w:hAnsi="New Roma" w:cs="Segoe UI"/>
              <w:b/>
              <w:bCs/>
              <w:color w:val="auto"/>
              <w:sz w:val="28"/>
              <w:szCs w:val="28"/>
              <w:shd w:val="clear" w:color="auto" w:fill="FFFFFF"/>
            </w:rPr>
            <w:lastRenderedPageBreak/>
            <w:t>Conclusion</w:t>
          </w:r>
          <w:bookmarkEnd w:id="6"/>
        </w:p>
        <w:p w14:paraId="72A4CBE6" w14:textId="77777777" w:rsidR="00DF7413" w:rsidRPr="00DF7413" w:rsidRDefault="00DF7413" w:rsidP="00DF7413"/>
        <w:p w14:paraId="6FF3B474" w14:textId="5931C133" w:rsidR="00AA2A91" w:rsidRPr="00DF7413" w:rsidRDefault="00DF7413" w:rsidP="00AA2A91">
          <w:pPr>
            <w:rPr>
              <w:rFonts w:ascii="New Roma" w:hAnsi="New Roma" w:cs="Segoe UI" w:hint="eastAsia"/>
              <w:sz w:val="24"/>
              <w:szCs w:val="24"/>
              <w:shd w:val="clear" w:color="auto" w:fill="FFFFFF"/>
            </w:rPr>
          </w:pPr>
          <w:r w:rsidRPr="00DF7413">
            <w:rPr>
              <w:rFonts w:ascii="New Roma" w:hAnsi="New Roma" w:cs="Segoe UI"/>
              <w:sz w:val="24"/>
              <w:szCs w:val="24"/>
              <w:shd w:val="clear" w:color="auto" w:fill="FFFFFF"/>
            </w:rPr>
            <w:t>This paper analyzes the operation of two companies (Porta Fabrication plc and Troyland Footwear) respectively from the perspective of performance management. Portal Fabrication plc, a manufacturing company, was evaluated from two major divisions of the company, M/S and Service. The evaluation direction includes economic benefits and management performance. The economic benefit is mainly measured by the use of return on investment (ROI) or residual income (RI) and economic value added (EVA), while the management performance measures the profitability of the project under the control of the department manager. To maximize shareholder value, total shareholder return (TSR) is used to measure a company's annual performance. TSR is calculated with respect to the ending share price, beginning share price and dividends. However, the limitation of TSR is that it cannot be applied to a single department or private company. ROI is a performance metric that can be used to compare the performance of different departments within a company. EVA is commonly used to evaluate departmental performance. EVA measures economic value added allocated to departmental profits, accounting adjustments, and cost of departmental assets. The report shows that the company has many specific problems in economic performance and management performance respectively.</w:t>
          </w:r>
        </w:p>
        <w:p w14:paraId="131D500D" w14:textId="11CFA20A" w:rsidR="00AA2A91" w:rsidRPr="00DF7413" w:rsidRDefault="00DF7413" w:rsidP="00AA2A91">
          <w:pPr>
            <w:rPr>
              <w:rFonts w:ascii="New Roma" w:hAnsi="New Roma" w:cs="Segoe UI" w:hint="eastAsia"/>
              <w:sz w:val="24"/>
              <w:szCs w:val="24"/>
              <w:shd w:val="clear" w:color="auto" w:fill="FFFFFF"/>
            </w:rPr>
          </w:pPr>
          <w:r w:rsidRPr="00DF7413">
            <w:rPr>
              <w:rFonts w:ascii="New Roma" w:hAnsi="New Roma" w:cs="Segoe UI"/>
              <w:sz w:val="24"/>
              <w:szCs w:val="24"/>
              <w:shd w:val="clear" w:color="auto" w:fill="FFFFFF"/>
            </w:rPr>
            <w:t>Troyland Footwear is a small company mainly selling shoes and peripheral products, with customers mainly from the London area and major countries in continental Europe. According to Troyland's operation overview and related statements, the researchers analyzed the problems existing in the operation of the company from the perspectives of the company's growth crisis, quantitative and qualitative performance, and business process reorganization. According to relevant reports, the company's sales and profits are very good in 2018, 2019 and 2020. However, business and profits plunged in 2021. This paper analyzes the external and internal factors that the company faces in the growth crisis. In terms of quantitative and qualitative performance, this paper uses the balanced scorecard method to analyze the Financial Objective, Customer Objective, Internal Process Objective, Learning and Growth of Troyland's original four objectives Objective to analyze. It is analyzed from financial perspective, customer perspective, internal business perspective, learning and growth perspective. In terms of business process reengineering, the researchers analyzed the alignment of supply chains and production and marketing channels according to the products that the company relies on most. They suggested that the company continue to build its own branded products around the main business and expand the sales range and the number of stores. I hope this article can bring some contribution to the operation of the two companies.</w:t>
          </w:r>
        </w:p>
        <w:p w14:paraId="6694B73F" w14:textId="77777777" w:rsidR="00AA2A91" w:rsidRDefault="00AA2A91" w:rsidP="00AA2A91">
          <w:pPr>
            <w:rPr>
              <w:lang w:eastAsia="zh-CN"/>
            </w:rPr>
          </w:pPr>
        </w:p>
        <w:p w14:paraId="7246D263" w14:textId="77777777" w:rsidR="00AA2A91" w:rsidRDefault="00AA2A91" w:rsidP="00AA2A91">
          <w:pPr>
            <w:rPr>
              <w:lang w:eastAsia="zh-CN"/>
            </w:rPr>
          </w:pPr>
        </w:p>
        <w:p w14:paraId="3C2C4E14" w14:textId="77777777" w:rsidR="00AA2A91" w:rsidRDefault="00AA2A91" w:rsidP="00AA2A91">
          <w:pPr>
            <w:rPr>
              <w:lang w:eastAsia="zh-CN"/>
            </w:rPr>
          </w:pPr>
        </w:p>
        <w:p w14:paraId="0ABC39D3" w14:textId="77777777" w:rsidR="00AA2A91" w:rsidRDefault="00AA2A91" w:rsidP="00AA2A91">
          <w:pPr>
            <w:rPr>
              <w:lang w:eastAsia="zh-CN"/>
            </w:rPr>
          </w:pPr>
        </w:p>
        <w:p w14:paraId="4DA1BCF7" w14:textId="77777777" w:rsidR="00DF7413" w:rsidRPr="00AA4AFB" w:rsidRDefault="00DF7413" w:rsidP="00DF7413">
          <w:pPr>
            <w:rPr>
              <w:rFonts w:ascii="New Roma" w:hAnsi="New Roma" w:cs="Segoe UI" w:hint="eastAsia"/>
              <w:b/>
              <w:bCs/>
              <w:sz w:val="28"/>
              <w:szCs w:val="28"/>
              <w:shd w:val="clear" w:color="auto" w:fill="FFFFFF"/>
            </w:rPr>
          </w:pPr>
          <w:r w:rsidRPr="00AA4AFB">
            <w:rPr>
              <w:rFonts w:ascii="New Roma" w:hAnsi="New Roma" w:cs="Segoe UI"/>
              <w:b/>
              <w:bCs/>
              <w:sz w:val="28"/>
              <w:szCs w:val="28"/>
              <w:shd w:val="clear" w:color="auto" w:fill="FFFFFF"/>
            </w:rPr>
            <w:lastRenderedPageBreak/>
            <w:t>Biography</w:t>
          </w:r>
        </w:p>
        <w:p w14:paraId="50DB3662" w14:textId="77777777" w:rsidR="00DF7413" w:rsidRPr="00DF7413" w:rsidRDefault="00DF7413" w:rsidP="00DF7413">
          <w:pPr>
            <w:pStyle w:val="Heading1"/>
            <w:shd w:val="clear" w:color="auto" w:fill="FFFFFF"/>
            <w:spacing w:before="0"/>
            <w:textAlignment w:val="baseline"/>
            <w:rPr>
              <w:rFonts w:ascii="New Roma" w:eastAsiaTheme="minorEastAsia" w:hAnsi="New Roma" w:cs="Segoe UI" w:hint="eastAsia"/>
              <w:color w:val="auto"/>
              <w:sz w:val="24"/>
              <w:szCs w:val="24"/>
              <w:shd w:val="clear" w:color="auto" w:fill="FFFFFF"/>
            </w:rPr>
          </w:pPr>
          <w:bookmarkStart w:id="7" w:name="_Hlk134641959"/>
          <w:r w:rsidRPr="00DF7413">
            <w:rPr>
              <w:rFonts w:ascii="New Roma" w:eastAsiaTheme="minorEastAsia" w:hAnsi="New Roma" w:cs="Segoe UI"/>
              <w:color w:val="auto"/>
              <w:sz w:val="24"/>
              <w:szCs w:val="24"/>
              <w:shd w:val="clear" w:color="auto" w:fill="FFFFFF"/>
            </w:rPr>
            <w:t>Armstrong, M. and Baron, A</w:t>
          </w:r>
          <w:bookmarkEnd w:id="7"/>
          <w:r w:rsidRPr="00DF7413">
            <w:rPr>
              <w:rFonts w:ascii="New Roma" w:eastAsiaTheme="minorEastAsia" w:hAnsi="New Roma" w:cs="Segoe UI"/>
              <w:color w:val="auto"/>
              <w:sz w:val="24"/>
              <w:szCs w:val="24"/>
              <w:shd w:val="clear" w:color="auto" w:fill="FFFFFF"/>
            </w:rPr>
            <w:t>., 2000. Performance management. Kogan Page Limited.</w:t>
          </w:r>
        </w:p>
        <w:p w14:paraId="04C2219A" w14:textId="77777777" w:rsidR="00DF7413" w:rsidRPr="00DF7413" w:rsidRDefault="00DF7413" w:rsidP="00DF7413">
          <w:pPr>
            <w:pStyle w:val="Heading1"/>
            <w:shd w:val="clear" w:color="auto" w:fill="FFFFFF"/>
            <w:spacing w:before="0"/>
            <w:textAlignment w:val="baseline"/>
            <w:rPr>
              <w:rFonts w:ascii="New Roma" w:eastAsiaTheme="minorEastAsia" w:hAnsi="New Roma" w:cs="Segoe UI" w:hint="eastAsia"/>
              <w:color w:val="auto"/>
              <w:sz w:val="24"/>
              <w:szCs w:val="24"/>
              <w:shd w:val="clear" w:color="auto" w:fill="FFFFFF"/>
            </w:rPr>
          </w:pPr>
        </w:p>
        <w:p w14:paraId="268FB5D0" w14:textId="77777777" w:rsidR="00DF7413" w:rsidRPr="00DF7413" w:rsidRDefault="00DF7413" w:rsidP="00DF7413">
          <w:pPr>
            <w:pStyle w:val="Heading1"/>
            <w:shd w:val="clear" w:color="auto" w:fill="FFFFFF"/>
            <w:spacing w:before="0"/>
            <w:textAlignment w:val="baseline"/>
            <w:rPr>
              <w:rFonts w:ascii="New Roma" w:eastAsiaTheme="minorEastAsia" w:hAnsi="New Roma" w:cs="Segoe UI" w:hint="eastAsia"/>
              <w:color w:val="auto"/>
              <w:sz w:val="24"/>
              <w:szCs w:val="24"/>
              <w:shd w:val="clear" w:color="auto" w:fill="FFFFFF"/>
            </w:rPr>
          </w:pPr>
          <w:r w:rsidRPr="00DF7413">
            <w:rPr>
              <w:rFonts w:ascii="New Roma" w:eastAsiaTheme="minorEastAsia" w:hAnsi="New Roma" w:cs="Segoe UI"/>
              <w:color w:val="auto"/>
              <w:sz w:val="24"/>
              <w:szCs w:val="24"/>
              <w:shd w:val="clear" w:color="auto" w:fill="FFFFFF"/>
            </w:rPr>
            <w:t xml:space="preserve">Abdolvand, N., Albadvi, A. and Ferdowsi, Z., 2008. Assessing readiness for business </w:t>
          </w:r>
          <w:r w:rsidRPr="00DF7413">
            <w:rPr>
              <w:rFonts w:ascii="New Roma" w:eastAsiaTheme="minorEastAsia" w:hAnsi="New Roma" w:cs="Segoe UI"/>
              <w:color w:val="auto"/>
              <w:sz w:val="24"/>
              <w:szCs w:val="24"/>
              <w:shd w:val="clear" w:color="auto" w:fill="FFFFFF"/>
            </w:rPr>
            <w:tab/>
            <w:t>process reengineering. Business Process Management Journal.</w:t>
          </w:r>
        </w:p>
        <w:p w14:paraId="723EAE1F" w14:textId="77777777" w:rsidR="00DF7413" w:rsidRPr="00DF7413" w:rsidRDefault="00DF7413" w:rsidP="00DF7413">
          <w:pPr>
            <w:pStyle w:val="Heading1"/>
            <w:shd w:val="clear" w:color="auto" w:fill="FFFFFF"/>
            <w:spacing w:before="0"/>
            <w:textAlignment w:val="baseline"/>
            <w:rPr>
              <w:rFonts w:ascii="New Roma" w:eastAsiaTheme="minorEastAsia" w:hAnsi="New Roma" w:cs="Segoe UI" w:hint="eastAsia"/>
              <w:color w:val="auto"/>
              <w:sz w:val="24"/>
              <w:szCs w:val="24"/>
              <w:shd w:val="clear" w:color="auto" w:fill="FFFFFF"/>
            </w:rPr>
          </w:pPr>
        </w:p>
        <w:p w14:paraId="69AAD8FD" w14:textId="77777777" w:rsidR="00DF7413" w:rsidRPr="00DF7413" w:rsidRDefault="00DF7413" w:rsidP="00DF7413">
          <w:pPr>
            <w:pStyle w:val="Heading1"/>
            <w:shd w:val="clear" w:color="auto" w:fill="FFFFFF"/>
            <w:spacing w:before="0"/>
            <w:textAlignment w:val="baseline"/>
            <w:rPr>
              <w:rFonts w:ascii="New Roma" w:eastAsiaTheme="minorEastAsia" w:hAnsi="New Roma" w:cs="Segoe UI" w:hint="eastAsia"/>
              <w:color w:val="auto"/>
              <w:sz w:val="24"/>
              <w:szCs w:val="24"/>
              <w:shd w:val="clear" w:color="auto" w:fill="FFFFFF"/>
            </w:rPr>
          </w:pPr>
          <w:r w:rsidRPr="00DF7413">
            <w:rPr>
              <w:rFonts w:ascii="New Roma" w:eastAsiaTheme="minorEastAsia" w:hAnsi="New Roma" w:cs="Segoe UI"/>
              <w:color w:val="auto"/>
              <w:sz w:val="24"/>
              <w:szCs w:val="24"/>
              <w:shd w:val="clear" w:color="auto" w:fill="FFFFFF"/>
            </w:rPr>
            <w:t xml:space="preserve">Abadi, M.A.K.A.N., Rjeeb, W.N. and Al-Temeemi, M.Y.T., 2019. Human Resources </w:t>
          </w:r>
          <w:r w:rsidRPr="00DF7413">
            <w:rPr>
              <w:rFonts w:ascii="New Roma" w:eastAsiaTheme="minorEastAsia" w:hAnsi="New Roma" w:cs="Segoe UI"/>
              <w:color w:val="auto"/>
              <w:sz w:val="24"/>
              <w:szCs w:val="24"/>
              <w:shd w:val="clear" w:color="auto" w:fill="FFFFFF"/>
            </w:rPr>
            <w:tab/>
            <w:t>Development &amp; Administration in the Economic Units as a Foundation for Work</w:t>
          </w:r>
          <w:r w:rsidRPr="00DF7413">
            <w:rPr>
              <w:rFonts w:ascii="New Roma" w:eastAsiaTheme="minorEastAsia" w:hAnsi="New Roma" w:cs="Segoe UI"/>
              <w:color w:val="auto"/>
              <w:sz w:val="24"/>
              <w:szCs w:val="24"/>
              <w:shd w:val="clear" w:color="auto" w:fill="FFFFFF"/>
            </w:rPr>
            <w:tab/>
            <w:t xml:space="preserve"> Performance Guidance. The islamic college university journal, (51).</w:t>
          </w:r>
        </w:p>
        <w:p w14:paraId="5A535A52" w14:textId="77777777" w:rsidR="00DF7413" w:rsidRPr="00DF7413" w:rsidRDefault="00DF7413" w:rsidP="00DF7413">
          <w:pPr>
            <w:pStyle w:val="Heading1"/>
            <w:shd w:val="clear" w:color="auto" w:fill="FFFFFF"/>
            <w:spacing w:before="0"/>
            <w:textAlignment w:val="baseline"/>
            <w:rPr>
              <w:rFonts w:ascii="New Roma" w:eastAsiaTheme="minorEastAsia" w:hAnsi="New Roma" w:cs="Segoe UI" w:hint="eastAsia"/>
              <w:color w:val="auto"/>
              <w:sz w:val="24"/>
              <w:szCs w:val="24"/>
              <w:shd w:val="clear" w:color="auto" w:fill="FFFFFF"/>
            </w:rPr>
          </w:pPr>
        </w:p>
        <w:p w14:paraId="4ABCD1A8" w14:textId="77777777" w:rsidR="00DF7413" w:rsidRPr="00DF7413" w:rsidRDefault="00DF7413" w:rsidP="00DF7413">
          <w:pPr>
            <w:pStyle w:val="Heading1"/>
            <w:shd w:val="clear" w:color="auto" w:fill="FFFFFF"/>
            <w:spacing w:before="0"/>
            <w:textAlignment w:val="baseline"/>
            <w:rPr>
              <w:rFonts w:ascii="New Roma" w:eastAsiaTheme="minorEastAsia" w:hAnsi="New Roma" w:cs="Segoe UI" w:hint="eastAsia"/>
              <w:color w:val="auto"/>
              <w:sz w:val="24"/>
              <w:szCs w:val="24"/>
              <w:shd w:val="clear" w:color="auto" w:fill="FFFFFF"/>
            </w:rPr>
          </w:pPr>
          <w:r w:rsidRPr="00DF7413">
            <w:rPr>
              <w:rFonts w:ascii="New Roma" w:eastAsiaTheme="minorEastAsia" w:hAnsi="New Roma" w:cs="Segoe UI"/>
              <w:color w:val="auto"/>
              <w:sz w:val="24"/>
              <w:szCs w:val="24"/>
              <w:shd w:val="clear" w:color="auto" w:fill="FFFFFF"/>
            </w:rPr>
            <w:t xml:space="preserve">BARTKUS, Č., 2022. THE ASSESSMENT OF BALTIC STOCK MARKET FROM </w:t>
          </w:r>
          <w:r w:rsidRPr="00DF7413">
            <w:rPr>
              <w:rFonts w:ascii="New Roma" w:eastAsiaTheme="minorEastAsia" w:hAnsi="New Roma" w:cs="Segoe UI"/>
              <w:color w:val="auto"/>
              <w:sz w:val="24"/>
              <w:szCs w:val="24"/>
              <w:shd w:val="clear" w:color="auto" w:fill="FFFFFF"/>
            </w:rPr>
            <w:tab/>
            <w:t xml:space="preserve">PERSPECTIVE OF TOTAL SHAREHOLDER RETURN RATIO. Taikomieji tyrimai </w:t>
          </w:r>
          <w:r w:rsidRPr="00DF7413">
            <w:rPr>
              <w:rFonts w:ascii="New Roma" w:eastAsiaTheme="minorEastAsia" w:hAnsi="New Roma" w:cs="Segoe UI"/>
              <w:color w:val="auto"/>
              <w:sz w:val="24"/>
              <w:szCs w:val="24"/>
              <w:shd w:val="clear" w:color="auto" w:fill="FFFFFF"/>
            </w:rPr>
            <w:tab/>
            <w:t>studijose ir praktikoje-Applied research in studies and practice, 18(1), pp.76-80.</w:t>
          </w:r>
        </w:p>
        <w:p w14:paraId="48C3FA04" w14:textId="77777777" w:rsidR="00DF7413" w:rsidRPr="00DF7413" w:rsidRDefault="00DF7413" w:rsidP="00DF7413">
          <w:pPr>
            <w:pStyle w:val="Heading1"/>
            <w:shd w:val="clear" w:color="auto" w:fill="FFFFFF"/>
            <w:spacing w:before="0"/>
            <w:textAlignment w:val="baseline"/>
            <w:rPr>
              <w:rFonts w:ascii="New Roma" w:eastAsiaTheme="minorEastAsia" w:hAnsi="New Roma" w:cs="Segoe UI" w:hint="eastAsia"/>
              <w:color w:val="auto"/>
              <w:sz w:val="24"/>
              <w:szCs w:val="24"/>
              <w:shd w:val="clear" w:color="auto" w:fill="FFFFFF"/>
            </w:rPr>
          </w:pPr>
        </w:p>
        <w:p w14:paraId="215B3915" w14:textId="77777777" w:rsidR="00DF7413" w:rsidRPr="00DF7413" w:rsidRDefault="00DF7413" w:rsidP="00DF7413">
          <w:pPr>
            <w:pStyle w:val="Heading1"/>
            <w:shd w:val="clear" w:color="auto" w:fill="FFFFFF"/>
            <w:spacing w:before="0"/>
            <w:textAlignment w:val="baseline"/>
            <w:rPr>
              <w:rFonts w:ascii="New Roma" w:eastAsiaTheme="minorEastAsia" w:hAnsi="New Roma" w:cs="Segoe UI" w:hint="eastAsia"/>
              <w:color w:val="auto"/>
              <w:sz w:val="24"/>
              <w:szCs w:val="24"/>
              <w:shd w:val="clear" w:color="auto" w:fill="FFFFFF"/>
            </w:rPr>
          </w:pPr>
          <w:bookmarkStart w:id="8" w:name="_Hlk134642025"/>
          <w:r w:rsidRPr="00DF7413">
            <w:rPr>
              <w:rFonts w:ascii="New Roma" w:eastAsiaTheme="minorEastAsia" w:hAnsi="New Roma" w:cs="Segoe UI"/>
              <w:color w:val="auto"/>
              <w:sz w:val="24"/>
              <w:szCs w:val="24"/>
              <w:shd w:val="clear" w:color="auto" w:fill="FFFFFF"/>
            </w:rPr>
            <w:t>Buckingham, M. and Goodall, A., 2015</w:t>
          </w:r>
          <w:bookmarkEnd w:id="8"/>
          <w:r w:rsidRPr="00DF7413">
            <w:rPr>
              <w:rFonts w:ascii="New Roma" w:eastAsiaTheme="minorEastAsia" w:hAnsi="New Roma" w:cs="Segoe UI"/>
              <w:color w:val="auto"/>
              <w:sz w:val="24"/>
              <w:szCs w:val="24"/>
              <w:shd w:val="clear" w:color="auto" w:fill="FFFFFF"/>
            </w:rPr>
            <w:t>. Reinventing performance management. Harvard</w:t>
          </w:r>
          <w:r w:rsidRPr="00DF7413">
            <w:rPr>
              <w:rFonts w:ascii="New Roma" w:eastAsiaTheme="minorEastAsia" w:hAnsi="New Roma" w:cs="Segoe UI"/>
              <w:color w:val="auto"/>
              <w:sz w:val="24"/>
              <w:szCs w:val="24"/>
              <w:shd w:val="clear" w:color="auto" w:fill="FFFFFF"/>
            </w:rPr>
            <w:tab/>
            <w:t xml:space="preserve"> Business Review, 93(4), pp.40-50.</w:t>
          </w:r>
        </w:p>
        <w:p w14:paraId="43A99500" w14:textId="77777777" w:rsidR="00DF7413" w:rsidRPr="00DF7413" w:rsidRDefault="00DF7413" w:rsidP="00DF7413">
          <w:pPr>
            <w:pStyle w:val="Heading1"/>
            <w:shd w:val="clear" w:color="auto" w:fill="FFFFFF"/>
            <w:spacing w:before="0"/>
            <w:textAlignment w:val="baseline"/>
            <w:rPr>
              <w:rFonts w:ascii="New Roma" w:eastAsiaTheme="minorEastAsia" w:hAnsi="New Roma" w:cs="Segoe UI" w:hint="eastAsia"/>
              <w:color w:val="auto"/>
              <w:sz w:val="24"/>
              <w:szCs w:val="24"/>
              <w:shd w:val="clear" w:color="auto" w:fill="FFFFFF"/>
            </w:rPr>
          </w:pPr>
        </w:p>
        <w:p w14:paraId="5BC5E795" w14:textId="77777777" w:rsidR="00DF7413" w:rsidRPr="00DF7413" w:rsidRDefault="00DF7413" w:rsidP="00DF7413">
          <w:pPr>
            <w:pStyle w:val="Heading1"/>
            <w:shd w:val="clear" w:color="auto" w:fill="FFFFFF"/>
            <w:spacing w:before="0"/>
            <w:textAlignment w:val="baseline"/>
            <w:rPr>
              <w:rFonts w:ascii="New Roma" w:eastAsiaTheme="minorEastAsia" w:hAnsi="New Roma" w:cs="Segoe UI" w:hint="eastAsia"/>
              <w:color w:val="auto"/>
              <w:sz w:val="24"/>
              <w:szCs w:val="24"/>
              <w:shd w:val="clear" w:color="auto" w:fill="FFFFFF"/>
            </w:rPr>
          </w:pPr>
          <w:r w:rsidRPr="00DF7413">
            <w:rPr>
              <w:rFonts w:ascii="New Roma" w:eastAsiaTheme="minorEastAsia" w:hAnsi="New Roma" w:cs="Segoe UI"/>
              <w:color w:val="auto"/>
              <w:sz w:val="24"/>
              <w:szCs w:val="24"/>
              <w:shd w:val="clear" w:color="auto" w:fill="FFFFFF"/>
            </w:rPr>
            <w:t>Daniel Thomas., 2022.U</w:t>
          </w:r>
          <w:r w:rsidRPr="00DF7413">
            <w:rPr>
              <w:rFonts w:ascii="New Roma" w:eastAsiaTheme="minorEastAsia" w:hAnsi="New Roma" w:cs="Segoe UI" w:hint="eastAsia"/>
              <w:color w:val="auto"/>
              <w:sz w:val="24"/>
              <w:szCs w:val="24"/>
              <w:shd w:val="clear" w:color="auto" w:fill="FFFFFF"/>
            </w:rPr>
            <w:t>K</w:t>
          </w:r>
          <w:r w:rsidRPr="00DF7413">
            <w:rPr>
              <w:rFonts w:ascii="New Roma" w:eastAsiaTheme="minorEastAsia" w:hAnsi="New Roma" w:cs="Segoe UI"/>
              <w:color w:val="auto"/>
              <w:sz w:val="24"/>
              <w:szCs w:val="24"/>
              <w:shd w:val="clear" w:color="auto" w:fill="FFFFFF"/>
            </w:rPr>
            <w:t xml:space="preserve"> economy shrank more than previously thought. BBC News. </w:t>
          </w:r>
          <w:r w:rsidRPr="00DF7413">
            <w:rPr>
              <w:rFonts w:ascii="New Roma" w:eastAsiaTheme="minorEastAsia" w:hAnsi="New Roma" w:cs="Segoe UI"/>
              <w:color w:val="auto"/>
              <w:sz w:val="24"/>
              <w:szCs w:val="24"/>
              <w:shd w:val="clear" w:color="auto" w:fill="FFFFFF"/>
            </w:rPr>
            <w:tab/>
            <w:t>22/12/2022. https://www.bbc.co.uk/news/business-64062548.</w:t>
          </w:r>
        </w:p>
        <w:p w14:paraId="52521D03" w14:textId="77777777" w:rsidR="00DF7413" w:rsidRPr="00DF7413" w:rsidRDefault="00DF7413" w:rsidP="00DF7413">
          <w:pPr>
            <w:pStyle w:val="Heading1"/>
            <w:shd w:val="clear" w:color="auto" w:fill="FFFFFF"/>
            <w:spacing w:before="0"/>
            <w:textAlignment w:val="baseline"/>
            <w:rPr>
              <w:rFonts w:ascii="New Roma" w:eastAsiaTheme="minorEastAsia" w:hAnsi="New Roma" w:cs="Segoe UI" w:hint="eastAsia"/>
              <w:color w:val="auto"/>
              <w:sz w:val="24"/>
              <w:szCs w:val="24"/>
              <w:shd w:val="clear" w:color="auto" w:fill="FFFFFF"/>
            </w:rPr>
          </w:pPr>
        </w:p>
        <w:p w14:paraId="332FECC8" w14:textId="77777777" w:rsidR="00DF7413" w:rsidRDefault="00DF7413" w:rsidP="00DF7413">
          <w:pPr>
            <w:rPr>
              <w:rFonts w:ascii="New Roma" w:hAnsi="New Roma" w:cs="Segoe UI" w:hint="eastAsia"/>
              <w:sz w:val="24"/>
              <w:szCs w:val="24"/>
              <w:shd w:val="clear" w:color="auto" w:fill="FFFFFF"/>
            </w:rPr>
          </w:pPr>
          <w:r w:rsidRPr="00856A00">
            <w:rPr>
              <w:rFonts w:ascii="New Roma" w:hAnsi="New Roma" w:cs="Segoe UI"/>
              <w:sz w:val="24"/>
              <w:szCs w:val="24"/>
              <w:shd w:val="clear" w:color="auto" w:fill="FFFFFF"/>
            </w:rPr>
            <w:t xml:space="preserve">Dou, Z., Stefanovski, D., Galligan, D., Lindem, M., Rozin, P., Chen, T. and Chao, A.M., 2020. </w:t>
          </w:r>
          <w:r>
            <w:rPr>
              <w:rFonts w:ascii="New Roma" w:hAnsi="New Roma" w:cs="Segoe UI"/>
              <w:sz w:val="24"/>
              <w:szCs w:val="24"/>
              <w:shd w:val="clear" w:color="auto" w:fill="FFFFFF"/>
            </w:rPr>
            <w:tab/>
          </w:r>
          <w:r w:rsidRPr="00856A00">
            <w:rPr>
              <w:rFonts w:ascii="New Roma" w:hAnsi="New Roma" w:cs="Segoe UI"/>
              <w:sz w:val="24"/>
              <w:szCs w:val="24"/>
              <w:shd w:val="clear" w:color="auto" w:fill="FFFFFF"/>
            </w:rPr>
            <w:t xml:space="preserve">The COVID-19 pandemic impacting household food dynamics: A cross-national </w:t>
          </w:r>
          <w:r>
            <w:rPr>
              <w:rFonts w:ascii="New Roma" w:hAnsi="New Roma" w:cs="Segoe UI"/>
              <w:sz w:val="24"/>
              <w:szCs w:val="24"/>
              <w:shd w:val="clear" w:color="auto" w:fill="FFFFFF"/>
            </w:rPr>
            <w:tab/>
          </w:r>
          <w:r w:rsidRPr="00856A00">
            <w:rPr>
              <w:rFonts w:ascii="New Roma" w:hAnsi="New Roma" w:cs="Segoe UI"/>
              <w:sz w:val="24"/>
              <w:szCs w:val="24"/>
              <w:shd w:val="clear" w:color="auto" w:fill="FFFFFF"/>
            </w:rPr>
            <w:t>comparison of China and the US.</w:t>
          </w:r>
        </w:p>
        <w:p w14:paraId="536BECAE" w14:textId="77777777" w:rsidR="00DF7413" w:rsidRDefault="00DF7413" w:rsidP="00DF7413">
          <w:pPr>
            <w:rPr>
              <w:rFonts w:ascii="New Roma" w:hAnsi="New Roma" w:cs="Segoe UI" w:hint="eastAsia"/>
              <w:sz w:val="24"/>
              <w:szCs w:val="24"/>
              <w:shd w:val="clear" w:color="auto" w:fill="FFFFFF"/>
            </w:rPr>
          </w:pPr>
          <w:r w:rsidRPr="00F032D2">
            <w:rPr>
              <w:rFonts w:ascii="New Roma" w:hAnsi="New Roma" w:cs="Segoe UI"/>
              <w:sz w:val="24"/>
              <w:szCs w:val="24"/>
              <w:shd w:val="clear" w:color="auto" w:fill="FFFFFF"/>
            </w:rPr>
            <w:t xml:space="preserve">Gillis, J. R. (1994). Memory and identity: The history of a relationship. Commemorations: </w:t>
          </w:r>
          <w:r>
            <w:rPr>
              <w:rFonts w:ascii="New Roma" w:hAnsi="New Roma" w:cs="Segoe UI"/>
              <w:sz w:val="24"/>
              <w:szCs w:val="24"/>
              <w:shd w:val="clear" w:color="auto" w:fill="FFFFFF"/>
            </w:rPr>
            <w:tab/>
          </w:r>
          <w:r w:rsidRPr="00F032D2">
            <w:rPr>
              <w:rFonts w:ascii="New Roma" w:hAnsi="New Roma" w:cs="Segoe UI"/>
              <w:sz w:val="24"/>
              <w:szCs w:val="24"/>
              <w:shd w:val="clear" w:color="auto" w:fill="FFFFFF"/>
            </w:rPr>
            <w:t>The Politics of National Identity, 8.</w:t>
          </w:r>
        </w:p>
        <w:p w14:paraId="7164F073" w14:textId="77777777" w:rsidR="00DF7413" w:rsidRDefault="00DF7413" w:rsidP="00DF7413">
          <w:pPr>
            <w:rPr>
              <w:rFonts w:ascii="New Roma" w:hAnsi="New Roma" w:cs="Segoe UI" w:hint="eastAsia"/>
              <w:sz w:val="24"/>
              <w:szCs w:val="24"/>
              <w:shd w:val="clear" w:color="auto" w:fill="FFFFFF"/>
            </w:rPr>
          </w:pPr>
          <w:r w:rsidRPr="00DF7413">
            <w:rPr>
              <w:rFonts w:ascii="New Roma" w:hAnsi="New Roma" w:cs="Segoe UI"/>
              <w:sz w:val="24"/>
              <w:szCs w:val="24"/>
              <w:shd w:val="clear" w:color="auto" w:fill="FFFFFF"/>
            </w:rPr>
            <w:t>Jonathan Josephs</w:t>
          </w:r>
          <w:r w:rsidRPr="00DF7413">
            <w:rPr>
              <w:rFonts w:ascii="New Roma" w:hAnsi="New Roma" w:cs="Segoe UI" w:hint="eastAsia"/>
              <w:sz w:val="24"/>
              <w:szCs w:val="24"/>
              <w:shd w:val="clear" w:color="auto" w:fill="FFFFFF"/>
            </w:rPr>
            <w:t>.</w:t>
          </w:r>
          <w:r w:rsidRPr="00DF7413">
            <w:rPr>
              <w:rFonts w:ascii="New Roma" w:hAnsi="New Roma" w:cs="Segoe UI"/>
              <w:sz w:val="24"/>
              <w:szCs w:val="24"/>
              <w:shd w:val="clear" w:color="auto" w:fill="FFFFFF"/>
            </w:rPr>
            <w:t xml:space="preserve">, 2022. Global recession warning as World Bank cuts economic </w:t>
          </w:r>
          <w:r w:rsidRPr="00DF7413">
            <w:rPr>
              <w:rFonts w:ascii="New Roma" w:hAnsi="New Roma" w:cs="Segoe UI"/>
              <w:sz w:val="24"/>
              <w:szCs w:val="24"/>
              <w:shd w:val="clear" w:color="auto" w:fill="FFFFFF"/>
            </w:rPr>
            <w:tab/>
            <w:t>forecast. Business reporter, BBC News. 10</w:t>
          </w:r>
          <w:r w:rsidRPr="00DF7413">
            <w:rPr>
              <w:rFonts w:ascii="New Roma" w:hAnsi="New Roma" w:cs="Segoe UI" w:hint="eastAsia"/>
              <w:sz w:val="24"/>
              <w:szCs w:val="24"/>
              <w:shd w:val="clear" w:color="auto" w:fill="FFFFFF"/>
            </w:rPr>
            <w:t>/</w:t>
          </w:r>
          <w:r w:rsidRPr="00DF7413">
            <w:rPr>
              <w:rFonts w:ascii="New Roma" w:hAnsi="New Roma" w:cs="Segoe UI"/>
              <w:sz w:val="24"/>
              <w:szCs w:val="24"/>
              <w:shd w:val="clear" w:color="auto" w:fill="FFFFFF"/>
            </w:rPr>
            <w:t>01/2023</w:t>
          </w:r>
        </w:p>
        <w:p w14:paraId="37419330" w14:textId="77777777" w:rsidR="00DF7413" w:rsidRDefault="00DF7413" w:rsidP="00DF7413">
          <w:pPr>
            <w:rPr>
              <w:rFonts w:ascii="New Roma" w:hAnsi="New Roma" w:cs="Segoe UI" w:hint="eastAsia"/>
              <w:sz w:val="24"/>
              <w:szCs w:val="24"/>
              <w:shd w:val="clear" w:color="auto" w:fill="FFFFFF"/>
            </w:rPr>
          </w:pPr>
          <w:r w:rsidRPr="00DF7413">
            <w:rPr>
              <w:rFonts w:ascii="New Roma" w:hAnsi="New Roma" w:cs="Segoe UI"/>
              <w:sz w:val="24"/>
              <w:szCs w:val="24"/>
              <w:shd w:val="clear" w:color="auto" w:fill="FFFFFF"/>
            </w:rPr>
            <w:t>Li, X., Ye, J., Zhou, C. and Tang, X., 2022. Prescribed Performance Guidance Law with</w:t>
          </w:r>
          <w:r w:rsidRPr="00DF7413">
            <w:rPr>
              <w:rFonts w:ascii="New Roma" w:hAnsi="New Roma" w:cs="Segoe UI"/>
              <w:sz w:val="24"/>
              <w:szCs w:val="24"/>
              <w:shd w:val="clear" w:color="auto" w:fill="FFFFFF"/>
            </w:rPr>
            <w:tab/>
          </w:r>
          <w:r w:rsidRPr="00DF7413">
            <w:rPr>
              <w:rFonts w:ascii="New Roma" w:hAnsi="New Roma" w:cs="Segoe UI"/>
              <w:sz w:val="24"/>
              <w:szCs w:val="24"/>
              <w:shd w:val="clear" w:color="auto" w:fill="FFFFFF"/>
            </w:rPr>
            <w:tab/>
            <w:t xml:space="preserve"> Multiple Constraints. International Journal of Aerospace Engineering, 2022.</w:t>
          </w:r>
        </w:p>
        <w:p w14:paraId="58E89AFC" w14:textId="77777777" w:rsidR="00DF7413" w:rsidRDefault="00DF7413" w:rsidP="00DF7413">
          <w:pPr>
            <w:rPr>
              <w:rFonts w:ascii="New Roma" w:hAnsi="New Roma" w:cs="Segoe UI" w:hint="eastAsia"/>
              <w:sz w:val="24"/>
              <w:szCs w:val="24"/>
              <w:shd w:val="clear" w:color="auto" w:fill="FFFFFF"/>
            </w:rPr>
          </w:pPr>
          <w:r w:rsidRPr="00DF7413">
            <w:rPr>
              <w:rFonts w:ascii="New Roma" w:hAnsi="New Roma" w:cs="Segoe UI"/>
              <w:sz w:val="24"/>
              <w:szCs w:val="24"/>
              <w:shd w:val="clear" w:color="auto" w:fill="FFFFFF"/>
            </w:rPr>
            <w:t xml:space="preserve">Kaplan, R.S. and Norton, D.P., 2005. The balanced scorecard: measures that drive </w:t>
          </w:r>
          <w:r w:rsidRPr="00DF7413">
            <w:rPr>
              <w:rFonts w:ascii="New Roma" w:hAnsi="New Roma" w:cs="Segoe UI"/>
              <w:sz w:val="24"/>
              <w:szCs w:val="24"/>
              <w:shd w:val="clear" w:color="auto" w:fill="FFFFFF"/>
            </w:rPr>
            <w:tab/>
            <w:t>performance (Vol. 70, pp. 71-79). US: Harvard business review.</w:t>
          </w:r>
        </w:p>
        <w:p w14:paraId="285567A7" w14:textId="77777777" w:rsidR="00DF7413" w:rsidRDefault="00DF7413" w:rsidP="00DF7413">
          <w:pPr>
            <w:rPr>
              <w:rFonts w:ascii="New Roma" w:hAnsi="New Roma" w:cs="Segoe UI" w:hint="eastAsia"/>
              <w:sz w:val="24"/>
              <w:szCs w:val="24"/>
              <w:shd w:val="clear" w:color="auto" w:fill="FFFFFF"/>
            </w:rPr>
          </w:pPr>
          <w:r w:rsidRPr="00DF7413">
            <w:rPr>
              <w:rFonts w:ascii="New Roma" w:hAnsi="New Roma" w:cs="Segoe UI"/>
              <w:sz w:val="24"/>
              <w:szCs w:val="24"/>
              <w:shd w:val="clear" w:color="auto" w:fill="FFFFFF"/>
            </w:rPr>
            <w:t xml:space="preserve">Kumar, R., Ramendran, C., &amp; Yacob, P. (2012). A study on turnover intention in fast food </w:t>
          </w:r>
          <w:r w:rsidRPr="00DF7413">
            <w:rPr>
              <w:rFonts w:ascii="New Roma" w:hAnsi="New Roma" w:cs="Segoe UI"/>
              <w:sz w:val="24"/>
              <w:szCs w:val="24"/>
              <w:shd w:val="clear" w:color="auto" w:fill="FFFFFF"/>
            </w:rPr>
            <w:tab/>
            <w:t xml:space="preserve">industry: Employees’ fit to the organizational culture and the important of their </w:t>
          </w:r>
          <w:r w:rsidRPr="00DF7413">
            <w:rPr>
              <w:rFonts w:ascii="New Roma" w:hAnsi="New Roma" w:cs="Segoe UI"/>
              <w:sz w:val="24"/>
              <w:szCs w:val="24"/>
              <w:shd w:val="clear" w:color="auto" w:fill="FFFFFF"/>
            </w:rPr>
            <w:tab/>
            <w:t xml:space="preserve">commitment. International Journal of Academic Research in Business and Social </w:t>
          </w:r>
          <w:r w:rsidRPr="00DF7413">
            <w:rPr>
              <w:rFonts w:ascii="New Roma" w:hAnsi="New Roma" w:cs="Segoe UI"/>
              <w:sz w:val="24"/>
              <w:szCs w:val="24"/>
              <w:shd w:val="clear" w:color="auto" w:fill="FFFFFF"/>
            </w:rPr>
            <w:tab/>
            <w:t>Sciences, 2(5), 9.</w:t>
          </w:r>
        </w:p>
        <w:p w14:paraId="1C060BD0" w14:textId="77777777" w:rsidR="00DF7413" w:rsidRDefault="00DF7413" w:rsidP="00DF7413">
          <w:pPr>
            <w:rPr>
              <w:rFonts w:ascii="New Roma" w:hAnsi="New Roma" w:cs="Segoe UI" w:hint="eastAsia"/>
              <w:sz w:val="24"/>
              <w:szCs w:val="24"/>
              <w:shd w:val="clear" w:color="auto" w:fill="FFFFFF"/>
            </w:rPr>
          </w:pPr>
          <w:r w:rsidRPr="00DF7413">
            <w:rPr>
              <w:rFonts w:ascii="New Roma" w:hAnsi="New Roma" w:cs="Segoe UI"/>
              <w:sz w:val="24"/>
              <w:szCs w:val="24"/>
              <w:shd w:val="clear" w:color="auto" w:fill="FFFFFF"/>
            </w:rPr>
            <w:t xml:space="preserve">Mbah, R.E. and Wasum, D.F., 2022. Russian-Ukraine 2022 War: A review of the economic </w:t>
          </w:r>
          <w:r w:rsidRPr="00DF7413">
            <w:rPr>
              <w:rFonts w:ascii="New Roma" w:hAnsi="New Roma" w:cs="Segoe UI"/>
              <w:sz w:val="24"/>
              <w:szCs w:val="24"/>
              <w:shd w:val="clear" w:color="auto" w:fill="FFFFFF"/>
            </w:rPr>
            <w:tab/>
            <w:t xml:space="preserve">impact of Russian-Ukraine crisis on the USA, UK, Canada, and Europe. Advances </w:t>
          </w:r>
          <w:r w:rsidRPr="00DF7413">
            <w:rPr>
              <w:rFonts w:ascii="New Roma" w:hAnsi="New Roma" w:cs="Segoe UI"/>
              <w:sz w:val="24"/>
              <w:szCs w:val="24"/>
              <w:shd w:val="clear" w:color="auto" w:fill="FFFFFF"/>
            </w:rPr>
            <w:tab/>
            <w:t>in Social Sciences Research Journal, 9(3), pp.144-153.</w:t>
          </w:r>
        </w:p>
        <w:p w14:paraId="5AC98FDE" w14:textId="0E277D7E" w:rsidR="00DF7413" w:rsidRPr="00DF7413" w:rsidRDefault="00DF7413" w:rsidP="00DF7413">
          <w:pPr>
            <w:rPr>
              <w:rFonts w:ascii="New Roma" w:hAnsi="New Roma" w:cs="Segoe UI" w:hint="eastAsia"/>
              <w:sz w:val="24"/>
              <w:szCs w:val="24"/>
              <w:shd w:val="clear" w:color="auto" w:fill="FFFFFF"/>
            </w:rPr>
          </w:pPr>
          <w:r w:rsidRPr="00DF7413">
            <w:rPr>
              <w:rFonts w:ascii="New Roma" w:hAnsi="New Roma" w:cs="Segoe UI"/>
              <w:sz w:val="24"/>
              <w:szCs w:val="24"/>
              <w:shd w:val="clear" w:color="auto" w:fill="FFFFFF"/>
            </w:rPr>
            <w:t xml:space="preserve">Moheb-Alizadeh, H. and Handfield, R., 2018. The impact of raw materials price volatility </w:t>
          </w:r>
          <w:r w:rsidRPr="00DF7413">
            <w:rPr>
              <w:rFonts w:ascii="New Roma" w:hAnsi="New Roma" w:cs="Segoe UI"/>
              <w:sz w:val="24"/>
              <w:szCs w:val="24"/>
              <w:shd w:val="clear" w:color="auto" w:fill="FFFFFF"/>
            </w:rPr>
            <w:tab/>
            <w:t xml:space="preserve">on cost of goods sold (COGS) for product manufacturing. IEEE Transactions on </w:t>
          </w:r>
          <w:r w:rsidRPr="00DF7413">
            <w:rPr>
              <w:rFonts w:ascii="New Roma" w:hAnsi="New Roma" w:cs="Segoe UI"/>
              <w:sz w:val="24"/>
              <w:szCs w:val="24"/>
              <w:shd w:val="clear" w:color="auto" w:fill="FFFFFF"/>
            </w:rPr>
            <w:tab/>
            <w:t>Engineering Management, 65(3), pp.460-473.</w:t>
          </w:r>
        </w:p>
        <w:p w14:paraId="01A11B62" w14:textId="77777777" w:rsidR="00DF7413" w:rsidRPr="00DF7413" w:rsidRDefault="00DF7413" w:rsidP="00DF7413">
          <w:pPr>
            <w:pStyle w:val="Heading1"/>
            <w:shd w:val="clear" w:color="auto" w:fill="FFFFFF"/>
            <w:spacing w:before="0"/>
            <w:textAlignment w:val="baseline"/>
            <w:rPr>
              <w:rFonts w:ascii="New Roma" w:eastAsiaTheme="minorEastAsia" w:hAnsi="New Roma" w:cs="Segoe UI" w:hint="eastAsia"/>
              <w:color w:val="auto"/>
              <w:sz w:val="24"/>
              <w:szCs w:val="24"/>
              <w:shd w:val="clear" w:color="auto" w:fill="FFFFFF"/>
            </w:rPr>
          </w:pPr>
        </w:p>
        <w:p w14:paraId="1CA42903" w14:textId="77777777" w:rsidR="00DF7413" w:rsidRPr="00DF7413" w:rsidRDefault="00DF7413" w:rsidP="00DF7413">
          <w:pPr>
            <w:pStyle w:val="Heading1"/>
            <w:shd w:val="clear" w:color="auto" w:fill="FFFFFF"/>
            <w:spacing w:before="0"/>
            <w:textAlignment w:val="baseline"/>
            <w:rPr>
              <w:rFonts w:ascii="New Roma" w:eastAsiaTheme="minorEastAsia" w:hAnsi="New Roma" w:cs="Segoe UI" w:hint="eastAsia"/>
              <w:color w:val="auto"/>
              <w:sz w:val="24"/>
              <w:szCs w:val="24"/>
              <w:shd w:val="clear" w:color="auto" w:fill="FFFFFF"/>
            </w:rPr>
          </w:pPr>
          <w:r w:rsidRPr="00DF7413">
            <w:rPr>
              <w:rFonts w:ascii="New Roma" w:eastAsiaTheme="minorEastAsia" w:hAnsi="New Roma" w:cs="Segoe UI"/>
              <w:color w:val="auto"/>
              <w:sz w:val="24"/>
              <w:szCs w:val="24"/>
              <w:shd w:val="clear" w:color="auto" w:fill="FFFFFF"/>
            </w:rPr>
            <w:t xml:space="preserve">Natalie Sherman.,2022.The Fed hikes US interest rates to fresh 14-year high.BBC News. </w:t>
          </w:r>
          <w:r w:rsidRPr="00DF7413">
            <w:rPr>
              <w:rFonts w:ascii="New Roma" w:eastAsiaTheme="minorEastAsia" w:hAnsi="New Roma" w:cs="Segoe UI"/>
              <w:color w:val="auto"/>
              <w:sz w:val="24"/>
              <w:szCs w:val="24"/>
              <w:shd w:val="clear" w:color="auto" w:fill="FFFFFF"/>
            </w:rPr>
            <w:tab/>
            <w:t xml:space="preserve">02/11/2022. </w:t>
          </w:r>
          <w:hyperlink r:id="rId9" w:history="1">
            <w:r w:rsidRPr="00DF7413">
              <w:rPr>
                <w:rFonts w:ascii="New Roma" w:eastAsiaTheme="minorEastAsia" w:hAnsi="New Roma" w:cs="Segoe UI"/>
                <w:color w:val="auto"/>
                <w:sz w:val="24"/>
                <w:szCs w:val="24"/>
                <w:shd w:val="clear" w:color="auto" w:fill="FFFFFF"/>
              </w:rPr>
              <w:t>https://www.bbc.co.uk/news/business-63488472</w:t>
            </w:r>
          </w:hyperlink>
          <w:r w:rsidRPr="00DF7413">
            <w:rPr>
              <w:rFonts w:ascii="New Roma" w:eastAsiaTheme="minorEastAsia" w:hAnsi="New Roma" w:cs="Segoe UI"/>
              <w:color w:val="auto"/>
              <w:sz w:val="24"/>
              <w:szCs w:val="24"/>
              <w:shd w:val="clear" w:color="auto" w:fill="FFFFFF"/>
            </w:rPr>
            <w:t>.</w:t>
          </w:r>
        </w:p>
        <w:p w14:paraId="60C62A96" w14:textId="77777777" w:rsidR="00DF7413" w:rsidRPr="00DF7413" w:rsidRDefault="00DF7413" w:rsidP="00DF7413">
          <w:pPr>
            <w:pStyle w:val="Heading1"/>
            <w:shd w:val="clear" w:color="auto" w:fill="FFFFFF"/>
            <w:spacing w:before="0"/>
            <w:textAlignment w:val="baseline"/>
            <w:rPr>
              <w:rFonts w:ascii="New Roma" w:eastAsiaTheme="minorEastAsia" w:hAnsi="New Roma" w:cs="Segoe UI" w:hint="eastAsia"/>
              <w:color w:val="auto"/>
              <w:sz w:val="24"/>
              <w:szCs w:val="24"/>
              <w:shd w:val="clear" w:color="auto" w:fill="FFFFFF"/>
            </w:rPr>
          </w:pPr>
        </w:p>
        <w:p w14:paraId="2D5CA14F" w14:textId="77777777" w:rsidR="00DF7413" w:rsidRPr="00DF7413" w:rsidRDefault="00DF7413" w:rsidP="00DF7413">
          <w:pPr>
            <w:pStyle w:val="Heading1"/>
            <w:shd w:val="clear" w:color="auto" w:fill="FFFFFF"/>
            <w:spacing w:before="0"/>
            <w:textAlignment w:val="baseline"/>
            <w:rPr>
              <w:rFonts w:ascii="New Roma" w:eastAsiaTheme="minorEastAsia" w:hAnsi="New Roma" w:cs="Segoe UI" w:hint="eastAsia"/>
              <w:color w:val="auto"/>
              <w:sz w:val="24"/>
              <w:szCs w:val="24"/>
              <w:shd w:val="clear" w:color="auto" w:fill="FFFFFF"/>
            </w:rPr>
          </w:pPr>
          <w:r w:rsidRPr="00DF7413">
            <w:rPr>
              <w:rFonts w:ascii="New Roma" w:eastAsiaTheme="minorEastAsia" w:hAnsi="New Roma" w:cs="Segoe UI"/>
              <w:color w:val="auto"/>
              <w:sz w:val="24"/>
              <w:szCs w:val="24"/>
              <w:shd w:val="clear" w:color="auto" w:fill="FFFFFF"/>
            </w:rPr>
            <w:t xml:space="preserve">Raturi, R., 2022. Did Going Back To Shopping make You Happy? Consumer Behavioral </w:t>
          </w:r>
          <w:r w:rsidRPr="00DF7413">
            <w:rPr>
              <w:rFonts w:ascii="New Roma" w:eastAsiaTheme="minorEastAsia" w:hAnsi="New Roma" w:cs="Segoe UI"/>
              <w:color w:val="auto"/>
              <w:sz w:val="24"/>
              <w:szCs w:val="24"/>
              <w:shd w:val="clear" w:color="auto" w:fill="FFFFFF"/>
            </w:rPr>
            <w:tab/>
            <w:t xml:space="preserve">Changes In Their Purchase Decision and Preference of Shopping Experience after </w:t>
          </w:r>
          <w:r w:rsidRPr="00DF7413">
            <w:rPr>
              <w:rFonts w:ascii="New Roma" w:eastAsiaTheme="minorEastAsia" w:hAnsi="New Roma" w:cs="Segoe UI"/>
              <w:color w:val="auto"/>
              <w:sz w:val="24"/>
              <w:szCs w:val="24"/>
              <w:shd w:val="clear" w:color="auto" w:fill="FFFFFF"/>
            </w:rPr>
            <w:tab/>
            <w:t>Covid-19. Academy of Marketing Studies Journal, 26(3).</w:t>
          </w:r>
        </w:p>
        <w:p w14:paraId="55A52991" w14:textId="77777777" w:rsidR="00DF7413" w:rsidRPr="00DF7413" w:rsidRDefault="00DF7413" w:rsidP="00DF7413">
          <w:pPr>
            <w:pStyle w:val="Heading1"/>
            <w:shd w:val="clear" w:color="auto" w:fill="FFFFFF"/>
            <w:spacing w:before="0"/>
            <w:textAlignment w:val="baseline"/>
            <w:rPr>
              <w:rFonts w:ascii="New Roma" w:eastAsiaTheme="minorEastAsia" w:hAnsi="New Roma" w:cs="Segoe UI" w:hint="eastAsia"/>
              <w:color w:val="auto"/>
              <w:sz w:val="24"/>
              <w:szCs w:val="24"/>
              <w:shd w:val="clear" w:color="auto" w:fill="FFFFFF"/>
            </w:rPr>
          </w:pPr>
        </w:p>
        <w:p w14:paraId="3C387FA9" w14:textId="77777777" w:rsidR="00DF7413" w:rsidRPr="00DF7413" w:rsidRDefault="00DF7413" w:rsidP="00DF7413">
          <w:pPr>
            <w:pStyle w:val="Heading1"/>
            <w:shd w:val="clear" w:color="auto" w:fill="FFFFFF"/>
            <w:spacing w:before="0"/>
            <w:textAlignment w:val="baseline"/>
            <w:rPr>
              <w:rFonts w:ascii="New Roma" w:eastAsiaTheme="minorEastAsia" w:hAnsi="New Roma" w:cs="Segoe UI" w:hint="eastAsia"/>
              <w:color w:val="auto"/>
              <w:sz w:val="24"/>
              <w:szCs w:val="24"/>
              <w:shd w:val="clear" w:color="auto" w:fill="FFFFFF"/>
            </w:rPr>
          </w:pPr>
          <w:r w:rsidRPr="00DF7413">
            <w:rPr>
              <w:rFonts w:ascii="New Roma" w:eastAsiaTheme="minorEastAsia" w:hAnsi="New Roma" w:cs="Segoe UI"/>
              <w:color w:val="auto"/>
              <w:sz w:val="24"/>
              <w:szCs w:val="24"/>
              <w:shd w:val="clear" w:color="auto" w:fill="FFFFFF"/>
            </w:rPr>
            <w:t xml:space="preserve">REUTERS., 2022.Ukraine war: UN chief Guterres slams oil and gas firms' 'grotesque </w:t>
          </w:r>
          <w:r w:rsidRPr="00DF7413">
            <w:rPr>
              <w:rFonts w:ascii="New Roma" w:eastAsiaTheme="minorEastAsia" w:hAnsi="New Roma" w:cs="Segoe UI"/>
              <w:color w:val="auto"/>
              <w:sz w:val="24"/>
              <w:szCs w:val="24"/>
              <w:shd w:val="clear" w:color="auto" w:fill="FFFFFF"/>
            </w:rPr>
            <w:tab/>
            <w:t>greed'. BBC News 4</w:t>
          </w:r>
          <w:r w:rsidRPr="00DF7413">
            <w:rPr>
              <w:rFonts w:ascii="New Roma" w:eastAsiaTheme="minorEastAsia" w:hAnsi="New Roma" w:cs="Segoe UI" w:hint="eastAsia"/>
              <w:color w:val="auto"/>
              <w:sz w:val="24"/>
              <w:szCs w:val="24"/>
              <w:shd w:val="clear" w:color="auto" w:fill="FFFFFF"/>
            </w:rPr>
            <w:t>/</w:t>
          </w:r>
          <w:r w:rsidRPr="00DF7413">
            <w:rPr>
              <w:rFonts w:ascii="New Roma" w:eastAsiaTheme="minorEastAsia" w:hAnsi="New Roma" w:cs="Segoe UI"/>
              <w:color w:val="auto"/>
              <w:sz w:val="24"/>
              <w:szCs w:val="24"/>
              <w:shd w:val="clear" w:color="auto" w:fill="FFFFFF"/>
            </w:rPr>
            <w:t>08/2022.</w:t>
          </w:r>
        </w:p>
        <w:p w14:paraId="5E864405" w14:textId="77777777" w:rsidR="00DF7413" w:rsidRPr="00DF7413" w:rsidRDefault="00DF7413" w:rsidP="00DF7413">
          <w:pPr>
            <w:pStyle w:val="Heading1"/>
            <w:shd w:val="clear" w:color="auto" w:fill="FFFFFF"/>
            <w:spacing w:before="0"/>
            <w:textAlignment w:val="baseline"/>
            <w:rPr>
              <w:rFonts w:ascii="New Roma" w:eastAsiaTheme="minorEastAsia" w:hAnsi="New Roma" w:cs="Segoe UI" w:hint="eastAsia"/>
              <w:color w:val="auto"/>
              <w:sz w:val="24"/>
              <w:szCs w:val="24"/>
              <w:shd w:val="clear" w:color="auto" w:fill="FFFFFF"/>
            </w:rPr>
          </w:pPr>
        </w:p>
        <w:p w14:paraId="5FEC548C" w14:textId="77777777" w:rsidR="00DF7413" w:rsidRPr="00DF7413" w:rsidRDefault="00DF7413" w:rsidP="00DF7413">
          <w:pPr>
            <w:pStyle w:val="Heading1"/>
            <w:shd w:val="clear" w:color="auto" w:fill="FFFFFF"/>
            <w:spacing w:before="0"/>
            <w:textAlignment w:val="baseline"/>
            <w:rPr>
              <w:rFonts w:ascii="New Roma" w:eastAsiaTheme="minorEastAsia" w:hAnsi="New Roma" w:cs="Segoe UI" w:hint="eastAsia"/>
              <w:color w:val="auto"/>
              <w:sz w:val="24"/>
              <w:szCs w:val="24"/>
              <w:shd w:val="clear" w:color="auto" w:fill="FFFFFF"/>
            </w:rPr>
          </w:pPr>
          <w:r w:rsidRPr="00DF7413">
            <w:rPr>
              <w:rFonts w:ascii="New Roma" w:eastAsiaTheme="minorEastAsia" w:hAnsi="New Roma" w:cs="Segoe UI"/>
              <w:color w:val="auto"/>
              <w:sz w:val="24"/>
              <w:szCs w:val="24"/>
              <w:shd w:val="clear" w:color="auto" w:fill="FFFFFF"/>
            </w:rPr>
            <w:t xml:space="preserve">Rivai, V. (2009). Manajemen Sumber Daya Manusia untuk perusahaan: dari teori ke </w:t>
          </w:r>
          <w:r w:rsidRPr="00DF7413">
            <w:rPr>
              <w:rFonts w:ascii="New Roma" w:eastAsiaTheme="minorEastAsia" w:hAnsi="New Roma" w:cs="Segoe UI"/>
              <w:color w:val="auto"/>
              <w:sz w:val="24"/>
              <w:szCs w:val="24"/>
              <w:shd w:val="clear" w:color="auto" w:fill="FFFFFF"/>
            </w:rPr>
            <w:tab/>
            <w:t>praktik. Rajawali Pers.</w:t>
          </w:r>
        </w:p>
        <w:p w14:paraId="08746BCF" w14:textId="77777777" w:rsidR="00DF7413" w:rsidRPr="00DF7413" w:rsidRDefault="00DF7413" w:rsidP="00DF7413">
          <w:pPr>
            <w:pStyle w:val="Heading1"/>
            <w:shd w:val="clear" w:color="auto" w:fill="FFFFFF"/>
            <w:spacing w:before="0"/>
            <w:textAlignment w:val="baseline"/>
            <w:rPr>
              <w:rFonts w:ascii="New Roma" w:eastAsiaTheme="minorEastAsia" w:hAnsi="New Roma" w:cs="Segoe UI" w:hint="eastAsia"/>
              <w:color w:val="auto"/>
              <w:sz w:val="24"/>
              <w:szCs w:val="24"/>
              <w:shd w:val="clear" w:color="auto" w:fill="FFFFFF"/>
            </w:rPr>
          </w:pPr>
        </w:p>
        <w:p w14:paraId="75589BB8" w14:textId="77777777" w:rsidR="00DF7413" w:rsidRPr="00DF7413" w:rsidRDefault="00DF7413" w:rsidP="00DF7413">
          <w:pPr>
            <w:pStyle w:val="Heading1"/>
            <w:shd w:val="clear" w:color="auto" w:fill="FFFFFF"/>
            <w:spacing w:before="0"/>
            <w:textAlignment w:val="baseline"/>
            <w:rPr>
              <w:rFonts w:ascii="New Roma" w:eastAsiaTheme="minorEastAsia" w:hAnsi="New Roma" w:cs="Segoe UI" w:hint="eastAsia"/>
              <w:color w:val="auto"/>
              <w:sz w:val="24"/>
              <w:szCs w:val="24"/>
              <w:shd w:val="clear" w:color="auto" w:fill="FFFFFF"/>
            </w:rPr>
          </w:pPr>
          <w:r w:rsidRPr="00DF7413">
            <w:rPr>
              <w:rFonts w:ascii="New Roma" w:eastAsiaTheme="minorEastAsia" w:hAnsi="New Roma" w:cs="Segoe UI"/>
              <w:color w:val="auto"/>
              <w:sz w:val="24"/>
              <w:szCs w:val="24"/>
              <w:shd w:val="clear" w:color="auto" w:fill="FFFFFF"/>
            </w:rPr>
            <w:t xml:space="preserve">Tuan, T.T., 2020. The impact of balanced scorecard on performance: The case of </w:t>
          </w:r>
          <w:r w:rsidRPr="00DF7413">
            <w:rPr>
              <w:rFonts w:ascii="New Roma" w:eastAsiaTheme="minorEastAsia" w:hAnsi="New Roma" w:cs="Segoe UI"/>
              <w:color w:val="auto"/>
              <w:sz w:val="24"/>
              <w:szCs w:val="24"/>
              <w:shd w:val="clear" w:color="auto" w:fill="FFFFFF"/>
            </w:rPr>
            <w:tab/>
            <w:t xml:space="preserve">Vietnamese commercial banks. The Journal of Asian Finance, Economics and </w:t>
          </w:r>
          <w:r w:rsidRPr="00DF7413">
            <w:rPr>
              <w:rFonts w:ascii="New Roma" w:eastAsiaTheme="minorEastAsia" w:hAnsi="New Roma" w:cs="Segoe UI"/>
              <w:color w:val="auto"/>
              <w:sz w:val="24"/>
              <w:szCs w:val="24"/>
              <w:shd w:val="clear" w:color="auto" w:fill="FFFFFF"/>
            </w:rPr>
            <w:tab/>
            <w:t>Business, 7(1), pp.71-79.</w:t>
          </w:r>
        </w:p>
        <w:p w14:paraId="635AD289" w14:textId="77777777" w:rsidR="00DF7413" w:rsidRPr="00DF7413" w:rsidRDefault="00DF7413" w:rsidP="00DF7413">
          <w:pPr>
            <w:pStyle w:val="Heading1"/>
            <w:shd w:val="clear" w:color="auto" w:fill="FFFFFF"/>
            <w:spacing w:before="0"/>
            <w:textAlignment w:val="baseline"/>
            <w:rPr>
              <w:rFonts w:ascii="New Roma" w:eastAsiaTheme="minorEastAsia" w:hAnsi="New Roma" w:cs="Segoe UI" w:hint="eastAsia"/>
              <w:color w:val="auto"/>
              <w:sz w:val="24"/>
              <w:szCs w:val="24"/>
              <w:shd w:val="clear" w:color="auto" w:fill="FFFFFF"/>
            </w:rPr>
          </w:pPr>
        </w:p>
        <w:p w14:paraId="2E4BB2CE" w14:textId="77777777" w:rsidR="00DF7413" w:rsidRPr="00DF7413" w:rsidRDefault="00DF7413" w:rsidP="00DF7413">
          <w:pPr>
            <w:pStyle w:val="Heading1"/>
            <w:shd w:val="clear" w:color="auto" w:fill="FFFFFF"/>
            <w:spacing w:before="0"/>
            <w:textAlignment w:val="baseline"/>
            <w:rPr>
              <w:rFonts w:ascii="New Roma" w:eastAsiaTheme="minorEastAsia" w:hAnsi="New Roma" w:cs="Segoe UI" w:hint="eastAsia"/>
              <w:color w:val="auto"/>
              <w:sz w:val="24"/>
              <w:szCs w:val="24"/>
              <w:shd w:val="clear" w:color="auto" w:fill="FFFFFF"/>
            </w:rPr>
          </w:pPr>
          <w:r w:rsidRPr="00DF7413">
            <w:rPr>
              <w:rFonts w:ascii="New Roma" w:eastAsiaTheme="minorEastAsia" w:hAnsi="New Roma" w:cs="Segoe UI"/>
              <w:color w:val="auto"/>
              <w:sz w:val="24"/>
              <w:szCs w:val="24"/>
              <w:shd w:val="clear" w:color="auto" w:fill="FFFFFF"/>
            </w:rPr>
            <w:t xml:space="preserve">Pinzaru, F., Zbuchea, A. and Anghel, L., 2020. The Impact of the COVID-19 Pandemic on </w:t>
          </w:r>
          <w:r w:rsidRPr="00DF7413">
            <w:rPr>
              <w:rFonts w:ascii="New Roma" w:eastAsiaTheme="minorEastAsia" w:hAnsi="New Roma" w:cs="Segoe UI"/>
              <w:color w:val="auto"/>
              <w:sz w:val="24"/>
              <w:szCs w:val="24"/>
              <w:shd w:val="clear" w:color="auto" w:fill="FFFFFF"/>
            </w:rPr>
            <w:tab/>
            <w:t xml:space="preserve">Business. A preliminary overview. Strategica. Preparing for Tomorrow, Today, </w:t>
          </w:r>
          <w:r w:rsidRPr="00DF7413">
            <w:rPr>
              <w:rFonts w:ascii="New Roma" w:eastAsiaTheme="minorEastAsia" w:hAnsi="New Roma" w:cs="Segoe UI"/>
              <w:color w:val="auto"/>
              <w:sz w:val="24"/>
              <w:szCs w:val="24"/>
              <w:shd w:val="clear" w:color="auto" w:fill="FFFFFF"/>
            </w:rPr>
            <w:tab/>
            <w:t>pp.721-730.</w:t>
          </w:r>
        </w:p>
        <w:p w14:paraId="291744EE" w14:textId="77777777" w:rsidR="00DF7413" w:rsidRPr="00DF7413" w:rsidRDefault="00DF7413" w:rsidP="00DF7413">
          <w:pPr>
            <w:pStyle w:val="Heading1"/>
            <w:shd w:val="clear" w:color="auto" w:fill="FFFFFF"/>
            <w:spacing w:before="0"/>
            <w:textAlignment w:val="baseline"/>
            <w:rPr>
              <w:rFonts w:ascii="New Roma" w:eastAsiaTheme="minorEastAsia" w:hAnsi="New Roma" w:cs="Segoe UI" w:hint="eastAsia"/>
              <w:color w:val="auto"/>
              <w:sz w:val="24"/>
              <w:szCs w:val="24"/>
              <w:shd w:val="clear" w:color="auto" w:fill="FFFFFF"/>
            </w:rPr>
          </w:pPr>
        </w:p>
        <w:p w14:paraId="7CBC2BDC" w14:textId="77777777" w:rsidR="00DF7413" w:rsidRPr="00DF7413" w:rsidRDefault="00DF7413" w:rsidP="00DF7413">
          <w:pPr>
            <w:pStyle w:val="Heading1"/>
            <w:shd w:val="clear" w:color="auto" w:fill="FFFFFF"/>
            <w:spacing w:before="0"/>
            <w:textAlignment w:val="baseline"/>
            <w:rPr>
              <w:rFonts w:ascii="New Roma" w:eastAsiaTheme="minorEastAsia" w:hAnsi="New Roma" w:cs="Segoe UI" w:hint="eastAsia"/>
              <w:color w:val="auto"/>
              <w:sz w:val="24"/>
              <w:szCs w:val="24"/>
              <w:shd w:val="clear" w:color="auto" w:fill="FFFFFF"/>
            </w:rPr>
          </w:pPr>
          <w:r w:rsidRPr="00DF7413">
            <w:rPr>
              <w:rFonts w:ascii="New Roma" w:eastAsiaTheme="minorEastAsia" w:hAnsi="New Roma" w:cs="Segoe UI"/>
              <w:color w:val="auto"/>
              <w:sz w:val="24"/>
              <w:szCs w:val="24"/>
              <w:shd w:val="clear" w:color="auto" w:fill="FFFFFF"/>
            </w:rPr>
            <w:t>W</w:t>
          </w:r>
          <w:r w:rsidRPr="00DF7413">
            <w:rPr>
              <w:rFonts w:ascii="New Roma" w:eastAsiaTheme="minorEastAsia" w:hAnsi="New Roma" w:cs="Segoe UI" w:hint="eastAsia"/>
              <w:color w:val="auto"/>
              <w:sz w:val="24"/>
              <w:szCs w:val="24"/>
              <w:shd w:val="clear" w:color="auto" w:fill="FFFFFF"/>
            </w:rPr>
            <w:t>or</w:t>
          </w:r>
          <w:r w:rsidRPr="00DF7413">
            <w:rPr>
              <w:rFonts w:ascii="New Roma" w:eastAsiaTheme="minorEastAsia" w:hAnsi="New Roma" w:cs="Segoe UI"/>
              <w:color w:val="auto"/>
              <w:sz w:val="24"/>
              <w:szCs w:val="24"/>
              <w:shd w:val="clear" w:color="auto" w:fill="FFFFFF"/>
            </w:rPr>
            <w:t>ld Bank., ANNUAL REPORT 2022. World Bank Organization. 2022</w:t>
          </w:r>
          <w:r w:rsidRPr="00DF7413">
            <w:rPr>
              <w:rFonts w:ascii="New Roma" w:eastAsiaTheme="minorEastAsia" w:hAnsi="New Roma" w:cs="Segoe UI" w:hint="eastAsia"/>
              <w:color w:val="auto"/>
              <w:sz w:val="24"/>
              <w:szCs w:val="24"/>
              <w:shd w:val="clear" w:color="auto" w:fill="FFFFFF"/>
            </w:rPr>
            <w:t>.</w:t>
          </w:r>
          <w:r w:rsidRPr="00DF7413">
            <w:rPr>
              <w:rFonts w:ascii="New Roma" w:eastAsiaTheme="minorEastAsia" w:hAnsi="New Roma" w:cs="Segoe UI"/>
              <w:color w:val="auto"/>
              <w:sz w:val="24"/>
              <w:szCs w:val="24"/>
              <w:shd w:val="clear" w:color="auto" w:fill="FFFFFF"/>
            </w:rPr>
            <w:t xml:space="preserve"> </w:t>
          </w:r>
          <w:r w:rsidRPr="00DF7413">
            <w:rPr>
              <w:rFonts w:ascii="New Roma" w:eastAsiaTheme="minorEastAsia" w:hAnsi="New Roma" w:cs="Segoe UI"/>
              <w:color w:val="auto"/>
              <w:sz w:val="24"/>
              <w:szCs w:val="24"/>
              <w:shd w:val="clear" w:color="auto" w:fill="FFFFFF"/>
            </w:rPr>
            <w:tab/>
          </w:r>
          <w:hyperlink r:id="rId10" w:history="1">
            <w:r w:rsidRPr="00DF7413">
              <w:rPr>
                <w:rFonts w:ascii="New Roma" w:eastAsiaTheme="minorEastAsia" w:hAnsi="New Roma" w:cs="Segoe UI"/>
                <w:color w:val="auto"/>
                <w:sz w:val="24"/>
                <w:szCs w:val="24"/>
                <w:shd w:val="clear" w:color="auto" w:fill="FFFFFF"/>
              </w:rPr>
              <w:t>https://www.bbc.co.uk/news/business-64213830</w:t>
            </w:r>
          </w:hyperlink>
          <w:r w:rsidRPr="00DF7413">
            <w:rPr>
              <w:rFonts w:ascii="New Roma" w:eastAsiaTheme="minorEastAsia" w:hAnsi="New Roma" w:cs="Segoe UI"/>
              <w:color w:val="auto"/>
              <w:sz w:val="24"/>
              <w:szCs w:val="24"/>
              <w:shd w:val="clear" w:color="auto" w:fill="FFFFFF"/>
            </w:rPr>
            <w:t>.</w:t>
          </w:r>
        </w:p>
        <w:p w14:paraId="59EB891D" w14:textId="77777777" w:rsidR="00DF7413" w:rsidRPr="0056686B" w:rsidRDefault="00DF7413" w:rsidP="00DF7413">
          <w:pPr>
            <w:rPr>
              <w:rFonts w:ascii="New Roma" w:hAnsi="New Roma" w:cs="Segoe UI" w:hint="eastAsia"/>
              <w:sz w:val="24"/>
              <w:szCs w:val="24"/>
              <w:shd w:val="clear" w:color="auto" w:fill="FFFFFF"/>
            </w:rPr>
          </w:pPr>
        </w:p>
        <w:p w14:paraId="77D69E6F" w14:textId="77777777" w:rsidR="004A11F6" w:rsidRPr="007D1947" w:rsidRDefault="004A11F6" w:rsidP="007D1947"/>
        <w:p w14:paraId="7F890C1F" w14:textId="50CEF399" w:rsidR="00CA09F3" w:rsidRDefault="002E64B8"/>
      </w:sdtContent>
    </w:sdt>
    <w:p w14:paraId="2E6418B0" w14:textId="7164CA6C" w:rsidR="00DF3B0A" w:rsidRDefault="00DF3B0A"/>
    <w:p w14:paraId="42B6842D" w14:textId="6EF97E66" w:rsidR="00DF3B0A" w:rsidRDefault="00DF3B0A"/>
    <w:p w14:paraId="7472F6E7" w14:textId="7976F2D3" w:rsidR="00DF3B0A" w:rsidRDefault="00DF3B0A"/>
    <w:p w14:paraId="634E930B" w14:textId="586BF9B7" w:rsidR="00DF3B0A" w:rsidRDefault="00DF3B0A"/>
    <w:p w14:paraId="4157D0D3" w14:textId="60F30558" w:rsidR="00DF3B0A" w:rsidRDefault="00DF3B0A"/>
    <w:p w14:paraId="6620E0E0" w14:textId="165FDE66" w:rsidR="00DF3B0A" w:rsidRDefault="00DF3B0A"/>
    <w:p w14:paraId="76E3AD8B" w14:textId="17859A12" w:rsidR="00DF3B0A" w:rsidRDefault="00DF3B0A"/>
    <w:p w14:paraId="7B745FA7" w14:textId="3A8695EF" w:rsidR="00DF3B0A" w:rsidRDefault="00DF3B0A"/>
    <w:p w14:paraId="5832CCDC" w14:textId="2FEA085D" w:rsidR="00DF3B0A" w:rsidRDefault="00DF3B0A"/>
    <w:p w14:paraId="404F959A" w14:textId="482B092A" w:rsidR="00DF3B0A" w:rsidRDefault="00DF3B0A"/>
    <w:p w14:paraId="360B7064" w14:textId="6FE387E3" w:rsidR="00DF3B0A" w:rsidRDefault="00DF3B0A"/>
    <w:p w14:paraId="06E10E52" w14:textId="02EF2733" w:rsidR="00DF3B0A" w:rsidRDefault="00DF3B0A"/>
    <w:p w14:paraId="2BBF86FA" w14:textId="6DA9E82E" w:rsidR="00DF3B0A" w:rsidRDefault="00DF3B0A"/>
    <w:p w14:paraId="2A3D28DE" w14:textId="0755A5BE" w:rsidR="00DF3B0A" w:rsidRDefault="00DF3B0A"/>
    <w:p w14:paraId="7BC41C5F" w14:textId="2D816B1D" w:rsidR="00DF3B0A" w:rsidRDefault="00DF3B0A"/>
    <w:p w14:paraId="58F70216" w14:textId="1717FBEF" w:rsidR="00DF3B0A" w:rsidRDefault="00DF3B0A"/>
    <w:p w14:paraId="0E28AF8F" w14:textId="49E3A91C" w:rsidR="00DF3B0A" w:rsidRDefault="00DF3B0A"/>
    <w:p w14:paraId="3DDB7ECC" w14:textId="289C39F8" w:rsidR="00DF3B0A" w:rsidRDefault="00DF3B0A"/>
    <w:p w14:paraId="0C689B1D" w14:textId="24136DF8" w:rsidR="00DF3B0A" w:rsidRDefault="00DF3B0A"/>
    <w:p w14:paraId="186E930C" w14:textId="650BDF91" w:rsidR="00DF3B0A" w:rsidRDefault="00DF3B0A"/>
    <w:p w14:paraId="138C9DF6" w14:textId="1494A982" w:rsidR="00DF3B0A" w:rsidRDefault="00DF3B0A"/>
    <w:p w14:paraId="26378A1D" w14:textId="3BBA429E" w:rsidR="00DF3B0A" w:rsidRDefault="00DF3B0A"/>
    <w:p w14:paraId="739A7732" w14:textId="07DBA42A" w:rsidR="00DF3B0A" w:rsidRDefault="00DF3B0A"/>
    <w:p w14:paraId="1035A16C" w14:textId="747E6E9E" w:rsidR="00DF3B0A" w:rsidRDefault="00DF3B0A"/>
    <w:p w14:paraId="3166A10E" w14:textId="493D6117" w:rsidR="00DF3B0A" w:rsidRDefault="00DF3B0A"/>
    <w:p w14:paraId="52C28260" w14:textId="0B10809C" w:rsidR="00DF3B0A" w:rsidRDefault="00DF3B0A"/>
    <w:p w14:paraId="13228B16" w14:textId="2F3E7720" w:rsidR="00DF3B0A" w:rsidRDefault="00DF3B0A"/>
    <w:p w14:paraId="35818D45" w14:textId="461552D4" w:rsidR="00DF3B0A" w:rsidRDefault="00DF3B0A"/>
    <w:p w14:paraId="3B1762C9" w14:textId="4DCCA64C" w:rsidR="00DF3B0A" w:rsidRDefault="00DF3B0A" w:rsidP="00DF3B0A">
      <w:pPr>
        <w:pStyle w:val="Heading1"/>
      </w:pPr>
      <w:bookmarkStart w:id="9" w:name="_Toc129339192"/>
      <w:r>
        <w:t>Appendix</w:t>
      </w:r>
      <w:bookmarkEnd w:id="9"/>
    </w:p>
    <w:sectPr w:rsidR="00DF3B0A"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New Roma">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Gilroy">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C45AAA"/>
    <w:multiLevelType w:val="hybridMultilevel"/>
    <w:tmpl w:val="C9763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51346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232C6"/>
    <w:rsid w:val="00107936"/>
    <w:rsid w:val="00115B96"/>
    <w:rsid w:val="001B0401"/>
    <w:rsid w:val="0027537F"/>
    <w:rsid w:val="00292977"/>
    <w:rsid w:val="002E64B8"/>
    <w:rsid w:val="00324CCD"/>
    <w:rsid w:val="003750D1"/>
    <w:rsid w:val="003841D2"/>
    <w:rsid w:val="00437BCA"/>
    <w:rsid w:val="00480872"/>
    <w:rsid w:val="0049533C"/>
    <w:rsid w:val="004A11F6"/>
    <w:rsid w:val="004D519C"/>
    <w:rsid w:val="005014C5"/>
    <w:rsid w:val="005265B4"/>
    <w:rsid w:val="00693E27"/>
    <w:rsid w:val="00796A47"/>
    <w:rsid w:val="007D1066"/>
    <w:rsid w:val="007D1947"/>
    <w:rsid w:val="008B0ADD"/>
    <w:rsid w:val="008D4C45"/>
    <w:rsid w:val="00931CAA"/>
    <w:rsid w:val="00985071"/>
    <w:rsid w:val="00A12B58"/>
    <w:rsid w:val="00A4233F"/>
    <w:rsid w:val="00AA2A91"/>
    <w:rsid w:val="00AE73A9"/>
    <w:rsid w:val="00B24206"/>
    <w:rsid w:val="00B93E7F"/>
    <w:rsid w:val="00BB56E7"/>
    <w:rsid w:val="00CA09F3"/>
    <w:rsid w:val="00D63426"/>
    <w:rsid w:val="00D854A5"/>
    <w:rsid w:val="00DF3B0A"/>
    <w:rsid w:val="00DF708C"/>
    <w:rsid w:val="00DF7413"/>
    <w:rsid w:val="00E91208"/>
    <w:rsid w:val="00EA6B8C"/>
    <w:rsid w:val="00EC4FF3"/>
    <w:rsid w:val="00F35AF2"/>
    <w:rsid w:val="00FC48B3"/>
    <w:rsid w:val="00FD537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table" w:styleId="TableGrid">
    <w:name w:val="Table Grid"/>
    <w:basedOn w:val="TableNormal"/>
    <w:uiPriority w:val="39"/>
    <w:rsid w:val="00B93E7F"/>
    <w:pPr>
      <w:spacing w:after="0" w:line="240" w:lineRule="auto"/>
    </w:pPr>
    <w:rPr>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B93E7F"/>
    <w:pPr>
      <w:spacing w:after="0" w:line="240" w:lineRule="auto"/>
    </w:pPr>
    <w:rPr>
      <w:lang w:eastAsia="zh-CN"/>
    </w:r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ListParagraph">
    <w:name w:val="List Paragraph"/>
    <w:basedOn w:val="Normal"/>
    <w:uiPriority w:val="34"/>
    <w:qFormat/>
    <w:rsid w:val="00B93E7F"/>
    <w:pPr>
      <w:ind w:left="720"/>
      <w:contextualSpacing/>
    </w:pPr>
    <w:rPr>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7830737">
      <w:bodyDiv w:val="1"/>
      <w:marLeft w:val="0"/>
      <w:marRight w:val="0"/>
      <w:marTop w:val="0"/>
      <w:marBottom w:val="0"/>
      <w:divBdr>
        <w:top w:val="none" w:sz="0" w:space="0" w:color="auto"/>
        <w:left w:val="none" w:sz="0" w:space="0" w:color="auto"/>
        <w:bottom w:val="none" w:sz="0" w:space="0" w:color="auto"/>
        <w:right w:val="none" w:sz="0" w:space="0" w:color="auto"/>
      </w:divBdr>
      <w:divsChild>
        <w:div w:id="1197621473">
          <w:marLeft w:val="0"/>
          <w:marRight w:val="0"/>
          <w:marTop w:val="0"/>
          <w:marBottom w:val="225"/>
          <w:divBdr>
            <w:top w:val="none" w:sz="0" w:space="0" w:color="auto"/>
            <w:left w:val="none" w:sz="0" w:space="0" w:color="auto"/>
            <w:bottom w:val="none" w:sz="0" w:space="0" w:color="auto"/>
            <w:right w:val="none" w:sz="0" w:space="0" w:color="auto"/>
          </w:divBdr>
        </w:div>
        <w:div w:id="391734791">
          <w:marLeft w:val="0"/>
          <w:marRight w:val="0"/>
          <w:marTop w:val="0"/>
          <w:marBottom w:val="225"/>
          <w:divBdr>
            <w:top w:val="none" w:sz="0" w:space="0" w:color="auto"/>
            <w:left w:val="none" w:sz="0" w:space="0" w:color="auto"/>
            <w:bottom w:val="none" w:sz="0" w:space="0" w:color="auto"/>
            <w:right w:val="none" w:sz="0" w:space="0" w:color="auto"/>
          </w:divBdr>
        </w:div>
        <w:div w:id="1203178645">
          <w:marLeft w:val="0"/>
          <w:marRight w:val="0"/>
          <w:marTop w:val="0"/>
          <w:marBottom w:val="225"/>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www.bbc.co.uk/news/business-64213830" TargetMode="External"/><Relationship Id="rId4" Type="http://schemas.openxmlformats.org/officeDocument/2006/relationships/styles" Target="styles.xml"/><Relationship Id="rId9" Type="http://schemas.openxmlformats.org/officeDocument/2006/relationships/hyperlink" Target="https://www.bbc.co.uk/news/business-63488472"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New Roma">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Gilroy">
    <w:altName w:val="Cambria"/>
    <w:panose1 w:val="00000000000000000000"/>
    <w:charset w:val="00"/>
    <w:family w:val="roman"/>
    <w:notTrueType/>
    <w:pitch w:val="default"/>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42260"/>
    <w:rsid w:val="002450A7"/>
    <w:rsid w:val="00284491"/>
    <w:rsid w:val="003203C2"/>
    <w:rsid w:val="004D25D2"/>
    <w:rsid w:val="009D7389"/>
    <w:rsid w:val="00A34C42"/>
    <w:rsid w:val="00BC1251"/>
    <w:rsid w:val="00C6742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2023-05-10T00:00:00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2B15A26-42CA-B54F-9963-1E6D880921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17</Pages>
  <Words>5796</Words>
  <Characters>33041</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ASSIGNMENT OF Contemporary Issues in Performance Management</vt:lpstr>
    </vt:vector>
  </TitlesOfParts>
  <Company>University of Wales Trinity Saint David</Company>
  <LinksUpToDate>false</LinksUpToDate>
  <CharactersWithSpaces>38760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OF Contemporary Issues in Performance Management</dc:title>
  <dc:subject>from Yi Wang</dc:subject>
  <dc:creator>Marie Pitson</dc:creator>
  <cp:keywords/>
  <dc:description/>
  <cp:lastModifiedBy>Yi Wang (2226774)</cp:lastModifiedBy>
  <cp:revision>14</cp:revision>
  <dcterms:created xsi:type="dcterms:W3CDTF">2023-05-10T18:38:00Z</dcterms:created>
  <dcterms:modified xsi:type="dcterms:W3CDTF">2023-05-10T21:00:00Z</dcterms:modified>
</cp:coreProperties>
</file>