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000B5" w:rsidRPr="00884C06" w:rsidRDefault="00884C06">
      <w:pPr>
        <w:rPr>
          <w:sz w:val="52"/>
          <w:szCs w:val="52"/>
        </w:rPr>
      </w:pPr>
      <w:r>
        <w:rPr>
          <w:sz w:val="52"/>
          <w:szCs w:val="52"/>
        </w:rPr>
        <w:t xml:space="preserve">                </w:t>
      </w:r>
      <w:r w:rsidR="00D000B5" w:rsidRPr="00884C06">
        <w:rPr>
          <w:sz w:val="52"/>
          <w:szCs w:val="52"/>
        </w:rPr>
        <w:t xml:space="preserve">The Balfour Declaration                            </w:t>
      </w:r>
    </w:p>
    <w:p w:rsidR="001D27E4" w:rsidRDefault="00D000B5" w:rsidP="001D27E4">
      <w:pPr>
        <w:jc w:val="center"/>
      </w:pPr>
      <w:r>
        <w:rPr>
          <w:noProof/>
          <w:lang w:eastAsia="en-GB"/>
        </w:rPr>
        <w:drawing>
          <wp:inline distT="0" distB="0" distL="0" distR="0">
            <wp:extent cx="1559170" cy="2114725"/>
            <wp:effectExtent l="19050" t="0" r="2930" b="0"/>
            <wp:docPr id="13" name="Picture 1" descr="https://cdn.britannica.com/21/138721-050-439BFD26/Arthur-James-Balfour-189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cdn.britannica.com/21/138721-050-439BFD26/Arthur-James-Balfour-1890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5411" cy="21231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3C72BB">
        <w:rPr>
          <w:rStyle w:val="FootnoteReference"/>
        </w:rPr>
        <w:footnoteReference w:id="1"/>
      </w:r>
      <w:r>
        <w:t xml:space="preserve">           </w:t>
      </w:r>
      <w:r w:rsidR="00007548">
        <w:t xml:space="preserve"> </w:t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1555610" cy="2104292"/>
            <wp:effectExtent l="19050" t="0" r="6490" b="0"/>
            <wp:docPr id="11" name="Picture 4" descr="The Balfour decla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e Balfour declaration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7186" cy="21064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3C72BB">
        <w:rPr>
          <w:rStyle w:val="FootnoteReference"/>
        </w:rPr>
        <w:footnoteReference w:id="2"/>
      </w:r>
      <w:r>
        <w:t xml:space="preserve">                            </w:t>
      </w:r>
    </w:p>
    <w:p w:rsidR="00A25673" w:rsidRDefault="00007548" w:rsidP="001D27E4">
      <w:pPr>
        <w:jc w:val="center"/>
      </w:pPr>
      <w:r>
        <w:t xml:space="preserve"> </w:t>
      </w:r>
      <w:r w:rsidR="001D27E4">
        <w:t xml:space="preserve">Figure 1: (Ref 1) </w:t>
      </w:r>
      <w:r w:rsidR="00874682">
        <w:t>Sir Arthur Balfour</w:t>
      </w:r>
      <w:r>
        <w:t xml:space="preserve">, c. 1890           </w:t>
      </w:r>
      <w:r w:rsidR="001D27E4">
        <w:t>Figure 2:</w:t>
      </w:r>
      <w:r>
        <w:t xml:space="preserve"> </w:t>
      </w:r>
      <w:r w:rsidR="001D27E4">
        <w:t xml:space="preserve">(Ref 2) </w:t>
      </w:r>
      <w:proofErr w:type="gramStart"/>
      <w:r w:rsidR="001D27E4">
        <w:t>The</w:t>
      </w:r>
      <w:proofErr w:type="gramEnd"/>
      <w:r w:rsidR="001D27E4">
        <w:t xml:space="preserve"> Balfour Declaration, </w:t>
      </w:r>
      <w:r w:rsidR="00874682">
        <w:t>1917</w:t>
      </w:r>
    </w:p>
    <w:p w:rsidR="00F54F34" w:rsidRDefault="00F54F34" w:rsidP="00F54F34">
      <w:r>
        <w:t xml:space="preserve">The Balfour Declaration </w:t>
      </w:r>
      <w:r w:rsidR="008C4AF2">
        <w:t>was first published on 2</w:t>
      </w:r>
      <w:r w:rsidR="008C4AF2" w:rsidRPr="008C4AF2">
        <w:rPr>
          <w:vertAlign w:val="superscript"/>
        </w:rPr>
        <w:t>nd</w:t>
      </w:r>
      <w:r w:rsidR="008C4AF2">
        <w:t xml:space="preserve"> of November 1917 after some </w:t>
      </w:r>
      <w:r w:rsidR="001D27E4">
        <w:t xml:space="preserve">initial </w:t>
      </w:r>
      <w:r w:rsidR="008C4AF2">
        <w:t>unsuccessful draft attempts</w:t>
      </w:r>
      <w:r w:rsidR="00EF6832">
        <w:rPr>
          <w:rStyle w:val="FootnoteReference"/>
        </w:rPr>
        <w:footnoteReference w:id="3"/>
      </w:r>
      <w:r w:rsidR="00874682">
        <w:t>.</w:t>
      </w:r>
      <w:r w:rsidR="008C4AF2">
        <w:t xml:space="preserve"> It was written by Sir Arthur Balfour to the </w:t>
      </w:r>
      <w:r w:rsidR="00FF1164">
        <w:t xml:space="preserve">then </w:t>
      </w:r>
      <w:r w:rsidR="008C4AF2">
        <w:t xml:space="preserve">Jewish community leader Lord </w:t>
      </w:r>
      <w:r w:rsidR="00744BB5">
        <w:t xml:space="preserve">Walter </w:t>
      </w:r>
      <w:r w:rsidR="008C4AF2">
        <w:t xml:space="preserve">Rothschild expressing support for </w:t>
      </w:r>
      <w:r w:rsidR="00A6402E">
        <w:t>‘</w:t>
      </w:r>
      <w:r w:rsidR="008C4AF2">
        <w:t>the establishment in Palestine of a national home for the Jewish people</w:t>
      </w:r>
      <w:r w:rsidR="004B64E9">
        <w:rPr>
          <w:rStyle w:val="FootnoteReference"/>
        </w:rPr>
        <w:footnoteReference w:id="4"/>
      </w:r>
      <w:r w:rsidR="00874682">
        <w:t>.’</w:t>
      </w:r>
      <w:r w:rsidR="008C4AF2">
        <w:t xml:space="preserve"> </w:t>
      </w:r>
    </w:p>
    <w:p w:rsidR="00FF1164" w:rsidRDefault="00FF1164" w:rsidP="00F54F34">
      <w:r>
        <w:t>It came about from pressure and support from a burgeoning Zionist movement that stressed the importance of a Jewish state for Jewish people</w:t>
      </w:r>
      <w:r w:rsidR="00C50301">
        <w:t xml:space="preserve"> in the late nineteenth century</w:t>
      </w:r>
      <w:r>
        <w:t>. This</w:t>
      </w:r>
      <w:r w:rsidR="00791286">
        <w:t xml:space="preserve"> movement </w:t>
      </w:r>
      <w:r>
        <w:t>was head</w:t>
      </w:r>
      <w:r w:rsidR="00CD232D">
        <w:t>ed</w:t>
      </w:r>
      <w:r>
        <w:t xml:space="preserve"> by Theodore Her</w:t>
      </w:r>
      <w:r w:rsidR="00791286">
        <w:t xml:space="preserve">zl, known as the ‘visionary of the Jewish state’, </w:t>
      </w:r>
      <w:r>
        <w:t xml:space="preserve">and </w:t>
      </w:r>
      <w:r w:rsidR="00CD232D">
        <w:t xml:space="preserve">inspired </w:t>
      </w:r>
      <w:r w:rsidR="00791286">
        <w:t xml:space="preserve">by </w:t>
      </w:r>
      <w:r>
        <w:t xml:space="preserve">his book </w:t>
      </w:r>
      <w:r w:rsidR="00791286">
        <w:t>‘The Jewish state’</w:t>
      </w:r>
      <w:r w:rsidR="00874682">
        <w:t xml:space="preserve">, he </w:t>
      </w:r>
      <w:r w:rsidR="00E0356B">
        <w:t>contributed in</w:t>
      </w:r>
      <w:r w:rsidR="00791286">
        <w:t xml:space="preserve"> c</w:t>
      </w:r>
      <w:r w:rsidR="00E0356B">
        <w:t xml:space="preserve">onverting </w:t>
      </w:r>
      <w:r w:rsidR="00CD232D">
        <w:t xml:space="preserve">many, including Arthur </w:t>
      </w:r>
      <w:r w:rsidR="00791286">
        <w:t>Balfour to the cause of Zionism.</w:t>
      </w:r>
      <w:r w:rsidR="00181FA1">
        <w:rPr>
          <w:rStyle w:val="FootnoteReference"/>
        </w:rPr>
        <w:footnoteReference w:id="5"/>
      </w:r>
      <w:r w:rsidR="00791286">
        <w:t xml:space="preserve"> </w:t>
      </w:r>
    </w:p>
    <w:p w:rsidR="001C2D33" w:rsidRDefault="001C2D33" w:rsidP="00F54F34">
      <w:r>
        <w:t xml:space="preserve">Other </w:t>
      </w:r>
      <w:r w:rsidR="00CD232D">
        <w:t xml:space="preserve">reasons for </w:t>
      </w:r>
      <w:r>
        <w:t>its</w:t>
      </w:r>
      <w:r w:rsidR="00CD232D">
        <w:t xml:space="preserve"> importance and urgency were the fact </w:t>
      </w:r>
      <w:r>
        <w:t>Jews had been victims of growing Anti-Semitism around Europe</w:t>
      </w:r>
      <w:r w:rsidR="00100FD8">
        <w:rPr>
          <w:rStyle w:val="FootnoteReference"/>
        </w:rPr>
        <w:footnoteReference w:id="6"/>
      </w:r>
      <w:r>
        <w:t>. In addition, it was believed that the declaration would increase the possibility of Russian Jews</w:t>
      </w:r>
      <w:r w:rsidR="00E0356B">
        <w:t xml:space="preserve"> to lobby and influence</w:t>
      </w:r>
      <w:r>
        <w:t xml:space="preserve"> their government </w:t>
      </w:r>
      <w:r w:rsidR="00355288">
        <w:t>‘to keep Russia in the war’</w:t>
      </w:r>
      <w:r>
        <w:t xml:space="preserve"> and the mere fact that it was all happening </w:t>
      </w:r>
      <w:r w:rsidR="00E0356B">
        <w:t xml:space="preserve">during </w:t>
      </w:r>
      <w:r w:rsidR="001142F7">
        <w:t>WW1</w:t>
      </w:r>
      <w:r w:rsidR="00874682">
        <w:t xml:space="preserve">. The </w:t>
      </w:r>
      <w:r w:rsidR="00E630DF">
        <w:t xml:space="preserve">British </w:t>
      </w:r>
      <w:r w:rsidR="00E0356B">
        <w:t xml:space="preserve">war </w:t>
      </w:r>
      <w:r>
        <w:t>cabinet</w:t>
      </w:r>
      <w:r w:rsidR="001142F7">
        <w:t xml:space="preserve"> </w:t>
      </w:r>
      <w:r w:rsidR="00874682">
        <w:t xml:space="preserve">therefore </w:t>
      </w:r>
      <w:r w:rsidR="001142F7">
        <w:t>felt compelled and</w:t>
      </w:r>
      <w:r>
        <w:t xml:space="preserve"> </w:t>
      </w:r>
      <w:r w:rsidR="001142F7">
        <w:t>‘</w:t>
      </w:r>
      <w:r>
        <w:t>finally approved the Balfour Declaration</w:t>
      </w:r>
      <w:r w:rsidR="001142F7">
        <w:rPr>
          <w:rStyle w:val="FootnoteReference"/>
        </w:rPr>
        <w:footnoteReference w:id="7"/>
      </w:r>
      <w:r w:rsidR="001142F7">
        <w:t>.</w:t>
      </w:r>
    </w:p>
    <w:p w:rsidR="00025C98" w:rsidRDefault="004369D9" w:rsidP="00F54F34">
      <w:r>
        <w:t>The sixty five</w:t>
      </w:r>
      <w:r w:rsidR="00874682">
        <w:t xml:space="preserve"> word document </w:t>
      </w:r>
      <w:r w:rsidR="008C197D">
        <w:t xml:space="preserve">is often </w:t>
      </w:r>
      <w:r w:rsidR="00874682">
        <w:t xml:space="preserve">controversially </w:t>
      </w:r>
      <w:r w:rsidR="008C197D">
        <w:t>interpreted as ambiguous</w:t>
      </w:r>
      <w:r w:rsidR="009F6596">
        <w:t xml:space="preserve"> and vague</w:t>
      </w:r>
      <w:r w:rsidR="008C197D">
        <w:t xml:space="preserve">. </w:t>
      </w:r>
      <w:r w:rsidR="009F6596">
        <w:t xml:space="preserve">Expressions such as ‘national home’ instead of ‘national state’ are believed to have been used to </w:t>
      </w:r>
      <w:r w:rsidR="009F6596">
        <w:lastRenderedPageBreak/>
        <w:t>avoid alienating supporters and diminishing the cause and are seen to have generally left the document open to interpretation, a precedent not before seen in international law</w:t>
      </w:r>
      <w:r w:rsidR="009F6596">
        <w:rPr>
          <w:rStyle w:val="FootnoteReference"/>
        </w:rPr>
        <w:footnoteReference w:id="8"/>
      </w:r>
      <w:r w:rsidR="009F6596">
        <w:t>.</w:t>
      </w:r>
      <w:r w:rsidR="005626A3">
        <w:t xml:space="preserve"> </w:t>
      </w:r>
    </w:p>
    <w:p w:rsidR="00025C98" w:rsidRDefault="00025C98" w:rsidP="00F54F34">
      <w:r>
        <w:t>Many in the Arab world blame the Balfour Declaration for the decades old Israeli-Palestinian conflict since it lead to a complete change in the demographics of the region from one that housed less than 10 percent Jews before</w:t>
      </w:r>
      <w:r w:rsidR="004701E7">
        <w:t xml:space="preserve"> the declaration but </w:t>
      </w:r>
      <w:r>
        <w:t>consequently ‘accelerated Jewish migration from Europe’</w:t>
      </w:r>
      <w:r w:rsidR="004701E7">
        <w:t xml:space="preserve"> </w:t>
      </w:r>
      <w:r w:rsidR="00740110">
        <w:t xml:space="preserve">at astonishing levels and </w:t>
      </w:r>
      <w:r w:rsidR="004701E7">
        <w:t>which now has almost equal numbers in all the Palestinian territories combine</w:t>
      </w:r>
      <w:r w:rsidR="001D27E4">
        <w:t>d</w:t>
      </w:r>
      <w:r w:rsidR="004701E7">
        <w:rPr>
          <w:rStyle w:val="FootnoteReference"/>
        </w:rPr>
        <w:footnoteReference w:id="9"/>
      </w:r>
      <w:r w:rsidR="004701E7">
        <w:t xml:space="preserve">. </w:t>
      </w:r>
    </w:p>
    <w:p w:rsidR="00CD232D" w:rsidRDefault="00740110" w:rsidP="00F54F34">
      <w:r>
        <w:t xml:space="preserve">This is further seen as problematic as it is seen as the precursor that lead to the </w:t>
      </w:r>
      <w:r w:rsidR="00E20B81">
        <w:t xml:space="preserve">forced </w:t>
      </w:r>
      <w:r w:rsidR="001D27E4">
        <w:t>expulsion of around seven hundred and fifty thousand</w:t>
      </w:r>
      <w:r>
        <w:t xml:space="preserve"> Palestinians from their homeland i</w:t>
      </w:r>
      <w:r w:rsidR="00E20B81">
        <w:t>n what is now known as the Nakba. This</w:t>
      </w:r>
      <w:r>
        <w:t xml:space="preserve"> is commemorat</w:t>
      </w:r>
      <w:r w:rsidR="007C2BFD">
        <w:t>ed yearly by a Diaspora of ov</w:t>
      </w:r>
      <w:r w:rsidR="00E20B81">
        <w:t>er five million refugees who do no</w:t>
      </w:r>
      <w:r w:rsidR="007C2BFD">
        <w:t>t have the same ‘right to return’ that the whole premise of the Jewish return to the ‘holy land’ is based on</w:t>
      </w:r>
      <w:r w:rsidR="007C2BFD">
        <w:rPr>
          <w:rStyle w:val="FootnoteReference"/>
        </w:rPr>
        <w:footnoteReference w:id="10"/>
      </w:r>
      <w:r w:rsidR="007C2BFD">
        <w:t>. This has lead to further accusations of unequal treatment.</w:t>
      </w:r>
    </w:p>
    <w:p w:rsidR="005626A3" w:rsidRDefault="003C4D0D" w:rsidP="00F54F34">
      <w:r>
        <w:t xml:space="preserve">Though highly divisive right from the onset, ‘it was the result of a process some consider practically </w:t>
      </w:r>
      <w:r w:rsidR="00E20B81">
        <w:t>inevitable</w:t>
      </w:r>
      <w:r w:rsidR="00CD232D">
        <w:t>’</w:t>
      </w:r>
      <w:r w:rsidR="005626A3">
        <w:t xml:space="preserve"> given the circumstances to its </w:t>
      </w:r>
      <w:r w:rsidR="00E20B81">
        <w:t>build up in the late nineteenth century and the circumstances surrounding WW1</w:t>
      </w:r>
      <w:r w:rsidR="00885D7C">
        <w:rPr>
          <w:rStyle w:val="FootnoteReference"/>
        </w:rPr>
        <w:footnoteReference w:id="11"/>
      </w:r>
      <w:r w:rsidR="00E20B81">
        <w:t>.</w:t>
      </w:r>
      <w:r w:rsidR="005626A3">
        <w:t xml:space="preserve"> </w:t>
      </w:r>
      <w:r w:rsidR="00FD3DC0">
        <w:t>On the other hand, some view it as a disaster and as</w:t>
      </w:r>
      <w:r w:rsidR="00F54F34">
        <w:t xml:space="preserve"> </w:t>
      </w:r>
      <w:r w:rsidR="00A6402E">
        <w:t>‘</w:t>
      </w:r>
      <w:r w:rsidR="00F54F34">
        <w:t>one of the greatest mistakes of our imperial history</w:t>
      </w:r>
      <w:r w:rsidR="00FD3DC0">
        <w:rPr>
          <w:rStyle w:val="FootnoteReference"/>
        </w:rPr>
        <w:footnoteReference w:id="12"/>
      </w:r>
      <w:r w:rsidR="008B601F">
        <w:t>.</w:t>
      </w:r>
      <w:r w:rsidR="00A6402E">
        <w:t>’</w:t>
      </w:r>
      <w:r w:rsidR="00F409AD">
        <w:t xml:space="preserve"> </w:t>
      </w:r>
    </w:p>
    <w:p w:rsidR="00CD232D" w:rsidRDefault="00C72AB6" w:rsidP="00F54F34">
      <w:r>
        <w:t>‘</w:t>
      </w:r>
      <w:r w:rsidR="005626A3">
        <w:t xml:space="preserve">Zionists </w:t>
      </w:r>
      <w:r>
        <w:t xml:space="preserve">and many others have viewed </w:t>
      </w:r>
      <w:r w:rsidR="005626A3">
        <w:t>it as a terrific achievement</w:t>
      </w:r>
      <w:r>
        <w:t>,</w:t>
      </w:r>
      <w:r w:rsidR="005626A3">
        <w:t xml:space="preserve"> while most Arabs see it as a terrific setback</w:t>
      </w:r>
      <w:r>
        <w:t xml:space="preserve"> and as the real starting point of their dispossession and misery</w:t>
      </w:r>
      <w:r>
        <w:rPr>
          <w:rStyle w:val="FootnoteReference"/>
        </w:rPr>
        <w:footnoteReference w:id="13"/>
      </w:r>
      <w:r w:rsidR="005626A3">
        <w:t>.</w:t>
      </w:r>
      <w:r>
        <w:t>’</w:t>
      </w:r>
      <w:r w:rsidR="005626A3">
        <w:t xml:space="preserve"> </w:t>
      </w:r>
      <w:r w:rsidR="00F409AD">
        <w:t>The late British author and journalist Arthur Koestler perhaps summed up the impact of the declaration best when he stated ‘one nation solemnly promised to another nation the country of a third</w:t>
      </w:r>
      <w:r w:rsidR="00F70F7E">
        <w:rPr>
          <w:rStyle w:val="FootnoteReference"/>
        </w:rPr>
        <w:footnoteReference w:id="14"/>
      </w:r>
      <w:r w:rsidR="00F409AD">
        <w:t xml:space="preserve">.’ </w:t>
      </w:r>
    </w:p>
    <w:p w:rsidR="008B601F" w:rsidRDefault="008B601F" w:rsidP="00F54F34"/>
    <w:p w:rsidR="002658B6" w:rsidRDefault="002658B6" w:rsidP="00F54F34"/>
    <w:p w:rsidR="002658B6" w:rsidRDefault="002658B6" w:rsidP="00F54F34"/>
    <w:p w:rsidR="002658B6" w:rsidRDefault="002658B6" w:rsidP="00F54F34"/>
    <w:p w:rsidR="00ED289A" w:rsidRDefault="00ED289A" w:rsidP="00F54F34"/>
    <w:p w:rsidR="00ED289A" w:rsidRDefault="00ED289A" w:rsidP="00F54F34"/>
    <w:p w:rsidR="00ED289A" w:rsidRDefault="002658B6" w:rsidP="00ED289A">
      <w:r>
        <w:lastRenderedPageBreak/>
        <w:t>Bibliography</w:t>
      </w:r>
    </w:p>
    <w:p w:rsidR="004C775D" w:rsidRDefault="004C775D" w:rsidP="004C775D">
      <w:pPr>
        <w:pStyle w:val="FootnoteText"/>
      </w:pPr>
      <w:r>
        <w:t xml:space="preserve">Al </w:t>
      </w:r>
      <w:proofErr w:type="spellStart"/>
      <w:r>
        <w:t>Tahhan</w:t>
      </w:r>
      <w:proofErr w:type="spellEnd"/>
      <w:r>
        <w:t xml:space="preserve">, </w:t>
      </w:r>
      <w:proofErr w:type="spellStart"/>
      <w:r>
        <w:t>Zena</w:t>
      </w:r>
      <w:proofErr w:type="spellEnd"/>
      <w:r>
        <w:t xml:space="preserve">, </w:t>
      </w:r>
      <w:r w:rsidRPr="009F6596">
        <w:rPr>
          <w:i/>
        </w:rPr>
        <w:t>More than a century on: The Balfour Declaration explained</w:t>
      </w:r>
      <w:r>
        <w:t xml:space="preserve">, Al </w:t>
      </w:r>
      <w:proofErr w:type="spellStart"/>
      <w:r>
        <w:t>Jazeera</w:t>
      </w:r>
      <w:proofErr w:type="spellEnd"/>
      <w:r>
        <w:t xml:space="preserve"> News Network, &lt;</w:t>
      </w:r>
      <w:r w:rsidRPr="009F6596">
        <w:t>https://www.aljazeera.com/features/2018/11/2/more-than-a-century-on-the-balfour-declaration-explained</w:t>
      </w:r>
      <w:r>
        <w:t>&gt;</w:t>
      </w:r>
    </w:p>
    <w:p w:rsidR="004C775D" w:rsidRDefault="004C775D" w:rsidP="004C775D">
      <w:r>
        <w:t>[</w:t>
      </w:r>
      <w:proofErr w:type="gramStart"/>
      <w:r>
        <w:t>accessed</w:t>
      </w:r>
      <w:proofErr w:type="gramEnd"/>
      <w:r>
        <w:t xml:space="preserve"> 26 October 2023].</w:t>
      </w:r>
    </w:p>
    <w:p w:rsidR="004C775D" w:rsidRDefault="004C775D" w:rsidP="004C775D">
      <w:pPr>
        <w:pStyle w:val="FootnoteText"/>
      </w:pPr>
      <w:r>
        <w:t xml:space="preserve">Black, Ian, </w:t>
      </w:r>
      <w:r w:rsidRPr="006E6341">
        <w:rPr>
          <w:i/>
        </w:rPr>
        <w:t>The contested Centenary of Britain’s ‘calamitous problem’</w:t>
      </w:r>
      <w:r>
        <w:t>, The Guardian Newspaper online</w:t>
      </w:r>
      <w:proofErr w:type="gramStart"/>
      <w:r>
        <w:t>,  &lt;</w:t>
      </w:r>
      <w:proofErr w:type="gramEnd"/>
      <w:r w:rsidRPr="00FD3DC0">
        <w:t>https://www.theguardian.com/news/2017/oct/17/centenary-britains-calamitous-promise-balfour-declaration-israel-palestine</w:t>
      </w:r>
      <w:r>
        <w:t>&gt;  [accessed 26 October 2023].</w:t>
      </w:r>
    </w:p>
    <w:p w:rsidR="004C775D" w:rsidRDefault="004C775D" w:rsidP="004C775D">
      <w:pPr>
        <w:pStyle w:val="FootnoteText"/>
      </w:pPr>
    </w:p>
    <w:p w:rsidR="004C775D" w:rsidRDefault="004C775D" w:rsidP="004C775D">
      <w:pPr>
        <w:pStyle w:val="FootnoteText"/>
      </w:pPr>
      <w:r>
        <w:t xml:space="preserve">Encyclopaedia of Western Colonialism since 1450, </w:t>
      </w:r>
      <w:proofErr w:type="gramStart"/>
      <w:r>
        <w:t>The</w:t>
      </w:r>
      <w:proofErr w:type="gramEnd"/>
      <w:r>
        <w:t xml:space="preserve"> Balfour Declaration. &lt;</w:t>
      </w:r>
      <w:r w:rsidRPr="001904F6">
        <w:t>https://www.encyclopedia.com/history/encyclopedias-almanacs-transcripts-and-maps/balfour-declaration-0</w:t>
      </w:r>
      <w:r>
        <w:t>&gt; [accessed 26 October 2023].</w:t>
      </w:r>
    </w:p>
    <w:p w:rsidR="004C775D" w:rsidRDefault="004C775D" w:rsidP="002658B6"/>
    <w:p w:rsidR="004C775D" w:rsidRDefault="004C775D" w:rsidP="004C775D">
      <w:pPr>
        <w:pStyle w:val="FootnoteText"/>
      </w:pPr>
      <w:r>
        <w:t xml:space="preserve">House of Commons Library, </w:t>
      </w:r>
      <w:r w:rsidRPr="004B64E9">
        <w:rPr>
          <w:i/>
        </w:rPr>
        <w:t>Balfour Declaration</w:t>
      </w:r>
      <w:r>
        <w:t>. &lt;</w:t>
      </w:r>
      <w:r w:rsidRPr="004B64E9">
        <w:t>https://commonslibrary.parliament.uk/research-briefings/cbp-7766/</w:t>
      </w:r>
      <w:r>
        <w:t>&gt; [accessed 26 October 2023].</w:t>
      </w:r>
    </w:p>
    <w:p w:rsidR="004C775D" w:rsidRDefault="004C775D" w:rsidP="002658B6"/>
    <w:p w:rsidR="00ED289A" w:rsidRDefault="00ED289A" w:rsidP="002658B6">
      <w:proofErr w:type="gramStart"/>
      <w:r>
        <w:t xml:space="preserve">Image, </w:t>
      </w:r>
      <w:r w:rsidRPr="007C40F9">
        <w:rPr>
          <w:i/>
        </w:rPr>
        <w:t>Arthur Balfour</w:t>
      </w:r>
      <w:r>
        <w:t>, Encyclopaedia Britannica.</w:t>
      </w:r>
      <w:proofErr w:type="gramEnd"/>
      <w:r>
        <w:t xml:space="preserve"> &lt;</w:t>
      </w:r>
      <w:r w:rsidRPr="003C72BB">
        <w:t>https://www.britannica.com/biography/Arthur-James-Balfour-1st-earl-of-Balfour</w:t>
      </w:r>
      <w:r>
        <w:t>&gt; [accessed 26 October 2023].</w:t>
      </w:r>
    </w:p>
    <w:p w:rsidR="00ED289A" w:rsidRDefault="00ED289A" w:rsidP="000400F1">
      <w:pPr>
        <w:pStyle w:val="FootnoteText"/>
      </w:pPr>
      <w:proofErr w:type="gramStart"/>
      <w:r>
        <w:t xml:space="preserve">Image, </w:t>
      </w:r>
      <w:r>
        <w:rPr>
          <w:i/>
        </w:rPr>
        <w:t>Balfour Declaration 1917</w:t>
      </w:r>
      <w:r w:rsidRPr="00ED289A">
        <w:rPr>
          <w:i/>
        </w:rPr>
        <w:t>, Universal History Archive</w:t>
      </w:r>
      <w:r>
        <w:t>.</w:t>
      </w:r>
      <w:proofErr w:type="gramEnd"/>
      <w:r>
        <w:t xml:space="preserve"> &lt;</w:t>
      </w:r>
      <w:r w:rsidRPr="003C72BB">
        <w:t>https://www.theguardian.com/news/2017/oct/17/centenary-britains-calamitous-promise-balfour-declaration-israel-palestine</w:t>
      </w:r>
      <w:r>
        <w:t>&gt; [accessed 26 October 2023].</w:t>
      </w:r>
    </w:p>
    <w:p w:rsidR="000400F1" w:rsidRDefault="000400F1" w:rsidP="000400F1">
      <w:pPr>
        <w:pStyle w:val="FootnoteText"/>
      </w:pPr>
    </w:p>
    <w:p w:rsidR="004C775D" w:rsidRDefault="004C775D" w:rsidP="004C775D">
      <w:proofErr w:type="spellStart"/>
      <w:r>
        <w:t>Navot</w:t>
      </w:r>
      <w:proofErr w:type="spellEnd"/>
      <w:r>
        <w:t xml:space="preserve">, Suzie, </w:t>
      </w:r>
      <w:proofErr w:type="gramStart"/>
      <w:r w:rsidRPr="00A25673">
        <w:rPr>
          <w:i/>
        </w:rPr>
        <w:t>The</w:t>
      </w:r>
      <w:proofErr w:type="gramEnd"/>
      <w:r w:rsidRPr="00A25673">
        <w:rPr>
          <w:i/>
        </w:rPr>
        <w:t xml:space="preserve"> Constitution of Israel: A Contextual Analysis</w:t>
      </w:r>
      <w:r>
        <w:t xml:space="preserve">. </w:t>
      </w:r>
      <w:proofErr w:type="gramStart"/>
      <w:r>
        <w:t>(United Kingdom, Hart Publishing, 2014.)</w:t>
      </w:r>
      <w:proofErr w:type="gramEnd"/>
    </w:p>
    <w:p w:rsidR="002658B6" w:rsidRDefault="002658B6" w:rsidP="002658B6">
      <w:proofErr w:type="spellStart"/>
      <w:r>
        <w:t>Schneer</w:t>
      </w:r>
      <w:proofErr w:type="spellEnd"/>
      <w:r>
        <w:t xml:space="preserve">, Jonathan, </w:t>
      </w:r>
      <w:proofErr w:type="gramStart"/>
      <w:r w:rsidRPr="002658B6">
        <w:rPr>
          <w:i/>
        </w:rPr>
        <w:t>The</w:t>
      </w:r>
      <w:proofErr w:type="gramEnd"/>
      <w:r w:rsidRPr="002658B6">
        <w:rPr>
          <w:i/>
        </w:rPr>
        <w:t xml:space="preserve"> Balfour Declarat</w:t>
      </w:r>
      <w:r>
        <w:rPr>
          <w:i/>
        </w:rPr>
        <w:t>ion: The Origin</w:t>
      </w:r>
      <w:r w:rsidRPr="002658B6">
        <w:rPr>
          <w:i/>
        </w:rPr>
        <w:t>s of the Arab-Israeli Conflict</w:t>
      </w:r>
      <w:r>
        <w:t>, (Great Britain: Bloomsbury Publishing, 2010.)</w:t>
      </w:r>
    </w:p>
    <w:p w:rsidR="002B5CFD" w:rsidRDefault="002B5CFD" w:rsidP="002B5CFD">
      <w:pPr>
        <w:pStyle w:val="FootnoteText"/>
      </w:pPr>
    </w:p>
    <w:p w:rsidR="002B5CFD" w:rsidRDefault="008D4AAB" w:rsidP="008D4AAB">
      <w:r>
        <w:t xml:space="preserve">Stein, Leonard, </w:t>
      </w:r>
      <w:proofErr w:type="gramStart"/>
      <w:r w:rsidRPr="00100FD8">
        <w:rPr>
          <w:i/>
        </w:rPr>
        <w:t>The</w:t>
      </w:r>
      <w:proofErr w:type="gramEnd"/>
      <w:r w:rsidRPr="00100FD8">
        <w:rPr>
          <w:i/>
        </w:rPr>
        <w:t xml:space="preserve"> Balfour Declaration</w:t>
      </w:r>
      <w:r>
        <w:t xml:space="preserve">. </w:t>
      </w:r>
      <w:proofErr w:type="gramStart"/>
      <w:r>
        <w:t>(London, Valentine, Mitchell &amp; Co, 1961.)</w:t>
      </w:r>
      <w:proofErr w:type="gramEnd"/>
    </w:p>
    <w:p w:rsidR="0026302D" w:rsidRDefault="0026302D" w:rsidP="0026302D">
      <w:pPr>
        <w:pStyle w:val="FootnoteText"/>
      </w:pPr>
      <w:r>
        <w:t xml:space="preserve">TRT World, What’s The Balfour Declaration? And How Did It Mess Up The Middle East? </w:t>
      </w:r>
      <w:proofErr w:type="gramStart"/>
      <w:r>
        <w:t>[Video] 2017, &lt;</w:t>
      </w:r>
      <w:r w:rsidRPr="00F70F7E">
        <w:t>https://www.youtube.com/watch?v=nS9R--z00pM</w:t>
      </w:r>
      <w:r>
        <w:t>&gt; [accessed 26 October 2023].</w:t>
      </w:r>
      <w:proofErr w:type="gramEnd"/>
      <w:r>
        <w:t xml:space="preserve"> </w:t>
      </w:r>
    </w:p>
    <w:p w:rsidR="001904F6" w:rsidRDefault="001904F6" w:rsidP="0026302D">
      <w:pPr>
        <w:pStyle w:val="FootnoteText"/>
      </w:pPr>
    </w:p>
    <w:p w:rsidR="0026302D" w:rsidRDefault="0026302D" w:rsidP="00313D4F">
      <w:pPr>
        <w:pStyle w:val="FootnoteText"/>
      </w:pPr>
    </w:p>
    <w:p w:rsidR="00313D4F" w:rsidRPr="008D4AAB" w:rsidRDefault="00313D4F" w:rsidP="008D4AAB"/>
    <w:sectPr w:rsidR="00313D4F" w:rsidRPr="008D4AAB" w:rsidSect="005D3019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F2D76" w:rsidRDefault="006F2D76" w:rsidP="009C2D04">
      <w:pPr>
        <w:spacing w:after="0" w:line="240" w:lineRule="auto"/>
      </w:pPr>
      <w:r>
        <w:separator/>
      </w:r>
    </w:p>
  </w:endnote>
  <w:endnote w:type="continuationSeparator" w:id="0">
    <w:p w:rsidR="006F2D76" w:rsidRDefault="006F2D76" w:rsidP="009C2D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C2D04" w:rsidRDefault="009C2D04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F2D76" w:rsidRDefault="006F2D76" w:rsidP="009C2D04">
      <w:pPr>
        <w:spacing w:after="0" w:line="240" w:lineRule="auto"/>
      </w:pPr>
      <w:r>
        <w:separator/>
      </w:r>
    </w:p>
  </w:footnote>
  <w:footnote w:type="continuationSeparator" w:id="0">
    <w:p w:rsidR="006F2D76" w:rsidRDefault="006F2D76" w:rsidP="009C2D04">
      <w:pPr>
        <w:spacing w:after="0" w:line="240" w:lineRule="auto"/>
      </w:pPr>
      <w:r>
        <w:continuationSeparator/>
      </w:r>
    </w:p>
  </w:footnote>
  <w:footnote w:id="1">
    <w:p w:rsidR="003C72BB" w:rsidRDefault="003C72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7C40F9">
        <w:t xml:space="preserve">Image, </w:t>
      </w:r>
      <w:r w:rsidR="007C40F9" w:rsidRPr="007C40F9">
        <w:rPr>
          <w:i/>
        </w:rPr>
        <w:t>Arthur Balfour</w:t>
      </w:r>
      <w:r w:rsidR="007C40F9">
        <w:t>, Encyclopaedia Britannica.</w:t>
      </w:r>
      <w:proofErr w:type="gramEnd"/>
      <w:r w:rsidR="007C40F9">
        <w:t xml:space="preserve"> &lt;</w:t>
      </w:r>
      <w:r w:rsidRPr="003C72BB">
        <w:t>https://www.britannica.com/biography/Arthur-James-Balfour-1st-earl-of-Balfour</w:t>
      </w:r>
      <w:r w:rsidR="007C40F9">
        <w:t>&gt; [accessed 26 October 2023].</w:t>
      </w:r>
    </w:p>
  </w:footnote>
  <w:footnote w:id="2">
    <w:p w:rsidR="003C72BB" w:rsidRDefault="003C72BB">
      <w:pPr>
        <w:pStyle w:val="FootnoteText"/>
      </w:pPr>
      <w:r>
        <w:rPr>
          <w:rStyle w:val="FootnoteReference"/>
        </w:rPr>
        <w:footnoteRef/>
      </w:r>
      <w:r w:rsidR="007C40F9">
        <w:t xml:space="preserve"> </w:t>
      </w:r>
      <w:proofErr w:type="gramStart"/>
      <w:r w:rsidR="007C40F9">
        <w:t>Image,</w:t>
      </w:r>
      <w:r w:rsidR="00ED289A">
        <w:t xml:space="preserve"> </w:t>
      </w:r>
      <w:r w:rsidR="00ED289A">
        <w:rPr>
          <w:i/>
        </w:rPr>
        <w:t>Balfour Declaration 1917</w:t>
      </w:r>
      <w:r w:rsidR="00ED289A" w:rsidRPr="00ED289A">
        <w:rPr>
          <w:i/>
        </w:rPr>
        <w:t>, Universal History Archive</w:t>
      </w:r>
      <w:r w:rsidR="00ED289A">
        <w:t>.</w:t>
      </w:r>
      <w:proofErr w:type="gramEnd"/>
      <w:r>
        <w:t xml:space="preserve"> </w:t>
      </w:r>
      <w:r w:rsidR="007C40F9">
        <w:t>&lt;</w:t>
      </w:r>
      <w:r w:rsidRPr="003C72BB">
        <w:t>https://www.theguardian.com/news/2017/oct/17/centenary-britains-calamitous-promise-balfour-declaration-israel-palestine</w:t>
      </w:r>
      <w:r w:rsidR="007C40F9">
        <w:t>&gt; [accessed 26 October 2023].</w:t>
      </w:r>
    </w:p>
  </w:footnote>
  <w:footnote w:id="3">
    <w:p w:rsidR="00EF6832" w:rsidRDefault="00EF6832">
      <w:pPr>
        <w:pStyle w:val="FootnoteText"/>
      </w:pPr>
      <w:r>
        <w:rPr>
          <w:rStyle w:val="FootnoteReference"/>
        </w:rPr>
        <w:footnoteRef/>
      </w:r>
      <w:r>
        <w:t xml:space="preserve"> Jonathan Schneer, </w:t>
      </w:r>
      <w:proofErr w:type="gramStart"/>
      <w:r w:rsidRPr="002658B6">
        <w:rPr>
          <w:i/>
        </w:rPr>
        <w:t>The</w:t>
      </w:r>
      <w:proofErr w:type="gramEnd"/>
      <w:r w:rsidRPr="002658B6">
        <w:rPr>
          <w:i/>
        </w:rPr>
        <w:t xml:space="preserve"> Balfour Declarat</w:t>
      </w:r>
      <w:r w:rsidR="002658B6">
        <w:rPr>
          <w:i/>
        </w:rPr>
        <w:t>ion: The Origin</w:t>
      </w:r>
      <w:r w:rsidRPr="002658B6">
        <w:rPr>
          <w:i/>
        </w:rPr>
        <w:t>s of the Arab-Israeli Conflict</w:t>
      </w:r>
      <w:r w:rsidR="00A25673">
        <w:t>.</w:t>
      </w:r>
      <w:r>
        <w:t xml:space="preserve"> </w:t>
      </w:r>
      <w:r w:rsidR="002658B6">
        <w:t xml:space="preserve">(Great Britain: Bloomsbury Publishing, 2010), </w:t>
      </w:r>
      <w:r>
        <w:t>p. 334.</w:t>
      </w:r>
    </w:p>
  </w:footnote>
  <w:footnote w:id="4">
    <w:p w:rsidR="004B64E9" w:rsidRDefault="004B64E9">
      <w:pPr>
        <w:pStyle w:val="FootnoteText"/>
      </w:pPr>
      <w:r>
        <w:rPr>
          <w:rStyle w:val="FootnoteReference"/>
        </w:rPr>
        <w:footnoteRef/>
      </w:r>
      <w:r>
        <w:t xml:space="preserve"> House of Commons Library, </w:t>
      </w:r>
      <w:r w:rsidRPr="004B64E9">
        <w:rPr>
          <w:i/>
        </w:rPr>
        <w:t>Balfour Declaration</w:t>
      </w:r>
      <w:r w:rsidR="005404D3">
        <w:t xml:space="preserve">. </w:t>
      </w:r>
      <w:r>
        <w:t>&lt;</w:t>
      </w:r>
      <w:r w:rsidRPr="004B64E9">
        <w:t>https://commonslibrary.parliament.uk/research-briefings/cbp-7766/</w:t>
      </w:r>
      <w:r>
        <w:t>&gt; [accessed 26 October 2023].</w:t>
      </w:r>
    </w:p>
  </w:footnote>
  <w:footnote w:id="5">
    <w:p w:rsidR="00181FA1" w:rsidRDefault="00181F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5673">
        <w:t xml:space="preserve">Suzie </w:t>
      </w:r>
      <w:proofErr w:type="spellStart"/>
      <w:r w:rsidR="00A25673">
        <w:t>Navot</w:t>
      </w:r>
      <w:proofErr w:type="spellEnd"/>
      <w:r w:rsidR="00A25673">
        <w:t xml:space="preserve">, </w:t>
      </w:r>
      <w:proofErr w:type="gramStart"/>
      <w:r w:rsidR="00A25673" w:rsidRPr="00A25673">
        <w:rPr>
          <w:i/>
        </w:rPr>
        <w:t>The</w:t>
      </w:r>
      <w:proofErr w:type="gramEnd"/>
      <w:r w:rsidR="00A25673" w:rsidRPr="00A25673">
        <w:rPr>
          <w:i/>
        </w:rPr>
        <w:t xml:space="preserve"> Constitution of Israel: A Contextual Analysis</w:t>
      </w:r>
      <w:r w:rsidR="00A25673">
        <w:t xml:space="preserve">. (United Kingdom, Hart Publishing, 2014), p. 1. </w:t>
      </w:r>
    </w:p>
  </w:footnote>
  <w:footnote w:id="6">
    <w:p w:rsidR="00100FD8" w:rsidRDefault="00100FD8">
      <w:pPr>
        <w:pStyle w:val="FootnoteText"/>
      </w:pPr>
      <w:r>
        <w:rPr>
          <w:rStyle w:val="FootnoteReference"/>
        </w:rPr>
        <w:footnoteRef/>
      </w:r>
      <w:r>
        <w:t xml:space="preserve"> Leonard Stein, </w:t>
      </w:r>
      <w:proofErr w:type="gramStart"/>
      <w:r w:rsidRPr="00100FD8">
        <w:rPr>
          <w:i/>
        </w:rPr>
        <w:t>The</w:t>
      </w:r>
      <w:proofErr w:type="gramEnd"/>
      <w:r w:rsidRPr="00100FD8">
        <w:rPr>
          <w:i/>
        </w:rPr>
        <w:t xml:space="preserve"> Balfour Declaration</w:t>
      </w:r>
      <w:r>
        <w:t>. (London, Valentine, Mitchell &amp; Co, 1961), p. 42.</w:t>
      </w:r>
    </w:p>
  </w:footnote>
  <w:footnote w:id="7">
    <w:p w:rsidR="00E630DF" w:rsidRDefault="001142F7">
      <w:pPr>
        <w:pStyle w:val="FootnoteText"/>
      </w:pPr>
      <w:r>
        <w:rPr>
          <w:rStyle w:val="FootnoteReference"/>
        </w:rPr>
        <w:footnoteRef/>
      </w:r>
      <w:r>
        <w:t xml:space="preserve"> Leonard Stein, </w:t>
      </w:r>
      <w:r w:rsidRPr="001142F7">
        <w:rPr>
          <w:i/>
        </w:rPr>
        <w:t>The Balfour Declaration</w:t>
      </w:r>
      <w:r>
        <w:t xml:space="preserve">, </w:t>
      </w:r>
      <w:r w:rsidR="00E630DF">
        <w:t>p. 337-338</w:t>
      </w:r>
    </w:p>
  </w:footnote>
  <w:footnote w:id="8">
    <w:p w:rsidR="009F6596" w:rsidRDefault="009F65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Zena</w:t>
      </w:r>
      <w:proofErr w:type="spellEnd"/>
      <w:r>
        <w:t xml:space="preserve"> Al </w:t>
      </w:r>
      <w:proofErr w:type="spellStart"/>
      <w:r>
        <w:t>Tahhan</w:t>
      </w:r>
      <w:proofErr w:type="spellEnd"/>
      <w:r>
        <w:t xml:space="preserve">, </w:t>
      </w:r>
      <w:r w:rsidRPr="009F6596">
        <w:rPr>
          <w:i/>
        </w:rPr>
        <w:t>More than a century on: The Balfour Declaration explained</w:t>
      </w:r>
      <w:r>
        <w:t xml:space="preserve">, Al </w:t>
      </w:r>
      <w:proofErr w:type="spellStart"/>
      <w:r>
        <w:t>Jazeera</w:t>
      </w:r>
      <w:proofErr w:type="spellEnd"/>
      <w:r>
        <w:t xml:space="preserve"> News Network, &lt;</w:t>
      </w:r>
      <w:r w:rsidRPr="009F6596">
        <w:t>https://www.aljazeera.com/features/2018/11/2/more-than-a-century-on-the-balfour-declaration-explained</w:t>
      </w:r>
      <w:r>
        <w:t>&gt;</w:t>
      </w:r>
    </w:p>
    <w:p w:rsidR="009F6596" w:rsidRDefault="009F6596">
      <w:pPr>
        <w:pStyle w:val="FootnoteText"/>
      </w:pPr>
      <w:r>
        <w:t>[</w:t>
      </w:r>
      <w:proofErr w:type="gramStart"/>
      <w:r>
        <w:t>accessed</w:t>
      </w:r>
      <w:proofErr w:type="gramEnd"/>
      <w:r>
        <w:t xml:space="preserve"> 26 </w:t>
      </w:r>
      <w:proofErr w:type="spellStart"/>
      <w:r>
        <w:t>Ooctober</w:t>
      </w:r>
      <w:proofErr w:type="spellEnd"/>
      <w:r>
        <w:t xml:space="preserve"> 2023].</w:t>
      </w:r>
    </w:p>
  </w:footnote>
  <w:footnote w:id="9">
    <w:p w:rsidR="004701E7" w:rsidRDefault="004701E7">
      <w:pPr>
        <w:pStyle w:val="FootnoteText"/>
      </w:pPr>
      <w:r>
        <w:rPr>
          <w:rStyle w:val="FootnoteReference"/>
        </w:rPr>
        <w:footnoteRef/>
      </w:r>
      <w:r>
        <w:t xml:space="preserve"> Middle East </w:t>
      </w:r>
      <w:proofErr w:type="spellStart"/>
      <w:r>
        <w:t>Institiute</w:t>
      </w:r>
      <w:proofErr w:type="spellEnd"/>
      <w:r>
        <w:t xml:space="preserve">, </w:t>
      </w:r>
      <w:r w:rsidRPr="004701E7">
        <w:rPr>
          <w:i/>
        </w:rPr>
        <w:t>What is the Balfour Declaration?</w:t>
      </w:r>
      <w:r>
        <w:t xml:space="preserve">  </w:t>
      </w:r>
      <w:r w:rsidR="00A86B42">
        <w:t xml:space="preserve">[Video] 2017, </w:t>
      </w:r>
      <w:r>
        <w:t>&lt;</w:t>
      </w:r>
      <w:r w:rsidRPr="004701E7">
        <w:t>https://www.youtube.com/watch?v=uxJAXYOL5EI</w:t>
      </w:r>
      <w:proofErr w:type="gramStart"/>
      <w:r>
        <w:t>&gt;  [</w:t>
      </w:r>
      <w:proofErr w:type="gramEnd"/>
      <w:r>
        <w:t>accessed 26 October 2023].</w:t>
      </w:r>
    </w:p>
  </w:footnote>
  <w:footnote w:id="10">
    <w:p w:rsidR="007C2BFD" w:rsidRDefault="007C2B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Zena</w:t>
      </w:r>
      <w:proofErr w:type="spellEnd"/>
      <w:r>
        <w:t xml:space="preserve"> Al </w:t>
      </w:r>
      <w:proofErr w:type="spellStart"/>
      <w:r>
        <w:t>Tahhan</w:t>
      </w:r>
      <w:proofErr w:type="spellEnd"/>
      <w:r>
        <w:t xml:space="preserve">, </w:t>
      </w:r>
      <w:r w:rsidRPr="009F6596">
        <w:rPr>
          <w:i/>
        </w:rPr>
        <w:t>More than a century on: The Balfour Declaration explained</w:t>
      </w:r>
      <w:r>
        <w:t xml:space="preserve">, Al </w:t>
      </w:r>
      <w:proofErr w:type="spellStart"/>
      <w:r>
        <w:t>Jazeera</w:t>
      </w:r>
      <w:proofErr w:type="spellEnd"/>
      <w:r>
        <w:t xml:space="preserve"> News Network, &lt;</w:t>
      </w:r>
      <w:r w:rsidRPr="009F6596">
        <w:t>https://www.aljazeera.com/features/2018/11/2/more-than-a-century-on-the-balfour-declaration-explained</w:t>
      </w:r>
      <w:r>
        <w:t>&gt;</w:t>
      </w:r>
      <w:r w:rsidR="009E7CE2">
        <w:t xml:space="preserve"> [accessed 26 October 2023].</w:t>
      </w:r>
    </w:p>
  </w:footnote>
  <w:footnote w:id="11">
    <w:p w:rsidR="00885D7C" w:rsidRDefault="00885D7C">
      <w:pPr>
        <w:pStyle w:val="FootnoteText"/>
      </w:pPr>
      <w:r>
        <w:rPr>
          <w:rStyle w:val="FootnoteReference"/>
        </w:rPr>
        <w:footnoteRef/>
      </w:r>
      <w:r>
        <w:t xml:space="preserve"> Jonathan </w:t>
      </w:r>
      <w:proofErr w:type="spellStart"/>
      <w:r>
        <w:t>Schneer</w:t>
      </w:r>
      <w:proofErr w:type="spellEnd"/>
      <w:r>
        <w:t xml:space="preserve">, </w:t>
      </w:r>
      <w:r w:rsidRPr="002658B6">
        <w:rPr>
          <w:i/>
        </w:rPr>
        <w:t>The Balfour Declarat</w:t>
      </w:r>
      <w:r>
        <w:rPr>
          <w:i/>
        </w:rPr>
        <w:t>ion,</w:t>
      </w:r>
      <w:r>
        <w:t xml:space="preserve"> p. 365</w:t>
      </w:r>
    </w:p>
  </w:footnote>
  <w:footnote w:id="12">
    <w:p w:rsidR="00FD3DC0" w:rsidRDefault="00FD3DC0">
      <w:pPr>
        <w:pStyle w:val="FootnoteText"/>
      </w:pPr>
      <w:r>
        <w:rPr>
          <w:rStyle w:val="FootnoteReference"/>
        </w:rPr>
        <w:footnoteRef/>
      </w:r>
      <w:r>
        <w:t xml:space="preserve"> Ian Black, </w:t>
      </w:r>
      <w:r w:rsidRPr="006E6341">
        <w:rPr>
          <w:i/>
        </w:rPr>
        <w:t xml:space="preserve">The contested Centenary of </w:t>
      </w:r>
      <w:proofErr w:type="spellStart"/>
      <w:r w:rsidRPr="006E6341">
        <w:rPr>
          <w:i/>
        </w:rPr>
        <w:t>Britains</w:t>
      </w:r>
      <w:proofErr w:type="spellEnd"/>
      <w:r w:rsidRPr="006E6341">
        <w:rPr>
          <w:i/>
        </w:rPr>
        <w:t xml:space="preserve"> ‘calamitous problem’</w:t>
      </w:r>
      <w:r>
        <w:t>,</w:t>
      </w:r>
      <w:r w:rsidR="006E6341">
        <w:t xml:space="preserve"> The</w:t>
      </w:r>
      <w:r>
        <w:t xml:space="preserve"> Guardian Newspaper online</w:t>
      </w:r>
      <w:proofErr w:type="gramStart"/>
      <w:r>
        <w:t>,  &lt;</w:t>
      </w:r>
      <w:proofErr w:type="gramEnd"/>
      <w:r w:rsidRPr="00FD3DC0">
        <w:t>https://www.theguardian.com/news/2017/oct/17/centenary-britains-calamitous-promise-balfour-declaration-israel-palestine</w:t>
      </w:r>
      <w:r>
        <w:t>&gt;  [accessed 26 October 2023].</w:t>
      </w:r>
    </w:p>
  </w:footnote>
  <w:footnote w:id="13">
    <w:p w:rsidR="00C72AB6" w:rsidRDefault="00C72AB6">
      <w:pPr>
        <w:pStyle w:val="FootnoteText"/>
      </w:pPr>
      <w:r>
        <w:rPr>
          <w:rStyle w:val="FootnoteReference"/>
        </w:rPr>
        <w:footnoteRef/>
      </w:r>
      <w:r>
        <w:t xml:space="preserve"> Jonathan </w:t>
      </w:r>
      <w:proofErr w:type="spellStart"/>
      <w:r>
        <w:t>Schneer</w:t>
      </w:r>
      <w:proofErr w:type="spellEnd"/>
      <w:r>
        <w:t>, The Balfour Declaration</w:t>
      </w:r>
      <w:proofErr w:type="gramStart"/>
      <w:r>
        <w:t>,  p</w:t>
      </w:r>
      <w:proofErr w:type="gramEnd"/>
      <w:r>
        <w:t>. 374.</w:t>
      </w:r>
    </w:p>
  </w:footnote>
  <w:footnote w:id="14">
    <w:p w:rsidR="00F70F7E" w:rsidRDefault="00F70F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3D4F">
        <w:t>TR</w:t>
      </w:r>
      <w:r>
        <w:t xml:space="preserve">T World, What’s The Balfour Declaration? And How Did It Mess Up The Middle East? </w:t>
      </w:r>
      <w:proofErr w:type="gramStart"/>
      <w:r w:rsidR="009B76E7">
        <w:t>[Video] 2017,</w:t>
      </w:r>
      <w:r>
        <w:t xml:space="preserve"> &lt;</w:t>
      </w:r>
      <w:r w:rsidRPr="00F70F7E">
        <w:t>https://www.youtube.com/watch?v=nS9R--z00pM</w:t>
      </w:r>
      <w:r>
        <w:t>&gt; [accessed 26 October 2023].</w:t>
      </w:r>
      <w:proofErr w:type="gramEnd"/>
      <w:r>
        <w:t xml:space="preserve"> 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6D2859"/>
    <w:multiLevelType w:val="hybridMultilevel"/>
    <w:tmpl w:val="BE569FA6"/>
    <w:lvl w:ilvl="0" w:tplc="892274F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DB73DFF"/>
    <w:multiLevelType w:val="hybridMultilevel"/>
    <w:tmpl w:val="ACAA6EA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B5C71D1"/>
    <w:multiLevelType w:val="hybridMultilevel"/>
    <w:tmpl w:val="BAA8496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/>
  <w:rsids>
    <w:rsidRoot w:val="00D000B5"/>
    <w:rsid w:val="00007548"/>
    <w:rsid w:val="00025C98"/>
    <w:rsid w:val="000400F1"/>
    <w:rsid w:val="00100FD8"/>
    <w:rsid w:val="001142F7"/>
    <w:rsid w:val="00181FA1"/>
    <w:rsid w:val="001904F6"/>
    <w:rsid w:val="001C2D33"/>
    <w:rsid w:val="001D27E4"/>
    <w:rsid w:val="00227842"/>
    <w:rsid w:val="0026302D"/>
    <w:rsid w:val="002658B6"/>
    <w:rsid w:val="002B5CFD"/>
    <w:rsid w:val="00313D4F"/>
    <w:rsid w:val="00331427"/>
    <w:rsid w:val="00355288"/>
    <w:rsid w:val="003C4D0D"/>
    <w:rsid w:val="003C72BB"/>
    <w:rsid w:val="004369D9"/>
    <w:rsid w:val="004701E7"/>
    <w:rsid w:val="004B64E9"/>
    <w:rsid w:val="004C775D"/>
    <w:rsid w:val="005404D3"/>
    <w:rsid w:val="005626A3"/>
    <w:rsid w:val="005D3019"/>
    <w:rsid w:val="006E6341"/>
    <w:rsid w:val="006F2D76"/>
    <w:rsid w:val="00740110"/>
    <w:rsid w:val="00744BB5"/>
    <w:rsid w:val="00791286"/>
    <w:rsid w:val="007C2BFD"/>
    <w:rsid w:val="007C40F9"/>
    <w:rsid w:val="00874682"/>
    <w:rsid w:val="00884C06"/>
    <w:rsid w:val="00885D7C"/>
    <w:rsid w:val="008B601F"/>
    <w:rsid w:val="008C197D"/>
    <w:rsid w:val="008C4AF2"/>
    <w:rsid w:val="008D4AAB"/>
    <w:rsid w:val="009B76E7"/>
    <w:rsid w:val="009C2D04"/>
    <w:rsid w:val="009E7CE2"/>
    <w:rsid w:val="009F6596"/>
    <w:rsid w:val="00A25673"/>
    <w:rsid w:val="00A6402E"/>
    <w:rsid w:val="00A86B42"/>
    <w:rsid w:val="00AA078F"/>
    <w:rsid w:val="00BB1773"/>
    <w:rsid w:val="00C45208"/>
    <w:rsid w:val="00C50301"/>
    <w:rsid w:val="00C72AB6"/>
    <w:rsid w:val="00CD232D"/>
    <w:rsid w:val="00D000B5"/>
    <w:rsid w:val="00D377EF"/>
    <w:rsid w:val="00DE14A5"/>
    <w:rsid w:val="00E0356B"/>
    <w:rsid w:val="00E20B81"/>
    <w:rsid w:val="00E31E6F"/>
    <w:rsid w:val="00E630DF"/>
    <w:rsid w:val="00ED289A"/>
    <w:rsid w:val="00EF6832"/>
    <w:rsid w:val="00F409AD"/>
    <w:rsid w:val="00F54F34"/>
    <w:rsid w:val="00F70F7E"/>
    <w:rsid w:val="00F81D79"/>
    <w:rsid w:val="00FD2522"/>
    <w:rsid w:val="00FD3DC0"/>
    <w:rsid w:val="00FF116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D301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000B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00B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B177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9C2D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C2D04"/>
  </w:style>
  <w:style w:type="paragraph" w:styleId="Footer">
    <w:name w:val="footer"/>
    <w:basedOn w:val="Normal"/>
    <w:link w:val="FooterChar"/>
    <w:uiPriority w:val="99"/>
    <w:unhideWhenUsed/>
    <w:rsid w:val="009C2D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2D04"/>
  </w:style>
  <w:style w:type="character" w:styleId="Hyperlink">
    <w:name w:val="Hyperlink"/>
    <w:basedOn w:val="DefaultParagraphFont"/>
    <w:uiPriority w:val="99"/>
    <w:unhideWhenUsed/>
    <w:rsid w:val="00A6402E"/>
    <w:rPr>
      <w:color w:val="0000FF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181FA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81FA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81FA1"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035FBF4-F782-4693-BB1C-6184BA0DAB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658</TotalTime>
  <Pages>3</Pages>
  <Words>753</Words>
  <Characters>4293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5036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41</cp:revision>
  <dcterms:created xsi:type="dcterms:W3CDTF">2023-10-26T11:30:00Z</dcterms:created>
  <dcterms:modified xsi:type="dcterms:W3CDTF">2023-10-26T22:28:00Z</dcterms:modified>
</cp:coreProperties>
</file>