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C7B588" w14:textId="77777777" w:rsidR="00C94AC3" w:rsidRDefault="00C94AC3">
      <w:pPr>
        <w:spacing w:before="2200"/>
      </w:pPr>
    </w:p>
    <w:p w14:paraId="568BE3D1" w14:textId="77777777" w:rsidR="00C94AC3" w:rsidRDefault="00000000">
      <w:pPr>
        <w:spacing w:after="200"/>
        <w:jc w:val="center"/>
      </w:pPr>
      <w:r>
        <w:rPr>
          <w:b/>
          <w:bCs/>
          <w:color w:val="1F3864"/>
          <w:sz w:val="40"/>
          <w:szCs w:val="40"/>
        </w:rPr>
        <w:t>Communication, Administration and Collaborative</w:t>
      </w:r>
    </w:p>
    <w:p w14:paraId="4FAFB8B8" w14:textId="77777777" w:rsidR="00C94AC3" w:rsidRDefault="00000000">
      <w:pPr>
        <w:spacing w:after="500"/>
        <w:jc w:val="center"/>
      </w:pPr>
      <w:r>
        <w:rPr>
          <w:b/>
          <w:bCs/>
          <w:color w:val="1F3864"/>
          <w:sz w:val="40"/>
          <w:szCs w:val="40"/>
        </w:rPr>
        <w:t>Practice in Health and Social Care</w:t>
      </w:r>
    </w:p>
    <w:p w14:paraId="234E44FC" w14:textId="77777777" w:rsidR="00C94AC3" w:rsidRDefault="00000000">
      <w:pPr>
        <w:spacing w:after="200"/>
        <w:jc w:val="center"/>
      </w:pPr>
      <w:r>
        <w:rPr>
          <w:i/>
          <w:iCs/>
          <w:color w:val="2E7D74"/>
          <w:sz w:val="28"/>
          <w:szCs w:val="28"/>
        </w:rPr>
        <w:t>A Case Study Analysis: Mr Sadiq</w:t>
      </w:r>
    </w:p>
    <w:p w14:paraId="0CB93EBB" w14:textId="77777777" w:rsidR="00C94AC3" w:rsidRDefault="00C94AC3">
      <w:pPr>
        <w:pBdr>
          <w:bottom w:val="single" w:sz="6" w:space="8" w:color="2E7D74"/>
        </w:pBdr>
        <w:spacing w:after="600"/>
      </w:pPr>
    </w:p>
    <w:p w14:paraId="39A854D7" w14:textId="77777777" w:rsidR="00C94AC3" w:rsidRDefault="00000000">
      <w:pPr>
        <w:spacing w:after="120"/>
        <w:jc w:val="center"/>
      </w:pPr>
      <w:r>
        <w:rPr>
          <w:color w:val="595959"/>
        </w:rPr>
        <w:t>Component 2 — Written Assignment (1500 words)</w:t>
      </w:r>
    </w:p>
    <w:p w14:paraId="09CB8BD5" w14:textId="77777777" w:rsidR="00C94AC3" w:rsidRDefault="00000000">
      <w:pPr>
        <w:spacing w:after="120"/>
        <w:jc w:val="center"/>
      </w:pPr>
      <w:r>
        <w:rPr>
          <w:color w:val="595959"/>
        </w:rPr>
        <w:t>Module: Health and Social Care Practice</w:t>
      </w:r>
    </w:p>
    <w:p w14:paraId="60C0280B" w14:textId="6F2A7D9A" w:rsidR="00C94AC3" w:rsidRDefault="00000000">
      <w:pPr>
        <w:spacing w:after="120"/>
        <w:jc w:val="center"/>
      </w:pPr>
      <w:r>
        <w:rPr>
          <w:color w:val="595959"/>
        </w:rPr>
        <w:t xml:space="preserve">Student Name: </w:t>
      </w:r>
      <w:r w:rsidR="00F8347F">
        <w:rPr>
          <w:color w:val="595959"/>
        </w:rPr>
        <w:t>Ismail Ali</w:t>
      </w:r>
    </w:p>
    <w:p w14:paraId="46CD1AA4" w14:textId="76D8C6B2" w:rsidR="00C94AC3" w:rsidRDefault="00000000">
      <w:pPr>
        <w:spacing w:after="120"/>
        <w:jc w:val="center"/>
      </w:pPr>
      <w:r>
        <w:rPr>
          <w:color w:val="595959"/>
        </w:rPr>
        <w:t xml:space="preserve">Student Number: </w:t>
      </w:r>
      <w:r w:rsidR="00853992">
        <w:rPr>
          <w:color w:val="595959"/>
        </w:rPr>
        <w:t>2506872</w:t>
      </w:r>
    </w:p>
    <w:p w14:paraId="4583EDF4" w14:textId="77777777" w:rsidR="00C94AC3" w:rsidRDefault="00000000">
      <w:pPr>
        <w:spacing w:after="120"/>
        <w:jc w:val="center"/>
      </w:pPr>
      <w:r>
        <w:rPr>
          <w:color w:val="595959"/>
        </w:rPr>
        <w:t>Word Count: 1500 (±10%)</w:t>
      </w:r>
    </w:p>
    <w:p w14:paraId="714C8473" w14:textId="77777777" w:rsidR="00C94AC3" w:rsidRDefault="00000000">
      <w:pPr>
        <w:jc w:val="center"/>
      </w:pPr>
      <w:r>
        <w:rPr>
          <w:color w:val="595959"/>
        </w:rPr>
        <w:t>Date: [Insert Date]</w:t>
      </w:r>
    </w:p>
    <w:p w14:paraId="1F8235AD" w14:textId="77777777" w:rsidR="00C94AC3" w:rsidRDefault="00C94AC3">
      <w:pPr>
        <w:sectPr w:rsidR="00C94AC3">
          <w:pgSz w:w="11906" w:h="16838"/>
          <w:pgMar w:top="1134" w:right="1134" w:bottom="1134" w:left="1134" w:header="708" w:footer="708" w:gutter="0"/>
          <w:cols w:space="720"/>
          <w:docGrid w:linePitch="360"/>
        </w:sectPr>
      </w:pPr>
    </w:p>
    <w:p w14:paraId="6151F81A" w14:textId="77777777" w:rsidR="00C94AC3" w:rsidRDefault="00000000">
      <w:pPr>
        <w:pStyle w:val="Heading1"/>
        <w:spacing w:before="320" w:after="160"/>
      </w:pPr>
      <w:r>
        <w:rPr>
          <w:b/>
          <w:bCs/>
          <w:color w:val="1F3864"/>
        </w:rPr>
        <w:t>Introduction</w:t>
      </w:r>
    </w:p>
    <w:p w14:paraId="20A7D783" w14:textId="77777777" w:rsidR="00C94AC3" w:rsidRDefault="00000000">
      <w:pPr>
        <w:spacing w:after="200" w:line="300" w:lineRule="auto"/>
        <w:jc w:val="both"/>
      </w:pPr>
      <w:r>
        <w:t>Mr Sadiq is a 78-year-old man recovering at home following a stroke, supported by his wife, a domiciliary care agency, his GP, a district nurse and a speech and language therapist (SALT). A recent missed domiciliary visit, which delayed his prescribed medication, illustrates how lapses in everyday practice can quickly become safeguarding and quality concerns. This report examines three interconnected pillars of safe, person-centred practice as they apply to Mr Sadiq's care: effective communication, sound administrative and record-keeping practice, and collaborative multi-agency working. Each section draws on relevant legislation, including the Equality Act 2010 and the Data Protection Act 2018, together with professional guidance and a recognised communication model, to demonstrate how these principles translate into safer, more dignified care for Mr Sadiq and meaningful support for his wife as an informal carer and communication partner.</w:t>
      </w:r>
    </w:p>
    <w:p w14:paraId="62037CCD" w14:textId="77777777" w:rsidR="00C94AC3" w:rsidRDefault="00000000">
      <w:pPr>
        <w:pStyle w:val="Heading1"/>
        <w:spacing w:before="320" w:after="160"/>
      </w:pPr>
      <w:r>
        <w:rPr>
          <w:b/>
          <w:bCs/>
          <w:color w:val="1F3864"/>
        </w:rPr>
        <w:t>1. Effective Communication in Mr Sadiq's Care</w:t>
      </w:r>
    </w:p>
    <w:p w14:paraId="3AD7B7DD" w14:textId="77777777" w:rsidR="00C94AC3" w:rsidRDefault="00000000">
      <w:pPr>
        <w:spacing w:after="200" w:line="300" w:lineRule="auto"/>
        <w:jc w:val="both"/>
      </w:pPr>
      <w:r>
        <w:t>Communication sits at the centre of Mr Sadiq's care because his stroke, combined with English being his second language, creates a double barrier to being understood. Poor communication was arguably a contributing factor in the missed visit, since a clear, timely exchange of information between the agency, Mr Sadiq and his wife could have flagged the problem sooner. Effective communication is therefore not a courtesy but a patient-safety issue: misunderstood instructions around medication timing, swallowing precautions from the SALT, or blood pressure readings from the district nurse could each cause direct harm.</w:t>
      </w:r>
    </w:p>
    <w:p w14:paraId="00B568A3" w14:textId="77777777" w:rsidR="00C94AC3" w:rsidRDefault="00000000">
      <w:pPr>
        <w:spacing w:after="200" w:line="300" w:lineRule="auto"/>
        <w:jc w:val="both"/>
      </w:pPr>
      <w:r>
        <w:t>The Equality Act 2010 is central here. It identifies protected characteristics, including age and disability, both directly relevant to Mr Sadiq following his stroke, and places a duty on service providers to make reasonable adjustments so that disabled people are not disadvantaged in accessing services. In practice, this means the care team must adapt how information is given: booking professional interpreters rather than relying solely on Mrs Sadiq to translate, using translated or pictorial materials, allowing extra time in appointments, and involving the SALT's recommendations on augmentative communication aids. While language itself is not a protected characteristic, communication support for a person whose first language is Bengali intersects with both the disability duty and the Act's wider commitment to eliminating discrimination and advancing equality of opportunity, so it should be treated with equal seriousness.</w:t>
      </w:r>
    </w:p>
    <w:p w14:paraId="4A7BF667" w14:textId="77777777" w:rsidR="00C94AC3" w:rsidRDefault="00000000">
      <w:pPr>
        <w:spacing w:after="200" w:line="300" w:lineRule="auto"/>
        <w:jc w:val="both"/>
      </w:pPr>
      <w:r>
        <w:t>Mrs Sadiq's role as an intermediary is valuable but carries risk. Over-reliance on family interpretation can inadvertently silence Mr Sadiq's own voice, filter sensitive information, or create pressure for him to agree with decisions he does not fully understand. Good practice balances respect for the couple's relationship with efforts to communicate directly with Mr Sadiq wherever possible, using an independent interpreter for significant decisions such as medication changes or consent.</w:t>
      </w:r>
    </w:p>
    <w:p w14:paraId="10A8A84F" w14:textId="77777777" w:rsidR="00C94AC3" w:rsidRDefault="00000000">
      <w:pPr>
        <w:spacing w:after="200" w:line="300" w:lineRule="auto"/>
        <w:jc w:val="both"/>
      </w:pPr>
      <w:r>
        <w:t>Argyle's Communication Cycle, introduced in the teaching sessions, offers a useful model for analysing where communication can break down in this case. The cycle describes six stages: an idea occurring, the message being coded, the message being sent, the message being received, the message being decoded, and the message being understood, with feedback looping back to confirm understanding. For Mr Sadiq, breakdown is most likely at the coding and decoding stages, where language differences distort meaning, and at the feedback stage, where staff may wrongly assume a nod or smile signals understanding. Applying the model encourages practitioners to slow down, check understanding through open questions or repeat-back techniques, attend to non-verbal cues affected by the stroke, and treat feedback as an active, verified step rather than an assumption. Used consistently, the cycle helps the whole team, including domiciliary staff, build genuinely two-way communication with Mr Sadiq rather than one-directional instruction-giving.</w:t>
      </w:r>
    </w:p>
    <w:p w14:paraId="314DAA4E" w14:textId="77777777" w:rsidR="00C94AC3" w:rsidRDefault="00000000">
      <w:pPr>
        <w:pStyle w:val="Heading1"/>
        <w:spacing w:before="320" w:after="160"/>
      </w:pPr>
      <w:r>
        <w:rPr>
          <w:b/>
          <w:bCs/>
          <w:color w:val="1F3864"/>
        </w:rPr>
        <w:t>2. Administrative Skills and Record Keeping</w:t>
      </w:r>
    </w:p>
    <w:p w14:paraId="0B8B3061" w14:textId="77777777" w:rsidR="00C94AC3" w:rsidRDefault="00000000">
      <w:pPr>
        <w:spacing w:after="200" w:line="300" w:lineRule="auto"/>
        <w:jc w:val="both"/>
      </w:pPr>
      <w:r>
        <w:t>Good administrative practice is easy to overlook yet directly shapes the quality and safety of Mr Sadiq's care. The investigation into the missed visit depends entirely on accurate records: rota logs, medication administration records (MAR charts), care notes and district nurse observations together reconstruct what happened, when, and who was responsible. Without contemporaneous, accurate documentation, it becomes impossible to establish whether the missed visit was an isolated administrative error, a rota failure, or part of a wider pattern requiring safeguarding escalation.</w:t>
      </w:r>
    </w:p>
    <w:p w14:paraId="75CBBBFF" w14:textId="77777777" w:rsidR="00C94AC3" w:rsidRDefault="00000000">
      <w:pPr>
        <w:spacing w:after="200" w:line="300" w:lineRule="auto"/>
        <w:jc w:val="both"/>
      </w:pPr>
      <w:r>
        <w:t>The Data Protection Act 2018, which sits alongside the UK General Data Protection Regulation, sets out the principles that must govern Mr Sadiq's records. Information must be processed lawfully, fairly and transparently; collected for specified, legitimate purposes and not used incompatibly with those purposes; adequate, relevant and limited to what is necessary (data minimisation); accurate and kept up to date; retained no longer than necessary; and held securely with appropriate confidentiality and integrity, with the organisation accountable for demonstrating compliance. Applied to Mr Sadiq, this means the agency's records of the missed visit must be factual and unaltered, access restricted to those with a legitimate need to know, and information shared with the GP, district nurse and SALT only to the extent required for his care.</w:t>
      </w:r>
    </w:p>
    <w:p w14:paraId="23F81FC6" w14:textId="77777777" w:rsidR="00C94AC3" w:rsidRDefault="00000000">
      <w:pPr>
        <w:spacing w:after="200" w:line="300" w:lineRule="auto"/>
        <w:jc w:val="both"/>
      </w:pPr>
      <w:r>
        <w:t xml:space="preserve">This legal framework is reinforced by professional and regulatory guidance. The </w:t>
      </w:r>
      <w:proofErr w:type="spellStart"/>
      <w:r>
        <w:t>Caldicott</w:t>
      </w:r>
      <w:proofErr w:type="spellEnd"/>
      <w:r>
        <w:t xml:space="preserve"> Principles require any use of confidential information to be justified, kept to the minimum necessary, and shared only on a strict need-to-know basis, while the Nursing and Midwifery Council's Code obliges registered nurses, including the district nurse, to keep clear, accurate and contemporaneous records of all discussions and assessments. The Care Quality Commission's fundamental standard on good governance similarly requires providers to maintain complete, accurate and up-to-date records for each person using the service, and it is precisely this standard that the missed-visit investigation will test. Together, these frameworks show that record keeping is not a bureaucratic afterthought but a core professional skill: it protects Mr Sadiq by creating an accountable audit trail, supports safe handovers between the multiple professionals in his care, and provides the evidence base needed to learn from the current incident and prevent recurrence.</w:t>
      </w:r>
    </w:p>
    <w:p w14:paraId="00E7A542" w14:textId="77777777" w:rsidR="00C94AC3" w:rsidRDefault="00000000">
      <w:pPr>
        <w:pStyle w:val="Heading1"/>
        <w:spacing w:before="320" w:after="160"/>
      </w:pPr>
      <w:r>
        <w:rPr>
          <w:b/>
          <w:bCs/>
          <w:color w:val="1F3864"/>
        </w:rPr>
        <w:t>3. Collaborative Working with the Multidisciplinary Team</w:t>
      </w:r>
    </w:p>
    <w:p w14:paraId="51BB7C8A" w14:textId="77777777" w:rsidR="00C94AC3" w:rsidRDefault="00000000">
      <w:pPr>
        <w:spacing w:after="200" w:line="300" w:lineRule="auto"/>
        <w:jc w:val="both"/>
      </w:pPr>
      <w:r>
        <w:t>Mr Sadiq's care depends on close collaboration between his GP, the district nurse, domiciliary care workers and the SALT, each contributing distinct expertise around medical oversight, wound and blood-pressure monitoring, personal care and communication or swallowing support. The Care Act 2014 and Health and Social Care Act 2012 both place a duty on health and care organisations to cooperate in the interests of the people they serve, recognising that fragmented, single-agency working increases the risk of exactly the kind of gap that led to Mr Sadiq's missed medication.</w:t>
      </w:r>
    </w:p>
    <w:p w14:paraId="20A59061" w14:textId="77777777" w:rsidR="00C94AC3" w:rsidRDefault="00000000">
      <w:pPr>
        <w:spacing w:after="200" w:line="300" w:lineRule="auto"/>
        <w:jc w:val="both"/>
      </w:pPr>
      <w:r>
        <w:t>Effective collaboration is fostered through a shared, regularly reviewed care plan that all professionals and Mrs Sadiq can access, structured handover tools such as SBAR (Situation, Background, Assessment, Recommendation) between visiting professionals, a clearly identified care coordinator or single point of contact, and regular multidisciplinary case reviews to reassess Mr Sadiq's changing needs after his stroke.</w:t>
      </w:r>
    </w:p>
    <w:p w14:paraId="0AA09ACE" w14:textId="77777777" w:rsidR="00C94AC3" w:rsidRDefault="00000000">
      <w:pPr>
        <w:spacing w:after="200" w:line="300" w:lineRule="auto"/>
        <w:jc w:val="both"/>
      </w:pPr>
      <w:r>
        <w:t>Common challenges in multi-agency working include information silos between the domiciliary agency and the wider NHS-based team, inconsistent recording systems, time pressure that discourages full handovers, and differing professional priorities. The missed visit exposes several of these risks directly. Strategies to address them include investing in shared or interoperable electronic care records, establishing clear escalation protocols so a missed visit is reported and acted upon immediately rather than discovered later, and building a culture of open, blame-free reporting that encourages staff to raise concerns early, consistent with the duty of candour expected across health and social care.</w:t>
      </w:r>
    </w:p>
    <w:p w14:paraId="4E5F81D7" w14:textId="77777777" w:rsidR="00C94AC3" w:rsidRDefault="00000000">
      <w:pPr>
        <w:pStyle w:val="Heading1"/>
        <w:spacing w:before="320" w:after="160"/>
      </w:pPr>
      <w:r>
        <w:rPr>
          <w:b/>
          <w:bCs/>
          <w:color w:val="1F3864"/>
        </w:rPr>
        <w:t>Conclusion</w:t>
      </w:r>
    </w:p>
    <w:p w14:paraId="4104E701" w14:textId="77777777" w:rsidR="00C94AC3" w:rsidRDefault="00000000">
      <w:pPr>
        <w:spacing w:after="200" w:line="300" w:lineRule="auto"/>
        <w:jc w:val="both"/>
      </w:pPr>
      <w:r>
        <w:t>Mr Sadiq's case shows how communication, administration and collaborative working are not separate concerns but interlocking safeguards around a single vulnerable person. Communicating in ways that respect his language, disability and autonomy under the Equality Act 2010, supported by models such as Argyle's Communication Cycle, ensures his voice remains central to decisions about his care. Rigorous, Data Protection Act-compliant record keeping provides the accountability needed to investigate incidents such as the missed visit and to prevent recurrence. Finally, structured collaboration between the GP, district nurse, domiciliary carers and SALT, underpinned by a duty to cooperate, closes the gaps that fragmented working can create. Strengthening all three areas together offers the most reliable route to safe, dignified, person-centred care for Mr Sadiq.</w:t>
      </w:r>
    </w:p>
    <w:p w14:paraId="741ED94B" w14:textId="77777777" w:rsidR="00C94AC3" w:rsidRDefault="00000000">
      <w:r>
        <w:br w:type="page"/>
      </w:r>
    </w:p>
    <w:p w14:paraId="5E82FA78" w14:textId="77777777" w:rsidR="00C94AC3" w:rsidRDefault="00000000">
      <w:pPr>
        <w:pStyle w:val="Heading1"/>
        <w:spacing w:before="320" w:after="160"/>
      </w:pPr>
      <w:r>
        <w:rPr>
          <w:b/>
          <w:bCs/>
          <w:color w:val="1F3864"/>
        </w:rPr>
        <w:t>Reference List</w:t>
      </w:r>
    </w:p>
    <w:p w14:paraId="61CFC0E8" w14:textId="77777777" w:rsidR="00C94AC3" w:rsidRDefault="00000000">
      <w:pPr>
        <w:spacing w:after="160" w:line="280" w:lineRule="auto"/>
        <w:ind w:left="720" w:hanging="720"/>
      </w:pPr>
      <w:r>
        <w:t xml:space="preserve">Argyle, M. (1972) The Psychology of Interpersonal Behaviour. </w:t>
      </w:r>
      <w:proofErr w:type="spellStart"/>
      <w:r>
        <w:t>Harmondsworth</w:t>
      </w:r>
      <w:proofErr w:type="spellEnd"/>
      <w:r>
        <w:t>: Penguin.</w:t>
      </w:r>
    </w:p>
    <w:p w14:paraId="7A287306" w14:textId="77777777" w:rsidR="00C94AC3" w:rsidRDefault="00000000">
      <w:pPr>
        <w:spacing w:after="160" w:line="280" w:lineRule="auto"/>
        <w:ind w:left="720" w:hanging="720"/>
      </w:pPr>
      <w:r>
        <w:t>Care Act 2014. London: The Stationery Office.</w:t>
      </w:r>
    </w:p>
    <w:p w14:paraId="7CD198D9" w14:textId="77777777" w:rsidR="00C94AC3" w:rsidRDefault="00000000">
      <w:pPr>
        <w:spacing w:after="160" w:line="280" w:lineRule="auto"/>
        <w:ind w:left="720" w:hanging="720"/>
      </w:pPr>
      <w:r>
        <w:t>Care Quality Commission (2023) Regulation 17: Good Governance. Newcastle upon Tyne: CQC.</w:t>
      </w:r>
    </w:p>
    <w:p w14:paraId="0FE1BDC9" w14:textId="77777777" w:rsidR="00C94AC3" w:rsidRDefault="00000000">
      <w:pPr>
        <w:spacing w:after="160" w:line="280" w:lineRule="auto"/>
        <w:ind w:left="720" w:hanging="720"/>
      </w:pPr>
      <w:r>
        <w:t>Data Protection Act 2018. London: The Stationery Office.</w:t>
      </w:r>
    </w:p>
    <w:p w14:paraId="623A92B9" w14:textId="77777777" w:rsidR="00C94AC3" w:rsidRDefault="00000000">
      <w:pPr>
        <w:spacing w:after="160" w:line="280" w:lineRule="auto"/>
        <w:ind w:left="720" w:hanging="720"/>
      </w:pPr>
      <w:r>
        <w:t>Equality Act 2010. London: The Stationery Office.</w:t>
      </w:r>
    </w:p>
    <w:p w14:paraId="7C1BA0B7" w14:textId="77777777" w:rsidR="00C94AC3" w:rsidRDefault="00000000">
      <w:pPr>
        <w:spacing w:after="160" w:line="280" w:lineRule="auto"/>
        <w:ind w:left="720" w:hanging="720"/>
      </w:pPr>
      <w:r>
        <w:t>Health and Social Care Act 2012. London: The Stationery Office.</w:t>
      </w:r>
    </w:p>
    <w:p w14:paraId="4AF180B2" w14:textId="77777777" w:rsidR="00C94AC3" w:rsidRDefault="00000000">
      <w:pPr>
        <w:spacing w:after="160" w:line="280" w:lineRule="auto"/>
        <w:ind w:left="720" w:hanging="720"/>
      </w:pPr>
      <w:r>
        <w:t>Information Commissioner's Office (2023) Guide to the UK General Data Protection Regulation (UK GDPR). Wilmslow: ICO.</w:t>
      </w:r>
    </w:p>
    <w:p w14:paraId="2DE2FC04" w14:textId="77777777" w:rsidR="00C94AC3" w:rsidRDefault="00000000">
      <w:pPr>
        <w:spacing w:after="160" w:line="280" w:lineRule="auto"/>
        <w:ind w:left="720" w:hanging="720"/>
      </w:pPr>
      <w:r>
        <w:t xml:space="preserve">National Data Guardian (2020) The </w:t>
      </w:r>
      <w:proofErr w:type="spellStart"/>
      <w:r>
        <w:t>Caldicott</w:t>
      </w:r>
      <w:proofErr w:type="spellEnd"/>
      <w:r>
        <w:t xml:space="preserve"> Principles. London: Department of Health and Social Care.</w:t>
      </w:r>
    </w:p>
    <w:p w14:paraId="77EAE6A3" w14:textId="77777777" w:rsidR="00C94AC3" w:rsidRDefault="00000000">
      <w:pPr>
        <w:spacing w:after="160" w:line="280" w:lineRule="auto"/>
        <w:ind w:left="720" w:hanging="720"/>
      </w:pPr>
      <w:r>
        <w:t>Nursing and Midwifery Council (2018) The Code: Professional Standards of Practice and Behaviour for Nurses, Midwives and Nursing Associates. London: NMC.</w:t>
      </w:r>
    </w:p>
    <w:p w14:paraId="099EFC78" w14:textId="77777777" w:rsidR="00C94AC3" w:rsidRDefault="00000000">
      <w:pPr>
        <w:spacing w:after="160" w:line="280" w:lineRule="auto"/>
        <w:ind w:left="720" w:hanging="720"/>
      </w:pPr>
      <w:r>
        <w:t>Social Care Institute for Excellence (2021) Effective Communication and Information Sharing. London: SCIE.</w:t>
      </w:r>
    </w:p>
    <w:sectPr w:rsidR="00C94AC3">
      <w:headerReference w:type="default" r:id="rId7"/>
      <w:footerReference w:type="default" r:id="rId8"/>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4F4C3CE" w14:textId="77777777" w:rsidR="006F2904" w:rsidRDefault="006F2904">
      <w:r>
        <w:separator/>
      </w:r>
    </w:p>
  </w:endnote>
  <w:endnote w:type="continuationSeparator" w:id="0">
    <w:p w14:paraId="27F645A4" w14:textId="77777777" w:rsidR="006F2904" w:rsidRDefault="006F2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9FF8B0" w14:textId="77777777" w:rsidR="00C94AC3" w:rsidRDefault="00000000">
    <w:pPr>
      <w:jc w:val="center"/>
    </w:pPr>
    <w:r>
      <w:rPr>
        <w:color w:val="595959"/>
        <w:sz w:val="18"/>
        <w:szCs w:val="18"/>
      </w:rPr>
      <w:t xml:space="preserve">Page </w:t>
    </w:r>
    <w:r>
      <w:rPr>
        <w:color w:val="595959"/>
        <w:sz w:val="18"/>
        <w:szCs w:val="18"/>
      </w:rPr>
      <w:fldChar w:fldCharType="begin"/>
    </w:r>
    <w:r>
      <w:rPr>
        <w:color w:val="595959"/>
        <w:sz w:val="18"/>
        <w:szCs w:val="18"/>
      </w:rPr>
      <w:instrText>PAGE</w:instrText>
    </w:r>
    <w:r>
      <w:rPr>
        <w:color w:val="595959"/>
        <w:sz w:val="18"/>
        <w:szCs w:val="18"/>
      </w:rPr>
      <w:fldChar w:fldCharType="separate"/>
    </w:r>
    <w:r>
      <w:rPr>
        <w:color w:val="595959"/>
        <w:sz w:val="18"/>
        <w:szCs w:val="18"/>
      </w:rPr>
      <w:fldChar w:fldCharType="end"/>
    </w:r>
    <w:r>
      <w:rPr>
        <w:color w:val="595959"/>
        <w:sz w:val="18"/>
        <w:szCs w:val="18"/>
      </w:rPr>
      <w:t xml:space="preserve"> of </w:t>
    </w:r>
    <w:r>
      <w:rPr>
        <w:color w:val="595959"/>
        <w:sz w:val="18"/>
        <w:szCs w:val="18"/>
      </w:rPr>
      <w:fldChar w:fldCharType="begin"/>
    </w:r>
    <w:r>
      <w:rPr>
        <w:color w:val="595959"/>
        <w:sz w:val="18"/>
        <w:szCs w:val="18"/>
      </w:rPr>
      <w:instrText>NUMPAGES</w:instrText>
    </w:r>
    <w:r>
      <w:rPr>
        <w:color w:val="595959"/>
        <w:sz w:val="18"/>
        <w:szCs w:val="18"/>
      </w:rPr>
      <w:fldChar w:fldCharType="separate"/>
    </w:r>
    <w:r>
      <w:rPr>
        <w:color w:val="595959"/>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EB86AB7" w14:textId="77777777" w:rsidR="006F2904" w:rsidRDefault="006F2904">
      <w:r>
        <w:separator/>
      </w:r>
    </w:p>
  </w:footnote>
  <w:footnote w:type="continuationSeparator" w:id="0">
    <w:p w14:paraId="6B6E6304" w14:textId="77777777" w:rsidR="006F2904" w:rsidRDefault="006F29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C66570" w14:textId="77777777" w:rsidR="00C94AC3" w:rsidRDefault="00000000">
    <w:pPr>
      <w:pBdr>
        <w:bottom w:val="single" w:sz="4" w:space="4" w:color="BFBFBF"/>
      </w:pBdr>
      <w:jc w:val="right"/>
    </w:pPr>
    <w:r>
      <w:rPr>
        <w:i/>
        <w:iCs/>
        <w:color w:val="595959"/>
        <w:sz w:val="18"/>
        <w:szCs w:val="18"/>
      </w:rPr>
      <w:t>Case Study: Mr Sadiq</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F041CB"/>
    <w:multiLevelType w:val="hybridMultilevel"/>
    <w:tmpl w:val="FFFFFFFF"/>
    <w:lvl w:ilvl="0" w:tplc="B83ED6D4">
      <w:start w:val="1"/>
      <w:numFmt w:val="bullet"/>
      <w:lvlText w:val="●"/>
      <w:lvlJc w:val="left"/>
      <w:pPr>
        <w:ind w:left="720" w:hanging="360"/>
      </w:pPr>
    </w:lvl>
    <w:lvl w:ilvl="1" w:tplc="24508838">
      <w:start w:val="1"/>
      <w:numFmt w:val="bullet"/>
      <w:lvlText w:val="○"/>
      <w:lvlJc w:val="left"/>
      <w:pPr>
        <w:ind w:left="1440" w:hanging="360"/>
      </w:pPr>
    </w:lvl>
    <w:lvl w:ilvl="2" w:tplc="63B6C4AA">
      <w:start w:val="1"/>
      <w:numFmt w:val="bullet"/>
      <w:lvlText w:val="■"/>
      <w:lvlJc w:val="left"/>
      <w:pPr>
        <w:ind w:left="2160" w:hanging="360"/>
      </w:pPr>
    </w:lvl>
    <w:lvl w:ilvl="3" w:tplc="6B2E3888">
      <w:start w:val="1"/>
      <w:numFmt w:val="bullet"/>
      <w:lvlText w:val="●"/>
      <w:lvlJc w:val="left"/>
      <w:pPr>
        <w:ind w:left="2880" w:hanging="360"/>
      </w:pPr>
    </w:lvl>
    <w:lvl w:ilvl="4" w:tplc="1E7605C0">
      <w:start w:val="1"/>
      <w:numFmt w:val="bullet"/>
      <w:lvlText w:val="○"/>
      <w:lvlJc w:val="left"/>
      <w:pPr>
        <w:ind w:left="3600" w:hanging="360"/>
      </w:pPr>
    </w:lvl>
    <w:lvl w:ilvl="5" w:tplc="DAF0B80E">
      <w:start w:val="1"/>
      <w:numFmt w:val="bullet"/>
      <w:lvlText w:val="■"/>
      <w:lvlJc w:val="left"/>
      <w:pPr>
        <w:ind w:left="4320" w:hanging="360"/>
      </w:pPr>
    </w:lvl>
    <w:lvl w:ilvl="6" w:tplc="9BE661CC">
      <w:start w:val="1"/>
      <w:numFmt w:val="bullet"/>
      <w:lvlText w:val="●"/>
      <w:lvlJc w:val="left"/>
      <w:pPr>
        <w:ind w:left="5040" w:hanging="360"/>
      </w:pPr>
    </w:lvl>
    <w:lvl w:ilvl="7" w:tplc="4D984C90">
      <w:start w:val="1"/>
      <w:numFmt w:val="bullet"/>
      <w:lvlText w:val="●"/>
      <w:lvlJc w:val="left"/>
      <w:pPr>
        <w:ind w:left="5760" w:hanging="360"/>
      </w:pPr>
    </w:lvl>
    <w:lvl w:ilvl="8" w:tplc="7F6E4172">
      <w:start w:val="1"/>
      <w:numFmt w:val="bullet"/>
      <w:lvlText w:val="●"/>
      <w:lvlJc w:val="left"/>
      <w:pPr>
        <w:ind w:left="6480" w:hanging="360"/>
      </w:pPr>
    </w:lvl>
  </w:abstractNum>
  <w:abstractNum w:abstractNumId="1" w15:restartNumberingAfterBreak="0">
    <w:nsid w:val="23ED688C"/>
    <w:multiLevelType w:val="hybridMultilevel"/>
    <w:tmpl w:val="FFFFFFFF"/>
    <w:lvl w:ilvl="0" w:tplc="09124596">
      <w:start w:val="1"/>
      <w:numFmt w:val="bullet"/>
      <w:lvlText w:val="•"/>
      <w:lvlJc w:val="left"/>
      <w:pPr>
        <w:ind w:left="720" w:hanging="360"/>
      </w:pPr>
    </w:lvl>
    <w:lvl w:ilvl="1" w:tplc="E2C41442">
      <w:numFmt w:val="decimal"/>
      <w:lvlText w:val=""/>
      <w:lvlJc w:val="left"/>
    </w:lvl>
    <w:lvl w:ilvl="2" w:tplc="85A45700">
      <w:numFmt w:val="decimal"/>
      <w:lvlText w:val=""/>
      <w:lvlJc w:val="left"/>
    </w:lvl>
    <w:lvl w:ilvl="3" w:tplc="36060B6C">
      <w:numFmt w:val="decimal"/>
      <w:lvlText w:val=""/>
      <w:lvlJc w:val="left"/>
    </w:lvl>
    <w:lvl w:ilvl="4" w:tplc="94AAD0EE">
      <w:numFmt w:val="decimal"/>
      <w:lvlText w:val=""/>
      <w:lvlJc w:val="left"/>
    </w:lvl>
    <w:lvl w:ilvl="5" w:tplc="E48EDF52">
      <w:numFmt w:val="decimal"/>
      <w:lvlText w:val=""/>
      <w:lvlJc w:val="left"/>
    </w:lvl>
    <w:lvl w:ilvl="6" w:tplc="E87A1D60">
      <w:numFmt w:val="decimal"/>
      <w:lvlText w:val=""/>
      <w:lvlJc w:val="left"/>
    </w:lvl>
    <w:lvl w:ilvl="7" w:tplc="71C27B34">
      <w:numFmt w:val="decimal"/>
      <w:lvlText w:val=""/>
      <w:lvlJc w:val="left"/>
    </w:lvl>
    <w:lvl w:ilvl="8" w:tplc="1B90E056">
      <w:numFmt w:val="decimal"/>
      <w:lvlText w:val=""/>
      <w:lvlJc w:val="left"/>
    </w:lvl>
  </w:abstractNum>
  <w:num w:numId="1" w16cid:durableId="1976133846">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AC3"/>
    <w:rsid w:val="006F2904"/>
    <w:rsid w:val="00853992"/>
    <w:rsid w:val="00C94AC3"/>
    <w:rsid w:val="00F25F42"/>
    <w:rsid w:val="00F83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D7EC4D"/>
  <w15:docId w15:val="{E1FE05CF-4942-E244-99BE-C219CAB0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1559</Words>
  <Characters>8892</Characters>
  <Application>Microsoft Office Word</Application>
  <DocSecurity>0</DocSecurity>
  <Lines>74</Lines>
  <Paragraphs>20</Paragraphs>
  <ScaleCrop>false</ScaleCrop>
  <Company/>
  <LinksUpToDate>false</LinksUpToDate>
  <CharactersWithSpaces>10431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Ismail Ali (2506872)</cp:lastModifiedBy>
  <cp:revision>3</cp:revision>
  <dcterms:created xsi:type="dcterms:W3CDTF">2026-07-30T16:10:00Z</dcterms:created>
  <dcterms:modified xsi:type="dcterms:W3CDTF">2026-07-31T12:49:00Z</dcterms:modified>
</cp:coreProperties>
</file>