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4006128"/>
        <w:docPartObj>
          <w:docPartGallery w:val="Cover Pages"/>
          <w:docPartUnique/>
        </w:docPartObj>
      </w:sdtPr>
      <w:sdtEndPr>
        <w:rPr>
          <w:b/>
          <w:bCs/>
          <w:u w:val="single"/>
        </w:rPr>
      </w:sdtEndPr>
      <w:sdtContent>
        <w:p w14:paraId="22DD4FF7" w14:textId="63E82E93" w:rsidR="00BE64D8" w:rsidRDefault="00BE64D8">
          <w:r>
            <w:rPr>
              <w:noProof/>
            </w:rPr>
            <mc:AlternateContent>
              <mc:Choice Requires="wpg">
                <w:drawing>
                  <wp:anchor distT="0" distB="0" distL="114300" distR="114300" simplePos="0" relativeHeight="251659264" behindDoc="1" locked="0" layoutInCell="1" allowOverlap="1" wp14:anchorId="1F516CE8" wp14:editId="1E3A02A6">
                    <wp:simplePos x="0" y="0"/>
                    <wp:positionH relativeFrom="page">
                      <wp:align>center</wp:align>
                    </wp:positionH>
                    <wp:positionV relativeFrom="page">
                      <wp:align>center</wp:align>
                    </wp:positionV>
                    <wp:extent cx="6852920" cy="9142730"/>
                    <wp:effectExtent l="0" t="0" r="0" b="129540"/>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5C366E7" w14:textId="46EC7C46" w:rsidR="00BE64D8" w:rsidRDefault="00BE64D8">
                                      <w:pPr>
                                        <w:pStyle w:val="NoSpacing"/>
                                        <w:rPr>
                                          <w:color w:val="FFFFFF" w:themeColor="background1"/>
                                          <w:sz w:val="32"/>
                                          <w:szCs w:val="32"/>
                                        </w:rPr>
                                      </w:pPr>
                                      <w:r>
                                        <w:rPr>
                                          <w:color w:val="FFFFFF" w:themeColor="background1"/>
                                          <w:sz w:val="32"/>
                                          <w:szCs w:val="32"/>
                                        </w:rPr>
                                        <w:t>Jack Nicholas (2518249)</w:t>
                                      </w:r>
                                    </w:p>
                                  </w:sdtContent>
                                </w:sdt>
                                <w:p w14:paraId="244F83C6" w14:textId="2B90D823" w:rsidR="00BE64D8" w:rsidRDefault="00BE64D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28/11/2025</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Word count: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97F089E" w14:textId="3BD61F39" w:rsidR="00BE64D8" w:rsidRPr="002C6E84" w:rsidRDefault="00BE64D8">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108"/>
                                          <w:szCs w:val="108"/>
                                        </w:rPr>
                                      </w:pPr>
                                      <w:r w:rsidRPr="002C6E84">
                                        <w:rPr>
                                          <w:rFonts w:asciiTheme="majorHAnsi" w:eastAsiaTheme="majorEastAsia" w:hAnsiTheme="majorHAnsi" w:cstheme="majorBidi"/>
                                          <w:b/>
                                          <w:bCs/>
                                          <w:color w:val="595959" w:themeColor="text1" w:themeTint="A6"/>
                                          <w:sz w:val="108"/>
                                          <w:szCs w:val="108"/>
                                        </w:rPr>
                                        <w:t>Part 2 – An Abstract and an Annotated Bibliography</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97A4607" w14:textId="49339B46" w:rsidR="00BE64D8" w:rsidRDefault="00BE64D8">
                                      <w:pPr>
                                        <w:pStyle w:val="NoSpacing"/>
                                        <w:spacing w:before="240"/>
                                        <w:rPr>
                                          <w:caps/>
                                          <w:color w:val="44546A" w:themeColor="text2"/>
                                          <w:sz w:val="36"/>
                                          <w:szCs w:val="36"/>
                                        </w:rPr>
                                      </w:pPr>
                                      <w:r>
                                        <w:rPr>
                                          <w:caps/>
                                          <w:color w:val="44546A" w:themeColor="text2"/>
                                          <w:sz w:val="36"/>
                                          <w:szCs w:val="36"/>
                                        </w:rPr>
                                        <w:t>Theory and Methodology for the study of the ancient world – HPAH7011</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F516CE8"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" fillcolor="black [3200]" stroked="f"/>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" fillcolor="black [3200]" stroked="f">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5C366E7" w14:textId="46EC7C46" w:rsidR="00BE64D8" w:rsidRDefault="00BE64D8">
                                <w:pPr>
                                  <w:pStyle w:val="NoSpacing"/>
                                  <w:rPr>
                                    <w:color w:val="FFFFFF" w:themeColor="background1"/>
                                    <w:sz w:val="32"/>
                                    <w:szCs w:val="32"/>
                                  </w:rPr>
                                </w:pPr>
                                <w:r>
                                  <w:rPr>
                                    <w:color w:val="FFFFFF" w:themeColor="background1"/>
                                    <w:sz w:val="32"/>
                                    <w:szCs w:val="32"/>
                                  </w:rPr>
                                  <w:t>Jack Nicholas (2518249)</w:t>
                                </w:r>
                              </w:p>
                            </w:sdtContent>
                          </w:sdt>
                          <w:p w14:paraId="244F83C6" w14:textId="2B90D823" w:rsidR="00BE64D8" w:rsidRDefault="00BE64D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28/11/2025</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Word count: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97F089E" w14:textId="3BD61F39" w:rsidR="00BE64D8" w:rsidRPr="002C6E84" w:rsidRDefault="00BE64D8">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108"/>
                                    <w:szCs w:val="108"/>
                                  </w:rPr>
                                </w:pPr>
                                <w:r w:rsidRPr="002C6E84">
                                  <w:rPr>
                                    <w:rFonts w:asciiTheme="majorHAnsi" w:eastAsiaTheme="majorEastAsia" w:hAnsiTheme="majorHAnsi" w:cstheme="majorBidi"/>
                                    <w:b/>
                                    <w:bCs/>
                                    <w:color w:val="595959" w:themeColor="text1" w:themeTint="A6"/>
                                    <w:sz w:val="108"/>
                                    <w:szCs w:val="108"/>
                                  </w:rPr>
                                  <w:t>Part 2 – An Abstract and an Annotated Bibliography</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97A4607" w14:textId="49339B46" w:rsidR="00BE64D8" w:rsidRDefault="00BE64D8">
                                <w:pPr>
                                  <w:pStyle w:val="NoSpacing"/>
                                  <w:spacing w:before="240"/>
                                  <w:rPr>
                                    <w:caps/>
                                    <w:color w:val="44546A" w:themeColor="text2"/>
                                    <w:sz w:val="36"/>
                                    <w:szCs w:val="36"/>
                                  </w:rPr>
                                </w:pPr>
                                <w:r>
                                  <w:rPr>
                                    <w:caps/>
                                    <w:color w:val="44546A" w:themeColor="text2"/>
                                    <w:sz w:val="36"/>
                                    <w:szCs w:val="36"/>
                                  </w:rPr>
                                  <w:t>Theory and Methodology for the study of the ancient world – HPAH7011</w:t>
                                </w:r>
                              </w:p>
                            </w:sdtContent>
                          </w:sdt>
                        </w:txbxContent>
                      </v:textbox>
                    </v:shape>
                    <w10:wrap anchorx="page" anchory="page"/>
                  </v:group>
                </w:pict>
              </mc:Fallback>
            </mc:AlternateContent>
          </w:r>
        </w:p>
        <w:p w14:paraId="288FF554" w14:textId="509BF58D" w:rsidR="00BE64D8" w:rsidRDefault="00BE64D8">
          <w:pPr>
            <w:rPr>
              <w:b/>
              <w:bCs/>
              <w:u w:val="single"/>
            </w:rPr>
          </w:pPr>
          <w:r>
            <w:rPr>
              <w:b/>
              <w:bCs/>
              <w:u w:val="single"/>
            </w:rPr>
            <w:br w:type="page"/>
          </w:r>
        </w:p>
      </w:sdtContent>
    </w:sdt>
    <w:p w14:paraId="58D65A88" w14:textId="06EC0BDE" w:rsidR="009D5659" w:rsidRPr="00834882" w:rsidRDefault="009D5659" w:rsidP="00035DC7">
      <w:pPr>
        <w:jc w:val="both"/>
        <w:rPr>
          <w:b/>
          <w:bCs/>
          <w:u w:val="single"/>
        </w:rPr>
      </w:pPr>
      <w:r w:rsidRPr="00834882">
        <w:rPr>
          <w:b/>
          <w:bCs/>
          <w:u w:val="single"/>
        </w:rPr>
        <w:lastRenderedPageBreak/>
        <w:t>Abstract</w:t>
      </w:r>
    </w:p>
    <w:p w14:paraId="36A1E909" w14:textId="168C1934" w:rsidR="002E02C4" w:rsidRDefault="009D5659" w:rsidP="00035DC7">
      <w:pPr>
        <w:jc w:val="both"/>
      </w:pPr>
      <w:r>
        <w:t xml:space="preserve">The purpose of this </w:t>
      </w:r>
      <w:r w:rsidR="00FD120C">
        <w:t>research project</w:t>
      </w:r>
      <w:r>
        <w:t xml:space="preserve"> is to explore, compare</w:t>
      </w:r>
      <w:r w:rsidR="00294055">
        <w:t>,</w:t>
      </w:r>
      <w:r>
        <w:t xml:space="preserve"> and contrast the themes that run across judgement</w:t>
      </w:r>
      <w:r w:rsidR="00834882">
        <w:t xml:space="preserve"> after death</w:t>
      </w:r>
      <w:r>
        <w:t xml:space="preserve"> in</w:t>
      </w:r>
      <w:r w:rsidR="00834882">
        <w:t xml:space="preserve"> both</w:t>
      </w:r>
      <w:r>
        <w:t xml:space="preserve"> early Christian texts</w:t>
      </w:r>
      <w:r w:rsidR="00294055">
        <w:t>,</w:t>
      </w:r>
      <w:r w:rsidR="00834882">
        <w:t xml:space="preserve"> such as</w:t>
      </w:r>
      <w:r w:rsidR="00FD120C">
        <w:t xml:space="preserve"> the Book of</w:t>
      </w:r>
      <w:r w:rsidR="00834882">
        <w:t xml:space="preserve"> Revelations</w:t>
      </w:r>
      <w:r w:rsidR="00294055">
        <w:t>,</w:t>
      </w:r>
      <w:r w:rsidR="00834882">
        <w:t xml:space="preserve"> </w:t>
      </w:r>
      <w:r>
        <w:t xml:space="preserve">and </w:t>
      </w:r>
      <w:r w:rsidR="00834882">
        <w:t>Ancient Egyptian funerary texts</w:t>
      </w:r>
      <w:r w:rsidR="00294055">
        <w:t>,</w:t>
      </w:r>
      <w:r w:rsidR="00834882">
        <w:t xml:space="preserve"> namely </w:t>
      </w:r>
      <w:r>
        <w:t xml:space="preserve">the </w:t>
      </w:r>
      <w:r w:rsidR="00834882">
        <w:t>Book of the Dead</w:t>
      </w:r>
      <w:r>
        <w:t>. In particular</w:t>
      </w:r>
      <w:r w:rsidR="00294055">
        <w:t>,</w:t>
      </w:r>
      <w:r w:rsidR="00095A89">
        <w:t xml:space="preserve"> this study investigates</w:t>
      </w:r>
      <w:r>
        <w:t xml:space="preserve"> the way that moral accountability</w:t>
      </w:r>
      <w:r w:rsidR="00DA638D">
        <w:t xml:space="preserve"> was</w:t>
      </w:r>
      <w:r>
        <w:t xml:space="preserve"> perceived in these traditions</w:t>
      </w:r>
      <w:r w:rsidR="00294055">
        <w:t xml:space="preserve"> and belief systems</w:t>
      </w:r>
      <w:r>
        <w:t>. In early Christian texts</w:t>
      </w:r>
      <w:r w:rsidR="0092377D">
        <w:t>,</w:t>
      </w:r>
      <w:r>
        <w:t xml:space="preserve"> </w:t>
      </w:r>
      <w:r w:rsidR="00FD120C">
        <w:t>such as</w:t>
      </w:r>
      <w:r>
        <w:t xml:space="preserve"> </w:t>
      </w:r>
      <w:r w:rsidR="0092377D">
        <w:t>R</w:t>
      </w:r>
      <w:r>
        <w:t>evelations</w:t>
      </w:r>
      <w:r w:rsidR="00DA638D">
        <w:t xml:space="preserve"> it</w:t>
      </w:r>
      <w:r>
        <w:t xml:space="preserve"> </w:t>
      </w:r>
      <w:r w:rsidR="002F3DA4">
        <w:t>describes</w:t>
      </w:r>
      <w:r>
        <w:t xml:space="preserve"> and paint</w:t>
      </w:r>
      <w:r w:rsidR="002F3DA4">
        <w:t>s</w:t>
      </w:r>
      <w:r>
        <w:t xml:space="preserve"> a</w:t>
      </w:r>
      <w:r w:rsidR="00DA638D">
        <w:t>n intricate</w:t>
      </w:r>
      <w:r>
        <w:t xml:space="preserve"> picture to the reader </w:t>
      </w:r>
      <w:r w:rsidR="0092377D">
        <w:t xml:space="preserve">of </w:t>
      </w:r>
      <w:r>
        <w:t>what is to be expected in</w:t>
      </w:r>
      <w:r w:rsidR="00095A89">
        <w:t xml:space="preserve"> the</w:t>
      </w:r>
      <w:r>
        <w:t xml:space="preserve"> final judgement of the soul </w:t>
      </w:r>
      <w:r w:rsidR="00FD120C">
        <w:t>combined with</w:t>
      </w:r>
      <w:r>
        <w:t xml:space="preserve"> the assessment of the morality </w:t>
      </w:r>
      <w:r w:rsidR="00857FEA">
        <w:t xml:space="preserve">accountability </w:t>
      </w:r>
      <w:r>
        <w:t xml:space="preserve">of the </w:t>
      </w:r>
      <w:r w:rsidR="0092377D">
        <w:t>deceased</w:t>
      </w:r>
      <w:r>
        <w:t xml:space="preserve"> while alive. Similarly, the Egyptian Book of the Dead demonstrates what the de</w:t>
      </w:r>
      <w:r w:rsidR="0092377D">
        <w:t>ad</w:t>
      </w:r>
      <w:r>
        <w:t xml:space="preserve"> </w:t>
      </w:r>
      <w:r w:rsidR="00095A89">
        <w:t>are</w:t>
      </w:r>
      <w:r>
        <w:t xml:space="preserve"> to expect in the afterlife and how they will be judged</w:t>
      </w:r>
      <w:r w:rsidR="0092377D">
        <w:t xml:space="preserve">, in which </w:t>
      </w:r>
      <w:r>
        <w:t>deceased undergoes judgment through a process of weighing the heart,</w:t>
      </w:r>
      <w:r w:rsidR="00095A89">
        <w:t xml:space="preserve"> and</w:t>
      </w:r>
      <w:r>
        <w:t xml:space="preserve"> the salvation of the dead is reliant on alignment with Ma’at’s criteria on truth, justice and cosmic orde</w:t>
      </w:r>
      <w:r w:rsidR="002E02C4">
        <w:t>r</w:t>
      </w:r>
      <w:r>
        <w:t>.</w:t>
      </w:r>
    </w:p>
    <w:p w14:paraId="0CB4AF89" w14:textId="773BDF9A" w:rsidR="009D5659" w:rsidRDefault="00727FD7" w:rsidP="00035DC7">
      <w:pPr>
        <w:jc w:val="both"/>
      </w:pPr>
      <w:r>
        <w:t>When looking at the existing scholarship relating to this research</w:t>
      </w:r>
      <w:r w:rsidR="00857FEA">
        <w:t xml:space="preserve"> topic</w:t>
      </w:r>
      <w:r>
        <w:t xml:space="preserve">, this dissertation will place itself in both the analytical and philosophical aspects of study. Investigating some of the literature on the subject, some scholars and authors place themselves in the camp of distinctiveness of Christian teachings, while others argue for the distinctiveness of Egyptian eschatology. </w:t>
      </w:r>
      <w:r w:rsidR="008C369C">
        <w:t xml:space="preserve">This research aims to </w:t>
      </w:r>
      <w:r w:rsidR="00857FEA">
        <w:t xml:space="preserve">investigate </w:t>
      </w:r>
      <w:r w:rsidR="008C369C">
        <w:t>and argue for the comparative nature of both belief systems, traditions and scripture.</w:t>
      </w:r>
      <w:r w:rsidR="00FD120C">
        <w:t xml:space="preserve"> </w:t>
      </w:r>
      <w:r w:rsidR="00857FEA">
        <w:t>Furthermore,</w:t>
      </w:r>
      <w:r w:rsidR="00FD120C">
        <w:t xml:space="preserve"> it will seek to bridge the gap of understanding between these two cultures, examining the ways that divine authority, ritual practice and morality intersect while also taking into consideration how the social, cultural and historical influenced the creation of these belief systems.  </w:t>
      </w:r>
    </w:p>
    <w:p w14:paraId="7E00C857" w14:textId="56DEE437" w:rsidR="00BB3E90" w:rsidRDefault="000A6740" w:rsidP="00035DC7">
      <w:pPr>
        <w:jc w:val="both"/>
      </w:pPr>
      <w:r>
        <w:t>The main argument of this research project is</w:t>
      </w:r>
      <w:r w:rsidR="00985222">
        <w:t xml:space="preserve"> that</w:t>
      </w:r>
      <w:r>
        <w:t xml:space="preserve"> both of these</w:t>
      </w:r>
      <w:r w:rsidR="00985222">
        <w:t xml:space="preserve"> belief systems</w:t>
      </w:r>
      <w:r>
        <w:t xml:space="preserve"> share similar motifs</w:t>
      </w:r>
      <w:r w:rsidR="00985222">
        <w:t xml:space="preserve"> of</w:t>
      </w:r>
      <w:r>
        <w:t xml:space="preserve"> divine judgement and </w:t>
      </w:r>
      <w:r w:rsidR="00035DC7">
        <w:t xml:space="preserve">imagery </w:t>
      </w:r>
      <w:r w:rsidR="00985222">
        <w:t xml:space="preserve">of the </w:t>
      </w:r>
      <w:r>
        <w:t>transcendent divine beings</w:t>
      </w:r>
      <w:r w:rsidR="00035DC7">
        <w:t xml:space="preserve"> that take on</w:t>
      </w:r>
      <w:r>
        <w:t xml:space="preserve"> the roles of guardians of the afterlife. </w:t>
      </w:r>
      <w:r w:rsidR="00FF74D5">
        <w:t xml:space="preserve">In the </w:t>
      </w:r>
      <w:r w:rsidR="00035DC7">
        <w:t>B</w:t>
      </w:r>
      <w:r w:rsidR="00985222">
        <w:t>ook of R</w:t>
      </w:r>
      <w:r w:rsidR="00FF74D5">
        <w:t>evelations</w:t>
      </w:r>
      <w:r w:rsidR="00035DC7">
        <w:t>,</w:t>
      </w:r>
      <w:r w:rsidR="00FF74D5">
        <w:t xml:space="preserve"> the reader is taught that</w:t>
      </w:r>
      <w:r w:rsidR="00507FB3">
        <w:t xml:space="preserve"> </w:t>
      </w:r>
      <w:r w:rsidR="00035DC7">
        <w:t>an individual’s</w:t>
      </w:r>
      <w:r w:rsidR="00507FB3">
        <w:t xml:space="preserve"> salvation</w:t>
      </w:r>
      <w:r w:rsidR="00FF74D5">
        <w:t xml:space="preserve"> is achieved through faith and grace alone</w:t>
      </w:r>
      <w:r w:rsidR="00507FB3">
        <w:t xml:space="preserve"> through following the teachings of Jesus Christ</w:t>
      </w:r>
      <w:r w:rsidR="00FF74D5">
        <w:t xml:space="preserve">. Alternatively, in the Book of the Dead </w:t>
      </w:r>
      <w:r w:rsidR="00507FB3">
        <w:t xml:space="preserve">the route to </w:t>
      </w:r>
      <w:r w:rsidR="00FF74D5">
        <w:t xml:space="preserve">salvation is achieved through </w:t>
      </w:r>
      <w:r w:rsidR="00507FB3">
        <w:t>aligning one’s soul</w:t>
      </w:r>
      <w:r w:rsidR="00FF74D5">
        <w:t xml:space="preserve"> to Ma’at and ritual purity. The comparative approach that will be taken will not only </w:t>
      </w:r>
      <w:r w:rsidR="00507FB3">
        <w:t xml:space="preserve">demonstrate </w:t>
      </w:r>
      <w:r w:rsidR="00FF74D5">
        <w:t xml:space="preserve">the divergence between </w:t>
      </w:r>
      <w:r w:rsidR="00507FB3">
        <w:t>each tradition</w:t>
      </w:r>
      <w:r w:rsidR="00FF74D5">
        <w:t xml:space="preserve"> in regards to the foundational beliefs’ regarding salvation</w:t>
      </w:r>
      <w:r w:rsidR="00035DC7">
        <w:t>,</w:t>
      </w:r>
      <w:r w:rsidR="00FF74D5">
        <w:t xml:space="preserve"> but the</w:t>
      </w:r>
      <w:r w:rsidR="00507FB3">
        <w:t xml:space="preserve"> </w:t>
      </w:r>
      <w:r w:rsidR="0092377D">
        <w:t>similarities</w:t>
      </w:r>
      <w:r w:rsidR="00507FB3">
        <w:t xml:space="preserve"> in the continuation</w:t>
      </w:r>
      <w:r w:rsidR="00FF74D5">
        <w:t xml:space="preserve"> in the moral accountability of the deceased </w:t>
      </w:r>
      <w:r w:rsidR="002F3DA4">
        <w:t>in determining fate.</w:t>
      </w:r>
    </w:p>
    <w:p w14:paraId="476FC50B" w14:textId="44EAC4B3" w:rsidR="00833A6E" w:rsidRDefault="00BB3E90" w:rsidP="00035DC7">
      <w:pPr>
        <w:jc w:val="both"/>
      </w:pPr>
      <w:r>
        <w:t>The dissertation</w:t>
      </w:r>
      <w:r w:rsidR="002F3DA4">
        <w:t xml:space="preserve"> will</w:t>
      </w:r>
      <w:r w:rsidR="00507FB3">
        <w:t xml:space="preserve"> </w:t>
      </w:r>
      <w:r w:rsidR="002F3DA4">
        <w:t>mainly</w:t>
      </w:r>
      <w:r w:rsidR="00507FB3">
        <w:t xml:space="preserve"> use</w:t>
      </w:r>
      <w:r w:rsidR="002F3DA4">
        <w:t xml:space="preserve"> textual analysis of two primary sources, </w:t>
      </w:r>
      <w:r w:rsidR="00507FB3">
        <w:t>these be</w:t>
      </w:r>
      <w:r w:rsidR="00095A89">
        <w:t>ing</w:t>
      </w:r>
      <w:r w:rsidR="00507FB3">
        <w:t xml:space="preserve"> </w:t>
      </w:r>
      <w:r w:rsidR="002F3DA4">
        <w:t xml:space="preserve">The Book of the Dead and Revelations, </w:t>
      </w:r>
      <w:r w:rsidR="00095A89">
        <w:t xml:space="preserve">which will be analysed </w:t>
      </w:r>
      <w:r w:rsidR="002F3DA4">
        <w:t xml:space="preserve">in conjunction with </w:t>
      </w:r>
      <w:r w:rsidR="0092377D">
        <w:t xml:space="preserve">other </w:t>
      </w:r>
      <w:r w:rsidR="002F3DA4">
        <w:t>scholarship</w:t>
      </w:r>
      <w:r w:rsidR="00507FB3">
        <w:t xml:space="preserve"> and journal articles</w:t>
      </w:r>
      <w:r w:rsidR="002F3DA4">
        <w:t>. The key analysis of this</w:t>
      </w:r>
      <w:r w:rsidR="00507FB3">
        <w:t xml:space="preserve"> research</w:t>
      </w:r>
      <w:r w:rsidR="002F3DA4">
        <w:t xml:space="preserve"> project will be focusing on the </w:t>
      </w:r>
      <w:r w:rsidR="002F3DA4" w:rsidRPr="00095A89">
        <w:t>weighing of the heart</w:t>
      </w:r>
      <w:r w:rsidR="00507FB3">
        <w:t xml:space="preserve"> process</w:t>
      </w:r>
      <w:r w:rsidR="002F3DA4">
        <w:t xml:space="preserve"> in the Book of the Dead and </w:t>
      </w:r>
      <w:r w:rsidR="002F3DA4" w:rsidRPr="00095A89">
        <w:t>the Book of life</w:t>
      </w:r>
      <w:r w:rsidR="002F3DA4">
        <w:t xml:space="preserve"> in Revelation in which </w:t>
      </w:r>
      <w:r w:rsidR="004E6BB7">
        <w:t>God</w:t>
      </w:r>
      <w:r w:rsidR="002F3DA4">
        <w:t xml:space="preserve"> records</w:t>
      </w:r>
      <w:r w:rsidR="00507FB3">
        <w:t xml:space="preserve"> which souls</w:t>
      </w:r>
      <w:r w:rsidR="002F3DA4">
        <w:t xml:space="preserve"> has followed</w:t>
      </w:r>
      <w:r w:rsidR="0092377D">
        <w:t xml:space="preserve"> teachings</w:t>
      </w:r>
      <w:r w:rsidR="00507FB3">
        <w:t xml:space="preserve"> and those who have not</w:t>
      </w:r>
      <w:r w:rsidR="002F3DA4">
        <w:t>.</w:t>
      </w:r>
      <w:r w:rsidR="00270FC4">
        <w:t xml:space="preserve"> Comparisons will also be made </w:t>
      </w:r>
      <w:r w:rsidR="00507FB3">
        <w:t>in</w:t>
      </w:r>
      <w:r w:rsidR="00834882">
        <w:t xml:space="preserve"> regards to spi</w:t>
      </w:r>
      <w:r w:rsidR="00095A89">
        <w:t>rits</w:t>
      </w:r>
      <w:r w:rsidR="00834882">
        <w:t>, with the Ancient Egyptians having demons and g</w:t>
      </w:r>
      <w:r w:rsidR="00035DC7">
        <w:t xml:space="preserve">uardians </w:t>
      </w:r>
      <w:r w:rsidR="00834882">
        <w:t>and Christianity with angels, demons and Satan</w:t>
      </w:r>
      <w:r w:rsidR="00507FB3">
        <w:t xml:space="preserve">, both relating to gatekeepers of the afterlife. </w:t>
      </w:r>
    </w:p>
    <w:p w14:paraId="240B7DCD" w14:textId="7E084ABE" w:rsidR="00D51A94" w:rsidRDefault="00D51A94" w:rsidP="00035DC7">
      <w:pPr>
        <w:jc w:val="both"/>
      </w:pPr>
      <w:r>
        <w:t xml:space="preserve">This research hopes to contribute to the current literature and scholarship by examining how the Book of the dead and early Christian texts such as the Book of Revelations compare and share similar motifs with the main aim of showing cultural continuity through the different traditions. This study will aim to highlight both the divergence of theology and how both belief systems share the same foundations of moral accountability and how in turn it decides divine judgement. </w:t>
      </w:r>
      <w:r w:rsidR="00035DC7">
        <w:t>U</w:t>
      </w:r>
      <w:r w:rsidR="00577748">
        <w:t>ltimately</w:t>
      </w:r>
      <w:r w:rsidR="00035DC7">
        <w:t>, it</w:t>
      </w:r>
      <w:r w:rsidR="00577748">
        <w:t xml:space="preserve"> aims to identify and bring to the forefront the shared cultural values and beliefs pertaining to morality, justice and the afterlife. </w:t>
      </w:r>
    </w:p>
    <w:p w14:paraId="05545B61" w14:textId="77777777" w:rsidR="00035DC7" w:rsidRDefault="00035DC7" w:rsidP="00D51A94"/>
    <w:p w14:paraId="57B91BAC" w14:textId="77777777" w:rsidR="00035DC7" w:rsidRDefault="00035DC7" w:rsidP="00D51A94"/>
    <w:p w14:paraId="622570CB" w14:textId="1B52AF4D" w:rsidR="002F3DA4" w:rsidRPr="00DA638D" w:rsidRDefault="00DA638D">
      <w:pPr>
        <w:rPr>
          <w:b/>
          <w:bCs/>
          <w:u w:val="single"/>
        </w:rPr>
      </w:pPr>
      <w:r w:rsidRPr="00DA638D">
        <w:rPr>
          <w:b/>
          <w:bCs/>
          <w:u w:val="single"/>
        </w:rPr>
        <w:lastRenderedPageBreak/>
        <w:t xml:space="preserve">Annotated Bibliography </w:t>
      </w:r>
    </w:p>
    <w:p w14:paraId="774D2936" w14:textId="74773614" w:rsidR="009A3713" w:rsidRPr="009A3713" w:rsidRDefault="00DA638D">
      <w:pPr>
        <w:rPr>
          <w:b/>
          <w:bCs/>
        </w:rPr>
      </w:pPr>
      <w:r w:rsidRPr="009A3713">
        <w:rPr>
          <w:b/>
          <w:bCs/>
        </w:rPr>
        <w:t>Hurtado, L.W. (2003). Lord Jesus Christ: Devotion to Jesus in Earliest Christianity. Grand Rapids, Mich.: W.B. Eerdmans Pub. Co.</w:t>
      </w:r>
    </w:p>
    <w:p w14:paraId="4C423FA9" w14:textId="2E1A7017" w:rsidR="009A3713" w:rsidRDefault="009A3713" w:rsidP="00035DC7">
      <w:pPr>
        <w:jc w:val="both"/>
      </w:pPr>
      <w:r>
        <w:t>In</w:t>
      </w:r>
      <w:r w:rsidR="002C6E84">
        <w:t xml:space="preserve"> this literature by Larry Hurtado an American theologian</w:t>
      </w:r>
      <w:r>
        <w:t xml:space="preserve">, the author discusses the evolution within early </w:t>
      </w:r>
      <w:r w:rsidR="00C675C0">
        <w:t>Christianity</w:t>
      </w:r>
      <w:r>
        <w:t xml:space="preserve"> in regards to </w:t>
      </w:r>
      <w:r w:rsidR="002C6E84">
        <w:t xml:space="preserve">the </w:t>
      </w:r>
      <w:r>
        <w:t xml:space="preserve">devotion to Jesus, especially focusing on the eschatological aspect of the worship. The context of the text develops on the position that early </w:t>
      </w:r>
      <w:r w:rsidR="002C6E84">
        <w:t>the Christians</w:t>
      </w:r>
      <w:r>
        <w:t xml:space="preserve"> and beyond</w:t>
      </w:r>
      <w:r w:rsidR="00C675C0">
        <w:t>,</w:t>
      </w:r>
      <w:r>
        <w:t xml:space="preserve"> held</w:t>
      </w:r>
      <w:r w:rsidR="002C6E84">
        <w:t xml:space="preserve"> the belief and following of </w:t>
      </w:r>
      <w:r>
        <w:t xml:space="preserve">Jesus Christ </w:t>
      </w:r>
      <w:r w:rsidR="002C6E84">
        <w:t xml:space="preserve">was the </w:t>
      </w:r>
      <w:r>
        <w:t>personification of judgement</w:t>
      </w:r>
      <w:r w:rsidR="002C6E84">
        <w:t>, t</w:t>
      </w:r>
      <w:r>
        <w:t xml:space="preserve">his belief system is a contrasting shift away from the ancient Egyptian </w:t>
      </w:r>
      <w:r w:rsidR="00095A89">
        <w:t xml:space="preserve">tradition emphasising ritual purity instead. </w:t>
      </w:r>
      <w:r>
        <w:t xml:space="preserve"> </w:t>
      </w:r>
    </w:p>
    <w:p w14:paraId="57C793D2" w14:textId="2134DCE5" w:rsidR="009A3713" w:rsidRDefault="00FC48A1" w:rsidP="00035DC7">
      <w:pPr>
        <w:jc w:val="both"/>
      </w:pPr>
      <w:r>
        <w:t>T</w:t>
      </w:r>
      <w:r w:rsidR="009A3713">
        <w:t>he discussion of sonship relating to Jesus further develops this understanding. “Divine sonship does not function as a way of expressing divinity or of justifying worship of him, but instead primarily expresses Jesus’ unique standing and intimate favour with God, and God’s direct involvement in Jesus’ redemptive work</w:t>
      </w:r>
      <w:r w:rsidR="007705C5">
        <w:t xml:space="preserve">.” </w:t>
      </w:r>
      <w:r>
        <w:t>Hurtado’s writing is good at highlighting the differences and uniqueness</w:t>
      </w:r>
      <w:r w:rsidR="002C6E84">
        <w:t xml:space="preserve"> of Christian belief systems</w:t>
      </w:r>
      <w:r>
        <w:t xml:space="preserve"> compared with older traditions, specifically </w:t>
      </w:r>
      <w:r w:rsidR="005B307D">
        <w:t xml:space="preserve">the </w:t>
      </w:r>
      <w:r>
        <w:t>Ancient Egyptian</w:t>
      </w:r>
      <w:r w:rsidR="005B307D">
        <w:t xml:space="preserve"> religious structures which will be important for this research</w:t>
      </w:r>
      <w:r>
        <w:t xml:space="preserve">. For this dissertation, this </w:t>
      </w:r>
      <w:r w:rsidR="005B307D">
        <w:t xml:space="preserve">literature </w:t>
      </w:r>
      <w:r>
        <w:t xml:space="preserve">will be used </w:t>
      </w:r>
      <w:r w:rsidR="005B307D">
        <w:t>to develop</w:t>
      </w:r>
      <w:r>
        <w:t xml:space="preserve"> the Christian side and aspect of the comparison and analysis. </w:t>
      </w:r>
    </w:p>
    <w:p w14:paraId="1C77AF50" w14:textId="2D2D9CDD" w:rsidR="00DA206F" w:rsidRDefault="00EC46CB" w:rsidP="00035DC7">
      <w:pPr>
        <w:jc w:val="both"/>
      </w:pPr>
      <w:r>
        <w:t xml:space="preserve">This </w:t>
      </w:r>
      <w:r w:rsidR="005B307D">
        <w:t>literature</w:t>
      </w:r>
      <w:r>
        <w:t xml:space="preserve"> does not directly discuss judgement after death </w:t>
      </w:r>
      <w:r w:rsidR="00DC3234">
        <w:t>however;</w:t>
      </w:r>
      <w:r>
        <w:t xml:space="preserve"> it will aid in the discussion of the development of Christian traditions</w:t>
      </w:r>
      <w:r w:rsidR="005B307D">
        <w:t xml:space="preserve"> and theology</w:t>
      </w:r>
      <w:r>
        <w:t>. The development of traditions is important to this research as it allows for the comparison to earlier belief systems</w:t>
      </w:r>
      <w:r w:rsidR="005B307D">
        <w:t xml:space="preserve"> and culture</w:t>
      </w:r>
      <w:r>
        <w:t xml:space="preserve">, in this case the </w:t>
      </w:r>
      <w:r w:rsidR="005B307D">
        <w:t xml:space="preserve">ancient Egyptians and </w:t>
      </w:r>
      <w:r>
        <w:t xml:space="preserve">Book of the Dead. </w:t>
      </w:r>
      <w:r w:rsidR="005B307D">
        <w:t xml:space="preserve">In </w:t>
      </w:r>
      <w:r>
        <w:t>looking at the evolution of morality and accountability</w:t>
      </w:r>
      <w:r w:rsidR="005B307D">
        <w:t>,</w:t>
      </w:r>
      <w:r>
        <w:t xml:space="preserve"> the research will be able to discuss whether </w:t>
      </w:r>
      <w:r w:rsidR="00DC3234">
        <w:t xml:space="preserve">eschatology in Christianity has been reinterpreted or </w:t>
      </w:r>
      <w:r w:rsidR="005B307D">
        <w:t xml:space="preserve">has possibly evolved or </w:t>
      </w:r>
      <w:r w:rsidR="00DC3234">
        <w:t xml:space="preserve">diverged from an older source. </w:t>
      </w:r>
      <w:r>
        <w:t xml:space="preserve"> </w:t>
      </w:r>
    </w:p>
    <w:p w14:paraId="0037C2E9" w14:textId="2C25A9B7" w:rsidR="00F3710E" w:rsidRDefault="00DA206F" w:rsidP="00035DC7">
      <w:pPr>
        <w:jc w:val="both"/>
      </w:pPr>
      <w:r>
        <w:t>A</w:t>
      </w:r>
      <w:r w:rsidR="00F3710E">
        <w:t xml:space="preserve">s a source </w:t>
      </w:r>
      <w:r>
        <w:t xml:space="preserve">for </w:t>
      </w:r>
      <w:r w:rsidR="00F3710E">
        <w:t>develop</w:t>
      </w:r>
      <w:r>
        <w:t>ing</w:t>
      </w:r>
      <w:r w:rsidR="00F3710E">
        <w:t xml:space="preserve"> the foundations, explanations</w:t>
      </w:r>
      <w:r>
        <w:t xml:space="preserve"> and analysis of Christian beliefs, particularly </w:t>
      </w:r>
      <w:r w:rsidR="005B307D">
        <w:t xml:space="preserve">the </w:t>
      </w:r>
      <w:r>
        <w:t xml:space="preserve">devotion to Jesus Christ </w:t>
      </w:r>
      <w:r w:rsidR="005B307D">
        <w:t xml:space="preserve">and moral accountability </w:t>
      </w:r>
      <w:r w:rsidR="00F3710E">
        <w:t>in Christia</w:t>
      </w:r>
      <w:r>
        <w:t>nity</w:t>
      </w:r>
      <w:r w:rsidR="00F3710E">
        <w:t xml:space="preserve">, the book will serve as a good source of information for </w:t>
      </w:r>
      <w:r w:rsidR="00C219CE">
        <w:t>the foundation of this research</w:t>
      </w:r>
      <w:r w:rsidR="00F3710E">
        <w:t xml:space="preserve">. Additionally, </w:t>
      </w:r>
      <w:r>
        <w:t>Hurtado’s</w:t>
      </w:r>
      <w:r w:rsidR="00F3710E">
        <w:t xml:space="preserve"> </w:t>
      </w:r>
      <w:r>
        <w:t xml:space="preserve">expert analysis of early Christian texts and historical methodology provides the framework to develop arguments, while at the same time leaving space for continued debates into the interpretation into early Christian traditions. </w:t>
      </w:r>
      <w:r w:rsidR="00F3710E">
        <w:t xml:space="preserve"> </w:t>
      </w:r>
    </w:p>
    <w:p w14:paraId="37D83E72" w14:textId="4601EB7A" w:rsidR="00DC3234" w:rsidRDefault="00C52B2A" w:rsidP="00035DC7">
      <w:pPr>
        <w:jc w:val="both"/>
      </w:pPr>
      <w:r>
        <w:t xml:space="preserve">In relation to the </w:t>
      </w:r>
      <w:r w:rsidR="009832A8">
        <w:t>proposed</w:t>
      </w:r>
      <w:r>
        <w:t xml:space="preserve"> research topic</w:t>
      </w:r>
      <w:r w:rsidR="00C219CE">
        <w:t>,</w:t>
      </w:r>
      <w:r>
        <w:t xml:space="preserve"> this source examines and emphasises the role of redemption and moral accountability. It does not </w:t>
      </w:r>
      <w:r w:rsidR="00C219CE">
        <w:t>particularly</w:t>
      </w:r>
      <w:r>
        <w:t xml:space="preserve"> discuss or address divine judgment in the afterlife but instead provides a foundation for understanding the Christian </w:t>
      </w:r>
      <w:r w:rsidR="00C219CE">
        <w:t>traditions</w:t>
      </w:r>
      <w:r>
        <w:t xml:space="preserve"> and moral framework, it will crucially allow for comparative analysis with the Book of the Dead. </w:t>
      </w:r>
    </w:p>
    <w:p w14:paraId="17250B86" w14:textId="65292974" w:rsidR="0098340D" w:rsidRDefault="0098340D" w:rsidP="0098340D">
      <w:pPr>
        <w:rPr>
          <w:b/>
          <w:bCs/>
        </w:rPr>
      </w:pPr>
      <w:r w:rsidRPr="00E55795">
        <w:rPr>
          <w:b/>
          <w:bCs/>
        </w:rPr>
        <w:t xml:space="preserve">Faulkner, R.O. (1972) </w:t>
      </w:r>
      <w:r w:rsidRPr="0098340D">
        <w:rPr>
          <w:b/>
          <w:bCs/>
        </w:rPr>
        <w:t>The Egyptian Book of the Dead: The Book of Going Forth by Day</w:t>
      </w:r>
      <w:r w:rsidRPr="00E55795">
        <w:rPr>
          <w:b/>
          <w:bCs/>
        </w:rPr>
        <w:t>. London: British Museum Publications.</w:t>
      </w:r>
    </w:p>
    <w:p w14:paraId="5EC75254" w14:textId="1AEB5D1D" w:rsidR="0098340D" w:rsidRDefault="00C675C0" w:rsidP="00035DC7">
      <w:pPr>
        <w:jc w:val="both"/>
      </w:pPr>
      <w:r>
        <w:t>In this text</w:t>
      </w:r>
      <w:r w:rsidR="0098340D">
        <w:t xml:space="preserve">, Faulkner’s </w:t>
      </w:r>
      <w:r>
        <w:t>translation work</w:t>
      </w:r>
      <w:r w:rsidR="0098340D">
        <w:t xml:space="preserve"> is seen by many as one of the best examples relating to</w:t>
      </w:r>
      <w:r>
        <w:t xml:space="preserve"> the Egyptian Book of the Dead</w:t>
      </w:r>
      <w:r w:rsidR="0098340D">
        <w:t>. “Dr Faulkner’s work is widely acknowledged as containing the most reliable translation of this fascinating collection if spells, prayers, and incantations.” (The American University in Cairo Press, 2024)</w:t>
      </w:r>
      <w:r>
        <w:t>. In the texts the reader is introduced to purification rites, purity in Ancient Egyptian religious tradition is one of the most important aspects in the preparation</w:t>
      </w:r>
      <w:r w:rsidR="00C219CE">
        <w:t xml:space="preserve"> of the dead</w:t>
      </w:r>
      <w:r>
        <w:t xml:space="preserve"> and transition into the afterlife. These rites were </w:t>
      </w:r>
      <w:r w:rsidR="004874DE">
        <w:t>viewed</w:t>
      </w:r>
      <w:r>
        <w:t xml:space="preserve"> as essential to render the dead permitted entry into the afterlife</w:t>
      </w:r>
      <w:r w:rsidR="004874DE">
        <w:t xml:space="preserve"> and to be best prepared for judgement</w:t>
      </w:r>
      <w:r w:rsidR="00C219CE">
        <w:t>.</w:t>
      </w:r>
    </w:p>
    <w:p w14:paraId="6383845C" w14:textId="49EE92F7" w:rsidR="0098340D" w:rsidRDefault="0098340D" w:rsidP="00035DC7">
      <w:pPr>
        <w:jc w:val="both"/>
      </w:pPr>
      <w:r>
        <w:t xml:space="preserve">Faulkner’s translation offers the modern reader the ability to understand and analyse </w:t>
      </w:r>
      <w:r w:rsidR="008A6057">
        <w:t>the primary spells</w:t>
      </w:r>
      <w:r w:rsidR="002D72AD">
        <w:t xml:space="preserve"> and </w:t>
      </w:r>
      <w:r w:rsidR="008A6057">
        <w:t xml:space="preserve">rituals. It also describes the </w:t>
      </w:r>
      <w:r w:rsidR="00FC48A1">
        <w:t xml:space="preserve">roles and aspects of </w:t>
      </w:r>
      <w:r w:rsidR="008A6057">
        <w:t>guardians and spirits that guide</w:t>
      </w:r>
      <w:r w:rsidR="00FC48A1">
        <w:t xml:space="preserve"> </w:t>
      </w:r>
      <w:r w:rsidR="008A6057">
        <w:t xml:space="preserve">the dead in the afterlife, </w:t>
      </w:r>
      <w:r w:rsidR="00C219CE">
        <w:t>in the text it</w:t>
      </w:r>
      <w:r w:rsidR="00FC48A1">
        <w:t xml:space="preserve"> </w:t>
      </w:r>
      <w:r w:rsidR="008A6057">
        <w:t>also highlight</w:t>
      </w:r>
      <w:r w:rsidR="00FC48A1">
        <w:t>s</w:t>
      </w:r>
      <w:r w:rsidR="008A6057">
        <w:t xml:space="preserve"> the inverse in the belief system in which will be argued </w:t>
      </w:r>
      <w:r w:rsidR="008A6057">
        <w:lastRenderedPageBreak/>
        <w:t>with</w:t>
      </w:r>
      <w:r w:rsidR="00C219CE">
        <w:t xml:space="preserve"> the use of</w:t>
      </w:r>
      <w:r w:rsidR="008A6057">
        <w:t xml:space="preserve"> Hurtado’s work and analysis. </w:t>
      </w:r>
      <w:r w:rsidR="002D72AD">
        <w:t>Faulkner’s</w:t>
      </w:r>
      <w:r w:rsidR="00FC48A1">
        <w:t xml:space="preserve"> work is preferable to older translations of the texts </w:t>
      </w:r>
      <w:r w:rsidR="002D72AD">
        <w:t xml:space="preserve">due to the modern approach to the translation and accessibility, previous scholars working on and with these texts have been criticised </w:t>
      </w:r>
      <w:r w:rsidR="00ED2866">
        <w:t>of</w:t>
      </w:r>
      <w:r w:rsidR="002D72AD">
        <w:t xml:space="preserve"> some of holding biases relating to the time, this may have had an effect on the overall translation and interpretation.  </w:t>
      </w:r>
    </w:p>
    <w:p w14:paraId="6EC326D3" w14:textId="6088E924" w:rsidR="00FC48A1" w:rsidRPr="0098340D" w:rsidRDefault="00C52B2A" w:rsidP="00035DC7">
      <w:pPr>
        <w:jc w:val="both"/>
      </w:pPr>
      <w:r>
        <w:t xml:space="preserve">The key limitation of the book </w:t>
      </w:r>
      <w:r w:rsidR="000D5B92">
        <w:t xml:space="preserve">is that it is primarily a focus piece on translation rather than a research paper on in depth analysis. While the translation provides readers with an otherwise inaccessible insight into ancient Egyptian funerary texts it does not offer arguments, historical background or critical analysis into cultural traditions and belief systems. </w:t>
      </w:r>
    </w:p>
    <w:p w14:paraId="582D8B50" w14:textId="74802B26" w:rsidR="00822AE2" w:rsidRDefault="008A6057" w:rsidP="00035DC7">
      <w:pPr>
        <w:jc w:val="both"/>
      </w:pPr>
      <w:r>
        <w:t>For this research</w:t>
      </w:r>
      <w:r w:rsidR="00ED2866">
        <w:t xml:space="preserve">, </w:t>
      </w:r>
      <w:r>
        <w:t xml:space="preserve">this text will provide the direct translation that will be needed to analyse the Egyptian side of eschatology. The translation will also allow for the direct comparison and contrasting views in early Christian texts, specifically referring to </w:t>
      </w:r>
      <w:r w:rsidR="00ED2866">
        <w:t>R</w:t>
      </w:r>
      <w:r>
        <w:t xml:space="preserve">evelations. </w:t>
      </w:r>
      <w:r w:rsidR="008760CF">
        <w:t>In providing access into these otherwise unreadable texts, this research will be able to understand and analyse the spells, rituals, preparations and understanding of judgement and the afterlife. From this</w:t>
      </w:r>
      <w:r w:rsidR="00ED2866">
        <w:t xml:space="preserve">, </w:t>
      </w:r>
      <w:r w:rsidR="008760CF">
        <w:t>th</w:t>
      </w:r>
      <w:r w:rsidR="00ED2866">
        <w:t>is research</w:t>
      </w:r>
      <w:r w:rsidR="008760CF">
        <w:t xml:space="preserve"> dissertation will be able to examine</w:t>
      </w:r>
      <w:r w:rsidR="00ED2866">
        <w:t>,</w:t>
      </w:r>
      <w:r w:rsidR="008760CF">
        <w:t xml:space="preserve"> and try to compare the possible continuation of themes such as moral accountability and divine judgement. </w:t>
      </w:r>
    </w:p>
    <w:p w14:paraId="5957C528" w14:textId="0398D35F" w:rsidR="00DA638D" w:rsidRDefault="000308D7">
      <w:r w:rsidRPr="00E55795">
        <w:rPr>
          <w:b/>
          <w:bCs/>
        </w:rPr>
        <w:t xml:space="preserve">Russell, J.B. (1981) </w:t>
      </w:r>
      <w:r w:rsidRPr="00E55795">
        <w:rPr>
          <w:b/>
          <w:bCs/>
          <w:i/>
          <w:iCs/>
        </w:rPr>
        <w:t>Satan: The Early Christian Tradition</w:t>
      </w:r>
      <w:r w:rsidRPr="00E55795">
        <w:rPr>
          <w:b/>
          <w:bCs/>
        </w:rPr>
        <w:t>. Ithaca: Cornell University Press.</w:t>
      </w:r>
    </w:p>
    <w:p w14:paraId="72B6B883" w14:textId="54782F21" w:rsidR="000308D7" w:rsidRDefault="000308D7" w:rsidP="002C6E84">
      <w:pPr>
        <w:jc w:val="both"/>
      </w:pPr>
      <w:r>
        <w:t xml:space="preserve">In this book by Jeffrery Burton Russel, the author </w:t>
      </w:r>
      <w:r w:rsidR="00303160">
        <w:t>analyses the</w:t>
      </w:r>
      <w:r>
        <w:t xml:space="preserve"> early to late development and evolution of Christian demonology</w:t>
      </w:r>
      <w:r w:rsidR="00C804C0">
        <w:t>, this heavily links to the structure of judgment and the impact of morality</w:t>
      </w:r>
      <w:r>
        <w:t xml:space="preserve">. The main focus </w:t>
      </w:r>
      <w:r w:rsidR="00303160">
        <w:t xml:space="preserve">of the text is that of the </w:t>
      </w:r>
      <w:r w:rsidR="00C804C0">
        <w:t>D</w:t>
      </w:r>
      <w:r w:rsidR="00303160">
        <w:t>evil</w:t>
      </w:r>
      <w:r w:rsidR="00C804C0">
        <w:t xml:space="preserve"> </w:t>
      </w:r>
      <w:r w:rsidR="00303160">
        <w:t xml:space="preserve">and </w:t>
      </w:r>
      <w:r w:rsidR="00ED2866">
        <w:t xml:space="preserve">his legions of </w:t>
      </w:r>
      <w:r w:rsidR="00303160">
        <w:t xml:space="preserve">demons, the book </w:t>
      </w:r>
      <w:r w:rsidR="00ED2866">
        <w:t>provides great</w:t>
      </w:r>
      <w:r w:rsidR="00303160">
        <w:t xml:space="preserve"> detail regarding the origins of these deities</w:t>
      </w:r>
      <w:r w:rsidR="00ED2866">
        <w:t xml:space="preserve"> and spirits,</w:t>
      </w:r>
      <w:r w:rsidR="00303160">
        <w:t xml:space="preserve"> and the roles they have had in different traditions.</w:t>
      </w:r>
      <w:r w:rsidR="00C804C0">
        <w:t xml:space="preserve"> </w:t>
      </w:r>
      <w:r w:rsidR="00ED2866">
        <w:t>T</w:t>
      </w:r>
      <w:r w:rsidR="00C804C0">
        <w:t>he text will also create the ability to analyse the theological, social and historical continuations of traditions have shaped the entire literature and belief</w:t>
      </w:r>
      <w:r w:rsidR="004874DE">
        <w:t xml:space="preserve"> systems</w:t>
      </w:r>
      <w:r w:rsidR="00C804C0">
        <w:t xml:space="preserve"> regarding Christian demonology and divine judgement</w:t>
      </w:r>
      <w:r w:rsidR="004874DE">
        <w:t>.</w:t>
      </w:r>
      <w:r w:rsidR="00C804C0">
        <w:t xml:space="preserve">  </w:t>
      </w:r>
    </w:p>
    <w:p w14:paraId="21668ABB" w14:textId="028FF625" w:rsidR="008760CF" w:rsidRDefault="00310F17" w:rsidP="002C6E84">
      <w:pPr>
        <w:jc w:val="both"/>
      </w:pPr>
      <w:r>
        <w:t>The arguments and analysis set out are compelling as he develops a clear method for the histo</w:t>
      </w:r>
      <w:r w:rsidR="00822AE2">
        <w:t>ry and development of evil and divine justice</w:t>
      </w:r>
      <w:r>
        <w:t>, this is done through the defining of such terms as tradition</w:t>
      </w:r>
      <w:r w:rsidR="00697CA2">
        <w:t>.</w:t>
      </w:r>
      <w:r>
        <w:t xml:space="preserve"> </w:t>
      </w:r>
      <w:r w:rsidR="00697CA2">
        <w:t>T</w:t>
      </w:r>
      <w:r>
        <w:t xml:space="preserve">his </w:t>
      </w:r>
      <w:r w:rsidR="00822AE2">
        <w:t xml:space="preserve">approach </w:t>
      </w:r>
      <w:r>
        <w:t xml:space="preserve">helps </w:t>
      </w:r>
      <w:r w:rsidR="00822AE2">
        <w:t>by explaining</w:t>
      </w:r>
      <w:r w:rsidR="00ED2866">
        <w:t xml:space="preserve"> </w:t>
      </w:r>
      <w:r>
        <w:t>how different traditions and beliefs</w:t>
      </w:r>
      <w:r w:rsidR="00ED2866">
        <w:t xml:space="preserve"> have</w:t>
      </w:r>
      <w:r>
        <w:t xml:space="preserve"> evolve</w:t>
      </w:r>
      <w:r w:rsidR="00ED2866">
        <w:t>d</w:t>
      </w:r>
      <w:r>
        <w:t xml:space="preserve"> over time</w:t>
      </w:r>
      <w:r w:rsidR="00697CA2">
        <w:t>, ultimately</w:t>
      </w:r>
      <w:r>
        <w:t xml:space="preserve"> provid</w:t>
      </w:r>
      <w:r w:rsidR="00697CA2">
        <w:t>ing the</w:t>
      </w:r>
      <w:r>
        <w:t xml:space="preserve"> frame work into the development of early Christian belief systems rather than solely focuses on the historical aspects.</w:t>
      </w:r>
      <w:r w:rsidR="00822AE2">
        <w:t xml:space="preserve"> Furthermore, it could be argued that Russel’s work is superior </w:t>
      </w:r>
      <w:r w:rsidR="00697CA2">
        <w:t>to other authors and scholars in the field due to the depth of the research</w:t>
      </w:r>
      <w:r w:rsidR="00ED2866">
        <w:t>,</w:t>
      </w:r>
      <w:r w:rsidR="00697CA2">
        <w:t xml:space="preserve"> and wide range of sources. Other writers in this area sometimes place too much emphasis on cannon Christian texts, in contrast Russel uses a range of texts including the Gnostic traditions and other apocrypha, the range of sources is necessary to really understand the development of beliefs. </w:t>
      </w:r>
    </w:p>
    <w:p w14:paraId="2A1C762A" w14:textId="0296C1A6" w:rsidR="00C804C0" w:rsidRDefault="00310F17" w:rsidP="002C6E84">
      <w:pPr>
        <w:jc w:val="both"/>
      </w:pPr>
      <w:r>
        <w:t xml:space="preserve">However, </w:t>
      </w:r>
      <w:r w:rsidR="00557999">
        <w:t>the works by Russel focuses more on the figure of Satan rather than systemic theology, the main subject of the book is on the development and evolution of Satan, this does not deepen the subject matter and open broader discussions of divine justice. Th</w:t>
      </w:r>
      <w:r w:rsidR="00F678A2">
        <w:t>ere are further</w:t>
      </w:r>
      <w:r w:rsidR="00557999">
        <w:t xml:space="preserve"> limitations</w:t>
      </w:r>
      <w:r w:rsidR="00F678A2">
        <w:t>,</w:t>
      </w:r>
      <w:r w:rsidR="00557999">
        <w:t xml:space="preserve"> as it solely focuses on Christian doctrine and has no mention of previous development and evolution outside the Christian scope. </w:t>
      </w:r>
    </w:p>
    <w:p w14:paraId="29F80E72" w14:textId="071F669F" w:rsidR="00C50971" w:rsidRDefault="00C50971" w:rsidP="002C6E84">
      <w:pPr>
        <w:jc w:val="both"/>
      </w:pPr>
      <w:r>
        <w:t xml:space="preserve">This text will be useful </w:t>
      </w:r>
      <w:r w:rsidR="00912A01">
        <w:t>when trying to compare the Egyptian guardians</w:t>
      </w:r>
      <w:r w:rsidR="00F678A2">
        <w:t>, deities</w:t>
      </w:r>
      <w:r w:rsidR="00912A01">
        <w:t xml:space="preserve"> and demons of the afterlife with Christian demons and depictions of judgement after death. The analysis will also </w:t>
      </w:r>
      <w:r w:rsidR="00226F72">
        <w:t xml:space="preserve">show the continuation in the use of guardians, angels and demons in the role of ‘gatekeepers’ and ‘guides’ to the deceased. </w:t>
      </w:r>
      <w:r w:rsidR="00557999">
        <w:t xml:space="preserve">Additionally, in specific relation to early Christianity and conceptions of evil will provide good argumental framework into how divine justice and morality was perceived, allowing for discussions of and development of arguments for the parallels with Ancient Egyptian eschatological beliefs. </w:t>
      </w:r>
    </w:p>
    <w:p w14:paraId="62ACE840" w14:textId="77777777" w:rsidR="002C6E84" w:rsidRDefault="002C6E84" w:rsidP="002C6E84">
      <w:pPr>
        <w:jc w:val="both"/>
      </w:pPr>
    </w:p>
    <w:p w14:paraId="1D7729B9" w14:textId="05C8EB9A" w:rsidR="00C94EA8" w:rsidRPr="00BE40F6" w:rsidRDefault="00BE40F6">
      <w:pPr>
        <w:rPr>
          <w:b/>
          <w:bCs/>
        </w:rPr>
      </w:pPr>
      <w:r w:rsidRPr="00BE40F6">
        <w:rPr>
          <w:b/>
          <w:bCs/>
        </w:rPr>
        <w:t>Alexandre Alexandrovich Loktionov and Ekaterina Vladimirovna Alexandrova (2025). New Perspectives on Human and Divine Judgment in Ancient Egypt: Interplays of Ritual, Literary, and Judicial Spheres. Journal of the Economic and Social History of the Orient, 68(1-2), pp.1–31. doi:https://doi.org/10.1163/15685209-12341636.</w:t>
      </w:r>
    </w:p>
    <w:p w14:paraId="2F922BA1" w14:textId="473B3AFB" w:rsidR="00C94EA8" w:rsidRDefault="00175DE7" w:rsidP="002C6E84">
      <w:pPr>
        <w:jc w:val="both"/>
      </w:pPr>
      <w:r>
        <w:t xml:space="preserve">In this article published in the Journal of the Economic and Social History of the Orient, the authors discuss and examine how justice in the era of Ancient Egypt acted as sort of a liminal space connecting </w:t>
      </w:r>
      <w:r w:rsidR="00AF474B">
        <w:t xml:space="preserve">both the world of the living and the dead. The argument put forward is that legal matters during this period were at the same time both physical and spiritual by the involvement of Gods, spirits and the dead, all of these factors would contribute to overall judgement of the body and the soul. This is important as this implies that what happens in the </w:t>
      </w:r>
      <w:r w:rsidR="009832A8">
        <w:t>earth-bound</w:t>
      </w:r>
      <w:r w:rsidR="00AF474B">
        <w:t xml:space="preserve"> judgement system would affect fate in the afterlife. In this, the Book of the Dead adds important understanding and context as the texts depict scenes of judgement where </w:t>
      </w:r>
      <w:r w:rsidR="00F678A2">
        <w:t xml:space="preserve">the </w:t>
      </w:r>
      <w:r w:rsidR="00AF474B">
        <w:t xml:space="preserve">proceedings determine safe passage into the afterlife. </w:t>
      </w:r>
    </w:p>
    <w:p w14:paraId="3B573D8D" w14:textId="5969DC34" w:rsidR="009832A8" w:rsidRDefault="009832A8" w:rsidP="002C6E84">
      <w:pPr>
        <w:jc w:val="both"/>
      </w:pPr>
      <w:r>
        <w:t>This article will add to the depth of this research as it draws from a diverse range of evidence; textual, historical, archaeological and theological, which is in contrast to some of the other sources that draw on a less varied range.</w:t>
      </w:r>
      <w:r w:rsidR="00F678A2">
        <w:t xml:space="preserve"> Furthermore,</w:t>
      </w:r>
      <w:r>
        <w:t xml:space="preserve"> </w:t>
      </w:r>
      <w:r w:rsidR="00F678A2">
        <w:t>i</w:t>
      </w:r>
      <w:r>
        <w:t>t will also be useful for one of the main research points, divine Judgement as it demonstrates how engrained the belief system was in not just everyday culture</w:t>
      </w:r>
      <w:r w:rsidR="00F678A2">
        <w:t>,</w:t>
      </w:r>
      <w:r>
        <w:t xml:space="preserve"> but even in the legal system where judgement from the gods in the afterlife was mirrored on earth. The fact that beliefs were not just in religious practices but embedded in legal framework shows how the concepts of divine judgement and moral accountability shaped the day to day. </w:t>
      </w:r>
    </w:p>
    <w:p w14:paraId="12991E35" w14:textId="6B8FC291" w:rsidR="00C534F8" w:rsidRDefault="00EA0E8C" w:rsidP="002C6E84">
      <w:pPr>
        <w:jc w:val="both"/>
      </w:pPr>
      <w:r>
        <w:t>Limitations of using this article is that while the research and analysis is very detailed</w:t>
      </w:r>
      <w:r w:rsidR="00F678A2">
        <w:t>,</w:t>
      </w:r>
      <w:r>
        <w:t xml:space="preserve"> </w:t>
      </w:r>
      <w:r w:rsidR="00B903C4">
        <w:t>its</w:t>
      </w:r>
      <w:r>
        <w:t xml:space="preserve"> sole</w:t>
      </w:r>
      <w:r w:rsidR="00F678A2">
        <w:t xml:space="preserve"> focus is on Ancient Egyptian </w:t>
      </w:r>
      <w:r w:rsidR="00B903C4">
        <w:t xml:space="preserve">legal </w:t>
      </w:r>
      <w:r w:rsidR="00F678A2">
        <w:t>practice and</w:t>
      </w:r>
      <w:r>
        <w:t xml:space="preserve"> its structure offers little guidance to the key point of this </w:t>
      </w:r>
      <w:r w:rsidR="00F678A2">
        <w:t>research</w:t>
      </w:r>
      <w:r>
        <w:t xml:space="preserve"> which is looking at parallels in the ideas of judgement and moral responsibility. However, th</w:t>
      </w:r>
      <w:r w:rsidR="00F678A2">
        <w:t xml:space="preserve">is article </w:t>
      </w:r>
      <w:r>
        <w:t>was specifically selected not for what Ancient Egyptian traditions shared and contributed with other cultures but for its detailed background information of how religious beliefs were used</w:t>
      </w:r>
      <w:r w:rsidR="00B903C4">
        <w:t>,</w:t>
      </w:r>
      <w:r>
        <w:t xml:space="preserve"> practically in the society of the time. </w:t>
      </w:r>
      <w:r w:rsidR="00C534F8">
        <w:t xml:space="preserve">The reliability of the article is objectively high due to its use of multiple types of evidence, sources and historical data. Arguments put forth are not just peer reviewed but are supported with data and textual references. </w:t>
      </w:r>
    </w:p>
    <w:p w14:paraId="53B0D610" w14:textId="5E6140C8" w:rsidR="00FE6099" w:rsidRDefault="00FE6099" w:rsidP="002C6E84">
      <w:pPr>
        <w:jc w:val="both"/>
      </w:pPr>
      <w:r>
        <w:t>This journal article is</w:t>
      </w:r>
      <w:r w:rsidR="00B903C4">
        <w:t xml:space="preserve"> </w:t>
      </w:r>
      <w:r>
        <w:t>relevant to the dissertation research topic as it will provide a detailed and academically driven insight into the society and culture of Ancient Egyptian beliefs in divine judgement and moral accountability</w:t>
      </w:r>
      <w:r w:rsidR="00B903C4">
        <w:t xml:space="preserve">, </w:t>
      </w:r>
      <w:r w:rsidR="00141D48">
        <w:t>both</w:t>
      </w:r>
      <w:r w:rsidR="00B903C4">
        <w:t xml:space="preserve"> of</w:t>
      </w:r>
      <w:r>
        <w:t xml:space="preserve"> which are essential to this research topic. Its focus on the liminal spaces in the legal and judicial process will assist in the analysis of the Book of the Dead and subsequently if arguments can be developed for the comparisons of Egyptian and early Christian concepts of judgement and the afterlife. </w:t>
      </w:r>
    </w:p>
    <w:p w14:paraId="1E3060A5" w14:textId="77777777" w:rsidR="00C534F8" w:rsidRDefault="00C534F8" w:rsidP="002C6E84">
      <w:pPr>
        <w:jc w:val="both"/>
      </w:pPr>
    </w:p>
    <w:p w14:paraId="4E4C3EA0" w14:textId="77777777" w:rsidR="002A4895" w:rsidRDefault="002A4895"/>
    <w:p w14:paraId="5321FFB7" w14:textId="77777777" w:rsidR="002A4895" w:rsidRDefault="002A4895"/>
    <w:p w14:paraId="4AA1F1BC" w14:textId="77777777" w:rsidR="00C219CE" w:rsidRDefault="00C219CE"/>
    <w:p w14:paraId="062180B4" w14:textId="77777777" w:rsidR="00C219CE" w:rsidRDefault="00C219CE"/>
    <w:p w14:paraId="66EA2227" w14:textId="77777777" w:rsidR="00B903C4" w:rsidRDefault="00B903C4"/>
    <w:p w14:paraId="297A69D1" w14:textId="77777777" w:rsidR="00C219CE" w:rsidRDefault="00C219CE"/>
    <w:p w14:paraId="07AC0D06" w14:textId="40ADEB9D" w:rsidR="00C219CE" w:rsidRDefault="00C219CE" w:rsidP="00C219CE">
      <w:pPr>
        <w:jc w:val="both"/>
        <w:rPr>
          <w:b/>
          <w:bCs/>
          <w:u w:val="single"/>
        </w:rPr>
      </w:pPr>
      <w:r>
        <w:rPr>
          <w:b/>
          <w:bCs/>
          <w:u w:val="single"/>
        </w:rPr>
        <w:lastRenderedPageBreak/>
        <w:t>References</w:t>
      </w:r>
    </w:p>
    <w:p w14:paraId="6DD5F5D5" w14:textId="4386AFBA" w:rsidR="00837918" w:rsidRPr="00837918" w:rsidRDefault="00837918" w:rsidP="00837918">
      <w:pPr>
        <w:jc w:val="both"/>
      </w:pPr>
      <w:r w:rsidRPr="00837918">
        <w:t xml:space="preserve">The American University in Cairo Press (2024) </w:t>
      </w:r>
      <w:proofErr w:type="spellStart"/>
      <w:r w:rsidRPr="00837918">
        <w:t>Auc</w:t>
      </w:r>
      <w:proofErr w:type="spellEnd"/>
      <w:r w:rsidRPr="00837918">
        <w:t xml:space="preserve"> Press - The Ancient Egyptian Book of the dead, The American University in Cairo Press. Available at: https://aucpress.com/9789774164354/ (Accessed: 2</w:t>
      </w:r>
      <w:r>
        <w:t>0</w:t>
      </w:r>
      <w:r w:rsidRPr="00837918">
        <w:t xml:space="preserve"> November 2025). </w:t>
      </w:r>
    </w:p>
    <w:p w14:paraId="63A02FCD" w14:textId="77777777" w:rsidR="00C219CE" w:rsidRPr="00834882" w:rsidRDefault="00C219CE" w:rsidP="00C219CE">
      <w:pPr>
        <w:jc w:val="both"/>
        <w:rPr>
          <w:b/>
          <w:bCs/>
          <w:u w:val="single"/>
        </w:rPr>
      </w:pPr>
    </w:p>
    <w:p w14:paraId="4BE97289" w14:textId="77777777" w:rsidR="00C219CE" w:rsidRPr="008C369C" w:rsidRDefault="00C219CE"/>
    <w:sectPr w:rsidR="00C219CE" w:rsidRPr="008C369C" w:rsidSect="00BE64D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659"/>
    <w:rsid w:val="000014DD"/>
    <w:rsid w:val="000308D7"/>
    <w:rsid w:val="00035DC7"/>
    <w:rsid w:val="00050A7B"/>
    <w:rsid w:val="00095A89"/>
    <w:rsid w:val="000A6740"/>
    <w:rsid w:val="000D5B92"/>
    <w:rsid w:val="00141D48"/>
    <w:rsid w:val="00175DE7"/>
    <w:rsid w:val="001D13BF"/>
    <w:rsid w:val="001D3BAA"/>
    <w:rsid w:val="00226F72"/>
    <w:rsid w:val="0026673F"/>
    <w:rsid w:val="00270FC4"/>
    <w:rsid w:val="00294055"/>
    <w:rsid w:val="002A4895"/>
    <w:rsid w:val="002C6E84"/>
    <w:rsid w:val="002D72AD"/>
    <w:rsid w:val="002E02C4"/>
    <w:rsid w:val="002F3DA4"/>
    <w:rsid w:val="00303160"/>
    <w:rsid w:val="00310F17"/>
    <w:rsid w:val="00320E9A"/>
    <w:rsid w:val="00333264"/>
    <w:rsid w:val="00350980"/>
    <w:rsid w:val="004874DE"/>
    <w:rsid w:val="004E6729"/>
    <w:rsid w:val="004E6BB7"/>
    <w:rsid w:val="00507FB3"/>
    <w:rsid w:val="00557999"/>
    <w:rsid w:val="00577748"/>
    <w:rsid w:val="005B307D"/>
    <w:rsid w:val="00697CA2"/>
    <w:rsid w:val="006D6437"/>
    <w:rsid w:val="00727FD7"/>
    <w:rsid w:val="007705C5"/>
    <w:rsid w:val="00774AFE"/>
    <w:rsid w:val="00822AE2"/>
    <w:rsid w:val="00833A6E"/>
    <w:rsid w:val="00834882"/>
    <w:rsid w:val="00837918"/>
    <w:rsid w:val="00857FEA"/>
    <w:rsid w:val="008760CF"/>
    <w:rsid w:val="008A6057"/>
    <w:rsid w:val="008C369C"/>
    <w:rsid w:val="00912A01"/>
    <w:rsid w:val="0092377D"/>
    <w:rsid w:val="00937745"/>
    <w:rsid w:val="009709B8"/>
    <w:rsid w:val="00971B4D"/>
    <w:rsid w:val="009832A8"/>
    <w:rsid w:val="0098340D"/>
    <w:rsid w:val="00985222"/>
    <w:rsid w:val="009A3713"/>
    <w:rsid w:val="009D5659"/>
    <w:rsid w:val="00AF474B"/>
    <w:rsid w:val="00B903C4"/>
    <w:rsid w:val="00BB3E90"/>
    <w:rsid w:val="00BD052D"/>
    <w:rsid w:val="00BE40F6"/>
    <w:rsid w:val="00BE64D8"/>
    <w:rsid w:val="00C219CE"/>
    <w:rsid w:val="00C50971"/>
    <w:rsid w:val="00C52B2A"/>
    <w:rsid w:val="00C534F8"/>
    <w:rsid w:val="00C675C0"/>
    <w:rsid w:val="00C804C0"/>
    <w:rsid w:val="00C94EA8"/>
    <w:rsid w:val="00D03A9F"/>
    <w:rsid w:val="00D371AD"/>
    <w:rsid w:val="00D51A94"/>
    <w:rsid w:val="00D74C78"/>
    <w:rsid w:val="00DA206F"/>
    <w:rsid w:val="00DA638D"/>
    <w:rsid w:val="00DC3234"/>
    <w:rsid w:val="00EA0E8C"/>
    <w:rsid w:val="00EC46CB"/>
    <w:rsid w:val="00ED2866"/>
    <w:rsid w:val="00ED50D6"/>
    <w:rsid w:val="00F3710E"/>
    <w:rsid w:val="00F678A2"/>
    <w:rsid w:val="00F919A3"/>
    <w:rsid w:val="00FC48A1"/>
    <w:rsid w:val="00FD120C"/>
    <w:rsid w:val="00FE6099"/>
    <w:rsid w:val="00FF7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C354F"/>
  <w15:chartTrackingRefBased/>
  <w15:docId w15:val="{B5B95FFD-87F1-4D0A-9832-D3F828FBF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65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D565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D565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D565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D565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D56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6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6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6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65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D565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D565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D565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D565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D56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6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6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659"/>
    <w:rPr>
      <w:rFonts w:eastAsiaTheme="majorEastAsia" w:cstheme="majorBidi"/>
      <w:color w:val="272727" w:themeColor="text1" w:themeTint="D8"/>
    </w:rPr>
  </w:style>
  <w:style w:type="paragraph" w:styleId="Title">
    <w:name w:val="Title"/>
    <w:basedOn w:val="Normal"/>
    <w:next w:val="Normal"/>
    <w:link w:val="TitleChar"/>
    <w:uiPriority w:val="10"/>
    <w:qFormat/>
    <w:rsid w:val="009D56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6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6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6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659"/>
    <w:pPr>
      <w:spacing w:before="160"/>
      <w:jc w:val="center"/>
    </w:pPr>
    <w:rPr>
      <w:i/>
      <w:iCs/>
      <w:color w:val="404040" w:themeColor="text1" w:themeTint="BF"/>
    </w:rPr>
  </w:style>
  <w:style w:type="character" w:customStyle="1" w:styleId="QuoteChar">
    <w:name w:val="Quote Char"/>
    <w:basedOn w:val="DefaultParagraphFont"/>
    <w:link w:val="Quote"/>
    <w:uiPriority w:val="29"/>
    <w:rsid w:val="009D5659"/>
    <w:rPr>
      <w:i/>
      <w:iCs/>
      <w:color w:val="404040" w:themeColor="text1" w:themeTint="BF"/>
    </w:rPr>
  </w:style>
  <w:style w:type="paragraph" w:styleId="ListParagraph">
    <w:name w:val="List Paragraph"/>
    <w:basedOn w:val="Normal"/>
    <w:uiPriority w:val="34"/>
    <w:qFormat/>
    <w:rsid w:val="009D5659"/>
    <w:pPr>
      <w:ind w:left="720"/>
      <w:contextualSpacing/>
    </w:pPr>
  </w:style>
  <w:style w:type="character" w:styleId="IntenseEmphasis">
    <w:name w:val="Intense Emphasis"/>
    <w:basedOn w:val="DefaultParagraphFont"/>
    <w:uiPriority w:val="21"/>
    <w:qFormat/>
    <w:rsid w:val="009D5659"/>
    <w:rPr>
      <w:i/>
      <w:iCs/>
      <w:color w:val="2F5496" w:themeColor="accent1" w:themeShade="BF"/>
    </w:rPr>
  </w:style>
  <w:style w:type="paragraph" w:styleId="IntenseQuote">
    <w:name w:val="Intense Quote"/>
    <w:basedOn w:val="Normal"/>
    <w:next w:val="Normal"/>
    <w:link w:val="IntenseQuoteChar"/>
    <w:uiPriority w:val="30"/>
    <w:qFormat/>
    <w:rsid w:val="009D565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5659"/>
    <w:rPr>
      <w:i/>
      <w:iCs/>
      <w:color w:val="2F5496" w:themeColor="accent1" w:themeShade="BF"/>
    </w:rPr>
  </w:style>
  <w:style w:type="character" w:styleId="IntenseReference">
    <w:name w:val="Intense Reference"/>
    <w:basedOn w:val="DefaultParagraphFont"/>
    <w:uiPriority w:val="32"/>
    <w:qFormat/>
    <w:rsid w:val="009D5659"/>
    <w:rPr>
      <w:b/>
      <w:bCs/>
      <w:smallCaps/>
      <w:color w:val="2F5496" w:themeColor="accent1" w:themeShade="BF"/>
      <w:spacing w:val="5"/>
    </w:rPr>
  </w:style>
  <w:style w:type="paragraph" w:styleId="NoSpacing">
    <w:name w:val="No Spacing"/>
    <w:link w:val="NoSpacingChar"/>
    <w:uiPriority w:val="1"/>
    <w:qFormat/>
    <w:rsid w:val="00BE64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64D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2025-11-28T00:00:00</PublishDate>
  <Abstract/>
  <CompanyAddress>Word count: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10284</TotalTime>
  <Pages>6</Pages>
  <Words>2263</Words>
  <Characters>12901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28/11/2025</Company>
  <LinksUpToDate>false</LinksUpToDate>
  <CharactersWithSpaces>15134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2 – An Abstract and an Annotated Bibliography</dc:title>
  <dc:subject>Theory and Methodology for the study of the ancient world – HPAH7011</dc:subject>
  <dc:creator>Jack Nicholas (2518249)</dc:creator>
  <cp:keywords/>
  <dc:description/>
  <cp:lastModifiedBy>Jack Nicholas (U1551648)</cp:lastModifiedBy>
  <cp:revision>32</cp:revision>
  <dcterms:created xsi:type="dcterms:W3CDTF">2025-11-19T17:15:00Z</dcterms:created>
  <dcterms:modified xsi:type="dcterms:W3CDTF">2025-11-27T20:33:00Z</dcterms:modified>
  <cp:category/>
</cp:coreProperties>
</file>