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06F61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b/>
          <w:szCs w:val="24"/>
        </w:rPr>
        <w:t>3</w:t>
      </w:r>
      <w:r w:rsidRPr="00570082">
        <w:rPr>
          <w:rFonts w:ascii="Georgia" w:hAnsi="Georgia"/>
          <w:b/>
          <w:szCs w:val="24"/>
        </w:rPr>
        <w:tab/>
        <w:t>Exploring ‘reform’ and its influence on Muslim politics [GRB]</w:t>
      </w:r>
    </w:p>
    <w:p w14:paraId="141CC64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EEE4790" w14:textId="77777777" w:rsidR="00FF00AF" w:rsidRPr="00570082" w:rsidRDefault="00FF00AF" w:rsidP="00FF00AF">
      <w:pPr>
        <w:pStyle w:val="BodyText"/>
        <w:ind w:left="1080"/>
        <w:rPr>
          <w:rFonts w:ascii="Georgia" w:hAnsi="Georgia"/>
          <w:szCs w:val="24"/>
        </w:rPr>
      </w:pPr>
      <w:r w:rsidRPr="00570082">
        <w:rPr>
          <w:rFonts w:ascii="Georgia" w:hAnsi="Georgia"/>
          <w:szCs w:val="24"/>
        </w:rPr>
        <w:tab/>
        <w:t xml:space="preserve">Changes in Islamic thought are sets of responses to diverse dynamics confronting humanity: the Qur'an is seen as the primary interpretive key. The diversity of situations has, of necessity, led to a multiplicity of responses. Clearly, there is no single model, rather a series of ideas and theories which may interact and correlate with one another, often emphasising a continuity which may go back to the Prophet. </w:t>
      </w:r>
    </w:p>
    <w:p w14:paraId="063C2FA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FC4F4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nature</w:t>
      </w:r>
      <w:r w:rsidRPr="00570082">
        <w:rPr>
          <w:rFonts w:ascii="Georgia" w:hAnsi="Georgia"/>
          <w:szCs w:val="24"/>
        </w:rPr>
        <w:t xml:space="preserve"> of ‘reformers’ is an issue to outside interpreters, although not always an issue for the advocates of change themselves. Academics might seek to categorise reformers as Qur'anic, Islamic, or Muslim; the reformers themselves could interpret themselves and their actions as all or none of these things. The reformers might implicitly or directly indicate themselves as having sincerity of intent (</w:t>
      </w:r>
      <w:r w:rsidRPr="00570082">
        <w:rPr>
          <w:rFonts w:ascii="Georgia" w:hAnsi="Georgia"/>
          <w:i/>
          <w:szCs w:val="24"/>
        </w:rPr>
        <w:t>niyyat</w:t>
      </w:r>
      <w:r w:rsidRPr="00570082">
        <w:rPr>
          <w:rFonts w:ascii="Georgia" w:hAnsi="Georgia"/>
          <w:szCs w:val="24"/>
        </w:rPr>
        <w:t xml:space="preserve">) for their community, whether or not altruism enters the equation. </w:t>
      </w:r>
    </w:p>
    <w:p w14:paraId="6379AF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4E4A079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ideas and influences upon reformers, and the continuity of thought between generations and different parts of the Islamic world, has informed and shaped reform. There is communality of key issues and interests, and the pervasive influence of the current of reform can be found in many Muslim communities and societies throughout history. It has had a key role in shaping Muslim political discourse.</w:t>
      </w:r>
    </w:p>
    <w:p w14:paraId="0912D0A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1DC50F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r w:rsidRPr="00570082">
        <w:rPr>
          <w:rFonts w:ascii="Georgia" w:hAnsi="Georgia"/>
          <w:szCs w:val="24"/>
        </w:rPr>
        <w:tab/>
        <w:t xml:space="preserve">The discussion of reform resembles a hypothetical </w:t>
      </w:r>
      <w:r w:rsidRPr="00570082">
        <w:rPr>
          <w:rFonts w:ascii="Georgia" w:hAnsi="Georgia"/>
          <w:i/>
          <w:szCs w:val="24"/>
        </w:rPr>
        <w:t>shura</w:t>
      </w:r>
      <w:r w:rsidRPr="00570082">
        <w:rPr>
          <w:rFonts w:ascii="Georgia" w:hAnsi="Georgia"/>
          <w:szCs w:val="24"/>
        </w:rPr>
        <w:t xml:space="preserve">, in which participants as diverse as 'Umar, Ibn Hanbal, al-Ghazali, Ibn Taymiyya, al-Wahhab, and 'Abduh, have been invited to attend. </w:t>
      </w:r>
      <w:r w:rsidRPr="00570082">
        <w:rPr>
          <w:rFonts w:ascii="Georgia" w:hAnsi="Georgia"/>
          <w:i/>
          <w:szCs w:val="24"/>
        </w:rPr>
        <w:t>'Adab</w:t>
      </w:r>
      <w:r w:rsidRPr="00570082">
        <w:rPr>
          <w:rFonts w:ascii="Georgia" w:hAnsi="Georgia"/>
          <w:szCs w:val="24"/>
        </w:rPr>
        <w:t xml:space="preserve"> might dictate that participants should be mutually deferential, and modesty might influence their answers. Within the contemporary world, the discussions between interested parties may be more abrasive. Those Muslims seeking answers to issues confronting Islam today might initiate a dialogue with these sources, as a stimulus for discussion: </w:t>
      </w:r>
      <w:r w:rsidRPr="00570082">
        <w:rPr>
          <w:rFonts w:ascii="Georgia" w:hAnsi="Georgia"/>
          <w:i/>
          <w:szCs w:val="24"/>
        </w:rPr>
        <w:t>shura</w:t>
      </w:r>
      <w:r w:rsidRPr="00570082">
        <w:rPr>
          <w:rFonts w:ascii="Georgia" w:hAnsi="Georgia"/>
          <w:szCs w:val="24"/>
        </w:rPr>
        <w:t xml:space="preserve"> could then stretch back in time to the period of the Prophet Muhammad. Constraints of space limit the discussion in this section to Sunni Islam, up until the eighteenth century; unless otherwise stated, 'Islam' in this instance refers to Sunni Islam.</w:t>
      </w:r>
      <w:r w:rsidRPr="00570082">
        <w:rPr>
          <w:rStyle w:val="EndnoteReference"/>
          <w:rFonts w:ascii="Georgia" w:hAnsi="Georgia"/>
          <w:szCs w:val="24"/>
        </w:rPr>
        <w:t xml:space="preserve"> </w:t>
      </w:r>
    </w:p>
    <w:p w14:paraId="6C1BF97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83D1D6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is necessary to recognise the level of diversity within the reform</w:t>
      </w:r>
      <w:r w:rsidRPr="00570082">
        <w:rPr>
          <w:rFonts w:ascii="Georgia" w:hAnsi="Georgia"/>
          <w:i/>
          <w:szCs w:val="24"/>
        </w:rPr>
        <w:t xml:space="preserve"> </w:t>
      </w:r>
      <w:r w:rsidRPr="00570082">
        <w:rPr>
          <w:rFonts w:ascii="Georgia" w:hAnsi="Georgia"/>
          <w:szCs w:val="24"/>
        </w:rPr>
        <w:t xml:space="preserve">paradigm, although underpinned by common factors of Qur'an and </w:t>
      </w:r>
      <w:r w:rsidRPr="00570082">
        <w:rPr>
          <w:rFonts w:ascii="Georgia" w:hAnsi="Georgia"/>
          <w:i/>
          <w:szCs w:val="24"/>
        </w:rPr>
        <w:t>Hadith.</w:t>
      </w:r>
      <w:r w:rsidRPr="00570082">
        <w:rPr>
          <w:rFonts w:ascii="Georgia" w:hAnsi="Georgia"/>
          <w:szCs w:val="24"/>
        </w:rPr>
        <w:t xml:space="preserve"> It is useful to make reference to certain movements and individuals in the Middle East, South Asia, and South East Asian Islamic history. Tracing the roots and formative influences on advocates of </w:t>
      </w:r>
      <w:r w:rsidRPr="00570082">
        <w:rPr>
          <w:rFonts w:ascii="Georgia" w:hAnsi="Georgia"/>
          <w:i/>
          <w:szCs w:val="24"/>
        </w:rPr>
        <w:t>tajdid</w:t>
      </w:r>
      <w:r w:rsidRPr="00570082">
        <w:rPr>
          <w:rFonts w:ascii="Georgia" w:hAnsi="Georgia"/>
          <w:szCs w:val="24"/>
        </w:rPr>
        <w:t xml:space="preserve"> provides a framework, with which to understand influences on contemporary attempts to interpret </w:t>
      </w:r>
      <w:r w:rsidRPr="00570082">
        <w:rPr>
          <w:rFonts w:ascii="Georgia" w:hAnsi="Georgia"/>
          <w:szCs w:val="24"/>
        </w:rPr>
        <w:lastRenderedPageBreak/>
        <w:t>Islam according to demands of the modern age. This has had a specific impact on the multiple definitions of ‘Muslim politics’.</w:t>
      </w:r>
    </w:p>
    <w:p w14:paraId="2B9C9DB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25AD43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There is a need to clarify what is meant by 'reform'. An English dictionary definition starts from a particular premise: "...improve by removing faults..." </w:t>
      </w:r>
      <w:r w:rsidRPr="00570082">
        <w:rPr>
          <w:rStyle w:val="EndnoteReference"/>
          <w:rFonts w:ascii="Georgia" w:hAnsi="Georgia"/>
          <w:szCs w:val="24"/>
        </w:rPr>
        <w:endnoteReference w:id="1"/>
      </w:r>
      <w:r w:rsidRPr="00570082">
        <w:rPr>
          <w:rFonts w:ascii="Georgia" w:hAnsi="Georgia"/>
          <w:szCs w:val="24"/>
        </w:rPr>
        <w:t xml:space="preserve"> and contains a specific value judgement inappropriate to an 'independent' observer. Within Arabic, the word </w:t>
      </w:r>
      <w:r w:rsidRPr="00570082">
        <w:rPr>
          <w:rFonts w:ascii="Georgia" w:hAnsi="Georgia"/>
          <w:i/>
          <w:szCs w:val="24"/>
        </w:rPr>
        <w:t xml:space="preserve">tajdid </w:t>
      </w:r>
      <w:r w:rsidRPr="00570082">
        <w:rPr>
          <w:rFonts w:ascii="Georgia" w:hAnsi="Georgia"/>
          <w:szCs w:val="24"/>
        </w:rPr>
        <w:t>is synonymous with 'renewal' and 'reform' within the context of Islamic ways of life, being defined as:</w:t>
      </w:r>
    </w:p>
    <w:p w14:paraId="618C02F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59C3E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"renewal...creation of something new, origination; new presentation,... modernization; renovation, restoration... rejuvination, regeneration." </w:t>
      </w:r>
      <w:r w:rsidRPr="00570082">
        <w:rPr>
          <w:rStyle w:val="EndnoteReference"/>
          <w:rFonts w:ascii="Georgia" w:hAnsi="Georgia"/>
          <w:szCs w:val="24"/>
        </w:rPr>
        <w:endnoteReference w:id="2"/>
      </w:r>
    </w:p>
    <w:p w14:paraId="35BD1B0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p>
    <w:p w14:paraId="32C3D36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'Re-evaluation' or 're-allignment' of Islam may be appropriate alternatives.</w:t>
      </w:r>
      <w:r w:rsidRPr="00570082">
        <w:rPr>
          <w:rStyle w:val="EndnoteReference"/>
          <w:rFonts w:ascii="Georgia" w:hAnsi="Georgia"/>
          <w:szCs w:val="24"/>
        </w:rPr>
        <w:endnoteReference w:id="3"/>
      </w:r>
    </w:p>
    <w:p w14:paraId="1D9134A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69D297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examination of selected reform movements, specific factors influencing individuals and communities seeking reappraisal and redefinition of Islamic ways of life can be isolated. Through the wealth of recorded discussions about and understandings of Islam, the dynamic amongst those who have felt the relevance of Islam to their time and place can be enhanced through the stimuli of pragmatic interpretation can be isolated - and the thematic continuity of ‘renewers’ explored. In particular, how their idealized models of an Islamic society have through time filtered through to the realities of everyday existence. </w:t>
      </w:r>
    </w:p>
    <w:p w14:paraId="364D2C7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9B0012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Conceptual framework transmission has pulsed through communities and continents, specific reference points often emerging in circumstances shared by their originator. A loose paradigmatic model can be constructed, as one possible reference point in understanding re-appraisals of Islamic ways of life.   </w:t>
      </w:r>
    </w:p>
    <w:p w14:paraId="00296E9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0856C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Muslim communities have encountered phenomena that of necessity altered perceptions of Islam. Changes occur on a linear historical basis, from day-to-day and year-to-year: they are not usually implemented or advocated by a single reform organization; they are not and have never been universal. God, the Qur’an, and through God the Prophet Muhammad, have been the only consistent authorities in Islam.</w:t>
      </w:r>
      <w:r w:rsidRPr="00570082">
        <w:rPr>
          <w:rStyle w:val="EndnoteReference"/>
          <w:rFonts w:ascii="Georgia" w:hAnsi="Georgia"/>
          <w:szCs w:val="24"/>
        </w:rPr>
        <w:endnoteReference w:id="4"/>
      </w:r>
      <w:r w:rsidRPr="00570082">
        <w:rPr>
          <w:rFonts w:ascii="Georgia" w:hAnsi="Georgia"/>
          <w:szCs w:val="24"/>
        </w:rPr>
        <w:t xml:space="preserve"> Even certain </w:t>
      </w:r>
      <w:r w:rsidRPr="00570082">
        <w:rPr>
          <w:rFonts w:ascii="Georgia" w:hAnsi="Georgia"/>
          <w:i/>
          <w:szCs w:val="24"/>
        </w:rPr>
        <w:t>Hadith</w:t>
      </w:r>
      <w:r w:rsidRPr="00570082">
        <w:rPr>
          <w:rFonts w:ascii="Georgia" w:hAnsi="Georgia"/>
          <w:szCs w:val="24"/>
        </w:rPr>
        <w:t xml:space="preserve"> may be contentious, being dependent on the authority of their </w:t>
      </w:r>
      <w:r w:rsidRPr="00570082">
        <w:rPr>
          <w:rFonts w:ascii="Georgia" w:hAnsi="Georgia"/>
          <w:i/>
          <w:szCs w:val="24"/>
        </w:rPr>
        <w:t xml:space="preserve">isnad </w:t>
      </w:r>
      <w:r w:rsidRPr="00570082">
        <w:rPr>
          <w:rFonts w:ascii="Georgia" w:hAnsi="Georgia"/>
          <w:szCs w:val="24"/>
        </w:rPr>
        <w:t>or chain of transmission, although they hold a role in explaining the Qur'an. The advocates of changes in understanding of Islam were motivated by a variety of factors - political, philosophical, social, economic, and/or religious in character. Frequently, reform could be sought in response to a shift in historical circumstances: invasion, expansion, colonialism and emigration have all stimulated reappraisals at various times to Islamic ways of life. These challenges may be seen as Divinely inspired, perhaps punishments, in which recourse has been made to Qur'anic precedents as a means to understand and respond to the threats or changes.</w:t>
      </w:r>
    </w:p>
    <w:p w14:paraId="299B9BE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1B9E7C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stimulus might incorporate a need to return to the tradition of the first Muslim community, to see how Muhammad, and the Companions, dealt with analogous situations, through examination of the Qur'an, Hadith, and biographical sources. Similar motivation for change and reappraisal has been found through ideological shifts (exposure to new ideas, locations and circumstances). The expansion of Islam saw an integration of pre-Islamic customs within new Islamic frameworks, raising new questions for which a fresh perspective and a new precedent were sought. Dissatisfaction with the </w:t>
      </w:r>
      <w:r w:rsidRPr="00570082">
        <w:rPr>
          <w:rFonts w:ascii="Georgia" w:hAnsi="Georgia"/>
          <w:i/>
          <w:szCs w:val="24"/>
        </w:rPr>
        <w:t>status quo</w:t>
      </w:r>
      <w:r w:rsidRPr="00570082">
        <w:rPr>
          <w:rFonts w:ascii="Georgia" w:hAnsi="Georgia"/>
          <w:szCs w:val="24"/>
        </w:rPr>
        <w:t xml:space="preserve">, where a deterioration or stagnation in society has been blamed upon a ‘failure’ to interpret Islam correctly or the need for a more complete or refined understanding, has led to attempts at reform in political and religious contexts. </w:t>
      </w:r>
    </w:p>
    <w:p w14:paraId="63FCBF5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245397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There may be desire to follow the 'straight path', or even relocate it amidst the maze of alternatives generated through history. It is not necessarily true that the advocates of change agree with one another. The 'reforms' themselves have been articulated in various forms (written, printed, oral, broadcast), and may be ignored by many, seen as a threat by authorities, or imposed upon an unwilling population. There may or may not be an element of consensus ('</w:t>
      </w:r>
      <w:r w:rsidRPr="00570082">
        <w:rPr>
          <w:rFonts w:ascii="Georgia" w:hAnsi="Georgia"/>
          <w:i/>
          <w:szCs w:val="24"/>
        </w:rPr>
        <w:t>ijma</w:t>
      </w:r>
      <w:r w:rsidRPr="00570082">
        <w:rPr>
          <w:rFonts w:ascii="Georgia" w:hAnsi="Georgia"/>
          <w:szCs w:val="24"/>
        </w:rPr>
        <w:t xml:space="preserve">), and the reasoning behind reforms may disguise ulterior political agendas which could equate with sincerely-held Islamic beliefs (this depends of the level of cynicism of an observer). There is no single type of 'reform': it could range from ‘ultra-conservative’, tradition centred Islam to modernizing reforms integrating Islamic thought with elements considered by others as 'secular' or 'un-Islamic'. </w:t>
      </w:r>
    </w:p>
    <w:p w14:paraId="64BB0B7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6B377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four </w:t>
      </w:r>
      <w:r w:rsidRPr="00570082">
        <w:rPr>
          <w:rFonts w:ascii="Georgia" w:hAnsi="Georgia"/>
          <w:i/>
          <w:szCs w:val="24"/>
        </w:rPr>
        <w:t>madhahib al-fiqhiyya</w:t>
      </w:r>
      <w:r w:rsidRPr="00570082">
        <w:rPr>
          <w:rFonts w:ascii="Georgia" w:hAnsi="Georgia"/>
          <w:szCs w:val="24"/>
        </w:rPr>
        <w:t xml:space="preserve"> (‘schools’ of jurisprudence) are particular reference points in analyses of interpretations of Islam, and may raise the issue of differentials between esoteric and exoteric understandings of Islam. Throughout Islamic history, Muslims have asked whether everything can be understood from the Qur'an plainly and directly, or whether through analyses of 'hidden' textual qualities and messages, there is an esoteric side which needs to be explored in order that the Qur'an can be fully understood.  Such questions have not always been in the mainstream of thought, those in authority often believing such speculation to be a heretical threat.</w:t>
      </w:r>
    </w:p>
    <w:p w14:paraId="5DF7589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50F8ED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Diverse Sufi interpretations have also endeavoured to bring new (not always welcome) perspectives to understandings of Islam, which have in turn been linked with reform-centred influences and endeavours. Some see this as a challenge to how pragmatic and viable the Qur'an is in all situations. They may well ask why should there be any reliance on subsequent texts and new interpretations, when Muhammad was the seal of Prophethood and everything can be learnt through Qur'an, Sunnah and Hadith?</w:t>
      </w:r>
    </w:p>
    <w:p w14:paraId="70E6FDE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8A8862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varied interpretations of the Qur'an are a natural part of Islam. There can be agreement on specific unifying principles although even these can be open to different interpretations. Additionally, the Qur'an (if not its interpretation by scholars), Muhammad, and the </w:t>
      </w:r>
      <w:r w:rsidRPr="00570082">
        <w:rPr>
          <w:rFonts w:ascii="Georgia" w:hAnsi="Georgia"/>
          <w:i/>
          <w:szCs w:val="24"/>
        </w:rPr>
        <w:t>Ka'bah</w:t>
      </w:r>
      <w:r w:rsidRPr="00570082">
        <w:rPr>
          <w:rFonts w:ascii="Georgia" w:hAnsi="Georgia"/>
          <w:szCs w:val="24"/>
        </w:rPr>
        <w:t xml:space="preserve"> are other potential unifying points. In endeavouring to create fresh understandings of Islam, these fundamental points are rarely in doubt. </w:t>
      </w:r>
    </w:p>
    <w:p w14:paraId="243049C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B8B6AE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has been said that critics emphasise the disunity, rather than any unity. The pragmatic recognition of difference has been a feature of Islamic interpretations from the time of the first Medina community. There is a danger of critics attacking Islam for something it never sought, and attempting to squeeze Islam into confines Muslims themselves feel are narrow and restrictive - what certain interpreters would then describe as 'fundamentalist'.</w:t>
      </w:r>
    </w:p>
    <w:p w14:paraId="5E90F3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9D3245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It is possible to conclude that the mechanisms within Islam, Revealed and interpreted esoterically and exoterically, were intended to accommodate a basic flexibility of viewpoints in matters outside the scope of the </w:t>
      </w:r>
      <w:r w:rsidRPr="00570082">
        <w:rPr>
          <w:rFonts w:ascii="Georgia" w:hAnsi="Georgia"/>
          <w:i/>
          <w:szCs w:val="24"/>
        </w:rPr>
        <w:t>central tenets</w:t>
      </w:r>
      <w:r w:rsidRPr="00570082">
        <w:rPr>
          <w:rFonts w:ascii="Georgia" w:hAnsi="Georgia"/>
          <w:szCs w:val="24"/>
        </w:rPr>
        <w:t xml:space="preserve">. If the </w:t>
      </w:r>
      <w:r w:rsidRPr="00570082">
        <w:rPr>
          <w:rFonts w:ascii="Georgia" w:hAnsi="Georgia"/>
          <w:i/>
          <w:szCs w:val="24"/>
        </w:rPr>
        <w:t>Sunnah</w:t>
      </w:r>
      <w:r w:rsidRPr="00570082">
        <w:rPr>
          <w:rFonts w:ascii="Georgia" w:hAnsi="Georgia"/>
          <w:szCs w:val="24"/>
        </w:rPr>
        <w:t xml:space="preserve"> and </w:t>
      </w:r>
      <w:r w:rsidRPr="00570082">
        <w:rPr>
          <w:rFonts w:ascii="Georgia" w:hAnsi="Georgia"/>
          <w:i/>
          <w:szCs w:val="24"/>
        </w:rPr>
        <w:t>Hadith</w:t>
      </w:r>
      <w:r w:rsidRPr="00570082">
        <w:rPr>
          <w:rFonts w:ascii="Georgia" w:hAnsi="Georgia"/>
          <w:szCs w:val="24"/>
        </w:rPr>
        <w:t xml:space="preserve"> are brought into the equation, here we have a corpus of material drawn together through diverse sources and channels - graded according to their provenance and authenticity  - which provided a sense of the thoughts, sayings and actions of God’s Prophet. The dependence on the exactitude of the sources is reflected in provision of, on occasion, several different versions of an event or saying - whereas the Qur'an provides one definitive, Divinely Revealed text. Depending on the </w:t>
      </w:r>
      <w:r w:rsidRPr="00570082">
        <w:rPr>
          <w:rFonts w:ascii="Georgia" w:hAnsi="Georgia"/>
          <w:i/>
          <w:szCs w:val="24"/>
        </w:rPr>
        <w:t>surah</w:t>
      </w:r>
      <w:r w:rsidRPr="00570082">
        <w:rPr>
          <w:rFonts w:ascii="Georgia" w:hAnsi="Georgia"/>
          <w:szCs w:val="24"/>
        </w:rPr>
        <w:t xml:space="preserve"> i.e. whether it is understood as having a general context (</w:t>
      </w:r>
      <w:r w:rsidRPr="00570082">
        <w:rPr>
          <w:rFonts w:ascii="Georgia" w:hAnsi="Georgia"/>
          <w:i/>
          <w:szCs w:val="24"/>
        </w:rPr>
        <w:t>'amm)</w:t>
      </w:r>
      <w:r w:rsidRPr="00570082">
        <w:rPr>
          <w:rFonts w:ascii="Georgia" w:hAnsi="Georgia"/>
          <w:szCs w:val="24"/>
        </w:rPr>
        <w:t>, or a particular context (</w:t>
      </w:r>
      <w:r w:rsidRPr="00570082">
        <w:rPr>
          <w:rFonts w:ascii="Georgia" w:hAnsi="Georgia"/>
          <w:i/>
          <w:szCs w:val="24"/>
        </w:rPr>
        <w:t>khass</w:t>
      </w:r>
      <w:r w:rsidRPr="00570082">
        <w:rPr>
          <w:rFonts w:ascii="Georgia" w:hAnsi="Georgia"/>
          <w:szCs w:val="24"/>
        </w:rPr>
        <w:t>) it may be open to variable readings and meanings - whilst the Arabic text itself remains consistent.</w:t>
      </w:r>
    </w:p>
    <w:p w14:paraId="34262D7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7AB24D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possibility of there being several different forms (and therefore understandings) of the Qur'an was prevented – according to tradition - when 'Umar ibn al-Khattab impressed on then-Caliph Abu Bakr the need to preserve a single textual form of the Qur'an: the task was undertaken by Muhammad's scribe, Zayd Ibn Thabit al-Ansan, and Abu Bakr's text was made standard by 'Uthman ibn 'Affan. The diversity in </w:t>
      </w:r>
      <w:r w:rsidRPr="00570082">
        <w:rPr>
          <w:rFonts w:ascii="Georgia" w:hAnsi="Georgia"/>
          <w:i/>
          <w:szCs w:val="24"/>
        </w:rPr>
        <w:t>ahruf</w:t>
      </w:r>
      <w:r w:rsidRPr="00570082">
        <w:rPr>
          <w:rFonts w:ascii="Georgia" w:hAnsi="Georgia"/>
          <w:szCs w:val="24"/>
        </w:rPr>
        <w:t xml:space="preserve"> dialects meant that several were approved by Muhammad for recitation use, but this was rescinded during the period of 'Uthman ibn 'Affan, because confusion and ambiguity were developing. The Quraysh dialect was used as the standard text, although in recitation three dialectal variations were allowed. </w:t>
      </w:r>
      <w:r w:rsidRPr="00570082">
        <w:rPr>
          <w:rStyle w:val="EndnoteReference"/>
          <w:rFonts w:ascii="Georgia" w:hAnsi="Georgia"/>
          <w:szCs w:val="24"/>
        </w:rPr>
        <w:endnoteReference w:id="5"/>
      </w:r>
      <w:r w:rsidRPr="00570082">
        <w:rPr>
          <w:rFonts w:ascii="Georgia" w:hAnsi="Georgia"/>
          <w:szCs w:val="24"/>
        </w:rPr>
        <w:t xml:space="preserve"> </w:t>
      </w:r>
    </w:p>
    <w:p w14:paraId="3BB13A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920030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However, depending on the </w:t>
      </w:r>
      <w:r w:rsidRPr="00570082">
        <w:rPr>
          <w:rFonts w:ascii="Georgia" w:hAnsi="Georgia"/>
          <w:i/>
          <w:szCs w:val="24"/>
        </w:rPr>
        <w:t>surah,</w:t>
      </w:r>
      <w:r w:rsidRPr="00570082">
        <w:rPr>
          <w:rFonts w:ascii="Georgia" w:hAnsi="Georgia"/>
          <w:szCs w:val="24"/>
        </w:rPr>
        <w:t xml:space="preserve"> several different (not necessarily complementary) </w:t>
      </w:r>
      <w:r w:rsidRPr="00570082">
        <w:rPr>
          <w:rFonts w:ascii="Georgia" w:hAnsi="Georgia"/>
          <w:i/>
          <w:szCs w:val="24"/>
        </w:rPr>
        <w:t>interpretations</w:t>
      </w:r>
      <w:r w:rsidRPr="00570082">
        <w:rPr>
          <w:rFonts w:ascii="Georgia" w:hAnsi="Georgia"/>
          <w:szCs w:val="24"/>
        </w:rPr>
        <w:t xml:space="preserve"> may be applied, drawing on different techniques and dependant on the personal situation, background and qualifications of the interpreter(s). This variation in understanding plays a significant role in forming a basis for politically-centred movements, for example if the layers of understanding are believed to obscure the true meaning of the text. There can be a dichotomy between the literal and implied readings of the text, which may lead to a conflict of interests.</w:t>
      </w:r>
    </w:p>
    <w:p w14:paraId="7C20C1D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FB8311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Transformation of ideals into reality requires a common platform of intent, coupled with a realistic education process. Some reformers have suggested that a key to any transformation process would incorporate a casting off of selective anachronistic interpretations of the roots of Islam</w:t>
      </w:r>
      <w:r w:rsidRPr="00570082">
        <w:rPr>
          <w:rFonts w:ascii="Georgia" w:hAnsi="Georgia"/>
          <w:i/>
          <w:szCs w:val="24"/>
        </w:rPr>
        <w:t>,</w:t>
      </w:r>
      <w:r w:rsidRPr="00570082">
        <w:rPr>
          <w:rFonts w:ascii="Georgia" w:hAnsi="Georgia"/>
          <w:szCs w:val="24"/>
        </w:rPr>
        <w:t xml:space="preserve"> invoking instead recognition of certain interpretations of Islamic principles, deemed as purifying existing belief-frameworks within the Muslim communities.</w:t>
      </w:r>
    </w:p>
    <w:p w14:paraId="284001D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A928D3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approach of the reformer may not necessarily be seen as for the common good of a Muslim community. </w:t>
      </w:r>
      <w:r w:rsidRPr="00570082">
        <w:rPr>
          <w:rFonts w:ascii="Georgia" w:hAnsi="Georgia"/>
          <w:i/>
          <w:szCs w:val="24"/>
        </w:rPr>
        <w:t>‘Reform’</w:t>
      </w:r>
      <w:r w:rsidRPr="00570082">
        <w:rPr>
          <w:rFonts w:ascii="Georgia" w:hAnsi="Georgia"/>
          <w:szCs w:val="24"/>
        </w:rPr>
        <w:t xml:space="preserve"> may occur on a local, national, or international basis and could take many years (if at all) to work its way into common Islamic practice. It may be seen by outsiders as permitted customary behaviour (</w:t>
      </w:r>
      <w:r w:rsidRPr="00570082">
        <w:rPr>
          <w:rFonts w:ascii="Georgia" w:hAnsi="Georgia"/>
          <w:i/>
          <w:szCs w:val="24"/>
        </w:rPr>
        <w:t>'urf)</w:t>
      </w:r>
      <w:r w:rsidRPr="00570082">
        <w:rPr>
          <w:rFonts w:ascii="Georgia" w:hAnsi="Georgia"/>
          <w:szCs w:val="24"/>
        </w:rPr>
        <w:t xml:space="preserve"> or as heretical innovation (</w:t>
      </w:r>
      <w:r w:rsidRPr="00570082">
        <w:rPr>
          <w:rFonts w:ascii="Georgia" w:hAnsi="Georgia"/>
          <w:i/>
          <w:szCs w:val="24"/>
        </w:rPr>
        <w:t>bidah</w:t>
      </w:r>
      <w:r w:rsidRPr="00570082">
        <w:rPr>
          <w:rFonts w:ascii="Georgia" w:hAnsi="Georgia"/>
          <w:szCs w:val="24"/>
        </w:rPr>
        <w:t xml:space="preserve">). It may only be a practice of a small community, under the guidance of a single </w:t>
      </w:r>
      <w:r w:rsidRPr="00570082">
        <w:rPr>
          <w:rFonts w:ascii="Georgia" w:hAnsi="Georgia"/>
          <w:i/>
          <w:szCs w:val="24"/>
        </w:rPr>
        <w:t>imam</w:t>
      </w:r>
      <w:r w:rsidRPr="00570082">
        <w:rPr>
          <w:rFonts w:ascii="Georgia" w:hAnsi="Georgia"/>
          <w:szCs w:val="24"/>
        </w:rPr>
        <w:t xml:space="preserve">, or even be implemented on a personal basis alone (it could die with its instigator). This could be personal </w:t>
      </w:r>
      <w:r w:rsidRPr="00570082">
        <w:rPr>
          <w:rFonts w:ascii="Georgia" w:hAnsi="Georgia"/>
          <w:i/>
          <w:szCs w:val="24"/>
        </w:rPr>
        <w:t>ijtihad</w:t>
      </w:r>
      <w:r w:rsidRPr="00570082">
        <w:rPr>
          <w:rFonts w:ascii="Georgia" w:hAnsi="Georgia"/>
          <w:szCs w:val="24"/>
        </w:rPr>
        <w:t xml:space="preserve"> or it might require the publication of an authoritative religious opinion (</w:t>
      </w:r>
      <w:r w:rsidRPr="00570082">
        <w:rPr>
          <w:rFonts w:ascii="Georgia" w:hAnsi="Georgia"/>
          <w:i/>
          <w:szCs w:val="24"/>
        </w:rPr>
        <w:t>fatwa)</w:t>
      </w:r>
      <w:r w:rsidRPr="00570082">
        <w:rPr>
          <w:rFonts w:ascii="Georgia" w:hAnsi="Georgia"/>
          <w:szCs w:val="24"/>
        </w:rPr>
        <w:t xml:space="preserve">: any change in behaviour will not necessarily receive the backing of the masses.  These are significant factors when considering the implications of reform-centred political movements in contemporary contexts. </w:t>
      </w:r>
    </w:p>
    <w:p w14:paraId="233F313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p>
    <w:p w14:paraId="4A510A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3.2.1. Revelation as Reform</w:t>
      </w:r>
      <w:r w:rsidRPr="00570082">
        <w:rPr>
          <w:rFonts w:ascii="Georgia" w:hAnsi="Georgia"/>
          <w:b/>
          <w:szCs w:val="24"/>
        </w:rPr>
        <w:tab/>
      </w:r>
    </w:p>
    <w:p w14:paraId="2205836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88E757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Through receiving Revelation and through his actions, Muhammad could be described as a reformer, in that he endeavoured to change his society along Islamic lines: previous Prophets, who were Muslim, had paved the way for the Final Prophets:</w:t>
      </w:r>
    </w:p>
    <w:p w14:paraId="1C3DEDF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EDDEC8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"Mankind was one single nation, and God sent Messengers with glad tidings and warnings; and with them he sent the Book in truth, to judge between people in matters wherein they differed."</w:t>
      </w:r>
      <w:r w:rsidRPr="00570082">
        <w:rPr>
          <w:rStyle w:val="EndnoteReference"/>
          <w:rFonts w:ascii="Georgia" w:hAnsi="Georgia"/>
          <w:szCs w:val="24"/>
        </w:rPr>
        <w:endnoteReference w:id="6"/>
      </w:r>
    </w:p>
    <w:p w14:paraId="72C6BBF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251DC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Muhammad's actions were interpreted as additional sources of inspiration, although the Qur'an stressed that he was an ordinary man and did not have divine status:</w:t>
      </w:r>
    </w:p>
    <w:p w14:paraId="23F39C9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CAB25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"Say: I have no power over any good or harm to myself except as God willeth. If I had knowledge of the unseen, I should have multiplied all good, and no evil should have touched me: I am but a warner, and a bringer of glad tidings to those who have faith." </w:t>
      </w:r>
      <w:r w:rsidRPr="00570082">
        <w:rPr>
          <w:rStyle w:val="EndnoteReference"/>
          <w:rFonts w:ascii="Georgia" w:hAnsi="Georgia"/>
          <w:szCs w:val="24"/>
        </w:rPr>
        <w:endnoteReference w:id="7"/>
      </w:r>
    </w:p>
    <w:p w14:paraId="2228352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8CF86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did not prevent subsequent interpreters according Muhammad qualities which might be seen – in some cases - as 'divine'. Muhammad's actions were closely observed and subsequently recorded in different collections of </w:t>
      </w:r>
      <w:r w:rsidRPr="00570082">
        <w:rPr>
          <w:rFonts w:ascii="Georgia" w:hAnsi="Georgia"/>
          <w:i/>
          <w:szCs w:val="24"/>
        </w:rPr>
        <w:t>hadith</w:t>
      </w:r>
      <w:r w:rsidRPr="00570082">
        <w:rPr>
          <w:rFonts w:ascii="Georgia" w:hAnsi="Georgia"/>
          <w:szCs w:val="24"/>
        </w:rPr>
        <w:t xml:space="preserve"> narrations, which recorded the </w:t>
      </w:r>
      <w:r w:rsidRPr="00570082">
        <w:rPr>
          <w:rFonts w:ascii="Georgia" w:hAnsi="Georgia"/>
          <w:i/>
          <w:szCs w:val="24"/>
        </w:rPr>
        <w:t>sunnah</w:t>
      </w:r>
      <w:r w:rsidRPr="00570082">
        <w:rPr>
          <w:rFonts w:ascii="Georgia" w:hAnsi="Georgia"/>
          <w:szCs w:val="24"/>
        </w:rPr>
        <w:t xml:space="preserve"> laws. </w:t>
      </w:r>
      <w:r w:rsidRPr="00570082">
        <w:rPr>
          <w:rFonts w:ascii="Georgia" w:hAnsi="Georgia"/>
          <w:i/>
          <w:szCs w:val="24"/>
        </w:rPr>
        <w:t xml:space="preserve">Hadith </w:t>
      </w:r>
      <w:r w:rsidRPr="00570082">
        <w:rPr>
          <w:rFonts w:ascii="Georgia" w:hAnsi="Georgia"/>
          <w:szCs w:val="24"/>
        </w:rPr>
        <w:t xml:space="preserve">indicated Islamic actions and duties not clearly articulated within the Qur'‘an: for example, the form of </w:t>
      </w:r>
      <w:r w:rsidRPr="00570082">
        <w:rPr>
          <w:rFonts w:ascii="Georgia" w:hAnsi="Georgia"/>
          <w:i/>
          <w:szCs w:val="24"/>
        </w:rPr>
        <w:t>salat</w:t>
      </w:r>
      <w:r w:rsidRPr="00570082">
        <w:rPr>
          <w:rFonts w:ascii="Georgia" w:hAnsi="Georgia"/>
          <w:szCs w:val="24"/>
        </w:rPr>
        <w:t xml:space="preserve"> and details on performing </w:t>
      </w:r>
      <w:r w:rsidRPr="00570082">
        <w:rPr>
          <w:rFonts w:ascii="Georgia" w:hAnsi="Georgia"/>
          <w:i/>
          <w:szCs w:val="24"/>
        </w:rPr>
        <w:t>hajj</w:t>
      </w:r>
      <w:r w:rsidRPr="00570082">
        <w:rPr>
          <w:rFonts w:ascii="Georgia" w:hAnsi="Georgia"/>
          <w:szCs w:val="24"/>
        </w:rPr>
        <w:t xml:space="preserve">. The language of Muhammad and his actions can be interpreted within a ‘political framework’, one that is contemporary to seventh century Arabian frameworks, but also relevant within diverse historical and contemporary contexts.  The division between and within ‘politics’ and ‘religion’ may be deemed as negligible, dependent upon the interpretative framework. </w:t>
      </w:r>
    </w:p>
    <w:p w14:paraId="6A23822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F46000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Revelations received by Muhammad were themselves pragmatic and evolutionary: the demands upon the growing community became progressively more rigid, demonstrated in the differences between the Mecca and Medina </w:t>
      </w:r>
      <w:r w:rsidRPr="00570082">
        <w:rPr>
          <w:rFonts w:ascii="Georgia" w:hAnsi="Georgia"/>
          <w:i/>
          <w:szCs w:val="24"/>
        </w:rPr>
        <w:t>surah</w:t>
      </w:r>
      <w:r w:rsidRPr="00570082">
        <w:rPr>
          <w:rFonts w:ascii="Georgia" w:hAnsi="Georgia"/>
          <w:szCs w:val="24"/>
        </w:rPr>
        <w:t xml:space="preserve">. As the community developed, the exhortation-centred </w:t>
      </w:r>
      <w:r w:rsidRPr="00570082">
        <w:rPr>
          <w:rFonts w:ascii="Georgia" w:hAnsi="Georgia"/>
          <w:i/>
          <w:szCs w:val="24"/>
        </w:rPr>
        <w:t>'ayah</w:t>
      </w:r>
      <w:r w:rsidRPr="00570082">
        <w:rPr>
          <w:rFonts w:ascii="Georgia" w:hAnsi="Georgia"/>
          <w:szCs w:val="24"/>
        </w:rPr>
        <w:t xml:space="preserve"> were augmented or superseded by Revelation providing clear instructions and commands, adapting to the conditions and issues facing the developing Muslim state of Medina. Following the death of Muhammad in 632 C.E., according to Sunni tradition the period of the first four Caliphs saw a clarification of Islam as the Muslim state expanded. This clarification required an adaptation of earlier practices.</w:t>
      </w:r>
    </w:p>
    <w:p w14:paraId="6B7C7DF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p>
    <w:p w14:paraId="21F929C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3.2.2.</w:t>
      </w:r>
      <w:r w:rsidRPr="00570082">
        <w:rPr>
          <w:rFonts w:ascii="Georgia" w:hAnsi="Georgia"/>
          <w:b/>
          <w:szCs w:val="24"/>
        </w:rPr>
        <w:tab/>
        <w:t xml:space="preserve"> Evolution of the Reform Paradigm</w:t>
      </w:r>
    </w:p>
    <w:p w14:paraId="6EC5527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2F8C95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Salafi</w:t>
      </w:r>
      <w:r w:rsidRPr="00570082">
        <w:rPr>
          <w:rFonts w:ascii="Georgia" w:hAnsi="Georgia"/>
          <w:szCs w:val="24"/>
        </w:rPr>
        <w:t xml:space="preserve"> Companions of the Prophet were interpreted by some 'schools', such as that of Malik Ibn Anas (712-795), as being additional exempla to follow. The </w:t>
      </w:r>
      <w:r w:rsidRPr="00570082">
        <w:rPr>
          <w:rFonts w:ascii="Georgia" w:hAnsi="Georgia"/>
          <w:i/>
          <w:szCs w:val="24"/>
        </w:rPr>
        <w:t xml:space="preserve">Hadith </w:t>
      </w:r>
      <w:r w:rsidRPr="00570082">
        <w:rPr>
          <w:rFonts w:ascii="Georgia" w:hAnsi="Georgia"/>
          <w:szCs w:val="24"/>
        </w:rPr>
        <w:t>collections were complementary sources to the Qur'an, although their importance varied: Ibn Hanbal (780-855), whose outlook was strongly centred around the Qur'an and Sunnah, indicated that a weak hadith was preferable to strong analogical reasoning (</w:t>
      </w:r>
      <w:r w:rsidRPr="00570082">
        <w:rPr>
          <w:rFonts w:ascii="Georgia" w:hAnsi="Georgia"/>
          <w:i/>
          <w:szCs w:val="24"/>
        </w:rPr>
        <w:t>qiyas</w:t>
      </w:r>
      <w:r w:rsidRPr="00570082">
        <w:rPr>
          <w:rFonts w:ascii="Georgia" w:hAnsi="Georgia"/>
          <w:szCs w:val="24"/>
        </w:rPr>
        <w:t xml:space="preserve">): it was better to have a weak source than to hypothesise. Ibn Hanbal stressed unity of divergent alignments of Islam, and inspired later reformers including Ibn Taymiyya and Ibn Qayyim al-Jawziyya, who in turn influenced a significant line of advocates of </w:t>
      </w:r>
      <w:r w:rsidRPr="00570082">
        <w:rPr>
          <w:rFonts w:ascii="Georgia" w:hAnsi="Georgia"/>
          <w:i/>
          <w:szCs w:val="24"/>
        </w:rPr>
        <w:t>tajdid.</w:t>
      </w:r>
      <w:r w:rsidRPr="00570082">
        <w:rPr>
          <w:rStyle w:val="EndnoteReference"/>
          <w:rFonts w:ascii="Georgia" w:hAnsi="Georgia"/>
          <w:szCs w:val="24"/>
        </w:rPr>
        <w:endnoteReference w:id="8"/>
      </w:r>
      <w:r w:rsidRPr="00570082">
        <w:rPr>
          <w:rFonts w:ascii="Georgia" w:hAnsi="Georgia"/>
          <w:szCs w:val="24"/>
        </w:rPr>
        <w:t xml:space="preserve">    </w:t>
      </w:r>
    </w:p>
    <w:p w14:paraId="3D51C8A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58AAC2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four </w:t>
      </w:r>
      <w:r w:rsidRPr="00570082">
        <w:rPr>
          <w:rFonts w:ascii="Georgia" w:hAnsi="Georgia"/>
          <w:i/>
          <w:szCs w:val="24"/>
        </w:rPr>
        <w:t>madhahib al-fiqhiyya</w:t>
      </w:r>
      <w:r w:rsidRPr="00570082">
        <w:rPr>
          <w:rFonts w:ascii="Georgia" w:hAnsi="Georgia"/>
          <w:szCs w:val="24"/>
        </w:rPr>
        <w:t xml:space="preserve"> were not integrated, and do not necessarily agree with each other. Their analytical techniques vary. The four </w:t>
      </w:r>
      <w:r w:rsidRPr="00570082">
        <w:rPr>
          <w:rFonts w:ascii="Georgia" w:hAnsi="Georgia"/>
          <w:i/>
          <w:szCs w:val="24"/>
        </w:rPr>
        <w:t>imams</w:t>
      </w:r>
      <w:r w:rsidRPr="00570082">
        <w:rPr>
          <w:rFonts w:ascii="Georgia" w:hAnsi="Georgia"/>
          <w:szCs w:val="24"/>
        </w:rPr>
        <w:t xml:space="preserve"> lived in different parts of </w:t>
      </w:r>
      <w:r w:rsidRPr="00570082">
        <w:rPr>
          <w:rFonts w:ascii="Georgia" w:hAnsi="Georgia"/>
          <w:i/>
          <w:szCs w:val="24"/>
        </w:rPr>
        <w:t>dar-ul-Islam</w:t>
      </w:r>
      <w:r w:rsidRPr="00570082">
        <w:rPr>
          <w:rFonts w:ascii="Georgia" w:hAnsi="Georgia"/>
          <w:szCs w:val="24"/>
        </w:rPr>
        <w:t xml:space="preserve">, at different times during the seventh and eighth centuries. Hallaq notes that there could be a considerable delay between compiling a collection of </w:t>
      </w:r>
      <w:r w:rsidRPr="00570082">
        <w:rPr>
          <w:rFonts w:ascii="Georgia" w:hAnsi="Georgia"/>
          <w:i/>
          <w:szCs w:val="24"/>
        </w:rPr>
        <w:t xml:space="preserve">usul ul-fiqh </w:t>
      </w:r>
      <w:r w:rsidRPr="00570082">
        <w:rPr>
          <w:rFonts w:ascii="Georgia" w:hAnsi="Georgia"/>
          <w:szCs w:val="24"/>
        </w:rPr>
        <w:t>and its subsequent transmission and utilisation.</w:t>
      </w:r>
      <w:r w:rsidRPr="00570082">
        <w:rPr>
          <w:rStyle w:val="EndnoteReference"/>
          <w:rFonts w:ascii="Georgia" w:hAnsi="Georgia"/>
          <w:szCs w:val="24"/>
        </w:rPr>
        <w:endnoteReference w:id="9"/>
      </w:r>
      <w:r w:rsidRPr="00570082">
        <w:rPr>
          <w:rFonts w:ascii="Georgia" w:hAnsi="Georgia"/>
          <w:szCs w:val="24"/>
        </w:rPr>
        <w:t xml:space="preserve">  al-Shafi'i died in 820 C.E., yet his </w:t>
      </w:r>
      <w:r w:rsidRPr="00570082">
        <w:rPr>
          <w:rFonts w:ascii="Georgia" w:hAnsi="Georgia"/>
          <w:i/>
          <w:szCs w:val="24"/>
        </w:rPr>
        <w:t xml:space="preserve">Risala </w:t>
      </w:r>
      <w:r w:rsidRPr="00570082">
        <w:rPr>
          <w:rFonts w:ascii="Georgia" w:hAnsi="Georgia"/>
          <w:szCs w:val="24"/>
        </w:rPr>
        <w:t xml:space="preserve">had little effect during the ninth century. It was seen as a minority view, rejected because it synthesised the then divergent schools of rationalism and traditionalism, and because the appropriate legal tools and language had yet to be determined. In the tenth century, there was an increase in practices described as </w:t>
      </w:r>
      <w:r w:rsidRPr="00570082">
        <w:rPr>
          <w:rFonts w:ascii="Georgia" w:hAnsi="Georgia"/>
          <w:i/>
          <w:szCs w:val="24"/>
        </w:rPr>
        <w:t>usul-ul-fiqh</w:t>
      </w:r>
      <w:r w:rsidRPr="00570082">
        <w:rPr>
          <w:rFonts w:ascii="Georgia" w:hAnsi="Georgia"/>
          <w:szCs w:val="24"/>
        </w:rPr>
        <w:t xml:space="preserve">, and the </w:t>
      </w:r>
      <w:r w:rsidRPr="00570082">
        <w:rPr>
          <w:rFonts w:ascii="Georgia" w:hAnsi="Georgia"/>
          <w:i/>
          <w:szCs w:val="24"/>
        </w:rPr>
        <w:t xml:space="preserve">Risala </w:t>
      </w:r>
      <w:r w:rsidRPr="00570082">
        <w:rPr>
          <w:rFonts w:ascii="Georgia" w:hAnsi="Georgia"/>
          <w:szCs w:val="24"/>
        </w:rPr>
        <w:t>became an increasing source of reference for some. This is a pattern that repeats itself in subsequent era with other pivotal figures in the interpretation of Islam.</w:t>
      </w:r>
      <w:r w:rsidRPr="00570082">
        <w:rPr>
          <w:rStyle w:val="EndnoteReference"/>
          <w:rFonts w:ascii="Georgia" w:hAnsi="Georgia"/>
          <w:szCs w:val="24"/>
        </w:rPr>
        <w:endnoteReference w:id="10"/>
      </w:r>
    </w:p>
    <w:p w14:paraId="33FAD13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83A348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There is continuity in the concept of responding to changing circumstances through pragmatic interpretation of textual sources, whether this was defined as </w:t>
      </w:r>
      <w:r w:rsidRPr="00570082">
        <w:rPr>
          <w:rFonts w:ascii="Georgia" w:hAnsi="Georgia"/>
          <w:i/>
          <w:szCs w:val="24"/>
        </w:rPr>
        <w:t xml:space="preserve">r'ay, ijtihad, </w:t>
      </w:r>
      <w:r w:rsidRPr="00570082">
        <w:rPr>
          <w:rFonts w:ascii="Georgia" w:hAnsi="Georgia"/>
          <w:szCs w:val="24"/>
        </w:rPr>
        <w:t xml:space="preserve">or </w:t>
      </w:r>
      <w:r w:rsidRPr="00570082">
        <w:rPr>
          <w:rFonts w:ascii="Georgia" w:hAnsi="Georgia"/>
          <w:i/>
          <w:szCs w:val="24"/>
        </w:rPr>
        <w:t xml:space="preserve">qiyas, </w:t>
      </w:r>
      <w:r w:rsidRPr="00570082">
        <w:rPr>
          <w:rFonts w:ascii="Georgia" w:hAnsi="Georgia"/>
          <w:szCs w:val="24"/>
        </w:rPr>
        <w:t xml:space="preserve">in order for Islamic ways of life to maintain the closest possible association with the foundation sources. As well as personal selectivity of sources, an interpreter would be influenced by access to learning centres and textual availability. A student of </w:t>
      </w:r>
      <w:r w:rsidRPr="00570082">
        <w:rPr>
          <w:rFonts w:ascii="Georgia" w:hAnsi="Georgia"/>
          <w:i/>
          <w:szCs w:val="24"/>
        </w:rPr>
        <w:t xml:space="preserve">fiqh </w:t>
      </w:r>
      <w:r w:rsidRPr="00570082">
        <w:rPr>
          <w:rFonts w:ascii="Georgia" w:hAnsi="Georgia"/>
          <w:szCs w:val="24"/>
        </w:rPr>
        <w:t xml:space="preserve">would undertake to collect </w:t>
      </w:r>
      <w:r w:rsidRPr="00570082">
        <w:rPr>
          <w:rFonts w:ascii="Georgia" w:hAnsi="Georgia"/>
          <w:i/>
          <w:szCs w:val="24"/>
        </w:rPr>
        <w:t>ijazza</w:t>
      </w:r>
      <w:r w:rsidRPr="00570082">
        <w:rPr>
          <w:rFonts w:ascii="Georgia" w:hAnsi="Georgia"/>
          <w:szCs w:val="24"/>
        </w:rPr>
        <w:t xml:space="preserve"> diplomas from teachers in diverse </w:t>
      </w:r>
      <w:r w:rsidRPr="00570082">
        <w:rPr>
          <w:rFonts w:ascii="Georgia" w:hAnsi="Georgia"/>
          <w:i/>
          <w:szCs w:val="24"/>
        </w:rPr>
        <w:t>madrassahs</w:t>
      </w:r>
      <w:r w:rsidRPr="00570082">
        <w:rPr>
          <w:rFonts w:ascii="Georgia" w:hAnsi="Georgia"/>
          <w:szCs w:val="24"/>
        </w:rPr>
        <w:t>, knowledge being transmitted orally and in written form. For example, Abu Ja'far M.B. Tabari (839-923 C.E.) collected hadiths from orthodox Sunni sources in Kufa, Basra, Syria, Egypt, and Baghdad: hadiths originated from authorities including the four caliphs, A'isha, and companions of the Prophet - notably 'Ibn 'Abbas</w:t>
      </w:r>
      <w:r w:rsidRPr="00570082">
        <w:rPr>
          <w:rFonts w:ascii="Georgia" w:hAnsi="Georgia"/>
          <w:i/>
          <w:szCs w:val="24"/>
        </w:rPr>
        <w:t xml:space="preserve">. </w:t>
      </w:r>
      <w:r w:rsidRPr="00570082">
        <w:rPr>
          <w:rFonts w:ascii="Georgia" w:hAnsi="Georgia"/>
          <w:szCs w:val="24"/>
        </w:rPr>
        <w:t xml:space="preserve">Tabari subsequently produced several important works on Islam, significantly his </w:t>
      </w:r>
      <w:r w:rsidRPr="00570082">
        <w:rPr>
          <w:rFonts w:ascii="Georgia" w:hAnsi="Georgia"/>
          <w:i/>
          <w:szCs w:val="24"/>
        </w:rPr>
        <w:t>tafsir</w:t>
      </w:r>
      <w:r w:rsidRPr="00570082">
        <w:rPr>
          <w:rFonts w:ascii="Georgia" w:hAnsi="Georgia"/>
          <w:szCs w:val="24"/>
        </w:rPr>
        <w:t>, a commentary on the Qur’an  whose function was to provide specialised understanding of the meaning of the ‘Qur’an to address significant questions facing the Muslim community.</w:t>
      </w:r>
      <w:r w:rsidRPr="00570082">
        <w:rPr>
          <w:rStyle w:val="EndnoteReference"/>
          <w:rFonts w:ascii="Georgia" w:hAnsi="Georgia"/>
          <w:szCs w:val="24"/>
        </w:rPr>
        <w:endnoteReference w:id="11"/>
      </w:r>
    </w:p>
    <w:p w14:paraId="2BFD11C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6A0D69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Tabari's </w:t>
      </w:r>
      <w:r w:rsidRPr="00570082">
        <w:rPr>
          <w:rFonts w:ascii="Georgia" w:hAnsi="Georgia"/>
          <w:i/>
          <w:szCs w:val="24"/>
        </w:rPr>
        <w:t xml:space="preserve">tafsir </w:t>
      </w:r>
      <w:r w:rsidRPr="00570082">
        <w:rPr>
          <w:rFonts w:ascii="Georgia" w:hAnsi="Georgia"/>
          <w:szCs w:val="24"/>
        </w:rPr>
        <w:t xml:space="preserve">influenced on subsequent commentators, being transmitted in oral and written forms. Tabari's students would themselves have played a pivotal role in transmitting the </w:t>
      </w:r>
      <w:r w:rsidRPr="00570082">
        <w:rPr>
          <w:rFonts w:ascii="Georgia" w:hAnsi="Georgia"/>
          <w:i/>
          <w:szCs w:val="24"/>
        </w:rPr>
        <w:t>tafsir</w:t>
      </w:r>
      <w:r w:rsidRPr="00570082">
        <w:rPr>
          <w:rFonts w:ascii="Georgia" w:hAnsi="Georgia"/>
          <w:szCs w:val="24"/>
        </w:rPr>
        <w:t xml:space="preserve"> to future generations.  The role of </w:t>
      </w:r>
      <w:r w:rsidRPr="00570082">
        <w:rPr>
          <w:rFonts w:ascii="Georgia" w:hAnsi="Georgia"/>
          <w:i/>
          <w:szCs w:val="24"/>
        </w:rPr>
        <w:t>tafsir</w:t>
      </w:r>
      <w:r w:rsidRPr="00570082">
        <w:rPr>
          <w:rFonts w:ascii="Georgia" w:hAnsi="Georgia"/>
          <w:szCs w:val="24"/>
        </w:rPr>
        <w:t xml:space="preserve"> needs to be explored further, to determine its influence on </w:t>
      </w:r>
      <w:r w:rsidRPr="00570082">
        <w:rPr>
          <w:rFonts w:ascii="Georgia" w:hAnsi="Georgia"/>
          <w:i/>
          <w:szCs w:val="24"/>
        </w:rPr>
        <w:t>tajdid</w:t>
      </w:r>
      <w:r w:rsidRPr="00570082">
        <w:rPr>
          <w:rFonts w:ascii="Georgia" w:hAnsi="Georgia"/>
          <w:szCs w:val="24"/>
        </w:rPr>
        <w:t xml:space="preserve">. Writers of </w:t>
      </w:r>
      <w:r w:rsidRPr="00570082">
        <w:rPr>
          <w:rFonts w:ascii="Georgia" w:hAnsi="Georgia"/>
          <w:i/>
          <w:szCs w:val="24"/>
        </w:rPr>
        <w:t>tafsir</w:t>
      </w:r>
      <w:r w:rsidRPr="00570082">
        <w:rPr>
          <w:rFonts w:ascii="Georgia" w:hAnsi="Georgia"/>
          <w:szCs w:val="24"/>
        </w:rPr>
        <w:t xml:space="preserve"> faced the same influences as commentators of </w:t>
      </w:r>
      <w:r w:rsidRPr="00570082">
        <w:rPr>
          <w:rFonts w:ascii="Georgia" w:hAnsi="Georgia"/>
          <w:i/>
          <w:szCs w:val="24"/>
        </w:rPr>
        <w:t xml:space="preserve">usul-ul-fiqh </w:t>
      </w:r>
      <w:r w:rsidRPr="00570082">
        <w:rPr>
          <w:rFonts w:ascii="Georgia" w:hAnsi="Georgia"/>
          <w:szCs w:val="24"/>
        </w:rPr>
        <w:t xml:space="preserve">(the two are not exclusive occupations). Later advocates of renewal and reform themselves produced </w:t>
      </w:r>
      <w:r w:rsidRPr="00570082">
        <w:rPr>
          <w:rFonts w:ascii="Georgia" w:hAnsi="Georgia"/>
          <w:i/>
          <w:szCs w:val="24"/>
        </w:rPr>
        <w:t>tafsir</w:t>
      </w:r>
      <w:r w:rsidRPr="00570082">
        <w:rPr>
          <w:rFonts w:ascii="Georgia" w:hAnsi="Georgia"/>
          <w:szCs w:val="24"/>
        </w:rPr>
        <w:t xml:space="preserve">, notably Muhammad 'Abduh. </w:t>
      </w:r>
      <w:r w:rsidRPr="00570082">
        <w:rPr>
          <w:rFonts w:ascii="Georgia" w:hAnsi="Georgia"/>
          <w:i/>
          <w:szCs w:val="24"/>
        </w:rPr>
        <w:t>Tafsir</w:t>
      </w:r>
      <w:r w:rsidRPr="00570082">
        <w:rPr>
          <w:rFonts w:ascii="Georgia" w:hAnsi="Georgia"/>
          <w:szCs w:val="24"/>
        </w:rPr>
        <w:t xml:space="preserve"> could promote Sufi interpretations of Islam (e.g. Ibn al-Arabi </w:t>
      </w:r>
      <w:r w:rsidRPr="00570082">
        <w:rPr>
          <w:rFonts w:ascii="Georgia" w:hAnsi="Georgia"/>
          <w:i/>
          <w:szCs w:val="24"/>
        </w:rPr>
        <w:t>Ta'walat al-Qur'‘an</w:t>
      </w:r>
      <w:r w:rsidRPr="00570082">
        <w:rPr>
          <w:rFonts w:ascii="Georgia" w:hAnsi="Georgia"/>
          <w:szCs w:val="24"/>
        </w:rPr>
        <w:t xml:space="preserve">) or aspects of </w:t>
      </w:r>
      <w:r w:rsidRPr="00570082">
        <w:rPr>
          <w:rFonts w:ascii="Georgia" w:hAnsi="Georgia"/>
          <w:i/>
          <w:szCs w:val="24"/>
        </w:rPr>
        <w:t xml:space="preserve">falsafa </w:t>
      </w:r>
      <w:r w:rsidRPr="00570082">
        <w:rPr>
          <w:rFonts w:ascii="Georgia" w:hAnsi="Georgia"/>
          <w:szCs w:val="24"/>
        </w:rPr>
        <w:t xml:space="preserve">(e.g. al-Razi's Ash'arite-centred </w:t>
      </w:r>
      <w:r w:rsidRPr="00570082">
        <w:rPr>
          <w:rFonts w:ascii="Georgia" w:hAnsi="Georgia"/>
          <w:i/>
          <w:szCs w:val="24"/>
        </w:rPr>
        <w:t>Mafatih al-ghaib</w:t>
      </w:r>
      <w:r w:rsidRPr="00570082">
        <w:rPr>
          <w:rFonts w:ascii="Georgia" w:hAnsi="Georgia"/>
          <w:szCs w:val="24"/>
        </w:rPr>
        <w:t>).</w:t>
      </w:r>
      <w:r w:rsidRPr="00570082">
        <w:rPr>
          <w:rStyle w:val="EndnoteReference"/>
          <w:rFonts w:ascii="Georgia" w:hAnsi="Georgia"/>
          <w:szCs w:val="24"/>
        </w:rPr>
        <w:endnoteReference w:id="12"/>
      </w:r>
      <w:r w:rsidRPr="00570082">
        <w:rPr>
          <w:rFonts w:ascii="Georgia" w:hAnsi="Georgia"/>
          <w:szCs w:val="24"/>
        </w:rPr>
        <w:t xml:space="preserve"> </w:t>
      </w:r>
    </w:p>
    <w:p w14:paraId="0356298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B8376A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3.2.3. Abu Hamid Muhammad at-Tusi al-Ghazali</w:t>
      </w:r>
    </w:p>
    <w:p w14:paraId="1D6CE73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14:paraId="75EF52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szCs w:val="24"/>
        </w:rPr>
        <w:tab/>
        <w:t xml:space="preserve">The synthesis of disciplines, intended to enhance understanding of Islam, finds a specific focus in the work of Abu Hamid Muhammad b. Muhammad al-Tusi al-Ghazali (1058-1111). al-Ghazali is perceived as a </w:t>
      </w:r>
      <w:r w:rsidRPr="00570082">
        <w:rPr>
          <w:rFonts w:ascii="Georgia" w:hAnsi="Georgia"/>
          <w:i/>
          <w:szCs w:val="24"/>
        </w:rPr>
        <w:t xml:space="preserve">mujaddid, </w:t>
      </w:r>
      <w:r w:rsidRPr="00570082">
        <w:rPr>
          <w:rFonts w:ascii="Georgia" w:hAnsi="Georgia"/>
          <w:szCs w:val="24"/>
        </w:rPr>
        <w:t xml:space="preserve">who promoted the application of </w:t>
      </w:r>
      <w:r w:rsidRPr="00570082">
        <w:rPr>
          <w:rFonts w:ascii="Georgia" w:hAnsi="Georgia"/>
          <w:i/>
          <w:szCs w:val="24"/>
        </w:rPr>
        <w:t>ijtihad</w:t>
      </w:r>
      <w:r w:rsidRPr="00570082">
        <w:rPr>
          <w:rFonts w:ascii="Georgia" w:hAnsi="Georgia"/>
          <w:szCs w:val="24"/>
        </w:rPr>
        <w:t xml:space="preserve"> by properly qualified jurists, whilst condemning </w:t>
      </w:r>
      <w:r w:rsidRPr="00570082">
        <w:rPr>
          <w:rFonts w:ascii="Georgia" w:hAnsi="Georgia"/>
          <w:i/>
          <w:szCs w:val="24"/>
        </w:rPr>
        <w:t>taqlid</w:t>
      </w:r>
      <w:r w:rsidRPr="00570082">
        <w:rPr>
          <w:rFonts w:ascii="Georgia" w:hAnsi="Georgia"/>
          <w:szCs w:val="24"/>
        </w:rPr>
        <w:t>, defined as ‘blind adherence’ to the Qur’an in this context.</w:t>
      </w:r>
      <w:r w:rsidRPr="00570082">
        <w:rPr>
          <w:rStyle w:val="EndnoteReference"/>
          <w:rFonts w:ascii="Georgia" w:hAnsi="Georgia"/>
          <w:szCs w:val="24"/>
        </w:rPr>
        <w:endnoteReference w:id="13"/>
      </w:r>
      <w:r w:rsidRPr="00570082">
        <w:rPr>
          <w:rFonts w:ascii="Georgia" w:hAnsi="Georgia"/>
          <w:szCs w:val="24"/>
        </w:rPr>
        <w:t xml:space="preserve">  al-Ghazali emphasised the application of </w:t>
      </w:r>
      <w:r w:rsidRPr="00570082">
        <w:rPr>
          <w:rFonts w:ascii="Georgia" w:hAnsi="Georgia"/>
          <w:i/>
          <w:szCs w:val="24"/>
        </w:rPr>
        <w:t>shari'ah</w:t>
      </w:r>
      <w:r w:rsidRPr="00570082">
        <w:rPr>
          <w:rFonts w:ascii="Georgia" w:hAnsi="Georgia"/>
          <w:szCs w:val="24"/>
        </w:rPr>
        <w:t xml:space="preserve"> as a way of life, in works on </w:t>
      </w:r>
      <w:r w:rsidRPr="00570082">
        <w:rPr>
          <w:rFonts w:ascii="Georgia" w:hAnsi="Georgia"/>
          <w:i/>
          <w:szCs w:val="24"/>
        </w:rPr>
        <w:t>kalam, fiqh, falasfa,</w:t>
      </w:r>
      <w:r w:rsidRPr="00570082">
        <w:rPr>
          <w:rFonts w:ascii="Georgia" w:hAnsi="Georgia"/>
          <w:szCs w:val="24"/>
        </w:rPr>
        <w:t xml:space="preserve"> and Sufism.</w:t>
      </w:r>
      <w:r w:rsidRPr="00570082">
        <w:rPr>
          <w:rStyle w:val="EndnoteReference"/>
          <w:rFonts w:ascii="Georgia" w:hAnsi="Georgia"/>
          <w:szCs w:val="24"/>
        </w:rPr>
        <w:endnoteReference w:id="14"/>
      </w:r>
      <w:r w:rsidRPr="00570082">
        <w:rPr>
          <w:rFonts w:ascii="Georgia" w:hAnsi="Georgia"/>
          <w:szCs w:val="24"/>
        </w:rPr>
        <w:t xml:space="preserve"> He advocated the pragmatic interpretation of Islam, stressing the Qur'an and Hadith, rather than 'non-Muslim' sciences. This is a theme which maintains its currency throughout the history of Islamic reform:</w:t>
      </w:r>
    </w:p>
    <w:p w14:paraId="794719F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37BC272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"For Ghazali... 'intelligence' meant deductive reasoning, from premises given by divine revelation or by common sense; not inductive reasoning, through which new knowledge might be sought." </w:t>
      </w:r>
      <w:r w:rsidRPr="00570082">
        <w:rPr>
          <w:rStyle w:val="EndnoteReference"/>
          <w:rFonts w:ascii="Georgia" w:hAnsi="Georgia"/>
          <w:szCs w:val="24"/>
        </w:rPr>
        <w:endnoteReference w:id="15"/>
      </w:r>
    </w:p>
    <w:p w14:paraId="4837820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4830AA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al-Ghazali was responding to what he saw as threats to orthodox Islam: the increasing role of neo-Platonic philosophy, forms of Sufism that he believed diverged from orthodox Muslim teaching, and opposition to Isma'ilis whom he saw as heretical. al-Ghazali had studied Ash'arite philosophy, and in </w:t>
      </w:r>
      <w:r w:rsidRPr="00570082">
        <w:rPr>
          <w:rFonts w:ascii="Georgia" w:hAnsi="Georgia"/>
          <w:i/>
          <w:szCs w:val="24"/>
          <w:u w:val="single"/>
        </w:rPr>
        <w:t>Nasihat al-muluk</w:t>
      </w:r>
      <w:r w:rsidRPr="00570082">
        <w:rPr>
          <w:rFonts w:ascii="Georgia" w:hAnsi="Georgia"/>
          <w:szCs w:val="24"/>
        </w:rPr>
        <w:t xml:space="preserve"> (</w:t>
      </w:r>
      <w:r w:rsidRPr="00570082">
        <w:rPr>
          <w:rFonts w:ascii="Georgia" w:hAnsi="Georgia"/>
          <w:szCs w:val="24"/>
          <w:u w:val="single"/>
        </w:rPr>
        <w:t>Mirror for Princes)</w:t>
      </w:r>
      <w:r w:rsidRPr="00570082">
        <w:rPr>
          <w:rFonts w:ascii="Georgia" w:hAnsi="Georgia"/>
          <w:szCs w:val="24"/>
        </w:rPr>
        <w:t xml:space="preserve"> constructed a model of the qualities he perceived a Caliph or other worldly ruler should possess: </w:t>
      </w:r>
    </w:p>
    <w:p w14:paraId="023B60B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AF8FB2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"The quality which kings most need is correct religion, because monarchy and religion are like brothers. (The King) needs it equally whether he is healthy or sick. He must be diligent in matters of religion, performing the duties at the proper times, avoiding eccentricity and (heretical) innovation, and shunning unjust and immoral actions. If he hears that any person in his territory is suspect as regards religion, he must summon him and interrogate him until he repents, or else punish him or exile him from the territory; in this way the kingdom will be purged of eccentrics and (heretical) innovators, and Islam will be strong."</w:t>
      </w:r>
      <w:r w:rsidRPr="00570082">
        <w:rPr>
          <w:rStyle w:val="EndnoteReference"/>
          <w:rFonts w:ascii="Georgia" w:hAnsi="Georgia"/>
          <w:szCs w:val="24"/>
        </w:rPr>
        <w:endnoteReference w:id="16"/>
      </w:r>
      <w:r w:rsidRPr="00570082">
        <w:rPr>
          <w:rFonts w:ascii="Georgia" w:hAnsi="Georgia"/>
          <w:szCs w:val="24"/>
        </w:rPr>
        <w:t xml:space="preserve">       </w:t>
      </w:r>
    </w:p>
    <w:p w14:paraId="7CC70DD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6B9ED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emphasis here is on the ruler's </w:t>
      </w:r>
      <w:r w:rsidRPr="00570082">
        <w:rPr>
          <w:rFonts w:ascii="Georgia" w:hAnsi="Georgia"/>
          <w:i/>
          <w:szCs w:val="24"/>
        </w:rPr>
        <w:t>practice</w:t>
      </w:r>
      <w:r w:rsidRPr="00570082">
        <w:rPr>
          <w:rFonts w:ascii="Georgia" w:hAnsi="Georgia"/>
          <w:szCs w:val="24"/>
        </w:rPr>
        <w:t xml:space="preserve"> of Islam, although to perform the punishments referred to, the ruler would have to have some knowledge of </w:t>
      </w:r>
      <w:r w:rsidRPr="00570082">
        <w:rPr>
          <w:rFonts w:ascii="Georgia" w:hAnsi="Georgia"/>
          <w:i/>
          <w:szCs w:val="24"/>
        </w:rPr>
        <w:t>usul ul-fiqh</w:t>
      </w:r>
      <w:r w:rsidRPr="00570082">
        <w:rPr>
          <w:rFonts w:ascii="Georgia" w:hAnsi="Georgia"/>
          <w:szCs w:val="24"/>
        </w:rPr>
        <w:t xml:space="preserve">. Rulers could make decisions on religious matters (there being theoretically no division between religion and the state). Rulers did not have to be </w:t>
      </w:r>
      <w:r w:rsidRPr="00570082">
        <w:rPr>
          <w:rFonts w:ascii="Georgia" w:hAnsi="Georgia"/>
          <w:i/>
          <w:szCs w:val="24"/>
        </w:rPr>
        <w:t>mujtahids</w:t>
      </w:r>
      <w:r w:rsidRPr="00570082">
        <w:rPr>
          <w:rFonts w:ascii="Georgia" w:hAnsi="Georgia"/>
          <w:szCs w:val="24"/>
        </w:rPr>
        <w:t>, but would consult the '</w:t>
      </w:r>
      <w:r w:rsidRPr="00570082">
        <w:rPr>
          <w:rFonts w:ascii="Georgia" w:hAnsi="Georgia"/>
          <w:i/>
          <w:szCs w:val="24"/>
        </w:rPr>
        <w:t>ulama</w:t>
      </w:r>
      <w:r w:rsidRPr="00570082">
        <w:rPr>
          <w:rFonts w:ascii="Georgia" w:hAnsi="Georgia"/>
          <w:szCs w:val="24"/>
        </w:rPr>
        <w:t xml:space="preserve">. al-Ghazali determined that a ruler should be adult, male, sane, a Qurayshite descendant with </w:t>
      </w:r>
      <w:r w:rsidRPr="00570082">
        <w:rPr>
          <w:rFonts w:ascii="Georgia" w:hAnsi="Georgia"/>
          <w:i/>
          <w:szCs w:val="24"/>
        </w:rPr>
        <w:t>najdah</w:t>
      </w:r>
      <w:r w:rsidRPr="00570082">
        <w:rPr>
          <w:rFonts w:ascii="Georgia" w:hAnsi="Georgia"/>
          <w:szCs w:val="24"/>
        </w:rPr>
        <w:t xml:space="preserve"> (military prowess), </w:t>
      </w:r>
      <w:r w:rsidRPr="00570082">
        <w:rPr>
          <w:rFonts w:ascii="Georgia" w:hAnsi="Georgia"/>
          <w:i/>
          <w:szCs w:val="24"/>
        </w:rPr>
        <w:t xml:space="preserve">kifayah </w:t>
      </w:r>
      <w:r w:rsidRPr="00570082">
        <w:rPr>
          <w:rFonts w:ascii="Georgia" w:hAnsi="Georgia"/>
          <w:szCs w:val="24"/>
        </w:rPr>
        <w:t xml:space="preserve">(administrative competence), </w:t>
      </w:r>
      <w:r w:rsidRPr="00570082">
        <w:rPr>
          <w:rFonts w:ascii="Georgia" w:hAnsi="Georgia"/>
          <w:i/>
          <w:szCs w:val="24"/>
        </w:rPr>
        <w:t xml:space="preserve">wara' </w:t>
      </w:r>
      <w:r w:rsidRPr="00570082">
        <w:rPr>
          <w:rFonts w:ascii="Georgia" w:hAnsi="Georgia"/>
          <w:szCs w:val="24"/>
        </w:rPr>
        <w:t xml:space="preserve">(piety) and </w:t>
      </w:r>
      <w:r w:rsidRPr="00570082">
        <w:rPr>
          <w:rFonts w:ascii="Georgia" w:hAnsi="Georgia"/>
          <w:i/>
          <w:szCs w:val="24"/>
        </w:rPr>
        <w:t xml:space="preserve">'ilm </w:t>
      </w:r>
      <w:r w:rsidRPr="00570082">
        <w:rPr>
          <w:rFonts w:ascii="Georgia" w:hAnsi="Georgia"/>
          <w:szCs w:val="24"/>
        </w:rPr>
        <w:t>(knowledge) of Islam:</w:t>
      </w:r>
      <w:r w:rsidRPr="00570082">
        <w:rPr>
          <w:rStyle w:val="EndnoteReference"/>
          <w:rFonts w:ascii="Georgia" w:hAnsi="Georgia"/>
          <w:szCs w:val="24"/>
        </w:rPr>
        <w:endnoteReference w:id="17"/>
      </w:r>
    </w:p>
    <w:p w14:paraId="6AB989E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AED319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"...al-Ghazali and others within the religious tradition put forward the idea that power belonged to the caliph, but the exercise of it could be divided between more than one person. The caliphate (or </w:t>
      </w:r>
      <w:r w:rsidRPr="00570082">
        <w:rPr>
          <w:rFonts w:ascii="Georgia" w:hAnsi="Georgia"/>
          <w:i/>
          <w:szCs w:val="24"/>
        </w:rPr>
        <w:t>imamate</w:t>
      </w:r>
      <w:r w:rsidRPr="00570082">
        <w:rPr>
          <w:rFonts w:ascii="Georgia" w:hAnsi="Georgia"/>
          <w:szCs w:val="24"/>
        </w:rPr>
        <w:t xml:space="preserve">, as the theorists usually called it) possessed three elements: that of legitimate succession to the Prophet, that of directing the affairs of the world and that of watching over the faith. Ghazali held that ideally these three aspects should be united in one person, but in case of necessity they could be separated..." </w:t>
      </w:r>
      <w:r w:rsidRPr="00570082">
        <w:rPr>
          <w:rStyle w:val="EndnoteReference"/>
          <w:rFonts w:ascii="Georgia" w:hAnsi="Georgia"/>
          <w:szCs w:val="24"/>
        </w:rPr>
        <w:endnoteReference w:id="18"/>
      </w:r>
    </w:p>
    <w:p w14:paraId="2895898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BC93E0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absence of central leadership is a central theme for many advocates of reform, up to the present day, and had a bearing on readings of Muslim politics. The ideal of a suitably qualified caliph continues to be seen by some groups as a panacea for the problems facing the Islamic world. </w:t>
      </w:r>
      <w:r w:rsidRPr="00570082">
        <w:rPr>
          <w:rStyle w:val="EndnoteReference"/>
          <w:rFonts w:ascii="Georgia" w:hAnsi="Georgia"/>
          <w:szCs w:val="24"/>
        </w:rPr>
        <w:endnoteReference w:id="19"/>
      </w:r>
      <w:r w:rsidRPr="00570082">
        <w:rPr>
          <w:rFonts w:ascii="Georgia" w:hAnsi="Georgia"/>
          <w:szCs w:val="24"/>
        </w:rPr>
        <w:t xml:space="preserve"> </w:t>
      </w:r>
    </w:p>
    <w:p w14:paraId="425D91C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AAE1CB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al-Ghazali promoted disciplines perceived as useful to Muslims, including aspects of logic (although he wrote against philosophers and philosophy in general), together with geometry and mathematics. al-Ghazali appears to encourage Muslims to challenge and re-evaluate existing frameworks which steered away from the rigid teachings of Islam, for example through the application of ignorant interpretations of </w:t>
      </w:r>
      <w:r w:rsidRPr="00570082">
        <w:rPr>
          <w:rFonts w:ascii="Georgia" w:hAnsi="Georgia"/>
          <w:i/>
          <w:szCs w:val="24"/>
        </w:rPr>
        <w:t>usul-ul-fiqh</w:t>
      </w:r>
      <w:r w:rsidRPr="00570082">
        <w:rPr>
          <w:rFonts w:ascii="Georgia" w:hAnsi="Georgia"/>
          <w:szCs w:val="24"/>
        </w:rPr>
        <w:t>.</w:t>
      </w:r>
      <w:r w:rsidRPr="00570082">
        <w:rPr>
          <w:rStyle w:val="EndnoteReference"/>
          <w:rFonts w:ascii="Georgia" w:hAnsi="Georgia"/>
          <w:szCs w:val="24"/>
        </w:rPr>
        <w:endnoteReference w:id="20"/>
      </w:r>
      <w:r w:rsidRPr="00570082">
        <w:rPr>
          <w:rFonts w:ascii="Georgia" w:hAnsi="Georgia"/>
          <w:szCs w:val="24"/>
        </w:rPr>
        <w:t xml:space="preserve"> This formed a useful precedent for later generations, encountering sciences which certain scholars felt were a threat to Islam.</w:t>
      </w:r>
    </w:p>
    <w:p w14:paraId="2491674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79333EB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b/>
          <w:szCs w:val="24"/>
        </w:rPr>
        <w:br w:type="page"/>
        <w:t>3.2.4. Taqi al-Din Ahmad ibn Taimiyya</w:t>
      </w:r>
    </w:p>
    <w:p w14:paraId="3DF905D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561AE3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terms of advocating </w:t>
      </w:r>
      <w:r w:rsidRPr="00570082">
        <w:rPr>
          <w:rFonts w:ascii="Georgia" w:hAnsi="Georgia"/>
          <w:i/>
          <w:szCs w:val="24"/>
        </w:rPr>
        <w:t>ijtihad</w:t>
      </w:r>
      <w:r w:rsidRPr="00570082">
        <w:rPr>
          <w:rFonts w:ascii="Georgia" w:hAnsi="Georgia"/>
          <w:szCs w:val="24"/>
        </w:rPr>
        <w:t xml:space="preserve"> and endorsing literal interpretations of the Qur'an in the interests of reform, the role of Taqi al-Din Ahmad Ibn Taymiyya (661-728 AH/1263-1328CE) was very influential. Ibn Taymiyya is eulogized by one of his later followers, Shah Wali Allah (1702-1763):</w:t>
      </w:r>
    </w:p>
    <w:p w14:paraId="5F648AA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F2733D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800"/>
        <w:rPr>
          <w:rFonts w:ascii="Georgia" w:hAnsi="Georgia"/>
          <w:szCs w:val="24"/>
        </w:rPr>
      </w:pPr>
      <w:r w:rsidRPr="00570082">
        <w:rPr>
          <w:rFonts w:ascii="Georgia" w:hAnsi="Georgia"/>
          <w:szCs w:val="24"/>
        </w:rPr>
        <w:t>"Our assessment of Ibn Taymiyya after full investigation is that he was a scholar of the 'Book of God' and had full command over its etymological and juristic implications. He remembered by heart the traditions of the Prophet and the accounts of the elders (</w:t>
      </w:r>
      <w:r w:rsidRPr="00570082">
        <w:rPr>
          <w:rFonts w:ascii="Georgia" w:hAnsi="Georgia"/>
          <w:i/>
          <w:szCs w:val="24"/>
        </w:rPr>
        <w:t>salaf</w:t>
      </w:r>
      <w:r w:rsidRPr="00570082">
        <w:rPr>
          <w:rFonts w:ascii="Georgia" w:hAnsi="Georgia"/>
          <w:szCs w:val="24"/>
        </w:rPr>
        <w:t>) and understood well their etymological and juristic purpose and meaning. He was a recognized scholar of syntax (</w:t>
      </w:r>
      <w:r w:rsidRPr="00570082">
        <w:rPr>
          <w:rFonts w:ascii="Georgia" w:hAnsi="Georgia"/>
          <w:i/>
          <w:szCs w:val="24"/>
        </w:rPr>
        <w:t>nahw</w:t>
      </w:r>
      <w:r w:rsidRPr="00570082">
        <w:rPr>
          <w:rFonts w:ascii="Georgia" w:hAnsi="Georgia"/>
          <w:szCs w:val="24"/>
        </w:rPr>
        <w:t>) and semantics (</w:t>
      </w:r>
      <w:r w:rsidRPr="00570082">
        <w:rPr>
          <w:rFonts w:ascii="Georgia" w:hAnsi="Georgia"/>
          <w:i/>
          <w:szCs w:val="24"/>
        </w:rPr>
        <w:t>lughat</w:t>
      </w:r>
      <w:r w:rsidRPr="00570082">
        <w:rPr>
          <w:rFonts w:ascii="Georgia" w:hAnsi="Georgia"/>
          <w:szCs w:val="24"/>
        </w:rPr>
        <w:t xml:space="preserve">)... He argued in defence of </w:t>
      </w:r>
      <w:r w:rsidRPr="00570082">
        <w:rPr>
          <w:rFonts w:ascii="Georgia" w:hAnsi="Georgia"/>
          <w:i/>
          <w:szCs w:val="24"/>
        </w:rPr>
        <w:t>ahl al-Sunnah</w:t>
      </w:r>
      <w:r w:rsidRPr="00570082">
        <w:rPr>
          <w:rFonts w:ascii="Georgia" w:hAnsi="Georgia"/>
          <w:szCs w:val="24"/>
        </w:rPr>
        <w:t xml:space="preserve"> with great eloquence and force. No innovation or irreligious act is reported about him. Only certain matters on which he was harassed by his contemporaries have been reported to us. But there is not a single matter on which is without his defence based on the Qur'an and the </w:t>
      </w:r>
      <w:r w:rsidRPr="00570082">
        <w:rPr>
          <w:rFonts w:ascii="Georgia" w:hAnsi="Georgia"/>
          <w:i/>
          <w:szCs w:val="24"/>
        </w:rPr>
        <w:t>Sunnah. So it is difficult to find a man in the whole world who possesses the qualities of Ibn Taymiyya</w:t>
      </w:r>
      <w:r w:rsidRPr="00570082">
        <w:rPr>
          <w:rFonts w:ascii="Georgia" w:hAnsi="Georgia"/>
          <w:szCs w:val="24"/>
        </w:rPr>
        <w:t>."</w:t>
      </w:r>
      <w:r w:rsidRPr="00570082">
        <w:rPr>
          <w:rStyle w:val="EndnoteReference"/>
          <w:rFonts w:ascii="Georgia" w:hAnsi="Georgia"/>
          <w:szCs w:val="24"/>
        </w:rPr>
        <w:endnoteReference w:id="21"/>
      </w:r>
    </w:p>
    <w:p w14:paraId="0DFD2B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447DB07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Ibn Taymiyya's personal experience and political environment informed his understanding; he was born in Harran, Syria, the son of a </w:t>
      </w:r>
      <w:r w:rsidRPr="00570082">
        <w:rPr>
          <w:rFonts w:ascii="Georgia" w:hAnsi="Georgia"/>
          <w:i/>
          <w:szCs w:val="24"/>
        </w:rPr>
        <w:t xml:space="preserve">madrassah </w:t>
      </w:r>
      <w:r w:rsidRPr="00570082">
        <w:rPr>
          <w:rFonts w:ascii="Georgia" w:hAnsi="Georgia"/>
          <w:szCs w:val="24"/>
        </w:rPr>
        <w:t>teacher - whom he eventually succeeded. In 1258, five years before Ibn Taymiyya was born, the Mughals had occupied Baghdad, a traditional centre of learning as well as the 'Abbasid capital. This event, the virtual conclusion of six hundred years of the 'Abbasid caliphate, was seen as catastrophic by inhabitants of nearby Syria, who themselves were threatened by the Mughals.</w:t>
      </w:r>
      <w:r w:rsidRPr="00570082">
        <w:rPr>
          <w:rStyle w:val="EndnoteReference"/>
          <w:rFonts w:ascii="Georgia" w:hAnsi="Georgia"/>
          <w:szCs w:val="24"/>
        </w:rPr>
        <w:endnoteReference w:id="22"/>
      </w:r>
      <w:r w:rsidRPr="00570082">
        <w:rPr>
          <w:rFonts w:ascii="Georgia" w:hAnsi="Georgia"/>
          <w:szCs w:val="24"/>
        </w:rPr>
        <w:t xml:space="preserve"> The work of Ibn Taymiyya stresses the need for a </w:t>
      </w:r>
      <w:r w:rsidRPr="00570082">
        <w:rPr>
          <w:rFonts w:ascii="Georgia" w:hAnsi="Georgia"/>
          <w:i/>
          <w:szCs w:val="24"/>
        </w:rPr>
        <w:t>jihad</w:t>
      </w:r>
      <w:r w:rsidRPr="00570082">
        <w:rPr>
          <w:rFonts w:ascii="Georgia" w:hAnsi="Georgia"/>
          <w:szCs w:val="24"/>
        </w:rPr>
        <w:t xml:space="preserve"> against these alien forces, which to him were analogous to the forces of </w:t>
      </w:r>
      <w:r w:rsidRPr="00570082">
        <w:rPr>
          <w:rFonts w:ascii="Georgia" w:hAnsi="Georgia"/>
          <w:i/>
          <w:szCs w:val="24"/>
        </w:rPr>
        <w:t>kufr</w:t>
      </w:r>
      <w:r w:rsidRPr="00570082">
        <w:rPr>
          <w:rFonts w:ascii="Georgia" w:hAnsi="Georgia"/>
          <w:szCs w:val="24"/>
        </w:rPr>
        <w:t xml:space="preserve"> and the </w:t>
      </w:r>
      <w:r w:rsidRPr="00570082">
        <w:rPr>
          <w:rFonts w:ascii="Georgia" w:hAnsi="Georgia"/>
          <w:i/>
          <w:szCs w:val="24"/>
        </w:rPr>
        <w:t>shaitan.</w:t>
      </w:r>
      <w:r w:rsidRPr="00570082">
        <w:rPr>
          <w:rFonts w:ascii="Georgia" w:hAnsi="Georgia"/>
          <w:szCs w:val="24"/>
        </w:rPr>
        <w:t xml:space="preserve"> He personally participated in battles against the Mughals, and also against Shi'ia he accused of aiding the enemy.</w:t>
      </w:r>
      <w:r w:rsidRPr="00570082">
        <w:rPr>
          <w:rStyle w:val="EndnoteReference"/>
          <w:rFonts w:ascii="Georgia" w:hAnsi="Georgia"/>
          <w:szCs w:val="24"/>
        </w:rPr>
        <w:endnoteReference w:id="23"/>
      </w:r>
    </w:p>
    <w:p w14:paraId="24E8C8E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1170652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Ibn Taymiyya's erudition in Islamic sciences, centred on Ibn Hanbal, but also embracing aspects of Sufism  and </w:t>
      </w:r>
      <w:r w:rsidRPr="00570082">
        <w:rPr>
          <w:rFonts w:ascii="Georgia" w:hAnsi="Georgia"/>
          <w:i/>
          <w:szCs w:val="24"/>
        </w:rPr>
        <w:t>falsafa</w:t>
      </w:r>
      <w:r w:rsidRPr="00570082">
        <w:rPr>
          <w:rFonts w:ascii="Georgia" w:hAnsi="Georgia"/>
          <w:szCs w:val="24"/>
        </w:rPr>
        <w:t xml:space="preserve">, influenced his desire to reconcile disparate disciplines for the overall good of Islam, through emphasis on </w:t>
      </w:r>
      <w:r w:rsidRPr="00570082">
        <w:rPr>
          <w:rFonts w:ascii="Georgia" w:hAnsi="Georgia"/>
          <w:i/>
          <w:szCs w:val="24"/>
        </w:rPr>
        <w:t xml:space="preserve">tafwid </w:t>
      </w:r>
      <w:r w:rsidRPr="00570082">
        <w:rPr>
          <w:rFonts w:ascii="Georgia" w:hAnsi="Georgia"/>
          <w:szCs w:val="24"/>
        </w:rPr>
        <w:t xml:space="preserve">("leaving to God the ultimate mystery of things") and </w:t>
      </w:r>
      <w:r w:rsidRPr="00570082">
        <w:rPr>
          <w:rFonts w:ascii="Georgia" w:hAnsi="Georgia"/>
          <w:i/>
          <w:szCs w:val="24"/>
        </w:rPr>
        <w:t xml:space="preserve">taslim </w:t>
      </w:r>
      <w:r w:rsidRPr="00570082">
        <w:rPr>
          <w:rFonts w:ascii="Georgia" w:hAnsi="Georgia"/>
          <w:szCs w:val="24"/>
        </w:rPr>
        <w:t>("voluntary and intentional submission to the word of God."</w:t>
      </w:r>
      <w:r w:rsidRPr="00570082">
        <w:rPr>
          <w:rStyle w:val="EndnoteReference"/>
          <w:rFonts w:ascii="Georgia" w:hAnsi="Georgia"/>
          <w:szCs w:val="24"/>
        </w:rPr>
        <w:endnoteReference w:id="24"/>
      </w:r>
      <w:r w:rsidRPr="00570082">
        <w:rPr>
          <w:rFonts w:ascii="Georgia" w:hAnsi="Georgia"/>
          <w:szCs w:val="24"/>
        </w:rPr>
        <w:t>)</w:t>
      </w:r>
      <w:r w:rsidRPr="00570082">
        <w:rPr>
          <w:rStyle w:val="EndnoteReference"/>
          <w:rFonts w:ascii="Georgia" w:hAnsi="Georgia"/>
          <w:szCs w:val="24"/>
        </w:rPr>
        <w:t xml:space="preserve"> </w:t>
      </w:r>
      <w:r w:rsidRPr="00570082">
        <w:rPr>
          <w:rStyle w:val="EndnoteReference"/>
          <w:rFonts w:ascii="Georgia" w:hAnsi="Georgia"/>
          <w:szCs w:val="24"/>
        </w:rPr>
        <w:endnoteReference w:id="25"/>
      </w:r>
      <w:r w:rsidRPr="00570082">
        <w:rPr>
          <w:rFonts w:ascii="Georgia" w:hAnsi="Georgia"/>
          <w:szCs w:val="24"/>
        </w:rPr>
        <w:t xml:space="preserve"> In a reflection of al-Ghazali, Ibn Taymiyya supported the concept of a Caliphate, as part of a holistic Islam in which political and religious aspects were not separated. His Hanbalite training is demonstrated in Ibn Taymiyya's support for the </w:t>
      </w:r>
      <w:r w:rsidRPr="00570082">
        <w:rPr>
          <w:rFonts w:ascii="Georgia" w:hAnsi="Georgia"/>
          <w:i/>
          <w:szCs w:val="24"/>
        </w:rPr>
        <w:t>salafiyya</w:t>
      </w:r>
      <w:r w:rsidRPr="00570082">
        <w:rPr>
          <w:rFonts w:ascii="Georgia" w:hAnsi="Georgia"/>
          <w:szCs w:val="24"/>
        </w:rPr>
        <w:t xml:space="preserve">, and his rejection of any </w:t>
      </w:r>
      <w:r w:rsidRPr="00570082">
        <w:rPr>
          <w:rFonts w:ascii="Georgia" w:hAnsi="Georgia"/>
          <w:i/>
          <w:szCs w:val="24"/>
        </w:rPr>
        <w:t xml:space="preserve">bi'dah. </w:t>
      </w:r>
    </w:p>
    <w:p w14:paraId="1FE4EF6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CC0BCF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influence of Ibn Taymiyya permeates numerous advocations of reform – especially within political contexts associated with Islam. One emphasis is on his stress on adapting Islam to the circumstances of any particular age, through application of Qur'an and </w:t>
      </w:r>
      <w:r w:rsidRPr="00570082">
        <w:rPr>
          <w:rFonts w:ascii="Georgia" w:hAnsi="Georgia"/>
          <w:i/>
          <w:szCs w:val="24"/>
        </w:rPr>
        <w:t>Hadith</w:t>
      </w:r>
      <w:r w:rsidRPr="00570082">
        <w:rPr>
          <w:rFonts w:ascii="Georgia" w:hAnsi="Georgia"/>
          <w:szCs w:val="24"/>
        </w:rPr>
        <w:t xml:space="preserve"> and the use of </w:t>
      </w:r>
      <w:r w:rsidRPr="00570082">
        <w:rPr>
          <w:rFonts w:ascii="Georgia" w:hAnsi="Georgia"/>
          <w:i/>
          <w:szCs w:val="24"/>
        </w:rPr>
        <w:t xml:space="preserve">ijtihad </w:t>
      </w:r>
      <w:r w:rsidRPr="00570082">
        <w:rPr>
          <w:rFonts w:ascii="Georgia" w:hAnsi="Georgia"/>
          <w:szCs w:val="24"/>
        </w:rPr>
        <w:t xml:space="preserve">and forms of analogy. </w:t>
      </w:r>
      <w:r w:rsidRPr="00570082">
        <w:rPr>
          <w:rStyle w:val="EndnoteReference"/>
          <w:rFonts w:ascii="Georgia" w:hAnsi="Georgia"/>
          <w:szCs w:val="24"/>
        </w:rPr>
        <w:endnoteReference w:id="26"/>
      </w:r>
      <w:r w:rsidRPr="00570082">
        <w:rPr>
          <w:rFonts w:ascii="Georgia" w:hAnsi="Georgia"/>
          <w:szCs w:val="24"/>
        </w:rPr>
        <w:t xml:space="preserve"> Laoust suggests that Ibn Taymiyyah did seek to produce a single source, through which subsequent interpreters could refer to when faced with problems: rather he encouraged the mechanisms of personal exegesis, if a person had the appropriate qualities</w:t>
      </w:r>
      <w:r w:rsidRPr="00570082">
        <w:rPr>
          <w:rStyle w:val="EndnoteReference"/>
          <w:rFonts w:ascii="Georgia" w:hAnsi="Georgia"/>
          <w:szCs w:val="24"/>
        </w:rPr>
        <w:endnoteReference w:id="27"/>
      </w:r>
      <w:r w:rsidRPr="00570082">
        <w:rPr>
          <w:rFonts w:ascii="Georgia" w:hAnsi="Georgia"/>
          <w:szCs w:val="24"/>
        </w:rPr>
        <w:t xml:space="preserve">, constantly stressing the communal interest of the </w:t>
      </w:r>
      <w:r w:rsidRPr="00570082">
        <w:rPr>
          <w:rFonts w:ascii="Georgia" w:hAnsi="Georgia"/>
          <w:i/>
          <w:szCs w:val="24"/>
        </w:rPr>
        <w:t>ummah.</w:t>
      </w:r>
      <w:r w:rsidRPr="00570082">
        <w:rPr>
          <w:rStyle w:val="EndnoteReference"/>
          <w:rFonts w:ascii="Georgia" w:hAnsi="Georgia"/>
          <w:szCs w:val="24"/>
        </w:rPr>
        <w:endnoteReference w:id="28"/>
      </w:r>
    </w:p>
    <w:p w14:paraId="791D862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CB051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this interest, Ibn Taymiyyah draws together diverse sources and arguments which he fits into his own framework of understanding, avoiding the fractures based on political and religious differences that he saw as damaging to the community. Within his work there is some contradiction, though, as he opposed aspects of Shi'ism and Sufism as heretical - especially that the concept of </w:t>
      </w:r>
      <w:r w:rsidRPr="00570082">
        <w:rPr>
          <w:rFonts w:ascii="Georgia" w:hAnsi="Georgia"/>
          <w:i/>
          <w:szCs w:val="24"/>
        </w:rPr>
        <w:t xml:space="preserve">wahdat al-wujud </w:t>
      </w:r>
      <w:r w:rsidRPr="00570082">
        <w:rPr>
          <w:rFonts w:ascii="Georgia" w:hAnsi="Georgia"/>
          <w:szCs w:val="24"/>
        </w:rPr>
        <w:t>introduced by Muhri al-Din Ibn 'Arabi (1160-1240).</w:t>
      </w:r>
      <w:r w:rsidRPr="00570082">
        <w:rPr>
          <w:rStyle w:val="EndnoteReference"/>
          <w:rFonts w:ascii="Georgia" w:hAnsi="Georgia"/>
          <w:szCs w:val="24"/>
        </w:rPr>
        <w:endnoteReference w:id="29"/>
      </w:r>
      <w:r w:rsidRPr="00570082">
        <w:rPr>
          <w:rFonts w:ascii="Georgia" w:hAnsi="Georgia"/>
          <w:szCs w:val="24"/>
        </w:rPr>
        <w:t xml:space="preserve"> He emphasised the </w:t>
      </w:r>
      <w:r w:rsidRPr="00570082">
        <w:rPr>
          <w:rFonts w:ascii="Georgia" w:hAnsi="Georgia"/>
          <w:i/>
          <w:szCs w:val="24"/>
        </w:rPr>
        <w:t xml:space="preserve">ayat </w:t>
      </w:r>
      <w:r w:rsidRPr="00570082">
        <w:rPr>
          <w:rFonts w:ascii="Georgia" w:hAnsi="Georgia"/>
          <w:szCs w:val="24"/>
        </w:rPr>
        <w:t xml:space="preserve">in </w:t>
      </w:r>
      <w:r w:rsidRPr="00570082">
        <w:rPr>
          <w:rFonts w:ascii="Georgia" w:hAnsi="Georgia"/>
          <w:i/>
          <w:szCs w:val="24"/>
        </w:rPr>
        <w:t>Surah an-Nisa'a:</w:t>
      </w:r>
    </w:p>
    <w:p w14:paraId="133DD7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66FB12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"O ye who believe, when ye go abroad, in the cause of God, Investigate carefully, and say not to any one who offers you a salutation: 'Thou art none of a Believer!" coveting the perishable goods of this life: with God are profits and spoils abundant. Even thus were ye yourselves before, till God conferred on you His favours: therefore carefully investigate. For God is well aware of all that ye do." </w:t>
      </w:r>
      <w:r w:rsidRPr="00570082">
        <w:rPr>
          <w:rStyle w:val="EndnoteReference"/>
          <w:rFonts w:ascii="Georgia" w:hAnsi="Georgia"/>
          <w:szCs w:val="24"/>
        </w:rPr>
        <w:endnoteReference w:id="30"/>
      </w:r>
    </w:p>
    <w:p w14:paraId="45EC6EE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A66605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is perhaps one aspect of Ibn Taymiyya's work that has been ignored by some within subsequent generations. It states that Muslims do not have the right to call other believers </w:t>
      </w:r>
      <w:r w:rsidRPr="00570082">
        <w:rPr>
          <w:rFonts w:ascii="Georgia" w:hAnsi="Georgia"/>
          <w:i/>
          <w:szCs w:val="24"/>
        </w:rPr>
        <w:t>kufr</w:t>
      </w:r>
      <w:r w:rsidRPr="00570082">
        <w:rPr>
          <w:rFonts w:ascii="Georgia" w:hAnsi="Georgia"/>
          <w:szCs w:val="24"/>
        </w:rPr>
        <w:t xml:space="preserve">, and that this right was in the eyes of God. </w:t>
      </w:r>
    </w:p>
    <w:p w14:paraId="6489CE3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5B8855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However, according to Ibn Taymiyya, transgressors lose their status as </w:t>
      </w:r>
      <w:r w:rsidRPr="00570082">
        <w:rPr>
          <w:rFonts w:ascii="Georgia" w:hAnsi="Georgia"/>
          <w:i/>
          <w:szCs w:val="24"/>
        </w:rPr>
        <w:t xml:space="preserve">mu'min </w:t>
      </w:r>
      <w:r w:rsidRPr="00570082">
        <w:rPr>
          <w:rFonts w:ascii="Georgia" w:hAnsi="Georgia"/>
          <w:szCs w:val="24"/>
        </w:rPr>
        <w:t>(believers) immediately they transgress.</w:t>
      </w:r>
      <w:r w:rsidRPr="00570082">
        <w:rPr>
          <w:rStyle w:val="EndnoteReference"/>
          <w:rFonts w:ascii="Georgia" w:hAnsi="Georgia"/>
          <w:szCs w:val="24"/>
        </w:rPr>
        <w:endnoteReference w:id="31"/>
      </w:r>
      <w:r w:rsidRPr="00570082">
        <w:rPr>
          <w:rFonts w:ascii="Georgia" w:hAnsi="Georgia"/>
          <w:szCs w:val="24"/>
        </w:rPr>
        <w:t xml:space="preserve"> It could be said, with the benefit of hindsight, that there are a number of contradictions in Ibn Taymiyya's work and that through his own selective interpretations of Islam he placed particular emphasis on certain aspects of the Qur'an and </w:t>
      </w:r>
      <w:r w:rsidRPr="00570082">
        <w:rPr>
          <w:rFonts w:ascii="Georgia" w:hAnsi="Georgia"/>
          <w:i/>
          <w:szCs w:val="24"/>
        </w:rPr>
        <w:t>Hadith</w:t>
      </w:r>
      <w:r w:rsidRPr="00570082">
        <w:rPr>
          <w:rFonts w:ascii="Georgia" w:hAnsi="Georgia"/>
          <w:szCs w:val="24"/>
        </w:rPr>
        <w:t xml:space="preserve"> at the expense of others. Balance is relative. Ibn Taymiyya would have accepted that </w:t>
      </w:r>
      <w:r w:rsidRPr="00570082">
        <w:rPr>
          <w:rFonts w:ascii="Georgia" w:hAnsi="Georgia"/>
          <w:i/>
          <w:szCs w:val="24"/>
        </w:rPr>
        <w:t xml:space="preserve">ijtihad </w:t>
      </w:r>
      <w:r w:rsidRPr="00570082">
        <w:rPr>
          <w:rFonts w:ascii="Georgia" w:hAnsi="Georgia"/>
          <w:szCs w:val="24"/>
        </w:rPr>
        <w:t xml:space="preserve">is not going to achieve uniform results. The important aspect for him seems to be the mechanism of </w:t>
      </w:r>
      <w:r w:rsidRPr="00570082">
        <w:rPr>
          <w:rFonts w:ascii="Georgia" w:hAnsi="Georgia"/>
          <w:i/>
          <w:szCs w:val="24"/>
        </w:rPr>
        <w:t xml:space="preserve">ijtihad </w:t>
      </w:r>
      <w:r w:rsidRPr="00570082">
        <w:rPr>
          <w:rFonts w:ascii="Georgia" w:hAnsi="Georgia"/>
          <w:szCs w:val="24"/>
        </w:rPr>
        <w:t xml:space="preserve">in action.  He reiterates the </w:t>
      </w:r>
      <w:r w:rsidRPr="00570082">
        <w:rPr>
          <w:rFonts w:ascii="Georgia" w:hAnsi="Georgia"/>
          <w:i/>
          <w:szCs w:val="24"/>
        </w:rPr>
        <w:t>Hadith</w:t>
      </w:r>
      <w:r w:rsidRPr="00570082">
        <w:rPr>
          <w:rFonts w:ascii="Georgia" w:hAnsi="Georgia"/>
          <w:szCs w:val="24"/>
        </w:rPr>
        <w:t xml:space="preserve"> about the potential for error by those striving to interpret the Qur'an:</w:t>
      </w:r>
      <w:r w:rsidRPr="00570082">
        <w:rPr>
          <w:rStyle w:val="EndnoteReference"/>
          <w:rFonts w:ascii="Georgia" w:hAnsi="Georgia"/>
          <w:szCs w:val="24"/>
        </w:rPr>
        <w:endnoteReference w:id="32"/>
      </w:r>
    </w:p>
    <w:p w14:paraId="62E1573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9DCB52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"Ibn Taymiyya's genius does not lie in the particular arguments he adduced, though even here he was impressive; rather, his genius manifests itself in creating, from the material that consisted of these particular arguments, a complete, systematic, and coherent critique."</w:t>
      </w:r>
      <w:r w:rsidRPr="00570082">
        <w:rPr>
          <w:rStyle w:val="EndnoteReference"/>
          <w:rFonts w:ascii="Georgia" w:hAnsi="Georgia"/>
          <w:szCs w:val="24"/>
        </w:rPr>
        <w:endnoteReference w:id="33"/>
      </w:r>
    </w:p>
    <w:p w14:paraId="231F36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F6934E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is the reason why Ibn Taymiyya can be considered one of the paradigms for many subsequent reforms, whether by movements, individuals, </w:t>
      </w:r>
      <w:r w:rsidRPr="00570082">
        <w:rPr>
          <w:rFonts w:ascii="Georgia" w:hAnsi="Georgia"/>
          <w:i/>
          <w:szCs w:val="24"/>
        </w:rPr>
        <w:t xml:space="preserve">mujaddid, </w:t>
      </w:r>
      <w:r w:rsidRPr="00570082">
        <w:rPr>
          <w:rFonts w:ascii="Georgia" w:hAnsi="Georgia"/>
          <w:szCs w:val="24"/>
        </w:rPr>
        <w:t xml:space="preserve">or </w:t>
      </w:r>
      <w:r w:rsidRPr="00570082">
        <w:rPr>
          <w:rFonts w:ascii="Georgia" w:hAnsi="Georgia"/>
          <w:i/>
          <w:szCs w:val="24"/>
        </w:rPr>
        <w:t>mujtahid.</w:t>
      </w:r>
      <w:r w:rsidRPr="00570082">
        <w:rPr>
          <w:rFonts w:ascii="Georgia" w:hAnsi="Georgia"/>
          <w:szCs w:val="24"/>
        </w:rPr>
        <w:t xml:space="preserve"> The strength of his learning proved a compulsive influence. Here was a Muslim faced by external dangers (invasion) and domestic dangers (threats to the orthodoxy of Islam). This was a position many subsequent reformers could relate to: adverse political and religious conditions, coupled with deterioration in the ideals of Islam, stimulated the call for </w:t>
      </w:r>
      <w:r w:rsidRPr="00570082">
        <w:rPr>
          <w:rFonts w:ascii="Georgia" w:hAnsi="Georgia"/>
          <w:i/>
          <w:szCs w:val="24"/>
        </w:rPr>
        <w:t>tajdid</w:t>
      </w:r>
      <w:r w:rsidRPr="00570082">
        <w:rPr>
          <w:rFonts w:ascii="Georgia" w:hAnsi="Georgia"/>
          <w:szCs w:val="24"/>
        </w:rPr>
        <w:t xml:space="preserve"> and many who followed him. Like his many followers, though, Ibn Taymiyya was unable to personally implement much of what he advocated. He was seen as a dangerous influence by many, threatening the </w:t>
      </w:r>
      <w:r w:rsidRPr="00570082">
        <w:rPr>
          <w:rFonts w:ascii="Georgia" w:hAnsi="Georgia"/>
          <w:i/>
          <w:szCs w:val="24"/>
        </w:rPr>
        <w:t>status quo</w:t>
      </w:r>
      <w:r w:rsidRPr="00570082">
        <w:rPr>
          <w:rFonts w:ascii="Georgia" w:hAnsi="Georgia"/>
          <w:szCs w:val="24"/>
        </w:rPr>
        <w:t xml:space="preserve"> and paying a high personal price. The concept of reformer as martyr also enters the equation. </w:t>
      </w:r>
    </w:p>
    <w:p w14:paraId="021FC49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17C55E6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 xml:space="preserve">3.2.5. Implementation of Ibn Taymiyya’s Thought </w:t>
      </w:r>
    </w:p>
    <w:p w14:paraId="09C23EF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14:paraId="7BF6CCD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is important to consider one practical application of aspects of Ibn Taymiyya's theories, by Sultan Muhammad bin Tughluq (1325-1351) in Delhi.</w:t>
      </w:r>
      <w:r w:rsidRPr="00570082">
        <w:rPr>
          <w:rStyle w:val="EndnoteReference"/>
          <w:rFonts w:ascii="Georgia" w:hAnsi="Georgia"/>
          <w:szCs w:val="24"/>
        </w:rPr>
        <w:endnoteReference w:id="34"/>
      </w:r>
      <w:r w:rsidRPr="00570082">
        <w:rPr>
          <w:rFonts w:ascii="Georgia" w:hAnsi="Georgia"/>
          <w:szCs w:val="24"/>
        </w:rPr>
        <w:t xml:space="preserve"> Certain reform-centred patterns begin to emerge, in examining this period in Tughluq Dynasty history. Tughluq was threatened by elements of 'Sufism' which he felt strayed from orthodoxy; there was the physical threat of invasion from Mughals, for which he called a </w:t>
      </w:r>
      <w:r w:rsidRPr="00570082">
        <w:rPr>
          <w:rFonts w:ascii="Georgia" w:hAnsi="Georgia"/>
          <w:i/>
          <w:szCs w:val="24"/>
        </w:rPr>
        <w:t>jihad</w:t>
      </w:r>
      <w:r w:rsidRPr="00570082">
        <w:rPr>
          <w:rFonts w:ascii="Georgia" w:hAnsi="Georgia"/>
          <w:szCs w:val="24"/>
        </w:rPr>
        <w:t xml:space="preserve">; Tughluq implemented </w:t>
      </w:r>
      <w:r w:rsidRPr="00570082">
        <w:rPr>
          <w:rFonts w:ascii="Georgia" w:hAnsi="Georgia"/>
          <w:i/>
          <w:szCs w:val="24"/>
        </w:rPr>
        <w:t>shari'ah</w:t>
      </w:r>
      <w:r w:rsidRPr="00570082">
        <w:rPr>
          <w:rFonts w:ascii="Georgia" w:hAnsi="Georgia"/>
          <w:szCs w:val="24"/>
        </w:rPr>
        <w:t xml:space="preserve"> law, promoting </w:t>
      </w:r>
      <w:r w:rsidRPr="00570082">
        <w:rPr>
          <w:rFonts w:ascii="Georgia" w:hAnsi="Georgia"/>
          <w:i/>
          <w:szCs w:val="24"/>
        </w:rPr>
        <w:t>usul</w:t>
      </w:r>
      <w:r w:rsidRPr="00570082">
        <w:rPr>
          <w:rFonts w:ascii="Georgia" w:hAnsi="Georgia"/>
          <w:szCs w:val="24"/>
        </w:rPr>
        <w:t xml:space="preserve"> principles such as obligatory prayers and observation of </w:t>
      </w:r>
      <w:r w:rsidRPr="00570082">
        <w:rPr>
          <w:rFonts w:ascii="Georgia" w:hAnsi="Georgia"/>
          <w:i/>
          <w:szCs w:val="24"/>
        </w:rPr>
        <w:t>sawn</w:t>
      </w:r>
      <w:r w:rsidRPr="00570082">
        <w:rPr>
          <w:rFonts w:ascii="Georgia" w:hAnsi="Georgia"/>
          <w:szCs w:val="24"/>
        </w:rPr>
        <w:t xml:space="preserve">; he refused to divide religious and political obligations, whilst recognising the </w:t>
      </w:r>
      <w:r w:rsidRPr="00570082">
        <w:rPr>
          <w:rFonts w:ascii="Georgia" w:hAnsi="Georgia"/>
          <w:i/>
          <w:szCs w:val="24"/>
        </w:rPr>
        <w:t>khilafa</w:t>
      </w:r>
      <w:r w:rsidRPr="00570082">
        <w:rPr>
          <w:rFonts w:ascii="Georgia" w:hAnsi="Georgia"/>
          <w:szCs w:val="24"/>
        </w:rPr>
        <w:t>, to whom he gave allegiance (to the Abbasid caliphate in Cairo).</w:t>
      </w:r>
      <w:r w:rsidRPr="00570082">
        <w:rPr>
          <w:rStyle w:val="EndnoteReference"/>
          <w:rFonts w:ascii="Georgia" w:hAnsi="Georgia"/>
          <w:szCs w:val="24"/>
        </w:rPr>
        <w:endnoteReference w:id="35"/>
      </w:r>
      <w:r w:rsidRPr="00570082">
        <w:rPr>
          <w:rFonts w:ascii="Georgia" w:hAnsi="Georgia"/>
          <w:szCs w:val="24"/>
        </w:rPr>
        <w:t xml:space="preserve"> Muhammad bin Tughluq emphasised the importance of </w:t>
      </w:r>
      <w:r w:rsidRPr="00570082">
        <w:rPr>
          <w:rFonts w:ascii="Georgia" w:hAnsi="Georgia"/>
          <w:i/>
          <w:szCs w:val="24"/>
        </w:rPr>
        <w:t>Hadith</w:t>
      </w:r>
      <w:r w:rsidRPr="00570082">
        <w:rPr>
          <w:rFonts w:ascii="Georgia" w:hAnsi="Georgia"/>
          <w:szCs w:val="24"/>
        </w:rPr>
        <w:t xml:space="preserve">, and the role of </w:t>
      </w:r>
      <w:r w:rsidRPr="00570082">
        <w:rPr>
          <w:rFonts w:ascii="Georgia" w:hAnsi="Georgia"/>
          <w:i/>
          <w:szCs w:val="24"/>
        </w:rPr>
        <w:t>ijtihad</w:t>
      </w:r>
      <w:r w:rsidRPr="00570082">
        <w:rPr>
          <w:rFonts w:ascii="Georgia" w:hAnsi="Georgia"/>
          <w:szCs w:val="24"/>
        </w:rPr>
        <w:t xml:space="preserve"> in dealing with new problems and situations:</w:t>
      </w:r>
    </w:p>
    <w:p w14:paraId="461D54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E2CACF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"He believed in fresh interpretation according to the exigencies of the situation and had a group of </w:t>
      </w:r>
      <w:r w:rsidRPr="00570082">
        <w:rPr>
          <w:rFonts w:ascii="Georgia" w:hAnsi="Georgia"/>
          <w:i/>
          <w:szCs w:val="24"/>
        </w:rPr>
        <w:t>'ulama'</w:t>
      </w:r>
      <w:r w:rsidRPr="00570082">
        <w:rPr>
          <w:rFonts w:ascii="Georgia" w:hAnsi="Georgia"/>
          <w:szCs w:val="24"/>
        </w:rPr>
        <w:t xml:space="preserve"> always around him. With them he discussed and debated every matter; he never issued orders for the execution of anybody unless these 'ulama' concurred with his judgment. If he failed to convince them he would immediately set free the person in custody."</w:t>
      </w:r>
      <w:r w:rsidRPr="00570082">
        <w:rPr>
          <w:rStyle w:val="EndnoteReference"/>
          <w:rFonts w:ascii="Georgia" w:hAnsi="Georgia"/>
          <w:szCs w:val="24"/>
        </w:rPr>
        <w:endnoteReference w:id="36"/>
      </w:r>
      <w:r w:rsidRPr="00570082">
        <w:rPr>
          <w:rFonts w:ascii="Georgia" w:hAnsi="Georgia"/>
          <w:szCs w:val="24"/>
        </w:rPr>
        <w:t xml:space="preserve">  </w:t>
      </w:r>
    </w:p>
    <w:p w14:paraId="42F44A3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30CFC26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Tughluq was clearly influenced by Ibn Taymiyya. This demonstrates the rapid dispersal of Islamic reform concepts over a wide geographical area, linked to Delhi being a haven for persecuted scholars. However, as a paradigmatic model of a state introducing </w:t>
      </w:r>
      <w:r w:rsidRPr="00570082">
        <w:rPr>
          <w:rFonts w:ascii="Georgia" w:hAnsi="Georgia"/>
          <w:i/>
          <w:szCs w:val="24"/>
        </w:rPr>
        <w:t>ijtihad</w:t>
      </w:r>
      <w:r w:rsidRPr="00570082">
        <w:rPr>
          <w:rFonts w:ascii="Georgia" w:hAnsi="Georgia"/>
          <w:szCs w:val="24"/>
        </w:rPr>
        <w:t xml:space="preserve"> into the legislated mainstream of its society, the decline of Ibn Taymiyya's influence after the death of Sultan Tughluq provides limited opportunities to discuss whether it was a failure or success. Tughluq had the power to introduce </w:t>
      </w:r>
      <w:r w:rsidRPr="00570082">
        <w:rPr>
          <w:rFonts w:ascii="Georgia" w:hAnsi="Georgia"/>
          <w:i/>
          <w:szCs w:val="24"/>
        </w:rPr>
        <w:t xml:space="preserve">tajdid </w:t>
      </w:r>
      <w:r w:rsidRPr="00570082">
        <w:rPr>
          <w:rFonts w:ascii="Georgia" w:hAnsi="Georgia"/>
          <w:szCs w:val="24"/>
        </w:rPr>
        <w:t xml:space="preserve">into a system which was already amenable to it, promoted by Tughluq's predecessor Sultan Ghiyath al-Din Tughluq (1320-25). Thus, the issue with many reform-centred movements, of not having the power to enforce change, was not relevant in this case. There was no need for a revolution or agitation: Tughluq had to power to silence critics, sending them into exile from Delhi. </w:t>
      </w:r>
    </w:p>
    <w:p w14:paraId="2D609EA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EB3A5A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Although Ibn Taymiyya's was not the only voice seeking a re-evaluation of Islamic practice centred on Qur'an and Hadith, his influence pervades many subsequent interpretations of Islam. For example, the Ottoman Empire, the Hijaz, the Maghreb, Egypt, South Asia, and South East Asia have all been permeated with Ibn Taymiyya's thought. In contemporary Muslim societies, Ibn Taymiyya is seen as a focal point in the struggle for a pragmatic understanding of Islam in the face of purportedly hostile influences. Ibn Taymiyya's work has been reappraised by many subsequent reformers, and reform-centred movements, and has informed political processes (‘positively’ and ‘negatively’).</w:t>
      </w:r>
    </w:p>
    <w:p w14:paraId="7CE756A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1F4341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3.2.6.</w:t>
      </w:r>
      <w:r w:rsidRPr="00570082">
        <w:rPr>
          <w:rFonts w:ascii="Georgia" w:hAnsi="Georgia"/>
          <w:b/>
          <w:szCs w:val="24"/>
        </w:rPr>
        <w:tab/>
        <w:t>Shah Wali Allah</w:t>
      </w:r>
    </w:p>
    <w:p w14:paraId="207F0DB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53E7B5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r w:rsidRPr="00570082">
        <w:rPr>
          <w:rFonts w:ascii="Georgia" w:hAnsi="Georgia"/>
          <w:szCs w:val="24"/>
        </w:rPr>
        <w:tab/>
        <w:t xml:space="preserve">Shah Wali Allah (1703-1762), from Delhi, was educated in Islamic sciences, and sought to build new foundations in </w:t>
      </w:r>
      <w:r w:rsidRPr="00570082">
        <w:rPr>
          <w:rFonts w:ascii="Georgia" w:hAnsi="Georgia"/>
          <w:i/>
          <w:szCs w:val="24"/>
        </w:rPr>
        <w:t>fiqh</w:t>
      </w:r>
      <w:r w:rsidRPr="00570082">
        <w:rPr>
          <w:rFonts w:ascii="Georgia" w:hAnsi="Georgia"/>
          <w:szCs w:val="24"/>
        </w:rPr>
        <w:t xml:space="preserve"> in response to what he saw as dangers to Islam. He was a </w:t>
      </w:r>
      <w:r w:rsidRPr="00570082">
        <w:rPr>
          <w:rFonts w:ascii="Georgia" w:hAnsi="Georgia"/>
          <w:i/>
          <w:szCs w:val="24"/>
        </w:rPr>
        <w:t>hajji</w:t>
      </w:r>
      <w:r w:rsidRPr="00570082">
        <w:rPr>
          <w:rFonts w:ascii="Georgia" w:hAnsi="Georgia"/>
          <w:szCs w:val="24"/>
        </w:rPr>
        <w:t xml:space="preserve">, and studied in Mecca. He had been initiated into a Sufi order, and succeeded his father in heading a </w:t>
      </w:r>
      <w:r w:rsidRPr="00570082">
        <w:rPr>
          <w:rFonts w:ascii="Georgia" w:hAnsi="Georgia"/>
          <w:i/>
          <w:szCs w:val="24"/>
        </w:rPr>
        <w:t>madrassah</w:t>
      </w:r>
      <w:r w:rsidRPr="00570082">
        <w:rPr>
          <w:rFonts w:ascii="Georgia" w:hAnsi="Georgia"/>
          <w:szCs w:val="24"/>
        </w:rPr>
        <w:t xml:space="preserve">. Amongst his diverse interests, Shah Wali Allah wrote on the differences between </w:t>
      </w:r>
      <w:r w:rsidRPr="00570082">
        <w:rPr>
          <w:rFonts w:ascii="Georgia" w:hAnsi="Georgia"/>
          <w:i/>
          <w:szCs w:val="24"/>
        </w:rPr>
        <w:t>al-madhabib al-fiqhiyya</w:t>
      </w:r>
      <w:r w:rsidRPr="00570082">
        <w:rPr>
          <w:rFonts w:ascii="Georgia" w:hAnsi="Georgia"/>
          <w:szCs w:val="24"/>
        </w:rPr>
        <w:t xml:space="preserve">, and on the characteristics of </w:t>
      </w:r>
      <w:r w:rsidRPr="00570082">
        <w:rPr>
          <w:rFonts w:ascii="Georgia" w:hAnsi="Georgia"/>
          <w:i/>
          <w:szCs w:val="24"/>
        </w:rPr>
        <w:t>ijtihad.</w:t>
      </w:r>
    </w:p>
    <w:p w14:paraId="090E086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7A661F4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eighteenth century was a time of radical change in India, when a number of movements emerged as a reaction against the loss of Muslim political power, the role of the Mughal ruling class, and the encroaching Imperialism of the English.</w:t>
      </w:r>
      <w:r w:rsidRPr="00570082">
        <w:rPr>
          <w:rStyle w:val="EndnoteReference"/>
          <w:rFonts w:ascii="Georgia" w:hAnsi="Georgia"/>
          <w:szCs w:val="24"/>
        </w:rPr>
        <w:endnoteReference w:id="37"/>
      </w:r>
      <w:r w:rsidRPr="00570082">
        <w:rPr>
          <w:rFonts w:ascii="Georgia" w:hAnsi="Georgia"/>
          <w:szCs w:val="24"/>
        </w:rPr>
        <w:t xml:space="preserve"> Like Ibn Taymiyya, Shah Wali Allah feared foreign invaders, and felt that his interpretation of Islamic life was threatened by 'un-orthodox behaviour', such as particular forms of Sufism, and the influence of philosophy (</w:t>
      </w:r>
      <w:r w:rsidRPr="00570082">
        <w:rPr>
          <w:rFonts w:ascii="Georgia" w:hAnsi="Georgia"/>
          <w:i/>
          <w:szCs w:val="24"/>
        </w:rPr>
        <w:t>falsafa</w:t>
      </w:r>
      <w:r w:rsidRPr="00570082">
        <w:rPr>
          <w:rFonts w:ascii="Georgia" w:hAnsi="Georgia"/>
          <w:szCs w:val="24"/>
        </w:rPr>
        <w:t>).</w:t>
      </w:r>
      <w:r w:rsidRPr="00570082">
        <w:rPr>
          <w:rStyle w:val="EndnoteReference"/>
          <w:rFonts w:ascii="Georgia" w:hAnsi="Georgia"/>
          <w:szCs w:val="24"/>
        </w:rPr>
        <w:endnoteReference w:id="38"/>
      </w:r>
    </w:p>
    <w:p w14:paraId="3ACBC7C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6BC126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Although approving of many of Ibn Taymiyya's views, Shah Wali Allah disagreed with his attacks on Muhri al-Din Ibn 'Arabi (1160-1240), understandable given Shah Wali Allah's own Sufi practices, was described in his biography.</w:t>
      </w:r>
      <w:r w:rsidRPr="00570082">
        <w:rPr>
          <w:rStyle w:val="EndnoteReference"/>
          <w:rFonts w:ascii="Georgia" w:hAnsi="Georgia"/>
          <w:szCs w:val="24"/>
        </w:rPr>
        <w:endnoteReference w:id="39"/>
      </w:r>
      <w:r w:rsidRPr="00570082">
        <w:rPr>
          <w:rFonts w:ascii="Georgia" w:hAnsi="Georgia"/>
          <w:szCs w:val="24"/>
        </w:rPr>
        <w:t xml:space="preserve"> Shah Wali Allah explains that, once during prayer, he underwent a </w:t>
      </w:r>
      <w:r w:rsidRPr="00570082">
        <w:rPr>
          <w:rFonts w:ascii="Georgia" w:hAnsi="Georgia"/>
          <w:i/>
          <w:szCs w:val="24"/>
        </w:rPr>
        <w:t>Sufi</w:t>
      </w:r>
      <w:r w:rsidRPr="00570082">
        <w:rPr>
          <w:rFonts w:ascii="Georgia" w:hAnsi="Georgia"/>
          <w:szCs w:val="24"/>
        </w:rPr>
        <w:t xml:space="preserve"> style ritual in which he gave a vow of allegiance to Muhammad, and then felt himself united with the Prophet's spirit.</w:t>
      </w:r>
      <w:r w:rsidRPr="00570082">
        <w:rPr>
          <w:rStyle w:val="EndnoteReference"/>
          <w:rFonts w:ascii="Georgia" w:hAnsi="Georgia"/>
          <w:szCs w:val="24"/>
        </w:rPr>
        <w:endnoteReference w:id="40"/>
      </w:r>
      <w:r w:rsidRPr="00570082">
        <w:rPr>
          <w:rFonts w:ascii="Georgia" w:hAnsi="Georgia"/>
          <w:szCs w:val="24"/>
        </w:rPr>
        <w:t xml:space="preserve"> He describes receiving Muhammad's pen from the Prophet's grandsons, Husayn and Hasan.</w:t>
      </w:r>
      <w:r w:rsidRPr="00570082">
        <w:rPr>
          <w:rStyle w:val="EndnoteReference"/>
          <w:rFonts w:ascii="Georgia" w:hAnsi="Georgia"/>
          <w:szCs w:val="24"/>
        </w:rPr>
        <w:endnoteReference w:id="41"/>
      </w:r>
      <w:r w:rsidRPr="00570082">
        <w:rPr>
          <w:rFonts w:ascii="Georgia" w:hAnsi="Georgia"/>
          <w:szCs w:val="24"/>
        </w:rPr>
        <w:t xml:space="preserve"> Such experiences, indicative of his close links with the </w:t>
      </w:r>
      <w:r w:rsidRPr="00570082">
        <w:rPr>
          <w:rFonts w:ascii="Georgia" w:hAnsi="Georgia"/>
          <w:i/>
          <w:szCs w:val="24"/>
        </w:rPr>
        <w:t>Naqshbandiyya</w:t>
      </w:r>
      <w:r w:rsidRPr="00570082">
        <w:rPr>
          <w:rFonts w:ascii="Georgia" w:hAnsi="Georgia"/>
          <w:szCs w:val="24"/>
        </w:rPr>
        <w:t xml:space="preserve">, were believed by Shah Wali Allah to equip him for holding the function of a </w:t>
      </w:r>
      <w:r w:rsidRPr="00570082">
        <w:rPr>
          <w:rFonts w:ascii="Georgia" w:hAnsi="Georgia"/>
          <w:i/>
          <w:szCs w:val="24"/>
        </w:rPr>
        <w:t>mujaddid</w:t>
      </w:r>
      <w:r w:rsidRPr="00570082">
        <w:rPr>
          <w:rFonts w:ascii="Georgia" w:hAnsi="Georgia"/>
          <w:szCs w:val="24"/>
        </w:rPr>
        <w:t xml:space="preserve"> and </w:t>
      </w:r>
      <w:r w:rsidRPr="00570082">
        <w:rPr>
          <w:rFonts w:ascii="Georgia" w:hAnsi="Georgia"/>
          <w:i/>
          <w:szCs w:val="24"/>
        </w:rPr>
        <w:t>mujtahid</w:t>
      </w:r>
      <w:r w:rsidRPr="00570082">
        <w:rPr>
          <w:rFonts w:ascii="Georgia" w:hAnsi="Georgia"/>
          <w:szCs w:val="24"/>
        </w:rPr>
        <w:t>:</w:t>
      </w:r>
    </w:p>
    <w:p w14:paraId="681AF5F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D5A40C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440"/>
        <w:rPr>
          <w:rFonts w:ascii="Georgia" w:hAnsi="Georgia"/>
          <w:szCs w:val="24"/>
        </w:rPr>
      </w:pPr>
      <w:r w:rsidRPr="00570082">
        <w:rPr>
          <w:rFonts w:ascii="Georgia" w:hAnsi="Georgia"/>
          <w:szCs w:val="24"/>
        </w:rPr>
        <w:t>"God granted me the robe of revival (</w:t>
      </w:r>
      <w:r w:rsidRPr="00570082">
        <w:rPr>
          <w:rFonts w:ascii="Georgia" w:hAnsi="Georgia"/>
          <w:i/>
          <w:szCs w:val="24"/>
        </w:rPr>
        <w:t>khil'at-i fatihiyya</w:t>
      </w:r>
      <w:r w:rsidRPr="00570082">
        <w:rPr>
          <w:rFonts w:ascii="Georgia" w:hAnsi="Georgia"/>
          <w:szCs w:val="24"/>
        </w:rPr>
        <w:t xml:space="preserve">) and enabled me to give new vigour and guidance to this last age, laying a new foundation of present-day </w:t>
      </w:r>
      <w:r w:rsidRPr="00570082">
        <w:rPr>
          <w:rFonts w:ascii="Georgia" w:hAnsi="Georgia"/>
          <w:i/>
          <w:szCs w:val="24"/>
        </w:rPr>
        <w:t>fiqh</w:t>
      </w:r>
      <w:r w:rsidRPr="00570082">
        <w:rPr>
          <w:rFonts w:ascii="Georgia" w:hAnsi="Georgia"/>
          <w:szCs w:val="24"/>
        </w:rPr>
        <w:t xml:space="preserve"> by collecting what appears appropriate</w:t>
      </w:r>
      <w:r w:rsidRPr="00570082">
        <w:rPr>
          <w:rFonts w:ascii="Georgia" w:hAnsi="Georgia"/>
          <w:i/>
          <w:szCs w:val="24"/>
        </w:rPr>
        <w:t xml:space="preserve"> (marda</w:t>
      </w:r>
      <w:r w:rsidRPr="00570082">
        <w:rPr>
          <w:rFonts w:ascii="Georgia" w:hAnsi="Georgia"/>
          <w:szCs w:val="24"/>
        </w:rPr>
        <w:t>) in it and explaining basic notions (</w:t>
      </w:r>
      <w:r w:rsidRPr="00570082">
        <w:rPr>
          <w:rFonts w:ascii="Georgia" w:hAnsi="Georgia"/>
          <w:i/>
          <w:szCs w:val="24"/>
        </w:rPr>
        <w:t>asrar</w:t>
      </w:r>
      <w:r w:rsidRPr="00570082">
        <w:rPr>
          <w:rFonts w:ascii="Georgia" w:hAnsi="Georgia"/>
          <w:szCs w:val="24"/>
        </w:rPr>
        <w:t>) in the traditions, considerations of expediency in the laws as well as the stimulations (</w:t>
      </w:r>
      <w:r w:rsidRPr="00570082">
        <w:rPr>
          <w:rFonts w:ascii="Georgia" w:hAnsi="Georgia"/>
          <w:i/>
          <w:szCs w:val="24"/>
        </w:rPr>
        <w:t>targhabat</w:t>
      </w:r>
      <w:r w:rsidRPr="00570082">
        <w:rPr>
          <w:rFonts w:ascii="Georgia" w:hAnsi="Georgia"/>
          <w:szCs w:val="24"/>
        </w:rPr>
        <w:t xml:space="preserve">) and all that has been brought by the Prophet from God. This is knowledge that none before me demonstrated with better argumentations ... I consolidated the foundations of the creed of the ancient sunnis by proofs and arguments and by purifying them from nonsensical doubts raised by philosophers, in such a way that no room for contest is left." </w:t>
      </w:r>
      <w:r w:rsidRPr="00570082">
        <w:rPr>
          <w:rStyle w:val="EndnoteReference"/>
          <w:rFonts w:ascii="Georgia" w:hAnsi="Georgia"/>
          <w:szCs w:val="24"/>
        </w:rPr>
        <w:endnoteReference w:id="42"/>
      </w:r>
    </w:p>
    <w:p w14:paraId="3A73A91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229F9C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This passage, which perhaps could be interpreted as immodest by some readers, is useful in introducing a new characteristic into the paradigm of reform, that of direct Divine Inspiration and connection with the Prophet. Others may have implied or assumed it: Shah Wali Allah is more forceful with his assertion, and suggests that it contributes directly to his assessment of Islam.</w:t>
      </w:r>
      <w:r w:rsidRPr="00570082">
        <w:rPr>
          <w:rFonts w:ascii="Georgia" w:hAnsi="Georgia"/>
          <w:b/>
          <w:szCs w:val="24"/>
        </w:rPr>
        <w:t xml:space="preserve">  </w:t>
      </w:r>
      <w:r w:rsidRPr="00570082">
        <w:rPr>
          <w:rFonts w:ascii="Georgia" w:hAnsi="Georgia"/>
          <w:szCs w:val="24"/>
        </w:rPr>
        <w:t>Clearly this can have an impsct within paradigms of Muslim politics.</w:t>
      </w:r>
    </w:p>
    <w:p w14:paraId="1F5FD96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B2502C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Shah Wali Allah strongly believed in literal interpretation of the Qur'an as the basis for understanding Islam. Although a scholar himself, he did not believe that to reach a comprehension of the Qur'an a detailed metaphysical or intellectual approach was necessary. Through reading, reciting and hearing the Qur'an, the truth should be made plain to anybody. Knowledge was not the domain of scholars alone.</w:t>
      </w:r>
    </w:p>
    <w:p w14:paraId="15E8E83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321178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Shah Wali Allah's Sufi background again proves influential, emphatic in its assertion of the Qur'an's Divine nature. Shah Wali Allah indicated that Muhammad's </w:t>
      </w:r>
      <w:r w:rsidRPr="00570082">
        <w:rPr>
          <w:rFonts w:ascii="Georgia" w:hAnsi="Georgia"/>
          <w:i/>
          <w:szCs w:val="24"/>
        </w:rPr>
        <w:t>practice</w:t>
      </w:r>
      <w:r w:rsidRPr="00570082">
        <w:rPr>
          <w:rFonts w:ascii="Georgia" w:hAnsi="Georgia"/>
          <w:szCs w:val="24"/>
        </w:rPr>
        <w:t xml:space="preserve"> was often corrected or completed by God.</w:t>
      </w:r>
      <w:r w:rsidRPr="00570082">
        <w:rPr>
          <w:rStyle w:val="EndnoteReference"/>
          <w:rFonts w:ascii="Georgia" w:hAnsi="Georgia"/>
          <w:szCs w:val="24"/>
        </w:rPr>
        <w:endnoteReference w:id="43"/>
      </w:r>
      <w:r w:rsidRPr="00570082">
        <w:rPr>
          <w:rFonts w:ascii="Georgia" w:hAnsi="Georgia"/>
          <w:szCs w:val="24"/>
        </w:rPr>
        <w:t xml:space="preserve">  This divine facilitation was not the case for the </w:t>
      </w:r>
      <w:r w:rsidRPr="00570082">
        <w:rPr>
          <w:rFonts w:ascii="Georgia" w:hAnsi="Georgia"/>
          <w:i/>
          <w:szCs w:val="24"/>
        </w:rPr>
        <w:t>ijtihad</w:t>
      </w:r>
      <w:r w:rsidRPr="00570082">
        <w:rPr>
          <w:rFonts w:ascii="Georgia" w:hAnsi="Georgia"/>
          <w:szCs w:val="24"/>
        </w:rPr>
        <w:t xml:space="preserve"> of </w:t>
      </w:r>
      <w:r w:rsidRPr="00570082">
        <w:rPr>
          <w:rFonts w:ascii="Georgia" w:hAnsi="Georgia"/>
          <w:i/>
          <w:szCs w:val="24"/>
        </w:rPr>
        <w:t>'ulama'</w:t>
      </w:r>
      <w:r w:rsidRPr="00570082">
        <w:rPr>
          <w:rFonts w:ascii="Georgia" w:hAnsi="Georgia"/>
          <w:szCs w:val="24"/>
        </w:rPr>
        <w:t xml:space="preserve">, which Shah Wali Allah considered frequently inappropriate and a corruption of Islam if it contained innovatory matters or errors. </w:t>
      </w:r>
      <w:r w:rsidRPr="00570082">
        <w:rPr>
          <w:rStyle w:val="EndnoteReference"/>
          <w:rFonts w:ascii="Georgia" w:hAnsi="Georgia"/>
          <w:szCs w:val="24"/>
        </w:rPr>
        <w:endnoteReference w:id="44"/>
      </w:r>
      <w:r w:rsidRPr="00570082">
        <w:rPr>
          <w:rFonts w:ascii="Georgia" w:hAnsi="Georgia"/>
          <w:szCs w:val="24"/>
        </w:rPr>
        <w:t xml:space="preserve">  This 'corruption' was compounded when additions were made to the body of </w:t>
      </w:r>
      <w:r w:rsidRPr="00570082">
        <w:rPr>
          <w:rFonts w:ascii="Georgia" w:hAnsi="Georgia"/>
          <w:i/>
          <w:szCs w:val="24"/>
        </w:rPr>
        <w:t>hadith</w:t>
      </w:r>
      <w:r w:rsidRPr="00570082">
        <w:rPr>
          <w:rFonts w:ascii="Georgia" w:hAnsi="Georgia"/>
          <w:szCs w:val="24"/>
        </w:rPr>
        <w:t>, or when there were disagreements, which could undermine the importance of traditions.</w:t>
      </w:r>
    </w:p>
    <w:p w14:paraId="478FE9C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707AA4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a valuation of different works on </w:t>
      </w:r>
      <w:r w:rsidRPr="00570082">
        <w:rPr>
          <w:rFonts w:ascii="Georgia" w:hAnsi="Georgia"/>
          <w:i/>
          <w:szCs w:val="24"/>
        </w:rPr>
        <w:t xml:space="preserve">hadith, </w:t>
      </w:r>
      <w:r w:rsidRPr="00570082">
        <w:rPr>
          <w:rFonts w:ascii="Georgia" w:hAnsi="Georgia"/>
          <w:szCs w:val="24"/>
        </w:rPr>
        <w:t xml:space="preserve">Shah Wali Allah believed the </w:t>
      </w:r>
      <w:r w:rsidRPr="00570082">
        <w:rPr>
          <w:rFonts w:ascii="Georgia" w:hAnsi="Georgia"/>
          <w:i/>
          <w:szCs w:val="24"/>
        </w:rPr>
        <w:t>Muwatta'</w:t>
      </w:r>
      <w:r w:rsidRPr="00570082">
        <w:rPr>
          <w:rFonts w:ascii="Georgia" w:hAnsi="Georgia"/>
          <w:szCs w:val="24"/>
        </w:rPr>
        <w:t xml:space="preserve"> of Malik Ibn Anas to be superior, together with the </w:t>
      </w:r>
      <w:r w:rsidRPr="00570082">
        <w:rPr>
          <w:rFonts w:ascii="Georgia" w:hAnsi="Georgia"/>
          <w:i/>
          <w:szCs w:val="24"/>
        </w:rPr>
        <w:t xml:space="preserve">Sahih </w:t>
      </w:r>
      <w:r w:rsidRPr="00570082">
        <w:rPr>
          <w:rFonts w:ascii="Georgia" w:hAnsi="Georgia"/>
          <w:szCs w:val="24"/>
        </w:rPr>
        <w:t>of al-Bukhari and Muslim:</w:t>
      </w:r>
    </w:p>
    <w:p w14:paraId="7C1BD70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15302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b/>
          <w:szCs w:val="24"/>
        </w:rPr>
      </w:pPr>
      <w:r w:rsidRPr="00570082">
        <w:rPr>
          <w:rFonts w:ascii="Georgia" w:hAnsi="Georgia"/>
          <w:szCs w:val="24"/>
        </w:rPr>
        <w:t xml:space="preserve">"It is only by means of the </w:t>
      </w:r>
      <w:r w:rsidRPr="00570082">
        <w:rPr>
          <w:rFonts w:ascii="Georgia" w:hAnsi="Georgia"/>
          <w:i/>
          <w:szCs w:val="24"/>
        </w:rPr>
        <w:t xml:space="preserve">Muwatta' </w:t>
      </w:r>
      <w:r w:rsidRPr="00570082">
        <w:rPr>
          <w:rFonts w:ascii="Georgia" w:hAnsi="Georgia"/>
          <w:szCs w:val="24"/>
        </w:rPr>
        <w:t xml:space="preserve">that the door of </w:t>
      </w:r>
      <w:r w:rsidRPr="00570082">
        <w:rPr>
          <w:rFonts w:ascii="Georgia" w:hAnsi="Georgia"/>
          <w:i/>
          <w:szCs w:val="24"/>
        </w:rPr>
        <w:t>ijtihad</w:t>
      </w:r>
      <w:r w:rsidRPr="00570082">
        <w:rPr>
          <w:rFonts w:ascii="Georgia" w:hAnsi="Georgia"/>
          <w:szCs w:val="24"/>
        </w:rPr>
        <w:t xml:space="preserve"> can be kept open."</w:t>
      </w:r>
      <w:r w:rsidRPr="00570082">
        <w:rPr>
          <w:rStyle w:val="EndnoteReference"/>
          <w:rFonts w:ascii="Georgia" w:hAnsi="Georgia"/>
          <w:szCs w:val="24"/>
        </w:rPr>
        <w:endnoteReference w:id="45"/>
      </w:r>
      <w:r w:rsidRPr="00570082">
        <w:rPr>
          <w:rFonts w:ascii="Georgia" w:hAnsi="Georgia"/>
          <w:szCs w:val="24"/>
        </w:rPr>
        <w:t xml:space="preserve">  </w:t>
      </w:r>
    </w:p>
    <w:p w14:paraId="6EE48DA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511AF87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 </w:t>
      </w:r>
      <w:r w:rsidRPr="00570082">
        <w:rPr>
          <w:rFonts w:ascii="Georgia" w:hAnsi="Georgia"/>
          <w:i/>
          <w:szCs w:val="24"/>
        </w:rPr>
        <w:t>Muwatta'</w:t>
      </w:r>
      <w:r w:rsidRPr="00570082">
        <w:rPr>
          <w:rFonts w:ascii="Georgia" w:hAnsi="Georgia"/>
          <w:szCs w:val="24"/>
        </w:rPr>
        <w:t xml:space="preserve">, with its emphasis on the </w:t>
      </w:r>
      <w:r w:rsidRPr="00570082">
        <w:rPr>
          <w:rFonts w:ascii="Georgia" w:hAnsi="Georgia"/>
          <w:i/>
          <w:szCs w:val="24"/>
        </w:rPr>
        <w:t>'ijma</w:t>
      </w:r>
      <w:r w:rsidRPr="00570082">
        <w:rPr>
          <w:rFonts w:ascii="Georgia" w:hAnsi="Georgia"/>
          <w:szCs w:val="24"/>
        </w:rPr>
        <w:t xml:space="preserve"> and </w:t>
      </w:r>
      <w:r w:rsidRPr="00570082">
        <w:rPr>
          <w:rFonts w:ascii="Georgia" w:hAnsi="Georgia"/>
          <w:i/>
          <w:szCs w:val="24"/>
        </w:rPr>
        <w:t>qiyas</w:t>
      </w:r>
      <w:r w:rsidRPr="00570082">
        <w:rPr>
          <w:rFonts w:ascii="Georgia" w:hAnsi="Georgia"/>
          <w:szCs w:val="24"/>
        </w:rPr>
        <w:t xml:space="preserve"> of Medina is:</w:t>
      </w:r>
    </w:p>
    <w:p w14:paraId="12BABB1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0A7E3E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 a support and capital of the school of al-Shafi'i and Ahmad (b.Hanbal), and a lap and lantern of the school of Abu Hanifa." </w:t>
      </w:r>
      <w:r w:rsidRPr="00570082">
        <w:rPr>
          <w:rStyle w:val="EndnoteReference"/>
          <w:rFonts w:ascii="Georgia" w:hAnsi="Georgia"/>
          <w:szCs w:val="24"/>
        </w:rPr>
        <w:endnoteReference w:id="46"/>
      </w:r>
    </w:p>
    <w:p w14:paraId="63DEF58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7D0E8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promotion of the </w:t>
      </w:r>
      <w:r w:rsidRPr="00570082">
        <w:rPr>
          <w:rFonts w:ascii="Georgia" w:hAnsi="Georgia"/>
          <w:i/>
          <w:szCs w:val="24"/>
        </w:rPr>
        <w:t>Muwatta'</w:t>
      </w:r>
      <w:r w:rsidRPr="00570082">
        <w:rPr>
          <w:rFonts w:ascii="Georgia" w:hAnsi="Georgia"/>
          <w:szCs w:val="24"/>
        </w:rPr>
        <w:t xml:space="preserve"> is indicative of a certain flexibility in the approach of Shah Wali Allah to interpretations of Islam.  It demonstrates the centrality of the Medina community, emphasised by others seeking rejuvenation and restoration of 'lapses' in Islamic practice.</w:t>
      </w:r>
      <w:r w:rsidRPr="00570082">
        <w:rPr>
          <w:rFonts w:ascii="Georgia" w:hAnsi="Georgia"/>
          <w:b/>
          <w:szCs w:val="24"/>
        </w:rPr>
        <w:t xml:space="preserve"> </w:t>
      </w:r>
      <w:r w:rsidRPr="00570082">
        <w:rPr>
          <w:rFonts w:ascii="Georgia" w:hAnsi="Georgia"/>
          <w:szCs w:val="24"/>
        </w:rPr>
        <w:t>Islam is interpreted as open to change if necessary, its understanding and implementation not to be clouded by deeper meanings</w:t>
      </w:r>
      <w:r w:rsidRPr="00570082">
        <w:rPr>
          <w:rFonts w:ascii="Georgia" w:hAnsi="Georgia"/>
          <w:b/>
          <w:szCs w:val="24"/>
        </w:rPr>
        <w:t xml:space="preserve">. </w:t>
      </w:r>
      <w:r w:rsidRPr="00570082">
        <w:rPr>
          <w:rFonts w:ascii="Georgia" w:hAnsi="Georgia"/>
          <w:szCs w:val="24"/>
        </w:rPr>
        <w:t xml:space="preserve">Echoing the Qur'an, Shah Wali Allah emphasises that there should be no hardship in Islam, and that any burdens should be implemented in easy stages in order to avoid disconcerting people. Although anti-Shi'a and against certain Sufi practices, Shah Wali Allah was emphatic in promoting the unity of Islam, preferring to join together differing concepts rather than cause argument. This is shown in his personal reconciliation between the ideas of Ibn Taymiyya and Ibn Arabi'. This mediation role has not always been a feature of reform-centred political and religious movements, although the ideal of the single </w:t>
      </w:r>
      <w:r w:rsidRPr="00570082">
        <w:rPr>
          <w:rFonts w:ascii="Georgia" w:hAnsi="Georgia"/>
          <w:i/>
          <w:szCs w:val="24"/>
        </w:rPr>
        <w:t>'ummah'</w:t>
      </w:r>
      <w:r w:rsidRPr="00570082">
        <w:rPr>
          <w:rFonts w:ascii="Georgia" w:hAnsi="Georgia"/>
          <w:szCs w:val="24"/>
        </w:rPr>
        <w:t xml:space="preserve"> is stressed. </w:t>
      </w:r>
    </w:p>
    <w:p w14:paraId="07A2775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EC9A7B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When examining </w:t>
      </w:r>
      <w:r w:rsidRPr="00570082">
        <w:rPr>
          <w:rFonts w:ascii="Georgia" w:hAnsi="Georgia"/>
          <w:i/>
          <w:szCs w:val="24"/>
        </w:rPr>
        <w:t>tajdid</w:t>
      </w:r>
      <w:r w:rsidRPr="00570082">
        <w:rPr>
          <w:rFonts w:ascii="Georgia" w:hAnsi="Georgia"/>
          <w:szCs w:val="24"/>
        </w:rPr>
        <w:t>, it is useful to précis the points made on this issue by Shah Wali Allah. Teachings should be placed in their historical setting;</w:t>
      </w:r>
      <w:r w:rsidRPr="00570082">
        <w:rPr>
          <w:rStyle w:val="EndnoteReference"/>
          <w:rFonts w:ascii="Georgia" w:hAnsi="Georgia"/>
          <w:szCs w:val="24"/>
        </w:rPr>
        <w:endnoteReference w:id="47"/>
      </w:r>
      <w:r w:rsidRPr="00570082">
        <w:rPr>
          <w:rFonts w:ascii="Georgia" w:hAnsi="Georgia"/>
          <w:szCs w:val="24"/>
        </w:rPr>
        <w:t xml:space="preserve"> people have different angles of looking at things;</w:t>
      </w:r>
      <w:r w:rsidRPr="00570082">
        <w:rPr>
          <w:rStyle w:val="EndnoteReference"/>
          <w:rFonts w:ascii="Georgia" w:hAnsi="Georgia"/>
          <w:szCs w:val="24"/>
        </w:rPr>
        <w:endnoteReference w:id="48"/>
      </w:r>
      <w:r w:rsidRPr="00570082">
        <w:rPr>
          <w:rFonts w:ascii="Georgia" w:hAnsi="Georgia"/>
          <w:szCs w:val="24"/>
        </w:rPr>
        <w:t xml:space="preserve">  different phraseologies cause incongruities;</w:t>
      </w:r>
      <w:r w:rsidRPr="00570082">
        <w:rPr>
          <w:rStyle w:val="EndnoteReference"/>
          <w:rFonts w:ascii="Georgia" w:hAnsi="Georgia"/>
          <w:szCs w:val="24"/>
        </w:rPr>
        <w:endnoteReference w:id="49"/>
      </w:r>
      <w:r w:rsidRPr="00570082">
        <w:rPr>
          <w:rFonts w:ascii="Georgia" w:hAnsi="Georgia"/>
          <w:szCs w:val="24"/>
        </w:rPr>
        <w:t xml:space="preserve"> balance is sought between extreme points of view;</w:t>
      </w:r>
      <w:r w:rsidRPr="00570082">
        <w:rPr>
          <w:rStyle w:val="EndnoteReference"/>
          <w:rFonts w:ascii="Georgia" w:hAnsi="Georgia"/>
          <w:szCs w:val="24"/>
        </w:rPr>
        <w:endnoteReference w:id="50"/>
      </w:r>
      <w:r w:rsidRPr="00570082">
        <w:rPr>
          <w:rFonts w:ascii="Georgia" w:hAnsi="Georgia"/>
          <w:szCs w:val="24"/>
        </w:rPr>
        <w:t xml:space="preserve"> and ritual varieties should be tolerated.</w:t>
      </w:r>
      <w:r w:rsidRPr="00570082">
        <w:rPr>
          <w:rStyle w:val="EndnoteReference"/>
          <w:rFonts w:ascii="Georgia" w:hAnsi="Georgia"/>
          <w:szCs w:val="24"/>
        </w:rPr>
        <w:endnoteReference w:id="51"/>
      </w:r>
      <w:r w:rsidRPr="00570082">
        <w:rPr>
          <w:rFonts w:ascii="Georgia" w:hAnsi="Georgia"/>
          <w:szCs w:val="24"/>
        </w:rPr>
        <w:t xml:space="preserve"> This demonstrates the variety of approaches in reassessment of Islam, especially ideals of tolerance and the understanding that diversity should be accepted. The demand for uniformity, without this understanding, can be seen within contemporary interpretations of Islam and their expression by politicians. Shah Wali Allah may have been justifying his own position within the equation, demonstrating the validity of his own experience whilst emphasising his role as a </w:t>
      </w:r>
      <w:r w:rsidRPr="00570082">
        <w:rPr>
          <w:rFonts w:ascii="Georgia" w:hAnsi="Georgia"/>
          <w:i/>
          <w:szCs w:val="24"/>
        </w:rPr>
        <w:t>mujtahid</w:t>
      </w:r>
      <w:r w:rsidRPr="00570082">
        <w:rPr>
          <w:rFonts w:ascii="Georgia" w:hAnsi="Georgia"/>
          <w:szCs w:val="24"/>
        </w:rPr>
        <w:t xml:space="preserve"> qualified to undertake </w:t>
      </w:r>
      <w:r w:rsidRPr="00570082">
        <w:rPr>
          <w:rFonts w:ascii="Georgia" w:hAnsi="Georgia"/>
          <w:i/>
          <w:szCs w:val="24"/>
        </w:rPr>
        <w:t xml:space="preserve">ijtihad. </w:t>
      </w:r>
      <w:r w:rsidRPr="00570082">
        <w:rPr>
          <w:rFonts w:ascii="Georgia" w:hAnsi="Georgia"/>
          <w:szCs w:val="24"/>
        </w:rPr>
        <w:t xml:space="preserve">This assertion, or indeed this qualification, became less of an issue amongst later reformers - especially those dealing with 'modernizing' influences. The demand to deal with challenges to Islamic ways of life might not always be met by those suitably qualified to make rulings, who may have been content to follow the </w:t>
      </w:r>
      <w:r w:rsidRPr="00570082">
        <w:rPr>
          <w:rFonts w:ascii="Georgia" w:hAnsi="Georgia"/>
          <w:i/>
          <w:szCs w:val="24"/>
        </w:rPr>
        <w:t>status quo.</w:t>
      </w:r>
    </w:p>
    <w:p w14:paraId="1933E02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62B663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3.2.7.</w:t>
      </w:r>
      <w:r w:rsidRPr="00570082">
        <w:rPr>
          <w:rFonts w:ascii="Georgia" w:hAnsi="Georgia"/>
          <w:b/>
          <w:szCs w:val="24"/>
        </w:rPr>
        <w:tab/>
        <w:t>Muhammad Ibn 'Abd al-Wahhab</w:t>
      </w:r>
    </w:p>
    <w:p w14:paraId="79FD970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09817B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 (1703-92) came from a family of jurists in Najd, and spent time in al-Basra, Baghdad and Isfahan. He met </w:t>
      </w:r>
      <w:r w:rsidRPr="00570082">
        <w:rPr>
          <w:rFonts w:ascii="Georgia" w:hAnsi="Georgia"/>
          <w:i/>
          <w:szCs w:val="24"/>
        </w:rPr>
        <w:t>hadith</w:t>
      </w:r>
      <w:r w:rsidRPr="00570082">
        <w:rPr>
          <w:rFonts w:ascii="Georgia" w:hAnsi="Georgia"/>
          <w:szCs w:val="24"/>
        </w:rPr>
        <w:t xml:space="preserve"> experts on </w:t>
      </w:r>
      <w:r w:rsidRPr="00570082">
        <w:rPr>
          <w:rFonts w:ascii="Georgia" w:hAnsi="Georgia"/>
          <w:i/>
          <w:szCs w:val="24"/>
        </w:rPr>
        <w:t>hajj</w:t>
      </w:r>
      <w:r w:rsidRPr="00570082">
        <w:rPr>
          <w:rFonts w:ascii="Georgia" w:hAnsi="Georgia"/>
          <w:szCs w:val="24"/>
        </w:rPr>
        <w:t xml:space="preserve">, which developed his interest in the Islamic sciences of interpretation. Within the diverse and insecure tribal fractures of Arabia, al-Wahhab believed that a common understanding and application of orthodox Islam would promote political and religious unity. Particularly relevant was Ibn Taymiyya's understanding of Ibn Hanbal, centred on strict interpretations of the Qur'an and Hadith. Unlike Ibn Taymiyya, al-Wahhab held less sympathy for Sufis. </w:t>
      </w:r>
    </w:p>
    <w:p w14:paraId="35D209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5BE1EB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Muhammad Ibn 'Abd al-Wahhab experienced practical application of his work, through an alliance with Muhammad Ibn Sa'ud of Dir'iyya which commenced in 1745. By Ibn Wahhab's death, the Saudis controlled Najd, and were threatening the Hijaz. In 1803, the Sa'ud's supporters had seized Mecca from the Ottomans, reducing the Ottoman Empire's status as religious protector of Islam (as well as damaging the Ottomans strategically and financially). Through the intervention of Muhammad Ali, Mecca was restored to the Ottomans in 1813 - and the last Saudi stronghold was overcome five years later.</w:t>
      </w:r>
      <w:r w:rsidRPr="00570082">
        <w:rPr>
          <w:rStyle w:val="EndnoteReference"/>
          <w:rFonts w:ascii="Georgia" w:hAnsi="Georgia"/>
          <w:szCs w:val="24"/>
        </w:rPr>
        <w:endnoteReference w:id="52"/>
      </w:r>
    </w:p>
    <w:p w14:paraId="79ADE5F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F5D16F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al-Wahhab was confronted with 'foreign' domination (in the form of the Ottoman Turks) and an erosion of what was perceived as orthodox Islamic values through syncretism and innovation. The lack of unity might have been determined as a punishment from God, for failure to adhere to the principles of Islam. al-Wahhab and his followers - the </w:t>
      </w:r>
      <w:r w:rsidRPr="00570082">
        <w:rPr>
          <w:rFonts w:ascii="Georgia" w:hAnsi="Georgia"/>
          <w:i/>
          <w:szCs w:val="24"/>
        </w:rPr>
        <w:t xml:space="preserve">muwahhidun </w:t>
      </w:r>
      <w:r w:rsidRPr="00570082">
        <w:rPr>
          <w:rStyle w:val="EndnoteReference"/>
          <w:rFonts w:ascii="Georgia" w:hAnsi="Georgia"/>
          <w:szCs w:val="24"/>
        </w:rPr>
        <w:endnoteReference w:id="53"/>
      </w:r>
      <w:r w:rsidRPr="00570082">
        <w:rPr>
          <w:rFonts w:ascii="Georgia" w:hAnsi="Georgia"/>
          <w:i/>
          <w:szCs w:val="24"/>
        </w:rPr>
        <w:t xml:space="preserve"> </w:t>
      </w:r>
      <w:r w:rsidRPr="00570082">
        <w:rPr>
          <w:rFonts w:ascii="Georgia" w:hAnsi="Georgia"/>
          <w:szCs w:val="24"/>
        </w:rPr>
        <w:t>- were critical of saint-cults and pilgrimages to tombs. These included the tombs of Muhammad, members of his family, and the Companions. Sufism was linked with the development of these practices.</w:t>
      </w:r>
    </w:p>
    <w:p w14:paraId="5147E05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757FA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al-Wahhab promoted ‘strict monotheism’, especially the </w:t>
      </w:r>
      <w:r w:rsidRPr="00570082">
        <w:rPr>
          <w:rFonts w:ascii="Georgia" w:hAnsi="Georgia"/>
          <w:i/>
          <w:szCs w:val="24"/>
        </w:rPr>
        <w:t>kitab al-Tawhid</w:t>
      </w:r>
      <w:r w:rsidRPr="00570082">
        <w:rPr>
          <w:rFonts w:ascii="Georgia" w:hAnsi="Georgia"/>
          <w:szCs w:val="24"/>
        </w:rPr>
        <w:t xml:space="preserve"> with its principles of </w:t>
      </w:r>
      <w:r w:rsidRPr="00570082">
        <w:rPr>
          <w:rFonts w:ascii="Georgia" w:hAnsi="Georgia"/>
          <w:i/>
          <w:szCs w:val="24"/>
        </w:rPr>
        <w:t>da'wa</w:t>
      </w:r>
      <w:r w:rsidRPr="00570082">
        <w:rPr>
          <w:rFonts w:ascii="Georgia" w:hAnsi="Georgia"/>
          <w:szCs w:val="24"/>
        </w:rPr>
        <w:t>, 'patience' to stop persecution, the practicalities of Islam, and the science for understanding God and Islam.</w:t>
      </w:r>
      <w:r w:rsidRPr="00570082">
        <w:rPr>
          <w:rStyle w:val="EndnoteReference"/>
          <w:rFonts w:ascii="Georgia" w:hAnsi="Georgia"/>
          <w:szCs w:val="24"/>
        </w:rPr>
        <w:endnoteReference w:id="54"/>
      </w:r>
      <w:r w:rsidRPr="00570082">
        <w:rPr>
          <w:rFonts w:ascii="Georgia" w:hAnsi="Georgia"/>
          <w:szCs w:val="24"/>
        </w:rPr>
        <w:t xml:space="preserve"> The diversity in Islam - which the </w:t>
      </w:r>
      <w:r w:rsidRPr="00570082">
        <w:rPr>
          <w:rFonts w:ascii="Georgia" w:hAnsi="Georgia"/>
          <w:i/>
          <w:szCs w:val="24"/>
        </w:rPr>
        <w:t>muwahhidun</w:t>
      </w:r>
      <w:r w:rsidRPr="00570082">
        <w:rPr>
          <w:rFonts w:ascii="Georgia" w:hAnsi="Georgia"/>
          <w:szCs w:val="24"/>
        </w:rPr>
        <w:t xml:space="preserve"> indicated were caused by </w:t>
      </w:r>
      <w:r w:rsidRPr="00570082">
        <w:rPr>
          <w:rFonts w:ascii="Georgia" w:hAnsi="Georgia"/>
          <w:i/>
          <w:szCs w:val="24"/>
        </w:rPr>
        <w:t>kalam</w:t>
      </w:r>
      <w:r w:rsidRPr="00570082">
        <w:rPr>
          <w:rFonts w:ascii="Georgia" w:hAnsi="Georgia"/>
          <w:szCs w:val="24"/>
        </w:rPr>
        <w:t xml:space="preserve">, </w:t>
      </w:r>
      <w:r w:rsidRPr="00570082">
        <w:rPr>
          <w:rFonts w:ascii="Georgia" w:hAnsi="Georgia"/>
          <w:i/>
          <w:szCs w:val="24"/>
        </w:rPr>
        <w:t>shirk</w:t>
      </w:r>
      <w:r w:rsidRPr="00570082">
        <w:rPr>
          <w:rFonts w:ascii="Georgia" w:hAnsi="Georgia"/>
          <w:szCs w:val="24"/>
        </w:rPr>
        <w:t xml:space="preserve">, </w:t>
      </w:r>
      <w:r w:rsidRPr="00570082">
        <w:rPr>
          <w:rFonts w:ascii="Georgia" w:hAnsi="Georgia"/>
          <w:i/>
          <w:szCs w:val="24"/>
        </w:rPr>
        <w:t>sufism</w:t>
      </w:r>
      <w:r w:rsidRPr="00570082">
        <w:rPr>
          <w:rFonts w:ascii="Georgia" w:hAnsi="Georgia"/>
          <w:szCs w:val="24"/>
        </w:rPr>
        <w:t xml:space="preserve">, and absence of </w:t>
      </w:r>
      <w:r w:rsidRPr="00570082">
        <w:rPr>
          <w:rFonts w:ascii="Georgia" w:hAnsi="Georgia"/>
          <w:i/>
          <w:szCs w:val="24"/>
        </w:rPr>
        <w:t>taudid</w:t>
      </w:r>
      <w:r w:rsidRPr="00570082">
        <w:rPr>
          <w:rFonts w:ascii="Georgia" w:hAnsi="Georgia"/>
          <w:szCs w:val="24"/>
        </w:rPr>
        <w:t xml:space="preserve"> within the </w:t>
      </w:r>
      <w:r w:rsidRPr="00570082">
        <w:rPr>
          <w:rFonts w:ascii="Georgia" w:hAnsi="Georgia"/>
          <w:i/>
          <w:szCs w:val="24"/>
        </w:rPr>
        <w:t>'ummah</w:t>
      </w:r>
      <w:r w:rsidRPr="00570082">
        <w:rPr>
          <w:rFonts w:ascii="Georgia" w:hAnsi="Georgia"/>
          <w:szCs w:val="24"/>
        </w:rPr>
        <w:t xml:space="preserve"> - are themes which have common currency in some reform-centred movements today. The ultimate creation of a state based on an interpretation of </w:t>
      </w:r>
      <w:r w:rsidRPr="00570082">
        <w:rPr>
          <w:rFonts w:ascii="Georgia" w:hAnsi="Georgia"/>
          <w:i/>
          <w:szCs w:val="24"/>
        </w:rPr>
        <w:t xml:space="preserve">shari'ah </w:t>
      </w:r>
      <w:r w:rsidRPr="00570082">
        <w:rPr>
          <w:rFonts w:ascii="Georgia" w:hAnsi="Georgia"/>
          <w:szCs w:val="24"/>
        </w:rPr>
        <w:t>was critical: Muslims who saw similar situations in their own contexts would act upon the interpretation of al-Wahhab, stimulated by Ibn Taymiyya and others.</w:t>
      </w:r>
    </w:p>
    <w:p w14:paraId="2FAF300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ED1D71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al-Wahhab's influence was significant, not just in Arabia, but because his ideas were and have been transmitted via connection with the physical focus or </w:t>
      </w:r>
      <w:r w:rsidRPr="00570082">
        <w:rPr>
          <w:rFonts w:ascii="Georgia" w:hAnsi="Georgia"/>
          <w:i/>
          <w:szCs w:val="24"/>
        </w:rPr>
        <w:t>qutb</w:t>
      </w:r>
      <w:r w:rsidRPr="00570082">
        <w:rPr>
          <w:rFonts w:ascii="Georgia" w:hAnsi="Georgia"/>
          <w:szCs w:val="24"/>
        </w:rPr>
        <w:t xml:space="preserve"> of Islam: the </w:t>
      </w:r>
      <w:r w:rsidRPr="00570082">
        <w:rPr>
          <w:rFonts w:ascii="Georgia" w:hAnsi="Georgia"/>
          <w:i/>
          <w:szCs w:val="24"/>
        </w:rPr>
        <w:t>ka'bah. Hajjis</w:t>
      </w:r>
      <w:r w:rsidRPr="00570082">
        <w:rPr>
          <w:rFonts w:ascii="Georgia" w:hAnsi="Georgia"/>
          <w:szCs w:val="24"/>
        </w:rPr>
        <w:t xml:space="preserve"> and other visitors to Mecca were exposed to his theories, which were circulated, (re-)interpreted and applied throughout the Islamic world. The presence of diverse communities in Mecca - centred on attendance at </w:t>
      </w:r>
      <w:r w:rsidRPr="00570082">
        <w:rPr>
          <w:rFonts w:ascii="Georgia" w:hAnsi="Georgia"/>
          <w:i/>
          <w:szCs w:val="24"/>
        </w:rPr>
        <w:t xml:space="preserve">hajj </w:t>
      </w:r>
      <w:r w:rsidRPr="00570082">
        <w:rPr>
          <w:rFonts w:ascii="Georgia" w:hAnsi="Georgia"/>
          <w:szCs w:val="24"/>
        </w:rPr>
        <w:t xml:space="preserve">and </w:t>
      </w:r>
      <w:r w:rsidRPr="00570082">
        <w:rPr>
          <w:rFonts w:ascii="Georgia" w:hAnsi="Georgia"/>
          <w:i/>
          <w:szCs w:val="24"/>
        </w:rPr>
        <w:t>madrassah</w:t>
      </w:r>
      <w:r w:rsidRPr="00570082">
        <w:rPr>
          <w:rFonts w:ascii="Georgia" w:hAnsi="Georgia"/>
          <w:szCs w:val="24"/>
        </w:rPr>
        <w:t xml:space="preserve">s for the attainment of </w:t>
      </w:r>
      <w:r w:rsidRPr="00570082">
        <w:rPr>
          <w:rFonts w:ascii="Georgia" w:hAnsi="Georgia"/>
          <w:i/>
          <w:szCs w:val="24"/>
        </w:rPr>
        <w:t xml:space="preserve">ijaza </w:t>
      </w:r>
      <w:r w:rsidRPr="00570082">
        <w:rPr>
          <w:rFonts w:ascii="Georgia" w:hAnsi="Georgia"/>
          <w:szCs w:val="24"/>
        </w:rPr>
        <w:t>- meant that influential individuals were themselves affected by al-Wahhab's interpretation of Islam.</w:t>
      </w:r>
      <w:r w:rsidRPr="00570082">
        <w:rPr>
          <w:rStyle w:val="EndnoteReference"/>
          <w:rFonts w:ascii="Georgia" w:hAnsi="Georgia"/>
          <w:szCs w:val="24"/>
        </w:rPr>
        <w:endnoteReference w:id="55"/>
      </w:r>
      <w:r w:rsidRPr="00570082">
        <w:rPr>
          <w:rFonts w:ascii="Georgia" w:hAnsi="Georgia"/>
          <w:szCs w:val="24"/>
        </w:rPr>
        <w:t xml:space="preserve"> The effects can be seen in many examples, including the Deoband School in India, al-Shawkani in Yemen, the Muhammadiyyah movement in Indonesia, and the development of Syrian and Egyptian schools of ‘reform’.</w:t>
      </w:r>
    </w:p>
    <w:p w14:paraId="0334FB0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28DF5A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br w:type="page"/>
        <w:t>3.3.</w:t>
      </w:r>
      <w:r w:rsidRPr="00570082">
        <w:rPr>
          <w:rFonts w:ascii="Georgia" w:hAnsi="Georgia"/>
          <w:b/>
          <w:szCs w:val="24"/>
        </w:rPr>
        <w:tab/>
      </w:r>
      <w:r w:rsidRPr="00570082">
        <w:rPr>
          <w:rFonts w:ascii="Georgia" w:hAnsi="Georgia"/>
          <w:b/>
          <w:szCs w:val="24"/>
        </w:rPr>
        <w:tab/>
        <w:t>Patterns of Reform in Islam</w:t>
      </w:r>
    </w:p>
    <w:p w14:paraId="3B1612E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14:paraId="58DF6BA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3.3.1.</w:t>
      </w:r>
      <w:r w:rsidRPr="00570082">
        <w:rPr>
          <w:rFonts w:ascii="Georgia" w:hAnsi="Georgia"/>
          <w:szCs w:val="24"/>
        </w:rPr>
        <w:tab/>
      </w:r>
      <w:r w:rsidRPr="00570082">
        <w:rPr>
          <w:rFonts w:ascii="Georgia" w:hAnsi="Georgia"/>
          <w:b/>
          <w:szCs w:val="24"/>
        </w:rPr>
        <w:t>Muhammad al-Sanussi</w:t>
      </w:r>
    </w:p>
    <w:p w14:paraId="0E32A43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7D1A53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Patterns of reform, influenced by Ibn Taymiyya and Ibn Hanbal, emerged within the framework of Sufism. One example is the Sanussi movement in North Africa, particularly Cyrecenia in modern-day Libya. Muhammad al-Sanussi advocated the implementation of </w:t>
      </w:r>
      <w:r w:rsidRPr="00570082">
        <w:rPr>
          <w:rFonts w:ascii="Georgia" w:hAnsi="Georgia"/>
          <w:i/>
          <w:szCs w:val="24"/>
        </w:rPr>
        <w:t>ijtihad</w:t>
      </w:r>
      <w:r w:rsidRPr="00570082">
        <w:rPr>
          <w:rFonts w:ascii="Georgia" w:hAnsi="Georgia"/>
          <w:szCs w:val="24"/>
        </w:rPr>
        <w:t xml:space="preserve">, applying an education in Islamic sciences befitting his membership of the 'Ulama class of Algeria. Persecuted in Algeria, al-Sanussi established himself and his followers in Libya. Al-Sanussi spent several years in Mecca writing and studying, and was able to analyse </w:t>
      </w:r>
      <w:r w:rsidRPr="00570082">
        <w:rPr>
          <w:rFonts w:ascii="Georgia" w:hAnsi="Georgia"/>
          <w:i/>
          <w:szCs w:val="24"/>
        </w:rPr>
        <w:t>ijtihad</w:t>
      </w:r>
      <w:r w:rsidRPr="00570082">
        <w:rPr>
          <w:rFonts w:ascii="Georgia" w:hAnsi="Georgia"/>
          <w:szCs w:val="24"/>
        </w:rPr>
        <w:t xml:space="preserve"> and its application for his society. Al-Sanussi:</w:t>
      </w:r>
    </w:p>
    <w:p w14:paraId="50BB4E3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CB5B3F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"...recognised that it had always been the easy way out of legal problems to fall back on the views of the Four Imams ... instead of using one's own wits." </w:t>
      </w:r>
      <w:r w:rsidRPr="00570082">
        <w:rPr>
          <w:rStyle w:val="EndnoteReference"/>
          <w:rFonts w:ascii="Georgia" w:hAnsi="Georgia"/>
          <w:szCs w:val="24"/>
        </w:rPr>
        <w:endnoteReference w:id="56"/>
      </w:r>
      <w:r w:rsidRPr="00570082">
        <w:rPr>
          <w:rFonts w:ascii="Georgia" w:hAnsi="Georgia"/>
          <w:szCs w:val="24"/>
        </w:rPr>
        <w:t xml:space="preserve"> </w:t>
      </w:r>
    </w:p>
    <w:p w14:paraId="21C690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98F5ED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return to the Qur'an and </w:t>
      </w:r>
      <w:r w:rsidRPr="00570082">
        <w:rPr>
          <w:rFonts w:ascii="Georgia" w:hAnsi="Georgia"/>
          <w:i/>
          <w:szCs w:val="24"/>
        </w:rPr>
        <w:t xml:space="preserve">Hadith </w:t>
      </w:r>
      <w:r w:rsidRPr="00570082">
        <w:rPr>
          <w:rFonts w:ascii="Georgia" w:hAnsi="Georgia"/>
          <w:szCs w:val="24"/>
        </w:rPr>
        <w:t xml:space="preserve">has influence in several reform centred movements during the nineteenth century, local conditions and influences having a key role. There was recognition by some that a return to the seventh century of Medina was an unrealistic idealization, and that some form of compromise had to be made between contemporaneous conditions and the time of the Prophet Muhammad. Similar influences informed messianic movements, for example in the Sudan, where they provided a militaristic reaction to external non-Islamic forces. </w:t>
      </w:r>
    </w:p>
    <w:p w14:paraId="6C35335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FFF92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3.3.2.</w:t>
      </w:r>
      <w:r w:rsidRPr="00570082">
        <w:rPr>
          <w:rFonts w:ascii="Georgia" w:hAnsi="Georgia"/>
          <w:b/>
          <w:szCs w:val="24"/>
        </w:rPr>
        <w:tab/>
        <w:t>South Asia</w:t>
      </w:r>
    </w:p>
    <w:p w14:paraId="1A9F842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49DC21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szCs w:val="24"/>
        </w:rPr>
        <w:tab/>
        <w:t xml:space="preserve">Within the Indian sub-continent, the considerable diversity in movements and individuals provided differing reactions to the increasing influence of colonial Britain, and the fear of an erosion of Islamic values. Communications between different portions of the Islamic world was improving, which meant that there could be more trips to Mecca and greater dispersal of ideas. </w:t>
      </w:r>
    </w:p>
    <w:p w14:paraId="632C5BE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7CE7B8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Shah Wali Allah is an important figure in the history of reform in Islam, because of the period in which he expounded his views, as well as the content of his work. However, it is important to stress that Shah Wali Allah was </w:t>
      </w:r>
      <w:r w:rsidRPr="00570082">
        <w:rPr>
          <w:rFonts w:ascii="Georgia" w:hAnsi="Georgia"/>
          <w:szCs w:val="24"/>
          <w:u w:val="single"/>
        </w:rPr>
        <w:t>not</w:t>
      </w:r>
      <w:r w:rsidRPr="00570082">
        <w:rPr>
          <w:rFonts w:ascii="Georgia" w:hAnsi="Georgia"/>
          <w:szCs w:val="24"/>
        </w:rPr>
        <w:t xml:space="preserve"> followed by every subsequent reform-centred movement or individual in India. For example, the prominent eighteenth century Indian </w:t>
      </w:r>
      <w:r w:rsidRPr="00570082">
        <w:rPr>
          <w:rFonts w:ascii="Georgia" w:hAnsi="Georgia"/>
          <w:i/>
          <w:szCs w:val="24"/>
        </w:rPr>
        <w:t>Fanangi Mahali</w:t>
      </w:r>
      <w:r w:rsidRPr="00570082">
        <w:rPr>
          <w:rFonts w:ascii="Georgia" w:hAnsi="Georgia"/>
          <w:szCs w:val="24"/>
        </w:rPr>
        <w:t xml:space="preserve"> family of Hanafi theologians emphasised the study of jurisprudence and logic, and had a different agenda to Shah Wali Allah:</w:t>
      </w:r>
    </w:p>
    <w:p w14:paraId="076565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7F5899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i/>
          <w:szCs w:val="24"/>
        </w:rPr>
      </w:pPr>
      <w:r w:rsidRPr="00570082">
        <w:rPr>
          <w:rFonts w:ascii="Georgia" w:hAnsi="Georgia"/>
          <w:szCs w:val="24"/>
        </w:rPr>
        <w:t xml:space="preserve">"The </w:t>
      </w:r>
      <w:r w:rsidRPr="00570082">
        <w:rPr>
          <w:rFonts w:ascii="Georgia" w:hAnsi="Georgia"/>
          <w:i/>
          <w:szCs w:val="24"/>
        </w:rPr>
        <w:t xml:space="preserve">Farangi Mahalis </w:t>
      </w:r>
      <w:r w:rsidRPr="00570082">
        <w:rPr>
          <w:rFonts w:ascii="Georgia" w:hAnsi="Georgia"/>
          <w:szCs w:val="24"/>
        </w:rPr>
        <w:t>fostered the skills designed to support Muslim states; the followers of Wali Allah were concerned to develop the resources to enable Muslims to cope with the loss of political power."</w:t>
      </w:r>
      <w:r w:rsidRPr="00570082">
        <w:rPr>
          <w:rStyle w:val="EndnoteReference"/>
          <w:rFonts w:ascii="Georgia" w:hAnsi="Georgia"/>
          <w:szCs w:val="24"/>
        </w:rPr>
        <w:endnoteReference w:id="57"/>
      </w:r>
    </w:p>
    <w:p w14:paraId="01AC6EF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4F2A2FB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Whilst maintaining an emphais on the Qur'an and </w:t>
      </w:r>
      <w:r w:rsidRPr="00570082">
        <w:rPr>
          <w:rFonts w:ascii="Georgia" w:hAnsi="Georgia"/>
          <w:i/>
          <w:szCs w:val="24"/>
        </w:rPr>
        <w:t>Hadith</w:t>
      </w:r>
      <w:r w:rsidRPr="00570082">
        <w:rPr>
          <w:rFonts w:ascii="Georgia" w:hAnsi="Georgia"/>
          <w:szCs w:val="24"/>
        </w:rPr>
        <w:t xml:space="preserve"> and supporting Sufism, unlike Shah Wali Allah, they sought a dialogue with Shi'a Muslims. In a reflection of al-Ghazali, the concept of the </w:t>
      </w:r>
      <w:r w:rsidRPr="00570082">
        <w:rPr>
          <w:rFonts w:ascii="Georgia" w:hAnsi="Georgia"/>
          <w:i/>
          <w:szCs w:val="24"/>
        </w:rPr>
        <w:t>khilifah</w:t>
      </w:r>
      <w:r w:rsidRPr="00570082">
        <w:rPr>
          <w:rFonts w:ascii="Georgia" w:hAnsi="Georgia"/>
          <w:szCs w:val="24"/>
        </w:rPr>
        <w:t xml:space="preserve"> was emphasised. The </w:t>
      </w:r>
      <w:r w:rsidRPr="00570082">
        <w:rPr>
          <w:rFonts w:ascii="Georgia" w:hAnsi="Georgia"/>
          <w:i/>
          <w:szCs w:val="24"/>
        </w:rPr>
        <w:t xml:space="preserve">Farangi Mahalis </w:t>
      </w:r>
      <w:r w:rsidRPr="00570082">
        <w:rPr>
          <w:rFonts w:ascii="Georgia" w:hAnsi="Georgia"/>
          <w:szCs w:val="24"/>
        </w:rPr>
        <w:t>are also significant for maintaining their principles and support through different generations of the same family.</w:t>
      </w:r>
      <w:r w:rsidRPr="00570082">
        <w:rPr>
          <w:rStyle w:val="EndnoteReference"/>
          <w:rFonts w:ascii="Georgia" w:hAnsi="Georgia"/>
          <w:szCs w:val="24"/>
        </w:rPr>
        <w:endnoteReference w:id="58"/>
      </w:r>
      <w:r w:rsidRPr="00570082">
        <w:rPr>
          <w:rFonts w:ascii="Georgia" w:hAnsi="Georgia"/>
          <w:szCs w:val="24"/>
        </w:rPr>
        <w:t xml:space="preserve"> The idea of 'passing the baton' from generation to generation was not unprecedented, but becomes more of a feature in later </w:t>
      </w:r>
      <w:r w:rsidRPr="00570082">
        <w:rPr>
          <w:rFonts w:ascii="Georgia" w:hAnsi="Georgia"/>
          <w:i/>
          <w:szCs w:val="24"/>
        </w:rPr>
        <w:t>reform-</w:t>
      </w:r>
      <w:r w:rsidRPr="00570082">
        <w:rPr>
          <w:rFonts w:ascii="Georgia" w:hAnsi="Georgia"/>
          <w:szCs w:val="24"/>
        </w:rPr>
        <w:t>centred movements, for example in Syria and Egypt.</w:t>
      </w:r>
    </w:p>
    <w:p w14:paraId="2075FAA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91D510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contrast, Haji Shari'at Allah (1781–1840) - founder of the </w:t>
      </w:r>
      <w:r w:rsidRPr="00570082">
        <w:rPr>
          <w:rFonts w:ascii="Georgia" w:hAnsi="Georgia"/>
          <w:i/>
          <w:szCs w:val="24"/>
        </w:rPr>
        <w:t xml:space="preserve">Faraiza </w:t>
      </w:r>
      <w:r w:rsidRPr="00570082">
        <w:rPr>
          <w:rFonts w:ascii="Georgia" w:hAnsi="Georgia"/>
          <w:szCs w:val="24"/>
        </w:rPr>
        <w:t>movement and active at the beginning of the nineteenth century - was linked to the growing Wahhabi movement in Arabia, and influenced strongly by the thought of Ibn Taymiyya.</w:t>
      </w:r>
      <w:r w:rsidRPr="00570082">
        <w:rPr>
          <w:rStyle w:val="EndnoteReference"/>
          <w:rFonts w:ascii="Georgia" w:hAnsi="Georgia"/>
          <w:szCs w:val="24"/>
        </w:rPr>
        <w:endnoteReference w:id="59"/>
      </w:r>
      <w:r w:rsidRPr="00570082">
        <w:rPr>
          <w:rFonts w:ascii="Georgia" w:hAnsi="Georgia"/>
          <w:szCs w:val="24"/>
        </w:rPr>
        <w:t xml:space="preserve"> It may also be appropriate to mention the </w:t>
      </w:r>
      <w:r w:rsidRPr="00570082">
        <w:rPr>
          <w:rFonts w:ascii="Georgia" w:hAnsi="Georgia"/>
          <w:i/>
          <w:szCs w:val="24"/>
        </w:rPr>
        <w:t>Mujahidin</w:t>
      </w:r>
      <w:r w:rsidRPr="00570082">
        <w:rPr>
          <w:rFonts w:ascii="Georgia" w:hAnsi="Georgia"/>
          <w:szCs w:val="24"/>
        </w:rPr>
        <w:t>, led by Sayyid Ahmad Shadid (1786-1831).  He sought a '</w:t>
      </w:r>
      <w:r w:rsidRPr="00570082">
        <w:rPr>
          <w:rFonts w:ascii="Georgia" w:hAnsi="Georgia"/>
          <w:i/>
          <w:szCs w:val="24"/>
        </w:rPr>
        <w:t>jihad</w:t>
      </w:r>
      <w:r w:rsidRPr="00570082">
        <w:rPr>
          <w:rFonts w:ascii="Georgia" w:hAnsi="Georgia"/>
          <w:szCs w:val="24"/>
        </w:rPr>
        <w:t xml:space="preserve">' against Sikhs in North-West Frontier, and was influenced by the legacy of Ibn Taymiyya in his opposition of </w:t>
      </w:r>
      <w:r w:rsidRPr="00570082">
        <w:rPr>
          <w:rFonts w:ascii="Georgia" w:hAnsi="Georgia"/>
          <w:i/>
          <w:szCs w:val="24"/>
        </w:rPr>
        <w:t>taqlid,</w:t>
      </w:r>
      <w:r w:rsidRPr="00570082">
        <w:rPr>
          <w:rFonts w:ascii="Georgia" w:hAnsi="Georgia"/>
          <w:szCs w:val="24"/>
        </w:rPr>
        <w:t xml:space="preserve"> and </w:t>
      </w:r>
      <w:r w:rsidRPr="00570082">
        <w:rPr>
          <w:rFonts w:ascii="Georgia" w:hAnsi="Georgia"/>
          <w:i/>
          <w:szCs w:val="24"/>
        </w:rPr>
        <w:t xml:space="preserve">bid'at. </w:t>
      </w:r>
      <w:r w:rsidRPr="00570082">
        <w:rPr>
          <w:rFonts w:ascii="Georgia" w:hAnsi="Georgia"/>
          <w:szCs w:val="24"/>
        </w:rPr>
        <w:t xml:space="preserve"> He denounced many Sufi practices, preferring to be closer (in his opinion) to the </w:t>
      </w:r>
      <w:r w:rsidRPr="00570082">
        <w:rPr>
          <w:rFonts w:ascii="Georgia" w:hAnsi="Georgia"/>
          <w:i/>
          <w:szCs w:val="24"/>
        </w:rPr>
        <w:t>Sunnah</w:t>
      </w:r>
      <w:r w:rsidRPr="00570082">
        <w:rPr>
          <w:rFonts w:ascii="Georgia" w:hAnsi="Georgia"/>
          <w:szCs w:val="24"/>
        </w:rPr>
        <w:t>.</w:t>
      </w:r>
      <w:r w:rsidRPr="00570082">
        <w:rPr>
          <w:rStyle w:val="EndnoteReference"/>
          <w:rFonts w:ascii="Georgia" w:hAnsi="Georgia"/>
          <w:szCs w:val="24"/>
        </w:rPr>
        <w:endnoteReference w:id="60"/>
      </w:r>
      <w:r w:rsidRPr="00570082">
        <w:rPr>
          <w:rFonts w:ascii="Georgia" w:hAnsi="Georgia"/>
          <w:szCs w:val="24"/>
        </w:rPr>
        <w:t xml:space="preserve"> This demonstrates diversity in reform in India, in response to the great changes occurring there during this historical period, and a dynamic that was to influence later political activism in the region (and beyond).</w:t>
      </w:r>
    </w:p>
    <w:p w14:paraId="24BA3F2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18158B3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different responses have the underlying theme of a return to the Qur'an and Sunnah, although the routes and conceptualisation varied considerably. Those individuals drawing upon Ibn Taymiyya as a primary source of interpreting the Qur'an, </w:t>
      </w:r>
      <w:r w:rsidRPr="00570082">
        <w:rPr>
          <w:rFonts w:ascii="Georgia" w:hAnsi="Georgia"/>
          <w:i/>
          <w:szCs w:val="24"/>
        </w:rPr>
        <w:t xml:space="preserve">Hadith, </w:t>
      </w:r>
      <w:r w:rsidRPr="00570082">
        <w:rPr>
          <w:rFonts w:ascii="Georgia" w:hAnsi="Georgia"/>
          <w:szCs w:val="24"/>
        </w:rPr>
        <w:t xml:space="preserve">and </w:t>
      </w:r>
      <w:r w:rsidRPr="00570082">
        <w:rPr>
          <w:rFonts w:ascii="Georgia" w:hAnsi="Georgia"/>
          <w:i/>
          <w:szCs w:val="24"/>
        </w:rPr>
        <w:t>usul-ul-fiqh</w:t>
      </w:r>
      <w:r w:rsidRPr="00570082">
        <w:rPr>
          <w:rFonts w:ascii="Georgia" w:hAnsi="Georgia"/>
          <w:szCs w:val="24"/>
        </w:rPr>
        <w:t xml:space="preserve"> were able to take his raw material and analyses, in order to shape their own (re-) interpretations of certain Islamic principles. The methodology appears to have theoretical similarity and continuity, emphasising pragmatism and the application of Islam as a tool against ‘adversity’. They were to influence subsequent generations of reformers, particularly in South Asia, who were also affected significantly by what is described as ‘Wahhabism’ by some commentators (and contested by others).</w:t>
      </w:r>
      <w:r w:rsidRPr="00570082">
        <w:rPr>
          <w:rStyle w:val="EndnoteReference"/>
          <w:rFonts w:ascii="Georgia" w:hAnsi="Georgia"/>
          <w:szCs w:val="24"/>
        </w:rPr>
        <w:endnoteReference w:id="61"/>
      </w:r>
    </w:p>
    <w:p w14:paraId="0D89B05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63ED5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Within the polarity of reform in Muslim communities in India, the following were also influential:</w:t>
      </w:r>
    </w:p>
    <w:p w14:paraId="639BAA1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5D88E11" w14:textId="77777777" w:rsidR="00FF00AF" w:rsidRPr="00570082" w:rsidRDefault="00FF00AF" w:rsidP="00FF00AF">
      <w:pPr>
        <w:numPr>
          <w:ilvl w:val="0"/>
          <w:numId w:val="5"/>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Sir Syed Ahmad Khan (1817-98) sought </w:t>
      </w:r>
      <w:r w:rsidRPr="00570082">
        <w:rPr>
          <w:rFonts w:ascii="Georgia" w:hAnsi="Georgia"/>
          <w:i/>
          <w:szCs w:val="24"/>
        </w:rPr>
        <w:t>to interpret Islam</w:t>
      </w:r>
      <w:r w:rsidRPr="00570082">
        <w:rPr>
          <w:rFonts w:ascii="Georgia" w:hAnsi="Georgia"/>
          <w:szCs w:val="24"/>
        </w:rPr>
        <w:t xml:space="preserve"> according to the requirements of  the age, and introduced a new </w:t>
      </w:r>
      <w:r w:rsidRPr="00570082">
        <w:rPr>
          <w:rFonts w:ascii="Georgia" w:hAnsi="Georgia"/>
          <w:i/>
          <w:szCs w:val="24"/>
        </w:rPr>
        <w:t>'ilm al-kalam</w:t>
      </w:r>
      <w:r w:rsidRPr="00570082">
        <w:rPr>
          <w:rFonts w:ascii="Georgia" w:hAnsi="Georgia"/>
          <w:szCs w:val="24"/>
        </w:rPr>
        <w:t xml:space="preserve"> or knowledge of theology for the interpretation of the Qur'an. </w:t>
      </w:r>
      <w:r w:rsidRPr="00570082">
        <w:rPr>
          <w:rStyle w:val="EndnoteReference"/>
          <w:rFonts w:ascii="Georgia" w:hAnsi="Georgia"/>
          <w:szCs w:val="24"/>
        </w:rPr>
        <w:endnoteReference w:id="62"/>
      </w:r>
    </w:p>
    <w:p w14:paraId="3FCF02F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3B24B1A" w14:textId="77777777" w:rsidR="00FF00AF" w:rsidRPr="00570082" w:rsidRDefault="00FF00AF" w:rsidP="00FF00AF">
      <w:pPr>
        <w:numPr>
          <w:ilvl w:val="0"/>
          <w:numId w:val="4"/>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Nawab Muhammad Siddiq Hasan Khan of Bhopal  (1832-1890) emphasised of the heritage of Ibn Taymiyya and his school, and also that of Shah Wali Allah and his descendants. The work of Muhammad Ibn 'Ali al-Shawkani (d.1834) and his book </w:t>
      </w:r>
      <w:r w:rsidRPr="00570082">
        <w:rPr>
          <w:rFonts w:ascii="Georgia" w:hAnsi="Georgia"/>
          <w:i/>
          <w:szCs w:val="24"/>
        </w:rPr>
        <w:t>al-Qawl al-Mufid fi Hukm al-Taqlid</w:t>
      </w:r>
      <w:r w:rsidRPr="00570082">
        <w:rPr>
          <w:rFonts w:ascii="Georgia" w:hAnsi="Georgia"/>
          <w:szCs w:val="24"/>
        </w:rPr>
        <w:t xml:space="preserve"> was influential in this regard.</w:t>
      </w:r>
      <w:r w:rsidRPr="00570082">
        <w:rPr>
          <w:rStyle w:val="EndnoteReference"/>
          <w:rFonts w:ascii="Georgia" w:hAnsi="Georgia"/>
          <w:szCs w:val="24"/>
        </w:rPr>
        <w:endnoteReference w:id="63"/>
      </w:r>
      <w:r w:rsidRPr="00570082">
        <w:rPr>
          <w:rFonts w:ascii="Georgia" w:hAnsi="Georgia"/>
          <w:szCs w:val="24"/>
        </w:rPr>
        <w:t xml:space="preserve"> According to Khan, all Muslims undertake </w:t>
      </w:r>
      <w:r w:rsidRPr="00570082">
        <w:rPr>
          <w:rFonts w:ascii="Georgia" w:hAnsi="Georgia"/>
          <w:i/>
          <w:szCs w:val="24"/>
        </w:rPr>
        <w:t xml:space="preserve">taqlid </w:t>
      </w:r>
      <w:r w:rsidRPr="00570082">
        <w:rPr>
          <w:rFonts w:ascii="Georgia" w:hAnsi="Georgia"/>
          <w:szCs w:val="24"/>
        </w:rPr>
        <w:t xml:space="preserve">- because there can be no truly original interpretation of Islam. He emphasised the connections between the different reform-centred groups in India that had emerged - accusing the British of falsely describing these groups as religious fanatics or ‘Wahhabists’. There was certainly some correlation between al-Wahhab and Khan, especially in their permitting of </w:t>
      </w:r>
      <w:r w:rsidRPr="00570082">
        <w:rPr>
          <w:rFonts w:ascii="Georgia" w:hAnsi="Georgia"/>
          <w:i/>
          <w:szCs w:val="24"/>
        </w:rPr>
        <w:t>ijtihad</w:t>
      </w:r>
      <w:r w:rsidRPr="00570082">
        <w:rPr>
          <w:rFonts w:ascii="Georgia" w:hAnsi="Georgia"/>
          <w:szCs w:val="24"/>
        </w:rPr>
        <w:t>, their dislike of Shi'ism, their dislike of syncretism, and their emphasis on Ibn Hanbal.</w:t>
      </w:r>
      <w:r w:rsidRPr="00570082">
        <w:rPr>
          <w:rStyle w:val="EndnoteReference"/>
          <w:rFonts w:ascii="Georgia" w:hAnsi="Georgia"/>
          <w:szCs w:val="24"/>
        </w:rPr>
        <w:endnoteReference w:id="64"/>
      </w:r>
      <w:r w:rsidRPr="00570082">
        <w:rPr>
          <w:rFonts w:ascii="Georgia" w:hAnsi="Georgia"/>
          <w:szCs w:val="24"/>
        </w:rPr>
        <w:t xml:space="preserve">    </w:t>
      </w:r>
    </w:p>
    <w:p w14:paraId="69F7D7D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4206A89" w14:textId="77777777" w:rsidR="00FF00AF" w:rsidRPr="00570082" w:rsidRDefault="00FF00AF" w:rsidP="00FF00AF">
      <w:pPr>
        <w:numPr>
          <w:ilvl w:val="0"/>
          <w:numId w:val="3"/>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Ahmad Riza Khan (1856-1921) of Bareilly sought to promote authority through the descendants of the Prophet, and the descendants of saints and </w:t>
      </w:r>
      <w:r w:rsidRPr="00570082">
        <w:rPr>
          <w:rFonts w:ascii="Georgia" w:hAnsi="Georgia"/>
          <w:i/>
          <w:szCs w:val="24"/>
        </w:rPr>
        <w:t>pir</w:t>
      </w:r>
      <w:r w:rsidRPr="00570082">
        <w:rPr>
          <w:rFonts w:ascii="Georgia" w:hAnsi="Georgia"/>
          <w:szCs w:val="24"/>
        </w:rPr>
        <w:t xml:space="preserve">s. The authority of the Medina Community is central to the Brelwi </w:t>
      </w:r>
      <w:r w:rsidRPr="00570082">
        <w:rPr>
          <w:rFonts w:ascii="Georgia" w:hAnsi="Georgia"/>
          <w:i/>
          <w:szCs w:val="24"/>
        </w:rPr>
        <w:t>ahl-i-sunnat wa-jama'at</w:t>
      </w:r>
      <w:r w:rsidRPr="00570082">
        <w:rPr>
          <w:rFonts w:ascii="Georgia" w:hAnsi="Georgia"/>
          <w:szCs w:val="24"/>
        </w:rPr>
        <w:t>, which also express Sufi traditions.</w:t>
      </w:r>
      <w:r w:rsidRPr="00570082">
        <w:rPr>
          <w:rStyle w:val="EndnoteReference"/>
          <w:rFonts w:ascii="Georgia" w:hAnsi="Georgia"/>
          <w:szCs w:val="24"/>
        </w:rPr>
        <w:endnoteReference w:id="65"/>
      </w:r>
      <w:r w:rsidRPr="00570082">
        <w:rPr>
          <w:rFonts w:ascii="Georgia" w:hAnsi="Georgia"/>
          <w:szCs w:val="24"/>
        </w:rPr>
        <w:t xml:space="preserve"> Here the balance shifts away from the influence of Ibn Taymiyya and his school, towards traditional interpretations of Islam, and a 'quietist' reaction to external change.</w:t>
      </w:r>
    </w:p>
    <w:p w14:paraId="4AA3E74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CEC8303" w14:textId="77777777" w:rsidR="00FF00AF" w:rsidRPr="00570082" w:rsidRDefault="00FF00AF" w:rsidP="00FF00AF">
      <w:pPr>
        <w:numPr>
          <w:ilvl w:val="0"/>
          <w:numId w:val="2"/>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Maulana Abul Kalam Azad (1888-1958) translated Ibn Taymiyya into Urdu, finding it an inspiration in the battle against foreign domination:</w:t>
      </w:r>
    </w:p>
    <w:p w14:paraId="686AB30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061E7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"Azad considered Ibn Taymiyya's diagnosis of the social and political ills of Muslim society very relevant to the situation prevailing in his day."</w:t>
      </w:r>
      <w:r w:rsidRPr="00570082">
        <w:rPr>
          <w:rStyle w:val="EndnoteReference"/>
          <w:rFonts w:ascii="Georgia" w:hAnsi="Georgia"/>
          <w:szCs w:val="24"/>
        </w:rPr>
        <w:endnoteReference w:id="66"/>
      </w:r>
    </w:p>
    <w:p w14:paraId="26FE1E2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DD70AD7" w14:textId="77777777" w:rsidR="00FF00AF" w:rsidRPr="00570082" w:rsidRDefault="00FF00AF" w:rsidP="00FF00AF">
      <w:pPr>
        <w:numPr>
          <w:ilvl w:val="0"/>
          <w:numId w:val="1"/>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Muhammad Qasim Nanotwi</w:t>
      </w:r>
      <w:r w:rsidRPr="00570082">
        <w:rPr>
          <w:rFonts w:ascii="Georgia" w:hAnsi="Georgia"/>
          <w:szCs w:val="24"/>
          <w:u w:val="single"/>
        </w:rPr>
        <w:t xml:space="preserve"> </w:t>
      </w:r>
      <w:r w:rsidRPr="00570082">
        <w:rPr>
          <w:rFonts w:ascii="Georgia" w:hAnsi="Georgia"/>
          <w:szCs w:val="24"/>
        </w:rPr>
        <w:t xml:space="preserve">(c1831-1880) emphasised Qur'an and Hadith learning, whilst also applying pir-centred Sufism, in the Dar al-‘Ulum network of colleges founded by </w:t>
      </w:r>
      <w:r w:rsidRPr="00570082">
        <w:rPr>
          <w:rFonts w:ascii="Georgia" w:hAnsi="Georgia"/>
          <w:color w:val="000000"/>
          <w:szCs w:val="24"/>
        </w:rPr>
        <w:t>by Haji Muhammad ‘Abid Husayn</w:t>
      </w:r>
      <w:r w:rsidRPr="00570082">
        <w:rPr>
          <w:rFonts w:ascii="Georgia" w:hAnsi="Georgia"/>
          <w:szCs w:val="24"/>
        </w:rPr>
        <w:t xml:space="preserve"> which had its origins in Deoband.</w:t>
      </w:r>
    </w:p>
    <w:p w14:paraId="3DC7CA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r>
      <w:r w:rsidRPr="00570082">
        <w:rPr>
          <w:rFonts w:ascii="Georgia" w:hAnsi="Georgia"/>
          <w:szCs w:val="24"/>
        </w:rPr>
        <w:tab/>
      </w:r>
    </w:p>
    <w:p w14:paraId="349F1696" w14:textId="77777777" w:rsidR="00FF00AF" w:rsidRPr="00570082" w:rsidRDefault="00FF00AF" w:rsidP="00FF00AF">
      <w:pPr>
        <w:numPr>
          <w:ilvl w:val="0"/>
          <w:numId w:val="1"/>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Muhammad Ilyas (1885-1944), a Deobandi, founded </w:t>
      </w:r>
      <w:r w:rsidRPr="00570082">
        <w:rPr>
          <w:rFonts w:ascii="Georgia" w:hAnsi="Georgia"/>
          <w:i/>
          <w:szCs w:val="24"/>
        </w:rPr>
        <w:t>Tablighi-jama'at</w:t>
      </w:r>
      <w:r w:rsidRPr="00570082">
        <w:rPr>
          <w:rFonts w:ascii="Georgia" w:hAnsi="Georgia"/>
          <w:szCs w:val="24"/>
        </w:rPr>
        <w:t>, a movement with emphasis on personal piety and preaching as a way of dealing with issues facing Muslim society.</w:t>
      </w:r>
      <w:r w:rsidRPr="00570082">
        <w:rPr>
          <w:rStyle w:val="EndnoteReference"/>
          <w:rFonts w:ascii="Georgia" w:hAnsi="Georgia"/>
          <w:szCs w:val="24"/>
        </w:rPr>
        <w:endnoteReference w:id="67"/>
      </w:r>
      <w:r w:rsidRPr="00570082">
        <w:rPr>
          <w:rFonts w:ascii="Georgia" w:hAnsi="Georgia"/>
          <w:szCs w:val="24"/>
        </w:rPr>
        <w:t xml:space="preserve"> This has been described as "a free floating religious movement",</w:t>
      </w:r>
      <w:r w:rsidRPr="00570082">
        <w:rPr>
          <w:rStyle w:val="EndnoteReference"/>
          <w:rFonts w:ascii="Georgia" w:hAnsi="Georgia"/>
          <w:szCs w:val="24"/>
        </w:rPr>
        <w:endnoteReference w:id="68"/>
      </w:r>
      <w:r w:rsidRPr="00570082">
        <w:rPr>
          <w:rFonts w:ascii="Georgia" w:hAnsi="Georgia"/>
          <w:szCs w:val="24"/>
        </w:rPr>
        <w:t xml:space="preserve"> with a minimum dependency on hierarchy and a traditional base - endeavouring to provide basic teachings of Islam through a 'pyramid' networking system.</w:t>
      </w:r>
    </w:p>
    <w:p w14:paraId="563245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19C0EE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3.3.3.</w:t>
      </w:r>
      <w:r w:rsidRPr="00570082">
        <w:rPr>
          <w:rFonts w:ascii="Georgia" w:hAnsi="Georgia"/>
          <w:b/>
          <w:szCs w:val="24"/>
        </w:rPr>
        <w:tab/>
        <w:t>Abu al-a'la Mawdudi</w:t>
      </w:r>
    </w:p>
    <w:p w14:paraId="3AF5638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2F80C2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Abu al-a'la Mawdudi (1903-79), founded the Jama'at-e-Islami in Indian in 1941, emphasising the need for an Islamic state, and a return to the ideals of seventh century Medina. These were seen as tools against foreign influence, both before and after Indian independence and the foundation of Pakistan. Mawdudi's significant corpus of publications demonstrates his attitudes in full, including reliance on returning to Qur'an and </w:t>
      </w:r>
      <w:r w:rsidRPr="00570082">
        <w:rPr>
          <w:rFonts w:ascii="Georgia" w:hAnsi="Georgia"/>
          <w:i/>
          <w:szCs w:val="24"/>
        </w:rPr>
        <w:t>Hadith</w:t>
      </w:r>
      <w:r w:rsidRPr="00570082">
        <w:rPr>
          <w:rFonts w:ascii="Georgia" w:hAnsi="Georgia"/>
          <w:szCs w:val="24"/>
        </w:rPr>
        <w:t>, and what he saw as the erosion of orthodoxy in the face of syncretic practices.</w:t>
      </w:r>
    </w:p>
    <w:p w14:paraId="30F82E4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C13630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According to his followers, Mawdudi sought to guide Muslims in asserting their Islamic identity, and in their understanding of the Qur'an.</w:t>
      </w:r>
      <w:r w:rsidRPr="00570082">
        <w:rPr>
          <w:rStyle w:val="EndnoteReference"/>
          <w:rFonts w:ascii="Georgia" w:hAnsi="Georgia"/>
          <w:szCs w:val="24"/>
        </w:rPr>
        <w:endnoteReference w:id="69"/>
      </w:r>
      <w:r w:rsidRPr="00570082">
        <w:rPr>
          <w:rFonts w:ascii="Georgia" w:hAnsi="Georgia"/>
          <w:szCs w:val="24"/>
        </w:rPr>
        <w:t xml:space="preserve"> Mawdudi reflects the influence of Ibn Taymiyya and al-Wahhab, and as the product of South Asia, reformers such as Shah Wali Allah and Siddiq Hasan Khan would have played a significant role in influencing Mawdudi. Jamaat-e-Islami differs from many of its reform-centred predecessors, because of its direct political agenda, which in different forms has permeated several Muslim societies.</w:t>
      </w:r>
      <w:r w:rsidRPr="00570082">
        <w:rPr>
          <w:rStyle w:val="EndnoteReference"/>
          <w:rFonts w:ascii="Georgia" w:hAnsi="Georgia"/>
          <w:szCs w:val="24"/>
        </w:rPr>
        <w:endnoteReference w:id="70"/>
      </w:r>
      <w:r w:rsidRPr="00570082">
        <w:rPr>
          <w:rFonts w:ascii="Georgia" w:hAnsi="Georgia"/>
          <w:szCs w:val="24"/>
        </w:rPr>
        <w:t xml:space="preserve"> It has significance in the U.K. context, as providing a religious focus and source of ideological reference for organisations including The Islamic Foundation, Muslim Educational Trust, and UK Islamic Mission.</w:t>
      </w:r>
    </w:p>
    <w:p w14:paraId="4ECB079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5DEE217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Jamaat-e-Islami</w:t>
      </w:r>
      <w:r w:rsidRPr="00570082">
        <w:rPr>
          <w:rFonts w:ascii="Georgia" w:hAnsi="Georgia"/>
          <w:i/>
          <w:szCs w:val="24"/>
        </w:rPr>
        <w:t xml:space="preserve"> </w:t>
      </w:r>
      <w:r w:rsidRPr="00570082">
        <w:rPr>
          <w:rFonts w:ascii="Georgia" w:hAnsi="Georgia"/>
          <w:szCs w:val="24"/>
        </w:rPr>
        <w:t xml:space="preserve">provides a good example of the continuity of thought in the </w:t>
      </w:r>
      <w:r w:rsidRPr="00570082">
        <w:rPr>
          <w:rFonts w:ascii="Georgia" w:hAnsi="Georgia"/>
          <w:i/>
          <w:szCs w:val="24"/>
        </w:rPr>
        <w:t xml:space="preserve">tajdid </w:t>
      </w:r>
      <w:r w:rsidRPr="00570082">
        <w:rPr>
          <w:rFonts w:ascii="Georgia" w:hAnsi="Georgia"/>
          <w:szCs w:val="24"/>
        </w:rPr>
        <w:t xml:space="preserve">paradigm, linking with many of the reformers cited earlier. Common issues include: the erosion of Islamic beliefs; fear of - and a need to counteract - 'foreign' domination or influence; the desire for an Islamic state and/or the implementation of </w:t>
      </w:r>
      <w:r w:rsidRPr="00570082">
        <w:rPr>
          <w:rFonts w:ascii="Georgia" w:hAnsi="Georgia"/>
          <w:i/>
          <w:szCs w:val="24"/>
        </w:rPr>
        <w:t xml:space="preserve">shari'ah; </w:t>
      </w:r>
      <w:r w:rsidRPr="00570082">
        <w:rPr>
          <w:rFonts w:ascii="Georgia" w:hAnsi="Georgia"/>
          <w:szCs w:val="24"/>
        </w:rPr>
        <w:t xml:space="preserve">how to react to a changing environment; the need to undertake a fresh appraisal of the Qur'an and </w:t>
      </w:r>
      <w:r w:rsidRPr="00570082">
        <w:rPr>
          <w:rFonts w:ascii="Georgia" w:hAnsi="Georgia"/>
          <w:i/>
          <w:szCs w:val="24"/>
        </w:rPr>
        <w:t>Hadith</w:t>
      </w:r>
      <w:r w:rsidRPr="00570082">
        <w:rPr>
          <w:rFonts w:ascii="Georgia" w:hAnsi="Georgia"/>
          <w:szCs w:val="24"/>
        </w:rPr>
        <w:t xml:space="preserve">, with reference to </w:t>
      </w:r>
      <w:r w:rsidRPr="00570082">
        <w:rPr>
          <w:rFonts w:ascii="Georgia" w:hAnsi="Georgia"/>
          <w:i/>
          <w:szCs w:val="24"/>
        </w:rPr>
        <w:t>al-Madhabib al-Fiqhiyya</w:t>
      </w:r>
      <w:r w:rsidRPr="00570082">
        <w:rPr>
          <w:rFonts w:ascii="Georgia" w:hAnsi="Georgia"/>
          <w:szCs w:val="24"/>
        </w:rPr>
        <w:t xml:space="preserve">; opposition to non-Sunni Islam, including Shi'ism; and rejection to perceived syncretic practices associated with Sufism. </w:t>
      </w:r>
    </w:p>
    <w:p w14:paraId="1386994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2DB280A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b/>
          <w:szCs w:val="24"/>
        </w:rPr>
        <w:t>3.3.4.1.</w:t>
      </w:r>
      <w:r w:rsidRPr="00570082">
        <w:rPr>
          <w:rFonts w:ascii="Georgia" w:hAnsi="Georgia"/>
          <w:b/>
          <w:szCs w:val="24"/>
        </w:rPr>
        <w:tab/>
        <w:t>Salafiyya</w:t>
      </w:r>
    </w:p>
    <w:p w14:paraId="33FF1E7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D40050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South Asia provided a source of values and ideologies linked with the re-appraisal of Islam, indicative of the diversity within Islamic thought, whilst at the same time drawing upon historical heritage and close links with the rest of the Islamic world.  It demonstrates some of the political-religious influences that have gone on to permeate contemporary societies. Specific themes have continuity, giving motivation and inspiration for contemporary 'reform' movements. There is the sense of historical continuity, linking to illustrious predecessors, and ultimately back to the </w:t>
      </w:r>
      <w:r w:rsidRPr="00570082">
        <w:rPr>
          <w:rFonts w:ascii="Georgia" w:hAnsi="Georgia"/>
          <w:i/>
          <w:szCs w:val="24"/>
        </w:rPr>
        <w:t xml:space="preserve">madhabib al-fiqhiyya </w:t>
      </w:r>
      <w:r w:rsidRPr="00570082">
        <w:rPr>
          <w:rFonts w:ascii="Georgia" w:hAnsi="Georgia"/>
          <w:szCs w:val="24"/>
        </w:rPr>
        <w:t xml:space="preserve">and the </w:t>
      </w:r>
      <w:r w:rsidRPr="00570082">
        <w:rPr>
          <w:rFonts w:ascii="Georgia" w:hAnsi="Georgia"/>
          <w:i/>
          <w:szCs w:val="24"/>
        </w:rPr>
        <w:t xml:space="preserve">Salafi </w:t>
      </w:r>
      <w:r w:rsidRPr="00570082">
        <w:rPr>
          <w:rFonts w:ascii="Georgia" w:hAnsi="Georgia"/>
          <w:szCs w:val="24"/>
        </w:rPr>
        <w:t>themselves.</w:t>
      </w:r>
    </w:p>
    <w:p w14:paraId="7C0EDDC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15EE02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 xml:space="preserve">Salafi </w:t>
      </w:r>
      <w:r w:rsidRPr="00570082">
        <w:rPr>
          <w:rFonts w:ascii="Georgia" w:hAnsi="Georgia"/>
          <w:szCs w:val="24"/>
        </w:rPr>
        <w:t>are not a rigid organisation, rather several different 'movements' in different locations and contexts taking their inspiration from "the 'pious ancestors' (</w:t>
      </w:r>
      <w:r w:rsidRPr="00570082">
        <w:rPr>
          <w:rFonts w:ascii="Georgia" w:hAnsi="Georgia"/>
          <w:i/>
          <w:szCs w:val="24"/>
        </w:rPr>
        <w:t>al-salaf al-salih</w:t>
      </w:r>
      <w:r w:rsidRPr="00570082">
        <w:rPr>
          <w:rFonts w:ascii="Georgia" w:hAnsi="Georgia"/>
          <w:szCs w:val="24"/>
        </w:rPr>
        <w:t>)"</w:t>
      </w:r>
      <w:r w:rsidRPr="00570082">
        <w:rPr>
          <w:rStyle w:val="EndnoteReference"/>
          <w:rFonts w:ascii="Georgia" w:hAnsi="Georgia"/>
          <w:szCs w:val="24"/>
        </w:rPr>
        <w:endnoteReference w:id="71"/>
      </w:r>
      <w:r w:rsidRPr="00570082">
        <w:rPr>
          <w:rFonts w:ascii="Georgia" w:hAnsi="Georgia"/>
          <w:szCs w:val="24"/>
        </w:rPr>
        <w:t xml:space="preserve"> and Muhammad. The persona of the Prophet, through actions and aphorisms, provides a template for interpreting the Qur'an. Yet, evidently there is a level of dissatisfaction, especially from those who seek the ideals of a 'golden age' without paying due attention to the modern realities. Iqbal suggested that the lack of awareness about the history of Muslims played a crucial role. Certainly there is the creation of a mythical space in interpretations, a desire to imitate ancestors rather than innovate. There is a variance in the preoccupation with Islamic values, dependent on whether it is on a personal interpretation or part of a community understanding. The desire to pacify peer pressure, and become part of a collective voice with a religious motivation, would seem to play an important role in transferring the theoretical ideals into some form of reality. </w:t>
      </w:r>
    </w:p>
    <w:p w14:paraId="0FCA0F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5BA2D0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3.3.4.2.</w:t>
      </w:r>
      <w:r w:rsidRPr="00570082">
        <w:rPr>
          <w:rFonts w:ascii="Georgia" w:hAnsi="Georgia"/>
          <w:b/>
          <w:szCs w:val="24"/>
        </w:rPr>
        <w:tab/>
        <w:t>Egypt</w:t>
      </w:r>
    </w:p>
    <w:p w14:paraId="625F46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C1BDE5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'Salafiyya' movement had a basis in particular in Egypt and Syria. Again, the pressures of ‘outside’ non-Islamic influences play a critical role in stimulating a re-assessment of Islamic ways of life. The nature of the </w:t>
      </w:r>
      <w:r w:rsidRPr="00570082">
        <w:rPr>
          <w:rFonts w:ascii="Georgia" w:hAnsi="Georgia"/>
          <w:i/>
          <w:szCs w:val="24"/>
        </w:rPr>
        <w:t>tajdid</w:t>
      </w:r>
      <w:r w:rsidRPr="00570082">
        <w:rPr>
          <w:rFonts w:ascii="Georgia" w:hAnsi="Georgia"/>
          <w:szCs w:val="24"/>
        </w:rPr>
        <w:t xml:space="preserve"> paradigm changed and adapted out of necessity, subtly readjusting to the new challenges facing Islamic societies. Clutching Islamic values, battered by invasion and with further intrusions on the horizon, there is awareness that the so-called reformers themselves were conscious they were living in a critical period of change - articulated in the responsibility reformers felt for future generations, as well as their own. </w:t>
      </w:r>
    </w:p>
    <w:p w14:paraId="542D87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1A2B04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Closer communications with the rest of the Islamic world, and an awareness of shared problems, heightened the urgency to combat external influences. Dealing with rulers, </w:t>
      </w:r>
      <w:r w:rsidRPr="00570082">
        <w:rPr>
          <w:rFonts w:ascii="Georgia" w:hAnsi="Georgia"/>
          <w:i/>
          <w:szCs w:val="24"/>
        </w:rPr>
        <w:t>'ulama</w:t>
      </w:r>
      <w:r w:rsidRPr="00570082">
        <w:rPr>
          <w:rFonts w:ascii="Georgia" w:hAnsi="Georgia"/>
          <w:szCs w:val="24"/>
        </w:rPr>
        <w:t xml:space="preserve">', and other satisfied of preserving and taking advantage of the </w:t>
      </w:r>
      <w:r w:rsidRPr="00570082">
        <w:rPr>
          <w:rFonts w:ascii="Georgia" w:hAnsi="Georgia"/>
          <w:i/>
          <w:szCs w:val="24"/>
        </w:rPr>
        <w:t>status quo</w:t>
      </w:r>
      <w:r w:rsidRPr="00570082">
        <w:rPr>
          <w:rFonts w:ascii="Georgia" w:hAnsi="Georgia"/>
          <w:szCs w:val="24"/>
        </w:rPr>
        <w:t xml:space="preserve">, was seen as important for reformers. This responsibility was also coupled with a desire to enhance personal status, by replacing existing </w:t>
      </w:r>
      <w:r w:rsidRPr="00570082">
        <w:rPr>
          <w:rFonts w:ascii="Georgia" w:hAnsi="Georgia"/>
          <w:i/>
          <w:szCs w:val="24"/>
        </w:rPr>
        <w:t>'ulama'</w:t>
      </w:r>
      <w:r w:rsidRPr="00570082">
        <w:rPr>
          <w:rFonts w:ascii="Georgia" w:hAnsi="Georgia"/>
          <w:szCs w:val="24"/>
        </w:rPr>
        <w:t xml:space="preserve"> with a new </w:t>
      </w:r>
      <w:r w:rsidRPr="00570082">
        <w:rPr>
          <w:rFonts w:ascii="Georgia" w:hAnsi="Georgia"/>
          <w:i/>
          <w:szCs w:val="24"/>
        </w:rPr>
        <w:t>tajdid</w:t>
      </w:r>
      <w:r w:rsidRPr="00570082">
        <w:rPr>
          <w:rFonts w:ascii="Georgia" w:hAnsi="Georgia"/>
          <w:szCs w:val="24"/>
        </w:rPr>
        <w:t xml:space="preserve">-centred </w:t>
      </w:r>
      <w:r w:rsidRPr="00570082">
        <w:rPr>
          <w:rFonts w:ascii="Georgia" w:hAnsi="Georgia"/>
          <w:i/>
          <w:szCs w:val="24"/>
        </w:rPr>
        <w:t>'ulama'.</w:t>
      </w:r>
      <w:r w:rsidRPr="00570082">
        <w:rPr>
          <w:rFonts w:ascii="Georgia" w:hAnsi="Georgia"/>
          <w:szCs w:val="24"/>
        </w:rPr>
        <w:t xml:space="preserve"> Motivations may not have been entirely centred upon religious responsibilities, but also contain personal political and social agendas. A general theme is the linkage of declining religious values with the problems associated with being colonised, and association with erosion of religious values and the introduction of new technologies. Radical shifts in society, including industrialisation and new agricultural methods, distorted traditional society rhythms and practices. The growth in new ideas and introduction of western-influenced philosophies and ideologies placed pressures upon interpretations of ‘Islamic’ ways of life (however they might be defined). To deal with the disturbances, the familiar call for a return to the Qur'an and </w:t>
      </w:r>
      <w:r w:rsidRPr="00570082">
        <w:rPr>
          <w:rFonts w:ascii="Georgia" w:hAnsi="Georgia"/>
          <w:i/>
          <w:szCs w:val="24"/>
        </w:rPr>
        <w:t xml:space="preserve">Hadith </w:t>
      </w:r>
      <w:r w:rsidRPr="00570082">
        <w:rPr>
          <w:rFonts w:ascii="Georgia" w:hAnsi="Georgia"/>
          <w:szCs w:val="24"/>
        </w:rPr>
        <w:t>was made:</w:t>
      </w:r>
    </w:p>
    <w:p w14:paraId="095244C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4245E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szCs w:val="24"/>
        </w:rPr>
        <w:tab/>
      </w:r>
      <w:r w:rsidRPr="00570082">
        <w:rPr>
          <w:rFonts w:ascii="Georgia" w:hAnsi="Georgia"/>
          <w:szCs w:val="24"/>
        </w:rPr>
        <w:tab/>
        <w:t>"Every Muslim is sick, and his only remedy is in the Qur'an."</w:t>
      </w:r>
      <w:r w:rsidRPr="00570082">
        <w:rPr>
          <w:rStyle w:val="EndnoteReference"/>
          <w:rFonts w:ascii="Georgia" w:hAnsi="Georgia"/>
          <w:szCs w:val="24"/>
        </w:rPr>
        <w:endnoteReference w:id="72"/>
      </w:r>
      <w:r w:rsidRPr="00570082">
        <w:rPr>
          <w:rFonts w:ascii="Georgia" w:hAnsi="Georgia"/>
          <w:szCs w:val="24"/>
        </w:rPr>
        <w:t xml:space="preserve"> </w:t>
      </w:r>
    </w:p>
    <w:p w14:paraId="724586E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705539A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This was in the face of increasing 'westernization' in the nineteenth century, ranging from the introduction of military technology and education systems by Muhammad Ali to the introduction of western legal codes to replace</w:t>
      </w:r>
      <w:r w:rsidRPr="00570082">
        <w:rPr>
          <w:rFonts w:ascii="Georgia" w:hAnsi="Georgia"/>
          <w:i/>
          <w:szCs w:val="24"/>
        </w:rPr>
        <w:t xml:space="preserve"> shari'ah </w:t>
      </w:r>
      <w:r w:rsidRPr="00570082">
        <w:rPr>
          <w:rFonts w:ascii="Georgia" w:hAnsi="Georgia"/>
          <w:szCs w:val="24"/>
        </w:rPr>
        <w:t>under Khedive Isma'il.</w:t>
      </w:r>
    </w:p>
    <w:p w14:paraId="1092F2D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07A530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a process initiated by Jamal al-in al-Afghani (1839-97), and passed onto Muhammad 'Abduh and then Rashid Ridha, it is possible to document subtle changes in the aspirations of reform during the nineteenth century. </w:t>
      </w:r>
      <w:r w:rsidRPr="00570082">
        <w:rPr>
          <w:rFonts w:ascii="Georgia" w:hAnsi="Georgia"/>
          <w:i/>
          <w:szCs w:val="24"/>
        </w:rPr>
        <w:t>Ijtihad</w:t>
      </w:r>
      <w:r w:rsidRPr="00570082">
        <w:rPr>
          <w:rFonts w:ascii="Georgia" w:hAnsi="Georgia"/>
          <w:szCs w:val="24"/>
        </w:rPr>
        <w:t xml:space="preserve"> was central, and by association the rejection of adherence to </w:t>
      </w:r>
      <w:r w:rsidRPr="00570082">
        <w:rPr>
          <w:rFonts w:ascii="Georgia" w:hAnsi="Georgia"/>
          <w:i/>
          <w:szCs w:val="24"/>
        </w:rPr>
        <w:t xml:space="preserve">taqlid. </w:t>
      </w:r>
      <w:r w:rsidRPr="00570082">
        <w:rPr>
          <w:rFonts w:ascii="Georgia" w:hAnsi="Georgia"/>
          <w:szCs w:val="24"/>
        </w:rPr>
        <w:t xml:space="preserve">Proposals for these theoretical principles to be implemented in practice were not made clear by al-Afghani.  He promoted Islamic unity whilst recognising diversity, and sought to break down the barriers preventing Muslims from learning about science and technology. In this way, Islamic society would be strengthened against the West. </w:t>
      </w:r>
      <w:r w:rsidRPr="00570082">
        <w:rPr>
          <w:rFonts w:ascii="Georgia" w:hAnsi="Georgia"/>
          <w:szCs w:val="24"/>
        </w:rPr>
        <w:tab/>
      </w:r>
    </w:p>
    <w:p w14:paraId="1FD1281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5FBB25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advocating </w:t>
      </w:r>
      <w:r w:rsidRPr="00570082">
        <w:rPr>
          <w:rFonts w:ascii="Georgia" w:hAnsi="Georgia"/>
          <w:i/>
          <w:szCs w:val="24"/>
        </w:rPr>
        <w:t>ijtihad</w:t>
      </w:r>
      <w:r w:rsidRPr="00570082">
        <w:rPr>
          <w:rFonts w:ascii="Georgia" w:hAnsi="Georgia"/>
          <w:szCs w:val="24"/>
        </w:rPr>
        <w:t xml:space="preserve">, al-Afghani emphasising the role of the Qur'an and </w:t>
      </w:r>
      <w:r w:rsidRPr="00570082">
        <w:rPr>
          <w:rFonts w:ascii="Georgia" w:hAnsi="Georgia"/>
          <w:i/>
          <w:szCs w:val="24"/>
        </w:rPr>
        <w:t>Hadith</w:t>
      </w:r>
      <w:r w:rsidRPr="00570082">
        <w:rPr>
          <w:rFonts w:ascii="Georgia" w:hAnsi="Georgia"/>
          <w:szCs w:val="24"/>
        </w:rPr>
        <w:t xml:space="preserve"> in interpreting Islam with a reform-centred outlook:</w:t>
      </w:r>
    </w:p>
    <w:p w14:paraId="13F50E4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B321B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"In advocating a new Ijtihad, al-Afghani hit at the base of nineteenth century Islam and the general concept of Muslims of themselves. He could no longer accept the position current in his time of fatalism and the inevitable deterioration of mankind. He rejected most firmly the concept of man as a feather in the wind and insisted that he is capable of influencing events and deciding his destiny. He also advocated the idea that man can strive for perfection, and claimed that Islam provides him with the social system best suited to help him achieve this task."</w:t>
      </w:r>
      <w:r w:rsidRPr="00570082">
        <w:rPr>
          <w:rStyle w:val="EndnoteReference"/>
          <w:rFonts w:ascii="Georgia" w:hAnsi="Georgia"/>
          <w:szCs w:val="24"/>
        </w:rPr>
        <w:endnoteReference w:id="73"/>
      </w:r>
    </w:p>
    <w:p w14:paraId="0C57D4E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09066B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al-Afghani's principles were passed onto Muhammad 'Abduh (1849-1905), who sought reform in education and social organization in Egyptian society, applying new concepts to strengthen Islam in the modern world. In this, the influence of Ibn Hanbal, Ibn Taymiyya and their respective schools is apparent. Sufi influences, however, permeate 'Abduh's later life. 'Abduh intended, according to his follower Rashid Ridha:</w:t>
      </w:r>
    </w:p>
    <w:p w14:paraId="5EC1FD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2A1B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"'...to liberate thought from the shackles of imitation [</w:t>
      </w:r>
      <w:r w:rsidRPr="00570082">
        <w:rPr>
          <w:rFonts w:ascii="Georgia" w:hAnsi="Georgia"/>
          <w:i/>
          <w:szCs w:val="24"/>
        </w:rPr>
        <w:t>taqlid</w:t>
      </w:r>
      <w:r w:rsidRPr="00570082">
        <w:rPr>
          <w:rFonts w:ascii="Georgia" w:hAnsi="Georgia"/>
          <w:szCs w:val="24"/>
        </w:rPr>
        <w:t>] and understand religion as it was understood by the community before dissension appeared; to return, in the acquisition of religious knowledge, to its first sources, and to weigh them in the scale of human reason, which God has created in order to prevent excess or adulteration in religion, so that God's wisdom may be fulfilled and the order of the human world preserved, and to prove that, seen in this light, religion must be accounted a friend to science, pushing man to investigate the secrets of existence, summoning him to respect established truths and to depend on them in his moral life and conduct.'"</w:t>
      </w:r>
      <w:r w:rsidRPr="00570082">
        <w:rPr>
          <w:rStyle w:val="EndnoteReference"/>
          <w:rFonts w:ascii="Georgia" w:hAnsi="Georgia"/>
          <w:szCs w:val="24"/>
        </w:rPr>
        <w:endnoteReference w:id="74"/>
      </w:r>
    </w:p>
    <w:p w14:paraId="1166B24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BD1AB4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'Abduh wanted Muslims to educate themselves in modern science, to equip themselves for the changes Islamic society were going through, and to take advantage of new technology and ideas from Western Europe:</w:t>
      </w:r>
    </w:p>
    <w:p w14:paraId="25A39A3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05FA29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"As Muhammad 'Abduh stated, freedom of thought should not be 'denied to the people', although he stressed that the people must be educated in order to enjoy fully this privilege. He continued that there should be 'an </w:t>
      </w:r>
      <w:r w:rsidRPr="00570082">
        <w:rPr>
          <w:rFonts w:ascii="Georgia" w:hAnsi="Georgia"/>
          <w:i/>
          <w:szCs w:val="24"/>
        </w:rPr>
        <w:t>ijtihad</w:t>
      </w:r>
      <w:r w:rsidRPr="00570082">
        <w:rPr>
          <w:rFonts w:ascii="Georgia" w:hAnsi="Georgia"/>
          <w:szCs w:val="24"/>
        </w:rPr>
        <w:t xml:space="preserve"> based on both religion and the free mind in order to face new situations in the modern world.'"</w:t>
      </w:r>
      <w:r w:rsidRPr="00570082">
        <w:rPr>
          <w:rStyle w:val="EndnoteReference"/>
          <w:rFonts w:ascii="Georgia" w:hAnsi="Georgia"/>
          <w:szCs w:val="24"/>
        </w:rPr>
        <w:endnoteReference w:id="75"/>
      </w:r>
    </w:p>
    <w:p w14:paraId="3FEC812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6F244F6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'Abduh emphasises seeing Islam as </w:t>
      </w:r>
      <w:r w:rsidRPr="00570082">
        <w:rPr>
          <w:rFonts w:ascii="Georgia" w:hAnsi="Georgia"/>
          <w:i/>
          <w:szCs w:val="24"/>
        </w:rPr>
        <w:t xml:space="preserve">al-fitra </w:t>
      </w:r>
      <w:r w:rsidRPr="00570082">
        <w:rPr>
          <w:rFonts w:ascii="Georgia" w:hAnsi="Georgia"/>
          <w:szCs w:val="24"/>
        </w:rPr>
        <w:t xml:space="preserve">(religion of nature), in which </w:t>
      </w:r>
      <w:r w:rsidRPr="00570082">
        <w:rPr>
          <w:rFonts w:ascii="Georgia" w:hAnsi="Georgia"/>
          <w:i/>
          <w:szCs w:val="24"/>
        </w:rPr>
        <w:t>ijtihad</w:t>
      </w:r>
      <w:r w:rsidRPr="00570082">
        <w:rPr>
          <w:rFonts w:ascii="Georgia" w:hAnsi="Georgia"/>
          <w:szCs w:val="24"/>
        </w:rPr>
        <w:t xml:space="preserve"> could be applied, utilising the opinions of more than one </w:t>
      </w:r>
      <w:r w:rsidRPr="00570082">
        <w:rPr>
          <w:rFonts w:ascii="Georgia" w:hAnsi="Georgia"/>
          <w:i/>
          <w:szCs w:val="24"/>
        </w:rPr>
        <w:t xml:space="preserve">madhhabib </w:t>
      </w:r>
      <w:r w:rsidRPr="00570082">
        <w:rPr>
          <w:rFonts w:ascii="Georgia" w:hAnsi="Georgia"/>
          <w:szCs w:val="24"/>
        </w:rPr>
        <w:t xml:space="preserve">if necessary - offering a flexibility in judgement: </w:t>
      </w:r>
      <w:r w:rsidRPr="00570082">
        <w:rPr>
          <w:rStyle w:val="EndnoteReference"/>
          <w:rFonts w:ascii="Georgia" w:hAnsi="Georgia"/>
          <w:szCs w:val="24"/>
        </w:rPr>
        <w:endnoteReference w:id="76"/>
      </w:r>
      <w:r w:rsidRPr="00570082">
        <w:rPr>
          <w:rFonts w:ascii="Georgia" w:hAnsi="Georgia"/>
          <w:szCs w:val="24"/>
        </w:rPr>
        <w:t xml:space="preserve"> </w:t>
      </w:r>
    </w:p>
    <w:p w14:paraId="5F07C54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82886D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"The Islamic Shari'a is universal and eternal. A corollary of this is that the Shari'a suits the interests of humanity at every time and in any place whatever the nature of the civilisation. A Shari'a of such a nature, its specific items cannot be limited because it deals with the affairs of the people wherever they are."</w:t>
      </w:r>
      <w:r w:rsidRPr="00570082">
        <w:rPr>
          <w:rStyle w:val="EndnoteReference"/>
          <w:rFonts w:ascii="Georgia" w:hAnsi="Georgia"/>
          <w:szCs w:val="24"/>
        </w:rPr>
        <w:endnoteReference w:id="77"/>
      </w:r>
      <w:r w:rsidRPr="00570082">
        <w:rPr>
          <w:rFonts w:ascii="Georgia" w:hAnsi="Georgia"/>
          <w:szCs w:val="24"/>
        </w:rPr>
        <w:t xml:space="preserve"> </w:t>
      </w:r>
    </w:p>
    <w:p w14:paraId="55C8DF1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6231CB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 application of personal judgement on issues - apart from those on which there was no doubt within the Qur'an and </w:t>
      </w:r>
      <w:r w:rsidRPr="00570082">
        <w:rPr>
          <w:rFonts w:ascii="Georgia" w:hAnsi="Georgia"/>
          <w:i/>
          <w:szCs w:val="24"/>
        </w:rPr>
        <w:t xml:space="preserve">Hadith </w:t>
      </w:r>
      <w:r w:rsidRPr="00570082">
        <w:rPr>
          <w:rFonts w:ascii="Georgia" w:hAnsi="Georgia"/>
          <w:szCs w:val="24"/>
        </w:rPr>
        <w:t xml:space="preserve">- was suggested, particularly if it was within </w:t>
      </w:r>
      <w:r w:rsidRPr="00570082">
        <w:rPr>
          <w:rFonts w:ascii="Georgia" w:hAnsi="Georgia"/>
          <w:i/>
          <w:szCs w:val="24"/>
        </w:rPr>
        <w:t xml:space="preserve">maslahah </w:t>
      </w:r>
      <w:r w:rsidRPr="00570082">
        <w:rPr>
          <w:rFonts w:ascii="Georgia" w:hAnsi="Georgia"/>
          <w:szCs w:val="24"/>
        </w:rPr>
        <w:t xml:space="preserve">or public interest. </w:t>
      </w:r>
    </w:p>
    <w:p w14:paraId="5C109A0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3F0DAD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'Abduh and Afghani had first hand-experience of Western life, because for a time they were exiled by the British to Paris (1883), from where they published journals. Whilst advocating Islamic unity, 'Abduh associated with Egypt's British administration, including Lord Cromer. 'Abduh was strongly influenced by</w:t>
      </w:r>
      <w:r w:rsidRPr="00570082">
        <w:rPr>
          <w:rFonts w:ascii="Georgia" w:hAnsi="Georgia"/>
          <w:b/>
          <w:szCs w:val="24"/>
        </w:rPr>
        <w:t xml:space="preserve"> </w:t>
      </w:r>
      <w:r w:rsidRPr="00570082">
        <w:rPr>
          <w:rFonts w:ascii="Georgia" w:hAnsi="Georgia"/>
          <w:i/>
          <w:szCs w:val="24"/>
        </w:rPr>
        <w:t>Mu'tazilite</w:t>
      </w:r>
      <w:r w:rsidRPr="00570082">
        <w:rPr>
          <w:rFonts w:ascii="Georgia" w:hAnsi="Georgia"/>
          <w:szCs w:val="24"/>
        </w:rPr>
        <w:t xml:space="preserve"> thinking, which sees all God's actions as good, whilst all evil is caused by humanity.</w:t>
      </w:r>
      <w:r w:rsidRPr="00570082">
        <w:rPr>
          <w:rStyle w:val="EndnoteReference"/>
          <w:rFonts w:ascii="Georgia" w:hAnsi="Georgia"/>
          <w:szCs w:val="24"/>
        </w:rPr>
        <w:endnoteReference w:id="78"/>
      </w:r>
      <w:r w:rsidRPr="00570082">
        <w:rPr>
          <w:rFonts w:ascii="Georgia" w:hAnsi="Georgia"/>
          <w:szCs w:val="24"/>
        </w:rPr>
        <w:t xml:space="preserve"> Badawi suggests that 'Abduh had no consistent principle, drawing on a combination of Ibn Taymiyya's fundamentalist views, al-Ghazali's ethical values, and modern science. The unity 'Abduh sought was not achieved, rather a new school was added to the equation.</w:t>
      </w:r>
      <w:r w:rsidRPr="00570082">
        <w:rPr>
          <w:rStyle w:val="EndnoteReference"/>
          <w:rFonts w:ascii="Georgia" w:hAnsi="Georgia"/>
          <w:szCs w:val="24"/>
        </w:rPr>
        <w:endnoteReference w:id="79"/>
      </w:r>
      <w:r w:rsidRPr="00570082">
        <w:rPr>
          <w:rFonts w:ascii="Georgia" w:hAnsi="Georgia"/>
          <w:szCs w:val="24"/>
        </w:rPr>
        <w:t xml:space="preserve"> 'Abduh was visited by other </w:t>
      </w:r>
      <w:r w:rsidRPr="00570082">
        <w:rPr>
          <w:rFonts w:ascii="Georgia" w:hAnsi="Georgia"/>
          <w:i/>
          <w:szCs w:val="24"/>
        </w:rPr>
        <w:t>salafi</w:t>
      </w:r>
      <w:r w:rsidRPr="00570082">
        <w:rPr>
          <w:rFonts w:ascii="Georgia" w:hAnsi="Georgia"/>
          <w:szCs w:val="24"/>
        </w:rPr>
        <w:t>, and his ideas circulated.</w:t>
      </w:r>
      <w:r w:rsidRPr="00570082">
        <w:rPr>
          <w:rStyle w:val="EndnoteReference"/>
          <w:rFonts w:ascii="Georgia" w:hAnsi="Georgia"/>
          <w:szCs w:val="24"/>
        </w:rPr>
        <w:endnoteReference w:id="80"/>
      </w:r>
      <w:r w:rsidRPr="00570082">
        <w:rPr>
          <w:rFonts w:ascii="Georgia" w:hAnsi="Georgia"/>
          <w:szCs w:val="24"/>
        </w:rPr>
        <w:t xml:space="preserve">  With hindsight, it would be unrealistic to expect such a radical transformation. However, it would be fair to state that 'Abduh stimulated interest internationally in reconciling the disparate elements of Islamic society, in the nineteenth and twentieth centuries.</w:t>
      </w:r>
    </w:p>
    <w:p w14:paraId="4A07AEE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3CE0DD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Rashid Ridha (1865-1935) was born and educated as an </w:t>
      </w:r>
      <w:r w:rsidRPr="00570082">
        <w:rPr>
          <w:rFonts w:ascii="Georgia" w:hAnsi="Georgia"/>
          <w:i/>
          <w:szCs w:val="24"/>
        </w:rPr>
        <w:t>'alim</w:t>
      </w:r>
      <w:r w:rsidRPr="00570082">
        <w:rPr>
          <w:rFonts w:ascii="Georgia" w:hAnsi="Georgia"/>
          <w:szCs w:val="24"/>
        </w:rPr>
        <w:t xml:space="preserve"> in Syria, although he moved to Egypt and joined Muhammad 'Abduh. Ibn Taymiyya's school was important to Ridha, especially in its emphasis against </w:t>
      </w:r>
      <w:r w:rsidRPr="00570082">
        <w:rPr>
          <w:rFonts w:ascii="Georgia" w:hAnsi="Georgia"/>
          <w:i/>
          <w:szCs w:val="24"/>
        </w:rPr>
        <w:t xml:space="preserve">bid'ah, </w:t>
      </w:r>
      <w:r w:rsidRPr="00570082">
        <w:rPr>
          <w:rFonts w:ascii="Georgia" w:hAnsi="Georgia"/>
          <w:szCs w:val="24"/>
        </w:rPr>
        <w:t xml:space="preserve">and the desire for emphasis on the Qur'an. Parallels can be drawn with al-Wahhab, except that Ridha did not seek to implement aspects such as anti-saint worship with the same rigidity - perhaps for fear of alienating the </w:t>
      </w:r>
      <w:r w:rsidRPr="00570082">
        <w:rPr>
          <w:rFonts w:ascii="Georgia" w:hAnsi="Georgia"/>
          <w:i/>
          <w:szCs w:val="24"/>
        </w:rPr>
        <w:t>'ummah.</w:t>
      </w:r>
      <w:r w:rsidRPr="00570082">
        <w:rPr>
          <w:rFonts w:ascii="Georgia" w:hAnsi="Georgia"/>
          <w:szCs w:val="24"/>
        </w:rPr>
        <w:t xml:space="preserve"> He supported the concept of a Caliph, supported by qualified </w:t>
      </w:r>
      <w:r w:rsidRPr="00570082">
        <w:rPr>
          <w:rFonts w:ascii="Georgia" w:hAnsi="Georgia"/>
          <w:i/>
          <w:szCs w:val="24"/>
        </w:rPr>
        <w:t xml:space="preserve">mujjadid </w:t>
      </w:r>
      <w:r w:rsidRPr="00570082">
        <w:rPr>
          <w:rFonts w:ascii="Georgia" w:hAnsi="Georgia"/>
          <w:szCs w:val="24"/>
        </w:rPr>
        <w:t xml:space="preserve">and </w:t>
      </w:r>
      <w:r w:rsidRPr="00570082">
        <w:rPr>
          <w:rFonts w:ascii="Georgia" w:hAnsi="Georgia"/>
          <w:i/>
          <w:szCs w:val="24"/>
        </w:rPr>
        <w:t xml:space="preserve">mujtahid </w:t>
      </w:r>
      <w:r w:rsidRPr="00570082">
        <w:rPr>
          <w:rFonts w:ascii="Georgia" w:hAnsi="Georgia"/>
          <w:szCs w:val="24"/>
        </w:rPr>
        <w:t xml:space="preserve">whom can offer advice and </w:t>
      </w:r>
      <w:r w:rsidRPr="00570082">
        <w:rPr>
          <w:rFonts w:ascii="Georgia" w:hAnsi="Georgia"/>
          <w:i/>
          <w:szCs w:val="24"/>
        </w:rPr>
        <w:t>ijtihad.</w:t>
      </w:r>
    </w:p>
    <w:p w14:paraId="32F4D75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5F67C0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 xml:space="preserve">madhabib al-fiqhiyya </w:t>
      </w:r>
      <w:r w:rsidRPr="00570082">
        <w:rPr>
          <w:rFonts w:ascii="Georgia" w:hAnsi="Georgia"/>
          <w:szCs w:val="24"/>
        </w:rPr>
        <w:t xml:space="preserve">lost their authority in Ridha's interpretation, which sought </w:t>
      </w:r>
      <w:r w:rsidRPr="00570082">
        <w:rPr>
          <w:rFonts w:ascii="Georgia" w:hAnsi="Georgia"/>
          <w:i/>
          <w:szCs w:val="24"/>
        </w:rPr>
        <w:t>ijtihad</w:t>
      </w:r>
      <w:r w:rsidRPr="00570082">
        <w:rPr>
          <w:rFonts w:ascii="Georgia" w:hAnsi="Georgia"/>
          <w:szCs w:val="24"/>
        </w:rPr>
        <w:t xml:space="preserve"> on issues which contained ambivalence or lacked rigidity. There might be contradiction here with this, and Ridha's tendency to give rigid pronouncements on things that were normally ambigious, was one factor in Ridha's isolation from the mainstream of Egyptian society.</w:t>
      </w:r>
      <w:r w:rsidRPr="00570082">
        <w:rPr>
          <w:rStyle w:val="EndnoteReference"/>
          <w:rFonts w:ascii="Georgia" w:hAnsi="Georgia"/>
          <w:szCs w:val="24"/>
        </w:rPr>
        <w:endnoteReference w:id="81"/>
      </w:r>
      <w:r w:rsidRPr="00570082">
        <w:rPr>
          <w:rFonts w:ascii="Georgia" w:hAnsi="Georgia"/>
          <w:szCs w:val="24"/>
        </w:rPr>
        <w:t xml:space="preserve">  Emphasis was on a continuous </w:t>
      </w:r>
      <w:r w:rsidRPr="00570082">
        <w:rPr>
          <w:rFonts w:ascii="Georgia" w:hAnsi="Georgia"/>
          <w:i/>
          <w:szCs w:val="24"/>
        </w:rPr>
        <w:t>ijtihad</w:t>
      </w:r>
      <w:r w:rsidRPr="00570082">
        <w:rPr>
          <w:rFonts w:ascii="Georgia" w:hAnsi="Georgia"/>
          <w:szCs w:val="24"/>
        </w:rPr>
        <w:t xml:space="preserve"> on issues of uncertainty, based on the traditions and consensus of the authentic </w:t>
      </w:r>
      <w:r w:rsidRPr="00570082">
        <w:rPr>
          <w:rFonts w:ascii="Georgia" w:hAnsi="Georgia"/>
          <w:i/>
          <w:szCs w:val="24"/>
        </w:rPr>
        <w:t>Hadith</w:t>
      </w:r>
      <w:r w:rsidRPr="00570082">
        <w:rPr>
          <w:rFonts w:ascii="Georgia" w:hAnsi="Georgia"/>
          <w:szCs w:val="24"/>
        </w:rPr>
        <w:t xml:space="preserve"> of the Prophet and the Medina Companions</w:t>
      </w:r>
      <w:r w:rsidRPr="00570082">
        <w:rPr>
          <w:rStyle w:val="EndnoteReference"/>
          <w:rFonts w:ascii="Georgia" w:hAnsi="Georgia"/>
          <w:szCs w:val="24"/>
        </w:rPr>
        <w:endnoteReference w:id="82"/>
      </w:r>
      <w:r w:rsidRPr="00570082">
        <w:rPr>
          <w:rFonts w:ascii="Georgia" w:hAnsi="Georgia"/>
          <w:szCs w:val="24"/>
        </w:rPr>
        <w:t>:</w:t>
      </w:r>
    </w:p>
    <w:p w14:paraId="0C00D45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6DEBF4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"Ridha, like 'Abduh and al-Afghani, emphasised the need for a continuous </w:t>
      </w:r>
      <w:r w:rsidRPr="00570082">
        <w:rPr>
          <w:rFonts w:ascii="Georgia" w:hAnsi="Georgia"/>
          <w:i/>
          <w:szCs w:val="24"/>
        </w:rPr>
        <w:t xml:space="preserve">ijtihad, </w:t>
      </w:r>
      <w:r w:rsidRPr="00570082">
        <w:rPr>
          <w:rFonts w:ascii="Georgia" w:hAnsi="Georgia"/>
          <w:szCs w:val="24"/>
        </w:rPr>
        <w:t xml:space="preserve">but unlike them he was less tolerant of differences. With his extensive knowledge of the Tradition he was able to discount as untrue the famous </w:t>
      </w:r>
      <w:r w:rsidRPr="00570082">
        <w:rPr>
          <w:rFonts w:ascii="Georgia" w:hAnsi="Georgia"/>
          <w:i/>
          <w:szCs w:val="24"/>
        </w:rPr>
        <w:t>Hadith '</w:t>
      </w:r>
      <w:r w:rsidRPr="00570082">
        <w:rPr>
          <w:rFonts w:ascii="Georgia" w:hAnsi="Georgia"/>
          <w:szCs w:val="24"/>
        </w:rPr>
        <w:t>Differences among my</w:t>
      </w:r>
      <w:r w:rsidRPr="00570082">
        <w:rPr>
          <w:rFonts w:ascii="Georgia" w:hAnsi="Georgia"/>
          <w:i/>
          <w:szCs w:val="24"/>
        </w:rPr>
        <w:t xml:space="preserve"> 'ummah</w:t>
      </w:r>
      <w:r w:rsidRPr="00570082">
        <w:rPr>
          <w:rFonts w:ascii="Georgia" w:hAnsi="Georgia"/>
          <w:szCs w:val="24"/>
        </w:rPr>
        <w:t xml:space="preserve"> is a source of mercy.'"</w:t>
      </w:r>
      <w:r w:rsidRPr="00570082">
        <w:rPr>
          <w:rStyle w:val="EndnoteReference"/>
          <w:rFonts w:ascii="Georgia" w:hAnsi="Georgia"/>
          <w:szCs w:val="24"/>
        </w:rPr>
        <w:endnoteReference w:id="83"/>
      </w:r>
    </w:p>
    <w:p w14:paraId="7A5D176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6057B9F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However, this contradicts Ridha's assertion that:</w:t>
      </w:r>
    </w:p>
    <w:p w14:paraId="2086E43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1EE12D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"'We should support each other in what we agree upon and tolerate each other on what we differ.'"</w:t>
      </w:r>
      <w:r w:rsidRPr="00570082">
        <w:rPr>
          <w:rStyle w:val="EndnoteReference"/>
          <w:rFonts w:ascii="Georgia" w:hAnsi="Georgia"/>
          <w:szCs w:val="24"/>
        </w:rPr>
        <w:endnoteReference w:id="84"/>
      </w:r>
    </w:p>
    <w:p w14:paraId="555645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9B83FD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Ridha's call for toleration here is backed up by his assessment that Muslims should study their situation, and each other.</w:t>
      </w:r>
      <w:r w:rsidRPr="00570082">
        <w:rPr>
          <w:rStyle w:val="EndnoteReference"/>
          <w:rFonts w:ascii="Georgia" w:hAnsi="Georgia"/>
          <w:szCs w:val="24"/>
        </w:rPr>
        <w:endnoteReference w:id="85"/>
      </w:r>
      <w:r w:rsidRPr="00570082">
        <w:rPr>
          <w:rFonts w:ascii="Georgia" w:hAnsi="Georgia"/>
          <w:szCs w:val="24"/>
        </w:rPr>
        <w:t xml:space="preserve"> Education was seen as a key to improving understanding, both in Islam and in 'secular' sciences. This was important the acceptance of Ridha's work by diverse groups of Muslims, for example in Indonesia and Malaysia, with their elements (in some cases) of syncretic and/or Sufi-influenced practices.</w:t>
      </w:r>
    </w:p>
    <w:p w14:paraId="5C77003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5C500C4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implementation of reform was largely prohibited, largely because of the political and social pressures of the period, which saw aspects of </w:t>
      </w:r>
      <w:r w:rsidRPr="00570082">
        <w:rPr>
          <w:rFonts w:ascii="Georgia" w:hAnsi="Georgia"/>
          <w:i/>
          <w:szCs w:val="24"/>
        </w:rPr>
        <w:t>tajdid</w:t>
      </w:r>
      <w:r w:rsidRPr="00570082">
        <w:rPr>
          <w:rFonts w:ascii="Georgia" w:hAnsi="Georgia"/>
          <w:szCs w:val="24"/>
        </w:rPr>
        <w:t xml:space="preserve"> as dangerous. Ridha's work is important for transmitting the ideas of al-Afghani and 'Abduh, as well as his own. The key issues have currency with earlier centuries: foreign oppression, </w:t>
      </w:r>
      <w:r w:rsidRPr="00570082">
        <w:rPr>
          <w:rFonts w:ascii="Georgia" w:hAnsi="Georgia"/>
          <w:i/>
          <w:szCs w:val="24"/>
        </w:rPr>
        <w:t>bid'ah,</w:t>
      </w:r>
      <w:r w:rsidRPr="00570082">
        <w:rPr>
          <w:rFonts w:ascii="Georgia" w:hAnsi="Georgia"/>
          <w:szCs w:val="24"/>
        </w:rPr>
        <w:t xml:space="preserve"> stagnation in Islamic society which failed to fully accommodate contemporaneous circumstances, and a feeling that innovations in Islamic thought from diverse sources had clouded the Divine Revelation received by Muhammad, and the laws and actions of the Prophet and the early Medina community. </w:t>
      </w:r>
    </w:p>
    <w:p w14:paraId="05F3F8E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9F979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Within Egypt, Ridha's work became one framework of reference for later reformers, including Hassan al-Banna (1906-49) - the founder of the Society of Muslim Brothers or Muslim Brotherhood. al-Banna emphasised the need for </w:t>
      </w:r>
      <w:r w:rsidRPr="00570082">
        <w:rPr>
          <w:rFonts w:ascii="Georgia" w:hAnsi="Georgia"/>
          <w:i/>
          <w:szCs w:val="24"/>
        </w:rPr>
        <w:t>ijtihad</w:t>
      </w:r>
      <w:r w:rsidRPr="00570082">
        <w:rPr>
          <w:rFonts w:ascii="Georgia" w:hAnsi="Georgia"/>
          <w:szCs w:val="24"/>
        </w:rPr>
        <w:t xml:space="preserve">, to counter the influence of the West and the erosion of Islamic values - pressures similar to those described above in relation to al-Afghani, 'Abduh, and Ridha. This would be linked to the utilisation of </w:t>
      </w:r>
      <w:r w:rsidRPr="00570082">
        <w:rPr>
          <w:rFonts w:ascii="Georgia" w:hAnsi="Georgia"/>
          <w:i/>
          <w:szCs w:val="24"/>
        </w:rPr>
        <w:t>shari'a</w:t>
      </w:r>
      <w:r w:rsidRPr="00570082">
        <w:rPr>
          <w:rFonts w:ascii="Georgia" w:hAnsi="Georgia"/>
          <w:szCs w:val="24"/>
        </w:rPr>
        <w:t xml:space="preserve"> for Egypt, which would become an Islamic state. The return to Qur'anic values was not simply theoretical, but put into practice in Egypt through the creation of social services and networks - which play a contemporary role in demonstrating the practicalities of Islam as a way of life. al-Banna's definition of Islam was, and has been, resisted by many in Egypt. The </w:t>
      </w:r>
      <w:r w:rsidRPr="00570082">
        <w:rPr>
          <w:rFonts w:ascii="Georgia" w:hAnsi="Georgia"/>
          <w:i/>
          <w:szCs w:val="24"/>
        </w:rPr>
        <w:t>Ikhwan al-Muslimiyya</w:t>
      </w:r>
      <w:r w:rsidRPr="00570082">
        <w:rPr>
          <w:rFonts w:ascii="Georgia" w:hAnsi="Georgia"/>
          <w:szCs w:val="24"/>
        </w:rPr>
        <w:t xml:space="preserve"> utilised many of the ideas and themes discussed earlier, and their views have had significant impact throughout the Muslim world. Concepts of political reform have been shaped and focused within this highly organized movement. </w:t>
      </w:r>
    </w:p>
    <w:p w14:paraId="3487837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CBB07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Later writers and advocates for change developed al-Banna's ideas, notably Sayyid Qutb (1906-66), who emphasised the centrality of the Qur'an and </w:t>
      </w:r>
      <w:r w:rsidRPr="00570082">
        <w:rPr>
          <w:rFonts w:ascii="Georgia" w:hAnsi="Georgia"/>
          <w:i/>
          <w:szCs w:val="24"/>
        </w:rPr>
        <w:t>Hadith</w:t>
      </w:r>
      <w:r w:rsidRPr="00570082">
        <w:rPr>
          <w:rFonts w:ascii="Georgia" w:hAnsi="Georgia"/>
          <w:szCs w:val="24"/>
        </w:rPr>
        <w:t xml:space="preserve"> in every Muslim and Islamic action. Any society that did not follow this particular interpretation of the </w:t>
      </w:r>
      <w:r w:rsidRPr="00570082">
        <w:rPr>
          <w:rFonts w:ascii="Georgia" w:hAnsi="Georgia"/>
          <w:i/>
          <w:szCs w:val="24"/>
        </w:rPr>
        <w:t xml:space="preserve">shari'ah </w:t>
      </w:r>
      <w:r w:rsidRPr="00570082">
        <w:rPr>
          <w:rFonts w:ascii="Georgia" w:hAnsi="Georgia"/>
          <w:szCs w:val="24"/>
        </w:rPr>
        <w:t xml:space="preserve">was condemned by Qutb, who saw Islam as the only way, and sought a </w:t>
      </w:r>
      <w:r w:rsidRPr="00570082">
        <w:rPr>
          <w:rFonts w:ascii="Georgia" w:hAnsi="Georgia"/>
          <w:i/>
          <w:szCs w:val="24"/>
        </w:rPr>
        <w:t>jihad</w:t>
      </w:r>
      <w:r w:rsidRPr="00570082">
        <w:rPr>
          <w:rFonts w:ascii="Georgia" w:hAnsi="Georgia"/>
          <w:szCs w:val="24"/>
        </w:rPr>
        <w:t xml:space="preserve"> to fight the </w:t>
      </w:r>
      <w:r w:rsidRPr="00570082">
        <w:rPr>
          <w:rFonts w:ascii="Georgia" w:hAnsi="Georgia"/>
          <w:i/>
          <w:szCs w:val="24"/>
        </w:rPr>
        <w:t>jahilliya</w:t>
      </w:r>
      <w:r w:rsidRPr="00570082">
        <w:rPr>
          <w:rFonts w:ascii="Georgia" w:hAnsi="Georgia"/>
          <w:szCs w:val="24"/>
        </w:rPr>
        <w:t xml:space="preserve"> within Egypt and throughout the Islamic world. Qutb's exhortation had resonance elsewhere. It is very different from earlier generations of reformers, challenging erosion of Islamic values through less-confrontational methods. It is indicative of a sense of anger and frustration, that violence if necessary should implement revolution and change. This view fuelled ill feeling towards Islam and reform-centred movements, especially in 'the West', and affected many Muslims who did not seek change by radical methods. The demand to return to the Qur'an and </w:t>
      </w:r>
      <w:r w:rsidRPr="00570082">
        <w:rPr>
          <w:rFonts w:ascii="Georgia" w:hAnsi="Georgia"/>
          <w:i/>
          <w:szCs w:val="24"/>
        </w:rPr>
        <w:t>Hadith</w:t>
      </w:r>
      <w:r w:rsidRPr="00570082">
        <w:rPr>
          <w:rFonts w:ascii="Georgia" w:hAnsi="Georgia"/>
          <w:szCs w:val="24"/>
        </w:rPr>
        <w:t xml:space="preserve"> was not backed with indications of the practicalities of </w:t>
      </w:r>
      <w:r w:rsidRPr="00570082">
        <w:rPr>
          <w:rFonts w:ascii="Georgia" w:hAnsi="Georgia"/>
          <w:i/>
          <w:szCs w:val="24"/>
        </w:rPr>
        <w:t>shari'ah</w:t>
      </w:r>
      <w:r w:rsidRPr="00570082">
        <w:rPr>
          <w:rFonts w:ascii="Georgia" w:hAnsi="Georgia"/>
          <w:szCs w:val="24"/>
        </w:rPr>
        <w:t xml:space="preserve"> implementation in modern society - or even which interpretation of </w:t>
      </w:r>
      <w:r w:rsidRPr="00570082">
        <w:rPr>
          <w:rFonts w:ascii="Georgia" w:hAnsi="Georgia"/>
          <w:i/>
          <w:szCs w:val="24"/>
        </w:rPr>
        <w:t xml:space="preserve">shari'ah </w:t>
      </w:r>
      <w:r w:rsidRPr="00570082">
        <w:rPr>
          <w:rFonts w:ascii="Georgia" w:hAnsi="Georgia"/>
          <w:szCs w:val="24"/>
        </w:rPr>
        <w:t>would necessarily be applied: it was seen as a idealised solution to problems confronting Islamic society. One attitude was to withdraw from modern society, to live ‘Islamically’ within a microcosm, surrounded by what was perceived as '</w:t>
      </w:r>
      <w:r w:rsidRPr="00570082">
        <w:rPr>
          <w:rFonts w:ascii="Georgia" w:hAnsi="Georgia"/>
          <w:i/>
          <w:szCs w:val="24"/>
        </w:rPr>
        <w:t>jahilliya</w:t>
      </w:r>
      <w:r w:rsidRPr="00570082">
        <w:rPr>
          <w:rFonts w:ascii="Georgia" w:hAnsi="Georgia"/>
          <w:szCs w:val="24"/>
        </w:rPr>
        <w:t>' or an 'ignorant' society</w:t>
      </w:r>
      <w:r w:rsidRPr="00570082">
        <w:rPr>
          <w:rFonts w:ascii="Georgia" w:hAnsi="Georgia"/>
          <w:i/>
          <w:szCs w:val="24"/>
        </w:rPr>
        <w:t>.</w:t>
      </w:r>
      <w:r w:rsidRPr="00570082">
        <w:rPr>
          <w:rFonts w:ascii="Georgia" w:hAnsi="Georgia"/>
          <w:szCs w:val="24"/>
        </w:rPr>
        <w:t xml:space="preserve"> This fuelled the foundation of support systems - medical, educational, financial, and social - run upon (perceived) Qur'anic lines.</w:t>
      </w:r>
    </w:p>
    <w:p w14:paraId="1A3DBA9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4D2B37B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3.3.4.3.</w:t>
      </w:r>
      <w:r w:rsidRPr="00570082">
        <w:rPr>
          <w:rFonts w:ascii="Georgia" w:hAnsi="Georgia"/>
          <w:b/>
          <w:szCs w:val="24"/>
        </w:rPr>
        <w:tab/>
        <w:t>Syria</w:t>
      </w:r>
    </w:p>
    <w:p w14:paraId="0E0689E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BE461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Sharing similar pressures, and in some cases closely networking with each other, many reform movements advocated similar changes in parallel: for example, the Syrian Jamal al-Din al-Qasimi (1866-1914) and his family were influenced by Ibn Taymiyya and Shah Wali Allah (amongst others), advocated a Hanbali interpretation of Islam, and promoted </w:t>
      </w:r>
      <w:r w:rsidRPr="00570082">
        <w:rPr>
          <w:rFonts w:ascii="Georgia" w:hAnsi="Georgia"/>
          <w:i/>
          <w:szCs w:val="24"/>
        </w:rPr>
        <w:t>ijtihad.</w:t>
      </w:r>
      <w:r w:rsidRPr="00570082">
        <w:rPr>
          <w:rStyle w:val="EndnoteReference"/>
          <w:rFonts w:ascii="Georgia" w:hAnsi="Georgia"/>
          <w:szCs w:val="24"/>
        </w:rPr>
        <w:endnoteReference w:id="86"/>
      </w:r>
      <w:r w:rsidRPr="00570082">
        <w:rPr>
          <w:rFonts w:ascii="Georgia" w:hAnsi="Georgia"/>
          <w:szCs w:val="24"/>
        </w:rPr>
        <w:t xml:space="preserve"> It is important to recognise a commonality of themes, including emphasis on a return to the principles of the Qur'an and </w:t>
      </w:r>
      <w:r w:rsidRPr="00570082">
        <w:rPr>
          <w:rFonts w:ascii="Georgia" w:hAnsi="Georgia"/>
          <w:i/>
          <w:szCs w:val="24"/>
        </w:rPr>
        <w:t>Hadith</w:t>
      </w:r>
      <w:r w:rsidRPr="00570082">
        <w:rPr>
          <w:rFonts w:ascii="Georgia" w:hAnsi="Georgia"/>
          <w:szCs w:val="24"/>
        </w:rPr>
        <w:t xml:space="preserve">, a resistance to non-Islamic influences and </w:t>
      </w:r>
      <w:r w:rsidRPr="00570082">
        <w:rPr>
          <w:rFonts w:ascii="Georgia" w:hAnsi="Georgia"/>
          <w:i/>
          <w:szCs w:val="24"/>
        </w:rPr>
        <w:t>bid'ah</w:t>
      </w:r>
      <w:r w:rsidRPr="00570082">
        <w:rPr>
          <w:rFonts w:ascii="Georgia" w:hAnsi="Georgia"/>
          <w:szCs w:val="24"/>
        </w:rPr>
        <w:t xml:space="preserve">, and a reaction to perceived declining Islamic values. There could also be diversity, for example in their approaches to Sufism and Shi'ism, reactions to supposed syncretic accretions, and differing concepts of legitimate expressions of Islam: </w:t>
      </w:r>
      <w:r w:rsidRPr="00570082">
        <w:rPr>
          <w:rFonts w:ascii="Georgia" w:hAnsi="Georgia"/>
          <w:i/>
          <w:szCs w:val="24"/>
        </w:rPr>
        <w:t>ijtihad</w:t>
      </w:r>
      <w:r w:rsidRPr="00570082">
        <w:rPr>
          <w:rFonts w:ascii="Georgia" w:hAnsi="Georgia"/>
          <w:szCs w:val="24"/>
        </w:rPr>
        <w:t xml:space="preserve"> might be applied, but called something else in order not to alienate the ruling authorities or existing </w:t>
      </w:r>
      <w:r w:rsidRPr="00570082">
        <w:rPr>
          <w:rFonts w:ascii="Georgia" w:hAnsi="Georgia"/>
          <w:i/>
          <w:szCs w:val="24"/>
        </w:rPr>
        <w:t>'ulama</w:t>
      </w:r>
      <w:r w:rsidRPr="00570082">
        <w:rPr>
          <w:rFonts w:ascii="Georgia" w:hAnsi="Georgia"/>
          <w:szCs w:val="24"/>
        </w:rPr>
        <w:t xml:space="preserve">. The aspirations of reformers were linked to their levels of Islamic education, and a desire to replace or augment existing </w:t>
      </w:r>
      <w:r w:rsidRPr="00570082">
        <w:rPr>
          <w:rFonts w:ascii="Georgia" w:hAnsi="Georgia"/>
          <w:i/>
          <w:szCs w:val="24"/>
        </w:rPr>
        <w:t>'ulama</w:t>
      </w:r>
      <w:r w:rsidRPr="00570082">
        <w:rPr>
          <w:rFonts w:ascii="Georgia" w:hAnsi="Georgia"/>
          <w:szCs w:val="24"/>
        </w:rPr>
        <w:t xml:space="preserve">. Some desired assimilation of 'non-Islamic' technology and concepts, perhaps by emphasising or attributing an Islamic identity to their existence. There was a need to react to 'Westernization', or be consumed and subsumed by it. This was articulated within the </w:t>
      </w:r>
      <w:r w:rsidRPr="00570082">
        <w:rPr>
          <w:rFonts w:ascii="Georgia" w:hAnsi="Georgia"/>
          <w:i/>
          <w:szCs w:val="24"/>
        </w:rPr>
        <w:t xml:space="preserve">Salafiyya </w:t>
      </w:r>
      <w:r w:rsidRPr="00570082">
        <w:rPr>
          <w:rFonts w:ascii="Georgia" w:hAnsi="Georgia"/>
          <w:szCs w:val="24"/>
        </w:rPr>
        <w:t xml:space="preserve">network, striving for </w:t>
      </w:r>
      <w:r w:rsidRPr="00570082">
        <w:rPr>
          <w:rFonts w:ascii="Georgia" w:hAnsi="Georgia"/>
          <w:i/>
          <w:szCs w:val="24"/>
        </w:rPr>
        <w:t>ijtihad.</w:t>
      </w:r>
    </w:p>
    <w:p w14:paraId="73782AD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40F5B5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i/>
          <w:szCs w:val="24"/>
        </w:rPr>
      </w:pPr>
      <w:r w:rsidRPr="00570082">
        <w:rPr>
          <w:rFonts w:ascii="Georgia" w:hAnsi="Georgia"/>
          <w:b/>
          <w:szCs w:val="24"/>
        </w:rPr>
        <w:br w:type="page"/>
        <w:t xml:space="preserve">3.4. </w:t>
      </w:r>
      <w:r w:rsidRPr="00570082">
        <w:rPr>
          <w:rFonts w:ascii="Georgia" w:hAnsi="Georgia"/>
          <w:b/>
          <w:szCs w:val="24"/>
        </w:rPr>
        <w:tab/>
        <w:t>Other Contexts</w:t>
      </w:r>
    </w:p>
    <w:p w14:paraId="3C2FA9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B908E8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Within the Ottoman Empire, where there was a process of state reform during the nineteenth century known as </w:t>
      </w:r>
      <w:r w:rsidRPr="00570082">
        <w:rPr>
          <w:rFonts w:ascii="Georgia" w:hAnsi="Georgia"/>
          <w:i/>
          <w:szCs w:val="24"/>
        </w:rPr>
        <w:t>Tanzimat</w:t>
      </w:r>
      <w:r w:rsidRPr="00570082">
        <w:rPr>
          <w:rFonts w:ascii="Georgia" w:hAnsi="Georgia"/>
          <w:szCs w:val="24"/>
        </w:rPr>
        <w:t xml:space="preserve"> (order). This suggested a return to obedience to </w:t>
      </w:r>
      <w:r w:rsidRPr="00570082">
        <w:rPr>
          <w:rFonts w:ascii="Georgia" w:hAnsi="Georgia"/>
          <w:i/>
          <w:szCs w:val="24"/>
        </w:rPr>
        <w:t>Shari'ah</w:t>
      </w:r>
      <w:r w:rsidRPr="00570082">
        <w:rPr>
          <w:rFonts w:ascii="Georgia" w:hAnsi="Georgia"/>
          <w:szCs w:val="24"/>
        </w:rPr>
        <w:t xml:space="preserve">, whilst also implementing Western innovations and attitudes. However, power remained in the hands of a select group of </w:t>
      </w:r>
      <w:r w:rsidRPr="00570082">
        <w:rPr>
          <w:rFonts w:ascii="Georgia" w:hAnsi="Georgia"/>
          <w:i/>
          <w:szCs w:val="24"/>
        </w:rPr>
        <w:t>'ulama</w:t>
      </w:r>
      <w:r w:rsidRPr="00570082">
        <w:rPr>
          <w:rFonts w:ascii="Georgia" w:hAnsi="Georgia"/>
          <w:szCs w:val="24"/>
        </w:rPr>
        <w:t xml:space="preserve">, and implementation of </w:t>
      </w:r>
      <w:r w:rsidRPr="00570082">
        <w:rPr>
          <w:rFonts w:ascii="Georgia" w:hAnsi="Georgia"/>
          <w:i/>
          <w:szCs w:val="24"/>
        </w:rPr>
        <w:t>ijtihad</w:t>
      </w:r>
      <w:r w:rsidRPr="00570082">
        <w:rPr>
          <w:rFonts w:ascii="Georgia" w:hAnsi="Georgia"/>
          <w:szCs w:val="24"/>
        </w:rPr>
        <w:t xml:space="preserve"> was not directly within the equation. Subsequently, after the Ottoman decline and fall, Mustafa Kemal Ataturk (1881-1938) abolished the Caliphate as an anachronism, and introduced a distinct separation between religion and the state, emphasising a personal interpretation of Islam rather than an Islamic society.</w:t>
      </w:r>
    </w:p>
    <w:p w14:paraId="43B8D87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554232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return to the perceived core values of Islam, especially when faced with alien un-Islamic values, has also been a central theme outside the Middle East and South Asia. There are many shared influences, and similar pressures, as well as distinct indigenously centred interpretations. Within Indonesia, for example, this saw articulation in the Muhammadiyah movement, and within Malaysia with ABIM.</w:t>
      </w:r>
      <w:r w:rsidRPr="00570082">
        <w:rPr>
          <w:rStyle w:val="EndnoteReference"/>
          <w:rFonts w:ascii="Georgia" w:hAnsi="Georgia"/>
          <w:szCs w:val="24"/>
        </w:rPr>
        <w:endnoteReference w:id="87"/>
      </w:r>
      <w:r w:rsidRPr="00570082">
        <w:rPr>
          <w:rFonts w:ascii="Georgia" w:hAnsi="Georgia"/>
          <w:szCs w:val="24"/>
        </w:rPr>
        <w:t xml:space="preserve">  </w:t>
      </w:r>
    </w:p>
    <w:p w14:paraId="27D50FD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3CD9D4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r w:rsidRPr="00570082">
        <w:rPr>
          <w:rFonts w:ascii="Georgia" w:hAnsi="Georgia"/>
          <w:szCs w:val="24"/>
        </w:rPr>
        <w:tab/>
        <w:t xml:space="preserve">The concept of </w:t>
      </w:r>
      <w:r w:rsidRPr="00570082">
        <w:rPr>
          <w:rFonts w:ascii="Georgia" w:hAnsi="Georgia"/>
          <w:i/>
          <w:szCs w:val="24"/>
        </w:rPr>
        <w:t>ijtihad</w:t>
      </w:r>
      <w:r w:rsidRPr="00570082">
        <w:rPr>
          <w:rFonts w:ascii="Georgia" w:hAnsi="Georgia"/>
          <w:szCs w:val="24"/>
        </w:rPr>
        <w:t xml:space="preserve"> within the Shi'a context has a different focus, because of the role of the Imamate and the emphasis on following a </w:t>
      </w:r>
      <w:r w:rsidRPr="00570082">
        <w:rPr>
          <w:rFonts w:ascii="Georgia" w:hAnsi="Georgia"/>
          <w:i/>
          <w:szCs w:val="24"/>
        </w:rPr>
        <w:t>mujtahid</w:t>
      </w:r>
      <w:r w:rsidRPr="00570082">
        <w:rPr>
          <w:rFonts w:ascii="Georgia" w:hAnsi="Georgia"/>
          <w:szCs w:val="24"/>
        </w:rPr>
        <w:t>.</w:t>
      </w:r>
      <w:r w:rsidRPr="00570082">
        <w:rPr>
          <w:rStyle w:val="EndnoteReference"/>
          <w:rFonts w:ascii="Georgia" w:hAnsi="Georgia"/>
          <w:szCs w:val="24"/>
        </w:rPr>
        <w:endnoteReference w:id="88"/>
      </w:r>
      <w:r w:rsidRPr="00570082">
        <w:rPr>
          <w:rFonts w:ascii="Georgia" w:hAnsi="Georgia"/>
          <w:szCs w:val="24"/>
        </w:rPr>
        <w:t xml:space="preserve">  Specific Islamic core values are shared between Sunni and Shi'a, although their interpretations may differ. Key issues in reform-centred movements, including the desire to return to </w:t>
      </w:r>
      <w:r w:rsidRPr="00570082">
        <w:rPr>
          <w:rFonts w:ascii="Georgia" w:hAnsi="Georgia"/>
          <w:i/>
          <w:szCs w:val="24"/>
        </w:rPr>
        <w:t>usul-ul-fiqh,</w:t>
      </w:r>
      <w:r w:rsidRPr="00570082">
        <w:rPr>
          <w:rFonts w:ascii="Georgia" w:hAnsi="Georgia"/>
          <w:szCs w:val="24"/>
        </w:rPr>
        <w:t xml:space="preserve"> implementation of </w:t>
      </w:r>
      <w:r w:rsidRPr="00570082">
        <w:rPr>
          <w:rFonts w:ascii="Georgia" w:hAnsi="Georgia"/>
          <w:i/>
          <w:szCs w:val="24"/>
        </w:rPr>
        <w:t>shari'ah</w:t>
      </w:r>
      <w:r w:rsidRPr="00570082">
        <w:rPr>
          <w:rFonts w:ascii="Georgia" w:hAnsi="Georgia"/>
          <w:szCs w:val="24"/>
        </w:rPr>
        <w:t xml:space="preserve"> law, and interpreting Islam within a modern context can be found in the work of Iranian reformers such as Ali Shariati and Ayatollah Khomeini. They saw a form of practical implementation in the Revolution of 1979, and also formed a critical subtext in aspects of Iranian history prior to 1979.  Both Saudi Arabia and post-1979 Iran have played key roles in influencing and informing Muslim communities throughout the world, presenting a very specific pattern of </w:t>
      </w:r>
      <w:r w:rsidRPr="00570082">
        <w:rPr>
          <w:rFonts w:ascii="Georgia" w:hAnsi="Georgia"/>
          <w:i/>
          <w:szCs w:val="24"/>
        </w:rPr>
        <w:t>tajdid.</w:t>
      </w:r>
    </w:p>
    <w:p w14:paraId="72183F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74B075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surveying selected reform-oriented individuals and movements in Islamic history, several key issues have emerged which are useful reference points in analyses of contemporary issues affecting Muslims. A common reference point has been the mechanism of </w:t>
      </w:r>
      <w:r w:rsidRPr="00570082">
        <w:rPr>
          <w:rFonts w:ascii="Georgia" w:hAnsi="Georgia"/>
          <w:i/>
          <w:szCs w:val="24"/>
        </w:rPr>
        <w:t>ijtihad,</w:t>
      </w:r>
      <w:r w:rsidRPr="00570082">
        <w:rPr>
          <w:rFonts w:ascii="Georgia" w:hAnsi="Georgia"/>
          <w:szCs w:val="24"/>
        </w:rPr>
        <w:t xml:space="preserve"> which is seen as facilitating a return to the core values of Islam within the Qur'an and the </w:t>
      </w:r>
      <w:r w:rsidRPr="00570082">
        <w:rPr>
          <w:rFonts w:ascii="Georgia" w:hAnsi="Georgia"/>
          <w:i/>
          <w:szCs w:val="24"/>
        </w:rPr>
        <w:t xml:space="preserve">Hadith. </w:t>
      </w:r>
      <w:r w:rsidRPr="00570082">
        <w:rPr>
          <w:rFonts w:ascii="Georgia" w:hAnsi="Georgia"/>
          <w:szCs w:val="24"/>
        </w:rPr>
        <w:t xml:space="preserve">A return to traditions is not necessarily equated with 'reform'. There is a desire among some to avoid </w:t>
      </w:r>
      <w:r w:rsidRPr="00570082">
        <w:rPr>
          <w:rFonts w:ascii="Georgia" w:hAnsi="Georgia"/>
          <w:i/>
          <w:szCs w:val="24"/>
        </w:rPr>
        <w:t>taqlid</w:t>
      </w:r>
      <w:r w:rsidRPr="00570082">
        <w:rPr>
          <w:rFonts w:ascii="Georgia" w:hAnsi="Georgia"/>
          <w:szCs w:val="24"/>
        </w:rPr>
        <w:t xml:space="preserve">, by emphasising the roots of Islam, but in practice the four </w:t>
      </w:r>
      <w:r w:rsidRPr="00570082">
        <w:rPr>
          <w:rFonts w:ascii="Georgia" w:hAnsi="Georgia"/>
          <w:i/>
          <w:szCs w:val="24"/>
        </w:rPr>
        <w:t xml:space="preserve">madhahib </w:t>
      </w:r>
      <w:r w:rsidRPr="00570082">
        <w:rPr>
          <w:rFonts w:ascii="Georgia" w:hAnsi="Georgia"/>
          <w:szCs w:val="24"/>
        </w:rPr>
        <w:t xml:space="preserve">are seen as important reference points. Different collections of </w:t>
      </w:r>
      <w:r w:rsidRPr="00570082">
        <w:rPr>
          <w:rFonts w:ascii="Georgia" w:hAnsi="Georgia"/>
          <w:i/>
          <w:szCs w:val="24"/>
        </w:rPr>
        <w:t xml:space="preserve">Hadith </w:t>
      </w:r>
      <w:r w:rsidRPr="00570082">
        <w:rPr>
          <w:rFonts w:ascii="Georgia" w:hAnsi="Georgia"/>
          <w:szCs w:val="24"/>
        </w:rPr>
        <w:t xml:space="preserve">add to elements of diversity, although within the six principal collections of hadith much of the material is shared.   A common reference point is the principles of Ibn Hanbal of Baghdad, with its assertion that a weak hadith is better than strong </w:t>
      </w:r>
      <w:r w:rsidRPr="00570082">
        <w:rPr>
          <w:rFonts w:ascii="Georgia" w:hAnsi="Georgia"/>
          <w:i/>
          <w:szCs w:val="24"/>
        </w:rPr>
        <w:t xml:space="preserve">qiyas </w:t>
      </w:r>
      <w:r w:rsidRPr="00570082">
        <w:rPr>
          <w:rFonts w:ascii="Georgia" w:hAnsi="Georgia"/>
          <w:szCs w:val="24"/>
        </w:rPr>
        <w:t>(reasoning in law)</w:t>
      </w:r>
      <w:r w:rsidRPr="00570082">
        <w:rPr>
          <w:rFonts w:ascii="Georgia" w:hAnsi="Georgia"/>
          <w:i/>
          <w:szCs w:val="24"/>
        </w:rPr>
        <w:t xml:space="preserve">. </w:t>
      </w:r>
      <w:r w:rsidRPr="00570082">
        <w:rPr>
          <w:rFonts w:ascii="Georgia" w:hAnsi="Georgia"/>
          <w:szCs w:val="24"/>
        </w:rPr>
        <w:t xml:space="preserve">However, there is some debate as to which of the four </w:t>
      </w:r>
      <w:r w:rsidRPr="00570082">
        <w:rPr>
          <w:rFonts w:ascii="Georgia" w:hAnsi="Georgia"/>
          <w:i/>
          <w:szCs w:val="24"/>
        </w:rPr>
        <w:t xml:space="preserve">madhahib </w:t>
      </w:r>
      <w:r w:rsidRPr="00570082">
        <w:rPr>
          <w:rFonts w:ascii="Georgia" w:hAnsi="Georgia"/>
          <w:szCs w:val="24"/>
        </w:rPr>
        <w:t xml:space="preserve">is ‘superior’, reflected in the application of different schools in different communities. It is important to stress that the schools are not necessarily integrated or uniform between themselves on every issue. </w:t>
      </w:r>
    </w:p>
    <w:p w14:paraId="0465B6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1260E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order to come to terms with changing ages and political circumstances, there has been a desire to return to the Qur'anic principles via different collections of </w:t>
      </w:r>
      <w:r w:rsidRPr="00570082">
        <w:rPr>
          <w:rFonts w:ascii="Georgia" w:hAnsi="Georgia"/>
          <w:i/>
          <w:szCs w:val="24"/>
        </w:rPr>
        <w:t xml:space="preserve">tafsir. </w:t>
      </w:r>
      <w:r w:rsidRPr="00570082">
        <w:rPr>
          <w:rFonts w:ascii="Georgia" w:hAnsi="Georgia"/>
          <w:szCs w:val="24"/>
        </w:rPr>
        <w:t xml:space="preserve">These draw on diverse sources, including </w:t>
      </w:r>
      <w:r w:rsidRPr="00570082">
        <w:rPr>
          <w:rFonts w:ascii="Georgia" w:hAnsi="Georgia"/>
          <w:i/>
          <w:szCs w:val="24"/>
        </w:rPr>
        <w:t xml:space="preserve">hadith, fiqh, </w:t>
      </w:r>
      <w:r w:rsidRPr="00570082">
        <w:rPr>
          <w:rFonts w:ascii="Georgia" w:hAnsi="Georgia"/>
          <w:szCs w:val="24"/>
        </w:rPr>
        <w:t xml:space="preserve">other </w:t>
      </w:r>
      <w:r w:rsidRPr="00570082">
        <w:rPr>
          <w:rFonts w:ascii="Georgia" w:hAnsi="Georgia"/>
          <w:i/>
          <w:szCs w:val="24"/>
        </w:rPr>
        <w:t>tafsir</w:t>
      </w:r>
      <w:r w:rsidRPr="00570082">
        <w:rPr>
          <w:rFonts w:ascii="Georgia" w:hAnsi="Georgia"/>
          <w:szCs w:val="24"/>
        </w:rPr>
        <w:t xml:space="preserve">, and the opinions of Islamic authorities. One criticism could be in the selectivity of material to suit a particular ideological viewpoint, or to meet a certain situation. Of course, there is no reason why there should be 'neutrality' or impartiality as such. The standpoints of different schools would facilitate patronage: students would attain </w:t>
      </w:r>
      <w:r w:rsidRPr="00570082">
        <w:rPr>
          <w:rFonts w:ascii="Georgia" w:hAnsi="Georgia"/>
          <w:i/>
          <w:szCs w:val="24"/>
        </w:rPr>
        <w:t>ijaza</w:t>
      </w:r>
      <w:r w:rsidRPr="00570082">
        <w:rPr>
          <w:rFonts w:ascii="Georgia" w:hAnsi="Georgia"/>
          <w:szCs w:val="24"/>
        </w:rPr>
        <w:t xml:space="preserve"> which reflected this diversity</w:t>
      </w:r>
      <w:r w:rsidRPr="00570082">
        <w:rPr>
          <w:rStyle w:val="EndnoteReference"/>
          <w:rFonts w:ascii="Georgia" w:hAnsi="Georgia"/>
          <w:szCs w:val="24"/>
        </w:rPr>
        <w:endnoteReference w:id="89"/>
      </w:r>
    </w:p>
    <w:p w14:paraId="551D856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894367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Amidst the important </w:t>
      </w:r>
      <w:r w:rsidRPr="00570082">
        <w:rPr>
          <w:rFonts w:ascii="Georgia" w:hAnsi="Georgia"/>
          <w:i/>
          <w:szCs w:val="24"/>
        </w:rPr>
        <w:t>mujtahidin</w:t>
      </w:r>
      <w:r w:rsidRPr="00570082">
        <w:rPr>
          <w:rFonts w:ascii="Georgia" w:hAnsi="Georgia"/>
          <w:szCs w:val="24"/>
        </w:rPr>
        <w:t xml:space="preserve"> of every era were many others who had to make decisions for their community of necessity - perhaps without the high qualifications that marked a </w:t>
      </w:r>
      <w:r w:rsidRPr="00570082">
        <w:rPr>
          <w:rFonts w:ascii="Georgia" w:hAnsi="Georgia"/>
          <w:i/>
          <w:szCs w:val="24"/>
        </w:rPr>
        <w:t xml:space="preserve">mujtahid </w:t>
      </w:r>
      <w:r w:rsidRPr="00570082">
        <w:rPr>
          <w:rFonts w:ascii="Georgia" w:hAnsi="Georgia"/>
          <w:szCs w:val="24"/>
        </w:rPr>
        <w:t xml:space="preserve">in history. The desire to renew or rejuvenate Islamic ways of life, through recourse to the sources of Islam (primarily the Qur'an), is a constant one - although the urgency varied. Faced with a traumatic crisis, such as invasion or non-Muslim influences, desperation and necessity stimulated recourse to God. Often parallels were drawn between a situation and its precedent in Muhammad's lifetime. In this case, imitation or pragmatic adaptation might both be seen as desirable. Even if not referred to by name, the mechanisms of </w:t>
      </w:r>
      <w:r w:rsidRPr="00570082">
        <w:rPr>
          <w:rFonts w:ascii="Georgia" w:hAnsi="Georgia"/>
          <w:i/>
          <w:szCs w:val="24"/>
        </w:rPr>
        <w:t xml:space="preserve">ijtihad </w:t>
      </w:r>
      <w:r w:rsidRPr="00570082">
        <w:rPr>
          <w:rFonts w:ascii="Georgia" w:hAnsi="Georgia"/>
          <w:szCs w:val="24"/>
        </w:rPr>
        <w:t xml:space="preserve">could be implemented.          </w:t>
      </w:r>
    </w:p>
    <w:p w14:paraId="18FAFA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F55D2B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Often the theories remained ideals, utilised and refined in subsequent generations. The application of these concepts within a more radical and pragmatic framework has been a particular feature of recent times. It has been applied within 'Islamic states', and by reform-centred individuals and movements. Within most models of reform within Islam, it is possible to isolate resistance to non-Islamic and/or external forces threatening the </w:t>
      </w:r>
      <w:r w:rsidRPr="00570082">
        <w:rPr>
          <w:rFonts w:ascii="Georgia" w:hAnsi="Georgia"/>
          <w:i/>
          <w:szCs w:val="24"/>
        </w:rPr>
        <w:t>status quo</w:t>
      </w:r>
      <w:r w:rsidRPr="00570082">
        <w:rPr>
          <w:rFonts w:ascii="Georgia" w:hAnsi="Georgia"/>
          <w:szCs w:val="24"/>
        </w:rPr>
        <w:t xml:space="preserve"> - forces as diverse as invasion and </w:t>
      </w:r>
      <w:r w:rsidRPr="00570082">
        <w:rPr>
          <w:rFonts w:ascii="Georgia" w:hAnsi="Georgia"/>
          <w:i/>
          <w:szCs w:val="24"/>
        </w:rPr>
        <w:t>falsafa</w:t>
      </w:r>
      <w:r w:rsidRPr="00570082">
        <w:rPr>
          <w:rFonts w:ascii="Georgia" w:hAnsi="Georgia"/>
          <w:szCs w:val="24"/>
        </w:rPr>
        <w:t>.</w:t>
      </w:r>
    </w:p>
    <w:p w14:paraId="4A8205A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91FE1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There is also a reaction to forms of Islam that are seen not to belong to orthodox Sunni Islam. In particular, this has included the worship of saints, praying at tombs, and additions and amendments to the fundamental</w:t>
      </w:r>
      <w:r w:rsidRPr="00570082">
        <w:rPr>
          <w:rFonts w:ascii="Georgia" w:hAnsi="Georgia"/>
          <w:i/>
          <w:szCs w:val="24"/>
        </w:rPr>
        <w:t xml:space="preserve"> usul-ul-Islam</w:t>
      </w:r>
      <w:r w:rsidRPr="00570082">
        <w:rPr>
          <w:rFonts w:ascii="Georgia" w:hAnsi="Georgia"/>
          <w:szCs w:val="24"/>
        </w:rPr>
        <w:t xml:space="preserve">. Often there has been concern when the </w:t>
      </w:r>
      <w:r w:rsidRPr="00570082">
        <w:rPr>
          <w:rFonts w:ascii="Georgia" w:hAnsi="Georgia"/>
          <w:i/>
          <w:szCs w:val="24"/>
        </w:rPr>
        <w:t>imams</w:t>
      </w:r>
      <w:r w:rsidRPr="00570082">
        <w:rPr>
          <w:rFonts w:ascii="Georgia" w:hAnsi="Georgia"/>
          <w:szCs w:val="24"/>
        </w:rPr>
        <w:t xml:space="preserve"> of the </w:t>
      </w:r>
      <w:r w:rsidRPr="00570082">
        <w:rPr>
          <w:rFonts w:ascii="Georgia" w:hAnsi="Georgia"/>
          <w:i/>
          <w:szCs w:val="24"/>
        </w:rPr>
        <w:t>madhahib al-fiqhiyya</w:t>
      </w:r>
      <w:r w:rsidRPr="00570082">
        <w:rPr>
          <w:rFonts w:ascii="Georgia" w:hAnsi="Georgia"/>
          <w:szCs w:val="24"/>
        </w:rPr>
        <w:t xml:space="preserve"> have taken on a status rivalling that of the Prophet. The various Sufi orders have also been seen by critics as containing superstitious or syncretic ‘innovations’, in particular regarding the status of humanity within the divine scheme - for example the question of 'unity of humans' with God. A number of Sufi practices, including </w:t>
      </w:r>
      <w:r w:rsidRPr="00570082">
        <w:rPr>
          <w:rFonts w:ascii="Georgia" w:hAnsi="Georgia"/>
          <w:i/>
          <w:szCs w:val="24"/>
        </w:rPr>
        <w:t xml:space="preserve">dhikr </w:t>
      </w:r>
      <w:r w:rsidRPr="00570082">
        <w:rPr>
          <w:rFonts w:ascii="Georgia" w:hAnsi="Georgia"/>
          <w:szCs w:val="24"/>
        </w:rPr>
        <w:t>and other prayers, have also been topics of contention as possible '</w:t>
      </w:r>
      <w:r w:rsidRPr="00570082">
        <w:rPr>
          <w:rFonts w:ascii="Georgia" w:hAnsi="Georgia"/>
          <w:i/>
          <w:szCs w:val="24"/>
        </w:rPr>
        <w:t>bid'ah</w:t>
      </w:r>
      <w:r w:rsidRPr="00570082">
        <w:rPr>
          <w:rFonts w:ascii="Georgia" w:hAnsi="Georgia"/>
          <w:szCs w:val="24"/>
        </w:rPr>
        <w:t>' or</w:t>
      </w:r>
      <w:r w:rsidRPr="00570082">
        <w:rPr>
          <w:rFonts w:ascii="Georgia" w:hAnsi="Georgia"/>
          <w:i/>
          <w:szCs w:val="24"/>
        </w:rPr>
        <w:t xml:space="preserve"> </w:t>
      </w:r>
      <w:r w:rsidRPr="00570082">
        <w:rPr>
          <w:rFonts w:ascii="Georgia" w:hAnsi="Georgia"/>
          <w:szCs w:val="24"/>
        </w:rPr>
        <w:t>innovations. The above survey of reformers has demonstrated that some have found elements of Sufism acceptable, within a 'traditional' format, and that these elements can filter through into political-religious discourse.</w:t>
      </w:r>
    </w:p>
    <w:p w14:paraId="570807E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6A24249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Levels of knowledge about Islam, and the issues it faced, vary between and within different societies. The issue of </w:t>
      </w:r>
      <w:r w:rsidRPr="00570082">
        <w:rPr>
          <w:rFonts w:ascii="Georgia" w:hAnsi="Georgia"/>
          <w:i/>
          <w:szCs w:val="24"/>
        </w:rPr>
        <w:t>ijtihad</w:t>
      </w:r>
      <w:r w:rsidRPr="00570082">
        <w:rPr>
          <w:rFonts w:ascii="Georgia" w:hAnsi="Georgia"/>
          <w:szCs w:val="24"/>
        </w:rPr>
        <w:t xml:space="preserve"> seems to have dominated a category of society with a traditional Islamic framework and education, dissatisfied with established </w:t>
      </w:r>
      <w:r w:rsidRPr="00570082">
        <w:rPr>
          <w:rFonts w:ascii="Georgia" w:hAnsi="Georgia"/>
          <w:i/>
          <w:szCs w:val="24"/>
        </w:rPr>
        <w:t>ulama</w:t>
      </w:r>
      <w:r w:rsidRPr="00570082">
        <w:rPr>
          <w:rFonts w:ascii="Georgia" w:hAnsi="Georgia"/>
          <w:szCs w:val="24"/>
        </w:rPr>
        <w:t xml:space="preserve">, and seeking change in response to what they see as the pressures of their age. Often their agenda has been influenced by their own personal desire to replace the </w:t>
      </w:r>
      <w:r w:rsidRPr="00570082">
        <w:rPr>
          <w:rFonts w:ascii="Georgia" w:hAnsi="Georgia"/>
          <w:i/>
          <w:szCs w:val="24"/>
        </w:rPr>
        <w:t>ulama</w:t>
      </w:r>
      <w:r w:rsidRPr="00570082">
        <w:rPr>
          <w:rFonts w:ascii="Georgia" w:hAnsi="Georgia"/>
          <w:szCs w:val="24"/>
        </w:rPr>
        <w:t xml:space="preserve">: whether this was articulated directly or not depended on whether it was necessary to avoid persecution from incumbent authorities. </w:t>
      </w:r>
    </w:p>
    <w:p w14:paraId="079DE3B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F34E7C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Although there is diversity between schools, areas and historical periods, there is considerable emphasis too on what is shared throughout the Islamic world. Within some reform groups, often motivated by 'political factors', this has been influential in calls for mutual toleration and co-operation. However, certain other groups appear violently opposed to reconciliation - going so far as to call other Muslims </w:t>
      </w:r>
      <w:r w:rsidRPr="00570082">
        <w:rPr>
          <w:rFonts w:ascii="Georgia" w:hAnsi="Georgia"/>
          <w:i/>
          <w:szCs w:val="24"/>
        </w:rPr>
        <w:t>'kufr'</w:t>
      </w:r>
      <w:r w:rsidRPr="00570082">
        <w:rPr>
          <w:rFonts w:ascii="Georgia" w:hAnsi="Georgia"/>
          <w:szCs w:val="24"/>
        </w:rPr>
        <w:t>.</w:t>
      </w:r>
      <w:r w:rsidRPr="00570082">
        <w:rPr>
          <w:rStyle w:val="EndnoteReference"/>
          <w:rFonts w:ascii="Georgia" w:hAnsi="Georgia"/>
          <w:szCs w:val="24"/>
        </w:rPr>
        <w:endnoteReference w:id="90"/>
      </w:r>
    </w:p>
    <w:p w14:paraId="3BAC750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212DFD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diversity within Islam is reflected in the different environments and circumstances in which </w:t>
      </w:r>
      <w:r w:rsidRPr="00570082">
        <w:rPr>
          <w:rFonts w:ascii="Georgia" w:hAnsi="Georgia"/>
          <w:i/>
          <w:szCs w:val="24"/>
        </w:rPr>
        <w:t>ijtihad</w:t>
      </w:r>
      <w:r w:rsidRPr="00570082">
        <w:rPr>
          <w:rFonts w:ascii="Georgia" w:hAnsi="Georgia"/>
          <w:szCs w:val="24"/>
        </w:rPr>
        <w:t xml:space="preserve"> was propounded as one possible solution, and in the degrees of success and resistance encountered. It forms a reference point and potential alternative for contemporary Muslim societies dealing with issues of importance. Their analyses of Islamic history will demonstrate a degree of common ground between themselves and previous Islamic societies, and an element of continuity in striving to interpret the Qur'an and </w:t>
      </w:r>
      <w:r w:rsidRPr="00570082">
        <w:rPr>
          <w:rFonts w:ascii="Georgia" w:hAnsi="Georgia"/>
          <w:i/>
          <w:szCs w:val="24"/>
        </w:rPr>
        <w:t xml:space="preserve">Hadith </w:t>
      </w:r>
      <w:r w:rsidRPr="00570082">
        <w:rPr>
          <w:rFonts w:ascii="Georgia" w:hAnsi="Georgia"/>
          <w:szCs w:val="24"/>
        </w:rPr>
        <w:t>in a way they see as correct, whether that interpretation has the complete uniformity and 'orthodoxy' sought of certain schools or not. Observers, both from within and outside of the Islamic world, should reflect on whether calls for a single '</w:t>
      </w:r>
      <w:r w:rsidRPr="00570082">
        <w:rPr>
          <w:rFonts w:ascii="Georgia" w:hAnsi="Georgia"/>
          <w:i/>
          <w:szCs w:val="24"/>
        </w:rPr>
        <w:t>ummah</w:t>
      </w:r>
      <w:r w:rsidRPr="00570082">
        <w:rPr>
          <w:rFonts w:ascii="Georgia" w:hAnsi="Georgia"/>
          <w:szCs w:val="24"/>
        </w:rPr>
        <w:t xml:space="preserve"> cloud the real political-religious issue facing the Islamic world - pragmatic interpretation of Islam in the light of modern conditions. </w:t>
      </w:r>
    </w:p>
    <w:p w14:paraId="09231C5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3023302" w14:textId="77777777" w:rsidR="00FF00AF" w:rsidRDefault="00E82E7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Pr>
          <w:rFonts w:ascii="Georgia" w:hAnsi="Georgia"/>
          <w:b/>
          <w:szCs w:val="24"/>
        </w:rPr>
        <w:t>Suggested</w:t>
      </w:r>
      <w:r w:rsidR="00FF00AF" w:rsidRPr="00570082">
        <w:rPr>
          <w:rFonts w:ascii="Georgia" w:hAnsi="Georgia"/>
          <w:b/>
          <w:szCs w:val="24"/>
        </w:rPr>
        <w:t xml:space="preserve"> Reading </w:t>
      </w:r>
    </w:p>
    <w:p w14:paraId="266B9691" w14:textId="77777777" w:rsidR="00E82E7F" w:rsidRPr="00570082" w:rsidRDefault="00E82E7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087BED0E" w14:textId="77777777" w:rsidR="00FF00AF" w:rsidRPr="00570082" w:rsidRDefault="00FF00AF" w:rsidP="00FF00AF">
      <w:pPr>
        <w:ind w:left="1080"/>
        <w:rPr>
          <w:rFonts w:ascii="Georgia" w:hAnsi="Georgia"/>
          <w:szCs w:val="24"/>
        </w:rPr>
      </w:pPr>
      <w:r w:rsidRPr="00570082">
        <w:rPr>
          <w:rFonts w:ascii="Georgia" w:hAnsi="Georgia"/>
          <w:szCs w:val="24"/>
        </w:rPr>
        <w:t>B.A. Roberson, ‘The Shaping of the Current Islamic Revolution’ chapter in B.A. Roberson (edito</w:t>
      </w:r>
      <w:r>
        <w:rPr>
          <w:rFonts w:ascii="Georgia" w:hAnsi="Georgia"/>
          <w:szCs w:val="24"/>
        </w:rPr>
        <w:t xml:space="preserve">r), </w:t>
      </w:r>
      <w:r w:rsidRPr="0066742B">
        <w:rPr>
          <w:rFonts w:ascii="Georgia" w:hAnsi="Georgia"/>
          <w:i/>
          <w:szCs w:val="24"/>
        </w:rPr>
        <w:t>Shaping the Current Islamic Revolution</w:t>
      </w:r>
      <w:r>
        <w:rPr>
          <w:rFonts w:ascii="Georgia" w:hAnsi="Georgia"/>
          <w:szCs w:val="24"/>
        </w:rPr>
        <w:t>, (Portland &amp; London: Frank Cass, 2003)</w:t>
      </w:r>
    </w:p>
    <w:p w14:paraId="1541E44A" w14:textId="77777777" w:rsidR="00FF00AF"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BDFB92F" w14:textId="77777777" w:rsidR="00FF00AF"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Robert W. Hefner, ‘Modernity and the Remaking of Muslim Politics’, chapter in </w:t>
      </w:r>
      <w:r w:rsidRPr="00D21E93">
        <w:rPr>
          <w:rFonts w:ascii="Georgia" w:hAnsi="Georgia"/>
          <w:i/>
          <w:szCs w:val="24"/>
        </w:rPr>
        <w:t>Remaking Muslim Politics</w:t>
      </w:r>
      <w:r w:rsidRPr="00570082">
        <w:rPr>
          <w:rFonts w:ascii="Georgia" w:hAnsi="Georgia"/>
          <w:szCs w:val="24"/>
        </w:rPr>
        <w:t xml:space="preserve"> (Princeton &amp; Oxford: Princeton University Press, 2005)</w:t>
      </w:r>
    </w:p>
    <w:p w14:paraId="4CD023AD" w14:textId="77777777" w:rsidR="0053109A" w:rsidRDefault="0053109A"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7F573F2" w14:textId="77777777" w:rsidR="0053109A" w:rsidRPr="00570082" w:rsidRDefault="0053109A"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bookmarkStart w:id="0" w:name="_GoBack"/>
      <w:bookmarkEnd w:id="0"/>
    </w:p>
    <w:p w14:paraId="70D012CB" w14:textId="77777777" w:rsidR="00FF00AF" w:rsidRPr="00570082" w:rsidRDefault="00FF00AF" w:rsidP="00FF00AF">
      <w:pPr>
        <w:pStyle w:val="Heading1"/>
        <w:ind w:left="1080"/>
        <w:jc w:val="left"/>
        <w:rPr>
          <w:rFonts w:ascii="Georgia" w:hAnsi="Georgia"/>
          <w:szCs w:val="24"/>
        </w:rPr>
      </w:pPr>
    </w:p>
    <w:p w14:paraId="796DE3F6" w14:textId="77777777" w:rsidR="00FF00AF" w:rsidRPr="00570082" w:rsidRDefault="00FF00AF" w:rsidP="00FF00AF">
      <w:pPr>
        <w:pStyle w:val="Heading1"/>
        <w:ind w:left="1080"/>
        <w:jc w:val="left"/>
        <w:rPr>
          <w:rFonts w:ascii="Georgia" w:hAnsi="Georgia"/>
          <w:i w:val="0"/>
          <w:szCs w:val="24"/>
        </w:rPr>
      </w:pPr>
      <w:r w:rsidRPr="00570082">
        <w:rPr>
          <w:rFonts w:ascii="Georgia" w:hAnsi="Georgia"/>
          <w:i w:val="0"/>
          <w:szCs w:val="24"/>
        </w:rPr>
        <w:t>Module Activity</w:t>
      </w:r>
    </w:p>
    <w:p w14:paraId="07CF5C11" w14:textId="77777777" w:rsidR="00FF00AF" w:rsidRPr="00570082" w:rsidRDefault="00FF00AF" w:rsidP="00FF00AF">
      <w:pPr>
        <w:ind w:left="1080"/>
        <w:rPr>
          <w:rFonts w:ascii="Georgia" w:hAnsi="Georgia"/>
          <w:szCs w:val="24"/>
        </w:rPr>
      </w:pPr>
    </w:p>
    <w:p w14:paraId="390BA9DB" w14:textId="77777777" w:rsidR="00FF00AF" w:rsidRPr="00570082" w:rsidRDefault="00FF00AF" w:rsidP="00FF00AF">
      <w:pPr>
        <w:pStyle w:val="BodyText"/>
        <w:ind w:left="1080"/>
        <w:rPr>
          <w:rFonts w:ascii="Georgia" w:hAnsi="Georgia"/>
          <w:szCs w:val="24"/>
        </w:rPr>
      </w:pPr>
      <w:r w:rsidRPr="00570082">
        <w:rPr>
          <w:rFonts w:ascii="Georgia" w:hAnsi="Georgia"/>
          <w:szCs w:val="24"/>
        </w:rPr>
        <w:t>You are advised to read the set book in its entirety at this point in the module, before proceeding with other materials, or any essay work.</w:t>
      </w:r>
      <w:r>
        <w:rPr>
          <w:rFonts w:ascii="Georgia" w:hAnsi="Georgia"/>
          <w:szCs w:val="24"/>
        </w:rPr>
        <w:t xml:space="preserve"> Ensure that you make notes of the key themes, so that you can refer to them in your later work.</w:t>
      </w:r>
      <w:r w:rsidRPr="00570082">
        <w:rPr>
          <w:rFonts w:ascii="Georgia" w:hAnsi="Georgia"/>
          <w:szCs w:val="24"/>
        </w:rPr>
        <w:t xml:space="preserve">  </w:t>
      </w:r>
    </w:p>
    <w:p w14:paraId="0F7FFA72" w14:textId="77777777" w:rsidR="001F2359" w:rsidRDefault="00FF00AF" w:rsidP="00FF00AF">
      <w:r w:rsidRPr="00570082">
        <w:rPr>
          <w:rFonts w:ascii="Georgia" w:hAnsi="Georgia"/>
          <w:szCs w:val="24"/>
        </w:rPr>
        <w:br w:type="page"/>
      </w:r>
    </w:p>
    <w:sectPr w:rsidR="001F2359" w:rsidSect="00012EF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3F77D8" w14:textId="77777777" w:rsidR="00FF00AF" w:rsidRDefault="00FF00AF" w:rsidP="00FF00AF">
      <w:r>
        <w:separator/>
      </w:r>
    </w:p>
  </w:endnote>
  <w:endnote w:type="continuationSeparator" w:id="0">
    <w:p w14:paraId="4490154E" w14:textId="77777777" w:rsidR="00FF00AF" w:rsidRDefault="00FF00AF" w:rsidP="00FF00AF">
      <w:r>
        <w:continuationSeparator/>
      </w:r>
    </w:p>
  </w:endnote>
  <w:endnote w:id="1">
    <w:p w14:paraId="78C34F66"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The Oxford Minidictionary 1981, 1986 p 372</w:t>
      </w:r>
    </w:p>
  </w:endnote>
  <w:endnote w:id="2">
    <w:p w14:paraId="77C9F8F5"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Wehr, Hans, </w:t>
      </w:r>
      <w:r w:rsidRPr="005A1597">
        <w:rPr>
          <w:rFonts w:ascii="Georgia" w:hAnsi="Georgia"/>
          <w:i/>
          <w:sz w:val="20"/>
        </w:rPr>
        <w:t>A Dictionary of Modern Written Arabic</w:t>
      </w:r>
      <w:r w:rsidRPr="005A1597">
        <w:rPr>
          <w:rFonts w:ascii="Georgia" w:hAnsi="Georgia"/>
          <w:sz w:val="20"/>
        </w:rPr>
        <w:t>, Edited by J Milton Cowan, (New York: Spoken Language Services, Inc. 1976 Third Edition) p 114</w:t>
      </w:r>
    </w:p>
  </w:endnote>
  <w:endnote w:id="3">
    <w:p w14:paraId="1A60C76B" w14:textId="77777777"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It is proposed here to follow convention, and use the word 'reform', quotation marks having been omitted for aesthetic rather than ideological reasons.</w:t>
      </w:r>
    </w:p>
    <w:p w14:paraId="0DCF0374" w14:textId="77777777"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4">
    <w:p w14:paraId="59C439BA" w14:textId="77777777"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Certain pre-Muhammad Prophets have influence, but not on a universal basis of every action they undertook, but only on a selective basis linked to the portion of their exploits recorded within the Qur'an: the Torah and Bible are secondary sources.</w:t>
      </w:r>
    </w:p>
  </w:endnote>
  <w:endnote w:id="5">
    <w:p w14:paraId="57E78470"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 xml:space="preserve">Discussed in Mawdudi, Vol. I, p 20-25. Also see Muhammad Ibrahim H.I. Surty, </w:t>
      </w:r>
      <w:r w:rsidRPr="005A1597">
        <w:rPr>
          <w:rFonts w:ascii="Georgia" w:hAnsi="Georgia"/>
          <w:i/>
          <w:sz w:val="20"/>
        </w:rPr>
        <w:t xml:space="preserve">A Course in The Science of Reciting the Qur'an </w:t>
      </w:r>
      <w:r w:rsidRPr="005A1597">
        <w:rPr>
          <w:rFonts w:ascii="Georgia" w:hAnsi="Georgia"/>
          <w:sz w:val="20"/>
        </w:rPr>
        <w:t>(Leicester: The Islamic Foundation 1988, Revised Edition 1992) p 18-22</w:t>
      </w:r>
    </w:p>
  </w:endnote>
  <w:endnote w:id="6">
    <w:p w14:paraId="67D09DCB"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p w14:paraId="49425E2C"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The Qur'an, (Abdullah Yusuf Ali trans. – henceforth ‘A’) 2:213</w:t>
      </w:r>
    </w:p>
    <w:p w14:paraId="12238744"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7">
    <w:p w14:paraId="780907E7"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The Qur'an (A) 7:188</w:t>
      </w:r>
    </w:p>
  </w:endnote>
  <w:endnote w:id="8">
    <w:p w14:paraId="0D811EB5"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Boumrane, Chikh, Hanbalism et Wahhabisme in Bouamrane, Chikh, and Louis Gardet, </w:t>
      </w:r>
      <w:r w:rsidRPr="005A1597">
        <w:rPr>
          <w:rFonts w:ascii="Georgia" w:hAnsi="Georgia"/>
          <w:i/>
          <w:sz w:val="20"/>
        </w:rPr>
        <w:t>Panorma de la pensee islamique</w:t>
      </w:r>
      <w:r w:rsidRPr="005A1597">
        <w:rPr>
          <w:rFonts w:ascii="Georgia" w:hAnsi="Georgia"/>
          <w:sz w:val="20"/>
        </w:rPr>
        <w:t xml:space="preserve"> (Paris: Editions Sindbad, Paris, 1984) </w:t>
      </w:r>
    </w:p>
  </w:endnote>
  <w:endnote w:id="9">
    <w:p w14:paraId="2D83CDE9"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This is discussed in detail in: Hallaq, Wael B., "Was al-Shafi'i the Master Architect of Islamic Jurisprudence?", </w:t>
      </w:r>
      <w:r w:rsidRPr="005A1597">
        <w:rPr>
          <w:rFonts w:ascii="Georgia" w:hAnsi="Georgia"/>
          <w:i/>
          <w:sz w:val="20"/>
        </w:rPr>
        <w:t>International Journal of Middle East Studies</w:t>
      </w:r>
      <w:r w:rsidRPr="005A1597">
        <w:rPr>
          <w:rFonts w:ascii="Georgia" w:hAnsi="Georgia"/>
          <w:sz w:val="20"/>
        </w:rPr>
        <w:t xml:space="preserve"> 25 (1993): 4, p 587-605 </w:t>
      </w:r>
    </w:p>
  </w:endnote>
  <w:endnote w:id="10">
    <w:p w14:paraId="347F3A6A"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ibid.</w:t>
      </w:r>
    </w:p>
  </w:endnote>
  <w:endnote w:id="11">
    <w:p w14:paraId="0FF0B506"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See Cooper, J., Introduction in al-Tabari, Abu Ja'far Muhammad b. Jarir, The Commentary on the Qur'an (by al-Tabari), being an abridged translation of </w:t>
      </w:r>
      <w:r w:rsidRPr="005A1597">
        <w:rPr>
          <w:rFonts w:ascii="Georgia" w:hAnsi="Georgia"/>
          <w:i/>
          <w:sz w:val="20"/>
        </w:rPr>
        <w:t xml:space="preserve">Jami al-Bayan fi Tafsir al-Qur'an </w:t>
      </w:r>
      <w:r w:rsidRPr="005A1597">
        <w:rPr>
          <w:rFonts w:ascii="Georgia" w:hAnsi="Georgia"/>
          <w:sz w:val="20"/>
        </w:rPr>
        <w:t xml:space="preserve">Volume 1.  Translation, Introduction and Notes by J. Cooper (Oxford: Oxford University Press: Hakim Investment Holdings (M.E.) Ltd. 1987) </w:t>
      </w:r>
    </w:p>
  </w:endnote>
  <w:endnote w:id="12">
    <w:p w14:paraId="205D69B8"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Cooper, J. ibid.  </w:t>
      </w:r>
    </w:p>
  </w:endnote>
  <w:endnote w:id="13">
    <w:p w14:paraId="3AAD76B6"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Hallaq, Wael B., </w:t>
      </w:r>
      <w:r w:rsidRPr="005A1597">
        <w:rPr>
          <w:rFonts w:ascii="Georgia" w:hAnsi="Georgia"/>
          <w:i/>
          <w:sz w:val="20"/>
        </w:rPr>
        <w:t>The Gate of Ijtihad: A Study in Islamic Legal History</w:t>
      </w:r>
      <w:r w:rsidRPr="005A1597">
        <w:rPr>
          <w:rFonts w:ascii="Georgia" w:hAnsi="Georgia"/>
          <w:sz w:val="20"/>
        </w:rPr>
        <w:t xml:space="preserve"> (Ph.D. University of Washington 1983) p 45-46 </w:t>
      </w:r>
    </w:p>
  </w:endnote>
  <w:endnote w:id="14">
    <w:p w14:paraId="2BAFE6CE"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Encyclopedia of Islam, Vol. II., Watt, 1038-9</w:t>
      </w:r>
    </w:p>
  </w:endnote>
  <w:endnote w:id="15">
    <w:p w14:paraId="163639A4"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Bagley, F R C, Introduction, in: </w:t>
      </w:r>
      <w:r w:rsidRPr="005A1597">
        <w:rPr>
          <w:rFonts w:ascii="Georgia" w:hAnsi="Georgia"/>
          <w:i/>
          <w:sz w:val="20"/>
        </w:rPr>
        <w:t>Ghazali's Book of Counsel for Kings</w:t>
      </w:r>
      <w:r w:rsidRPr="005A1597">
        <w:rPr>
          <w:rFonts w:ascii="Georgia" w:hAnsi="Georgia"/>
          <w:sz w:val="20"/>
        </w:rPr>
        <w:t xml:space="preserve"> (</w:t>
      </w:r>
      <w:r w:rsidRPr="005A1597">
        <w:rPr>
          <w:rFonts w:ascii="Georgia" w:hAnsi="Georgia"/>
          <w:i/>
          <w:sz w:val="20"/>
        </w:rPr>
        <w:t>Nasihat al-muluk)</w:t>
      </w:r>
      <w:r w:rsidRPr="005A1597">
        <w:rPr>
          <w:rFonts w:ascii="Georgia" w:hAnsi="Georgia"/>
          <w:sz w:val="20"/>
        </w:rPr>
        <w:t>, al-Ghazali, Abu Hamid Muhammad b. Muhammad al-Tusi, Translated by F R C Bagley (1964: London: Oxford University Press/University of Durham Publications), xxxiv</w:t>
      </w:r>
    </w:p>
    <w:p w14:paraId="394E0306"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16">
    <w:p w14:paraId="00D6CABC"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al-Ghazali, p 59-60</w:t>
      </w:r>
    </w:p>
  </w:endnote>
  <w:endnote w:id="17">
    <w:p w14:paraId="4B2C41B3"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Bagley, lv</w:t>
      </w:r>
    </w:p>
  </w:endnote>
  <w:endnote w:id="18">
    <w:p w14:paraId="7BE13ABB"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A Hourani, A History of the Arab Peoples p 143</w:t>
      </w:r>
    </w:p>
  </w:endnote>
  <w:endnote w:id="19">
    <w:p w14:paraId="0A9700E9" w14:textId="77777777" w:rsidR="00FF00AF" w:rsidRPr="005A1597" w:rsidRDefault="00FF00AF" w:rsidP="00FF00AF">
      <w:pPr>
        <w:tabs>
          <w:tab w:val="left" w:pos="180"/>
          <w:tab w:val="left" w:pos="720"/>
          <w:tab w:val="left" w:pos="1080"/>
        </w:tabs>
        <w:ind w:left="720"/>
        <w:rPr>
          <w:rFonts w:ascii="Georgia" w:hAnsi="Georgia"/>
          <w:sz w:val="20"/>
        </w:rPr>
      </w:pPr>
    </w:p>
    <w:p w14:paraId="5E0AB08D"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.For example, see: an-Nabahani, Taqiuddin, </w:t>
      </w:r>
      <w:r w:rsidRPr="005A1597">
        <w:rPr>
          <w:rFonts w:ascii="Georgia" w:hAnsi="Georgia"/>
          <w:i/>
          <w:sz w:val="20"/>
        </w:rPr>
        <w:t>The Islamic State</w:t>
      </w:r>
      <w:r w:rsidRPr="005A1597">
        <w:rPr>
          <w:rFonts w:ascii="Georgia" w:hAnsi="Georgia"/>
          <w:sz w:val="20"/>
        </w:rPr>
        <w:t xml:space="preserve"> (London: Al-Khilafah Publications, 1994)</w:t>
      </w:r>
    </w:p>
    <w:p w14:paraId="5B23FD1E"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0">
    <w:p w14:paraId="0EB2575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Bagley, xxxvii</w:t>
      </w:r>
    </w:p>
  </w:endnote>
  <w:endnote w:id="21">
    <w:p w14:paraId="6ACC9C15"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Shah Wali Allah (No Date: Delhi, Ahmadi Press) p 26-29 cited in Khaliq Ahmad Nizami, "The Impact of Ibn Taimiyya on South Asia", </w:t>
      </w:r>
      <w:r w:rsidRPr="005A1597">
        <w:rPr>
          <w:rFonts w:ascii="Georgia" w:hAnsi="Georgia"/>
          <w:i/>
          <w:sz w:val="20"/>
        </w:rPr>
        <w:t>Journal of Islamic Studies</w:t>
      </w:r>
      <w:r w:rsidRPr="005A1597">
        <w:rPr>
          <w:rFonts w:ascii="Georgia" w:hAnsi="Georgia"/>
          <w:sz w:val="20"/>
        </w:rPr>
        <w:t xml:space="preserve"> 1 (1990) p 136</w:t>
      </w:r>
    </w:p>
  </w:endnote>
  <w:endnote w:id="22">
    <w:p w14:paraId="468CD3C7" w14:textId="77777777"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An 'Abbasid caliphate continued in Cairo, maintained by Mamluk sultans, but was not generally recognized.  See: A Hourani, p 143 </w:t>
      </w:r>
    </w:p>
  </w:endnote>
  <w:endnote w:id="23">
    <w:p w14:paraId="23A566C4"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Laoust, Henri</w:t>
      </w:r>
      <w:r w:rsidRPr="005A1597">
        <w:rPr>
          <w:rFonts w:ascii="Georgia" w:hAnsi="Georgia"/>
          <w:i/>
          <w:sz w:val="20"/>
        </w:rPr>
        <w:t>, La Profession de Foi d'ibn Taymiyya: Texte, traduction et commentaire de al W</w:t>
      </w:r>
      <w:r w:rsidRPr="005A1597">
        <w:rPr>
          <w:rFonts w:ascii="Georgia" w:hAnsi="Georgia"/>
          <w:i/>
          <w:sz w:val="20"/>
        </w:rPr>
        <w:sym w:font="Symbol" w:char="F05F"/>
      </w:r>
      <w:r w:rsidRPr="005A1597">
        <w:rPr>
          <w:rFonts w:ascii="Georgia" w:hAnsi="Georgia"/>
          <w:i/>
          <w:sz w:val="20"/>
        </w:rPr>
        <w:t>sitiyya</w:t>
      </w:r>
      <w:r w:rsidRPr="00412776">
        <w:rPr>
          <w:rFonts w:ascii="Georgia" w:hAnsi="Georgia"/>
          <w:sz w:val="20"/>
        </w:rPr>
        <w:t xml:space="preserve"> (No date: Paris: Librairie Orientaliste Paul Geuthner, Bibliotheque d'etudes Islamiques, tome 10), </w:t>
      </w:r>
      <w:r w:rsidRPr="00412776">
        <w:rPr>
          <w:rFonts w:ascii="Georgia" w:hAnsi="Georgia"/>
          <w:sz w:val="20"/>
          <w:u w:val="single"/>
        </w:rPr>
        <w:t>Introduction</w:t>
      </w:r>
    </w:p>
  </w:endnote>
  <w:endnote w:id="24">
    <w:p w14:paraId="1B642F25" w14:textId="77777777"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Pr>
          <w:rFonts w:ascii="Georgia" w:hAnsi="Georgia"/>
          <w:sz w:val="20"/>
        </w:rPr>
        <w:t xml:space="preserve"> </w:t>
      </w:r>
      <w:r w:rsidRPr="00412776">
        <w:rPr>
          <w:rStyle w:val="EndnoteReference"/>
          <w:rFonts w:ascii="Georgia" w:hAnsi="Georgia"/>
          <w:sz w:val="20"/>
        </w:rPr>
        <w:endnoteRef/>
      </w:r>
      <w:r w:rsidRPr="00412776">
        <w:rPr>
          <w:rFonts w:ascii="Georgia" w:hAnsi="Georgia"/>
          <w:sz w:val="20"/>
        </w:rPr>
        <w:tab/>
        <w:t xml:space="preserve">Ibn Taymiyya opposed pantheistic mysticism, such as that practised by Ibn 'Arabi, and the doctrine of </w:t>
      </w:r>
      <w:r w:rsidRPr="00412776">
        <w:rPr>
          <w:rFonts w:ascii="Georgia" w:hAnsi="Georgia"/>
          <w:i/>
          <w:sz w:val="20"/>
        </w:rPr>
        <w:t xml:space="preserve">wahdat al-wujud </w:t>
      </w:r>
      <w:r w:rsidRPr="00412776">
        <w:rPr>
          <w:rFonts w:ascii="Georgia" w:hAnsi="Georgia"/>
          <w:sz w:val="20"/>
        </w:rPr>
        <w:t>(unity of existence) - although Ibn Taymiyya was himself a Sufi. See: Hallaq, Wael B</w:t>
      </w:r>
      <w:r w:rsidRPr="005A1597">
        <w:rPr>
          <w:rFonts w:ascii="Georgia" w:hAnsi="Georgia"/>
          <w:i/>
          <w:sz w:val="20"/>
        </w:rPr>
        <w:t>., Ibn Taymiyya Against the Greek Logicians</w:t>
      </w:r>
      <w:r w:rsidRPr="00412776">
        <w:rPr>
          <w:rFonts w:ascii="Georgia" w:hAnsi="Georgia"/>
          <w:sz w:val="20"/>
        </w:rPr>
        <w:t xml:space="preserve"> (Oxford: Clarendon Press, 1993) </w:t>
      </w:r>
      <w:r w:rsidRPr="00412776">
        <w:rPr>
          <w:rFonts w:ascii="Georgia" w:hAnsi="Georgia"/>
          <w:sz w:val="20"/>
          <w:u w:val="single"/>
        </w:rPr>
        <w:t>Introduction</w:t>
      </w:r>
      <w:r w:rsidRPr="00412776">
        <w:rPr>
          <w:rFonts w:ascii="Georgia" w:hAnsi="Georgia"/>
          <w:sz w:val="20"/>
        </w:rPr>
        <w:t>, especially p xii-xiv</w:t>
      </w:r>
    </w:p>
    <w:p w14:paraId="6D714BEC" w14:textId="77777777"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5">
    <w:p w14:paraId="2E7A8064"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New Encyclopedia of Islam, Vol. III, Henri Laoust, on Ibn Taymiyya, p 953 </w:t>
      </w:r>
    </w:p>
  </w:endnote>
  <w:endnote w:id="26">
    <w:p w14:paraId="2C9C4649" w14:textId="77777777" w:rsidR="00FF00AF" w:rsidRPr="005A1597"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ab/>
      </w:r>
      <w:r w:rsidRPr="005A1597">
        <w:rPr>
          <w:rFonts w:ascii="Georgia" w:hAnsi="Georgia"/>
          <w:sz w:val="20"/>
        </w:rPr>
        <w:t xml:space="preserve">Hallaq, </w:t>
      </w:r>
      <w:r w:rsidRPr="005A1597">
        <w:rPr>
          <w:rFonts w:ascii="Georgia" w:hAnsi="Georgia"/>
          <w:i/>
          <w:sz w:val="20"/>
        </w:rPr>
        <w:t>Against the Greek Logicians</w:t>
      </w:r>
      <w:r w:rsidRPr="005A1597">
        <w:rPr>
          <w:rFonts w:ascii="Georgia" w:hAnsi="Georgia"/>
          <w:sz w:val="20"/>
        </w:rPr>
        <w:t xml:space="preserve">, p xxx-ix for Taymiyya's discussion on the advantages of analogical reasoning over syllogism. </w:t>
      </w:r>
    </w:p>
  </w:endnote>
  <w:endnote w:id="27">
    <w:p w14:paraId="02411CB7"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r>
      <w:r w:rsidRPr="005A1597">
        <w:rPr>
          <w:rFonts w:ascii="Georgia" w:hAnsi="Georgia"/>
          <w:i/>
          <w:sz w:val="20"/>
        </w:rPr>
        <w:t>Taqi al-Din Ibn Taymiyya's Jahd al - Qariha fi Tajrid al - Nasiha</w:t>
      </w:r>
      <w:r w:rsidRPr="005A1597">
        <w:rPr>
          <w:rFonts w:ascii="Georgia" w:hAnsi="Georgia"/>
          <w:sz w:val="20"/>
        </w:rPr>
        <w:t xml:space="preserve"> (An Abridgement by Jalal al-Din al-Suyuti), in Hallaq, </w:t>
      </w:r>
      <w:r w:rsidRPr="005A1597">
        <w:rPr>
          <w:rFonts w:ascii="Georgia" w:hAnsi="Georgia"/>
          <w:i/>
          <w:sz w:val="20"/>
        </w:rPr>
        <w:t>Ibn Taymiyya Against the Greek Logicians</w:t>
      </w:r>
      <w:r w:rsidRPr="005A1597">
        <w:rPr>
          <w:rFonts w:ascii="Georgia" w:hAnsi="Georgia"/>
          <w:sz w:val="20"/>
        </w:rPr>
        <w:t xml:space="preserve"> p 32</w:t>
      </w:r>
    </w:p>
  </w:endnote>
  <w:endnote w:id="28">
    <w:p w14:paraId="16F742D1"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Henri Laoust, Essai </w:t>
      </w:r>
      <w:r w:rsidRPr="005A1597">
        <w:rPr>
          <w:rFonts w:ascii="Georgia" w:hAnsi="Georgia"/>
          <w:i/>
          <w:sz w:val="20"/>
        </w:rPr>
        <w:t>sur les doctrines sociales et politiques de Taki-d-Din Ahmad b. Taimiya</w:t>
      </w:r>
      <w:r w:rsidRPr="005A1597">
        <w:rPr>
          <w:rFonts w:ascii="Georgia" w:hAnsi="Georgia"/>
          <w:sz w:val="20"/>
        </w:rPr>
        <w:t xml:space="preserve"> (Cairo: Imprimerie de l'Institute Francais d'Archeologie Orientale 1939) p 578-9</w:t>
      </w:r>
    </w:p>
    <w:p w14:paraId="26CB1775"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9">
    <w:p w14:paraId="584FB194"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Muhyi al-Din ibn'Arabi</w:t>
      </w:r>
      <w:r w:rsidRPr="00412776">
        <w:rPr>
          <w:rFonts w:ascii="Georgia" w:hAnsi="Georgia"/>
          <w:sz w:val="20"/>
          <w:u w:val="single"/>
        </w:rPr>
        <w:t xml:space="preserve"> </w:t>
      </w:r>
      <w:r w:rsidRPr="00412776">
        <w:rPr>
          <w:rFonts w:ascii="Georgia" w:hAnsi="Georgia"/>
          <w:i/>
          <w:sz w:val="20"/>
        </w:rPr>
        <w:t>Fusus al-hikam</w:t>
      </w:r>
      <w:r w:rsidRPr="00412776">
        <w:rPr>
          <w:rFonts w:ascii="Georgia" w:hAnsi="Georgia"/>
          <w:sz w:val="20"/>
        </w:rPr>
        <w:t xml:space="preserve"> </w:t>
      </w:r>
    </w:p>
  </w:endnote>
  <w:endnote w:id="30">
    <w:p w14:paraId="045C5EF3"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The Qur'an, (A) 4</w:t>
      </w:r>
      <w:r w:rsidRPr="005A1597">
        <w:rPr>
          <w:rFonts w:ascii="Georgia" w:hAnsi="Georgia"/>
          <w:sz w:val="20"/>
        </w:rPr>
        <w:t>:94</w:t>
      </w:r>
    </w:p>
  </w:endnote>
  <w:endnote w:id="31">
    <w:p w14:paraId="66B33E2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Ibn Taymiyya in Laoust, </w:t>
      </w:r>
      <w:r w:rsidRPr="005A1597">
        <w:rPr>
          <w:rFonts w:ascii="Georgia" w:hAnsi="Georgia"/>
          <w:i/>
          <w:sz w:val="20"/>
        </w:rPr>
        <w:t>La Profession</w:t>
      </w:r>
      <w:r w:rsidRPr="005A1597">
        <w:rPr>
          <w:rFonts w:ascii="Georgia" w:hAnsi="Georgia"/>
          <w:sz w:val="20"/>
        </w:rPr>
        <w:t>, Tanbihat 288-289, p 75</w:t>
      </w:r>
    </w:p>
  </w:endnote>
  <w:endnote w:id="32">
    <w:p w14:paraId="05637E7D"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Ibn Taymiyya, in: Laoust, </w:t>
      </w:r>
      <w:r w:rsidRPr="005A1597">
        <w:rPr>
          <w:rFonts w:ascii="Georgia" w:hAnsi="Georgia"/>
          <w:i/>
          <w:sz w:val="20"/>
        </w:rPr>
        <w:t>La Profession</w:t>
      </w:r>
      <w:r w:rsidRPr="005A1597">
        <w:rPr>
          <w:rFonts w:ascii="Georgia" w:hAnsi="Georgia"/>
          <w:sz w:val="20"/>
        </w:rPr>
        <w:t>, Tahbihat 330, p 82</w:t>
      </w:r>
    </w:p>
    <w:p w14:paraId="54F8369C"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33">
    <w:p w14:paraId="5153D729"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rPr>
          <w:rFonts w:ascii="Georgia" w:hAnsi="Georgia"/>
          <w:sz w:val="20"/>
        </w:rPr>
      </w:pPr>
      <w:r w:rsidRPr="005A1597">
        <w:rPr>
          <w:rFonts w:ascii="Georgia" w:hAnsi="Georgia"/>
          <w:sz w:val="20"/>
        </w:rPr>
        <w:tab/>
      </w:r>
      <w:r w:rsidRPr="005A1597">
        <w:rPr>
          <w:rFonts w:ascii="Georgia" w:hAnsi="Georgia"/>
          <w:sz w:val="20"/>
        </w:rPr>
        <w:tab/>
      </w: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Hallaq, </w:t>
      </w:r>
      <w:r w:rsidRPr="005A1597">
        <w:rPr>
          <w:rFonts w:ascii="Georgia" w:hAnsi="Georgia"/>
          <w:i/>
          <w:sz w:val="20"/>
        </w:rPr>
        <w:t>Against the Greek Logicians</w:t>
      </w:r>
      <w:r w:rsidRPr="005A1597">
        <w:rPr>
          <w:rFonts w:ascii="Georgia" w:hAnsi="Georgia"/>
          <w:sz w:val="20"/>
        </w:rPr>
        <w:t>, p xlviii</w:t>
      </w:r>
    </w:p>
  </w:endnote>
  <w:endnote w:id="34">
    <w:p w14:paraId="18722D98"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Nizami, Khaliq Ahmad, </w:t>
      </w:r>
      <w:r w:rsidRPr="005A1597">
        <w:rPr>
          <w:rFonts w:ascii="Georgia" w:hAnsi="Georgia"/>
          <w:i/>
          <w:sz w:val="20"/>
        </w:rPr>
        <w:t>The Impact of Ibn Taymiyya on South Asia</w:t>
      </w:r>
      <w:r w:rsidRPr="005A1597">
        <w:rPr>
          <w:rFonts w:ascii="Georgia" w:hAnsi="Georgia"/>
          <w:sz w:val="20"/>
        </w:rPr>
        <w:t xml:space="preserve"> p 129-133</w:t>
      </w:r>
    </w:p>
  </w:endnote>
  <w:endnote w:id="35">
    <w:p w14:paraId="6F4BD0B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Hussain, A M, </w:t>
      </w:r>
      <w:r w:rsidRPr="005A1597">
        <w:rPr>
          <w:rFonts w:ascii="Georgia" w:hAnsi="Georgia"/>
          <w:i/>
          <w:sz w:val="20"/>
        </w:rPr>
        <w:t>Tughluq Dynasty</w:t>
      </w:r>
      <w:r w:rsidRPr="005A1597">
        <w:rPr>
          <w:rFonts w:ascii="Georgia" w:hAnsi="Georgia"/>
          <w:sz w:val="20"/>
        </w:rPr>
        <w:t>, (Calcutta: Thacker Spink, 1963)</w:t>
      </w:r>
    </w:p>
  </w:endnote>
  <w:endnote w:id="36">
    <w:p w14:paraId="4A922A8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132</w:t>
      </w:r>
    </w:p>
  </w:endnote>
  <w:endnote w:id="37">
    <w:p w14:paraId="6475A227"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r>
      <w:r w:rsidRPr="005A1597">
        <w:rPr>
          <w:rFonts w:ascii="Georgia" w:hAnsi="Georgia"/>
          <w:sz w:val="20"/>
        </w:rPr>
        <w:tab/>
        <w:t xml:space="preserve">Bayley, C A, </w:t>
      </w:r>
      <w:r w:rsidRPr="005A1597">
        <w:rPr>
          <w:rFonts w:ascii="Georgia" w:hAnsi="Georgia"/>
          <w:i/>
          <w:sz w:val="20"/>
        </w:rPr>
        <w:t>The New Cambridge History of India II:1. 'Indian Society and the Making of the British Empire'</w:t>
      </w:r>
      <w:r w:rsidRPr="00412776">
        <w:rPr>
          <w:rFonts w:ascii="Georgia" w:hAnsi="Georgia"/>
          <w:sz w:val="20"/>
        </w:rPr>
        <w:t xml:space="preserve"> (Cambridge: Cambridge University Press 1988) p 165-167</w:t>
      </w:r>
    </w:p>
  </w:endnote>
  <w:endnote w:id="38">
    <w:p w14:paraId="0FDAA5B6"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26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Pr>
          <w:rFonts w:ascii="Georgia" w:hAnsi="Georgia"/>
          <w:sz w:val="20"/>
        </w:rPr>
        <w:tab/>
      </w:r>
      <w:r w:rsidRPr="00412776">
        <w:rPr>
          <w:rFonts w:ascii="Georgia" w:hAnsi="Georgia"/>
          <w:sz w:val="20"/>
        </w:rPr>
        <w:t>Baljon, J M S, "Religion and Thought of Shah Wali Allah Dihlawi 1703-1762 (Leiden: EJ Brill 1986) p 1-17</w:t>
      </w:r>
    </w:p>
  </w:endnote>
  <w:endnote w:id="39">
    <w:p w14:paraId="5213EE0A" w14:textId="77777777" w:rsidR="00FF00AF" w:rsidRPr="00412776" w:rsidRDefault="00FF00AF" w:rsidP="00FF00AF">
      <w:pPr>
        <w:tabs>
          <w:tab w:val="left" w:pos="-3600"/>
          <w:tab w:val="left" w:pos="-2880"/>
          <w:tab w:val="left" w:pos="-2160"/>
          <w:tab w:val="left" w:pos="-1728"/>
          <w:tab w:val="left" w:pos="-1440"/>
          <w:tab w:val="left" w:pos="180"/>
          <w:tab w:val="left" w:pos="720"/>
          <w:tab w:val="left" w:pos="126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Baljon, p 201</w:t>
      </w:r>
    </w:p>
  </w:endnote>
  <w:endnote w:id="40">
    <w:p w14:paraId="619FD4F1" w14:textId="77777777" w:rsidR="00FF00AF" w:rsidRPr="00412776" w:rsidRDefault="00FF00AF" w:rsidP="00FF00AF">
      <w:pPr>
        <w:tabs>
          <w:tab w:val="left" w:pos="-3600"/>
          <w:tab w:val="left" w:pos="-2880"/>
          <w:tab w:val="left" w:pos="-2160"/>
          <w:tab w:val="left" w:pos="-1728"/>
          <w:tab w:val="left" w:pos="-1440"/>
          <w:tab w:val="left" w:pos="180"/>
          <w:tab w:val="left" w:pos="720"/>
          <w:tab w:val="left" w:pos="126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Tafhim</w:t>
      </w:r>
      <w:r>
        <w:rPr>
          <w:rFonts w:ascii="Georgia" w:hAnsi="Georgia"/>
          <w:i/>
          <w:sz w:val="20"/>
        </w:rPr>
        <w:t>a</w:t>
      </w:r>
      <w:r w:rsidRPr="00412776">
        <w:rPr>
          <w:rFonts w:ascii="Georgia" w:hAnsi="Georgia"/>
          <w:i/>
          <w:sz w:val="20"/>
        </w:rPr>
        <w:t>t-i Ilahiyya</w:t>
      </w:r>
      <w:r w:rsidRPr="00412776">
        <w:rPr>
          <w:rFonts w:ascii="Georgia" w:hAnsi="Georgia"/>
          <w:sz w:val="20"/>
        </w:rPr>
        <w:t>, (Dabhel 1936), II, 248, in Baljon, p 18</w:t>
      </w:r>
    </w:p>
  </w:endnote>
  <w:endnote w:id="41">
    <w:p w14:paraId="4BB8FD30" w14:textId="77777777" w:rsidR="00FF00AF" w:rsidRPr="00412776" w:rsidRDefault="00FF00AF" w:rsidP="00FF00AF">
      <w:pPr>
        <w:tabs>
          <w:tab w:val="left" w:pos="180"/>
          <w:tab w:val="left" w:pos="720"/>
          <w:tab w:val="left" w:pos="1260"/>
        </w:tabs>
        <w:ind w:left="1080" w:hanging="360"/>
        <w:rPr>
          <w:rFonts w:ascii="Georgia" w:hAnsi="Georgia"/>
          <w:sz w:val="20"/>
        </w:rPr>
      </w:pPr>
    </w:p>
    <w:p w14:paraId="12D5F9E6"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Shah Wali Allah,</w:t>
      </w:r>
      <w:r w:rsidRPr="00412776">
        <w:rPr>
          <w:rFonts w:ascii="Georgia" w:hAnsi="Georgia"/>
          <w:i/>
          <w:sz w:val="20"/>
        </w:rPr>
        <w:t xml:space="preserve"> Hujjat Allah al-baligha </w:t>
      </w:r>
      <w:r w:rsidRPr="00412776">
        <w:rPr>
          <w:rFonts w:ascii="Georgia" w:hAnsi="Georgia"/>
          <w:sz w:val="20"/>
        </w:rPr>
        <w:t>Delhi, 1954/5) I, 3, in Baljon, 18</w:t>
      </w:r>
    </w:p>
    <w:p w14:paraId="35E0AFC4"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p>
  </w:endnote>
  <w:endnote w:id="42">
    <w:p w14:paraId="07C3C96C"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Walli Allah, </w:t>
      </w:r>
      <w:r w:rsidRPr="00AC1098">
        <w:rPr>
          <w:rFonts w:ascii="Georgia" w:hAnsi="Georgia"/>
          <w:i/>
          <w:sz w:val="20"/>
        </w:rPr>
        <w:t>al-Juz' al-latif</w:t>
      </w:r>
      <w:r w:rsidRPr="00412776">
        <w:rPr>
          <w:rFonts w:ascii="Georgia" w:hAnsi="Georgia"/>
          <w:sz w:val="20"/>
        </w:rPr>
        <w:t xml:space="preserve">, 28, in Baljon p 18-19 </w:t>
      </w:r>
    </w:p>
  </w:endnote>
  <w:endnote w:id="43">
    <w:p w14:paraId="7D12F831"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r>
      <w:r w:rsidRPr="00412776">
        <w:rPr>
          <w:rFonts w:ascii="Georgia" w:hAnsi="Georgia"/>
          <w:i/>
          <w:sz w:val="20"/>
        </w:rPr>
        <w:t>Hujjat Allah al-balagha</w:t>
      </w:r>
      <w:r w:rsidRPr="00412776">
        <w:rPr>
          <w:rFonts w:ascii="Georgia" w:hAnsi="Georgia"/>
          <w:sz w:val="20"/>
        </w:rPr>
        <w:t>, I, 123 f., in Baljon, p 148</w:t>
      </w:r>
    </w:p>
  </w:endnote>
  <w:endnote w:id="44">
    <w:p w14:paraId="5BC86656"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Shah Wali Allah, </w:t>
      </w:r>
      <w:r w:rsidRPr="00412776">
        <w:rPr>
          <w:rFonts w:ascii="Georgia" w:hAnsi="Georgia"/>
          <w:i/>
          <w:sz w:val="20"/>
        </w:rPr>
        <w:t>Hujjat Allah al-baligha</w:t>
      </w:r>
      <w:r w:rsidRPr="00412776">
        <w:rPr>
          <w:rFonts w:ascii="Georgia" w:hAnsi="Georgia"/>
          <w:sz w:val="20"/>
        </w:rPr>
        <w:t xml:space="preserve">, I, 120 ff, in Baljon, p 146; Shah Wali Allah, </w:t>
      </w:r>
      <w:r w:rsidRPr="00412776">
        <w:rPr>
          <w:rFonts w:ascii="Georgia" w:hAnsi="Georgia"/>
          <w:i/>
          <w:sz w:val="20"/>
        </w:rPr>
        <w:t>Tafhimat-i Ilahiyya</w:t>
      </w:r>
      <w:r w:rsidRPr="00412776">
        <w:rPr>
          <w:rFonts w:ascii="Georgia" w:hAnsi="Georgia"/>
          <w:sz w:val="20"/>
        </w:rPr>
        <w:t>, II, Baljon, 135</w:t>
      </w:r>
    </w:p>
  </w:endnote>
  <w:endnote w:id="45">
    <w:p w14:paraId="320AD8DF"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AC1098">
        <w:rPr>
          <w:rFonts w:ascii="Georgia" w:hAnsi="Georgia"/>
          <w:i/>
          <w:sz w:val="20"/>
        </w:rPr>
        <w:t>al-Musaffa</w:t>
      </w:r>
      <w:r w:rsidRPr="00412776">
        <w:rPr>
          <w:rFonts w:ascii="Georgia" w:hAnsi="Georgia"/>
          <w:sz w:val="20"/>
        </w:rPr>
        <w:t>, Delhi 1906 12, in Baljon, p 153</w:t>
      </w:r>
    </w:p>
  </w:endnote>
  <w:endnote w:id="46">
    <w:p w14:paraId="652E9E81"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al-Musawwa' min ahadith al-Muwatta'</w:t>
      </w:r>
      <w:r w:rsidRPr="00412776">
        <w:rPr>
          <w:rFonts w:ascii="Georgia" w:hAnsi="Georgia"/>
          <w:sz w:val="20"/>
        </w:rPr>
        <w:t>, Makkah 1932-4, I, 5, Baljon p 153</w:t>
      </w:r>
    </w:p>
  </w:endnote>
  <w:endnote w:id="47">
    <w:p w14:paraId="48839D3E"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 xml:space="preserve">Hama'at </w:t>
      </w:r>
      <w:r w:rsidRPr="00412776">
        <w:rPr>
          <w:rFonts w:ascii="Georgia" w:hAnsi="Georgia"/>
          <w:sz w:val="20"/>
        </w:rPr>
        <w:t>II in Baljon, p 202</w:t>
      </w:r>
    </w:p>
  </w:endnote>
  <w:endnote w:id="48">
    <w:p w14:paraId="7C344051"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Shah Wali Allah, </w:t>
      </w:r>
      <w:r w:rsidRPr="00412776">
        <w:rPr>
          <w:rFonts w:ascii="Georgia" w:hAnsi="Georgia"/>
          <w:i/>
          <w:sz w:val="20"/>
        </w:rPr>
        <w:t xml:space="preserve">Fuyud al-Haramayn, </w:t>
      </w:r>
      <w:r w:rsidRPr="00412776">
        <w:rPr>
          <w:rFonts w:ascii="Georgia" w:hAnsi="Georgia"/>
          <w:sz w:val="20"/>
        </w:rPr>
        <w:t>40th Vision</w:t>
      </w:r>
    </w:p>
  </w:endnote>
  <w:endnote w:id="49">
    <w:p w14:paraId="7B9459BC"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w:t>
      </w:r>
      <w:r w:rsidRPr="005A1597">
        <w:rPr>
          <w:rFonts w:ascii="Georgia" w:hAnsi="Georgia"/>
          <w:sz w:val="20"/>
        </w:rPr>
        <w:t xml:space="preserve">Allah, </w:t>
      </w:r>
      <w:r w:rsidRPr="005A1597">
        <w:rPr>
          <w:rFonts w:ascii="Georgia" w:hAnsi="Georgia"/>
          <w:i/>
          <w:sz w:val="20"/>
        </w:rPr>
        <w:t>Tafhimat-i Ilahiyya</w:t>
      </w:r>
      <w:r w:rsidRPr="005A1597">
        <w:rPr>
          <w:rFonts w:ascii="Georgia" w:hAnsi="Georgia"/>
          <w:sz w:val="20"/>
        </w:rPr>
        <w:t xml:space="preserve"> Dabhel 1936, in Baljon p 202</w:t>
      </w:r>
    </w:p>
  </w:endnote>
  <w:endnote w:id="50">
    <w:p w14:paraId="05437A4F"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Shah Wali Allah, </w:t>
      </w:r>
      <w:r w:rsidRPr="005A1597">
        <w:rPr>
          <w:rFonts w:ascii="Georgia" w:hAnsi="Georgia"/>
          <w:i/>
          <w:sz w:val="20"/>
        </w:rPr>
        <w:t>Tafhimat-i Ilahiyya</w:t>
      </w:r>
      <w:r w:rsidRPr="005A1597">
        <w:rPr>
          <w:rFonts w:ascii="Georgia" w:hAnsi="Georgia"/>
          <w:sz w:val="20"/>
        </w:rPr>
        <w:t>, II, 244, Baljon p 203</w:t>
      </w:r>
    </w:p>
  </w:endnote>
  <w:endnote w:id="51">
    <w:p w14:paraId="08B7E9AA"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Shah Wali Allah,</w:t>
      </w:r>
      <w:r w:rsidRPr="005A1597">
        <w:rPr>
          <w:rFonts w:ascii="Georgia" w:hAnsi="Georgia"/>
          <w:i/>
          <w:sz w:val="20"/>
        </w:rPr>
        <w:t xml:space="preserve"> Hujjat Allah al-baligha</w:t>
      </w:r>
      <w:r w:rsidRPr="005A1597">
        <w:rPr>
          <w:rFonts w:ascii="Georgia" w:hAnsi="Georgia"/>
          <w:sz w:val="20"/>
        </w:rPr>
        <w:t xml:space="preserve">, 9 f.n </w:t>
      </w:r>
      <w:r w:rsidRPr="005A1597">
        <w:rPr>
          <w:rFonts w:ascii="Georgia" w:hAnsi="Georgia"/>
          <w:sz w:val="20"/>
        </w:rPr>
        <w:tab/>
      </w:r>
    </w:p>
  </w:endnote>
  <w:endnote w:id="52">
    <w:p w14:paraId="128BE4BE" w14:textId="77777777"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Fonts w:ascii="Georgia" w:hAnsi="Georgia"/>
          <w:sz w:val="20"/>
        </w:rPr>
        <w:t xml:space="preserve"> </w:t>
      </w:r>
      <w:r w:rsidRPr="005A1597">
        <w:rPr>
          <w:rStyle w:val="EndnoteReference"/>
          <w:rFonts w:ascii="Georgia" w:hAnsi="Georgia"/>
          <w:sz w:val="20"/>
        </w:rPr>
        <w:endnoteRef/>
      </w:r>
      <w:r w:rsidRPr="005A1597">
        <w:rPr>
          <w:rFonts w:ascii="Georgia" w:hAnsi="Georgia"/>
          <w:sz w:val="20"/>
        </w:rPr>
        <w:t xml:space="preserve"> The fortunes of the Sa'ud family revived in 1924, and by 1926 'Abd al-Aziz Ibn Sa'ud was proclaimed King.</w:t>
      </w:r>
    </w:p>
  </w:endnote>
  <w:endnote w:id="53">
    <w:p w14:paraId="1BD31987" w14:textId="77777777"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Defined as "professors of the unity of God", in Commins, p 21</w:t>
      </w:r>
    </w:p>
  </w:endnote>
  <w:endnote w:id="54">
    <w:p w14:paraId="0C8714FB"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Bouamrane &amp; Gardet, </w:t>
      </w:r>
      <w:r w:rsidRPr="005A1597">
        <w:rPr>
          <w:rFonts w:ascii="Georgia" w:hAnsi="Georgia"/>
          <w:i/>
          <w:sz w:val="20"/>
        </w:rPr>
        <w:t>Panorama de la pensee islamique</w:t>
      </w:r>
      <w:r w:rsidRPr="005A1597">
        <w:rPr>
          <w:rFonts w:ascii="Georgia" w:hAnsi="Georgia"/>
          <w:sz w:val="20"/>
        </w:rPr>
        <w:t xml:space="preserve"> p 170-171</w:t>
      </w:r>
    </w:p>
  </w:endnote>
  <w:endnote w:id="55">
    <w:p w14:paraId="353C98DB" w14:textId="77777777"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Fonts w:ascii="Georgia" w:hAnsi="Georgia"/>
          <w:sz w:val="20"/>
        </w:rPr>
        <w:t xml:space="preserve"> </w:t>
      </w:r>
      <w:r w:rsidRPr="005A1597">
        <w:rPr>
          <w:rStyle w:val="EndnoteReference"/>
          <w:rFonts w:ascii="Georgia" w:hAnsi="Georgia"/>
          <w:sz w:val="20"/>
        </w:rPr>
        <w:endnoteRef/>
      </w:r>
      <w:r w:rsidRPr="005A1597">
        <w:rPr>
          <w:rFonts w:ascii="Georgia" w:hAnsi="Georgia"/>
          <w:sz w:val="20"/>
        </w:rPr>
        <w:t xml:space="preserve"> The prestige of Mecca in the Islamic world, and the Sa'ud family as its custodians, has continued to promote Wahhabi to this day - even though the Sa'ud family itself has come into criticism by other groups of 'reformers' of Islam, for example through their spending programmes of 'petro-dollars'.</w:t>
      </w:r>
    </w:p>
  </w:endnote>
  <w:endnote w:id="56">
    <w:p w14:paraId="70C0E1D2" w14:textId="77777777" w:rsidR="00FF00AF" w:rsidRPr="005A1597"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Martin, B.G., </w:t>
      </w:r>
      <w:r w:rsidRPr="005A1597">
        <w:rPr>
          <w:rFonts w:ascii="Georgia" w:hAnsi="Georgia"/>
          <w:i/>
          <w:sz w:val="20"/>
        </w:rPr>
        <w:t>Muslim Brotherhoods in Nineteenth Century Africa</w:t>
      </w:r>
      <w:r w:rsidRPr="005A1597">
        <w:rPr>
          <w:rFonts w:ascii="Georgia" w:hAnsi="Georgia"/>
          <w:sz w:val="20"/>
        </w:rPr>
        <w:t xml:space="preserve">  (London: Cambridge University Press, 1976) p 110</w:t>
      </w:r>
    </w:p>
  </w:endnote>
  <w:endnote w:id="57">
    <w:p w14:paraId="32A43472"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Robinson, F R C, </w:t>
      </w:r>
      <w:r w:rsidRPr="005A1597">
        <w:rPr>
          <w:rFonts w:ascii="Georgia" w:hAnsi="Georgia"/>
          <w:i/>
          <w:sz w:val="20"/>
        </w:rPr>
        <w:t>Farangi Mahall</w:t>
      </w:r>
      <w:r w:rsidRPr="005A1597">
        <w:rPr>
          <w:rFonts w:ascii="Georgia" w:hAnsi="Georgia"/>
          <w:sz w:val="20"/>
        </w:rPr>
        <w:t xml:space="preserve"> in </w:t>
      </w:r>
      <w:r w:rsidRPr="005A1597">
        <w:rPr>
          <w:rFonts w:ascii="Georgia" w:hAnsi="Georgia"/>
          <w:i/>
          <w:sz w:val="20"/>
        </w:rPr>
        <w:t>The New Encyclopedia of Islam</w:t>
      </w:r>
      <w:r w:rsidRPr="005A1597">
        <w:rPr>
          <w:rFonts w:ascii="Georgia" w:hAnsi="Georgia"/>
          <w:sz w:val="20"/>
        </w:rPr>
        <w:t>, Supplement Fascicules 5-6 (1982: Leiden) p 292</w:t>
      </w:r>
    </w:p>
  </w:endnote>
  <w:endnote w:id="58">
    <w:p w14:paraId="607CB654"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Robinson ibid</w:t>
      </w:r>
    </w:p>
  </w:endnote>
  <w:endnote w:id="59">
    <w:p w14:paraId="2B6BA835"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0">
    <w:p w14:paraId="5C20BE1D"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1">
    <w:p w14:paraId="6F2A3599" w14:textId="77777777" w:rsidR="00FF00AF" w:rsidRPr="005A1597" w:rsidRDefault="00FF00AF" w:rsidP="00FF00AF">
      <w:pPr>
        <w:tabs>
          <w:tab w:val="left" w:pos="-1440"/>
          <w:tab w:val="left" w:pos="180"/>
          <w:tab w:val="left" w:pos="432"/>
          <w:tab w:val="left" w:pos="720"/>
          <w:tab w:val="left" w:pos="1080"/>
          <w:tab w:val="left" w:pos="2160"/>
          <w:tab w:val="left" w:pos="2880"/>
          <w:tab w:val="left" w:pos="3600"/>
          <w:tab w:val="left" w:pos="4320"/>
          <w:tab w:val="left" w:pos="5040"/>
          <w:tab w:val="left" w:pos="5760"/>
          <w:tab w:val="left" w:pos="6480"/>
        </w:tabs>
        <w:spacing w:after="240"/>
        <w:ind w:left="720" w:hanging="360"/>
        <w:jc w:val="both"/>
        <w:rPr>
          <w:rFonts w:ascii="Georgia" w:hAnsi="Georgia"/>
          <w:sz w:val="20"/>
        </w:rPr>
      </w:pPr>
      <w:r w:rsidRPr="005A1597">
        <w:rPr>
          <w:rFonts w:ascii="Georgia" w:hAnsi="Georgia"/>
          <w:sz w:val="20"/>
        </w:rPr>
        <w:t xml:space="preserve">     </w:t>
      </w:r>
      <w:r w:rsidRPr="005A1597">
        <w:rPr>
          <w:rFonts w:ascii="Georgia" w:hAnsi="Georgia"/>
          <w:sz w:val="20"/>
        </w:rPr>
        <w:tab/>
      </w:r>
      <w:r w:rsidRPr="005A1597">
        <w:rPr>
          <w:rStyle w:val="EndnoteReference"/>
          <w:rFonts w:ascii="Georgia" w:hAnsi="Georgia"/>
          <w:sz w:val="20"/>
        </w:rPr>
        <w:endnoteRef/>
      </w:r>
      <w:r w:rsidRPr="005A1597">
        <w:rPr>
          <w:rFonts w:ascii="Georgia" w:hAnsi="Georgia"/>
          <w:sz w:val="20"/>
        </w:rPr>
        <w:tab/>
        <w:t xml:space="preserve">See the discussion by Pascal Menoret, </w:t>
      </w:r>
      <w:r w:rsidRPr="005A1597">
        <w:rPr>
          <w:rFonts w:ascii="Georgia" w:hAnsi="Georgia"/>
          <w:i/>
          <w:sz w:val="20"/>
        </w:rPr>
        <w:t>The Saudi Enigma</w:t>
      </w:r>
      <w:r w:rsidRPr="005A1597">
        <w:rPr>
          <w:rFonts w:ascii="Georgia" w:hAnsi="Georgia"/>
          <w:sz w:val="20"/>
        </w:rPr>
        <w:t xml:space="preserve">, 2005 </w:t>
      </w:r>
    </w:p>
  </w:endnote>
  <w:endnote w:id="62">
    <w:p w14:paraId="41573155"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3">
    <w:p w14:paraId="490C625E"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Qasmi, 'Abd al-Quddus, Foreword in Saeedullah, 1-18 </w:t>
      </w:r>
    </w:p>
  </w:endnote>
  <w:endnote w:id="64">
    <w:p w14:paraId="7B269DD7"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Saeedullah, </w:t>
      </w:r>
      <w:r w:rsidRPr="005A1597">
        <w:rPr>
          <w:rFonts w:ascii="Georgia" w:hAnsi="Georgia"/>
          <w:i/>
          <w:sz w:val="20"/>
        </w:rPr>
        <w:t>The Life and Works of Muhammad Siddiq Hasan Kahn: Nawab of Bhopal</w:t>
      </w:r>
      <w:r w:rsidRPr="005A1597">
        <w:rPr>
          <w:rFonts w:ascii="Georgia" w:hAnsi="Georgia"/>
          <w:sz w:val="20"/>
        </w:rPr>
        <w:t xml:space="preserve"> (Lahore: Sh. Muhammad Ashraf, Lahore, 1973) p138-140</w:t>
      </w:r>
    </w:p>
  </w:endnote>
  <w:endnote w:id="65">
    <w:p w14:paraId="13823E50"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Nielsen, J., </w:t>
      </w:r>
      <w:r w:rsidRPr="005A1597">
        <w:rPr>
          <w:rFonts w:ascii="Georgia" w:hAnsi="Georgia"/>
          <w:i/>
          <w:sz w:val="20"/>
        </w:rPr>
        <w:t>Muslims in Western Europe</w:t>
      </w:r>
      <w:r w:rsidRPr="005A1597">
        <w:rPr>
          <w:rFonts w:ascii="Georgia" w:hAnsi="Georgia"/>
          <w:sz w:val="20"/>
        </w:rPr>
        <w:t>, p 133</w:t>
      </w:r>
    </w:p>
  </w:endnote>
  <w:endnote w:id="66">
    <w:p w14:paraId="069D4A9F"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142</w:t>
      </w:r>
    </w:p>
  </w:endnote>
  <w:endnote w:id="67">
    <w:p w14:paraId="5B447B25"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Nielsen, J, </w:t>
      </w:r>
      <w:r w:rsidRPr="005A1597">
        <w:rPr>
          <w:rFonts w:ascii="Georgia" w:hAnsi="Georgia"/>
          <w:i/>
          <w:sz w:val="20"/>
        </w:rPr>
        <w:t>Muslims in Western Europe</w:t>
      </w:r>
      <w:r w:rsidRPr="005A1597">
        <w:rPr>
          <w:rFonts w:ascii="Georgia" w:hAnsi="Georgia"/>
          <w:sz w:val="20"/>
        </w:rPr>
        <w:t>,</w:t>
      </w:r>
      <w:r w:rsidRPr="00412776">
        <w:rPr>
          <w:rFonts w:ascii="Georgia" w:hAnsi="Georgia"/>
          <w:sz w:val="20"/>
        </w:rPr>
        <w:t xml:space="preserve"> p 133</w:t>
      </w:r>
    </w:p>
  </w:endnote>
  <w:endnote w:id="68">
    <w:p w14:paraId="6D351BEC" w14:textId="77777777" w:rsidR="00FF00AF" w:rsidRPr="005A1597"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Ahmad, </w:t>
      </w:r>
      <w:r w:rsidRPr="005A1597">
        <w:rPr>
          <w:rFonts w:ascii="Georgia" w:hAnsi="Georgia"/>
          <w:sz w:val="20"/>
        </w:rPr>
        <w:t>Mumtaz, Islami</w:t>
      </w:r>
      <w:r>
        <w:rPr>
          <w:rFonts w:ascii="Georgia" w:hAnsi="Georgia"/>
          <w:sz w:val="20"/>
        </w:rPr>
        <w:t>c</w:t>
      </w:r>
      <w:r w:rsidRPr="005A1597">
        <w:rPr>
          <w:rFonts w:ascii="Georgia" w:hAnsi="Georgia"/>
          <w:sz w:val="20"/>
        </w:rPr>
        <w:t xml:space="preserve"> Fundamentalism in South Asia: The Jamaat-i-Islami and the Tablighi Jamaat of South Asia in Martin E. Marty &amp; R. Scott Appleby (Eds), </w:t>
      </w:r>
      <w:r w:rsidRPr="005A1597">
        <w:rPr>
          <w:rFonts w:ascii="Georgia" w:hAnsi="Georgia"/>
          <w:i/>
          <w:sz w:val="20"/>
        </w:rPr>
        <w:t>Fundamentalisms Observed</w:t>
      </w:r>
      <w:r w:rsidRPr="005A1597">
        <w:rPr>
          <w:rFonts w:ascii="Georgia" w:hAnsi="Georgia"/>
          <w:sz w:val="20"/>
        </w:rPr>
        <w:t xml:space="preserve"> (University of Chicago Press, 1991) p 459</w:t>
      </w:r>
    </w:p>
  </w:endnote>
  <w:endnote w:id="69">
    <w:p w14:paraId="297D12A3"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Ahmad, Khurshid, Foreword, in Abu al-A'la Mawdudu, </w:t>
      </w:r>
      <w:r w:rsidRPr="005A1597">
        <w:rPr>
          <w:rFonts w:ascii="Georgia" w:hAnsi="Georgia"/>
          <w:i/>
          <w:sz w:val="20"/>
        </w:rPr>
        <w:t>Tafhim al-Qur'an</w:t>
      </w:r>
      <w:r w:rsidRPr="005A1597">
        <w:rPr>
          <w:rFonts w:ascii="Georgia" w:hAnsi="Georgia"/>
          <w:sz w:val="20"/>
        </w:rPr>
        <w:t xml:space="preserve"> Volume I xv</w:t>
      </w:r>
    </w:p>
  </w:endnote>
  <w:endnote w:id="70">
    <w:p w14:paraId="3E40D241"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See; Ahmad, Mumtaz, ibid</w:t>
      </w:r>
    </w:p>
  </w:endnote>
  <w:endnote w:id="71">
    <w:p w14:paraId="57CED5B0"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A Hourani, p 308</w:t>
      </w:r>
    </w:p>
  </w:endnote>
  <w:endnote w:id="72">
    <w:p w14:paraId="34E8A51E"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al-Afghani al-Husayni, Jamal al-Din, quoted in Muhammad al-Makhzumi</w:t>
      </w:r>
      <w:r>
        <w:rPr>
          <w:rFonts w:ascii="Georgia" w:hAnsi="Georgia"/>
          <w:sz w:val="20"/>
        </w:rPr>
        <w:t>,</w:t>
      </w:r>
      <w:r w:rsidRPr="005A1597">
        <w:rPr>
          <w:rFonts w:ascii="Georgia" w:hAnsi="Georgia"/>
          <w:sz w:val="20"/>
        </w:rPr>
        <w:t xml:space="preserve"> </w:t>
      </w:r>
      <w:r w:rsidRPr="005A1597">
        <w:rPr>
          <w:rFonts w:ascii="Georgia" w:hAnsi="Georgia"/>
          <w:i/>
          <w:sz w:val="20"/>
        </w:rPr>
        <w:t>Khatirat Jamal al-Din al-Afghani al-Husayni</w:t>
      </w:r>
      <w:r w:rsidRPr="005A1597">
        <w:rPr>
          <w:rFonts w:ascii="Georgia" w:hAnsi="Georgia"/>
          <w:sz w:val="20"/>
        </w:rPr>
        <w:t xml:space="preserve"> (Thoughts of Jamal al-Din al-Afghani al-Husayni) (Beirut 1931) p 88 in Hisham Sharabi </w:t>
      </w:r>
      <w:r w:rsidRPr="005A1597">
        <w:rPr>
          <w:rFonts w:ascii="Georgia" w:hAnsi="Georgia"/>
          <w:i/>
          <w:sz w:val="20"/>
        </w:rPr>
        <w:t>Arab Intellectuals of the West: The Formative Years 1875-1914</w:t>
      </w:r>
      <w:r w:rsidRPr="005A1597">
        <w:rPr>
          <w:rFonts w:ascii="Georgia" w:hAnsi="Georgia"/>
          <w:sz w:val="20"/>
        </w:rPr>
        <w:t xml:space="preserve"> (London: John Hopkins Press 1970), 26</w:t>
      </w:r>
    </w:p>
    <w:p w14:paraId="5C13441E"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p>
  </w:endnote>
  <w:endnote w:id="73">
    <w:p w14:paraId="6A291307"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c.f. al-Afghani </w:t>
      </w:r>
      <w:r w:rsidRPr="005A1597">
        <w:rPr>
          <w:rFonts w:ascii="Georgia" w:hAnsi="Georgia"/>
          <w:i/>
          <w:sz w:val="20"/>
        </w:rPr>
        <w:t>Al Qada wal Qadar</w:t>
      </w:r>
      <w:r w:rsidRPr="005A1597">
        <w:rPr>
          <w:rFonts w:ascii="Georgia" w:hAnsi="Georgia"/>
          <w:sz w:val="20"/>
        </w:rPr>
        <w:t xml:space="preserve"> Cairo no date pp 10-11 [reprint of </w:t>
      </w:r>
      <w:r w:rsidRPr="005A1597">
        <w:rPr>
          <w:rFonts w:ascii="Georgia" w:hAnsi="Georgia"/>
          <w:i/>
          <w:sz w:val="20"/>
        </w:rPr>
        <w:t>Al Urwat al-Wuthqa</w:t>
      </w:r>
      <w:r w:rsidRPr="005A1597">
        <w:rPr>
          <w:rFonts w:ascii="Georgia" w:hAnsi="Georgia"/>
          <w:sz w:val="20"/>
        </w:rPr>
        <w:t xml:space="preserve">, in </w:t>
      </w:r>
      <w:r w:rsidRPr="005A1597">
        <w:rPr>
          <w:rFonts w:ascii="Georgia" w:hAnsi="Georgia"/>
          <w:i/>
          <w:sz w:val="20"/>
        </w:rPr>
        <w:t>Tariqh vol. II k2nd ed.</w:t>
      </w:r>
      <w:r w:rsidRPr="005A1597">
        <w:rPr>
          <w:rFonts w:ascii="Georgia" w:hAnsi="Georgia"/>
          <w:sz w:val="20"/>
        </w:rPr>
        <w:t xml:space="preserve"> p 259] &amp; Al-Afghani </w:t>
      </w:r>
      <w:r w:rsidRPr="005A1597">
        <w:rPr>
          <w:rFonts w:ascii="Georgia" w:hAnsi="Georgia"/>
          <w:i/>
          <w:sz w:val="20"/>
        </w:rPr>
        <w:t>Al Radd 'ala al Dahriyyin</w:t>
      </w:r>
      <w:r w:rsidRPr="005A1597">
        <w:rPr>
          <w:rFonts w:ascii="Georgia" w:hAnsi="Georgia"/>
          <w:sz w:val="20"/>
        </w:rPr>
        <w:t xml:space="preserve"> 2nd ed. Cairo &amp; Baghdad 1955, p 87, cited in Zaki Badawi, </w:t>
      </w:r>
      <w:r w:rsidRPr="005A1597">
        <w:rPr>
          <w:rFonts w:ascii="Georgia" w:hAnsi="Georgia"/>
          <w:i/>
          <w:sz w:val="20"/>
        </w:rPr>
        <w:t xml:space="preserve">The Reformers of Egypt - A Critique of Al-Afghani, 'Abduh and Ridha </w:t>
      </w:r>
      <w:r w:rsidRPr="005A1597">
        <w:rPr>
          <w:rFonts w:ascii="Georgia" w:hAnsi="Georgia"/>
          <w:sz w:val="20"/>
        </w:rPr>
        <w:t>(unpublished</w:t>
      </w:r>
      <w:r>
        <w:rPr>
          <w:rFonts w:ascii="Georgia" w:hAnsi="Georgia"/>
          <w:sz w:val="20"/>
        </w:rPr>
        <w:t xml:space="preserve"> thesis</w:t>
      </w:r>
      <w:r w:rsidRPr="005A1597">
        <w:rPr>
          <w:rFonts w:ascii="Georgia" w:hAnsi="Georgia"/>
          <w:sz w:val="20"/>
        </w:rPr>
        <w:t xml:space="preserve">, 1976) p 6 </w:t>
      </w:r>
    </w:p>
  </w:endnote>
  <w:endnote w:id="74">
    <w:p w14:paraId="44CBF578"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Rida, Rashid, </w:t>
      </w:r>
      <w:r w:rsidRPr="005A1597">
        <w:rPr>
          <w:rFonts w:ascii="Georgia" w:hAnsi="Georgia"/>
          <w:i/>
          <w:sz w:val="20"/>
        </w:rPr>
        <w:t>Tarikh al-ustadh al-imam al-shaykh Muhammad 'Abduh</w:t>
      </w:r>
      <w:r w:rsidRPr="005A1597">
        <w:rPr>
          <w:rFonts w:ascii="Georgia" w:hAnsi="Georgia"/>
          <w:sz w:val="20"/>
        </w:rPr>
        <w:t>, Vol. I (Cairo, 1931) p 11 in A Hourani, p 308</w:t>
      </w:r>
    </w:p>
  </w:endnote>
  <w:endnote w:id="75">
    <w:p w14:paraId="5F94D515"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Amin, Ahmad, </w:t>
      </w:r>
      <w:r w:rsidRPr="005A1597">
        <w:rPr>
          <w:rFonts w:ascii="Georgia" w:hAnsi="Georgia"/>
          <w:i/>
          <w:sz w:val="20"/>
        </w:rPr>
        <w:t xml:space="preserve">Zu'ama' al-Islah fi al-'Asr al-Hadith </w:t>
      </w:r>
      <w:r w:rsidRPr="005A1597">
        <w:rPr>
          <w:rFonts w:ascii="Georgia" w:hAnsi="Georgia"/>
          <w:sz w:val="20"/>
        </w:rPr>
        <w:t xml:space="preserve">(1971: Cairo) 375, in Abdulwahab Saleh Babeair "Intellectual Currents in Contemporary Islam", </w:t>
      </w:r>
      <w:r w:rsidRPr="005A1597">
        <w:rPr>
          <w:rFonts w:ascii="Georgia" w:hAnsi="Georgia"/>
          <w:i/>
          <w:sz w:val="20"/>
        </w:rPr>
        <w:t>The Muslim World</w:t>
      </w:r>
      <w:r w:rsidRPr="005A1597">
        <w:rPr>
          <w:rFonts w:ascii="Georgia" w:hAnsi="Georgia"/>
          <w:sz w:val="20"/>
        </w:rPr>
        <w:t xml:space="preserve"> LXXXI, No 3-4 (1991) </w:t>
      </w:r>
    </w:p>
  </w:endnote>
  <w:endnote w:id="76">
    <w:p w14:paraId="6BBF7452"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Zaki, Mohamed Aboulkhir, </w:t>
      </w:r>
      <w:r w:rsidRPr="005A1597">
        <w:rPr>
          <w:rFonts w:ascii="Georgia" w:hAnsi="Georgia"/>
          <w:i/>
          <w:sz w:val="20"/>
        </w:rPr>
        <w:t>Modern Muslim Thought in Egypt and its Impact on Islam in Malaya</w:t>
      </w:r>
      <w:r w:rsidRPr="005A1597">
        <w:rPr>
          <w:rFonts w:ascii="Georgia" w:hAnsi="Georgia"/>
          <w:sz w:val="20"/>
        </w:rPr>
        <w:t xml:space="preserve">  (1965 Ph.D., University of London) 111-113 </w:t>
      </w:r>
    </w:p>
  </w:endnote>
  <w:endnote w:id="77">
    <w:p w14:paraId="2ADE6AFF"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Ridha, Muhammad Rashid </w:t>
      </w:r>
      <w:r w:rsidRPr="005A1597">
        <w:rPr>
          <w:rFonts w:ascii="Georgia" w:hAnsi="Georgia"/>
          <w:i/>
          <w:sz w:val="20"/>
        </w:rPr>
        <w:t>Tarikh al Ustaz Al Imam Al Shaikh Muhammad 'Abduh</w:t>
      </w:r>
      <w:r w:rsidRPr="005A1597">
        <w:rPr>
          <w:rFonts w:ascii="Georgia" w:hAnsi="Georgia"/>
          <w:sz w:val="20"/>
        </w:rPr>
        <w:t xml:space="preserve"> vol. I (Cairo 1st ed. 1931) p 614 in Badawi, p 40</w:t>
      </w:r>
    </w:p>
  </w:endnote>
  <w:endnote w:id="78">
    <w:p w14:paraId="31BB8032"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p 26</w:t>
      </w:r>
    </w:p>
  </w:endnote>
  <w:endnote w:id="79">
    <w:p w14:paraId="0131C38D"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44-46</w:t>
      </w:r>
    </w:p>
  </w:endnote>
  <w:endnote w:id="80">
    <w:p w14:paraId="6D27B357"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90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See: Commins, David Dean, </w:t>
      </w:r>
      <w:r w:rsidRPr="005A1597">
        <w:rPr>
          <w:rFonts w:ascii="Georgia" w:hAnsi="Georgia"/>
          <w:i/>
          <w:sz w:val="20"/>
        </w:rPr>
        <w:t>Islamic Reform: Politics and Social Change in Late Ottoman Syria</w:t>
      </w:r>
      <w:r w:rsidRPr="005A1597">
        <w:rPr>
          <w:rFonts w:ascii="Georgia" w:hAnsi="Georgia"/>
          <w:sz w:val="20"/>
        </w:rPr>
        <w:t xml:space="preserve">, (Oxford: Oxford University Press, 1990), for visit of Syrian </w:t>
      </w:r>
      <w:r w:rsidRPr="005A1597">
        <w:rPr>
          <w:rFonts w:ascii="Georgia" w:hAnsi="Georgia"/>
          <w:i/>
          <w:sz w:val="20"/>
        </w:rPr>
        <w:t>salafi</w:t>
      </w:r>
      <w:r w:rsidRPr="005A1597">
        <w:rPr>
          <w:rFonts w:ascii="Georgia" w:hAnsi="Georgia"/>
          <w:sz w:val="20"/>
        </w:rPr>
        <w:t xml:space="preserve"> to Cairo, p 60-61</w:t>
      </w:r>
    </w:p>
  </w:endnote>
  <w:endnote w:id="81">
    <w:p w14:paraId="2717F683"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p 49</w:t>
      </w:r>
    </w:p>
  </w:endnote>
  <w:endnote w:id="82">
    <w:p w14:paraId="5D58BFCD"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Zaki, Mohamed Aboulkhir, 161</w:t>
      </w:r>
    </w:p>
  </w:endnote>
  <w:endnote w:id="83">
    <w:p w14:paraId="30C30EDD"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Ridha, Rashid, </w:t>
      </w:r>
      <w:r w:rsidRPr="005A1597">
        <w:rPr>
          <w:rFonts w:ascii="Georgia" w:hAnsi="Georgia"/>
          <w:i/>
          <w:sz w:val="20"/>
        </w:rPr>
        <w:t xml:space="preserve">Al Manar wa Al-Azhar </w:t>
      </w:r>
      <w:r w:rsidRPr="005A1597">
        <w:rPr>
          <w:rFonts w:ascii="Georgia" w:hAnsi="Georgia"/>
          <w:sz w:val="20"/>
        </w:rPr>
        <w:t xml:space="preserve">(Cairo 1353 AH) serialised in </w:t>
      </w:r>
      <w:r w:rsidRPr="005A1597">
        <w:rPr>
          <w:rFonts w:ascii="Georgia" w:hAnsi="Georgia"/>
          <w:i/>
          <w:sz w:val="20"/>
        </w:rPr>
        <w:t>Al Manar</w:t>
      </w:r>
      <w:r w:rsidRPr="005A1597">
        <w:rPr>
          <w:rFonts w:ascii="Georgia" w:hAnsi="Georgia"/>
          <w:sz w:val="20"/>
        </w:rPr>
        <w:t xml:space="preserve"> vol XIV, 344 in Badawi, p 50</w:t>
      </w:r>
    </w:p>
  </w:endnote>
  <w:endnote w:id="84">
    <w:p w14:paraId="461E03A2" w14:textId="77777777"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 xml:space="preserve">Ridha, </w:t>
      </w:r>
      <w:r w:rsidRPr="005A1597">
        <w:rPr>
          <w:rFonts w:ascii="Georgia" w:hAnsi="Georgia"/>
          <w:i/>
          <w:sz w:val="20"/>
        </w:rPr>
        <w:t>al Manar</w:t>
      </w:r>
      <w:r w:rsidRPr="005A1597">
        <w:rPr>
          <w:rFonts w:ascii="Georgia" w:hAnsi="Georgia"/>
          <w:sz w:val="20"/>
        </w:rPr>
        <w:t>,</w:t>
      </w:r>
      <w:r w:rsidRPr="00412776">
        <w:rPr>
          <w:rFonts w:ascii="Georgia" w:hAnsi="Georgia"/>
          <w:sz w:val="20"/>
        </w:rPr>
        <w:t xml:space="preserve"> XXIX, 424 in Badawi, 52</w:t>
      </w:r>
    </w:p>
  </w:endnote>
  <w:endnote w:id="85">
    <w:p w14:paraId="087E4568" w14:textId="77777777"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Badawi, p 58</w:t>
      </w:r>
    </w:p>
  </w:endnote>
  <w:endnote w:id="86">
    <w:p w14:paraId="6F395B4E" w14:textId="77777777"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Commins, pp 65-84</w:t>
      </w:r>
    </w:p>
  </w:endnote>
  <w:endnote w:id="87">
    <w:p w14:paraId="0670A5D7"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p>
  </w:endnote>
  <w:endnote w:id="88">
    <w:p w14:paraId="2A96EF2A"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p>
  </w:endnote>
  <w:endnote w:id="89">
    <w:p w14:paraId="7B61F1BA"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This would allow utilisation of </w:t>
      </w:r>
      <w:r w:rsidRPr="00412776">
        <w:rPr>
          <w:rFonts w:ascii="Georgia" w:hAnsi="Georgia"/>
          <w:i/>
          <w:sz w:val="20"/>
        </w:rPr>
        <w:t>ijtihad</w:t>
      </w:r>
      <w:r w:rsidRPr="00412776">
        <w:rPr>
          <w:rFonts w:ascii="Georgia" w:hAnsi="Georgia"/>
          <w:sz w:val="20"/>
        </w:rPr>
        <w:t xml:space="preserve"> to decide which decision fitted any case they contended with.</w:t>
      </w:r>
    </w:p>
  </w:endnote>
  <w:endnote w:id="90">
    <w:p w14:paraId="778353BE"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In extreme examples, this description might be placed on one state by another - although scrutiny of the motivation behind such an assertion usually reveals an overtly political agenda.</w:t>
      </w:r>
    </w:p>
    <w:p w14:paraId="0430A4E0"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412776">
        <w:rPr>
          <w:rFonts w:ascii="Georgia" w:hAnsi="Georgia"/>
          <w:sz w:val="20"/>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Lucida Grande">
    <w:panose1 w:val="020B0600040502020204"/>
    <w:charset w:val="00"/>
    <w:family w:val="auto"/>
    <w:pitch w:val="variable"/>
    <w:sig w:usb0="00000003" w:usb1="00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B3DF2F" w14:textId="77777777" w:rsidR="00FF00AF" w:rsidRDefault="00FF00AF"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85F7E0" w14:textId="77777777" w:rsidR="00FF00AF" w:rsidRDefault="00FF00AF" w:rsidP="00FF00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5B8051" w14:textId="77777777" w:rsidR="00FF00AF" w:rsidRDefault="00FF00AF"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3109A">
      <w:rPr>
        <w:rStyle w:val="PageNumber"/>
        <w:noProof/>
      </w:rPr>
      <w:t>1</w:t>
    </w:r>
    <w:r>
      <w:rPr>
        <w:rStyle w:val="PageNumber"/>
      </w:rPr>
      <w:fldChar w:fldCharType="end"/>
    </w:r>
  </w:p>
  <w:p w14:paraId="22564E83" w14:textId="77777777" w:rsidR="00FF00AF" w:rsidRDefault="00FF00AF" w:rsidP="00FF00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B7B09F" w14:textId="77777777" w:rsidR="00FF00AF" w:rsidRDefault="00FF00AF" w:rsidP="00FF00AF">
      <w:r>
        <w:separator/>
      </w:r>
    </w:p>
  </w:footnote>
  <w:footnote w:type="continuationSeparator" w:id="0">
    <w:p w14:paraId="3637722F" w14:textId="77777777" w:rsidR="00FF00AF" w:rsidRDefault="00FF00AF" w:rsidP="00FF00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F776A5"/>
    <w:multiLevelType w:val="hybridMultilevel"/>
    <w:tmpl w:val="CA9EA6BE"/>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1">
    <w:nsid w:val="2EB0438D"/>
    <w:multiLevelType w:val="hybridMultilevel"/>
    <w:tmpl w:val="57ACD71A"/>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2">
    <w:nsid w:val="381256C2"/>
    <w:multiLevelType w:val="hybridMultilevel"/>
    <w:tmpl w:val="4540FD7C"/>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3">
    <w:nsid w:val="57773E2C"/>
    <w:multiLevelType w:val="hybridMultilevel"/>
    <w:tmpl w:val="D7989026"/>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4">
    <w:nsid w:val="6A6B67F9"/>
    <w:multiLevelType w:val="hybridMultilevel"/>
    <w:tmpl w:val="3A56890A"/>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00AF"/>
    <w:rsid w:val="00012EF9"/>
    <w:rsid w:val="001F2359"/>
    <w:rsid w:val="0053109A"/>
    <w:rsid w:val="00E82E7F"/>
    <w:rsid w:val="00FF00A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ADD833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AF"/>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F00AF"/>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00AF"/>
    <w:rPr>
      <w:rFonts w:ascii="Tahoma" w:eastAsia="Times New Roman" w:hAnsi="Tahoma" w:cs="Times New Roman"/>
      <w:b/>
      <w:i/>
      <w:szCs w:val="20"/>
      <w:lang w:eastAsia="en-GB"/>
    </w:rPr>
  </w:style>
  <w:style w:type="paragraph" w:styleId="BodyText">
    <w:name w:val="Body Text"/>
    <w:basedOn w:val="Normal"/>
    <w:link w:val="BodyTextChar"/>
    <w:rsid w:val="00FF00AF"/>
    <w:pPr>
      <w:spacing w:after="120"/>
    </w:pPr>
  </w:style>
  <w:style w:type="character" w:customStyle="1" w:styleId="BodyTextChar">
    <w:name w:val="Body Text Char"/>
    <w:basedOn w:val="DefaultParagraphFont"/>
    <w:link w:val="BodyText"/>
    <w:rsid w:val="00FF00AF"/>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FF00AF"/>
    <w:rPr>
      <w:vertAlign w:val="superscript"/>
    </w:rPr>
  </w:style>
  <w:style w:type="paragraph" w:styleId="BalloonText">
    <w:name w:val="Balloon Text"/>
    <w:basedOn w:val="Normal"/>
    <w:link w:val="BalloonTextChar"/>
    <w:uiPriority w:val="99"/>
    <w:semiHidden/>
    <w:unhideWhenUsed/>
    <w:rsid w:val="00FF00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00AF"/>
    <w:rPr>
      <w:rFonts w:ascii="Lucida Grande" w:eastAsia="Times New Roman" w:hAnsi="Lucida Grande" w:cs="Lucida Grande"/>
      <w:sz w:val="18"/>
      <w:szCs w:val="18"/>
      <w:lang w:eastAsia="en-GB"/>
    </w:rPr>
  </w:style>
  <w:style w:type="paragraph" w:styleId="Footer">
    <w:name w:val="footer"/>
    <w:basedOn w:val="Normal"/>
    <w:link w:val="FooterChar"/>
    <w:uiPriority w:val="99"/>
    <w:unhideWhenUsed/>
    <w:rsid w:val="00FF00AF"/>
    <w:pPr>
      <w:tabs>
        <w:tab w:val="center" w:pos="4320"/>
        <w:tab w:val="right" w:pos="8640"/>
      </w:tabs>
    </w:pPr>
  </w:style>
  <w:style w:type="character" w:customStyle="1" w:styleId="FooterChar">
    <w:name w:val="Footer Char"/>
    <w:basedOn w:val="DefaultParagraphFont"/>
    <w:link w:val="Footer"/>
    <w:uiPriority w:val="99"/>
    <w:rsid w:val="00FF00AF"/>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F00A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AF"/>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F00AF"/>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00AF"/>
    <w:rPr>
      <w:rFonts w:ascii="Tahoma" w:eastAsia="Times New Roman" w:hAnsi="Tahoma" w:cs="Times New Roman"/>
      <w:b/>
      <w:i/>
      <w:szCs w:val="20"/>
      <w:lang w:eastAsia="en-GB"/>
    </w:rPr>
  </w:style>
  <w:style w:type="paragraph" w:styleId="BodyText">
    <w:name w:val="Body Text"/>
    <w:basedOn w:val="Normal"/>
    <w:link w:val="BodyTextChar"/>
    <w:rsid w:val="00FF00AF"/>
    <w:pPr>
      <w:spacing w:after="120"/>
    </w:pPr>
  </w:style>
  <w:style w:type="character" w:customStyle="1" w:styleId="BodyTextChar">
    <w:name w:val="Body Text Char"/>
    <w:basedOn w:val="DefaultParagraphFont"/>
    <w:link w:val="BodyText"/>
    <w:rsid w:val="00FF00AF"/>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FF00AF"/>
    <w:rPr>
      <w:vertAlign w:val="superscript"/>
    </w:rPr>
  </w:style>
  <w:style w:type="paragraph" w:styleId="BalloonText">
    <w:name w:val="Balloon Text"/>
    <w:basedOn w:val="Normal"/>
    <w:link w:val="BalloonTextChar"/>
    <w:uiPriority w:val="99"/>
    <w:semiHidden/>
    <w:unhideWhenUsed/>
    <w:rsid w:val="00FF00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00AF"/>
    <w:rPr>
      <w:rFonts w:ascii="Lucida Grande" w:eastAsia="Times New Roman" w:hAnsi="Lucida Grande" w:cs="Lucida Grande"/>
      <w:sz w:val="18"/>
      <w:szCs w:val="18"/>
      <w:lang w:eastAsia="en-GB"/>
    </w:rPr>
  </w:style>
  <w:style w:type="paragraph" w:styleId="Footer">
    <w:name w:val="footer"/>
    <w:basedOn w:val="Normal"/>
    <w:link w:val="FooterChar"/>
    <w:uiPriority w:val="99"/>
    <w:unhideWhenUsed/>
    <w:rsid w:val="00FF00AF"/>
    <w:pPr>
      <w:tabs>
        <w:tab w:val="center" w:pos="4320"/>
        <w:tab w:val="right" w:pos="8640"/>
      </w:tabs>
    </w:pPr>
  </w:style>
  <w:style w:type="character" w:customStyle="1" w:styleId="FooterChar">
    <w:name w:val="Footer Char"/>
    <w:basedOn w:val="DefaultParagraphFont"/>
    <w:link w:val="Footer"/>
    <w:uiPriority w:val="99"/>
    <w:rsid w:val="00FF00AF"/>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F0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34</Pages>
  <Words>10996</Words>
  <Characters>62683</Characters>
  <Application>Microsoft Macintosh Word</Application>
  <DocSecurity>0</DocSecurity>
  <Lines>522</Lines>
  <Paragraphs>147</Paragraphs>
  <ScaleCrop>false</ScaleCrop>
  <Company>Dept. of Theology, Religious Studies &amp; Islamic Stud</Company>
  <LinksUpToDate>false</LinksUpToDate>
  <CharactersWithSpaces>73532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2012-05-30T11:54:00Z</dcterms:created>
  <dcterms:modified xsi:type="dcterms:W3CDTF">2013-01-28T14:27:00Z</dcterms:modified>
</cp:coreProperties>
</file>