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4704291"/>
        <w:docPartObj>
          <w:docPartGallery w:val="Cover Pages"/>
          <w:docPartUnique/>
        </w:docPartObj>
      </w:sdtPr>
      <w:sdtEndPr>
        <w:rPr>
          <w:rFonts w:ascii="Times New Roman" w:hAnsi="Times New Roman" w:cs="Times New Roman"/>
          <w:b/>
          <w:bCs/>
          <w:color w:val="45B0E1" w:themeColor="accent1" w:themeTint="99"/>
        </w:rPr>
      </w:sdtEndPr>
      <w:sdtContent>
        <w:p w14:paraId="0199D577" w14:textId="2467777B" w:rsidR="00692956" w:rsidRPr="00692956" w:rsidRDefault="00692956" w:rsidP="00692956">
          <w:pPr>
            <w:rPr>
              <w:rFonts w:ascii="Times New Roman" w:hAnsi="Times New Roman" w:cs="Times New Roman"/>
              <w:b/>
              <w:bCs/>
              <w:color w:val="45B0E1" w:themeColor="accent1" w:themeTint="99"/>
            </w:rPr>
          </w:pPr>
          <w:r>
            <w:rPr>
              <w:noProof/>
            </w:rPr>
            <mc:AlternateContent>
              <mc:Choice Requires="wps">
                <w:drawing>
                  <wp:anchor distT="0" distB="0" distL="114300" distR="114300" simplePos="0" relativeHeight="251659264" behindDoc="0" locked="0" layoutInCell="1" allowOverlap="1" wp14:anchorId="1B8E8FFA" wp14:editId="15E5E758">
                    <wp:simplePos x="0" y="0"/>
                    <wp:positionH relativeFrom="margin">
                      <wp:posOffset>4547937</wp:posOffset>
                    </wp:positionH>
                    <wp:positionV relativeFrom="page">
                      <wp:posOffset>246647</wp:posOffset>
                    </wp:positionV>
                    <wp:extent cx="1949116" cy="101001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949116" cy="10100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72"/>
                                    <w:szCs w:val="72"/>
                                  </w:rPr>
                                  <w:alias w:val="Year"/>
                                  <w:tag w:val=""/>
                                  <w:id w:val="-785116381"/>
                                  <w:dataBinding w:prefixMappings="xmlns:ns0='http://schemas.microsoft.com/office/2006/coverPageProps' " w:xpath="/ns0:CoverPageProperties[1]/ns0:PublishDate[1]" w:storeItemID="{55AF091B-3C7A-41E3-B477-F2FDAA23CFDA}"/>
                                  <w:date w:fullDate="2025-04-11T00:00:00Z">
                                    <w:dateFormat w:val="yyyy"/>
                                    <w:lid w:val="en-US"/>
                                    <w:storeMappedDataAs w:val="dateTime"/>
                                    <w:calendar w:val="gregorian"/>
                                  </w:date>
                                </w:sdtPr>
                                <w:sdtContent>
                                  <w:p w14:paraId="56C92A85" w14:textId="0C5FD6E1" w:rsidR="00692956" w:rsidRPr="00692956" w:rsidRDefault="00692956">
                                    <w:pPr>
                                      <w:pStyle w:val="NoSpacing"/>
                                      <w:jc w:val="right"/>
                                      <w:rPr>
                                        <w:rFonts w:ascii="Times New Roman" w:hAnsi="Times New Roman" w:cs="Times New Roman"/>
                                        <w:color w:val="FFFFFF" w:themeColor="background1"/>
                                        <w:sz w:val="72"/>
                                        <w:szCs w:val="72"/>
                                      </w:rPr>
                                    </w:pPr>
                                    <w:r w:rsidRPr="00692956">
                                      <w:rPr>
                                        <w:rFonts w:ascii="Times New Roman" w:hAnsi="Times New Roman" w:cs="Times New Roman"/>
                                        <w:b/>
                                        <w:bCs/>
                                        <w:color w:val="FFFFFF" w:themeColor="background1"/>
                                        <w:sz w:val="72"/>
                                        <w:szCs w:val="72"/>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B8E8FFA" id="Rectangle 132" o:spid="_x0000_s1026" style="position:absolute;margin-left:358.1pt;margin-top:19.4pt;width:153.45pt;height:79.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" fillcolor="#156082 [3204]" stroked="f" strokeweight="1.5pt">
                    <o:lock v:ext="edit" aspectratio="t"/>
                    <v:textbox inset="3.6pt,,3.6pt">
                      <w:txbxContent>
                        <w:sdt>
                          <w:sdtPr>
                            <w:rPr>
                              <w:rFonts w:ascii="Times New Roman" w:hAnsi="Times New Roman" w:cs="Times New Roman"/>
                              <w:b/>
                              <w:bCs/>
                              <w:color w:val="FFFFFF" w:themeColor="background1"/>
                              <w:sz w:val="72"/>
                              <w:szCs w:val="72"/>
                            </w:rPr>
                            <w:alias w:val="Year"/>
                            <w:tag w:val=""/>
                            <w:id w:val="-785116381"/>
                            <w:dataBinding w:prefixMappings="xmlns:ns0='http://schemas.microsoft.com/office/2006/coverPageProps' " w:xpath="/ns0:CoverPageProperties[1]/ns0:PublishDate[1]" w:storeItemID="{55AF091B-3C7A-41E3-B477-F2FDAA23CFDA}"/>
                            <w:date w:fullDate="2025-04-11T00:00:00Z">
                              <w:dateFormat w:val="yyyy"/>
                              <w:lid w:val="en-US"/>
                              <w:storeMappedDataAs w:val="dateTime"/>
                              <w:calendar w:val="gregorian"/>
                            </w:date>
                          </w:sdtPr>
                          <w:sdtContent>
                            <w:p w14:paraId="56C92A85" w14:textId="0C5FD6E1" w:rsidR="00692956" w:rsidRPr="00692956" w:rsidRDefault="00692956">
                              <w:pPr>
                                <w:pStyle w:val="NoSpacing"/>
                                <w:jc w:val="right"/>
                                <w:rPr>
                                  <w:rFonts w:ascii="Times New Roman" w:hAnsi="Times New Roman" w:cs="Times New Roman"/>
                                  <w:color w:val="FFFFFF" w:themeColor="background1"/>
                                  <w:sz w:val="72"/>
                                  <w:szCs w:val="72"/>
                                </w:rPr>
                              </w:pPr>
                              <w:r w:rsidRPr="00692956">
                                <w:rPr>
                                  <w:rFonts w:ascii="Times New Roman" w:hAnsi="Times New Roman" w:cs="Times New Roman"/>
                                  <w:b/>
                                  <w:bCs/>
                                  <w:color w:val="FFFFFF" w:themeColor="background1"/>
                                  <w:sz w:val="72"/>
                                  <w:szCs w:val="72"/>
                                </w:rPr>
                                <w:t>2025</w:t>
                              </w:r>
                            </w:p>
                          </w:sdtContent>
                        </w:sdt>
                      </w:txbxContent>
                    </v:textbox>
                    <w10:wrap anchorx="margin" anchory="page"/>
                  </v:rect>
                </w:pict>
              </mc:Fallback>
            </mc:AlternateContent>
          </w:r>
          <w:r w:rsidRPr="00692956">
            <w:rPr>
              <w:rFonts w:ascii="Times New Roman" w:hAnsi="Times New Roman" w:cs="Times New Roman"/>
              <w:b/>
              <w:bCs/>
              <w:color w:val="45B0E1" w:themeColor="accent1" w:themeTint="99"/>
            </w:rPr>
            <w:t>Student name:</w:t>
          </w:r>
          <w:r w:rsidRPr="00692956">
            <w:rPr>
              <w:rFonts w:ascii="Times New Roman" w:hAnsi="Times New Roman" w:cs="Times New Roman"/>
              <w:b/>
              <w:bCs/>
              <w:color w:val="45B0E1" w:themeColor="accent1" w:themeTint="99"/>
            </w:rPr>
            <w:t xml:space="preserve"> Ciprian Feraru</w:t>
          </w:r>
          <w:r w:rsidRPr="00692956">
            <w:rPr>
              <w:rFonts w:ascii="Times New Roman" w:hAnsi="Times New Roman" w:cs="Times New Roman"/>
              <w:b/>
              <w:bCs/>
              <w:color w:val="45B0E1" w:themeColor="accent1" w:themeTint="99"/>
            </w:rPr>
            <w:tab/>
            <w:t xml:space="preserve">     </w:t>
          </w:r>
        </w:p>
        <w:p w14:paraId="059EEB6F" w14:textId="0B8A2D66" w:rsidR="00692956" w:rsidRPr="00692956" w:rsidRDefault="00692956" w:rsidP="00692956">
          <w:pPr>
            <w:rPr>
              <w:rFonts w:ascii="Times New Roman" w:hAnsi="Times New Roman" w:cs="Times New Roman"/>
              <w:b/>
              <w:bCs/>
              <w:color w:val="45B0E1" w:themeColor="accent1" w:themeTint="99"/>
            </w:rPr>
          </w:pPr>
          <w:r w:rsidRPr="00692956">
            <w:rPr>
              <w:rFonts w:ascii="Times New Roman" w:hAnsi="Times New Roman" w:cs="Times New Roman"/>
              <w:b/>
              <w:bCs/>
              <w:color w:val="45B0E1" w:themeColor="accent1" w:themeTint="99"/>
            </w:rPr>
            <w:t>Programme:</w:t>
          </w:r>
          <w:r w:rsidRPr="00692956">
            <w:rPr>
              <w:rFonts w:ascii="Times New Roman" w:hAnsi="Times New Roman" w:cs="Times New Roman"/>
              <w:b/>
              <w:bCs/>
              <w:color w:val="45B0E1" w:themeColor="accent1" w:themeTint="99"/>
            </w:rPr>
            <w:t xml:space="preserve"> </w:t>
          </w:r>
          <w:r w:rsidRPr="00692956">
            <w:rPr>
              <w:rFonts w:ascii="Times New Roman" w:hAnsi="Times New Roman" w:cs="Times New Roman"/>
              <w:b/>
              <w:bCs/>
              <w:color w:val="45B0E1" w:themeColor="accent1" w:themeTint="99"/>
            </w:rPr>
            <w:t>BA/HND Business and Management</w:t>
          </w:r>
        </w:p>
        <w:p w14:paraId="3CBAB374" w14:textId="1E008D1C" w:rsidR="00692956" w:rsidRPr="00692956" w:rsidRDefault="00692956" w:rsidP="00692956">
          <w:pPr>
            <w:rPr>
              <w:rFonts w:ascii="Times New Roman" w:hAnsi="Times New Roman" w:cs="Times New Roman"/>
              <w:b/>
              <w:bCs/>
              <w:color w:val="45B0E1" w:themeColor="accent1" w:themeTint="99"/>
            </w:rPr>
          </w:pPr>
          <w:r w:rsidRPr="00692956">
            <w:rPr>
              <w:rFonts w:ascii="Times New Roman" w:hAnsi="Times New Roman" w:cs="Times New Roman"/>
              <w:b/>
              <w:bCs/>
              <w:color w:val="45B0E1" w:themeColor="accent1" w:themeTint="99"/>
            </w:rPr>
            <w:t>Module:</w:t>
          </w:r>
          <w:r w:rsidRPr="00692956">
            <w:rPr>
              <w:rFonts w:ascii="Times New Roman" w:hAnsi="Times New Roman" w:cs="Times New Roman"/>
              <w:b/>
              <w:bCs/>
              <w:color w:val="45B0E1" w:themeColor="accent1" w:themeTint="99"/>
            </w:rPr>
            <w:t xml:space="preserve"> </w:t>
          </w:r>
          <w:r w:rsidRPr="00692956">
            <w:rPr>
              <w:rFonts w:ascii="Times New Roman" w:hAnsi="Times New Roman" w:cs="Times New Roman"/>
              <w:b/>
              <w:bCs/>
              <w:color w:val="45B0E1" w:themeColor="accent1" w:themeTint="99"/>
            </w:rPr>
            <w:t xml:space="preserve">Financial Management </w:t>
          </w:r>
          <w:r w:rsidRPr="00692956">
            <w:rPr>
              <w:rFonts w:ascii="Times New Roman" w:hAnsi="Times New Roman" w:cs="Times New Roman"/>
              <w:b/>
              <w:bCs/>
              <w:color w:val="45B0E1" w:themeColor="accent1" w:themeTint="99"/>
            </w:rPr>
            <w:t>for</w:t>
          </w:r>
          <w:r w:rsidRPr="00692956">
            <w:rPr>
              <w:rFonts w:ascii="Times New Roman" w:hAnsi="Times New Roman" w:cs="Times New Roman"/>
              <w:b/>
              <w:bCs/>
              <w:color w:val="45B0E1" w:themeColor="accent1" w:themeTint="99"/>
            </w:rPr>
            <w:t xml:space="preserve"> Business Sustainability</w:t>
          </w:r>
        </w:p>
        <w:p w14:paraId="61833BF8" w14:textId="7B0C32AA" w:rsidR="00692956" w:rsidRPr="00692956" w:rsidRDefault="00692956" w:rsidP="00692956">
          <w:pPr>
            <w:rPr>
              <w:rFonts w:ascii="Times New Roman" w:hAnsi="Times New Roman" w:cs="Times New Roman"/>
              <w:b/>
              <w:bCs/>
              <w:color w:val="45B0E1" w:themeColor="accent1" w:themeTint="99"/>
            </w:rPr>
          </w:pPr>
          <w:r w:rsidRPr="00692956">
            <w:rPr>
              <w:rFonts w:ascii="Times New Roman" w:hAnsi="Times New Roman" w:cs="Times New Roman"/>
              <w:b/>
              <w:bCs/>
              <w:color w:val="45B0E1" w:themeColor="accent1" w:themeTint="99"/>
            </w:rPr>
            <w:t>Module code:</w:t>
          </w:r>
          <w:r w:rsidRPr="00692956">
            <w:rPr>
              <w:rFonts w:ascii="Times New Roman" w:hAnsi="Times New Roman" w:cs="Times New Roman"/>
              <w:b/>
              <w:bCs/>
              <w:color w:val="45B0E1" w:themeColor="accent1" w:themeTint="99"/>
            </w:rPr>
            <w:tab/>
          </w:r>
          <w:r w:rsidRPr="00692956">
            <w:rPr>
              <w:rFonts w:ascii="Times New Roman" w:hAnsi="Times New Roman" w:cs="Times New Roman"/>
              <w:b/>
              <w:bCs/>
              <w:color w:val="45B0E1" w:themeColor="accent1" w:themeTint="99"/>
            </w:rPr>
            <w:t xml:space="preserve"> </w:t>
          </w:r>
          <w:r w:rsidRPr="00692956">
            <w:rPr>
              <w:rFonts w:ascii="Times New Roman" w:hAnsi="Times New Roman" w:cs="Times New Roman"/>
              <w:b/>
              <w:bCs/>
              <w:color w:val="45B0E1" w:themeColor="accent1" w:themeTint="99"/>
            </w:rPr>
            <w:t>BMSP4011D</w:t>
          </w:r>
        </w:p>
        <w:p w14:paraId="540C5645" w14:textId="1E0D7E1D" w:rsidR="00692956" w:rsidRPr="00692956" w:rsidRDefault="00692956" w:rsidP="00692956">
          <w:pPr>
            <w:rPr>
              <w:rFonts w:ascii="Times New Roman" w:hAnsi="Times New Roman" w:cs="Times New Roman"/>
              <w:b/>
              <w:bCs/>
              <w:color w:val="45B0E1" w:themeColor="accent1" w:themeTint="99"/>
            </w:rPr>
          </w:pPr>
          <w:r w:rsidRPr="00692956">
            <w:rPr>
              <w:rFonts w:ascii="Times New Roman" w:hAnsi="Times New Roman" w:cs="Times New Roman"/>
              <w:b/>
              <w:bCs/>
              <w:color w:val="45B0E1" w:themeColor="accent1" w:themeTint="99"/>
            </w:rPr>
            <w:t>Lecturer:</w:t>
          </w:r>
          <w:r w:rsidRPr="00692956">
            <w:rPr>
              <w:rFonts w:ascii="Times New Roman" w:hAnsi="Times New Roman" w:cs="Times New Roman"/>
              <w:b/>
              <w:bCs/>
              <w:color w:val="45B0E1" w:themeColor="accent1" w:themeTint="99"/>
            </w:rPr>
            <w:t xml:space="preserve"> </w:t>
          </w:r>
          <w:r w:rsidRPr="00692956">
            <w:rPr>
              <w:rFonts w:ascii="Times New Roman" w:hAnsi="Times New Roman" w:cs="Times New Roman"/>
              <w:b/>
              <w:bCs/>
              <w:color w:val="45B0E1" w:themeColor="accent1" w:themeTint="99"/>
            </w:rPr>
            <w:t>Navdeep Randhawa</w:t>
          </w:r>
        </w:p>
        <w:p w14:paraId="515B3D3A" w14:textId="1E2FA206" w:rsidR="00692956" w:rsidRDefault="00692956">
          <w:pPr>
            <w:rPr>
              <w:rFonts w:ascii="Times New Roman" w:hAnsi="Times New Roman" w:cs="Times New Roman"/>
              <w:b/>
              <w:bCs/>
              <w:color w:val="45B0E1" w:themeColor="accent1" w:themeTint="99"/>
            </w:rPr>
          </w:pPr>
          <w:r>
            <w:rPr>
              <w:noProof/>
            </w:rPr>
            <mc:AlternateContent>
              <mc:Choice Requires="wps">
                <w:drawing>
                  <wp:anchor distT="0" distB="0" distL="182880" distR="182880" simplePos="0" relativeHeight="251660288" behindDoc="0" locked="0" layoutInCell="1" allowOverlap="1" wp14:anchorId="25B319EC" wp14:editId="61A799C8">
                    <wp:simplePos x="0" y="0"/>
                    <wp:positionH relativeFrom="margin">
                      <wp:posOffset>-198755</wp:posOffset>
                    </wp:positionH>
                    <wp:positionV relativeFrom="page">
                      <wp:posOffset>4812030</wp:posOffset>
                    </wp:positionV>
                    <wp:extent cx="6376670" cy="6720840"/>
                    <wp:effectExtent l="0" t="0" r="5080"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637667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3866A" w14:textId="2582FAE3" w:rsidR="00692956" w:rsidRPr="00692956" w:rsidRDefault="00692956" w:rsidP="00692956">
                                <w:pPr>
                                  <w:pStyle w:val="NoSpacing"/>
                                  <w:spacing w:before="40" w:after="560" w:line="216" w:lineRule="auto"/>
                                  <w:jc w:val="center"/>
                                  <w:rPr>
                                    <w:color w:val="156082" w:themeColor="accent1"/>
                                    <w:sz w:val="72"/>
                                    <w:szCs w:val="72"/>
                                  </w:rPr>
                                </w:pPr>
                                <w:sdt>
                                  <w:sdtPr>
                                    <w:rPr>
                                      <w:rFonts w:ascii="Times New Roman" w:hAnsi="Times New Roman" w:cs="Times New Roman"/>
                                      <w:b/>
                                      <w:bCs/>
                                      <w:color w:val="45B0E1" w:themeColor="accent1" w:themeTint="99"/>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92956">
                                      <w:rPr>
                                        <w:rFonts w:ascii="Times New Roman" w:hAnsi="Times New Roman" w:cs="Times New Roman"/>
                                        <w:b/>
                                        <w:bCs/>
                                        <w:color w:val="45B0E1" w:themeColor="accent1" w:themeTint="99"/>
                                        <w:sz w:val="96"/>
                                        <w:szCs w:val="96"/>
                                      </w:rPr>
                                      <w:t xml:space="preserve">Financial Analysis of McDonalds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5B319EC" id="_x0000_t202" coordsize="21600,21600" o:spt="202" path="m,l,21600r21600,l21600,xe">
                    <v:stroke joinstyle="miter"/>
                    <v:path gradientshapeok="t" o:connecttype="rect"/>
                  </v:shapetype>
                  <v:shape id="Text Box 131" o:spid="_x0000_s1027" type="#_x0000_t202" style="position:absolute;margin-left:-15.65pt;margin-top:378.9pt;width:502.1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" filled="f" stroked="f" strokeweight=".5pt">
                    <v:textbox style="mso-fit-shape-to-text:t" inset="0,0,0,0">
                      <w:txbxContent>
                        <w:p w14:paraId="6233866A" w14:textId="2582FAE3" w:rsidR="00692956" w:rsidRPr="00692956" w:rsidRDefault="00692956" w:rsidP="00692956">
                          <w:pPr>
                            <w:pStyle w:val="NoSpacing"/>
                            <w:spacing w:before="40" w:after="560" w:line="216" w:lineRule="auto"/>
                            <w:jc w:val="center"/>
                            <w:rPr>
                              <w:color w:val="156082" w:themeColor="accent1"/>
                              <w:sz w:val="72"/>
                              <w:szCs w:val="72"/>
                            </w:rPr>
                          </w:pPr>
                          <w:sdt>
                            <w:sdtPr>
                              <w:rPr>
                                <w:rFonts w:ascii="Times New Roman" w:hAnsi="Times New Roman" w:cs="Times New Roman"/>
                                <w:b/>
                                <w:bCs/>
                                <w:color w:val="45B0E1" w:themeColor="accent1" w:themeTint="99"/>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92956">
                                <w:rPr>
                                  <w:rFonts w:ascii="Times New Roman" w:hAnsi="Times New Roman" w:cs="Times New Roman"/>
                                  <w:b/>
                                  <w:bCs/>
                                  <w:color w:val="45B0E1" w:themeColor="accent1" w:themeTint="99"/>
                                  <w:sz w:val="96"/>
                                  <w:szCs w:val="96"/>
                                </w:rPr>
                                <w:t xml:space="preserve">Financial Analysis of McDonalds </w:t>
                              </w:r>
                            </w:sdtContent>
                          </w:sdt>
                        </w:p>
                      </w:txbxContent>
                    </v:textbox>
                    <w10:wrap type="square" anchorx="margin" anchory="page"/>
                  </v:shape>
                </w:pict>
              </mc:Fallback>
            </mc:AlternateContent>
          </w:r>
          <w:r>
            <w:rPr>
              <w:rFonts w:ascii="Times New Roman" w:hAnsi="Times New Roman" w:cs="Times New Roman"/>
              <w:b/>
              <w:bCs/>
              <w:color w:val="45B0E1" w:themeColor="accent1" w:themeTint="99"/>
            </w:rPr>
            <w:br w:type="page"/>
          </w:r>
        </w:p>
      </w:sdtContent>
    </w:sdt>
    <w:p w14:paraId="1214AF04" w14:textId="6BCDCDC0" w:rsidR="00203450" w:rsidRPr="006D0591" w:rsidRDefault="00203450" w:rsidP="00203450">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lastRenderedPageBreak/>
        <w:t>Introduction</w:t>
      </w:r>
    </w:p>
    <w:p w14:paraId="17ECD64B" w14:textId="77777777" w:rsidR="00203450" w:rsidRDefault="00203450" w:rsidP="00203450">
      <w:pPr>
        <w:spacing w:line="480" w:lineRule="auto"/>
        <w:rPr>
          <w:rFonts w:ascii="Times New Roman" w:hAnsi="Times New Roman" w:cs="Times New Roman"/>
        </w:rPr>
      </w:pPr>
      <w:r w:rsidRPr="00203450">
        <w:rPr>
          <w:rFonts w:ascii="Times New Roman" w:hAnsi="Times New Roman" w:cs="Times New Roman"/>
        </w:rPr>
        <w:t xml:space="preserve">This </w:t>
      </w:r>
      <w:r>
        <w:rPr>
          <w:rFonts w:ascii="Times New Roman" w:hAnsi="Times New Roman" w:cs="Times New Roman"/>
        </w:rPr>
        <w:t>analysis</w:t>
      </w:r>
      <w:r w:rsidRPr="00203450">
        <w:rPr>
          <w:rFonts w:ascii="Times New Roman" w:hAnsi="Times New Roman" w:cs="Times New Roman"/>
        </w:rPr>
        <w:t xml:space="preserve"> focuses on the financial performance of the McDonald’s Corporation during both the 2023 and 2024 fiscal years by employing a ratio analysis. Ratio analysis is a critical component of financial statement analysis provided to evaluate a company's profitability, liquidity, efficiency and solvency. This report looks to measure the calculated ratios from both years and comments on trends in the performance of McDonald’s and possible reasons for these changes in the future. In </w:t>
      </w:r>
      <w:r w:rsidRPr="00203450">
        <w:rPr>
          <w:rFonts w:ascii="Times New Roman" w:hAnsi="Times New Roman" w:cs="Times New Roman"/>
        </w:rPr>
        <w:t>addition,</w:t>
      </w:r>
      <w:r w:rsidRPr="00203450">
        <w:rPr>
          <w:rFonts w:ascii="Times New Roman" w:hAnsi="Times New Roman" w:cs="Times New Roman"/>
        </w:rPr>
        <w:t xml:space="preserve"> recommendations are given on how to improve the company from a financial perspective, sustainability perspective into the future. Academic literature and the company’s financial reports that can be accessed publicly, have been used to support information discussed in the report (Brigham &amp; Houston, 2022; Wild, Subramanyam, &amp; Halsey, 2014).</w:t>
      </w:r>
    </w:p>
    <w:p w14:paraId="5107775D" w14:textId="77777777" w:rsidR="00203450" w:rsidRPr="006D0591" w:rsidRDefault="00203450" w:rsidP="00203450">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Overview of McDonald’s Corporation</w:t>
      </w:r>
    </w:p>
    <w:p w14:paraId="49CBA407" w14:textId="77777777" w:rsidR="009228F9" w:rsidRDefault="00203450" w:rsidP="00203450">
      <w:pPr>
        <w:spacing w:line="480" w:lineRule="auto"/>
        <w:rPr>
          <w:rFonts w:ascii="Times New Roman" w:hAnsi="Times New Roman" w:cs="Times New Roman"/>
        </w:rPr>
      </w:pPr>
      <w:r w:rsidRPr="00203450">
        <w:rPr>
          <w:rFonts w:ascii="Times New Roman" w:hAnsi="Times New Roman" w:cs="Times New Roman"/>
        </w:rPr>
        <w:t>McDonald's Corporation is one of the largest fast-food companies in the world operating in over 100 countries in more than 40,000 locations around the world. The company’s business model is based on a combination of company-operated restaurants mixed with franchised locations. In FY 2023, McDonald's reported revenue of just over USD 25.5 million which posted a slight increase of just over USD 25.76 million in FY 2024. Although the revenue increase in 2024 was modest, other signs of financial stability have varied. As well as revenue in previous fiscal years, financials in the balance sheet will also be included as part of the analysis. Financial reports will have been taken from the company’s annual + quarterly reports to complete this analysis (McDonald's Corporation 2024a; 2024b).</w:t>
      </w:r>
    </w:p>
    <w:p w14:paraId="089D8791" w14:textId="77777777" w:rsidR="009228F9" w:rsidRDefault="009228F9" w:rsidP="00203450">
      <w:pPr>
        <w:spacing w:line="480" w:lineRule="auto"/>
        <w:rPr>
          <w:rFonts w:ascii="Times New Roman" w:hAnsi="Times New Roman" w:cs="Times New Roman"/>
        </w:rPr>
      </w:pPr>
    </w:p>
    <w:p w14:paraId="5E1729C2" w14:textId="77777777" w:rsidR="009228F9" w:rsidRDefault="009228F9" w:rsidP="00203450">
      <w:pPr>
        <w:spacing w:line="480" w:lineRule="auto"/>
        <w:rPr>
          <w:rFonts w:ascii="Times New Roman" w:hAnsi="Times New Roman" w:cs="Times New Roman"/>
        </w:rPr>
      </w:pPr>
    </w:p>
    <w:p w14:paraId="4590226A" w14:textId="77777777" w:rsidR="009228F9" w:rsidRDefault="009228F9" w:rsidP="00203450">
      <w:pPr>
        <w:spacing w:line="480" w:lineRule="auto"/>
        <w:rPr>
          <w:rFonts w:ascii="Times New Roman" w:hAnsi="Times New Roman" w:cs="Times New Roman"/>
        </w:rPr>
      </w:pPr>
    </w:p>
    <w:p w14:paraId="2749107D" w14:textId="39A9E3AC" w:rsidR="009228F9" w:rsidRPr="006D0591" w:rsidRDefault="00203450" w:rsidP="00203450">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lastRenderedPageBreak/>
        <w:t>Overview of Financial Statements</w:t>
      </w:r>
    </w:p>
    <w:p w14:paraId="5F84ACD5" w14:textId="77777777" w:rsidR="009228F9" w:rsidRDefault="00203450" w:rsidP="00203450">
      <w:pPr>
        <w:spacing w:line="480" w:lineRule="auto"/>
        <w:rPr>
          <w:rFonts w:ascii="Times New Roman" w:hAnsi="Times New Roman" w:cs="Times New Roman"/>
        </w:rPr>
      </w:pPr>
      <w:r w:rsidRPr="00203450">
        <w:rPr>
          <w:rFonts w:ascii="Times New Roman" w:hAnsi="Times New Roman" w:cs="Times New Roman"/>
        </w:rPr>
        <w:t xml:space="preserve">The primary financial ratios that will be </w:t>
      </w:r>
      <w:r w:rsidR="009228F9" w:rsidRPr="00203450">
        <w:rPr>
          <w:rFonts w:ascii="Times New Roman" w:hAnsi="Times New Roman" w:cs="Times New Roman"/>
        </w:rPr>
        <w:t>analysed</w:t>
      </w:r>
      <w:r w:rsidRPr="00203450">
        <w:rPr>
          <w:rFonts w:ascii="Times New Roman" w:hAnsi="Times New Roman" w:cs="Times New Roman"/>
        </w:rPr>
        <w:t xml:space="preserve"> are summarized in the table below: </w:t>
      </w:r>
    </w:p>
    <w:tbl>
      <w:tblPr>
        <w:tblW w:w="0" w:type="auto"/>
        <w:tblCellSpacing w:w="15" w:type="dxa"/>
        <w:tblInd w:w="1614" w:type="dxa"/>
        <w:tblBorders>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1950"/>
        <w:gridCol w:w="1737"/>
        <w:gridCol w:w="2125"/>
      </w:tblGrid>
      <w:tr w:rsidR="009228F9" w:rsidRPr="009228F9" w14:paraId="623104CA" w14:textId="77777777" w:rsidTr="009228F9">
        <w:trPr>
          <w:tblHeader/>
          <w:tblCellSpacing w:w="15" w:type="dxa"/>
        </w:trPr>
        <w:tc>
          <w:tcPr>
            <w:tcW w:w="0" w:type="auto"/>
            <w:shd w:val="clear" w:color="auto" w:fill="4C94D8" w:themeFill="text2" w:themeFillTint="80"/>
            <w:vAlign w:val="center"/>
            <w:hideMark/>
          </w:tcPr>
          <w:p w14:paraId="17228456" w14:textId="77777777" w:rsidR="009228F9" w:rsidRPr="009228F9" w:rsidRDefault="009228F9" w:rsidP="009228F9">
            <w:pPr>
              <w:spacing w:after="0" w:line="240" w:lineRule="auto"/>
              <w:jc w:val="center"/>
              <w:rPr>
                <w:rFonts w:ascii="Times New Roman" w:eastAsia="Times New Roman" w:hAnsi="Times New Roman" w:cs="Times New Roman"/>
                <w:b/>
                <w:bCs/>
                <w:kern w:val="0"/>
                <w:lang w:eastAsia="en-GB"/>
                <w14:ligatures w14:val="none"/>
              </w:rPr>
            </w:pPr>
            <w:r w:rsidRPr="009228F9">
              <w:rPr>
                <w:rFonts w:ascii="Times New Roman" w:eastAsia="Times New Roman" w:hAnsi="Times New Roman" w:cs="Times New Roman"/>
                <w:b/>
                <w:bCs/>
                <w:kern w:val="0"/>
                <w:lang w:eastAsia="en-GB"/>
                <w14:ligatures w14:val="none"/>
              </w:rPr>
              <w:t>Metric</w:t>
            </w:r>
          </w:p>
        </w:tc>
        <w:tc>
          <w:tcPr>
            <w:tcW w:w="0" w:type="auto"/>
            <w:shd w:val="clear" w:color="auto" w:fill="4C94D8" w:themeFill="text2" w:themeFillTint="80"/>
            <w:vAlign w:val="center"/>
            <w:hideMark/>
          </w:tcPr>
          <w:p w14:paraId="223BA266" w14:textId="77777777" w:rsidR="009228F9" w:rsidRPr="009228F9" w:rsidRDefault="009228F9" w:rsidP="009228F9">
            <w:pPr>
              <w:spacing w:after="0" w:line="240" w:lineRule="auto"/>
              <w:jc w:val="center"/>
              <w:rPr>
                <w:rFonts w:ascii="Times New Roman" w:eastAsia="Times New Roman" w:hAnsi="Times New Roman" w:cs="Times New Roman"/>
                <w:b/>
                <w:bCs/>
                <w:kern w:val="0"/>
                <w:lang w:eastAsia="en-GB"/>
                <w14:ligatures w14:val="none"/>
              </w:rPr>
            </w:pPr>
            <w:r w:rsidRPr="009228F9">
              <w:rPr>
                <w:rFonts w:ascii="Times New Roman" w:eastAsia="Times New Roman" w:hAnsi="Times New Roman" w:cs="Times New Roman"/>
                <w:b/>
                <w:bCs/>
                <w:kern w:val="0"/>
                <w:lang w:eastAsia="en-GB"/>
                <w14:ligatures w14:val="none"/>
              </w:rPr>
              <w:t>2023</w:t>
            </w:r>
          </w:p>
        </w:tc>
        <w:tc>
          <w:tcPr>
            <w:tcW w:w="2080" w:type="dxa"/>
            <w:shd w:val="clear" w:color="auto" w:fill="4C94D8" w:themeFill="text2" w:themeFillTint="80"/>
            <w:vAlign w:val="center"/>
            <w:hideMark/>
          </w:tcPr>
          <w:p w14:paraId="64D1DDA6" w14:textId="77777777" w:rsidR="009228F9" w:rsidRPr="009228F9" w:rsidRDefault="009228F9" w:rsidP="009228F9">
            <w:pPr>
              <w:spacing w:after="0" w:line="240" w:lineRule="auto"/>
              <w:jc w:val="center"/>
              <w:rPr>
                <w:rFonts w:ascii="Times New Roman" w:eastAsia="Times New Roman" w:hAnsi="Times New Roman" w:cs="Times New Roman"/>
                <w:b/>
                <w:bCs/>
                <w:kern w:val="0"/>
                <w:lang w:eastAsia="en-GB"/>
                <w14:ligatures w14:val="none"/>
              </w:rPr>
            </w:pPr>
            <w:r w:rsidRPr="009228F9">
              <w:rPr>
                <w:rFonts w:ascii="Times New Roman" w:eastAsia="Times New Roman" w:hAnsi="Times New Roman" w:cs="Times New Roman"/>
                <w:b/>
                <w:bCs/>
                <w:kern w:val="0"/>
                <w:lang w:eastAsia="en-GB"/>
                <w14:ligatures w14:val="none"/>
              </w:rPr>
              <w:t>2024</w:t>
            </w:r>
          </w:p>
        </w:tc>
      </w:tr>
      <w:tr w:rsidR="009228F9" w:rsidRPr="009228F9" w14:paraId="038E4507" w14:textId="77777777" w:rsidTr="009228F9">
        <w:trPr>
          <w:tblCellSpacing w:w="15" w:type="dxa"/>
        </w:trPr>
        <w:tc>
          <w:tcPr>
            <w:tcW w:w="0" w:type="auto"/>
            <w:vAlign w:val="center"/>
            <w:hideMark/>
          </w:tcPr>
          <w:p w14:paraId="0D91B145"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Revenue</w:t>
            </w:r>
          </w:p>
        </w:tc>
        <w:tc>
          <w:tcPr>
            <w:tcW w:w="0" w:type="auto"/>
            <w:vAlign w:val="center"/>
            <w:hideMark/>
          </w:tcPr>
          <w:p w14:paraId="294A6F85"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25.5 billion</w:t>
            </w:r>
          </w:p>
        </w:tc>
        <w:tc>
          <w:tcPr>
            <w:tcW w:w="2080" w:type="dxa"/>
            <w:vAlign w:val="center"/>
            <w:hideMark/>
          </w:tcPr>
          <w:p w14:paraId="27A517C9"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25.76 billion</w:t>
            </w:r>
          </w:p>
        </w:tc>
      </w:tr>
      <w:tr w:rsidR="009228F9" w:rsidRPr="009228F9" w14:paraId="345DB63F" w14:textId="77777777" w:rsidTr="009228F9">
        <w:trPr>
          <w:tblCellSpacing w:w="15" w:type="dxa"/>
        </w:trPr>
        <w:tc>
          <w:tcPr>
            <w:tcW w:w="0" w:type="auto"/>
            <w:vAlign w:val="center"/>
            <w:hideMark/>
          </w:tcPr>
          <w:p w14:paraId="03FACA34"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Net Income</w:t>
            </w:r>
          </w:p>
        </w:tc>
        <w:tc>
          <w:tcPr>
            <w:tcW w:w="0" w:type="auto"/>
            <w:vAlign w:val="center"/>
            <w:hideMark/>
          </w:tcPr>
          <w:p w14:paraId="472BEA42"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6.18 billion</w:t>
            </w:r>
          </w:p>
        </w:tc>
        <w:tc>
          <w:tcPr>
            <w:tcW w:w="2080" w:type="dxa"/>
            <w:vAlign w:val="center"/>
            <w:hideMark/>
          </w:tcPr>
          <w:p w14:paraId="7AC6B6BF"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6.3 billion</w:t>
            </w:r>
          </w:p>
        </w:tc>
      </w:tr>
      <w:tr w:rsidR="009228F9" w:rsidRPr="009228F9" w14:paraId="383DB604" w14:textId="77777777" w:rsidTr="009228F9">
        <w:trPr>
          <w:tblCellSpacing w:w="15" w:type="dxa"/>
        </w:trPr>
        <w:tc>
          <w:tcPr>
            <w:tcW w:w="0" w:type="auto"/>
            <w:vAlign w:val="center"/>
            <w:hideMark/>
          </w:tcPr>
          <w:p w14:paraId="0A256848"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Total Assets</w:t>
            </w:r>
          </w:p>
        </w:tc>
        <w:tc>
          <w:tcPr>
            <w:tcW w:w="0" w:type="auto"/>
            <w:vAlign w:val="center"/>
            <w:hideMark/>
          </w:tcPr>
          <w:p w14:paraId="581E3A04"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40.6 billion</w:t>
            </w:r>
          </w:p>
        </w:tc>
        <w:tc>
          <w:tcPr>
            <w:tcW w:w="2080" w:type="dxa"/>
            <w:vAlign w:val="center"/>
            <w:hideMark/>
          </w:tcPr>
          <w:p w14:paraId="1AA49D92"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44.8 billion</w:t>
            </w:r>
          </w:p>
        </w:tc>
      </w:tr>
      <w:tr w:rsidR="009228F9" w:rsidRPr="009228F9" w14:paraId="1EF51D34" w14:textId="77777777" w:rsidTr="009228F9">
        <w:trPr>
          <w:tblCellSpacing w:w="15" w:type="dxa"/>
        </w:trPr>
        <w:tc>
          <w:tcPr>
            <w:tcW w:w="0" w:type="auto"/>
            <w:vAlign w:val="center"/>
            <w:hideMark/>
          </w:tcPr>
          <w:p w14:paraId="327C9856"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Total Liabilities</w:t>
            </w:r>
          </w:p>
        </w:tc>
        <w:tc>
          <w:tcPr>
            <w:tcW w:w="0" w:type="auto"/>
            <w:vAlign w:val="center"/>
            <w:hideMark/>
          </w:tcPr>
          <w:p w14:paraId="70ECEFC2"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36.2 billion</w:t>
            </w:r>
          </w:p>
        </w:tc>
        <w:tc>
          <w:tcPr>
            <w:tcW w:w="2080" w:type="dxa"/>
            <w:vAlign w:val="center"/>
            <w:hideMark/>
          </w:tcPr>
          <w:p w14:paraId="4CB6E17C"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40.5 billion</w:t>
            </w:r>
          </w:p>
        </w:tc>
      </w:tr>
      <w:tr w:rsidR="009228F9" w:rsidRPr="009228F9" w14:paraId="2DE093B3" w14:textId="77777777" w:rsidTr="009228F9">
        <w:trPr>
          <w:tblCellSpacing w:w="15" w:type="dxa"/>
        </w:trPr>
        <w:tc>
          <w:tcPr>
            <w:tcW w:w="0" w:type="auto"/>
            <w:vAlign w:val="center"/>
            <w:hideMark/>
          </w:tcPr>
          <w:p w14:paraId="3C6E0E7C"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Shareholder Equity</w:t>
            </w:r>
          </w:p>
        </w:tc>
        <w:tc>
          <w:tcPr>
            <w:tcW w:w="0" w:type="auto"/>
            <w:vAlign w:val="center"/>
            <w:hideMark/>
          </w:tcPr>
          <w:p w14:paraId="652E8688"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4.4 billion</w:t>
            </w:r>
          </w:p>
        </w:tc>
        <w:tc>
          <w:tcPr>
            <w:tcW w:w="2080" w:type="dxa"/>
            <w:vAlign w:val="center"/>
            <w:hideMark/>
          </w:tcPr>
          <w:p w14:paraId="44EC074B"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4.3 billion</w:t>
            </w:r>
          </w:p>
        </w:tc>
      </w:tr>
      <w:tr w:rsidR="009228F9" w:rsidRPr="009228F9" w14:paraId="5B0DF5CF" w14:textId="77777777" w:rsidTr="009228F9">
        <w:trPr>
          <w:tblCellSpacing w:w="15" w:type="dxa"/>
        </w:trPr>
        <w:tc>
          <w:tcPr>
            <w:tcW w:w="0" w:type="auto"/>
            <w:vAlign w:val="center"/>
            <w:hideMark/>
          </w:tcPr>
          <w:p w14:paraId="1B8F107F"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Current Assets</w:t>
            </w:r>
          </w:p>
        </w:tc>
        <w:tc>
          <w:tcPr>
            <w:tcW w:w="0" w:type="auto"/>
            <w:vAlign w:val="center"/>
            <w:hideMark/>
          </w:tcPr>
          <w:p w14:paraId="5A78A323"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5.2 billion</w:t>
            </w:r>
          </w:p>
        </w:tc>
        <w:tc>
          <w:tcPr>
            <w:tcW w:w="2080" w:type="dxa"/>
            <w:vAlign w:val="center"/>
            <w:hideMark/>
          </w:tcPr>
          <w:p w14:paraId="61176F19"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5.1 billion</w:t>
            </w:r>
          </w:p>
        </w:tc>
      </w:tr>
      <w:tr w:rsidR="009228F9" w:rsidRPr="009228F9" w14:paraId="0F0CEB15" w14:textId="77777777" w:rsidTr="009228F9">
        <w:trPr>
          <w:tblCellSpacing w:w="15" w:type="dxa"/>
        </w:trPr>
        <w:tc>
          <w:tcPr>
            <w:tcW w:w="0" w:type="auto"/>
            <w:vAlign w:val="center"/>
            <w:hideMark/>
          </w:tcPr>
          <w:p w14:paraId="419BFD56"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Current Liabilities</w:t>
            </w:r>
          </w:p>
        </w:tc>
        <w:tc>
          <w:tcPr>
            <w:tcW w:w="0" w:type="auto"/>
            <w:vAlign w:val="center"/>
            <w:hideMark/>
          </w:tcPr>
          <w:p w14:paraId="18529EBE"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5.3 billion</w:t>
            </w:r>
          </w:p>
        </w:tc>
        <w:tc>
          <w:tcPr>
            <w:tcW w:w="2080" w:type="dxa"/>
            <w:vAlign w:val="center"/>
            <w:hideMark/>
          </w:tcPr>
          <w:p w14:paraId="34A091FA" w14:textId="77777777" w:rsidR="009228F9" w:rsidRPr="009228F9" w:rsidRDefault="009228F9" w:rsidP="009228F9">
            <w:pPr>
              <w:spacing w:after="0" w:line="240" w:lineRule="auto"/>
              <w:rPr>
                <w:rFonts w:ascii="Times New Roman" w:eastAsia="Times New Roman" w:hAnsi="Times New Roman" w:cs="Times New Roman"/>
                <w:kern w:val="0"/>
                <w:lang w:eastAsia="en-GB"/>
                <w14:ligatures w14:val="none"/>
              </w:rPr>
            </w:pPr>
            <w:r w:rsidRPr="009228F9">
              <w:rPr>
                <w:rFonts w:ascii="Times New Roman" w:eastAsia="Times New Roman" w:hAnsi="Times New Roman" w:cs="Times New Roman"/>
                <w:kern w:val="0"/>
                <w:lang w:eastAsia="en-GB"/>
                <w14:ligatures w14:val="none"/>
              </w:rPr>
              <w:t>USD 5.35 billion</w:t>
            </w:r>
          </w:p>
        </w:tc>
      </w:tr>
    </w:tbl>
    <w:p w14:paraId="68363690" w14:textId="77777777" w:rsidR="009228F9" w:rsidRDefault="009228F9" w:rsidP="00203450">
      <w:pPr>
        <w:spacing w:line="480" w:lineRule="auto"/>
        <w:rPr>
          <w:rFonts w:ascii="Times New Roman" w:hAnsi="Times New Roman" w:cs="Times New Roman"/>
        </w:rPr>
      </w:pPr>
    </w:p>
    <w:p w14:paraId="0F1DC391" w14:textId="65B6CC6D" w:rsidR="009228F9" w:rsidRDefault="00203450" w:rsidP="00203450">
      <w:pPr>
        <w:spacing w:line="480" w:lineRule="auto"/>
        <w:rPr>
          <w:rFonts w:ascii="Times New Roman" w:hAnsi="Times New Roman" w:cs="Times New Roman"/>
        </w:rPr>
      </w:pPr>
      <w:r w:rsidRPr="00203450">
        <w:rPr>
          <w:rFonts w:ascii="Times New Roman" w:hAnsi="Times New Roman" w:cs="Times New Roman"/>
        </w:rPr>
        <w:t>The above data will be utili</w:t>
      </w:r>
      <w:r w:rsidR="009228F9">
        <w:rPr>
          <w:rFonts w:ascii="Times New Roman" w:hAnsi="Times New Roman" w:cs="Times New Roman"/>
        </w:rPr>
        <w:t>s</w:t>
      </w:r>
      <w:r w:rsidRPr="00203450">
        <w:rPr>
          <w:rFonts w:ascii="Times New Roman" w:hAnsi="Times New Roman" w:cs="Times New Roman"/>
        </w:rPr>
        <w:t xml:space="preserve">ed to conduct the ratio analysis in this </w:t>
      </w:r>
      <w:r w:rsidR="009228F9" w:rsidRPr="00203450">
        <w:rPr>
          <w:rFonts w:ascii="Times New Roman" w:hAnsi="Times New Roman" w:cs="Times New Roman"/>
        </w:rPr>
        <w:t>report and</w:t>
      </w:r>
      <w:r w:rsidRPr="00203450">
        <w:rPr>
          <w:rFonts w:ascii="Times New Roman" w:hAnsi="Times New Roman" w:cs="Times New Roman"/>
        </w:rPr>
        <w:t xml:space="preserve"> were estimated using publicly available financial information from McDonald’s reports (McDonald’s Corporation, 2024a; 2024b).</w:t>
      </w:r>
    </w:p>
    <w:p w14:paraId="524371C9" w14:textId="77777777" w:rsidR="009228F9" w:rsidRPr="006D0591" w:rsidRDefault="00203450" w:rsidP="00203450">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Ratio Analysis and Comparison</w:t>
      </w:r>
    </w:p>
    <w:p w14:paraId="0F2D1091" w14:textId="77777777" w:rsidR="009228F9" w:rsidRDefault="00203450" w:rsidP="00203450">
      <w:pPr>
        <w:spacing w:line="480" w:lineRule="auto"/>
        <w:rPr>
          <w:rFonts w:ascii="Times New Roman" w:hAnsi="Times New Roman" w:cs="Times New Roman"/>
        </w:rPr>
      </w:pPr>
      <w:r w:rsidRPr="00203450">
        <w:rPr>
          <w:rFonts w:ascii="Times New Roman" w:hAnsi="Times New Roman" w:cs="Times New Roman"/>
        </w:rPr>
        <w:t xml:space="preserve">The report employs four key ratios to assess McDonald’s performance over the two-year period under examination, the current ratio, the net profit margin, the return on assets (ROA) and the </w:t>
      </w:r>
      <w:r w:rsidR="009228F9" w:rsidRPr="00203450">
        <w:rPr>
          <w:rFonts w:ascii="Times New Roman" w:hAnsi="Times New Roman" w:cs="Times New Roman"/>
        </w:rPr>
        <w:t>debt-to-equity</w:t>
      </w:r>
      <w:r w:rsidRPr="00203450">
        <w:rPr>
          <w:rFonts w:ascii="Times New Roman" w:hAnsi="Times New Roman" w:cs="Times New Roman"/>
        </w:rPr>
        <w:t xml:space="preserve"> ratio.</w:t>
      </w:r>
    </w:p>
    <w:p w14:paraId="35041E48" w14:textId="7A0A7B15" w:rsidR="009228F9" w:rsidRPr="006D0591" w:rsidRDefault="00203450" w:rsidP="009228F9">
      <w:pPr>
        <w:pStyle w:val="ListParagraph"/>
        <w:numPr>
          <w:ilvl w:val="0"/>
          <w:numId w:val="1"/>
        </w:num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 xml:space="preserve">Liquidity Analysis: </w:t>
      </w:r>
    </w:p>
    <w:p w14:paraId="4F6D6912" w14:textId="261DC036" w:rsidR="009228F9" w:rsidRDefault="00203450" w:rsidP="009228F9">
      <w:pPr>
        <w:spacing w:line="480" w:lineRule="auto"/>
        <w:rPr>
          <w:rFonts w:ascii="Times New Roman" w:hAnsi="Times New Roman" w:cs="Times New Roman"/>
        </w:rPr>
      </w:pPr>
      <w:r w:rsidRPr="009228F9">
        <w:rPr>
          <w:rFonts w:ascii="Times New Roman" w:hAnsi="Times New Roman" w:cs="Times New Roman"/>
        </w:rPr>
        <w:t>Current Ratio</w:t>
      </w:r>
      <w:r w:rsidR="009228F9">
        <w:rPr>
          <w:rFonts w:ascii="Times New Roman" w:hAnsi="Times New Roman" w:cs="Times New Roman"/>
        </w:rPr>
        <w:t xml:space="preserve">: </w:t>
      </w:r>
      <w:r w:rsidRPr="009228F9">
        <w:rPr>
          <w:rFonts w:ascii="Times New Roman" w:hAnsi="Times New Roman" w:cs="Times New Roman"/>
        </w:rPr>
        <w:t xml:space="preserve">The current ratio assesses a company's ability to settle its </w:t>
      </w:r>
      <w:r w:rsidR="009228F9" w:rsidRPr="009228F9">
        <w:rPr>
          <w:rFonts w:ascii="Times New Roman" w:hAnsi="Times New Roman" w:cs="Times New Roman"/>
        </w:rPr>
        <w:t>short-term</w:t>
      </w:r>
      <w:r w:rsidRPr="009228F9">
        <w:rPr>
          <w:rFonts w:ascii="Times New Roman" w:hAnsi="Times New Roman" w:cs="Times New Roman"/>
        </w:rPr>
        <w:t xml:space="preserve"> liabilities with its </w:t>
      </w:r>
      <w:r w:rsidR="009228F9" w:rsidRPr="009228F9">
        <w:rPr>
          <w:rFonts w:ascii="Times New Roman" w:hAnsi="Times New Roman" w:cs="Times New Roman"/>
        </w:rPr>
        <w:t>short-term</w:t>
      </w:r>
      <w:r w:rsidRPr="009228F9">
        <w:rPr>
          <w:rFonts w:ascii="Times New Roman" w:hAnsi="Times New Roman" w:cs="Times New Roman"/>
        </w:rPr>
        <w:t xml:space="preserve"> assets. The formula can be described as follows: </w:t>
      </w:r>
    </w:p>
    <w:p w14:paraId="785CC1CE" w14:textId="768BE1DE" w:rsidR="009228F9" w:rsidRPr="006D0591" w:rsidRDefault="009228F9" w:rsidP="006D0591">
      <w:pPr>
        <w:spacing w:line="480" w:lineRule="auto"/>
        <w:jc w:val="center"/>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Current Ratio</w:t>
      </w:r>
      <w:r w:rsidR="00203450" w:rsidRPr="006D0591">
        <w:rPr>
          <w:rFonts w:ascii="Times New Roman" w:hAnsi="Times New Roman" w:cs="Times New Roman"/>
          <w:b/>
          <w:bCs/>
          <w:color w:val="45B0E1" w:themeColor="accent1" w:themeTint="99"/>
        </w:rPr>
        <w:t xml:space="preserve"> = </w:t>
      </w:r>
      <w:r w:rsidRPr="006D0591">
        <w:rPr>
          <w:rFonts w:ascii="Times New Roman" w:hAnsi="Times New Roman" w:cs="Times New Roman"/>
          <w:b/>
          <w:bCs/>
          <w:color w:val="45B0E1" w:themeColor="accent1" w:themeTint="99"/>
        </w:rPr>
        <w:t>Current Assets</w:t>
      </w:r>
      <w:r w:rsidR="00203450" w:rsidRPr="006D0591">
        <w:rPr>
          <w:rFonts w:ascii="Times New Roman" w:hAnsi="Times New Roman" w:cs="Times New Roman"/>
          <w:b/>
          <w:bCs/>
          <w:color w:val="45B0E1" w:themeColor="accent1" w:themeTint="99"/>
        </w:rPr>
        <w:t xml:space="preserve"> </w:t>
      </w:r>
      <w:r w:rsidRPr="006D0591">
        <w:rPr>
          <w:rFonts w:ascii="Times New Roman" w:hAnsi="Times New Roman" w:cs="Times New Roman"/>
          <w:b/>
          <w:bCs/>
          <w:color w:val="45B0E1" w:themeColor="accent1" w:themeTint="99"/>
        </w:rPr>
        <w:t>/Current Liabilities</w:t>
      </w:r>
    </w:p>
    <w:p w14:paraId="203A6F00" w14:textId="77777777" w:rsidR="005D4ED7" w:rsidRDefault="00203450" w:rsidP="009228F9">
      <w:pPr>
        <w:spacing w:line="480" w:lineRule="auto"/>
        <w:rPr>
          <w:rFonts w:ascii="Times New Roman" w:hAnsi="Times New Roman" w:cs="Times New Roman"/>
        </w:rPr>
      </w:pPr>
      <w:r w:rsidRPr="009228F9">
        <w:rPr>
          <w:rFonts w:ascii="Times New Roman" w:hAnsi="Times New Roman" w:cs="Times New Roman"/>
        </w:rPr>
        <w:t>For 2023 the calculation is reported as:</w:t>
      </w:r>
    </w:p>
    <w:p w14:paraId="67AEA7B9" w14:textId="77777777" w:rsidR="005D4ED7" w:rsidRDefault="00203450" w:rsidP="009228F9">
      <w:pPr>
        <w:spacing w:line="480" w:lineRule="auto"/>
        <w:rPr>
          <w:rFonts w:ascii="Times New Roman" w:hAnsi="Times New Roman" w:cs="Times New Roman"/>
        </w:rPr>
      </w:pPr>
      <w:r w:rsidRPr="009228F9">
        <w:rPr>
          <w:rFonts w:ascii="Times New Roman" w:hAnsi="Times New Roman" w:cs="Times New Roman"/>
        </w:rPr>
        <w:t>5.2 billion</w:t>
      </w:r>
      <w:r w:rsidR="005D4ED7">
        <w:rPr>
          <w:rFonts w:ascii="Times New Roman" w:hAnsi="Times New Roman" w:cs="Times New Roman"/>
        </w:rPr>
        <w:t>/</w:t>
      </w:r>
      <w:r w:rsidRPr="009228F9">
        <w:rPr>
          <w:rFonts w:ascii="Times New Roman" w:hAnsi="Times New Roman" w:cs="Times New Roman"/>
        </w:rPr>
        <w:t>5.3 billion</w:t>
      </w:r>
      <w:r w:rsidR="005D4ED7">
        <w:rPr>
          <w:rFonts w:ascii="Times New Roman" w:hAnsi="Times New Roman" w:cs="Times New Roman"/>
        </w:rPr>
        <w:t>=</w:t>
      </w:r>
      <w:r w:rsidRPr="009228F9">
        <w:rPr>
          <w:rFonts w:ascii="Times New Roman" w:hAnsi="Times New Roman" w:cs="Times New Roman"/>
        </w:rPr>
        <w:t xml:space="preserve"> 0.98 </w:t>
      </w:r>
    </w:p>
    <w:p w14:paraId="7140C192" w14:textId="77777777" w:rsidR="005D4ED7" w:rsidRDefault="00203450" w:rsidP="009228F9">
      <w:pPr>
        <w:spacing w:line="480" w:lineRule="auto"/>
        <w:rPr>
          <w:rFonts w:ascii="Times New Roman" w:hAnsi="Times New Roman" w:cs="Times New Roman"/>
        </w:rPr>
      </w:pPr>
      <w:r w:rsidRPr="009228F9">
        <w:rPr>
          <w:rFonts w:ascii="Times New Roman" w:hAnsi="Times New Roman" w:cs="Times New Roman"/>
        </w:rPr>
        <w:t xml:space="preserve">For 2024 the current ratio can be calculated as follows:   </w:t>
      </w:r>
    </w:p>
    <w:p w14:paraId="76D38930" w14:textId="77777777" w:rsidR="005D4ED7" w:rsidRDefault="00203450" w:rsidP="009228F9">
      <w:pPr>
        <w:spacing w:line="480" w:lineRule="auto"/>
        <w:rPr>
          <w:rFonts w:ascii="Times New Roman" w:hAnsi="Times New Roman" w:cs="Times New Roman"/>
        </w:rPr>
      </w:pPr>
      <w:r w:rsidRPr="009228F9">
        <w:rPr>
          <w:rFonts w:ascii="Times New Roman" w:hAnsi="Times New Roman" w:cs="Times New Roman"/>
        </w:rPr>
        <w:lastRenderedPageBreak/>
        <w:t>5.1 billion</w:t>
      </w:r>
      <w:r w:rsidR="005D4ED7">
        <w:rPr>
          <w:rFonts w:ascii="Times New Roman" w:hAnsi="Times New Roman" w:cs="Times New Roman"/>
        </w:rPr>
        <w:t>/</w:t>
      </w:r>
      <w:r w:rsidRPr="009228F9">
        <w:rPr>
          <w:rFonts w:ascii="Times New Roman" w:hAnsi="Times New Roman" w:cs="Times New Roman"/>
        </w:rPr>
        <w:t>5.35 billion</w:t>
      </w:r>
      <w:r w:rsidR="005D4ED7">
        <w:rPr>
          <w:rFonts w:ascii="Times New Roman" w:hAnsi="Times New Roman" w:cs="Times New Roman"/>
        </w:rPr>
        <w:t>=</w:t>
      </w:r>
      <w:r w:rsidRPr="009228F9">
        <w:rPr>
          <w:rFonts w:ascii="Times New Roman" w:hAnsi="Times New Roman" w:cs="Times New Roman"/>
        </w:rPr>
        <w:t xml:space="preserve">0.95  </w:t>
      </w:r>
    </w:p>
    <w:p w14:paraId="1F1F6D5C" w14:textId="42F37F95" w:rsidR="005D4ED7" w:rsidRDefault="00203450" w:rsidP="009228F9">
      <w:pPr>
        <w:spacing w:line="480" w:lineRule="auto"/>
        <w:rPr>
          <w:rFonts w:ascii="Times New Roman" w:hAnsi="Times New Roman" w:cs="Times New Roman"/>
        </w:rPr>
      </w:pPr>
      <w:r w:rsidRPr="009228F9">
        <w:rPr>
          <w:rFonts w:ascii="Times New Roman" w:hAnsi="Times New Roman" w:cs="Times New Roman"/>
        </w:rPr>
        <w:t xml:space="preserve">The current ratio </w:t>
      </w:r>
      <w:r w:rsidR="005D4ED7" w:rsidRPr="009228F9">
        <w:rPr>
          <w:rFonts w:ascii="Times New Roman" w:hAnsi="Times New Roman" w:cs="Times New Roman"/>
        </w:rPr>
        <w:t>indicates</w:t>
      </w:r>
      <w:r w:rsidRPr="009228F9">
        <w:rPr>
          <w:rFonts w:ascii="Times New Roman" w:hAnsi="Times New Roman" w:cs="Times New Roman"/>
        </w:rPr>
        <w:t xml:space="preserve"> a reduction in willingness to pay for short term obligations year over year, from 2023 to 2024. According to Brigham and Houston (2022), if a firm's current ratio is less than 1, it may struggle to pay short-term liabilities without external financing.</w:t>
      </w:r>
    </w:p>
    <w:p w14:paraId="21747CFB" w14:textId="0CEB6DBF" w:rsidR="005D4ED7" w:rsidRPr="006D0591" w:rsidRDefault="00203450" w:rsidP="005D4ED7">
      <w:pPr>
        <w:pStyle w:val="ListParagraph"/>
        <w:numPr>
          <w:ilvl w:val="0"/>
          <w:numId w:val="1"/>
        </w:num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Profitability Analysis</w:t>
      </w:r>
    </w:p>
    <w:p w14:paraId="55B8E56E" w14:textId="77777777" w:rsidR="005D4ED7" w:rsidRDefault="00203450" w:rsidP="005D4ED7">
      <w:pPr>
        <w:spacing w:line="480" w:lineRule="auto"/>
        <w:rPr>
          <w:rFonts w:ascii="Times New Roman" w:hAnsi="Times New Roman" w:cs="Times New Roman"/>
        </w:rPr>
      </w:pPr>
      <w:r w:rsidRPr="005D4ED7">
        <w:rPr>
          <w:rFonts w:ascii="Times New Roman" w:hAnsi="Times New Roman" w:cs="Times New Roman"/>
        </w:rPr>
        <w:t>Net Profit Margin</w:t>
      </w:r>
      <w:r w:rsidR="005D4ED7">
        <w:rPr>
          <w:rFonts w:ascii="Times New Roman" w:hAnsi="Times New Roman" w:cs="Times New Roman"/>
        </w:rPr>
        <w:t xml:space="preserve">: </w:t>
      </w:r>
      <w:r w:rsidRPr="005D4ED7">
        <w:rPr>
          <w:rFonts w:ascii="Times New Roman" w:hAnsi="Times New Roman" w:cs="Times New Roman"/>
        </w:rPr>
        <w:t>The net profit margin represents the percentage of sales that counts as profit after all expenses are deducted and is calculated as follows:</w:t>
      </w:r>
    </w:p>
    <w:p w14:paraId="7D6B6D13" w14:textId="783A7AF4" w:rsidR="005D4ED7" w:rsidRPr="006D0591" w:rsidRDefault="00203450" w:rsidP="006D0591">
      <w:pPr>
        <w:spacing w:line="480" w:lineRule="auto"/>
        <w:jc w:val="center"/>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Net Profit Margin=Net IncomeRevenue×100</w:t>
      </w:r>
    </w:p>
    <w:p w14:paraId="4E54561B" w14:textId="77777777" w:rsidR="005D4ED7" w:rsidRDefault="00203450" w:rsidP="005D4ED7">
      <w:pPr>
        <w:spacing w:line="480" w:lineRule="auto"/>
        <w:rPr>
          <w:rFonts w:ascii="Times New Roman" w:hAnsi="Times New Roman" w:cs="Times New Roman"/>
        </w:rPr>
      </w:pPr>
      <w:r w:rsidRPr="005D4ED7">
        <w:rPr>
          <w:rFonts w:ascii="Times New Roman" w:hAnsi="Times New Roman" w:cs="Times New Roman"/>
        </w:rPr>
        <w:t>For 2023, net profit margin is calculated as:</w:t>
      </w:r>
    </w:p>
    <w:p w14:paraId="236200A9" w14:textId="77777777" w:rsidR="005D4ED7" w:rsidRDefault="00203450" w:rsidP="005D4ED7">
      <w:pPr>
        <w:spacing w:line="480" w:lineRule="auto"/>
        <w:rPr>
          <w:rFonts w:ascii="Times New Roman" w:hAnsi="Times New Roman" w:cs="Times New Roman"/>
        </w:rPr>
      </w:pPr>
      <w:r w:rsidRPr="005D4ED7">
        <w:rPr>
          <w:rFonts w:ascii="Times New Roman" w:hAnsi="Times New Roman" w:cs="Times New Roman"/>
        </w:rPr>
        <w:t>25.5 billion</w:t>
      </w:r>
      <w:r w:rsidR="005D4ED7">
        <w:rPr>
          <w:rFonts w:ascii="Times New Roman" w:hAnsi="Times New Roman" w:cs="Times New Roman"/>
        </w:rPr>
        <w:t>/</w:t>
      </w:r>
      <w:r w:rsidRPr="005D4ED7">
        <w:rPr>
          <w:rFonts w:ascii="Times New Roman" w:hAnsi="Times New Roman" w:cs="Times New Roman"/>
        </w:rPr>
        <w:t>6.18 billion​ ×100</w:t>
      </w:r>
      <w:r w:rsidR="005D4ED7">
        <w:rPr>
          <w:rFonts w:ascii="Times New Roman" w:hAnsi="Times New Roman" w:cs="Times New Roman"/>
        </w:rPr>
        <w:t>=</w:t>
      </w:r>
      <w:r w:rsidRPr="005D4ED7">
        <w:rPr>
          <w:rFonts w:ascii="Times New Roman" w:hAnsi="Times New Roman" w:cs="Times New Roman"/>
        </w:rPr>
        <w:t>24.24%</w:t>
      </w:r>
    </w:p>
    <w:p w14:paraId="3F13A7D7" w14:textId="77777777" w:rsidR="005D4ED7" w:rsidRDefault="00203450" w:rsidP="005D4ED7">
      <w:pPr>
        <w:spacing w:line="480" w:lineRule="auto"/>
        <w:rPr>
          <w:rFonts w:ascii="Times New Roman" w:hAnsi="Times New Roman" w:cs="Times New Roman"/>
        </w:rPr>
      </w:pPr>
      <w:r w:rsidRPr="005D4ED7">
        <w:rPr>
          <w:rFonts w:ascii="Times New Roman" w:hAnsi="Times New Roman" w:cs="Times New Roman"/>
        </w:rPr>
        <w:t>For 2024, net profit margin is calculated as:</w:t>
      </w:r>
    </w:p>
    <w:p w14:paraId="1996FF90" w14:textId="77777777" w:rsidR="005D4ED7" w:rsidRDefault="00203450" w:rsidP="005D4ED7">
      <w:pPr>
        <w:spacing w:line="480" w:lineRule="auto"/>
        <w:rPr>
          <w:rFonts w:ascii="Times New Roman" w:hAnsi="Times New Roman" w:cs="Times New Roman"/>
        </w:rPr>
      </w:pPr>
      <w:r w:rsidRPr="005D4ED7">
        <w:rPr>
          <w:rFonts w:ascii="Times New Roman" w:hAnsi="Times New Roman" w:cs="Times New Roman"/>
        </w:rPr>
        <w:t>6.3 billion</w:t>
      </w:r>
      <w:r w:rsidR="005D4ED7">
        <w:rPr>
          <w:rFonts w:ascii="Times New Roman" w:hAnsi="Times New Roman" w:cs="Times New Roman"/>
        </w:rPr>
        <w:t>/</w:t>
      </w:r>
      <w:r w:rsidRPr="005D4ED7">
        <w:rPr>
          <w:rFonts w:ascii="Times New Roman" w:hAnsi="Times New Roman" w:cs="Times New Roman"/>
        </w:rPr>
        <w:t>25.76 billion×100</w:t>
      </w:r>
      <w:r w:rsidR="005D4ED7">
        <w:rPr>
          <w:rFonts w:ascii="Times New Roman" w:hAnsi="Times New Roman" w:cs="Times New Roman"/>
        </w:rPr>
        <w:t>=</w:t>
      </w:r>
      <w:r w:rsidRPr="005D4ED7">
        <w:rPr>
          <w:rFonts w:ascii="Times New Roman" w:hAnsi="Times New Roman" w:cs="Times New Roman"/>
        </w:rPr>
        <w:t>24.47%</w:t>
      </w:r>
    </w:p>
    <w:p w14:paraId="46EE5CD6" w14:textId="17A851DE" w:rsidR="00CB395D" w:rsidRDefault="00203450" w:rsidP="005D4ED7">
      <w:pPr>
        <w:spacing w:line="480" w:lineRule="auto"/>
        <w:rPr>
          <w:rFonts w:ascii="Times New Roman" w:hAnsi="Times New Roman" w:cs="Times New Roman"/>
        </w:rPr>
      </w:pPr>
      <w:r w:rsidRPr="005D4ED7">
        <w:rPr>
          <w:rFonts w:ascii="Times New Roman" w:hAnsi="Times New Roman" w:cs="Times New Roman"/>
        </w:rPr>
        <w:t xml:space="preserve">The analysis supports a small </w:t>
      </w:r>
      <w:r w:rsidR="00CB395D">
        <w:rPr>
          <w:rFonts w:ascii="Times New Roman" w:hAnsi="Times New Roman" w:cs="Times New Roman"/>
        </w:rPr>
        <w:t>increase</w:t>
      </w:r>
      <w:r w:rsidRPr="005D4ED7">
        <w:rPr>
          <w:rFonts w:ascii="Times New Roman" w:hAnsi="Times New Roman" w:cs="Times New Roman"/>
        </w:rPr>
        <w:t xml:space="preserve"> in net profit margin for 2024. Even though their revenue per this measure did not change much year over year, controlling costs and managing expenses slightly increased profitability. </w:t>
      </w:r>
      <w:r w:rsidR="00CB395D">
        <w:rPr>
          <w:rFonts w:ascii="Times New Roman" w:hAnsi="Times New Roman" w:cs="Times New Roman"/>
        </w:rPr>
        <w:t>E</w:t>
      </w:r>
      <w:r w:rsidRPr="005D4ED7">
        <w:rPr>
          <w:rFonts w:ascii="Times New Roman" w:hAnsi="Times New Roman" w:cs="Times New Roman"/>
        </w:rPr>
        <w:t>fficiency improvements in operations can sometimes produce more profit margin growth with little revenue growth</w:t>
      </w:r>
      <w:r w:rsidR="00CB395D">
        <w:rPr>
          <w:rFonts w:ascii="Times New Roman" w:hAnsi="Times New Roman" w:cs="Times New Roman"/>
        </w:rPr>
        <w:t xml:space="preserve"> (</w:t>
      </w:r>
      <w:r w:rsidR="00CB395D" w:rsidRPr="00CB395D">
        <w:rPr>
          <w:rFonts w:ascii="Times New Roman" w:hAnsi="Times New Roman" w:cs="Times New Roman"/>
        </w:rPr>
        <w:t>Wild et al.</w:t>
      </w:r>
      <w:r w:rsidR="00CB395D">
        <w:rPr>
          <w:rFonts w:ascii="Times New Roman" w:hAnsi="Times New Roman" w:cs="Times New Roman"/>
        </w:rPr>
        <w:t xml:space="preserve">, </w:t>
      </w:r>
      <w:r w:rsidR="00CB395D" w:rsidRPr="00CB395D">
        <w:rPr>
          <w:rFonts w:ascii="Times New Roman" w:hAnsi="Times New Roman" w:cs="Times New Roman"/>
        </w:rPr>
        <w:t>2014)</w:t>
      </w:r>
      <w:r w:rsidR="00CB395D">
        <w:rPr>
          <w:rFonts w:ascii="Times New Roman" w:hAnsi="Times New Roman" w:cs="Times New Roman"/>
        </w:rPr>
        <w:t>.</w:t>
      </w:r>
    </w:p>
    <w:p w14:paraId="17B0DE73" w14:textId="77529E8B" w:rsidR="00CB395D" w:rsidRPr="006D0591" w:rsidRDefault="00203450" w:rsidP="00CB395D">
      <w:pPr>
        <w:pStyle w:val="ListParagraph"/>
        <w:numPr>
          <w:ilvl w:val="0"/>
          <w:numId w:val="1"/>
        </w:num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 xml:space="preserve">Efficiency Analysis: </w:t>
      </w:r>
    </w:p>
    <w:p w14:paraId="58E78859" w14:textId="77777777" w:rsidR="00CB395D" w:rsidRDefault="00203450" w:rsidP="00CB395D">
      <w:pPr>
        <w:spacing w:line="480" w:lineRule="auto"/>
        <w:rPr>
          <w:rFonts w:ascii="Times New Roman" w:hAnsi="Times New Roman" w:cs="Times New Roman"/>
        </w:rPr>
      </w:pPr>
      <w:r w:rsidRPr="00CB395D">
        <w:rPr>
          <w:rFonts w:ascii="Times New Roman" w:hAnsi="Times New Roman" w:cs="Times New Roman"/>
        </w:rPr>
        <w:t>Return on Assets (ROA)</w:t>
      </w:r>
      <w:r w:rsidR="00CB395D">
        <w:rPr>
          <w:rFonts w:ascii="Times New Roman" w:hAnsi="Times New Roman" w:cs="Times New Roman"/>
        </w:rPr>
        <w:t xml:space="preserve">:  </w:t>
      </w:r>
      <w:r w:rsidRPr="00CB395D">
        <w:rPr>
          <w:rFonts w:ascii="Times New Roman" w:hAnsi="Times New Roman" w:cs="Times New Roman"/>
        </w:rPr>
        <w:t>Return on Assets (ROA) indicates how effectively a company is using its assets to create profit.</w:t>
      </w:r>
      <w:r w:rsidR="00CB395D">
        <w:rPr>
          <w:rFonts w:ascii="Times New Roman" w:hAnsi="Times New Roman" w:cs="Times New Roman"/>
        </w:rPr>
        <w:t xml:space="preserve"> </w:t>
      </w:r>
      <w:r w:rsidRPr="00CB395D">
        <w:rPr>
          <w:rFonts w:ascii="Times New Roman" w:hAnsi="Times New Roman" w:cs="Times New Roman"/>
        </w:rPr>
        <w:t xml:space="preserve">This formula </w:t>
      </w:r>
      <w:r w:rsidR="00CB395D">
        <w:rPr>
          <w:rFonts w:ascii="Times New Roman" w:hAnsi="Times New Roman" w:cs="Times New Roman"/>
        </w:rPr>
        <w:t>for</w:t>
      </w:r>
      <w:r w:rsidRPr="00CB395D">
        <w:rPr>
          <w:rFonts w:ascii="Times New Roman" w:hAnsi="Times New Roman" w:cs="Times New Roman"/>
        </w:rPr>
        <w:t xml:space="preserve"> the following calculations</w:t>
      </w:r>
      <w:r w:rsidR="00CB395D">
        <w:rPr>
          <w:rFonts w:ascii="Times New Roman" w:hAnsi="Times New Roman" w:cs="Times New Roman"/>
        </w:rPr>
        <w:t xml:space="preserve"> is</w:t>
      </w:r>
      <w:r w:rsidRPr="00CB395D">
        <w:rPr>
          <w:rFonts w:ascii="Times New Roman" w:hAnsi="Times New Roman" w:cs="Times New Roman"/>
        </w:rPr>
        <w:t xml:space="preserve">: </w:t>
      </w:r>
    </w:p>
    <w:p w14:paraId="4329880D" w14:textId="77777777" w:rsidR="00CB395D" w:rsidRPr="006D0591" w:rsidRDefault="00203450" w:rsidP="006D0591">
      <w:pPr>
        <w:spacing w:line="480" w:lineRule="auto"/>
        <w:jc w:val="center"/>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 xml:space="preserve">ROA = Net Income </w:t>
      </w:r>
      <w:r w:rsidR="00CB395D" w:rsidRPr="006D0591">
        <w:rPr>
          <w:rFonts w:ascii="Times New Roman" w:hAnsi="Times New Roman" w:cs="Times New Roman"/>
          <w:b/>
          <w:bCs/>
          <w:color w:val="45B0E1" w:themeColor="accent1" w:themeTint="99"/>
        </w:rPr>
        <w:t>/</w:t>
      </w:r>
      <w:r w:rsidRPr="006D0591">
        <w:rPr>
          <w:rFonts w:ascii="Times New Roman" w:hAnsi="Times New Roman" w:cs="Times New Roman"/>
          <w:b/>
          <w:bCs/>
          <w:color w:val="45B0E1" w:themeColor="accent1" w:themeTint="99"/>
        </w:rPr>
        <w:t>Total Assets× 100</w:t>
      </w:r>
    </w:p>
    <w:p w14:paraId="73471947" w14:textId="1D9D9E6B" w:rsidR="00CB395D" w:rsidRDefault="00CB395D" w:rsidP="00CB395D">
      <w:pPr>
        <w:spacing w:line="480" w:lineRule="auto"/>
        <w:rPr>
          <w:rFonts w:ascii="Times New Roman" w:hAnsi="Times New Roman" w:cs="Times New Roman"/>
        </w:rPr>
      </w:pPr>
      <w:r>
        <w:rPr>
          <w:rFonts w:ascii="Times New Roman" w:hAnsi="Times New Roman" w:cs="Times New Roman"/>
        </w:rPr>
        <w:t>I</w:t>
      </w:r>
      <w:r w:rsidR="00203450" w:rsidRPr="00CB395D">
        <w:rPr>
          <w:rFonts w:ascii="Times New Roman" w:hAnsi="Times New Roman" w:cs="Times New Roman"/>
        </w:rPr>
        <w:t xml:space="preserve">n 2023 </w:t>
      </w:r>
      <w:r>
        <w:rPr>
          <w:rFonts w:ascii="Times New Roman" w:hAnsi="Times New Roman" w:cs="Times New Roman"/>
        </w:rPr>
        <w:t xml:space="preserve">ROA is calculated: </w:t>
      </w:r>
    </w:p>
    <w:p w14:paraId="28BB13C9" w14:textId="29CCDA7F" w:rsidR="00CB395D" w:rsidRDefault="00203450" w:rsidP="00CB395D">
      <w:pPr>
        <w:spacing w:line="480" w:lineRule="auto"/>
        <w:rPr>
          <w:rFonts w:ascii="Times New Roman" w:hAnsi="Times New Roman" w:cs="Times New Roman"/>
        </w:rPr>
      </w:pPr>
      <w:r w:rsidRPr="00CB395D">
        <w:rPr>
          <w:rFonts w:ascii="Times New Roman" w:hAnsi="Times New Roman" w:cs="Times New Roman"/>
        </w:rPr>
        <w:lastRenderedPageBreak/>
        <w:t>6.18 billion</w:t>
      </w:r>
      <w:r w:rsidR="00CB395D">
        <w:rPr>
          <w:rFonts w:ascii="Times New Roman" w:hAnsi="Times New Roman" w:cs="Times New Roman"/>
        </w:rPr>
        <w:t>/</w:t>
      </w:r>
      <w:r w:rsidRPr="00CB395D">
        <w:rPr>
          <w:rFonts w:ascii="Times New Roman" w:hAnsi="Times New Roman" w:cs="Times New Roman"/>
        </w:rPr>
        <w:t xml:space="preserve"> 40.6 billion × 100 </w:t>
      </w:r>
      <w:r w:rsidR="00CB395D">
        <w:rPr>
          <w:rFonts w:ascii="Times New Roman" w:hAnsi="Times New Roman" w:cs="Times New Roman"/>
        </w:rPr>
        <w:t>=</w:t>
      </w:r>
      <w:r w:rsidRPr="00CB395D">
        <w:rPr>
          <w:rFonts w:ascii="Times New Roman" w:hAnsi="Times New Roman" w:cs="Times New Roman"/>
        </w:rPr>
        <w:t xml:space="preserve"> 15.23% </w:t>
      </w:r>
    </w:p>
    <w:p w14:paraId="1C8BEEBD" w14:textId="77777777" w:rsidR="00CB395D" w:rsidRDefault="00203450" w:rsidP="00CB395D">
      <w:pPr>
        <w:spacing w:line="480" w:lineRule="auto"/>
        <w:rPr>
          <w:rFonts w:ascii="Times New Roman" w:hAnsi="Times New Roman" w:cs="Times New Roman"/>
        </w:rPr>
      </w:pPr>
      <w:r w:rsidRPr="00CB395D">
        <w:rPr>
          <w:rFonts w:ascii="Times New Roman" w:hAnsi="Times New Roman" w:cs="Times New Roman"/>
        </w:rPr>
        <w:t>In 2024 ROA is calculated:</w:t>
      </w:r>
    </w:p>
    <w:p w14:paraId="54140C9B" w14:textId="77777777" w:rsidR="00CB395D" w:rsidRDefault="00203450" w:rsidP="00CB395D">
      <w:pPr>
        <w:spacing w:line="480" w:lineRule="auto"/>
        <w:rPr>
          <w:rFonts w:ascii="Times New Roman" w:hAnsi="Times New Roman" w:cs="Times New Roman"/>
        </w:rPr>
      </w:pPr>
      <w:r w:rsidRPr="00CB395D">
        <w:rPr>
          <w:rFonts w:ascii="Times New Roman" w:hAnsi="Times New Roman" w:cs="Times New Roman"/>
        </w:rPr>
        <w:t xml:space="preserve">6.3 billion </w:t>
      </w:r>
      <w:r w:rsidR="00CB395D">
        <w:rPr>
          <w:rFonts w:ascii="Times New Roman" w:hAnsi="Times New Roman" w:cs="Times New Roman"/>
        </w:rPr>
        <w:t>/</w:t>
      </w:r>
      <w:r w:rsidRPr="00CB395D">
        <w:rPr>
          <w:rFonts w:ascii="Times New Roman" w:hAnsi="Times New Roman" w:cs="Times New Roman"/>
        </w:rPr>
        <w:t xml:space="preserve">44.8 billion × 100 </w:t>
      </w:r>
      <w:r w:rsidR="00CB395D">
        <w:rPr>
          <w:rFonts w:ascii="Times New Roman" w:hAnsi="Times New Roman" w:cs="Times New Roman"/>
        </w:rPr>
        <w:t>=</w:t>
      </w:r>
      <w:r w:rsidRPr="00CB395D">
        <w:rPr>
          <w:rFonts w:ascii="Times New Roman" w:hAnsi="Times New Roman" w:cs="Times New Roman"/>
        </w:rPr>
        <w:t xml:space="preserve"> 14.06%. </w:t>
      </w:r>
    </w:p>
    <w:p w14:paraId="58E897D3" w14:textId="64BA8841" w:rsidR="007A7E18" w:rsidRDefault="00203450" w:rsidP="00CB395D">
      <w:pPr>
        <w:spacing w:line="480" w:lineRule="auto"/>
        <w:rPr>
          <w:rFonts w:ascii="Times New Roman" w:hAnsi="Times New Roman" w:cs="Times New Roman"/>
        </w:rPr>
      </w:pPr>
      <w:r w:rsidRPr="00CB395D">
        <w:rPr>
          <w:rFonts w:ascii="Times New Roman" w:hAnsi="Times New Roman" w:cs="Times New Roman"/>
        </w:rPr>
        <w:t>With ROA dropping from 15.23% to 14.06%, it indicates that McDonald's was slightly less effective in its 2024 utili</w:t>
      </w:r>
      <w:r w:rsidR="007A7E18">
        <w:rPr>
          <w:rFonts w:ascii="Times New Roman" w:hAnsi="Times New Roman" w:cs="Times New Roman"/>
        </w:rPr>
        <w:t>s</w:t>
      </w:r>
      <w:r w:rsidRPr="00CB395D">
        <w:rPr>
          <w:rFonts w:ascii="Times New Roman" w:hAnsi="Times New Roman" w:cs="Times New Roman"/>
        </w:rPr>
        <w:t xml:space="preserve">ation of total assets for profit than in the previous year. </w:t>
      </w:r>
      <w:r w:rsidR="007A7E18">
        <w:rPr>
          <w:rFonts w:ascii="Times New Roman" w:hAnsi="Times New Roman" w:cs="Times New Roman"/>
        </w:rPr>
        <w:t>L</w:t>
      </w:r>
      <w:r w:rsidRPr="00CB395D">
        <w:rPr>
          <w:rFonts w:ascii="Times New Roman" w:hAnsi="Times New Roman" w:cs="Times New Roman"/>
        </w:rPr>
        <w:t>ower ROA could be due to increased operational expenses or total assets growing without the same proportions in net income</w:t>
      </w:r>
      <w:r w:rsidR="007A7E18" w:rsidRPr="007A7E18">
        <w:t xml:space="preserve"> </w:t>
      </w:r>
      <w:r w:rsidR="007A7E18">
        <w:t>(</w:t>
      </w:r>
      <w:r w:rsidR="007A7E18" w:rsidRPr="007A7E18">
        <w:rPr>
          <w:rFonts w:ascii="Times New Roman" w:hAnsi="Times New Roman" w:cs="Times New Roman"/>
        </w:rPr>
        <w:t>Penman</w:t>
      </w:r>
      <w:r w:rsidR="007A7E18">
        <w:rPr>
          <w:rFonts w:ascii="Times New Roman" w:hAnsi="Times New Roman" w:cs="Times New Roman"/>
        </w:rPr>
        <w:t xml:space="preserve">, </w:t>
      </w:r>
      <w:r w:rsidR="007A7E18" w:rsidRPr="007A7E18">
        <w:rPr>
          <w:rFonts w:ascii="Times New Roman" w:hAnsi="Times New Roman" w:cs="Times New Roman"/>
        </w:rPr>
        <w:t>2013)</w:t>
      </w:r>
      <w:r w:rsidR="007A7E18">
        <w:rPr>
          <w:rFonts w:ascii="Times New Roman" w:hAnsi="Times New Roman" w:cs="Times New Roman"/>
        </w:rPr>
        <w:t>.</w:t>
      </w:r>
    </w:p>
    <w:p w14:paraId="13C77DBA" w14:textId="672F01BD" w:rsidR="007A7E18" w:rsidRPr="006D0591" w:rsidRDefault="00203450" w:rsidP="007A7E18">
      <w:pPr>
        <w:pStyle w:val="ListParagraph"/>
        <w:numPr>
          <w:ilvl w:val="0"/>
          <w:numId w:val="1"/>
        </w:num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 xml:space="preserve">Solvency Analysis: </w:t>
      </w:r>
    </w:p>
    <w:p w14:paraId="61EC36F7" w14:textId="77777777" w:rsidR="007A7E18" w:rsidRDefault="00203450" w:rsidP="007A7E18">
      <w:pPr>
        <w:spacing w:line="480" w:lineRule="auto"/>
        <w:rPr>
          <w:rFonts w:ascii="Times New Roman" w:hAnsi="Times New Roman" w:cs="Times New Roman"/>
        </w:rPr>
      </w:pPr>
      <w:r w:rsidRPr="007A7E18">
        <w:rPr>
          <w:rFonts w:ascii="Times New Roman" w:hAnsi="Times New Roman" w:cs="Times New Roman"/>
        </w:rPr>
        <w:t>Debt-to-Equity Ratio</w:t>
      </w:r>
      <w:r w:rsidR="007A7E18">
        <w:rPr>
          <w:rFonts w:ascii="Times New Roman" w:hAnsi="Times New Roman" w:cs="Times New Roman"/>
        </w:rPr>
        <w:t xml:space="preserve">: </w:t>
      </w:r>
      <w:r w:rsidRPr="007A7E18">
        <w:rPr>
          <w:rFonts w:ascii="Times New Roman" w:hAnsi="Times New Roman" w:cs="Times New Roman"/>
        </w:rPr>
        <w:t xml:space="preserve">The debt-to-equity ratio would signal how much a company finances its operations with loans versus funds owned. The formula here is: </w:t>
      </w:r>
    </w:p>
    <w:p w14:paraId="1BC2E5BD" w14:textId="48441367" w:rsidR="007A7E18" w:rsidRPr="006D0591" w:rsidRDefault="00203450" w:rsidP="006D0591">
      <w:pPr>
        <w:spacing w:line="480" w:lineRule="auto"/>
        <w:jc w:val="center"/>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Debt-to-Equity Ratio = Total Liabilities</w:t>
      </w:r>
      <w:r w:rsidR="007A7E18" w:rsidRPr="006D0591">
        <w:rPr>
          <w:rFonts w:ascii="Times New Roman" w:hAnsi="Times New Roman" w:cs="Times New Roman"/>
          <w:b/>
          <w:bCs/>
          <w:color w:val="45B0E1" w:themeColor="accent1" w:themeTint="99"/>
        </w:rPr>
        <w:t>/</w:t>
      </w:r>
      <w:r w:rsidRPr="006D0591">
        <w:rPr>
          <w:rFonts w:ascii="Times New Roman" w:hAnsi="Times New Roman" w:cs="Times New Roman"/>
          <w:b/>
          <w:bCs/>
          <w:color w:val="45B0E1" w:themeColor="accent1" w:themeTint="99"/>
        </w:rPr>
        <w:t xml:space="preserve"> Shareholder Equity</w:t>
      </w:r>
    </w:p>
    <w:p w14:paraId="3E62D1ED" w14:textId="5526E6BA" w:rsidR="007A7E18"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In 2023 the calculation </w:t>
      </w:r>
      <w:r w:rsidR="007A7E18">
        <w:rPr>
          <w:rFonts w:ascii="Times New Roman" w:hAnsi="Times New Roman" w:cs="Times New Roman"/>
        </w:rPr>
        <w:t>is</w:t>
      </w:r>
      <w:r w:rsidRPr="007A7E18">
        <w:rPr>
          <w:rFonts w:ascii="Times New Roman" w:hAnsi="Times New Roman" w:cs="Times New Roman"/>
        </w:rPr>
        <w:t xml:space="preserve">: </w:t>
      </w:r>
    </w:p>
    <w:p w14:paraId="205629C0" w14:textId="22E66724" w:rsidR="007A7E18"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36.2 billion </w:t>
      </w:r>
      <w:r w:rsidR="007A7E18">
        <w:rPr>
          <w:rFonts w:ascii="Times New Roman" w:hAnsi="Times New Roman" w:cs="Times New Roman"/>
        </w:rPr>
        <w:t>/</w:t>
      </w:r>
      <w:r w:rsidRPr="007A7E18">
        <w:rPr>
          <w:rFonts w:ascii="Times New Roman" w:hAnsi="Times New Roman" w:cs="Times New Roman"/>
        </w:rPr>
        <w:t xml:space="preserve">4.4 billion </w:t>
      </w:r>
      <w:r w:rsidR="007A7E18">
        <w:rPr>
          <w:rFonts w:ascii="Times New Roman" w:hAnsi="Times New Roman" w:cs="Times New Roman"/>
        </w:rPr>
        <w:t>=</w:t>
      </w:r>
      <w:r w:rsidRPr="007A7E18">
        <w:rPr>
          <w:rFonts w:ascii="Times New Roman" w:hAnsi="Times New Roman" w:cs="Times New Roman"/>
        </w:rPr>
        <w:t xml:space="preserve"> 8.23 </w:t>
      </w:r>
    </w:p>
    <w:p w14:paraId="51D37BC4" w14:textId="641A5B24" w:rsidR="007A7E18" w:rsidRDefault="007A7E18" w:rsidP="007A7E18">
      <w:pPr>
        <w:spacing w:line="480" w:lineRule="auto"/>
        <w:rPr>
          <w:rFonts w:ascii="Times New Roman" w:hAnsi="Times New Roman" w:cs="Times New Roman"/>
        </w:rPr>
      </w:pPr>
      <w:r>
        <w:rPr>
          <w:rFonts w:ascii="Times New Roman" w:hAnsi="Times New Roman" w:cs="Times New Roman"/>
        </w:rPr>
        <w:t xml:space="preserve">In 2024 the calculation is: </w:t>
      </w:r>
    </w:p>
    <w:p w14:paraId="3AC49720" w14:textId="77777777" w:rsidR="007A7E18"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40.5 billion </w:t>
      </w:r>
      <w:r w:rsidR="007A7E18">
        <w:rPr>
          <w:rFonts w:ascii="Times New Roman" w:hAnsi="Times New Roman" w:cs="Times New Roman"/>
        </w:rPr>
        <w:t>/</w:t>
      </w:r>
      <w:r w:rsidRPr="007A7E18">
        <w:rPr>
          <w:rFonts w:ascii="Times New Roman" w:hAnsi="Times New Roman" w:cs="Times New Roman"/>
        </w:rPr>
        <w:t xml:space="preserve">4.3 billion </w:t>
      </w:r>
      <w:r w:rsidR="007A7E18">
        <w:rPr>
          <w:rFonts w:ascii="Times New Roman" w:hAnsi="Times New Roman" w:cs="Times New Roman"/>
        </w:rPr>
        <w:t>=</w:t>
      </w:r>
      <w:r w:rsidRPr="007A7E18">
        <w:rPr>
          <w:rFonts w:ascii="Times New Roman" w:hAnsi="Times New Roman" w:cs="Times New Roman"/>
        </w:rPr>
        <w:t xml:space="preserve">9.42. </w:t>
      </w:r>
    </w:p>
    <w:p w14:paraId="105E3E4A" w14:textId="2D4E4AC4" w:rsidR="007A7E18"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With debt-to-equity ratio increasing from 8.23 to 9.42, it indicates that in 2024, McDonald's had increased debt financing compared to 2023. </w:t>
      </w:r>
      <w:r w:rsidR="007A7E18">
        <w:rPr>
          <w:rFonts w:ascii="Times New Roman" w:hAnsi="Times New Roman" w:cs="Times New Roman"/>
        </w:rPr>
        <w:t>M</w:t>
      </w:r>
      <w:r w:rsidRPr="007A7E18">
        <w:rPr>
          <w:rFonts w:ascii="Times New Roman" w:hAnsi="Times New Roman" w:cs="Times New Roman"/>
        </w:rPr>
        <w:t xml:space="preserve">ore increasing dependency on debt financing creates risk when uncertainty in the economy is </w:t>
      </w:r>
      <w:r w:rsidR="007A7E18" w:rsidRPr="007A7E18">
        <w:rPr>
          <w:rFonts w:ascii="Times New Roman" w:hAnsi="Times New Roman" w:cs="Times New Roman"/>
        </w:rPr>
        <w:t>considered</w:t>
      </w:r>
      <w:r w:rsidR="007A7E18">
        <w:rPr>
          <w:rFonts w:ascii="Times New Roman" w:hAnsi="Times New Roman" w:cs="Times New Roman"/>
        </w:rPr>
        <w:t xml:space="preserve"> (</w:t>
      </w:r>
      <w:proofErr w:type="spellStart"/>
      <w:r w:rsidR="007A7E18" w:rsidRPr="007A7E18">
        <w:rPr>
          <w:rFonts w:ascii="Times New Roman" w:hAnsi="Times New Roman" w:cs="Times New Roman"/>
        </w:rPr>
        <w:t>Atrill</w:t>
      </w:r>
      <w:proofErr w:type="spellEnd"/>
      <w:r w:rsidR="007A7E18" w:rsidRPr="007A7E18">
        <w:rPr>
          <w:rFonts w:ascii="Times New Roman" w:hAnsi="Times New Roman" w:cs="Times New Roman"/>
        </w:rPr>
        <w:t xml:space="preserve"> </w:t>
      </w:r>
      <w:r w:rsidR="007A7E18">
        <w:rPr>
          <w:rFonts w:ascii="Times New Roman" w:hAnsi="Times New Roman" w:cs="Times New Roman"/>
        </w:rPr>
        <w:t xml:space="preserve">&amp; </w:t>
      </w:r>
      <w:r w:rsidR="007A7E18" w:rsidRPr="007A7E18">
        <w:rPr>
          <w:rFonts w:ascii="Times New Roman" w:hAnsi="Times New Roman" w:cs="Times New Roman"/>
        </w:rPr>
        <w:t>McLaney</w:t>
      </w:r>
      <w:r w:rsidR="007A7E18">
        <w:rPr>
          <w:rFonts w:ascii="Times New Roman" w:hAnsi="Times New Roman" w:cs="Times New Roman"/>
        </w:rPr>
        <w:t xml:space="preserve">, </w:t>
      </w:r>
      <w:r w:rsidR="007A7E18" w:rsidRPr="007A7E18">
        <w:rPr>
          <w:rFonts w:ascii="Times New Roman" w:hAnsi="Times New Roman" w:cs="Times New Roman"/>
        </w:rPr>
        <w:t>2020</w:t>
      </w:r>
      <w:r w:rsidR="007A7E18">
        <w:rPr>
          <w:rFonts w:ascii="Times New Roman" w:hAnsi="Times New Roman" w:cs="Times New Roman"/>
        </w:rPr>
        <w:t>).</w:t>
      </w:r>
    </w:p>
    <w:p w14:paraId="30580E96" w14:textId="77777777" w:rsidR="00397046" w:rsidRDefault="00397046" w:rsidP="007A7E18">
      <w:pPr>
        <w:spacing w:line="480" w:lineRule="auto"/>
        <w:rPr>
          <w:rFonts w:ascii="Times New Roman" w:hAnsi="Times New Roman" w:cs="Times New Roman"/>
        </w:rPr>
      </w:pPr>
    </w:p>
    <w:p w14:paraId="54737CB9" w14:textId="77777777" w:rsidR="006D0591" w:rsidRDefault="006D0591" w:rsidP="007A7E18">
      <w:pPr>
        <w:spacing w:line="480" w:lineRule="auto"/>
        <w:rPr>
          <w:rFonts w:ascii="Times New Roman" w:hAnsi="Times New Roman" w:cs="Times New Roman"/>
        </w:rPr>
      </w:pPr>
    </w:p>
    <w:p w14:paraId="559B600D" w14:textId="76A9356D" w:rsidR="00397046" w:rsidRPr="006D0591" w:rsidRDefault="00203450" w:rsidP="007A7E18">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lastRenderedPageBreak/>
        <w:t xml:space="preserve">Factors Behind Year-to-Year Performance  </w:t>
      </w:r>
    </w:p>
    <w:p w14:paraId="73D1797A" w14:textId="77777777" w:rsidR="00397046"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The ratio analysis supports various factors that accounted for change in the company performance differences between 2023 and 2024. </w:t>
      </w:r>
    </w:p>
    <w:p w14:paraId="05312347" w14:textId="77777777" w:rsidR="00397046" w:rsidRPr="006D0591" w:rsidRDefault="00203450" w:rsidP="006D0591">
      <w:pPr>
        <w:pStyle w:val="ListParagraph"/>
        <w:numPr>
          <w:ilvl w:val="0"/>
          <w:numId w:val="2"/>
        </w:numPr>
        <w:spacing w:line="480" w:lineRule="auto"/>
        <w:rPr>
          <w:rFonts w:ascii="Times New Roman" w:hAnsi="Times New Roman" w:cs="Times New Roman"/>
        </w:rPr>
      </w:pPr>
      <w:r w:rsidRPr="006D0591">
        <w:rPr>
          <w:rFonts w:ascii="Times New Roman" w:hAnsi="Times New Roman" w:cs="Times New Roman"/>
        </w:rPr>
        <w:t>Slowed Revenue Growth</w:t>
      </w:r>
      <w:r w:rsidR="00397046" w:rsidRPr="006D0591">
        <w:rPr>
          <w:rFonts w:ascii="Times New Roman" w:hAnsi="Times New Roman" w:cs="Times New Roman"/>
        </w:rPr>
        <w:t>:</w:t>
      </w:r>
      <w:r w:rsidRPr="006D0591">
        <w:rPr>
          <w:rFonts w:ascii="Times New Roman" w:hAnsi="Times New Roman" w:cs="Times New Roman"/>
        </w:rPr>
        <w:t xml:space="preserve"> In 2023 revenue growth was quite good at just about 10%.</w:t>
      </w:r>
      <w:r w:rsidR="00397046" w:rsidRPr="006D0591">
        <w:rPr>
          <w:rFonts w:ascii="Times New Roman" w:hAnsi="Times New Roman" w:cs="Times New Roman"/>
        </w:rPr>
        <w:t xml:space="preserve"> However</w:t>
      </w:r>
      <w:r w:rsidRPr="006D0591">
        <w:rPr>
          <w:rFonts w:ascii="Times New Roman" w:hAnsi="Times New Roman" w:cs="Times New Roman"/>
        </w:rPr>
        <w:t xml:space="preserve">, revenue growth </w:t>
      </w:r>
      <w:r w:rsidR="00397046" w:rsidRPr="006D0591">
        <w:rPr>
          <w:rFonts w:ascii="Times New Roman" w:hAnsi="Times New Roman" w:cs="Times New Roman"/>
        </w:rPr>
        <w:t>dropped</w:t>
      </w:r>
      <w:r w:rsidRPr="006D0591">
        <w:rPr>
          <w:rFonts w:ascii="Times New Roman" w:hAnsi="Times New Roman" w:cs="Times New Roman"/>
        </w:rPr>
        <w:t xml:space="preserve"> sharply to around 1% in 2024. This slowed growth may have been due to some hesitation in spending from the consumer caused by macroeconomic pressures particularly related to inflation and rising cost of living factors. Given the consumers are more </w:t>
      </w:r>
      <w:r w:rsidR="00397046" w:rsidRPr="006D0591">
        <w:rPr>
          <w:rFonts w:ascii="Times New Roman" w:hAnsi="Times New Roman" w:cs="Times New Roman"/>
        </w:rPr>
        <w:t>conscious</w:t>
      </w:r>
      <w:r w:rsidRPr="006D0591">
        <w:rPr>
          <w:rFonts w:ascii="Times New Roman" w:hAnsi="Times New Roman" w:cs="Times New Roman"/>
        </w:rPr>
        <w:t xml:space="preserve"> of their spending, the fast-service restaurant industry may also produce lower normali</w:t>
      </w:r>
      <w:r w:rsidR="00397046" w:rsidRPr="006D0591">
        <w:rPr>
          <w:rFonts w:ascii="Times New Roman" w:hAnsi="Times New Roman" w:cs="Times New Roman"/>
        </w:rPr>
        <w:t>s</w:t>
      </w:r>
      <w:r w:rsidRPr="006D0591">
        <w:rPr>
          <w:rFonts w:ascii="Times New Roman" w:hAnsi="Times New Roman" w:cs="Times New Roman"/>
        </w:rPr>
        <w:t xml:space="preserve">ed growth even with stable customers' influx (McDonald's Corporation, 2024a; 2024b).  </w:t>
      </w:r>
    </w:p>
    <w:p w14:paraId="4154CA3A" w14:textId="77777777" w:rsidR="00397046" w:rsidRPr="006D0591" w:rsidRDefault="00203450" w:rsidP="006D0591">
      <w:pPr>
        <w:pStyle w:val="ListParagraph"/>
        <w:numPr>
          <w:ilvl w:val="0"/>
          <w:numId w:val="2"/>
        </w:numPr>
        <w:spacing w:line="480" w:lineRule="auto"/>
        <w:rPr>
          <w:rFonts w:ascii="Times New Roman" w:hAnsi="Times New Roman" w:cs="Times New Roman"/>
        </w:rPr>
      </w:pPr>
      <w:r w:rsidRPr="006D0591">
        <w:rPr>
          <w:rFonts w:ascii="Times New Roman" w:hAnsi="Times New Roman" w:cs="Times New Roman"/>
        </w:rPr>
        <w:t>Impact from Health and Safety Incident</w:t>
      </w:r>
      <w:r w:rsidR="00397046" w:rsidRPr="006D0591">
        <w:rPr>
          <w:rFonts w:ascii="Times New Roman" w:hAnsi="Times New Roman" w:cs="Times New Roman"/>
        </w:rPr>
        <w:t xml:space="preserve">: </w:t>
      </w:r>
      <w:r w:rsidRPr="006D0591">
        <w:rPr>
          <w:rFonts w:ascii="Times New Roman" w:hAnsi="Times New Roman" w:cs="Times New Roman"/>
        </w:rPr>
        <w:t xml:space="preserve">The other reason for the company's performance during 2024 was due to a health incident. Incidences related to </w:t>
      </w:r>
      <w:r w:rsidR="00397046" w:rsidRPr="006D0591">
        <w:rPr>
          <w:rFonts w:ascii="Times New Roman" w:hAnsi="Times New Roman" w:cs="Times New Roman"/>
        </w:rPr>
        <w:t>E. coli</w:t>
      </w:r>
      <w:r w:rsidRPr="006D0591">
        <w:rPr>
          <w:rFonts w:ascii="Times New Roman" w:hAnsi="Times New Roman" w:cs="Times New Roman"/>
        </w:rPr>
        <w:t xml:space="preserve"> were observed by a few to several food suppliers to McDonald's late in 2023, meaning consumers perceived a drop in goodwill with the company's health and safety record, and the health incident contributed to a decline in sales indicate in the U.S. store operations, mostly (Wall Street Journal, 2024). Incidents of this nature and type can have short-term damaging implications for consumer trust and the impact on performance demonstrates and can influence broader systemic revenue performance impact.  </w:t>
      </w:r>
    </w:p>
    <w:p w14:paraId="5A1C5D2D" w14:textId="7BD7B064" w:rsidR="00397046" w:rsidRPr="006D0591" w:rsidRDefault="00203450" w:rsidP="006D0591">
      <w:pPr>
        <w:pStyle w:val="ListParagraph"/>
        <w:numPr>
          <w:ilvl w:val="0"/>
          <w:numId w:val="2"/>
        </w:numPr>
        <w:spacing w:line="480" w:lineRule="auto"/>
        <w:rPr>
          <w:rFonts w:ascii="Times New Roman" w:hAnsi="Times New Roman" w:cs="Times New Roman"/>
        </w:rPr>
      </w:pPr>
      <w:r w:rsidRPr="006D0591">
        <w:rPr>
          <w:rFonts w:ascii="Times New Roman" w:hAnsi="Times New Roman" w:cs="Times New Roman"/>
        </w:rPr>
        <w:t>Operating Cost Pressure</w:t>
      </w:r>
      <w:r w:rsidR="00397046" w:rsidRPr="006D0591">
        <w:rPr>
          <w:rFonts w:ascii="Times New Roman" w:hAnsi="Times New Roman" w:cs="Times New Roman"/>
        </w:rPr>
        <w:t xml:space="preserve">: </w:t>
      </w:r>
      <w:r w:rsidRPr="006D0591">
        <w:rPr>
          <w:rFonts w:ascii="Times New Roman" w:hAnsi="Times New Roman" w:cs="Times New Roman"/>
        </w:rPr>
        <w:t xml:space="preserve">Moreover, it seemed that for operating costs, more notably with respect to </w:t>
      </w:r>
      <w:r w:rsidR="00397046" w:rsidRPr="006D0591">
        <w:rPr>
          <w:rFonts w:ascii="Times New Roman" w:hAnsi="Times New Roman" w:cs="Times New Roman"/>
        </w:rPr>
        <w:t>labour</w:t>
      </w:r>
      <w:r w:rsidRPr="006D0591">
        <w:rPr>
          <w:rFonts w:ascii="Times New Roman" w:hAnsi="Times New Roman" w:cs="Times New Roman"/>
        </w:rPr>
        <w:t xml:space="preserve"> costs and food inputs costs, that operating costs were expanded upward, influencing financial ratios. Management maintained a steady net income </w:t>
      </w:r>
      <w:r w:rsidR="00692956" w:rsidRPr="006D0591">
        <w:rPr>
          <w:rFonts w:ascii="Times New Roman" w:hAnsi="Times New Roman" w:cs="Times New Roman"/>
        </w:rPr>
        <w:t>margin but</w:t>
      </w:r>
      <w:r w:rsidRPr="006D0591">
        <w:rPr>
          <w:rFonts w:ascii="Times New Roman" w:hAnsi="Times New Roman" w:cs="Times New Roman"/>
        </w:rPr>
        <w:t xml:space="preserve"> appeared to be less efficient in utili</w:t>
      </w:r>
      <w:r w:rsidR="00397046" w:rsidRPr="006D0591">
        <w:rPr>
          <w:rFonts w:ascii="Times New Roman" w:hAnsi="Times New Roman" w:cs="Times New Roman"/>
        </w:rPr>
        <w:t>s</w:t>
      </w:r>
      <w:r w:rsidRPr="006D0591">
        <w:rPr>
          <w:rFonts w:ascii="Times New Roman" w:hAnsi="Times New Roman" w:cs="Times New Roman"/>
        </w:rPr>
        <w:t>ing the expanded base of assets to produce profits, as shown with the expense of utili</w:t>
      </w:r>
      <w:r w:rsidR="00397046" w:rsidRPr="006D0591">
        <w:rPr>
          <w:rFonts w:ascii="Times New Roman" w:hAnsi="Times New Roman" w:cs="Times New Roman"/>
        </w:rPr>
        <w:t>s</w:t>
      </w:r>
      <w:r w:rsidRPr="006D0591">
        <w:rPr>
          <w:rFonts w:ascii="Times New Roman" w:hAnsi="Times New Roman" w:cs="Times New Roman"/>
        </w:rPr>
        <w:t xml:space="preserve">ing assets in the return on assets indicates </w:t>
      </w:r>
      <w:r w:rsidR="006D0591" w:rsidRPr="006D0591">
        <w:rPr>
          <w:rFonts w:ascii="Times New Roman" w:hAnsi="Times New Roman" w:cs="Times New Roman"/>
        </w:rPr>
        <w:t>a</w:t>
      </w:r>
      <w:r w:rsidRPr="006D0591">
        <w:rPr>
          <w:rFonts w:ascii="Times New Roman" w:hAnsi="Times New Roman" w:cs="Times New Roman"/>
        </w:rPr>
        <w:t xml:space="preserve"> degrading position. </w:t>
      </w:r>
    </w:p>
    <w:p w14:paraId="0B3A7AEC" w14:textId="77777777" w:rsidR="00397046" w:rsidRPr="006D0591" w:rsidRDefault="00203450" w:rsidP="006D0591">
      <w:pPr>
        <w:pStyle w:val="ListParagraph"/>
        <w:numPr>
          <w:ilvl w:val="0"/>
          <w:numId w:val="2"/>
        </w:numPr>
        <w:spacing w:line="480" w:lineRule="auto"/>
        <w:rPr>
          <w:rFonts w:ascii="Times New Roman" w:hAnsi="Times New Roman" w:cs="Times New Roman"/>
        </w:rPr>
      </w:pPr>
      <w:r w:rsidRPr="006D0591">
        <w:rPr>
          <w:rFonts w:ascii="Times New Roman" w:hAnsi="Times New Roman" w:cs="Times New Roman"/>
        </w:rPr>
        <w:lastRenderedPageBreak/>
        <w:t>Increase Leverage</w:t>
      </w:r>
      <w:r w:rsidR="00397046" w:rsidRPr="006D0591">
        <w:rPr>
          <w:rFonts w:ascii="Times New Roman" w:hAnsi="Times New Roman" w:cs="Times New Roman"/>
        </w:rPr>
        <w:t>:</w:t>
      </w:r>
      <w:r w:rsidRPr="006D0591">
        <w:rPr>
          <w:rFonts w:ascii="Times New Roman" w:hAnsi="Times New Roman" w:cs="Times New Roman"/>
        </w:rPr>
        <w:t xml:space="preserve"> The substantial increase in debt and equity from 2023 to 2024 also suggests that equity was utili</w:t>
      </w:r>
      <w:r w:rsidR="00397046" w:rsidRPr="006D0591">
        <w:rPr>
          <w:rFonts w:ascii="Times New Roman" w:hAnsi="Times New Roman" w:cs="Times New Roman"/>
        </w:rPr>
        <w:t>s</w:t>
      </w:r>
      <w:r w:rsidRPr="006D0591">
        <w:rPr>
          <w:rFonts w:ascii="Times New Roman" w:hAnsi="Times New Roman" w:cs="Times New Roman"/>
        </w:rPr>
        <w:t>ed more levered within the capital stack in debt financing.</w:t>
      </w:r>
      <w:r w:rsidR="00397046" w:rsidRPr="006D0591">
        <w:rPr>
          <w:rFonts w:ascii="Times New Roman" w:hAnsi="Times New Roman" w:cs="Times New Roman"/>
        </w:rPr>
        <w:t xml:space="preserve"> </w:t>
      </w:r>
      <w:r w:rsidRPr="006D0591">
        <w:rPr>
          <w:rFonts w:ascii="Times New Roman" w:hAnsi="Times New Roman" w:cs="Times New Roman"/>
        </w:rPr>
        <w:t>While debt can be a viable source of expansion and growth, over-extending, can increase interest expense and overall financial risk, particularly in an economic downturn (</w:t>
      </w:r>
      <w:proofErr w:type="spellStart"/>
      <w:r w:rsidRPr="006D0591">
        <w:rPr>
          <w:rFonts w:ascii="Times New Roman" w:hAnsi="Times New Roman" w:cs="Times New Roman"/>
        </w:rPr>
        <w:t>Atrill</w:t>
      </w:r>
      <w:proofErr w:type="spellEnd"/>
      <w:r w:rsidRPr="006D0591">
        <w:rPr>
          <w:rFonts w:ascii="Times New Roman" w:hAnsi="Times New Roman" w:cs="Times New Roman"/>
        </w:rPr>
        <w:t xml:space="preserve"> &amp; McLaney, 2020).</w:t>
      </w:r>
    </w:p>
    <w:p w14:paraId="21EA3655" w14:textId="77777777" w:rsidR="00397046" w:rsidRPr="006D0591" w:rsidRDefault="00203450" w:rsidP="007A7E18">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Recommendations for Financial and Sustainable Improvement</w:t>
      </w:r>
    </w:p>
    <w:p w14:paraId="398D9511" w14:textId="77777777" w:rsidR="006D0591"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Based on the ratio analysis and performance factors identified, </w:t>
      </w:r>
      <w:r w:rsidR="00397046" w:rsidRPr="007A7E18">
        <w:rPr>
          <w:rFonts w:ascii="Times New Roman" w:hAnsi="Times New Roman" w:cs="Times New Roman"/>
        </w:rPr>
        <w:t>several</w:t>
      </w:r>
      <w:r w:rsidRPr="007A7E18">
        <w:rPr>
          <w:rFonts w:ascii="Times New Roman" w:hAnsi="Times New Roman" w:cs="Times New Roman"/>
        </w:rPr>
        <w:t xml:space="preserve"> recommendations for improving McDonalds financial performance and sustainable improvement are proposed.</w:t>
      </w:r>
    </w:p>
    <w:p w14:paraId="66928737" w14:textId="0905AB69" w:rsidR="00397046" w:rsidRPr="006D0591" w:rsidRDefault="00203450" w:rsidP="006D0591">
      <w:pPr>
        <w:pStyle w:val="ListParagraph"/>
        <w:numPr>
          <w:ilvl w:val="0"/>
          <w:numId w:val="3"/>
        </w:numPr>
        <w:spacing w:line="480" w:lineRule="auto"/>
        <w:rPr>
          <w:rFonts w:ascii="Times New Roman" w:hAnsi="Times New Roman" w:cs="Times New Roman"/>
        </w:rPr>
      </w:pPr>
      <w:r w:rsidRPr="006D0591">
        <w:rPr>
          <w:rFonts w:ascii="Times New Roman" w:hAnsi="Times New Roman" w:cs="Times New Roman"/>
        </w:rPr>
        <w:t>Improve Liquidity Management</w:t>
      </w:r>
      <w:r w:rsidR="00397046" w:rsidRPr="006D0591">
        <w:rPr>
          <w:rFonts w:ascii="Times New Roman" w:hAnsi="Times New Roman" w:cs="Times New Roman"/>
        </w:rPr>
        <w:t xml:space="preserve">: </w:t>
      </w:r>
      <w:r w:rsidRPr="006D0591">
        <w:rPr>
          <w:rFonts w:ascii="Times New Roman" w:hAnsi="Times New Roman" w:cs="Times New Roman"/>
        </w:rPr>
        <w:t xml:space="preserve">The company should take steps to improve the current ratio by increasing current assets or decreasing current liabilities, by improving its inventory management practices, and perhaps collect receivables more efficiently. This would provide improved levels of liquidity to McDonalds, thereby positioning the company in a better position to meet its short-term </w:t>
      </w:r>
      <w:r w:rsidR="00397046" w:rsidRPr="006D0591">
        <w:rPr>
          <w:rFonts w:ascii="Times New Roman" w:hAnsi="Times New Roman" w:cs="Times New Roman"/>
        </w:rPr>
        <w:t>obligations and</w:t>
      </w:r>
      <w:r w:rsidRPr="006D0591">
        <w:rPr>
          <w:rFonts w:ascii="Times New Roman" w:hAnsi="Times New Roman" w:cs="Times New Roman"/>
        </w:rPr>
        <w:t xml:space="preserve"> reduce the risk of financial distress (Brigham &amp; Houston, 2022).</w:t>
      </w:r>
    </w:p>
    <w:p w14:paraId="33A3BC53" w14:textId="77777777" w:rsidR="00397046" w:rsidRPr="006D0591" w:rsidRDefault="00203450" w:rsidP="006D0591">
      <w:pPr>
        <w:pStyle w:val="ListParagraph"/>
        <w:numPr>
          <w:ilvl w:val="0"/>
          <w:numId w:val="3"/>
        </w:numPr>
        <w:spacing w:line="480" w:lineRule="auto"/>
        <w:rPr>
          <w:rFonts w:ascii="Times New Roman" w:hAnsi="Times New Roman" w:cs="Times New Roman"/>
        </w:rPr>
      </w:pPr>
      <w:r w:rsidRPr="006D0591">
        <w:rPr>
          <w:rFonts w:ascii="Times New Roman" w:hAnsi="Times New Roman" w:cs="Times New Roman"/>
        </w:rPr>
        <w:t>Expand Product Offerings</w:t>
      </w:r>
      <w:r w:rsidR="00397046" w:rsidRPr="006D0591">
        <w:rPr>
          <w:rFonts w:ascii="Times New Roman" w:hAnsi="Times New Roman" w:cs="Times New Roman"/>
        </w:rPr>
        <w:t xml:space="preserve">: </w:t>
      </w:r>
      <w:r w:rsidRPr="006D0591">
        <w:rPr>
          <w:rFonts w:ascii="Times New Roman" w:hAnsi="Times New Roman" w:cs="Times New Roman"/>
        </w:rPr>
        <w:t>In response to the development of slower revenue growth, McDonald's may want to expand its menu items, for example, by offering health-focused and sustainable food choices. Both innovations, such as plant-based meals, address changing consumer preferences and position the company within the sustainability realm</w:t>
      </w:r>
      <w:r w:rsidR="00397046" w:rsidRPr="006D0591">
        <w:rPr>
          <w:rFonts w:ascii="Times New Roman" w:hAnsi="Times New Roman" w:cs="Times New Roman"/>
        </w:rPr>
        <w:t xml:space="preserve"> (</w:t>
      </w:r>
      <w:r w:rsidRPr="006D0591">
        <w:rPr>
          <w:rFonts w:ascii="Times New Roman" w:hAnsi="Times New Roman" w:cs="Times New Roman"/>
        </w:rPr>
        <w:t>Harvard Business Review</w:t>
      </w:r>
      <w:r w:rsidR="00397046" w:rsidRPr="006D0591">
        <w:rPr>
          <w:rFonts w:ascii="Times New Roman" w:hAnsi="Times New Roman" w:cs="Times New Roman"/>
        </w:rPr>
        <w:t xml:space="preserve">, </w:t>
      </w:r>
      <w:r w:rsidRPr="006D0591">
        <w:rPr>
          <w:rFonts w:ascii="Times New Roman" w:hAnsi="Times New Roman" w:cs="Times New Roman"/>
        </w:rPr>
        <w:t>2021).</w:t>
      </w:r>
    </w:p>
    <w:p w14:paraId="13F799B1" w14:textId="77777777" w:rsidR="00397046" w:rsidRPr="006D0591" w:rsidRDefault="00203450" w:rsidP="006D0591">
      <w:pPr>
        <w:pStyle w:val="ListParagraph"/>
        <w:numPr>
          <w:ilvl w:val="0"/>
          <w:numId w:val="3"/>
        </w:numPr>
        <w:spacing w:line="480" w:lineRule="auto"/>
        <w:rPr>
          <w:rFonts w:ascii="Times New Roman" w:hAnsi="Times New Roman" w:cs="Times New Roman"/>
        </w:rPr>
      </w:pPr>
      <w:r w:rsidRPr="006D0591">
        <w:rPr>
          <w:rFonts w:ascii="Times New Roman" w:hAnsi="Times New Roman" w:cs="Times New Roman"/>
        </w:rPr>
        <w:t>Improve Capital Structure</w:t>
      </w:r>
      <w:r w:rsidR="00397046" w:rsidRPr="006D0591">
        <w:rPr>
          <w:rFonts w:ascii="Times New Roman" w:hAnsi="Times New Roman" w:cs="Times New Roman"/>
        </w:rPr>
        <w:t xml:space="preserve">: </w:t>
      </w:r>
      <w:r w:rsidRPr="006D0591">
        <w:rPr>
          <w:rFonts w:ascii="Times New Roman" w:hAnsi="Times New Roman" w:cs="Times New Roman"/>
        </w:rPr>
        <w:t xml:space="preserve">Considering the increase in the </w:t>
      </w:r>
      <w:r w:rsidR="00397046" w:rsidRPr="006D0591">
        <w:rPr>
          <w:rFonts w:ascii="Times New Roman" w:hAnsi="Times New Roman" w:cs="Times New Roman"/>
        </w:rPr>
        <w:t>debt-to-equity</w:t>
      </w:r>
      <w:r w:rsidRPr="006D0591">
        <w:rPr>
          <w:rFonts w:ascii="Times New Roman" w:hAnsi="Times New Roman" w:cs="Times New Roman"/>
        </w:rPr>
        <w:t xml:space="preserve"> ratio, the company should consider its capital structure. Reducing debt capacity, alternatives and methods such as equity financing or structured debt pay-downs should be explored as avenues to reduce exposure to overall financial risk</w:t>
      </w:r>
      <w:r w:rsidR="00397046" w:rsidRPr="006D0591">
        <w:rPr>
          <w:rFonts w:ascii="Times New Roman" w:hAnsi="Times New Roman" w:cs="Times New Roman"/>
        </w:rPr>
        <w:t xml:space="preserve"> </w:t>
      </w:r>
      <w:r w:rsidRPr="006D0591">
        <w:rPr>
          <w:rFonts w:ascii="Times New Roman" w:hAnsi="Times New Roman" w:cs="Times New Roman"/>
        </w:rPr>
        <w:t>(Lev, 1969).</w:t>
      </w:r>
    </w:p>
    <w:p w14:paraId="3F577BAB" w14:textId="77777777" w:rsidR="006D0591" w:rsidRPr="006D0591" w:rsidRDefault="00203450" w:rsidP="006D0591">
      <w:pPr>
        <w:pStyle w:val="ListParagraph"/>
        <w:numPr>
          <w:ilvl w:val="0"/>
          <w:numId w:val="3"/>
        </w:numPr>
        <w:spacing w:line="480" w:lineRule="auto"/>
        <w:rPr>
          <w:rFonts w:ascii="Times New Roman" w:hAnsi="Times New Roman" w:cs="Times New Roman"/>
        </w:rPr>
      </w:pPr>
      <w:r w:rsidRPr="006D0591">
        <w:rPr>
          <w:rFonts w:ascii="Times New Roman" w:hAnsi="Times New Roman" w:cs="Times New Roman"/>
        </w:rPr>
        <w:lastRenderedPageBreak/>
        <w:t>Invest in Technology and Supply Chain Risk Management</w:t>
      </w:r>
      <w:r w:rsidR="00397046" w:rsidRPr="006D0591">
        <w:rPr>
          <w:rFonts w:ascii="Times New Roman" w:hAnsi="Times New Roman" w:cs="Times New Roman"/>
        </w:rPr>
        <w:t xml:space="preserve">: </w:t>
      </w:r>
      <w:r w:rsidRPr="006D0591">
        <w:rPr>
          <w:rFonts w:ascii="Times New Roman" w:hAnsi="Times New Roman" w:cs="Times New Roman"/>
        </w:rPr>
        <w:t>Investing in technology, such as sophisticated Point of Sale systems and supply chain monitoring, can streamline process busy tasks and improve costs. Additionally, higher quality controls in the supply chain can reduce the potential for health and safety issues, protecting the brand. The effective management of risk means healthier financial performance (Altman, 1968).</w:t>
      </w:r>
    </w:p>
    <w:p w14:paraId="12387B95" w14:textId="77777777" w:rsidR="006D0591" w:rsidRPr="006D0591" w:rsidRDefault="00203450" w:rsidP="006D0591">
      <w:pPr>
        <w:pStyle w:val="ListParagraph"/>
        <w:numPr>
          <w:ilvl w:val="0"/>
          <w:numId w:val="3"/>
        </w:numPr>
        <w:spacing w:line="480" w:lineRule="auto"/>
        <w:rPr>
          <w:rFonts w:ascii="Times New Roman" w:hAnsi="Times New Roman" w:cs="Times New Roman"/>
        </w:rPr>
      </w:pPr>
      <w:r w:rsidRPr="006D0591">
        <w:rPr>
          <w:rFonts w:ascii="Times New Roman" w:hAnsi="Times New Roman" w:cs="Times New Roman"/>
        </w:rPr>
        <w:t>Build Operational Efficiency</w:t>
      </w:r>
      <w:r w:rsidR="006D0591" w:rsidRPr="006D0591">
        <w:rPr>
          <w:rFonts w:ascii="Times New Roman" w:hAnsi="Times New Roman" w:cs="Times New Roman"/>
        </w:rPr>
        <w:t xml:space="preserve">: </w:t>
      </w:r>
      <w:r w:rsidRPr="006D0591">
        <w:rPr>
          <w:rFonts w:ascii="Times New Roman" w:hAnsi="Times New Roman" w:cs="Times New Roman"/>
        </w:rPr>
        <w:t>To address the slight deterioration in return on assets, McDonald’s should look to improve operational efficiency through automation in restaurant operations or better resource management so that increased asset bases can better return on increased investments (Penman, 2013).</w:t>
      </w:r>
    </w:p>
    <w:p w14:paraId="6F4E92A5" w14:textId="77777777" w:rsidR="006D0591" w:rsidRPr="006D0591" w:rsidRDefault="00203450" w:rsidP="007A7E18">
      <w:pPr>
        <w:spacing w:line="480" w:lineRule="auto"/>
        <w:rPr>
          <w:rFonts w:ascii="Times New Roman" w:hAnsi="Times New Roman" w:cs="Times New Roman"/>
          <w:b/>
          <w:bCs/>
          <w:color w:val="45B0E1" w:themeColor="accent1" w:themeTint="99"/>
        </w:rPr>
      </w:pPr>
      <w:r w:rsidRPr="006D0591">
        <w:rPr>
          <w:rFonts w:ascii="Times New Roman" w:hAnsi="Times New Roman" w:cs="Times New Roman"/>
          <w:b/>
          <w:bCs/>
          <w:color w:val="45B0E1" w:themeColor="accent1" w:themeTint="99"/>
        </w:rPr>
        <w:t xml:space="preserve">Conclusion </w:t>
      </w:r>
    </w:p>
    <w:p w14:paraId="224F4098" w14:textId="77777777" w:rsidR="006D0591"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Overall, the financial ratios analysis of McDonald’s Corporation will provide transaction performance over 2023 and 2024 to highlight company performance. The analysis has suggested the company is stable in terms of profitability and has improved slightly in net profit margin, however, the company is vulnerable to liquidity and asset efficiency with a declining current ratio and return on assets. Added debt financing also creates vulnerability as shown with the increase in the debt-to-equity ratio as the economy is </w:t>
      </w:r>
      <w:r w:rsidR="006D0591">
        <w:rPr>
          <w:rFonts w:ascii="Times New Roman" w:hAnsi="Times New Roman" w:cs="Times New Roman"/>
        </w:rPr>
        <w:t>unstable</w:t>
      </w:r>
      <w:r w:rsidRPr="007A7E18">
        <w:rPr>
          <w:rFonts w:ascii="Times New Roman" w:hAnsi="Times New Roman" w:cs="Times New Roman"/>
        </w:rPr>
        <w:t>.</w:t>
      </w:r>
      <w:r w:rsidR="006D0591">
        <w:rPr>
          <w:rFonts w:ascii="Times New Roman" w:hAnsi="Times New Roman" w:cs="Times New Roman"/>
        </w:rPr>
        <w:t xml:space="preserve"> </w:t>
      </w:r>
      <w:r w:rsidRPr="007A7E18">
        <w:rPr>
          <w:rFonts w:ascii="Times New Roman" w:hAnsi="Times New Roman" w:cs="Times New Roman"/>
        </w:rPr>
        <w:t>There were slow revenue growth rates, operational cost pressures, and the potential fallout from the adverse health event that affects the analysis. In some combination, improved liquidity management, product dispersion, increased capital management, risk management, and operational efficiency will help provide opportunity for stability for McDonald’s, allowing them to create long-term sustainability.</w:t>
      </w:r>
      <w:r w:rsidR="006D0591">
        <w:rPr>
          <w:rFonts w:ascii="Times New Roman" w:hAnsi="Times New Roman" w:cs="Times New Roman"/>
        </w:rPr>
        <w:t xml:space="preserve"> </w:t>
      </w:r>
    </w:p>
    <w:p w14:paraId="2D0BE9E9" w14:textId="5EAD6774" w:rsidR="00203450" w:rsidRDefault="00203450" w:rsidP="007A7E18">
      <w:pPr>
        <w:spacing w:line="480" w:lineRule="auto"/>
        <w:rPr>
          <w:rFonts w:ascii="Times New Roman" w:hAnsi="Times New Roman" w:cs="Times New Roman"/>
        </w:rPr>
      </w:pPr>
      <w:r w:rsidRPr="007A7E18">
        <w:rPr>
          <w:rFonts w:ascii="Times New Roman" w:hAnsi="Times New Roman" w:cs="Times New Roman"/>
        </w:rPr>
        <w:t xml:space="preserve">Overall, the ratio analysis effort was effective for </w:t>
      </w:r>
      <w:r w:rsidR="006D0591" w:rsidRPr="007A7E18">
        <w:rPr>
          <w:rFonts w:ascii="Times New Roman" w:hAnsi="Times New Roman" w:cs="Times New Roman"/>
        </w:rPr>
        <w:t>analysing</w:t>
      </w:r>
      <w:r w:rsidRPr="007A7E18">
        <w:rPr>
          <w:rFonts w:ascii="Times New Roman" w:hAnsi="Times New Roman" w:cs="Times New Roman"/>
        </w:rPr>
        <w:t xml:space="preserve"> the financial analysis of McDonald’s. Financial ratios offer the means of simplifying increasingly complicated </w:t>
      </w:r>
      <w:r w:rsidRPr="007A7E18">
        <w:rPr>
          <w:rFonts w:ascii="Times New Roman" w:hAnsi="Times New Roman" w:cs="Times New Roman"/>
        </w:rPr>
        <w:lastRenderedPageBreak/>
        <w:t xml:space="preserve">financial statements that </w:t>
      </w:r>
      <w:r w:rsidR="006D0591" w:rsidRPr="007A7E18">
        <w:rPr>
          <w:rFonts w:ascii="Times New Roman" w:hAnsi="Times New Roman" w:cs="Times New Roman"/>
        </w:rPr>
        <w:t>occur and</w:t>
      </w:r>
      <w:r w:rsidRPr="007A7E18">
        <w:rPr>
          <w:rFonts w:ascii="Times New Roman" w:hAnsi="Times New Roman" w:cs="Times New Roman"/>
        </w:rPr>
        <w:t xml:space="preserve"> provide a more succinct measure that implies more meaning by adding context for the user. Consequently, it was easier to develop understanding of the company strengths and weaknesses. This welcomed the opportunity to improve the company's internal strategic capacities and to align with strategic planning opportunities for the capability to continue performing for long-term competitive market opportunities.</w:t>
      </w:r>
    </w:p>
    <w:p w14:paraId="1F7107C0" w14:textId="77777777" w:rsidR="006D0591" w:rsidRDefault="006D0591" w:rsidP="007A7E18">
      <w:pPr>
        <w:spacing w:line="480" w:lineRule="auto"/>
        <w:rPr>
          <w:rFonts w:ascii="Times New Roman" w:hAnsi="Times New Roman" w:cs="Times New Roman"/>
        </w:rPr>
      </w:pPr>
    </w:p>
    <w:p w14:paraId="7D5087DE" w14:textId="77777777" w:rsidR="006D0591" w:rsidRDefault="006D0591" w:rsidP="007A7E18">
      <w:pPr>
        <w:spacing w:line="480" w:lineRule="auto"/>
        <w:rPr>
          <w:rFonts w:ascii="Times New Roman" w:hAnsi="Times New Roman" w:cs="Times New Roman"/>
        </w:rPr>
      </w:pPr>
    </w:p>
    <w:p w14:paraId="67DFA80D" w14:textId="77777777" w:rsidR="006D0591" w:rsidRDefault="006D0591" w:rsidP="007A7E18">
      <w:pPr>
        <w:spacing w:line="480" w:lineRule="auto"/>
        <w:rPr>
          <w:rFonts w:ascii="Times New Roman" w:hAnsi="Times New Roman" w:cs="Times New Roman"/>
        </w:rPr>
      </w:pPr>
    </w:p>
    <w:p w14:paraId="27DD84F1" w14:textId="77777777" w:rsidR="006D0591" w:rsidRDefault="006D0591" w:rsidP="007A7E18">
      <w:pPr>
        <w:spacing w:line="480" w:lineRule="auto"/>
        <w:rPr>
          <w:rFonts w:ascii="Times New Roman" w:hAnsi="Times New Roman" w:cs="Times New Roman"/>
        </w:rPr>
      </w:pPr>
    </w:p>
    <w:p w14:paraId="12C81A53" w14:textId="77777777" w:rsidR="006D0591" w:rsidRDefault="006D0591" w:rsidP="007A7E18">
      <w:pPr>
        <w:spacing w:line="480" w:lineRule="auto"/>
        <w:rPr>
          <w:rFonts w:ascii="Times New Roman" w:hAnsi="Times New Roman" w:cs="Times New Roman"/>
        </w:rPr>
      </w:pPr>
    </w:p>
    <w:p w14:paraId="0F178F8B" w14:textId="77777777" w:rsidR="006D0591" w:rsidRDefault="006D0591" w:rsidP="007A7E18">
      <w:pPr>
        <w:spacing w:line="480" w:lineRule="auto"/>
        <w:rPr>
          <w:rFonts w:ascii="Times New Roman" w:hAnsi="Times New Roman" w:cs="Times New Roman"/>
        </w:rPr>
      </w:pPr>
    </w:p>
    <w:p w14:paraId="5F5FB56C" w14:textId="77777777" w:rsidR="006D0591" w:rsidRDefault="006D0591" w:rsidP="007A7E18">
      <w:pPr>
        <w:spacing w:line="480" w:lineRule="auto"/>
        <w:rPr>
          <w:rFonts w:ascii="Times New Roman" w:hAnsi="Times New Roman" w:cs="Times New Roman"/>
        </w:rPr>
      </w:pPr>
    </w:p>
    <w:p w14:paraId="5A14086F" w14:textId="77777777" w:rsidR="006D0591" w:rsidRDefault="006D0591" w:rsidP="007A7E18">
      <w:pPr>
        <w:spacing w:line="480" w:lineRule="auto"/>
        <w:rPr>
          <w:rFonts w:ascii="Times New Roman" w:hAnsi="Times New Roman" w:cs="Times New Roman"/>
        </w:rPr>
      </w:pPr>
    </w:p>
    <w:p w14:paraId="5403CC33" w14:textId="77777777" w:rsidR="006D0591" w:rsidRDefault="006D0591" w:rsidP="007A7E18">
      <w:pPr>
        <w:spacing w:line="480" w:lineRule="auto"/>
        <w:rPr>
          <w:rFonts w:ascii="Times New Roman" w:hAnsi="Times New Roman" w:cs="Times New Roman"/>
        </w:rPr>
      </w:pPr>
    </w:p>
    <w:p w14:paraId="779AFA01" w14:textId="77777777" w:rsidR="006D0591" w:rsidRDefault="006D0591" w:rsidP="007A7E18">
      <w:pPr>
        <w:spacing w:line="480" w:lineRule="auto"/>
        <w:rPr>
          <w:rFonts w:ascii="Times New Roman" w:hAnsi="Times New Roman" w:cs="Times New Roman"/>
        </w:rPr>
      </w:pPr>
    </w:p>
    <w:p w14:paraId="3949C164" w14:textId="77777777" w:rsidR="006D0591" w:rsidRDefault="006D0591" w:rsidP="007A7E18">
      <w:pPr>
        <w:spacing w:line="480" w:lineRule="auto"/>
        <w:rPr>
          <w:rFonts w:ascii="Times New Roman" w:hAnsi="Times New Roman" w:cs="Times New Roman"/>
        </w:rPr>
      </w:pPr>
    </w:p>
    <w:p w14:paraId="04AF9AE8" w14:textId="77777777" w:rsidR="006D0591" w:rsidRDefault="006D0591" w:rsidP="007A7E18">
      <w:pPr>
        <w:spacing w:line="480" w:lineRule="auto"/>
        <w:rPr>
          <w:rFonts w:ascii="Times New Roman" w:hAnsi="Times New Roman" w:cs="Times New Roman"/>
        </w:rPr>
      </w:pPr>
    </w:p>
    <w:p w14:paraId="40D1DB92" w14:textId="77777777" w:rsidR="006D0591" w:rsidRDefault="006D0591" w:rsidP="007A7E18">
      <w:pPr>
        <w:spacing w:line="480" w:lineRule="auto"/>
        <w:rPr>
          <w:rFonts w:ascii="Times New Roman" w:hAnsi="Times New Roman" w:cs="Times New Roman"/>
        </w:rPr>
      </w:pPr>
    </w:p>
    <w:p w14:paraId="552FC1AE" w14:textId="77777777" w:rsidR="006D0591" w:rsidRDefault="006D0591" w:rsidP="007A7E18">
      <w:pPr>
        <w:spacing w:line="480" w:lineRule="auto"/>
        <w:rPr>
          <w:rFonts w:ascii="Times New Roman" w:hAnsi="Times New Roman" w:cs="Times New Roman"/>
        </w:rPr>
      </w:pPr>
    </w:p>
    <w:p w14:paraId="6253C6C8" w14:textId="77777777" w:rsidR="006D0591" w:rsidRDefault="006D0591" w:rsidP="007A7E18">
      <w:pPr>
        <w:spacing w:line="480" w:lineRule="auto"/>
        <w:rPr>
          <w:rFonts w:ascii="Times New Roman" w:hAnsi="Times New Roman" w:cs="Times New Roman"/>
        </w:rPr>
      </w:pPr>
    </w:p>
    <w:p w14:paraId="1D97A540" w14:textId="77777777" w:rsidR="006D0591" w:rsidRDefault="006D0591" w:rsidP="007A7E18">
      <w:pPr>
        <w:spacing w:line="480" w:lineRule="auto"/>
        <w:rPr>
          <w:rFonts w:ascii="Times New Roman" w:hAnsi="Times New Roman" w:cs="Times New Roman"/>
        </w:rPr>
      </w:pPr>
    </w:p>
    <w:p w14:paraId="0C980653" w14:textId="2193F553" w:rsidR="006D0591" w:rsidRPr="00692956" w:rsidRDefault="006D0591" w:rsidP="007A7E18">
      <w:pPr>
        <w:spacing w:line="480" w:lineRule="auto"/>
        <w:rPr>
          <w:rFonts w:ascii="Times New Roman" w:hAnsi="Times New Roman" w:cs="Times New Roman"/>
          <w:b/>
          <w:bCs/>
          <w:color w:val="45B0E1" w:themeColor="accent1" w:themeTint="99"/>
        </w:rPr>
      </w:pPr>
      <w:r w:rsidRPr="00692956">
        <w:rPr>
          <w:rFonts w:ascii="Times New Roman" w:hAnsi="Times New Roman" w:cs="Times New Roman"/>
          <w:b/>
          <w:bCs/>
          <w:color w:val="45B0E1" w:themeColor="accent1" w:themeTint="99"/>
        </w:rPr>
        <w:lastRenderedPageBreak/>
        <w:t>References</w:t>
      </w:r>
    </w:p>
    <w:p w14:paraId="08CE567B" w14:textId="0EC8593D"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Altman, E. I. (1968). Financial ratios, discriminant analysis and the prediction of corporate bankruptcy. </w:t>
      </w:r>
      <w:r w:rsidRPr="003F4CA2">
        <w:rPr>
          <w:rFonts w:ascii="Times New Roman" w:hAnsi="Times New Roman" w:cs="Times New Roman"/>
          <w:i/>
          <w:iCs/>
        </w:rPr>
        <w:t>The Journal of Finance, 23</w:t>
      </w:r>
      <w:r w:rsidRPr="003F4CA2">
        <w:rPr>
          <w:rFonts w:ascii="Times New Roman" w:hAnsi="Times New Roman" w:cs="Times New Roman"/>
        </w:rPr>
        <w:t xml:space="preserve">(4), 589–609. </w:t>
      </w:r>
      <w:hyperlink r:id="rId8" w:history="1">
        <w:r w:rsidRPr="00932F96">
          <w:rPr>
            <w:rStyle w:val="Hyperlink"/>
            <w:rFonts w:ascii="Times New Roman" w:hAnsi="Times New Roman" w:cs="Times New Roman"/>
          </w:rPr>
          <w:t>https://doi.org/10.1111/j.1540-6261.1968.tb00843.x</w:t>
        </w:r>
      </w:hyperlink>
    </w:p>
    <w:p w14:paraId="07AE42E5" w14:textId="77777777" w:rsidR="003F4CA2" w:rsidRDefault="003F4CA2" w:rsidP="003F4CA2">
      <w:pPr>
        <w:spacing w:line="480" w:lineRule="auto"/>
        <w:rPr>
          <w:rFonts w:ascii="Times New Roman" w:hAnsi="Times New Roman" w:cs="Times New Roman"/>
        </w:rPr>
      </w:pPr>
      <w:proofErr w:type="spellStart"/>
      <w:r w:rsidRPr="003F4CA2">
        <w:rPr>
          <w:rFonts w:ascii="Times New Roman" w:hAnsi="Times New Roman" w:cs="Times New Roman"/>
        </w:rPr>
        <w:t>Atrill</w:t>
      </w:r>
      <w:proofErr w:type="spellEnd"/>
      <w:r w:rsidRPr="003F4CA2">
        <w:rPr>
          <w:rFonts w:ascii="Times New Roman" w:hAnsi="Times New Roman" w:cs="Times New Roman"/>
        </w:rPr>
        <w:t xml:space="preserve">, P., &amp; McLaney, E. (2020). </w:t>
      </w:r>
      <w:r w:rsidRPr="003F4CA2">
        <w:rPr>
          <w:rFonts w:ascii="Times New Roman" w:hAnsi="Times New Roman" w:cs="Times New Roman"/>
          <w:i/>
          <w:iCs/>
        </w:rPr>
        <w:t>Accounting and finance for non‐specialists</w:t>
      </w:r>
      <w:r w:rsidRPr="003F4CA2">
        <w:rPr>
          <w:rFonts w:ascii="Times New Roman" w:hAnsi="Times New Roman" w:cs="Times New Roman"/>
        </w:rPr>
        <w:t xml:space="preserve"> (11th ed.). Pearson Education.</w:t>
      </w:r>
    </w:p>
    <w:p w14:paraId="17DE8020" w14:textId="77777777"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Brigham, E. F., &amp; Houston, J. F. (2022). </w:t>
      </w:r>
      <w:r w:rsidRPr="003F4CA2">
        <w:rPr>
          <w:rFonts w:ascii="Times New Roman" w:hAnsi="Times New Roman" w:cs="Times New Roman"/>
          <w:i/>
          <w:iCs/>
        </w:rPr>
        <w:t>Fundamentals of financial management</w:t>
      </w:r>
      <w:r w:rsidRPr="003F4CA2">
        <w:rPr>
          <w:rFonts w:ascii="Times New Roman" w:hAnsi="Times New Roman" w:cs="Times New Roman"/>
        </w:rPr>
        <w:t xml:space="preserve"> (16th ed.). Cengage Learning.</w:t>
      </w:r>
    </w:p>
    <w:p w14:paraId="5427AD2B" w14:textId="7AE0AE70"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Harvard Business Review. (2021). </w:t>
      </w:r>
      <w:r w:rsidRPr="003F4CA2">
        <w:rPr>
          <w:rFonts w:ascii="Times New Roman" w:hAnsi="Times New Roman" w:cs="Times New Roman"/>
          <w:i/>
          <w:iCs/>
        </w:rPr>
        <w:t>The business case for sustainability</w:t>
      </w:r>
      <w:r w:rsidRPr="003F4CA2">
        <w:rPr>
          <w:rFonts w:ascii="Times New Roman" w:hAnsi="Times New Roman" w:cs="Times New Roman"/>
        </w:rPr>
        <w:t xml:space="preserve">. </w:t>
      </w:r>
      <w:hyperlink r:id="rId9" w:history="1">
        <w:r w:rsidRPr="00932F96">
          <w:rPr>
            <w:rStyle w:val="Hyperlink"/>
            <w:rFonts w:ascii="Times New Roman" w:hAnsi="Times New Roman" w:cs="Times New Roman"/>
          </w:rPr>
          <w:t>https://hbr.org</w:t>
        </w:r>
      </w:hyperlink>
    </w:p>
    <w:p w14:paraId="79E9B2D9" w14:textId="459B8D7C"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Kaufmann, P. J., &amp; Lafontaine, F. (1994). Costs of control: The source of economic rents for McDonald's franchisees. </w:t>
      </w:r>
      <w:r w:rsidRPr="003F4CA2">
        <w:rPr>
          <w:rFonts w:ascii="Times New Roman" w:hAnsi="Times New Roman" w:cs="Times New Roman"/>
          <w:i/>
          <w:iCs/>
        </w:rPr>
        <w:t>The Journal of Law and economics, 37</w:t>
      </w:r>
      <w:r w:rsidRPr="003F4CA2">
        <w:rPr>
          <w:rFonts w:ascii="Times New Roman" w:hAnsi="Times New Roman" w:cs="Times New Roman"/>
        </w:rPr>
        <w:t>(2), 417-453.</w:t>
      </w:r>
    </w:p>
    <w:p w14:paraId="0FB89A33" w14:textId="0CD14A9A" w:rsidR="003F4CA2" w:rsidRP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Lev, B. (1969). Industry averages as targets for financial ratios. </w:t>
      </w:r>
      <w:r w:rsidRPr="003F4CA2">
        <w:rPr>
          <w:rFonts w:ascii="Times New Roman" w:hAnsi="Times New Roman" w:cs="Times New Roman"/>
          <w:i/>
          <w:iCs/>
        </w:rPr>
        <w:t>Journal of Accounting Research, 7</w:t>
      </w:r>
      <w:r w:rsidRPr="003F4CA2">
        <w:rPr>
          <w:rFonts w:ascii="Times New Roman" w:hAnsi="Times New Roman" w:cs="Times New Roman"/>
        </w:rPr>
        <w:t>(2), 290–299.</w:t>
      </w:r>
    </w:p>
    <w:p w14:paraId="3BA158ED" w14:textId="3A1DDAAF"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McDonald’s Corporation. (2024a). </w:t>
      </w:r>
      <w:r w:rsidRPr="003F4CA2">
        <w:rPr>
          <w:rFonts w:ascii="Times New Roman" w:hAnsi="Times New Roman" w:cs="Times New Roman"/>
          <w:i/>
          <w:iCs/>
        </w:rPr>
        <w:t>Q4 and full‐year 2023 results</w:t>
      </w:r>
      <w:r w:rsidRPr="003F4CA2">
        <w:rPr>
          <w:rFonts w:ascii="Times New Roman" w:hAnsi="Times New Roman" w:cs="Times New Roman"/>
        </w:rPr>
        <w:t xml:space="preserve">. </w:t>
      </w:r>
      <w:hyperlink r:id="rId10" w:history="1">
        <w:r w:rsidRPr="00932F96">
          <w:rPr>
            <w:rStyle w:val="Hyperlink"/>
            <w:rFonts w:ascii="Times New Roman" w:hAnsi="Times New Roman" w:cs="Times New Roman"/>
          </w:rPr>
          <w:t>https://corporate.mcdonalds.com</w:t>
        </w:r>
      </w:hyperlink>
    </w:p>
    <w:p w14:paraId="4DB90FD6" w14:textId="611EFF15"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McDonald’s Corporation. (2024b). </w:t>
      </w:r>
      <w:r w:rsidRPr="003F4CA2">
        <w:rPr>
          <w:rFonts w:ascii="Times New Roman" w:hAnsi="Times New Roman" w:cs="Times New Roman"/>
          <w:i/>
          <w:iCs/>
        </w:rPr>
        <w:t>Q4 and full‐year 2024 results.</w:t>
      </w:r>
      <w:r w:rsidRPr="003F4CA2">
        <w:rPr>
          <w:rFonts w:ascii="Times New Roman" w:hAnsi="Times New Roman" w:cs="Times New Roman"/>
        </w:rPr>
        <w:t xml:space="preserve"> </w:t>
      </w:r>
      <w:hyperlink r:id="rId11" w:history="1">
        <w:r w:rsidRPr="00932F96">
          <w:rPr>
            <w:rStyle w:val="Hyperlink"/>
            <w:rFonts w:ascii="Times New Roman" w:hAnsi="Times New Roman" w:cs="Times New Roman"/>
          </w:rPr>
          <w:t>https://corporate.mcdonalds.com</w:t>
        </w:r>
      </w:hyperlink>
    </w:p>
    <w:p w14:paraId="767576AE" w14:textId="0DB75809"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Penman, S. H. (2013). </w:t>
      </w:r>
      <w:r w:rsidRPr="003F4CA2">
        <w:rPr>
          <w:rFonts w:ascii="Times New Roman" w:hAnsi="Times New Roman" w:cs="Times New Roman"/>
          <w:i/>
          <w:iCs/>
        </w:rPr>
        <w:t>Financial statement analysis and security valuation</w:t>
      </w:r>
      <w:r w:rsidRPr="003F4CA2">
        <w:rPr>
          <w:rFonts w:ascii="Times New Roman" w:hAnsi="Times New Roman" w:cs="Times New Roman"/>
        </w:rPr>
        <w:t xml:space="preserve"> (5th ed.). McGraw-Hill Education.</w:t>
      </w:r>
    </w:p>
    <w:p w14:paraId="0A1FD447" w14:textId="4DF70042" w:rsidR="003F4CA2" w:rsidRDefault="003F4CA2" w:rsidP="003F4CA2">
      <w:pPr>
        <w:spacing w:line="480" w:lineRule="auto"/>
        <w:rPr>
          <w:rFonts w:ascii="Times New Roman" w:hAnsi="Times New Roman" w:cs="Times New Roman"/>
        </w:rPr>
      </w:pPr>
      <w:r w:rsidRPr="003F4CA2">
        <w:rPr>
          <w:rFonts w:ascii="Times New Roman" w:hAnsi="Times New Roman" w:cs="Times New Roman"/>
        </w:rPr>
        <w:t>Shahid, M., Shafiq, H., Khan, A., Bari, R., Shahzad, N., Ch, I. S., &amp; Parveen, S. (2014). Financial exposure of McDonald's corp. success as a market leader</w:t>
      </w:r>
      <w:r w:rsidRPr="003F4CA2">
        <w:rPr>
          <w:rFonts w:ascii="Times New Roman" w:hAnsi="Times New Roman" w:cs="Times New Roman"/>
          <w:i/>
          <w:iCs/>
        </w:rPr>
        <w:t>. International Journal of Accounting and Financial Reporting, 4</w:t>
      </w:r>
      <w:r w:rsidRPr="003F4CA2">
        <w:rPr>
          <w:rFonts w:ascii="Times New Roman" w:hAnsi="Times New Roman" w:cs="Times New Roman"/>
        </w:rPr>
        <w:t>(1), 338-356.</w:t>
      </w:r>
    </w:p>
    <w:p w14:paraId="36A1B137" w14:textId="7298F519" w:rsidR="003F4CA2" w:rsidRPr="003F4CA2" w:rsidRDefault="003F4CA2" w:rsidP="003F4CA2">
      <w:pPr>
        <w:spacing w:line="480" w:lineRule="auto"/>
        <w:rPr>
          <w:rFonts w:ascii="Times New Roman" w:hAnsi="Times New Roman" w:cs="Times New Roman"/>
          <w:i/>
          <w:iCs/>
        </w:rPr>
      </w:pPr>
      <w:r w:rsidRPr="003F4CA2">
        <w:rPr>
          <w:rFonts w:ascii="Times New Roman" w:hAnsi="Times New Roman" w:cs="Times New Roman"/>
        </w:rPr>
        <w:lastRenderedPageBreak/>
        <w:t xml:space="preserve">Shaw, J. </w:t>
      </w:r>
      <w:r w:rsidRPr="003F4CA2">
        <w:rPr>
          <w:rFonts w:ascii="Times New Roman" w:hAnsi="Times New Roman" w:cs="Times New Roman"/>
          <w:i/>
          <w:iCs/>
        </w:rPr>
        <w:t>McDonalds Corporate Business Strategy Analysis.</w:t>
      </w:r>
    </w:p>
    <w:p w14:paraId="13F61330" w14:textId="410AF99C"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Wall Street Journal. (2024). </w:t>
      </w:r>
      <w:r w:rsidRPr="003F4CA2">
        <w:rPr>
          <w:rFonts w:ascii="Times New Roman" w:hAnsi="Times New Roman" w:cs="Times New Roman"/>
          <w:i/>
          <w:iCs/>
        </w:rPr>
        <w:t>McDonald’s U.S. sales fall after E. coli outbreak</w:t>
      </w:r>
      <w:r w:rsidRPr="003F4CA2">
        <w:rPr>
          <w:rFonts w:ascii="Times New Roman" w:hAnsi="Times New Roman" w:cs="Times New Roman"/>
        </w:rPr>
        <w:t xml:space="preserve">. </w:t>
      </w:r>
      <w:hyperlink r:id="rId12" w:history="1">
        <w:r w:rsidRPr="00932F96">
          <w:rPr>
            <w:rStyle w:val="Hyperlink"/>
            <w:rFonts w:ascii="Times New Roman" w:hAnsi="Times New Roman" w:cs="Times New Roman"/>
          </w:rPr>
          <w:t>https://www.wsj.com</w:t>
        </w:r>
      </w:hyperlink>
    </w:p>
    <w:p w14:paraId="058AD50B" w14:textId="4375A98B" w:rsid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Wild, J. J., Subramanyam, K. R., &amp; Halsey, R. F. (2014). </w:t>
      </w:r>
      <w:r w:rsidRPr="003F4CA2">
        <w:rPr>
          <w:rFonts w:ascii="Times New Roman" w:hAnsi="Times New Roman" w:cs="Times New Roman"/>
          <w:i/>
          <w:iCs/>
        </w:rPr>
        <w:t>Financial statement analysis</w:t>
      </w:r>
      <w:r w:rsidRPr="003F4CA2">
        <w:rPr>
          <w:rFonts w:ascii="Times New Roman" w:hAnsi="Times New Roman" w:cs="Times New Roman"/>
        </w:rPr>
        <w:t xml:space="preserve"> (11th ed.). McGraw-Hill Education.</w:t>
      </w:r>
    </w:p>
    <w:p w14:paraId="658E1F89" w14:textId="516526BB" w:rsidR="003F4CA2" w:rsidRPr="003F4CA2" w:rsidRDefault="003F4CA2" w:rsidP="003F4CA2">
      <w:pPr>
        <w:spacing w:line="480" w:lineRule="auto"/>
        <w:rPr>
          <w:rFonts w:ascii="Times New Roman" w:hAnsi="Times New Roman" w:cs="Times New Roman"/>
        </w:rPr>
      </w:pPr>
      <w:r w:rsidRPr="003F4CA2">
        <w:rPr>
          <w:rFonts w:ascii="Times New Roman" w:hAnsi="Times New Roman" w:cs="Times New Roman"/>
        </w:rPr>
        <w:t xml:space="preserve">Wu, F. (2020). </w:t>
      </w:r>
      <w:r w:rsidRPr="003F4CA2">
        <w:rPr>
          <w:rFonts w:ascii="Times New Roman" w:hAnsi="Times New Roman" w:cs="Times New Roman"/>
          <w:i/>
          <w:iCs/>
        </w:rPr>
        <w:t>An Analysis of McDonald’s Business Model Based on Business Ecosystem Theory. In RSU International Research Conference</w:t>
      </w:r>
      <w:r w:rsidRPr="003F4CA2">
        <w:rPr>
          <w:rFonts w:ascii="Times New Roman" w:hAnsi="Times New Roman" w:cs="Times New Roman"/>
        </w:rPr>
        <w:t xml:space="preserve"> (Vol. 1, pp. 1756-1763).</w:t>
      </w:r>
    </w:p>
    <w:p w14:paraId="14D24BA7" w14:textId="2E50D400" w:rsidR="006D0591" w:rsidRDefault="003F4CA2" w:rsidP="007A7E18">
      <w:pPr>
        <w:spacing w:line="480" w:lineRule="auto"/>
        <w:rPr>
          <w:rFonts w:ascii="Times New Roman" w:hAnsi="Times New Roman" w:cs="Times New Roman"/>
        </w:rPr>
      </w:pPr>
      <w:r w:rsidRPr="003F4CA2">
        <w:rPr>
          <w:rFonts w:ascii="Times New Roman" w:hAnsi="Times New Roman" w:cs="Times New Roman"/>
        </w:rPr>
        <w:t xml:space="preserve">Zhang, X., Jiang, D., &amp; Zhao, Z. (2022, March). </w:t>
      </w:r>
      <w:r w:rsidRPr="003F4CA2">
        <w:rPr>
          <w:rFonts w:ascii="Times New Roman" w:hAnsi="Times New Roman" w:cs="Times New Roman"/>
          <w:i/>
          <w:iCs/>
        </w:rPr>
        <w:t>Forecasting MCDONALD’S Corporation Performance of 2022–2031 Based on Forecasting Financial Statements and Valuation Models. In International Conference on Business and Policy Studies (</w:t>
      </w:r>
      <w:r w:rsidRPr="003F4CA2">
        <w:rPr>
          <w:rFonts w:ascii="Times New Roman" w:hAnsi="Times New Roman" w:cs="Times New Roman"/>
        </w:rPr>
        <w:t>pp. 809-820). Singapore: Springer Nature Singapore.</w:t>
      </w:r>
    </w:p>
    <w:p w14:paraId="52987095" w14:textId="163EC8AC" w:rsidR="003F4CA2" w:rsidRDefault="003F4CA2" w:rsidP="007A7E18">
      <w:pPr>
        <w:spacing w:line="480" w:lineRule="auto"/>
        <w:rPr>
          <w:rFonts w:ascii="Times New Roman" w:hAnsi="Times New Roman" w:cs="Times New Roman"/>
        </w:rPr>
      </w:pPr>
      <w:r w:rsidRPr="003F4CA2">
        <w:rPr>
          <w:rFonts w:ascii="Times New Roman" w:hAnsi="Times New Roman" w:cs="Times New Roman"/>
        </w:rPr>
        <w:t xml:space="preserve">Zhou, K. (2025, February). </w:t>
      </w:r>
      <w:r w:rsidRPr="003F4CA2">
        <w:rPr>
          <w:rFonts w:ascii="Times New Roman" w:hAnsi="Times New Roman" w:cs="Times New Roman"/>
          <w:i/>
          <w:iCs/>
        </w:rPr>
        <w:t>A Valuation Study of McDonald’</w:t>
      </w:r>
      <w:r w:rsidRPr="003F4CA2">
        <w:rPr>
          <w:rFonts w:ascii="Times New Roman" w:hAnsi="Times New Roman" w:cs="Times New Roman"/>
          <w:i/>
          <w:iCs/>
        </w:rPr>
        <w:t xml:space="preserve">s </w:t>
      </w:r>
      <w:r w:rsidRPr="003F4CA2">
        <w:rPr>
          <w:rFonts w:ascii="Times New Roman" w:hAnsi="Times New Roman" w:cs="Times New Roman"/>
          <w:i/>
          <w:iCs/>
        </w:rPr>
        <w:t>Based on Price-Earnings Ratio and Price-Sales Ratio. In International Workshop on Navigating the Digital Business Frontier for Sustainable Financial Innovation</w:t>
      </w:r>
      <w:r w:rsidRPr="003F4CA2">
        <w:rPr>
          <w:rFonts w:ascii="Times New Roman" w:hAnsi="Times New Roman" w:cs="Times New Roman"/>
        </w:rPr>
        <w:t xml:space="preserve"> (ICDEBA 2024) (pp. 471-481). Atlantis Press.</w:t>
      </w:r>
    </w:p>
    <w:p w14:paraId="1B0B2A1A" w14:textId="7C421238" w:rsidR="003F4CA2" w:rsidRDefault="003F4CA2" w:rsidP="007A7E18">
      <w:pPr>
        <w:spacing w:line="480" w:lineRule="auto"/>
        <w:rPr>
          <w:rFonts w:ascii="Times New Roman" w:hAnsi="Times New Roman" w:cs="Times New Roman"/>
        </w:rPr>
      </w:pPr>
      <w:hyperlink r:id="rId13" w:history="1">
        <w:r w:rsidRPr="00932F96">
          <w:rPr>
            <w:rStyle w:val="Hyperlink"/>
            <w:rFonts w:ascii="Times New Roman" w:hAnsi="Times New Roman" w:cs="Times New Roman"/>
          </w:rPr>
          <w:t>https://corporate.mcdonalds.com/corpmcd/investors/financial-information.html</w:t>
        </w:r>
      </w:hyperlink>
    </w:p>
    <w:p w14:paraId="6CD25352" w14:textId="2917BC6C" w:rsidR="003F4CA2" w:rsidRDefault="00692956" w:rsidP="007A7E18">
      <w:pPr>
        <w:spacing w:line="480" w:lineRule="auto"/>
        <w:rPr>
          <w:rFonts w:ascii="Times New Roman" w:hAnsi="Times New Roman" w:cs="Times New Roman"/>
        </w:rPr>
      </w:pPr>
      <w:hyperlink r:id="rId14" w:history="1">
        <w:r w:rsidRPr="00932F96">
          <w:rPr>
            <w:rStyle w:val="Hyperlink"/>
            <w:rFonts w:ascii="Times New Roman" w:hAnsi="Times New Roman" w:cs="Times New Roman"/>
          </w:rPr>
          <w:t>https://static.poder360.com.br/2023/04/mcdonalds-resultados-2023.pdf</w:t>
        </w:r>
      </w:hyperlink>
    </w:p>
    <w:p w14:paraId="62DD9221" w14:textId="3D4DEE3C" w:rsidR="00692956" w:rsidRDefault="00692956" w:rsidP="007A7E18">
      <w:pPr>
        <w:spacing w:line="480" w:lineRule="auto"/>
        <w:rPr>
          <w:rFonts w:ascii="Times New Roman" w:hAnsi="Times New Roman" w:cs="Times New Roman"/>
        </w:rPr>
      </w:pPr>
      <w:hyperlink r:id="rId15" w:history="1">
        <w:r w:rsidRPr="00932F96">
          <w:rPr>
            <w:rStyle w:val="Hyperlink"/>
            <w:rFonts w:ascii="Times New Roman" w:hAnsi="Times New Roman" w:cs="Times New Roman"/>
          </w:rPr>
          <w:t>https://corporate.mcdonalds.com/content/dam/sites/corp/nfl/pdf/McDonalds_PurposeImpact_ProgressReport_2023_2024.pdf</w:t>
        </w:r>
      </w:hyperlink>
    </w:p>
    <w:p w14:paraId="4A260148" w14:textId="77777777" w:rsidR="00692956" w:rsidRPr="007A7E18" w:rsidRDefault="00692956" w:rsidP="007A7E18">
      <w:pPr>
        <w:spacing w:line="480" w:lineRule="auto"/>
        <w:rPr>
          <w:rFonts w:ascii="Times New Roman" w:hAnsi="Times New Roman" w:cs="Times New Roman"/>
        </w:rPr>
      </w:pPr>
    </w:p>
    <w:sectPr w:rsidR="00692956" w:rsidRPr="007A7E18" w:rsidSect="00692956">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4E2D2" w14:textId="77777777" w:rsidR="002E7BC7" w:rsidRDefault="002E7BC7" w:rsidP="00692956">
      <w:pPr>
        <w:spacing w:after="0" w:line="240" w:lineRule="auto"/>
      </w:pPr>
      <w:r>
        <w:separator/>
      </w:r>
    </w:p>
  </w:endnote>
  <w:endnote w:type="continuationSeparator" w:id="0">
    <w:p w14:paraId="06D85FFF" w14:textId="77777777" w:rsidR="002E7BC7" w:rsidRDefault="002E7BC7" w:rsidP="00692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F2233" w14:textId="77777777" w:rsidR="002E7BC7" w:rsidRDefault="002E7BC7" w:rsidP="00692956">
      <w:pPr>
        <w:spacing w:after="0" w:line="240" w:lineRule="auto"/>
      </w:pPr>
      <w:r>
        <w:separator/>
      </w:r>
    </w:p>
  </w:footnote>
  <w:footnote w:type="continuationSeparator" w:id="0">
    <w:p w14:paraId="68563881" w14:textId="77777777" w:rsidR="002E7BC7" w:rsidRDefault="002E7BC7" w:rsidP="00692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646891"/>
      <w:docPartObj>
        <w:docPartGallery w:val="Page Numbers (Top of Page)"/>
        <w:docPartUnique/>
      </w:docPartObj>
    </w:sdtPr>
    <w:sdtEndPr>
      <w:rPr>
        <w:noProof/>
      </w:rPr>
    </w:sdtEndPr>
    <w:sdtContent>
      <w:p w14:paraId="58A2FD8C" w14:textId="7D35740B" w:rsidR="00692956" w:rsidRDefault="006929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A65472" w14:textId="77777777" w:rsidR="00692956" w:rsidRDefault="006929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8165F"/>
    <w:multiLevelType w:val="hybridMultilevel"/>
    <w:tmpl w:val="BF0478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B5A78"/>
    <w:multiLevelType w:val="hybridMultilevel"/>
    <w:tmpl w:val="01CA1B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1F2780"/>
    <w:multiLevelType w:val="hybridMultilevel"/>
    <w:tmpl w:val="D3785E98"/>
    <w:lvl w:ilvl="0" w:tplc="4156C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5893311">
    <w:abstractNumId w:val="2"/>
  </w:num>
  <w:num w:numId="2" w16cid:durableId="1449205992">
    <w:abstractNumId w:val="0"/>
  </w:num>
  <w:num w:numId="3" w16cid:durableId="1156649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450"/>
    <w:rsid w:val="00203450"/>
    <w:rsid w:val="002E7BC7"/>
    <w:rsid w:val="00397046"/>
    <w:rsid w:val="003F4CA2"/>
    <w:rsid w:val="005D4ED7"/>
    <w:rsid w:val="00692956"/>
    <w:rsid w:val="006D0591"/>
    <w:rsid w:val="00734EC2"/>
    <w:rsid w:val="007A7E18"/>
    <w:rsid w:val="009228F9"/>
    <w:rsid w:val="00CB3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020D1"/>
  <w15:chartTrackingRefBased/>
  <w15:docId w15:val="{18AC584C-9C7F-40A8-B6A8-31BE38325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4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4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4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4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4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4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4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4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4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4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4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4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4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4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4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4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4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450"/>
    <w:rPr>
      <w:rFonts w:eastAsiaTheme="majorEastAsia" w:cstheme="majorBidi"/>
      <w:color w:val="272727" w:themeColor="text1" w:themeTint="D8"/>
    </w:rPr>
  </w:style>
  <w:style w:type="paragraph" w:styleId="Title">
    <w:name w:val="Title"/>
    <w:basedOn w:val="Normal"/>
    <w:next w:val="Normal"/>
    <w:link w:val="TitleChar"/>
    <w:uiPriority w:val="10"/>
    <w:qFormat/>
    <w:rsid w:val="002034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4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4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4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450"/>
    <w:pPr>
      <w:spacing w:before="160"/>
      <w:jc w:val="center"/>
    </w:pPr>
    <w:rPr>
      <w:i/>
      <w:iCs/>
      <w:color w:val="404040" w:themeColor="text1" w:themeTint="BF"/>
    </w:rPr>
  </w:style>
  <w:style w:type="character" w:customStyle="1" w:styleId="QuoteChar">
    <w:name w:val="Quote Char"/>
    <w:basedOn w:val="DefaultParagraphFont"/>
    <w:link w:val="Quote"/>
    <w:uiPriority w:val="29"/>
    <w:rsid w:val="00203450"/>
    <w:rPr>
      <w:i/>
      <w:iCs/>
      <w:color w:val="404040" w:themeColor="text1" w:themeTint="BF"/>
    </w:rPr>
  </w:style>
  <w:style w:type="paragraph" w:styleId="ListParagraph">
    <w:name w:val="List Paragraph"/>
    <w:basedOn w:val="Normal"/>
    <w:uiPriority w:val="34"/>
    <w:qFormat/>
    <w:rsid w:val="00203450"/>
    <w:pPr>
      <w:ind w:left="720"/>
      <w:contextualSpacing/>
    </w:pPr>
  </w:style>
  <w:style w:type="character" w:styleId="IntenseEmphasis">
    <w:name w:val="Intense Emphasis"/>
    <w:basedOn w:val="DefaultParagraphFont"/>
    <w:uiPriority w:val="21"/>
    <w:qFormat/>
    <w:rsid w:val="00203450"/>
    <w:rPr>
      <w:i/>
      <w:iCs/>
      <w:color w:val="0F4761" w:themeColor="accent1" w:themeShade="BF"/>
    </w:rPr>
  </w:style>
  <w:style w:type="paragraph" w:styleId="IntenseQuote">
    <w:name w:val="Intense Quote"/>
    <w:basedOn w:val="Normal"/>
    <w:next w:val="Normal"/>
    <w:link w:val="IntenseQuoteChar"/>
    <w:uiPriority w:val="30"/>
    <w:qFormat/>
    <w:rsid w:val="002034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450"/>
    <w:rPr>
      <w:i/>
      <w:iCs/>
      <w:color w:val="0F4761" w:themeColor="accent1" w:themeShade="BF"/>
    </w:rPr>
  </w:style>
  <w:style w:type="character" w:styleId="IntenseReference">
    <w:name w:val="Intense Reference"/>
    <w:basedOn w:val="DefaultParagraphFont"/>
    <w:uiPriority w:val="32"/>
    <w:qFormat/>
    <w:rsid w:val="00203450"/>
    <w:rPr>
      <w:b/>
      <w:bCs/>
      <w:smallCaps/>
      <w:color w:val="0F4761" w:themeColor="accent1" w:themeShade="BF"/>
      <w:spacing w:val="5"/>
    </w:rPr>
  </w:style>
  <w:style w:type="character" w:styleId="Hyperlink">
    <w:name w:val="Hyperlink"/>
    <w:basedOn w:val="DefaultParagraphFont"/>
    <w:uiPriority w:val="99"/>
    <w:unhideWhenUsed/>
    <w:rsid w:val="003F4CA2"/>
    <w:rPr>
      <w:color w:val="467886" w:themeColor="hyperlink"/>
      <w:u w:val="single"/>
    </w:rPr>
  </w:style>
  <w:style w:type="character" w:styleId="UnresolvedMention">
    <w:name w:val="Unresolved Mention"/>
    <w:basedOn w:val="DefaultParagraphFont"/>
    <w:uiPriority w:val="99"/>
    <w:semiHidden/>
    <w:unhideWhenUsed/>
    <w:rsid w:val="003F4CA2"/>
    <w:rPr>
      <w:color w:val="605E5C"/>
      <w:shd w:val="clear" w:color="auto" w:fill="E1DFDD"/>
    </w:rPr>
  </w:style>
  <w:style w:type="paragraph" w:styleId="Header">
    <w:name w:val="header"/>
    <w:basedOn w:val="Normal"/>
    <w:link w:val="HeaderChar"/>
    <w:uiPriority w:val="99"/>
    <w:unhideWhenUsed/>
    <w:rsid w:val="00692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956"/>
  </w:style>
  <w:style w:type="paragraph" w:styleId="Footer">
    <w:name w:val="footer"/>
    <w:basedOn w:val="Normal"/>
    <w:link w:val="FooterChar"/>
    <w:uiPriority w:val="99"/>
    <w:unhideWhenUsed/>
    <w:rsid w:val="00692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956"/>
  </w:style>
  <w:style w:type="paragraph" w:styleId="NoSpacing">
    <w:name w:val="No Spacing"/>
    <w:link w:val="NoSpacingChar"/>
    <w:uiPriority w:val="1"/>
    <w:qFormat/>
    <w:rsid w:val="0069295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9295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267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540-6261.1968.tb00843.x" TargetMode="External"/><Relationship Id="rId13" Type="http://schemas.openxmlformats.org/officeDocument/2006/relationships/hyperlink" Target="https://corporate.mcdonalds.com/corpmcd/investors/financial-information.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sj.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cdonalds.com" TargetMode="External"/><Relationship Id="rId5" Type="http://schemas.openxmlformats.org/officeDocument/2006/relationships/webSettings" Target="webSettings.xml"/><Relationship Id="rId15" Type="http://schemas.openxmlformats.org/officeDocument/2006/relationships/hyperlink" Target="https://corporate.mcdonalds.com/content/dam/sites/corp/nfl/pdf/McDonalds_PurposeImpact_ProgressReport_2023_2024.pdf" TargetMode="External"/><Relationship Id="rId10" Type="http://schemas.openxmlformats.org/officeDocument/2006/relationships/hyperlink" Target="https://corporate.mcdonalds.com" TargetMode="External"/><Relationship Id="rId4" Type="http://schemas.openxmlformats.org/officeDocument/2006/relationships/settings" Target="settings.xml"/><Relationship Id="rId9" Type="http://schemas.openxmlformats.org/officeDocument/2006/relationships/hyperlink" Target="https://hbr.org" TargetMode="External"/><Relationship Id="rId14" Type="http://schemas.openxmlformats.org/officeDocument/2006/relationships/hyperlink" Target="https://static.poder360.com.br/2023/04/mcdonalds-resultados-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11</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of McDonalds</dc:title>
  <dc:subject/>
  <dc:creator>Mirabela Voican (1907947)</dc:creator>
  <cp:keywords/>
  <dc:description/>
  <cp:lastModifiedBy>Mirabela Voican (1907947)</cp:lastModifiedBy>
  <cp:revision>1</cp:revision>
  <dcterms:created xsi:type="dcterms:W3CDTF">2025-04-07T14:51:00Z</dcterms:created>
  <dcterms:modified xsi:type="dcterms:W3CDTF">2025-04-07T16:48:00Z</dcterms:modified>
</cp:coreProperties>
</file>