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680" w:rsidRPr="00AE2A44" w:rsidRDefault="001F3680" w:rsidP="001F3680">
      <w:pPr>
        <w:spacing w:after="165" w:line="360" w:lineRule="auto"/>
        <w:rPr>
          <w:rFonts w:ascii="Tahoma" w:hAnsi="Tahoma" w:cs="Tahoma"/>
          <w:sz w:val="40"/>
          <w:szCs w:val="40"/>
        </w:rPr>
      </w:pPr>
      <w:r w:rsidRPr="00AE2A44">
        <w:rPr>
          <w:b/>
          <w:noProof/>
          <w:lang w:eastAsia="en-GB"/>
        </w:rPr>
        <w:drawing>
          <wp:inline distT="0" distB="0" distL="0" distR="0">
            <wp:extent cx="2209800" cy="742950"/>
            <wp:effectExtent l="19050" t="0" r="0" b="0"/>
            <wp:docPr id="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1F3680" w:rsidRPr="00AE2A44" w:rsidRDefault="001F3680" w:rsidP="001F3680">
      <w:pPr>
        <w:spacing w:after="165" w:line="360" w:lineRule="auto"/>
        <w:jc w:val="center"/>
        <w:rPr>
          <w:rFonts w:ascii="Tahoma" w:hAnsi="Tahoma" w:cs="Tahoma"/>
          <w:sz w:val="40"/>
          <w:szCs w:val="40"/>
        </w:rPr>
      </w:pPr>
      <w:r w:rsidRPr="00AE2A44">
        <w:rPr>
          <w:rFonts w:ascii="Tahoma" w:hAnsi="Tahoma" w:cs="Tahoma"/>
          <w:sz w:val="40"/>
          <w:szCs w:val="40"/>
        </w:rPr>
        <w:t xml:space="preserve">Module Assignment Submission </w:t>
      </w:r>
      <w:r w:rsidRPr="00AE2A44">
        <w:rPr>
          <w:rFonts w:ascii="Tahoma" w:hAnsi="Tahoma" w:cs="Tahoma"/>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1F3680" w:rsidRPr="00AE2A44" w:rsidTr="00D35232">
        <w:tc>
          <w:tcPr>
            <w:tcW w:w="3438" w:type="dxa"/>
            <w:shd w:val="clear" w:color="auto" w:fill="D9D9D9"/>
          </w:tcPr>
          <w:p w:rsidR="001F3680" w:rsidRPr="00AE2A44" w:rsidRDefault="001F3680" w:rsidP="00D35232">
            <w:pPr>
              <w:spacing w:before="120" w:after="120" w:line="360" w:lineRule="auto"/>
              <w:rPr>
                <w:rFonts w:ascii="Tahoma" w:hAnsi="Tahoma" w:cs="Tahoma"/>
                <w:sz w:val="32"/>
                <w:szCs w:val="32"/>
              </w:rPr>
            </w:pPr>
            <w:r w:rsidRPr="00AE2A44">
              <w:rPr>
                <w:rFonts w:ascii="Tahoma" w:hAnsi="Tahoma" w:cs="Tahoma"/>
                <w:sz w:val="32"/>
                <w:szCs w:val="32"/>
              </w:rPr>
              <w:t>Student Name:</w:t>
            </w:r>
          </w:p>
        </w:tc>
        <w:tc>
          <w:tcPr>
            <w:tcW w:w="6055" w:type="dxa"/>
          </w:tcPr>
          <w:p w:rsidR="001F3680" w:rsidRPr="00AE2A44" w:rsidRDefault="001F3680" w:rsidP="00D35232">
            <w:pPr>
              <w:spacing w:before="120" w:after="120" w:line="360" w:lineRule="auto"/>
              <w:rPr>
                <w:rFonts w:ascii="Tahoma" w:hAnsi="Tahoma" w:cs="Tahoma"/>
                <w:sz w:val="32"/>
                <w:szCs w:val="32"/>
              </w:rPr>
            </w:pPr>
            <w:r w:rsidRPr="00AE2A44">
              <w:rPr>
                <w:rFonts w:ascii="Tahoma" w:hAnsi="Tahoma" w:cs="Tahoma"/>
                <w:sz w:val="32"/>
                <w:szCs w:val="32"/>
              </w:rPr>
              <w:t xml:space="preserve">OLIVIAN MAJORANT </w:t>
            </w:r>
          </w:p>
        </w:tc>
      </w:tr>
      <w:tr w:rsidR="001F3680" w:rsidRPr="00AE2A44" w:rsidTr="00D35232">
        <w:tc>
          <w:tcPr>
            <w:tcW w:w="3438" w:type="dxa"/>
            <w:shd w:val="clear" w:color="auto" w:fill="D9D9D9"/>
          </w:tcPr>
          <w:p w:rsidR="001F3680" w:rsidRPr="00AE2A44" w:rsidRDefault="001F3680" w:rsidP="00D35232">
            <w:pPr>
              <w:spacing w:before="120" w:after="120" w:line="360" w:lineRule="auto"/>
              <w:rPr>
                <w:rFonts w:ascii="Tahoma" w:hAnsi="Tahoma" w:cs="Tahoma"/>
                <w:sz w:val="32"/>
                <w:szCs w:val="32"/>
              </w:rPr>
            </w:pPr>
            <w:r w:rsidRPr="00AE2A44">
              <w:rPr>
                <w:rFonts w:ascii="Tahoma" w:hAnsi="Tahoma" w:cs="Tahoma"/>
                <w:sz w:val="32"/>
                <w:szCs w:val="32"/>
              </w:rPr>
              <w:t>Student Number:</w:t>
            </w:r>
          </w:p>
        </w:tc>
        <w:tc>
          <w:tcPr>
            <w:tcW w:w="6055" w:type="dxa"/>
          </w:tcPr>
          <w:p w:rsidR="001F3680" w:rsidRPr="00AE2A44" w:rsidRDefault="001F3680" w:rsidP="00D35232">
            <w:pPr>
              <w:spacing w:before="120" w:after="120" w:line="360" w:lineRule="auto"/>
              <w:rPr>
                <w:rFonts w:ascii="Tahoma" w:hAnsi="Tahoma" w:cs="Tahoma"/>
                <w:sz w:val="32"/>
                <w:szCs w:val="32"/>
              </w:rPr>
            </w:pPr>
            <w:r w:rsidRPr="00AE2A44">
              <w:rPr>
                <w:rFonts w:ascii="Tahoma" w:hAnsi="Tahoma" w:cs="Tahoma"/>
                <w:sz w:val="32"/>
                <w:szCs w:val="32"/>
              </w:rPr>
              <w:t>2005325</w:t>
            </w:r>
          </w:p>
        </w:tc>
      </w:tr>
      <w:tr w:rsidR="001F3680" w:rsidRPr="00AE2A44" w:rsidTr="00D35232">
        <w:tc>
          <w:tcPr>
            <w:tcW w:w="3438" w:type="dxa"/>
            <w:shd w:val="clear" w:color="auto" w:fill="D9D9D9"/>
          </w:tcPr>
          <w:p w:rsidR="001F3680" w:rsidRPr="00AE2A44" w:rsidRDefault="001F3680" w:rsidP="00D35232">
            <w:pPr>
              <w:spacing w:before="120" w:after="120" w:line="360" w:lineRule="auto"/>
              <w:rPr>
                <w:rFonts w:ascii="Tahoma" w:hAnsi="Tahoma" w:cs="Tahoma"/>
                <w:sz w:val="32"/>
                <w:szCs w:val="32"/>
              </w:rPr>
            </w:pPr>
            <w:r w:rsidRPr="00AE2A44">
              <w:rPr>
                <w:rFonts w:ascii="Tahoma" w:hAnsi="Tahoma" w:cs="Tahoma"/>
                <w:sz w:val="32"/>
                <w:szCs w:val="32"/>
              </w:rPr>
              <w:t>Module Code:</w:t>
            </w:r>
          </w:p>
        </w:tc>
        <w:tc>
          <w:tcPr>
            <w:tcW w:w="6055" w:type="dxa"/>
          </w:tcPr>
          <w:p w:rsidR="001F3680" w:rsidRPr="00AE2A44" w:rsidRDefault="001F3680" w:rsidP="00D35232">
            <w:pPr>
              <w:spacing w:before="120" w:after="120" w:line="360" w:lineRule="auto"/>
              <w:rPr>
                <w:rFonts w:ascii="Tahoma" w:hAnsi="Tahoma" w:cs="Tahoma"/>
                <w:sz w:val="32"/>
                <w:szCs w:val="32"/>
              </w:rPr>
            </w:pPr>
            <w:r w:rsidRPr="00AE2A44">
              <w:rPr>
                <w:rFonts w:ascii="Tahoma" w:hAnsi="Tahoma" w:cs="Tahoma"/>
                <w:sz w:val="32"/>
                <w:szCs w:val="32"/>
              </w:rPr>
              <w:t>BMSK6007</w:t>
            </w:r>
          </w:p>
        </w:tc>
      </w:tr>
      <w:tr w:rsidR="001F3680" w:rsidRPr="00AE2A44" w:rsidTr="00D35232">
        <w:trPr>
          <w:trHeight w:val="413"/>
        </w:trPr>
        <w:tc>
          <w:tcPr>
            <w:tcW w:w="3438" w:type="dxa"/>
            <w:shd w:val="clear" w:color="auto" w:fill="D9D9D9"/>
          </w:tcPr>
          <w:p w:rsidR="001F3680" w:rsidRPr="00AE2A44" w:rsidRDefault="001F3680" w:rsidP="00D35232">
            <w:pPr>
              <w:spacing w:before="120" w:after="120" w:line="360" w:lineRule="auto"/>
              <w:rPr>
                <w:rFonts w:ascii="Tahoma" w:hAnsi="Tahoma" w:cs="Tahoma"/>
                <w:sz w:val="32"/>
                <w:szCs w:val="32"/>
              </w:rPr>
            </w:pPr>
            <w:r w:rsidRPr="00AE2A44">
              <w:rPr>
                <w:rFonts w:ascii="Tahoma" w:hAnsi="Tahoma" w:cs="Tahoma"/>
                <w:sz w:val="32"/>
                <w:szCs w:val="32"/>
              </w:rPr>
              <w:t>Module Title:</w:t>
            </w:r>
          </w:p>
        </w:tc>
        <w:tc>
          <w:tcPr>
            <w:tcW w:w="6055" w:type="dxa"/>
          </w:tcPr>
          <w:p w:rsidR="001F3680" w:rsidRPr="00AE2A44" w:rsidRDefault="001F3680" w:rsidP="00D35232">
            <w:pPr>
              <w:spacing w:before="120" w:after="120"/>
              <w:jc w:val="both"/>
              <w:rPr>
                <w:rFonts w:ascii="Arial" w:hAnsi="Arial" w:cs="Arial"/>
                <w:b/>
              </w:rPr>
            </w:pPr>
            <w:r w:rsidRPr="00AE2A44">
              <w:rPr>
                <w:b/>
                <w:lang w:eastAsia="en-GB"/>
              </w:rPr>
              <w:t>The importance of strategic management for small and medium logistic enterprises  and the impacts of the Covid-19 pandemic</w:t>
            </w:r>
          </w:p>
        </w:tc>
      </w:tr>
    </w:tbl>
    <w:p w:rsidR="001F3680" w:rsidRPr="00AE2A44" w:rsidRDefault="001F3680" w:rsidP="001F3680">
      <w:pPr>
        <w:spacing w:before="120" w:after="120" w:line="360" w:lineRule="auto"/>
        <w:rPr>
          <w:rFonts w:ascii="Calibri" w:hAnsi="Calibri"/>
          <w:sz w:val="24"/>
          <w:szCs w:val="24"/>
        </w:rPr>
      </w:pPr>
    </w:p>
    <w:p w:rsidR="001F3680" w:rsidRPr="00AE2A44" w:rsidRDefault="001F3680" w:rsidP="001F3680">
      <w:pPr>
        <w:spacing w:before="120" w:after="120" w:line="360" w:lineRule="auto"/>
        <w:rPr>
          <w:rFonts w:ascii="Tahoma" w:hAnsi="Tahoma" w:cs="Tahoma"/>
          <w:b/>
          <w:sz w:val="24"/>
          <w:szCs w:val="24"/>
        </w:rPr>
      </w:pPr>
      <w:r w:rsidRPr="00AE2A44">
        <w:rPr>
          <w:rFonts w:ascii="Tahoma" w:hAnsi="Tahoma" w:cs="Tahoma"/>
          <w:b/>
          <w:sz w:val="24"/>
          <w:szCs w:val="24"/>
        </w:rPr>
        <w:t>Statement of Confirmation of Authenticity</w:t>
      </w:r>
    </w:p>
    <w:p w:rsidR="001F3680" w:rsidRPr="00AE2A44" w:rsidRDefault="001F3680" w:rsidP="001F3680">
      <w:pPr>
        <w:spacing w:before="120" w:after="120" w:line="360" w:lineRule="auto"/>
        <w:rPr>
          <w:rFonts w:ascii="Tahoma" w:hAnsi="Tahoma" w:cs="Tahoma"/>
          <w:sz w:val="24"/>
          <w:szCs w:val="24"/>
        </w:rPr>
      </w:pPr>
      <w:r w:rsidRPr="00AE2A44">
        <w:rPr>
          <w:rFonts w:ascii="Tahoma" w:hAnsi="Tahoma" w:cs="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1F3680" w:rsidRPr="00AE2A44" w:rsidRDefault="001F3680" w:rsidP="001F3680">
      <w:pPr>
        <w:spacing w:before="120" w:after="120" w:line="360" w:lineRule="auto"/>
        <w:rPr>
          <w:rFonts w:ascii="Tahoma" w:hAnsi="Tahoma" w:cs="Tahoma"/>
          <w:sz w:val="24"/>
          <w:szCs w:val="24"/>
        </w:rPr>
      </w:pPr>
      <w:r w:rsidRPr="00AE2A44">
        <w:rPr>
          <w:rFonts w:ascii="Tahoma" w:hAnsi="Tahoma" w:cs="Tahoma"/>
          <w:sz w:val="24"/>
          <w:szCs w:val="24"/>
        </w:rPr>
        <w:t xml:space="preserve">Attention is drawn to the plagiarism and unfair practice policies of the University. </w:t>
      </w:r>
    </w:p>
    <w:p w:rsidR="00D35232" w:rsidRPr="00AE2A44" w:rsidRDefault="00D35232" w:rsidP="001F3680">
      <w:pPr>
        <w:spacing w:before="120" w:after="120" w:line="360" w:lineRule="auto"/>
        <w:rPr>
          <w:rFonts w:ascii="Tahoma" w:hAnsi="Tahoma" w:cs="Tahoma"/>
          <w:sz w:val="24"/>
          <w:szCs w:val="24"/>
        </w:rPr>
      </w:pPr>
    </w:p>
    <w:p w:rsidR="00D35232" w:rsidRPr="00AE2A44" w:rsidRDefault="00D35232">
      <w:pPr>
        <w:spacing w:after="200" w:line="276" w:lineRule="auto"/>
        <w:rPr>
          <w:rFonts w:ascii="Tahoma" w:hAnsi="Tahoma" w:cs="Tahoma"/>
          <w:sz w:val="24"/>
          <w:szCs w:val="24"/>
        </w:rPr>
      </w:pPr>
      <w:r w:rsidRPr="00AE2A44">
        <w:rPr>
          <w:rFonts w:ascii="Tahoma" w:hAnsi="Tahoma" w:cs="Tahoma"/>
          <w:sz w:val="24"/>
          <w:szCs w:val="24"/>
        </w:rPr>
        <w:br w:type="page"/>
      </w:r>
    </w:p>
    <w:sdt>
      <w:sdtPr>
        <w:rPr>
          <w:rFonts w:asciiTheme="minorHAnsi" w:eastAsiaTheme="minorHAnsi" w:hAnsiTheme="minorHAnsi" w:cstheme="minorBidi"/>
          <w:b w:val="0"/>
          <w:bCs w:val="0"/>
          <w:color w:val="auto"/>
          <w:sz w:val="22"/>
          <w:szCs w:val="22"/>
          <w:lang w:val="en-GB"/>
        </w:rPr>
        <w:id w:val="4920438"/>
        <w:docPartObj>
          <w:docPartGallery w:val="Table of Contents"/>
          <w:docPartUnique/>
        </w:docPartObj>
      </w:sdtPr>
      <w:sdtContent>
        <w:p w:rsidR="00D35232" w:rsidRPr="00AE2A44" w:rsidRDefault="00D35232">
          <w:pPr>
            <w:pStyle w:val="TOCHeading"/>
            <w:rPr>
              <w:color w:val="auto"/>
            </w:rPr>
          </w:pPr>
          <w:r w:rsidRPr="00AE2A44">
            <w:rPr>
              <w:color w:val="auto"/>
            </w:rPr>
            <w:t>Table of Contents</w:t>
          </w:r>
        </w:p>
        <w:p w:rsidR="00AE2A44" w:rsidRPr="00AE2A44" w:rsidRDefault="001D72C9">
          <w:pPr>
            <w:pStyle w:val="TOC1"/>
            <w:tabs>
              <w:tab w:val="right" w:leader="dot" w:pos="9016"/>
            </w:tabs>
            <w:rPr>
              <w:rFonts w:eastAsiaTheme="minorEastAsia"/>
              <w:noProof/>
              <w:lang w:eastAsia="en-GB"/>
            </w:rPr>
          </w:pPr>
          <w:r w:rsidRPr="00AE2A44">
            <w:fldChar w:fldCharType="begin"/>
          </w:r>
          <w:r w:rsidR="00D35232" w:rsidRPr="00AE2A44">
            <w:instrText xml:space="preserve"> TOC \o "1-3" \h \z \u </w:instrText>
          </w:r>
          <w:r w:rsidRPr="00AE2A44">
            <w:fldChar w:fldCharType="separate"/>
          </w:r>
          <w:hyperlink w:anchor="_Toc119250901" w:history="1">
            <w:r w:rsidR="00AE2A44" w:rsidRPr="00AE2A44">
              <w:rPr>
                <w:rStyle w:val="Hyperlink"/>
                <w:noProof/>
                <w:color w:val="auto"/>
              </w:rPr>
              <w:t>Abstract</w:t>
            </w:r>
            <w:r w:rsidR="00AE2A44" w:rsidRPr="00AE2A44">
              <w:rPr>
                <w:noProof/>
                <w:webHidden/>
              </w:rPr>
              <w:tab/>
            </w:r>
            <w:r w:rsidR="00AE2A44" w:rsidRPr="00AE2A44">
              <w:rPr>
                <w:noProof/>
                <w:webHidden/>
              </w:rPr>
              <w:fldChar w:fldCharType="begin"/>
            </w:r>
            <w:r w:rsidR="00AE2A44" w:rsidRPr="00AE2A44">
              <w:rPr>
                <w:noProof/>
                <w:webHidden/>
              </w:rPr>
              <w:instrText xml:space="preserve"> PAGEREF _Toc119250901 \h </w:instrText>
            </w:r>
            <w:r w:rsidR="00AE2A44" w:rsidRPr="00AE2A44">
              <w:rPr>
                <w:noProof/>
                <w:webHidden/>
              </w:rPr>
            </w:r>
            <w:r w:rsidR="00AE2A44" w:rsidRPr="00AE2A44">
              <w:rPr>
                <w:noProof/>
                <w:webHidden/>
              </w:rPr>
              <w:fldChar w:fldCharType="separate"/>
            </w:r>
            <w:r w:rsidR="00AE2A44" w:rsidRPr="00AE2A44">
              <w:rPr>
                <w:noProof/>
                <w:webHidden/>
              </w:rPr>
              <w:t>3</w:t>
            </w:r>
            <w:r w:rsidR="00AE2A44"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02" w:history="1">
            <w:r w:rsidRPr="00AE2A44">
              <w:rPr>
                <w:rStyle w:val="Hyperlink"/>
                <w:rFonts w:eastAsia="Times New Roman"/>
                <w:noProof/>
                <w:color w:val="auto"/>
                <w:kern w:val="36"/>
                <w:lang w:eastAsia="en-GB"/>
              </w:rPr>
              <w:t>Acknowledgements</w:t>
            </w:r>
            <w:r w:rsidRPr="00AE2A44">
              <w:rPr>
                <w:noProof/>
                <w:webHidden/>
              </w:rPr>
              <w:tab/>
            </w:r>
            <w:r w:rsidRPr="00AE2A44">
              <w:rPr>
                <w:noProof/>
                <w:webHidden/>
              </w:rPr>
              <w:fldChar w:fldCharType="begin"/>
            </w:r>
            <w:r w:rsidRPr="00AE2A44">
              <w:rPr>
                <w:noProof/>
                <w:webHidden/>
              </w:rPr>
              <w:instrText xml:space="preserve"> PAGEREF _Toc119250902 \h </w:instrText>
            </w:r>
            <w:r w:rsidRPr="00AE2A44">
              <w:rPr>
                <w:noProof/>
                <w:webHidden/>
              </w:rPr>
            </w:r>
            <w:r w:rsidRPr="00AE2A44">
              <w:rPr>
                <w:noProof/>
                <w:webHidden/>
              </w:rPr>
              <w:fldChar w:fldCharType="separate"/>
            </w:r>
            <w:r w:rsidRPr="00AE2A44">
              <w:rPr>
                <w:noProof/>
                <w:webHidden/>
              </w:rPr>
              <w:t>4</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03" w:history="1">
            <w:r w:rsidRPr="00AE2A44">
              <w:rPr>
                <w:rStyle w:val="Hyperlink"/>
                <w:noProof/>
                <w:color w:val="auto"/>
              </w:rPr>
              <w:t>1. Introduction</w:t>
            </w:r>
            <w:r w:rsidRPr="00AE2A44">
              <w:rPr>
                <w:noProof/>
                <w:webHidden/>
              </w:rPr>
              <w:tab/>
            </w:r>
            <w:r w:rsidRPr="00AE2A44">
              <w:rPr>
                <w:noProof/>
                <w:webHidden/>
              </w:rPr>
              <w:fldChar w:fldCharType="begin"/>
            </w:r>
            <w:r w:rsidRPr="00AE2A44">
              <w:rPr>
                <w:noProof/>
                <w:webHidden/>
              </w:rPr>
              <w:instrText xml:space="preserve"> PAGEREF _Toc119250903 \h </w:instrText>
            </w:r>
            <w:r w:rsidRPr="00AE2A44">
              <w:rPr>
                <w:noProof/>
                <w:webHidden/>
              </w:rPr>
            </w:r>
            <w:r w:rsidRPr="00AE2A44">
              <w:rPr>
                <w:noProof/>
                <w:webHidden/>
              </w:rPr>
              <w:fldChar w:fldCharType="separate"/>
            </w:r>
            <w:r w:rsidRPr="00AE2A44">
              <w:rPr>
                <w:noProof/>
                <w:webHidden/>
              </w:rPr>
              <w:t>4</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04" w:history="1">
            <w:r w:rsidRPr="00AE2A44">
              <w:rPr>
                <w:rStyle w:val="Hyperlink"/>
                <w:rFonts w:eastAsia="Times New Roman"/>
                <w:noProof/>
                <w:color w:val="auto"/>
                <w:kern w:val="36"/>
                <w:lang w:eastAsia="en-GB"/>
              </w:rPr>
              <w:t>2. 0 Literature Review</w:t>
            </w:r>
            <w:r w:rsidRPr="00AE2A44">
              <w:rPr>
                <w:noProof/>
                <w:webHidden/>
              </w:rPr>
              <w:tab/>
            </w:r>
            <w:r w:rsidRPr="00AE2A44">
              <w:rPr>
                <w:noProof/>
                <w:webHidden/>
              </w:rPr>
              <w:fldChar w:fldCharType="begin"/>
            </w:r>
            <w:r w:rsidRPr="00AE2A44">
              <w:rPr>
                <w:noProof/>
                <w:webHidden/>
              </w:rPr>
              <w:instrText xml:space="preserve"> PAGEREF _Toc119250904 \h </w:instrText>
            </w:r>
            <w:r w:rsidRPr="00AE2A44">
              <w:rPr>
                <w:noProof/>
                <w:webHidden/>
              </w:rPr>
            </w:r>
            <w:r w:rsidRPr="00AE2A44">
              <w:rPr>
                <w:noProof/>
                <w:webHidden/>
              </w:rPr>
              <w:fldChar w:fldCharType="separate"/>
            </w:r>
            <w:r w:rsidRPr="00AE2A44">
              <w:rPr>
                <w:noProof/>
                <w:webHidden/>
              </w:rPr>
              <w:t>5</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05" w:history="1">
            <w:r w:rsidRPr="00AE2A44">
              <w:rPr>
                <w:rStyle w:val="Hyperlink"/>
                <w:noProof/>
                <w:color w:val="auto"/>
              </w:rPr>
              <w:t>2.1. Impact of COVID-19 on transportation and logistics</w:t>
            </w:r>
            <w:r w:rsidRPr="00AE2A44">
              <w:rPr>
                <w:noProof/>
                <w:webHidden/>
              </w:rPr>
              <w:tab/>
            </w:r>
            <w:r w:rsidRPr="00AE2A44">
              <w:rPr>
                <w:noProof/>
                <w:webHidden/>
              </w:rPr>
              <w:fldChar w:fldCharType="begin"/>
            </w:r>
            <w:r w:rsidRPr="00AE2A44">
              <w:rPr>
                <w:noProof/>
                <w:webHidden/>
              </w:rPr>
              <w:instrText xml:space="preserve"> PAGEREF _Toc119250905 \h </w:instrText>
            </w:r>
            <w:r w:rsidRPr="00AE2A44">
              <w:rPr>
                <w:noProof/>
                <w:webHidden/>
              </w:rPr>
            </w:r>
            <w:r w:rsidRPr="00AE2A44">
              <w:rPr>
                <w:noProof/>
                <w:webHidden/>
              </w:rPr>
              <w:fldChar w:fldCharType="separate"/>
            </w:r>
            <w:r w:rsidRPr="00AE2A44">
              <w:rPr>
                <w:noProof/>
                <w:webHidden/>
              </w:rPr>
              <w:t>8</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06" w:history="1">
            <w:r w:rsidRPr="00AE2A44">
              <w:rPr>
                <w:rStyle w:val="Hyperlink"/>
                <w:noProof/>
                <w:color w:val="auto"/>
              </w:rPr>
              <w:t>2.2 Supply Chain Management (SCM)</w:t>
            </w:r>
            <w:r w:rsidRPr="00AE2A44">
              <w:rPr>
                <w:noProof/>
                <w:webHidden/>
              </w:rPr>
              <w:tab/>
            </w:r>
            <w:r w:rsidRPr="00AE2A44">
              <w:rPr>
                <w:noProof/>
                <w:webHidden/>
              </w:rPr>
              <w:fldChar w:fldCharType="begin"/>
            </w:r>
            <w:r w:rsidRPr="00AE2A44">
              <w:rPr>
                <w:noProof/>
                <w:webHidden/>
              </w:rPr>
              <w:instrText xml:space="preserve"> PAGEREF _Toc119250906 \h </w:instrText>
            </w:r>
            <w:r w:rsidRPr="00AE2A44">
              <w:rPr>
                <w:noProof/>
                <w:webHidden/>
              </w:rPr>
            </w:r>
            <w:r w:rsidRPr="00AE2A44">
              <w:rPr>
                <w:noProof/>
                <w:webHidden/>
              </w:rPr>
              <w:fldChar w:fldCharType="separate"/>
            </w:r>
            <w:r w:rsidRPr="00AE2A44">
              <w:rPr>
                <w:noProof/>
                <w:webHidden/>
              </w:rPr>
              <w:t>11</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07" w:history="1">
            <w:r w:rsidRPr="00AE2A44">
              <w:rPr>
                <w:rStyle w:val="Hyperlink"/>
                <w:noProof/>
                <w:color w:val="auto"/>
              </w:rPr>
              <w:t>2.3 Importance of ethics</w:t>
            </w:r>
            <w:r w:rsidRPr="00AE2A44">
              <w:rPr>
                <w:noProof/>
                <w:webHidden/>
              </w:rPr>
              <w:tab/>
            </w:r>
            <w:r w:rsidRPr="00AE2A44">
              <w:rPr>
                <w:noProof/>
                <w:webHidden/>
              </w:rPr>
              <w:fldChar w:fldCharType="begin"/>
            </w:r>
            <w:r w:rsidRPr="00AE2A44">
              <w:rPr>
                <w:noProof/>
                <w:webHidden/>
              </w:rPr>
              <w:instrText xml:space="preserve"> PAGEREF _Toc119250907 \h </w:instrText>
            </w:r>
            <w:r w:rsidRPr="00AE2A44">
              <w:rPr>
                <w:noProof/>
                <w:webHidden/>
              </w:rPr>
            </w:r>
            <w:r w:rsidRPr="00AE2A44">
              <w:rPr>
                <w:noProof/>
                <w:webHidden/>
              </w:rPr>
              <w:fldChar w:fldCharType="separate"/>
            </w:r>
            <w:r w:rsidRPr="00AE2A44">
              <w:rPr>
                <w:noProof/>
                <w:webHidden/>
              </w:rPr>
              <w:t>12</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08" w:history="1">
            <w:r w:rsidRPr="00AE2A44">
              <w:rPr>
                <w:rStyle w:val="Hyperlink"/>
                <w:rFonts w:eastAsia="Times New Roman"/>
                <w:noProof/>
                <w:color w:val="auto"/>
                <w:kern w:val="36"/>
                <w:lang w:eastAsia="en-GB"/>
              </w:rPr>
              <w:t>3.0  Methodology</w:t>
            </w:r>
            <w:r w:rsidRPr="00AE2A44">
              <w:rPr>
                <w:noProof/>
                <w:webHidden/>
              </w:rPr>
              <w:tab/>
            </w:r>
            <w:r w:rsidRPr="00AE2A44">
              <w:rPr>
                <w:noProof/>
                <w:webHidden/>
              </w:rPr>
              <w:fldChar w:fldCharType="begin"/>
            </w:r>
            <w:r w:rsidRPr="00AE2A44">
              <w:rPr>
                <w:noProof/>
                <w:webHidden/>
              </w:rPr>
              <w:instrText xml:space="preserve"> PAGEREF _Toc119250908 \h </w:instrText>
            </w:r>
            <w:r w:rsidRPr="00AE2A44">
              <w:rPr>
                <w:noProof/>
                <w:webHidden/>
              </w:rPr>
            </w:r>
            <w:r w:rsidRPr="00AE2A44">
              <w:rPr>
                <w:noProof/>
                <w:webHidden/>
              </w:rPr>
              <w:fldChar w:fldCharType="separate"/>
            </w:r>
            <w:r w:rsidRPr="00AE2A44">
              <w:rPr>
                <w:noProof/>
                <w:webHidden/>
              </w:rPr>
              <w:t>16</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09" w:history="1">
            <w:r w:rsidRPr="00AE2A44">
              <w:rPr>
                <w:rStyle w:val="Hyperlink"/>
                <w:noProof/>
                <w:color w:val="auto"/>
              </w:rPr>
              <w:t>3.1 Company background</w:t>
            </w:r>
            <w:r w:rsidRPr="00AE2A44">
              <w:rPr>
                <w:noProof/>
                <w:webHidden/>
              </w:rPr>
              <w:tab/>
            </w:r>
            <w:r w:rsidRPr="00AE2A44">
              <w:rPr>
                <w:noProof/>
                <w:webHidden/>
              </w:rPr>
              <w:fldChar w:fldCharType="begin"/>
            </w:r>
            <w:r w:rsidRPr="00AE2A44">
              <w:rPr>
                <w:noProof/>
                <w:webHidden/>
              </w:rPr>
              <w:instrText xml:space="preserve"> PAGEREF _Toc119250909 \h </w:instrText>
            </w:r>
            <w:r w:rsidRPr="00AE2A44">
              <w:rPr>
                <w:noProof/>
                <w:webHidden/>
              </w:rPr>
            </w:r>
            <w:r w:rsidRPr="00AE2A44">
              <w:rPr>
                <w:noProof/>
                <w:webHidden/>
              </w:rPr>
              <w:fldChar w:fldCharType="separate"/>
            </w:r>
            <w:r w:rsidRPr="00AE2A44">
              <w:rPr>
                <w:noProof/>
                <w:webHidden/>
              </w:rPr>
              <w:t>18</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0" w:history="1">
            <w:r w:rsidRPr="00AE2A44">
              <w:rPr>
                <w:rStyle w:val="Hyperlink"/>
                <w:rFonts w:eastAsia="Times New Roman"/>
                <w:noProof/>
                <w:color w:val="auto"/>
                <w:lang w:eastAsia="en-GB"/>
              </w:rPr>
              <w:t>3.2</w:t>
            </w:r>
            <w:r w:rsidRPr="00AE2A44">
              <w:rPr>
                <w:rStyle w:val="Hyperlink"/>
                <w:noProof/>
                <w:color w:val="auto"/>
              </w:rPr>
              <w:t>Maslow’s Hierarchy of Needs</w:t>
            </w:r>
            <w:r w:rsidRPr="00AE2A44">
              <w:rPr>
                <w:noProof/>
                <w:webHidden/>
              </w:rPr>
              <w:tab/>
            </w:r>
            <w:r w:rsidRPr="00AE2A44">
              <w:rPr>
                <w:noProof/>
                <w:webHidden/>
              </w:rPr>
              <w:fldChar w:fldCharType="begin"/>
            </w:r>
            <w:r w:rsidRPr="00AE2A44">
              <w:rPr>
                <w:noProof/>
                <w:webHidden/>
              </w:rPr>
              <w:instrText xml:space="preserve"> PAGEREF _Toc119250910 \h </w:instrText>
            </w:r>
            <w:r w:rsidRPr="00AE2A44">
              <w:rPr>
                <w:noProof/>
                <w:webHidden/>
              </w:rPr>
            </w:r>
            <w:r w:rsidRPr="00AE2A44">
              <w:rPr>
                <w:noProof/>
                <w:webHidden/>
              </w:rPr>
              <w:fldChar w:fldCharType="separate"/>
            </w:r>
            <w:r w:rsidRPr="00AE2A44">
              <w:rPr>
                <w:noProof/>
                <w:webHidden/>
              </w:rPr>
              <w:t>20</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1" w:history="1">
            <w:r w:rsidRPr="00AE2A44">
              <w:rPr>
                <w:rStyle w:val="Hyperlink"/>
                <w:noProof/>
                <w:color w:val="auto"/>
              </w:rPr>
              <w:t>4.0 Analysis</w:t>
            </w:r>
            <w:r w:rsidRPr="00AE2A44">
              <w:rPr>
                <w:noProof/>
                <w:webHidden/>
              </w:rPr>
              <w:tab/>
            </w:r>
            <w:r w:rsidRPr="00AE2A44">
              <w:rPr>
                <w:noProof/>
                <w:webHidden/>
              </w:rPr>
              <w:fldChar w:fldCharType="begin"/>
            </w:r>
            <w:r w:rsidRPr="00AE2A44">
              <w:rPr>
                <w:noProof/>
                <w:webHidden/>
              </w:rPr>
              <w:instrText xml:space="preserve"> PAGEREF _Toc119250911 \h </w:instrText>
            </w:r>
            <w:r w:rsidRPr="00AE2A44">
              <w:rPr>
                <w:noProof/>
                <w:webHidden/>
              </w:rPr>
            </w:r>
            <w:r w:rsidRPr="00AE2A44">
              <w:rPr>
                <w:noProof/>
                <w:webHidden/>
              </w:rPr>
              <w:fldChar w:fldCharType="separate"/>
            </w:r>
            <w:r w:rsidRPr="00AE2A44">
              <w:rPr>
                <w:noProof/>
                <w:webHidden/>
              </w:rPr>
              <w:t>21</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2" w:history="1">
            <w:r w:rsidRPr="00AE2A44">
              <w:rPr>
                <w:rStyle w:val="Hyperlink"/>
                <w:noProof/>
                <w:color w:val="auto"/>
              </w:rPr>
              <w:t>4.1 Strategies for Logistic Companies</w:t>
            </w:r>
            <w:r w:rsidRPr="00AE2A44">
              <w:rPr>
                <w:noProof/>
                <w:webHidden/>
              </w:rPr>
              <w:tab/>
            </w:r>
            <w:r w:rsidRPr="00AE2A44">
              <w:rPr>
                <w:noProof/>
                <w:webHidden/>
              </w:rPr>
              <w:fldChar w:fldCharType="begin"/>
            </w:r>
            <w:r w:rsidRPr="00AE2A44">
              <w:rPr>
                <w:noProof/>
                <w:webHidden/>
              </w:rPr>
              <w:instrText xml:space="preserve"> PAGEREF _Toc119250912 \h </w:instrText>
            </w:r>
            <w:r w:rsidRPr="00AE2A44">
              <w:rPr>
                <w:noProof/>
                <w:webHidden/>
              </w:rPr>
            </w:r>
            <w:r w:rsidRPr="00AE2A44">
              <w:rPr>
                <w:noProof/>
                <w:webHidden/>
              </w:rPr>
              <w:fldChar w:fldCharType="separate"/>
            </w:r>
            <w:r w:rsidRPr="00AE2A44">
              <w:rPr>
                <w:noProof/>
                <w:webHidden/>
              </w:rPr>
              <w:t>21</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3" w:history="1">
            <w:r w:rsidRPr="00AE2A44">
              <w:rPr>
                <w:rStyle w:val="Hyperlink"/>
                <w:noProof/>
                <w:color w:val="auto"/>
              </w:rPr>
              <w:t>4.2 Response To The Crisis</w:t>
            </w:r>
            <w:r w:rsidRPr="00AE2A44">
              <w:rPr>
                <w:noProof/>
                <w:webHidden/>
              </w:rPr>
              <w:tab/>
            </w:r>
            <w:r w:rsidRPr="00AE2A44">
              <w:rPr>
                <w:noProof/>
                <w:webHidden/>
              </w:rPr>
              <w:fldChar w:fldCharType="begin"/>
            </w:r>
            <w:r w:rsidRPr="00AE2A44">
              <w:rPr>
                <w:noProof/>
                <w:webHidden/>
              </w:rPr>
              <w:instrText xml:space="preserve"> PAGEREF _Toc119250913 \h </w:instrText>
            </w:r>
            <w:r w:rsidRPr="00AE2A44">
              <w:rPr>
                <w:noProof/>
                <w:webHidden/>
              </w:rPr>
            </w:r>
            <w:r w:rsidRPr="00AE2A44">
              <w:rPr>
                <w:noProof/>
                <w:webHidden/>
              </w:rPr>
              <w:fldChar w:fldCharType="separate"/>
            </w:r>
            <w:r w:rsidRPr="00AE2A44">
              <w:rPr>
                <w:noProof/>
                <w:webHidden/>
              </w:rPr>
              <w:t>23</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4" w:history="1">
            <w:r w:rsidRPr="00AE2A44">
              <w:rPr>
                <w:rStyle w:val="Hyperlink"/>
                <w:noProof/>
                <w:color w:val="auto"/>
              </w:rPr>
              <w:t>4.3 Consumer behavior during COVID-19</w:t>
            </w:r>
            <w:r w:rsidRPr="00AE2A44">
              <w:rPr>
                <w:noProof/>
                <w:webHidden/>
              </w:rPr>
              <w:tab/>
            </w:r>
            <w:r w:rsidRPr="00AE2A44">
              <w:rPr>
                <w:noProof/>
                <w:webHidden/>
              </w:rPr>
              <w:fldChar w:fldCharType="begin"/>
            </w:r>
            <w:r w:rsidRPr="00AE2A44">
              <w:rPr>
                <w:noProof/>
                <w:webHidden/>
              </w:rPr>
              <w:instrText xml:space="preserve"> PAGEREF _Toc119250914 \h </w:instrText>
            </w:r>
            <w:r w:rsidRPr="00AE2A44">
              <w:rPr>
                <w:noProof/>
                <w:webHidden/>
              </w:rPr>
            </w:r>
            <w:r w:rsidRPr="00AE2A44">
              <w:rPr>
                <w:noProof/>
                <w:webHidden/>
              </w:rPr>
              <w:fldChar w:fldCharType="separate"/>
            </w:r>
            <w:r w:rsidRPr="00AE2A44">
              <w:rPr>
                <w:noProof/>
                <w:webHidden/>
              </w:rPr>
              <w:t>28</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5" w:history="1">
            <w:r w:rsidRPr="00AE2A44">
              <w:rPr>
                <w:rStyle w:val="Hyperlink"/>
                <w:noProof/>
                <w:color w:val="auto"/>
              </w:rPr>
              <w:t>4.4 Porter’s Value Chain Techniques</w:t>
            </w:r>
            <w:r w:rsidRPr="00AE2A44">
              <w:rPr>
                <w:noProof/>
                <w:webHidden/>
              </w:rPr>
              <w:tab/>
            </w:r>
            <w:r w:rsidRPr="00AE2A44">
              <w:rPr>
                <w:noProof/>
                <w:webHidden/>
              </w:rPr>
              <w:fldChar w:fldCharType="begin"/>
            </w:r>
            <w:r w:rsidRPr="00AE2A44">
              <w:rPr>
                <w:noProof/>
                <w:webHidden/>
              </w:rPr>
              <w:instrText xml:space="preserve"> PAGEREF _Toc119250915 \h </w:instrText>
            </w:r>
            <w:r w:rsidRPr="00AE2A44">
              <w:rPr>
                <w:noProof/>
                <w:webHidden/>
              </w:rPr>
            </w:r>
            <w:r w:rsidRPr="00AE2A44">
              <w:rPr>
                <w:noProof/>
                <w:webHidden/>
              </w:rPr>
              <w:fldChar w:fldCharType="separate"/>
            </w:r>
            <w:r w:rsidRPr="00AE2A44">
              <w:rPr>
                <w:noProof/>
                <w:webHidden/>
              </w:rPr>
              <w:t>28</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6" w:history="1">
            <w:r w:rsidRPr="00AE2A44">
              <w:rPr>
                <w:rStyle w:val="Hyperlink"/>
                <w:noProof/>
                <w:color w:val="auto"/>
              </w:rPr>
              <w:t>4.5</w:t>
            </w:r>
            <w:r w:rsidRPr="00AE2A44">
              <w:rPr>
                <w:rStyle w:val="Hyperlink"/>
                <w:rFonts w:ascii="Calibri" w:hAnsi="Calibri" w:cs="Calibri"/>
                <w:noProof/>
                <w:color w:val="auto"/>
              </w:rPr>
              <w:t xml:space="preserve"> </w:t>
            </w:r>
            <w:r w:rsidRPr="00AE2A44">
              <w:rPr>
                <w:rStyle w:val="Hyperlink"/>
                <w:noProof/>
                <w:color w:val="auto"/>
              </w:rPr>
              <w:t>Model of Competitive Advantage</w:t>
            </w:r>
            <w:r w:rsidRPr="00AE2A44">
              <w:rPr>
                <w:noProof/>
                <w:webHidden/>
              </w:rPr>
              <w:tab/>
            </w:r>
            <w:r w:rsidRPr="00AE2A44">
              <w:rPr>
                <w:noProof/>
                <w:webHidden/>
              </w:rPr>
              <w:fldChar w:fldCharType="begin"/>
            </w:r>
            <w:r w:rsidRPr="00AE2A44">
              <w:rPr>
                <w:noProof/>
                <w:webHidden/>
              </w:rPr>
              <w:instrText xml:space="preserve"> PAGEREF _Toc119250916 \h </w:instrText>
            </w:r>
            <w:r w:rsidRPr="00AE2A44">
              <w:rPr>
                <w:noProof/>
                <w:webHidden/>
              </w:rPr>
            </w:r>
            <w:r w:rsidRPr="00AE2A44">
              <w:rPr>
                <w:noProof/>
                <w:webHidden/>
              </w:rPr>
              <w:fldChar w:fldCharType="separate"/>
            </w:r>
            <w:r w:rsidRPr="00AE2A44">
              <w:rPr>
                <w:noProof/>
                <w:webHidden/>
              </w:rPr>
              <w:t>30</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7" w:history="1">
            <w:r w:rsidRPr="00AE2A44">
              <w:rPr>
                <w:rStyle w:val="Hyperlink"/>
                <w:noProof/>
                <w:color w:val="auto"/>
              </w:rPr>
              <w:t>4.6 Different perspectives of the strategy’s elaboration approach</w:t>
            </w:r>
            <w:r w:rsidRPr="00AE2A44">
              <w:rPr>
                <w:noProof/>
                <w:webHidden/>
              </w:rPr>
              <w:tab/>
            </w:r>
            <w:r w:rsidRPr="00AE2A44">
              <w:rPr>
                <w:noProof/>
                <w:webHidden/>
              </w:rPr>
              <w:fldChar w:fldCharType="begin"/>
            </w:r>
            <w:r w:rsidRPr="00AE2A44">
              <w:rPr>
                <w:noProof/>
                <w:webHidden/>
              </w:rPr>
              <w:instrText xml:space="preserve"> PAGEREF _Toc119250917 \h </w:instrText>
            </w:r>
            <w:r w:rsidRPr="00AE2A44">
              <w:rPr>
                <w:noProof/>
                <w:webHidden/>
              </w:rPr>
            </w:r>
            <w:r w:rsidRPr="00AE2A44">
              <w:rPr>
                <w:noProof/>
                <w:webHidden/>
              </w:rPr>
              <w:fldChar w:fldCharType="separate"/>
            </w:r>
            <w:r w:rsidRPr="00AE2A44">
              <w:rPr>
                <w:noProof/>
                <w:webHidden/>
              </w:rPr>
              <w:t>31</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8" w:history="1">
            <w:r w:rsidRPr="00AE2A44">
              <w:rPr>
                <w:rStyle w:val="Hyperlink"/>
                <w:noProof/>
                <w:color w:val="auto"/>
              </w:rPr>
              <w:t>4.7 Economic impact of COVID-19</w:t>
            </w:r>
            <w:r w:rsidRPr="00AE2A44">
              <w:rPr>
                <w:noProof/>
                <w:webHidden/>
              </w:rPr>
              <w:tab/>
            </w:r>
            <w:r w:rsidRPr="00AE2A44">
              <w:rPr>
                <w:noProof/>
                <w:webHidden/>
              </w:rPr>
              <w:fldChar w:fldCharType="begin"/>
            </w:r>
            <w:r w:rsidRPr="00AE2A44">
              <w:rPr>
                <w:noProof/>
                <w:webHidden/>
              </w:rPr>
              <w:instrText xml:space="preserve"> PAGEREF _Toc119250918 \h </w:instrText>
            </w:r>
            <w:r w:rsidRPr="00AE2A44">
              <w:rPr>
                <w:noProof/>
                <w:webHidden/>
              </w:rPr>
            </w:r>
            <w:r w:rsidRPr="00AE2A44">
              <w:rPr>
                <w:noProof/>
                <w:webHidden/>
              </w:rPr>
              <w:fldChar w:fldCharType="separate"/>
            </w:r>
            <w:r w:rsidRPr="00AE2A44">
              <w:rPr>
                <w:noProof/>
                <w:webHidden/>
              </w:rPr>
              <w:t>33</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19" w:history="1">
            <w:r w:rsidRPr="00AE2A44">
              <w:rPr>
                <w:rStyle w:val="Hyperlink"/>
                <w:rFonts w:eastAsia="Times New Roman"/>
                <w:noProof/>
                <w:color w:val="auto"/>
                <w:kern w:val="36"/>
                <w:lang w:eastAsia="en-GB"/>
              </w:rPr>
              <w:t>5.0 Evaluation</w:t>
            </w:r>
            <w:r w:rsidRPr="00AE2A44">
              <w:rPr>
                <w:noProof/>
                <w:webHidden/>
              </w:rPr>
              <w:tab/>
            </w:r>
            <w:r w:rsidRPr="00AE2A44">
              <w:rPr>
                <w:noProof/>
                <w:webHidden/>
              </w:rPr>
              <w:fldChar w:fldCharType="begin"/>
            </w:r>
            <w:r w:rsidRPr="00AE2A44">
              <w:rPr>
                <w:noProof/>
                <w:webHidden/>
              </w:rPr>
              <w:instrText xml:space="preserve"> PAGEREF _Toc119250919 \h </w:instrText>
            </w:r>
            <w:r w:rsidRPr="00AE2A44">
              <w:rPr>
                <w:noProof/>
                <w:webHidden/>
              </w:rPr>
            </w:r>
            <w:r w:rsidRPr="00AE2A44">
              <w:rPr>
                <w:noProof/>
                <w:webHidden/>
              </w:rPr>
              <w:fldChar w:fldCharType="separate"/>
            </w:r>
            <w:r w:rsidRPr="00AE2A44">
              <w:rPr>
                <w:noProof/>
                <w:webHidden/>
              </w:rPr>
              <w:t>34</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0" w:history="1">
            <w:r w:rsidRPr="00AE2A44">
              <w:rPr>
                <w:rStyle w:val="Hyperlink"/>
                <w:rFonts w:eastAsia="Times New Roman"/>
                <w:noProof/>
                <w:color w:val="auto"/>
                <w:kern w:val="36"/>
                <w:lang w:eastAsia="en-GB"/>
              </w:rPr>
              <w:t>6.0 Conclusion</w:t>
            </w:r>
            <w:r w:rsidRPr="00AE2A44">
              <w:rPr>
                <w:noProof/>
                <w:webHidden/>
              </w:rPr>
              <w:tab/>
            </w:r>
            <w:r w:rsidRPr="00AE2A44">
              <w:rPr>
                <w:noProof/>
                <w:webHidden/>
              </w:rPr>
              <w:fldChar w:fldCharType="begin"/>
            </w:r>
            <w:r w:rsidRPr="00AE2A44">
              <w:rPr>
                <w:noProof/>
                <w:webHidden/>
              </w:rPr>
              <w:instrText xml:space="preserve"> PAGEREF _Toc119250920 \h </w:instrText>
            </w:r>
            <w:r w:rsidRPr="00AE2A44">
              <w:rPr>
                <w:noProof/>
                <w:webHidden/>
              </w:rPr>
            </w:r>
            <w:r w:rsidRPr="00AE2A44">
              <w:rPr>
                <w:noProof/>
                <w:webHidden/>
              </w:rPr>
              <w:fldChar w:fldCharType="separate"/>
            </w:r>
            <w:r w:rsidRPr="00AE2A44">
              <w:rPr>
                <w:noProof/>
                <w:webHidden/>
              </w:rPr>
              <w:t>36</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1" w:history="1">
            <w:r w:rsidRPr="00AE2A44">
              <w:rPr>
                <w:rStyle w:val="Hyperlink"/>
                <w:rFonts w:eastAsia="Times New Roman"/>
                <w:noProof/>
                <w:color w:val="auto"/>
                <w:kern w:val="36"/>
                <w:lang w:eastAsia="en-GB"/>
              </w:rPr>
              <w:t>References</w:t>
            </w:r>
            <w:r w:rsidRPr="00AE2A44">
              <w:rPr>
                <w:noProof/>
                <w:webHidden/>
              </w:rPr>
              <w:tab/>
            </w:r>
            <w:r w:rsidRPr="00AE2A44">
              <w:rPr>
                <w:noProof/>
                <w:webHidden/>
              </w:rPr>
              <w:fldChar w:fldCharType="begin"/>
            </w:r>
            <w:r w:rsidRPr="00AE2A44">
              <w:rPr>
                <w:noProof/>
                <w:webHidden/>
              </w:rPr>
              <w:instrText xml:space="preserve"> PAGEREF _Toc119250921 \h </w:instrText>
            </w:r>
            <w:r w:rsidRPr="00AE2A44">
              <w:rPr>
                <w:noProof/>
                <w:webHidden/>
              </w:rPr>
            </w:r>
            <w:r w:rsidRPr="00AE2A44">
              <w:rPr>
                <w:noProof/>
                <w:webHidden/>
              </w:rPr>
              <w:fldChar w:fldCharType="separate"/>
            </w:r>
            <w:r w:rsidRPr="00AE2A44">
              <w:rPr>
                <w:noProof/>
                <w:webHidden/>
              </w:rPr>
              <w:t>38</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2" w:history="1">
            <w:r w:rsidRPr="00AE2A44">
              <w:rPr>
                <w:rStyle w:val="Hyperlink"/>
                <w:noProof/>
                <w:color w:val="auto"/>
              </w:rPr>
              <w:t>Appendices</w:t>
            </w:r>
            <w:r w:rsidRPr="00AE2A44">
              <w:rPr>
                <w:noProof/>
                <w:webHidden/>
              </w:rPr>
              <w:tab/>
            </w:r>
            <w:r w:rsidRPr="00AE2A44">
              <w:rPr>
                <w:noProof/>
                <w:webHidden/>
              </w:rPr>
              <w:fldChar w:fldCharType="begin"/>
            </w:r>
            <w:r w:rsidRPr="00AE2A44">
              <w:rPr>
                <w:noProof/>
                <w:webHidden/>
              </w:rPr>
              <w:instrText xml:space="preserve"> PAGEREF _Toc119250922 \h </w:instrText>
            </w:r>
            <w:r w:rsidRPr="00AE2A44">
              <w:rPr>
                <w:noProof/>
                <w:webHidden/>
              </w:rPr>
            </w:r>
            <w:r w:rsidRPr="00AE2A44">
              <w:rPr>
                <w:noProof/>
                <w:webHidden/>
              </w:rPr>
              <w:fldChar w:fldCharType="separate"/>
            </w:r>
            <w:r w:rsidRPr="00AE2A44">
              <w:rPr>
                <w:noProof/>
                <w:webHidden/>
              </w:rPr>
              <w:t>51</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3" w:history="1">
            <w:r w:rsidRPr="00AE2A44">
              <w:rPr>
                <w:rStyle w:val="Hyperlink"/>
                <w:noProof/>
                <w:color w:val="auto"/>
              </w:rPr>
              <w:t>Appendix A</w:t>
            </w:r>
            <w:r w:rsidRPr="00AE2A44">
              <w:rPr>
                <w:noProof/>
                <w:webHidden/>
              </w:rPr>
              <w:tab/>
            </w:r>
            <w:r w:rsidRPr="00AE2A44">
              <w:rPr>
                <w:noProof/>
                <w:webHidden/>
              </w:rPr>
              <w:fldChar w:fldCharType="begin"/>
            </w:r>
            <w:r w:rsidRPr="00AE2A44">
              <w:rPr>
                <w:noProof/>
                <w:webHidden/>
              </w:rPr>
              <w:instrText xml:space="preserve"> PAGEREF _Toc119250923 \h </w:instrText>
            </w:r>
            <w:r w:rsidRPr="00AE2A44">
              <w:rPr>
                <w:noProof/>
                <w:webHidden/>
              </w:rPr>
            </w:r>
            <w:r w:rsidRPr="00AE2A44">
              <w:rPr>
                <w:noProof/>
                <w:webHidden/>
              </w:rPr>
              <w:fldChar w:fldCharType="separate"/>
            </w:r>
            <w:r w:rsidRPr="00AE2A44">
              <w:rPr>
                <w:noProof/>
                <w:webHidden/>
              </w:rPr>
              <w:t>51</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4" w:history="1">
            <w:r w:rsidRPr="00AE2A44">
              <w:rPr>
                <w:rStyle w:val="Hyperlink"/>
                <w:noProof/>
                <w:color w:val="auto"/>
              </w:rPr>
              <w:t>Appendix B</w:t>
            </w:r>
            <w:r w:rsidRPr="00AE2A44">
              <w:rPr>
                <w:noProof/>
                <w:webHidden/>
              </w:rPr>
              <w:tab/>
            </w:r>
            <w:r w:rsidRPr="00AE2A44">
              <w:rPr>
                <w:noProof/>
                <w:webHidden/>
              </w:rPr>
              <w:fldChar w:fldCharType="begin"/>
            </w:r>
            <w:r w:rsidRPr="00AE2A44">
              <w:rPr>
                <w:noProof/>
                <w:webHidden/>
              </w:rPr>
              <w:instrText xml:space="preserve"> PAGEREF _Toc119250924 \h </w:instrText>
            </w:r>
            <w:r w:rsidRPr="00AE2A44">
              <w:rPr>
                <w:noProof/>
                <w:webHidden/>
              </w:rPr>
            </w:r>
            <w:r w:rsidRPr="00AE2A44">
              <w:rPr>
                <w:noProof/>
                <w:webHidden/>
              </w:rPr>
              <w:fldChar w:fldCharType="separate"/>
            </w:r>
            <w:r w:rsidRPr="00AE2A44">
              <w:rPr>
                <w:noProof/>
                <w:webHidden/>
              </w:rPr>
              <w:t>53</w:t>
            </w:r>
            <w:r w:rsidRPr="00AE2A44">
              <w:rPr>
                <w:noProof/>
                <w:webHidden/>
              </w:rPr>
              <w:fldChar w:fldCharType="end"/>
            </w:r>
          </w:hyperlink>
        </w:p>
        <w:p w:rsidR="00AE2A44" w:rsidRPr="00AE2A44" w:rsidRDefault="00AE2A44">
          <w:pPr>
            <w:pStyle w:val="TOC2"/>
            <w:tabs>
              <w:tab w:val="right" w:leader="dot" w:pos="9016"/>
            </w:tabs>
            <w:rPr>
              <w:rFonts w:eastAsiaTheme="minorEastAsia"/>
              <w:noProof/>
              <w:lang w:eastAsia="en-GB"/>
            </w:rPr>
          </w:pPr>
          <w:hyperlink w:anchor="_Toc119250925" w:history="1">
            <w:r w:rsidRPr="00AE2A44">
              <w:rPr>
                <w:rStyle w:val="Hyperlink"/>
                <w:rFonts w:ascii="Segoe UI" w:hAnsi="Segoe UI" w:cs="Segoe UI"/>
                <w:noProof/>
                <w:color w:val="auto"/>
              </w:rPr>
              <w:t>Maslow’s Hierarchy of Needs</w:t>
            </w:r>
            <w:r w:rsidRPr="00AE2A44">
              <w:rPr>
                <w:noProof/>
                <w:webHidden/>
              </w:rPr>
              <w:tab/>
            </w:r>
            <w:r w:rsidRPr="00AE2A44">
              <w:rPr>
                <w:noProof/>
                <w:webHidden/>
              </w:rPr>
              <w:fldChar w:fldCharType="begin"/>
            </w:r>
            <w:r w:rsidRPr="00AE2A44">
              <w:rPr>
                <w:noProof/>
                <w:webHidden/>
              </w:rPr>
              <w:instrText xml:space="preserve"> PAGEREF _Toc119250925 \h </w:instrText>
            </w:r>
            <w:r w:rsidRPr="00AE2A44">
              <w:rPr>
                <w:noProof/>
                <w:webHidden/>
              </w:rPr>
            </w:r>
            <w:r w:rsidRPr="00AE2A44">
              <w:rPr>
                <w:noProof/>
                <w:webHidden/>
              </w:rPr>
              <w:fldChar w:fldCharType="separate"/>
            </w:r>
            <w:r w:rsidRPr="00AE2A44">
              <w:rPr>
                <w:noProof/>
                <w:webHidden/>
              </w:rPr>
              <w:t>53</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6" w:history="1">
            <w:r w:rsidRPr="00AE2A44">
              <w:rPr>
                <w:rStyle w:val="Hyperlink"/>
                <w:noProof/>
                <w:color w:val="auto"/>
              </w:rPr>
              <w:t>Appendix C</w:t>
            </w:r>
            <w:r w:rsidRPr="00AE2A44">
              <w:rPr>
                <w:noProof/>
                <w:webHidden/>
              </w:rPr>
              <w:tab/>
            </w:r>
            <w:r w:rsidRPr="00AE2A44">
              <w:rPr>
                <w:noProof/>
                <w:webHidden/>
              </w:rPr>
              <w:fldChar w:fldCharType="begin"/>
            </w:r>
            <w:r w:rsidRPr="00AE2A44">
              <w:rPr>
                <w:noProof/>
                <w:webHidden/>
              </w:rPr>
              <w:instrText xml:space="preserve"> PAGEREF _Toc119250926 \h </w:instrText>
            </w:r>
            <w:r w:rsidRPr="00AE2A44">
              <w:rPr>
                <w:noProof/>
                <w:webHidden/>
              </w:rPr>
            </w:r>
            <w:r w:rsidRPr="00AE2A44">
              <w:rPr>
                <w:noProof/>
                <w:webHidden/>
              </w:rPr>
              <w:fldChar w:fldCharType="separate"/>
            </w:r>
            <w:r w:rsidRPr="00AE2A44">
              <w:rPr>
                <w:noProof/>
                <w:webHidden/>
              </w:rPr>
              <w:t>54</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7" w:history="1">
            <w:r w:rsidRPr="00AE2A44">
              <w:rPr>
                <w:rStyle w:val="Hyperlink"/>
                <w:noProof/>
                <w:color w:val="auto"/>
              </w:rPr>
              <w:t>Appendix D</w:t>
            </w:r>
            <w:r w:rsidRPr="00AE2A44">
              <w:rPr>
                <w:noProof/>
                <w:webHidden/>
              </w:rPr>
              <w:tab/>
            </w:r>
            <w:r w:rsidRPr="00AE2A44">
              <w:rPr>
                <w:noProof/>
                <w:webHidden/>
              </w:rPr>
              <w:fldChar w:fldCharType="begin"/>
            </w:r>
            <w:r w:rsidRPr="00AE2A44">
              <w:rPr>
                <w:noProof/>
                <w:webHidden/>
              </w:rPr>
              <w:instrText xml:space="preserve"> PAGEREF _Toc119250927 \h </w:instrText>
            </w:r>
            <w:r w:rsidRPr="00AE2A44">
              <w:rPr>
                <w:noProof/>
                <w:webHidden/>
              </w:rPr>
            </w:r>
            <w:r w:rsidRPr="00AE2A44">
              <w:rPr>
                <w:noProof/>
                <w:webHidden/>
              </w:rPr>
              <w:fldChar w:fldCharType="separate"/>
            </w:r>
            <w:r w:rsidRPr="00AE2A44">
              <w:rPr>
                <w:noProof/>
                <w:webHidden/>
              </w:rPr>
              <w:t>55</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8" w:history="1">
            <w:r w:rsidRPr="00AE2A44">
              <w:rPr>
                <w:rStyle w:val="Hyperlink"/>
                <w:noProof/>
                <w:color w:val="auto"/>
              </w:rPr>
              <w:t>Appendix E</w:t>
            </w:r>
            <w:r w:rsidRPr="00AE2A44">
              <w:rPr>
                <w:noProof/>
                <w:webHidden/>
              </w:rPr>
              <w:tab/>
            </w:r>
            <w:r w:rsidRPr="00AE2A44">
              <w:rPr>
                <w:noProof/>
                <w:webHidden/>
              </w:rPr>
              <w:fldChar w:fldCharType="begin"/>
            </w:r>
            <w:r w:rsidRPr="00AE2A44">
              <w:rPr>
                <w:noProof/>
                <w:webHidden/>
              </w:rPr>
              <w:instrText xml:space="preserve"> PAGEREF _Toc119250928 \h </w:instrText>
            </w:r>
            <w:r w:rsidRPr="00AE2A44">
              <w:rPr>
                <w:noProof/>
                <w:webHidden/>
              </w:rPr>
            </w:r>
            <w:r w:rsidRPr="00AE2A44">
              <w:rPr>
                <w:noProof/>
                <w:webHidden/>
              </w:rPr>
              <w:fldChar w:fldCharType="separate"/>
            </w:r>
            <w:r w:rsidRPr="00AE2A44">
              <w:rPr>
                <w:noProof/>
                <w:webHidden/>
              </w:rPr>
              <w:t>56</w:t>
            </w:r>
            <w:r w:rsidRPr="00AE2A44">
              <w:rPr>
                <w:noProof/>
                <w:webHidden/>
              </w:rPr>
              <w:fldChar w:fldCharType="end"/>
            </w:r>
          </w:hyperlink>
        </w:p>
        <w:p w:rsidR="00AE2A44" w:rsidRPr="00AE2A44" w:rsidRDefault="00AE2A44">
          <w:pPr>
            <w:pStyle w:val="TOC1"/>
            <w:tabs>
              <w:tab w:val="right" w:leader="dot" w:pos="9016"/>
            </w:tabs>
            <w:rPr>
              <w:rFonts w:eastAsiaTheme="minorEastAsia"/>
              <w:noProof/>
              <w:lang w:eastAsia="en-GB"/>
            </w:rPr>
          </w:pPr>
          <w:hyperlink w:anchor="_Toc119250929" w:history="1">
            <w:r w:rsidRPr="00AE2A44">
              <w:rPr>
                <w:rStyle w:val="Hyperlink"/>
                <w:noProof/>
                <w:color w:val="auto"/>
              </w:rPr>
              <w:t>Appendix F</w:t>
            </w:r>
            <w:r w:rsidRPr="00AE2A44">
              <w:rPr>
                <w:noProof/>
                <w:webHidden/>
              </w:rPr>
              <w:tab/>
            </w:r>
            <w:r w:rsidRPr="00AE2A44">
              <w:rPr>
                <w:noProof/>
                <w:webHidden/>
              </w:rPr>
              <w:fldChar w:fldCharType="begin"/>
            </w:r>
            <w:r w:rsidRPr="00AE2A44">
              <w:rPr>
                <w:noProof/>
                <w:webHidden/>
              </w:rPr>
              <w:instrText xml:space="preserve"> PAGEREF _Toc119250929 \h </w:instrText>
            </w:r>
            <w:r w:rsidRPr="00AE2A44">
              <w:rPr>
                <w:noProof/>
                <w:webHidden/>
              </w:rPr>
            </w:r>
            <w:r w:rsidRPr="00AE2A44">
              <w:rPr>
                <w:noProof/>
                <w:webHidden/>
              </w:rPr>
              <w:fldChar w:fldCharType="separate"/>
            </w:r>
            <w:r w:rsidRPr="00AE2A44">
              <w:rPr>
                <w:noProof/>
                <w:webHidden/>
              </w:rPr>
              <w:t>57</w:t>
            </w:r>
            <w:r w:rsidRPr="00AE2A44">
              <w:rPr>
                <w:noProof/>
                <w:webHidden/>
              </w:rPr>
              <w:fldChar w:fldCharType="end"/>
            </w:r>
          </w:hyperlink>
        </w:p>
        <w:p w:rsidR="00D35232" w:rsidRPr="00AE2A44" w:rsidRDefault="001D72C9">
          <w:r w:rsidRPr="00AE2A44">
            <w:fldChar w:fldCharType="end"/>
          </w:r>
        </w:p>
      </w:sdtContent>
    </w:sdt>
    <w:p w:rsidR="00170454" w:rsidRPr="00AE2A44" w:rsidRDefault="00170454" w:rsidP="001F3680">
      <w:pPr>
        <w:spacing w:before="120" w:after="120" w:line="360" w:lineRule="auto"/>
        <w:rPr>
          <w:rFonts w:ascii="Tahoma" w:hAnsi="Tahoma" w:cs="Tahoma"/>
          <w:sz w:val="24"/>
          <w:szCs w:val="24"/>
        </w:rPr>
      </w:pPr>
    </w:p>
    <w:p w:rsidR="001F3680" w:rsidRPr="00AE2A44" w:rsidRDefault="001F3680"/>
    <w:p w:rsidR="001F3680" w:rsidRPr="00AE2A44" w:rsidRDefault="001F3680">
      <w:pPr>
        <w:spacing w:after="200" w:line="276" w:lineRule="auto"/>
      </w:pPr>
      <w:r w:rsidRPr="00AE2A44">
        <w:br w:type="page"/>
      </w:r>
    </w:p>
    <w:p w:rsidR="001F3680" w:rsidRPr="00AE2A44" w:rsidRDefault="001F3680" w:rsidP="001F3680">
      <w:pPr>
        <w:pStyle w:val="Heading1"/>
        <w:rPr>
          <w:color w:val="auto"/>
          <w:szCs w:val="48"/>
        </w:rPr>
      </w:pPr>
      <w:bookmarkStart w:id="0" w:name="_Toc119152946"/>
      <w:bookmarkStart w:id="1" w:name="_Toc119250901"/>
      <w:r w:rsidRPr="00AE2A44">
        <w:rPr>
          <w:color w:val="auto"/>
        </w:rPr>
        <w:lastRenderedPageBreak/>
        <w:t>Abstract</w:t>
      </w:r>
      <w:bookmarkEnd w:id="0"/>
      <w:bookmarkEnd w:id="1"/>
    </w:p>
    <w:p w:rsidR="00D35232" w:rsidRPr="00AE2A44" w:rsidRDefault="001F3680" w:rsidP="001F3680">
      <w:pPr>
        <w:spacing w:line="480" w:lineRule="auto"/>
        <w:rPr>
          <w:rFonts w:ascii="Calibri" w:eastAsia="Times New Roman" w:hAnsi="Calibri" w:cs="Calibri"/>
          <w:sz w:val="24"/>
          <w:szCs w:val="24"/>
          <w:lang w:eastAsia="en-GB"/>
        </w:rPr>
      </w:pPr>
      <w:r w:rsidRPr="00AE2A44">
        <w:rPr>
          <w:rFonts w:ascii="Calibri" w:eastAsia="Times New Roman" w:hAnsi="Calibri" w:cs="Calibri"/>
          <w:sz w:val="24"/>
          <w:szCs w:val="24"/>
          <w:lang w:eastAsia="en-GB"/>
        </w:rPr>
        <w:t>This paper is aimed at demonstrating the role of strategic management for greater efficiency in its administration, as well as how it can be used to guide managers to implement actions and make the company grow. In this research report, we demonstrate the concept of micro and small companies, strategic management, managerial approach and entrepreneurship. Then, we indicate the method used for the development of the study and, finally, the final considerations on the subject. The probability of closing is higher among entrepreneurs who were unemployed before opening the business; who had little experience in the field; who opened the business out of necessity (or customer/supplier requirement); who had less time to plan; were unable to negotiate with suppliers; they couldn't get loans from banks; did not improve products or services; they did not invest in training the workforce; they did not seek to innovate; they did not strictly monitor income and expenses; they did not differentiate products; and did not invest in their own training in business .</w:t>
      </w:r>
    </w:p>
    <w:p w:rsidR="001F3680" w:rsidRPr="00AE2A44" w:rsidRDefault="001F3680" w:rsidP="001F3680">
      <w:pPr>
        <w:spacing w:line="480" w:lineRule="auto"/>
        <w:rPr>
          <w:rFonts w:ascii="Calibri" w:hAnsi="Calibri" w:cs="Calibri"/>
          <w:sz w:val="24"/>
          <w:szCs w:val="24"/>
        </w:rPr>
      </w:pPr>
      <w:r w:rsidRPr="00AE2A44">
        <w:rPr>
          <w:rFonts w:ascii="Calibri" w:hAnsi="Calibri" w:cs="Calibri"/>
          <w:sz w:val="24"/>
          <w:szCs w:val="24"/>
        </w:rPr>
        <w:t>The COVID-19 outbreak serves as a cautionary tale that extreme events, like other rare disasters, have occurred in the past and will continue to occur in the future. Even if we can't stop dangerous viruses from spreading, we can prepare to mitigate their effects on society. The current outbreak has had severe economic consequences all over the world, and it does not appear that any country will be spared. This affects not only the economy, but the entire society, resulting in dramatic changes in how businesses and consumers behave. This special issue is part of a global effort to address some of society's pandemic-related issues.</w:t>
      </w:r>
    </w:p>
    <w:p w:rsidR="001F3680" w:rsidRPr="00AE2A44" w:rsidRDefault="001F3680" w:rsidP="001F3680">
      <w:pPr>
        <w:spacing w:before="400" w:line="480" w:lineRule="auto"/>
        <w:jc w:val="center"/>
        <w:outlineLvl w:val="0"/>
        <w:rPr>
          <w:rFonts w:ascii="Calibri" w:eastAsia="Times New Roman" w:hAnsi="Calibri" w:cs="Calibri"/>
          <w:b/>
          <w:bCs/>
          <w:kern w:val="36"/>
          <w:sz w:val="24"/>
          <w:szCs w:val="24"/>
          <w:lang w:eastAsia="en-GB"/>
        </w:rPr>
      </w:pPr>
    </w:p>
    <w:p w:rsidR="001F3680" w:rsidRPr="00AE2A44" w:rsidRDefault="001F3680" w:rsidP="001F3680">
      <w:pPr>
        <w:spacing w:before="400" w:line="480" w:lineRule="auto"/>
        <w:jc w:val="center"/>
        <w:outlineLvl w:val="0"/>
        <w:rPr>
          <w:rFonts w:ascii="Calibri" w:eastAsia="Times New Roman" w:hAnsi="Calibri" w:cs="Calibri"/>
          <w:b/>
          <w:bCs/>
          <w:kern w:val="36"/>
          <w:sz w:val="24"/>
          <w:szCs w:val="24"/>
          <w:lang w:eastAsia="en-GB"/>
        </w:rPr>
      </w:pPr>
    </w:p>
    <w:p w:rsidR="001F3680" w:rsidRPr="00AE2A44" w:rsidRDefault="001F3680" w:rsidP="001F3680">
      <w:pPr>
        <w:pStyle w:val="Heading1"/>
        <w:rPr>
          <w:rFonts w:ascii="Times New Roman" w:eastAsia="Times New Roman" w:hAnsi="Times New Roman" w:cs="Times New Roman"/>
          <w:color w:val="auto"/>
          <w:kern w:val="36"/>
          <w:sz w:val="48"/>
          <w:szCs w:val="48"/>
          <w:lang w:eastAsia="en-GB"/>
        </w:rPr>
      </w:pPr>
      <w:bookmarkStart w:id="2" w:name="_Toc119250902"/>
      <w:r w:rsidRPr="00AE2A44">
        <w:rPr>
          <w:rFonts w:eastAsia="Times New Roman"/>
          <w:color w:val="auto"/>
          <w:kern w:val="36"/>
          <w:lang w:eastAsia="en-GB"/>
        </w:rPr>
        <w:lastRenderedPageBreak/>
        <w:t>Acknowledgements</w:t>
      </w:r>
      <w:bookmarkEnd w:id="2"/>
    </w:p>
    <w:p w:rsidR="001F3680" w:rsidRPr="00AE2A44" w:rsidRDefault="001F3680" w:rsidP="001F3680">
      <w:pPr>
        <w:spacing w:line="480" w:lineRule="auto"/>
        <w:jc w:val="center"/>
        <w:rPr>
          <w:rFonts w:ascii="Calibri" w:eastAsia="Times New Roman" w:hAnsi="Calibri" w:cs="Calibri"/>
          <w:sz w:val="24"/>
          <w:szCs w:val="24"/>
          <w:lang w:eastAsia="en-GB"/>
        </w:rPr>
      </w:pPr>
      <w:r w:rsidRPr="00AE2A44">
        <w:rPr>
          <w:rFonts w:ascii="Calibri" w:eastAsia="Times New Roman" w:hAnsi="Calibri" w:cs="Calibri"/>
          <w:sz w:val="24"/>
          <w:szCs w:val="24"/>
          <w:lang w:eastAsia="en-GB"/>
        </w:rPr>
        <w:t>I would like to express my gratitude to my primary supervisor, who guided me throughout this project. I would also like to thank my friends and family who supported me and offered deep insight into the study.</w:t>
      </w:r>
    </w:p>
    <w:p w:rsidR="001F3680" w:rsidRPr="00AE2A44" w:rsidRDefault="001F3680" w:rsidP="001F3680">
      <w:pPr>
        <w:pStyle w:val="Heading1"/>
        <w:rPr>
          <w:color w:val="auto"/>
          <w:szCs w:val="48"/>
        </w:rPr>
      </w:pPr>
      <w:bookmarkStart w:id="3" w:name="_Toc119152948"/>
      <w:bookmarkStart w:id="4" w:name="_Toc119250903"/>
      <w:r w:rsidRPr="00AE2A44">
        <w:rPr>
          <w:color w:val="auto"/>
        </w:rPr>
        <w:t>1. Introduction</w:t>
      </w:r>
      <w:bookmarkEnd w:id="3"/>
      <w:bookmarkEnd w:id="4"/>
    </w:p>
    <w:p w:rsidR="001F3680" w:rsidRPr="00AE2A44" w:rsidRDefault="001F3680" w:rsidP="001F3680">
      <w:pPr>
        <w:spacing w:line="480" w:lineRule="auto"/>
        <w:jc w:val="center"/>
        <w:rPr>
          <w:rFonts w:ascii="Times New Roman" w:eastAsia="Times New Roman" w:hAnsi="Times New Roman" w:cs="Times New Roman"/>
          <w:sz w:val="24"/>
          <w:szCs w:val="24"/>
          <w:lang w:eastAsia="en-GB"/>
        </w:rPr>
      </w:pPr>
    </w:p>
    <w:p w:rsidR="001F3680" w:rsidRPr="00AE2A44" w:rsidRDefault="001F3680" w:rsidP="001F3680">
      <w:pPr>
        <w:spacing w:line="480" w:lineRule="auto"/>
        <w:rPr>
          <w:rFonts w:ascii="Calibri" w:hAnsi="Calibri" w:cs="Calibri"/>
          <w:sz w:val="24"/>
          <w:szCs w:val="24"/>
        </w:rPr>
      </w:pPr>
      <w:r w:rsidRPr="00AE2A44">
        <w:rPr>
          <w:rFonts w:ascii="Calibri" w:hAnsi="Calibri" w:cs="Calibri"/>
          <w:sz w:val="24"/>
          <w:szCs w:val="24"/>
        </w:rPr>
        <w:t>People management is critical for effective strategic management in logistics. One of the main points is to improve internal communication. To begin, the employee must receive clear and secure information, manage to align their work with the company's objectives, and comprehend the impact of their deliveries on the overall business. Second, by establishing two-way communication channels and providing incentives for job satisfaction, everyone becomes a representative of consistent enhancement for the company.</w:t>
      </w:r>
      <w:r w:rsidR="003D15E9" w:rsidRPr="00AE2A44">
        <w:t xml:space="preserve"> </w:t>
      </w:r>
      <w:r w:rsidR="003D15E9" w:rsidRPr="00AE2A44">
        <w:rPr>
          <w:rFonts w:ascii="Calibri" w:hAnsi="Calibri" w:cs="Calibri"/>
          <w:sz w:val="24"/>
          <w:szCs w:val="24"/>
        </w:rPr>
        <w:t>Technology's value in businesses has grown even more as a result of digital transformation. Information system, or an integrated business management system, provides the entrepreneur with a wider, more solid, and faster view of the business. This allows for faster decisions based on reliable data, allowing for a greater focus on business intelligence rather than operational demands.</w:t>
      </w:r>
    </w:p>
    <w:p w:rsidR="003D15E9" w:rsidRPr="00AE2A44" w:rsidRDefault="003D15E9" w:rsidP="001F3680">
      <w:pPr>
        <w:spacing w:line="480" w:lineRule="auto"/>
        <w:rPr>
          <w:rFonts w:ascii="Calibri" w:hAnsi="Calibri" w:cs="Calibri"/>
          <w:sz w:val="24"/>
          <w:szCs w:val="24"/>
        </w:rPr>
      </w:pPr>
      <w:r w:rsidRPr="00AE2A44">
        <w:rPr>
          <w:rFonts w:ascii="Calibri" w:hAnsi="Calibri" w:cs="Calibri"/>
          <w:sz w:val="24"/>
          <w:szCs w:val="24"/>
        </w:rPr>
        <w:t>Because we are in the midst of a pandemic outbreak, predicting its long-term consequences is extremely difficult. Although society has been hit by several pandemics in the past, estimating the long-term economic, behavioural, or societal consequences is difficult because these aspects have not been studied extensively in the past. According to the few studies that exist, the important historical epidemics of the last millennium have commonly been linked to following low asset returns (</w:t>
      </w:r>
      <w:proofErr w:type="spellStart"/>
      <w:r w:rsidRPr="00AE2A44">
        <w:rPr>
          <w:rFonts w:ascii="Calibri" w:hAnsi="Calibri" w:cs="Calibri"/>
          <w:sz w:val="24"/>
          <w:szCs w:val="24"/>
        </w:rPr>
        <w:t>Jorda</w:t>
      </w:r>
      <w:proofErr w:type="spellEnd"/>
      <w:r w:rsidRPr="00AE2A44">
        <w:rPr>
          <w:rFonts w:ascii="Calibri" w:hAnsi="Calibri" w:cs="Calibri"/>
          <w:sz w:val="24"/>
          <w:szCs w:val="24"/>
        </w:rPr>
        <w:t>, Singh, &amp; Taylor, 2020).</w:t>
      </w:r>
      <w:r w:rsidRPr="00AE2A44">
        <w:t xml:space="preserve"> </w:t>
      </w:r>
      <w:r w:rsidRPr="00AE2A44">
        <w:rPr>
          <w:rFonts w:ascii="Calibri" w:hAnsi="Calibri" w:cs="Calibri"/>
          <w:sz w:val="24"/>
          <w:szCs w:val="24"/>
        </w:rPr>
        <w:t xml:space="preserve">We tend to </w:t>
      </w:r>
      <w:r w:rsidRPr="00AE2A44">
        <w:rPr>
          <w:rFonts w:ascii="Calibri" w:hAnsi="Calibri" w:cs="Calibri"/>
          <w:sz w:val="24"/>
          <w:szCs w:val="24"/>
        </w:rPr>
        <w:lastRenderedPageBreak/>
        <w:t>become less interested in investing and more interested in saving our capital after a pandemic, resulting in lower economic growth. Given the current situation, in which saving capital results in negative returns, it is unlikely that we will be as cautious as we have been in the past.</w:t>
      </w:r>
    </w:p>
    <w:p w:rsidR="003D15E9" w:rsidRPr="00AE2A44" w:rsidRDefault="003D15E9" w:rsidP="001F3680">
      <w:pPr>
        <w:spacing w:line="480" w:lineRule="auto"/>
        <w:rPr>
          <w:rFonts w:ascii="Calibri" w:hAnsi="Calibri" w:cs="Calibri"/>
          <w:sz w:val="24"/>
          <w:szCs w:val="24"/>
        </w:rPr>
      </w:pPr>
      <w:r w:rsidRPr="00AE2A44">
        <w:rPr>
          <w:rFonts w:ascii="Calibri" w:hAnsi="Calibri" w:cs="Calibri"/>
          <w:sz w:val="24"/>
          <w:szCs w:val="24"/>
        </w:rPr>
        <w:t xml:space="preserve">The COVID-19 pandemic has pressured many companies to leave, causing unimaginable disruptions in most industry sectors. Short-term challenges for retailers and brands include those associated to health and safety, the supply chain, the workforce, cash flow, consumer demand, sales, and marketing. However, overcoming these obstacles does not guarantee a bright </w:t>
      </w:r>
      <w:proofErr w:type="gramStart"/>
      <w:r w:rsidRPr="00AE2A44">
        <w:rPr>
          <w:rFonts w:ascii="Calibri" w:hAnsi="Calibri" w:cs="Calibri"/>
          <w:sz w:val="24"/>
          <w:szCs w:val="24"/>
        </w:rPr>
        <w:t>future,</w:t>
      </w:r>
      <w:proofErr w:type="gramEnd"/>
      <w:r w:rsidRPr="00AE2A44">
        <w:rPr>
          <w:rFonts w:ascii="Calibri" w:hAnsi="Calibri" w:cs="Calibri"/>
          <w:sz w:val="24"/>
          <w:szCs w:val="24"/>
        </w:rPr>
        <w:t xml:space="preserve"> or any prospective at all.</w:t>
      </w:r>
    </w:p>
    <w:p w:rsidR="003D15E9" w:rsidRPr="00AE2A44" w:rsidRDefault="003D15E9" w:rsidP="003D15E9">
      <w:pPr>
        <w:pStyle w:val="Heading1"/>
        <w:rPr>
          <w:rFonts w:ascii="Times New Roman" w:eastAsia="Times New Roman" w:hAnsi="Times New Roman" w:cs="Times New Roman"/>
          <w:color w:val="auto"/>
          <w:kern w:val="36"/>
          <w:sz w:val="48"/>
          <w:szCs w:val="48"/>
          <w:lang w:eastAsia="en-GB"/>
        </w:rPr>
      </w:pPr>
      <w:bookmarkStart w:id="5" w:name="_Toc119152949"/>
      <w:bookmarkStart w:id="6" w:name="_Toc119250904"/>
      <w:r w:rsidRPr="00AE2A44">
        <w:rPr>
          <w:rFonts w:eastAsia="Times New Roman"/>
          <w:color w:val="auto"/>
          <w:kern w:val="36"/>
          <w:lang w:eastAsia="en-GB"/>
        </w:rPr>
        <w:t>2. 0 Literature Review</w:t>
      </w:r>
      <w:bookmarkEnd w:id="5"/>
      <w:bookmarkEnd w:id="6"/>
    </w:p>
    <w:p w:rsidR="003D15E9" w:rsidRPr="00AE2A44" w:rsidRDefault="003D15E9" w:rsidP="003D15E9">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Since strategic planning is linked to business vision, exponential leaders are those who know how to drive strategies that result in scalability, agility and efficiency. Whether in the short, medium or long term, being prepared for potential changes can be the differential for the survival of small and medium-sized companies. Entrepreneurs present several tips that SME owners should implement in their businesses: Create information-based products and services that are easier to scale. Some may already be available; one has to find them and focus on them. Kill five-year strategic planning, giving way to one-year plans as well as data-driven predictive analytics, strong product vision, and transformative purpose. Leverage external innovation and give internal employees the freedom to innovate (</w:t>
      </w:r>
      <w:proofErr w:type="spellStart"/>
      <w:r w:rsidRPr="00AE2A44">
        <w:rPr>
          <w:rFonts w:ascii="Calibri" w:eastAsia="Times New Roman" w:hAnsi="Calibri" w:cs="Calibri"/>
          <w:sz w:val="24"/>
          <w:szCs w:val="24"/>
          <w:lang w:eastAsia="en-GB"/>
        </w:rPr>
        <w:t>Bartolacci</w:t>
      </w:r>
      <w:proofErr w:type="spellEnd"/>
      <w:r w:rsidRPr="00AE2A44">
        <w:rPr>
          <w:rFonts w:ascii="Calibri" w:eastAsia="Times New Roman" w:hAnsi="Calibri" w:cs="Calibri"/>
          <w:sz w:val="24"/>
          <w:szCs w:val="24"/>
          <w:lang w:eastAsia="en-GB"/>
        </w:rPr>
        <w:t xml:space="preserve">, Caputo &amp; </w:t>
      </w:r>
      <w:proofErr w:type="spellStart"/>
      <w:r w:rsidRPr="00AE2A44">
        <w:rPr>
          <w:rFonts w:ascii="Calibri" w:eastAsia="Times New Roman" w:hAnsi="Calibri" w:cs="Calibri"/>
          <w:sz w:val="24"/>
          <w:szCs w:val="24"/>
          <w:lang w:eastAsia="en-GB"/>
        </w:rPr>
        <w:t>Soverchia</w:t>
      </w:r>
      <w:proofErr w:type="spellEnd"/>
      <w:r w:rsidRPr="00AE2A44">
        <w:rPr>
          <w:rFonts w:ascii="Calibri" w:eastAsia="Times New Roman" w:hAnsi="Calibri" w:cs="Calibri"/>
          <w:sz w:val="24"/>
          <w:szCs w:val="24"/>
          <w:lang w:eastAsia="en-GB"/>
        </w:rPr>
        <w:t>, 2020).</w:t>
      </w:r>
    </w:p>
    <w:p w:rsidR="003D15E9" w:rsidRPr="00AE2A44" w:rsidRDefault="003D15E9" w:rsidP="003D15E9">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With constant evolution, companies cannot survive in a complex, competitive and globalised market; managers need to understand the importance of a strategic vision to ensure the development and survival of their business. Continuous monitoring in the </w:t>
      </w:r>
      <w:r w:rsidRPr="00AE2A44">
        <w:rPr>
          <w:rFonts w:ascii="Calibri" w:eastAsia="Times New Roman" w:hAnsi="Calibri" w:cs="Calibri"/>
          <w:sz w:val="24"/>
          <w:szCs w:val="24"/>
          <w:lang w:eastAsia="en-GB"/>
        </w:rPr>
        <w:lastRenderedPageBreak/>
        <w:t>management of Micro and Small Enterprises will ensure that the owner-manager contributes to success, boosting profits and, consequently, the desired (</w:t>
      </w:r>
      <w:proofErr w:type="spellStart"/>
      <w:r w:rsidRPr="00AE2A44">
        <w:rPr>
          <w:rFonts w:ascii="Calibri" w:eastAsia="Times New Roman" w:hAnsi="Calibri" w:cs="Calibri"/>
          <w:sz w:val="24"/>
          <w:szCs w:val="24"/>
          <w:lang w:eastAsia="en-GB"/>
        </w:rPr>
        <w:t>Bartolacci</w:t>
      </w:r>
      <w:proofErr w:type="spellEnd"/>
      <w:r w:rsidRPr="00AE2A44">
        <w:rPr>
          <w:rFonts w:ascii="Calibri" w:eastAsia="Times New Roman" w:hAnsi="Calibri" w:cs="Calibri"/>
          <w:sz w:val="24"/>
          <w:szCs w:val="24"/>
          <w:lang w:eastAsia="en-GB"/>
        </w:rPr>
        <w:t xml:space="preserve">, Caputo &amp; </w:t>
      </w:r>
      <w:proofErr w:type="spellStart"/>
      <w:r w:rsidRPr="00AE2A44">
        <w:rPr>
          <w:rFonts w:ascii="Calibri" w:eastAsia="Times New Roman" w:hAnsi="Calibri" w:cs="Calibri"/>
          <w:sz w:val="24"/>
          <w:szCs w:val="24"/>
          <w:lang w:eastAsia="en-GB"/>
        </w:rPr>
        <w:t>Soverchia</w:t>
      </w:r>
      <w:proofErr w:type="spellEnd"/>
      <w:r w:rsidRPr="00AE2A44">
        <w:rPr>
          <w:rFonts w:ascii="Calibri" w:eastAsia="Times New Roman" w:hAnsi="Calibri" w:cs="Calibri"/>
          <w:sz w:val="24"/>
          <w:szCs w:val="24"/>
          <w:lang w:eastAsia="en-GB"/>
        </w:rPr>
        <w:t>, 2020).</w:t>
      </w:r>
    </w:p>
    <w:p w:rsidR="00205ECD" w:rsidRPr="00AE2A44" w:rsidRDefault="003D15E9" w:rsidP="00205ECD">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It can be considered that the business actions of small entrepreneurs are often influenced by their values, aspirations, motivations and personal goals. Therefore, to implement strategic management, the owner-manager needs to effect a radical change of thoughts and actions: to analyse in an orderly and continuous way his current position; develop projects and strategies; monitor and manage the implementation steps, focusing on all areas of the company, without necessarily having immediate results (Chang &amp; Cheng, 2019). Establishing a controlled and planned management, using attitudes and calculated movements, with the objective of evaluating the present, it is possible to apply strategies to materialise the company's financial performance (</w:t>
      </w:r>
      <w:proofErr w:type="spellStart"/>
      <w:r w:rsidRPr="00AE2A44">
        <w:rPr>
          <w:rFonts w:ascii="Calibri" w:eastAsia="Times New Roman" w:hAnsi="Calibri" w:cs="Calibri"/>
          <w:sz w:val="24"/>
          <w:szCs w:val="24"/>
          <w:lang w:eastAsia="en-GB"/>
        </w:rPr>
        <w:t>Bartolacci</w:t>
      </w:r>
      <w:proofErr w:type="spellEnd"/>
      <w:r w:rsidRPr="00AE2A44">
        <w:rPr>
          <w:rFonts w:ascii="Calibri" w:eastAsia="Times New Roman" w:hAnsi="Calibri" w:cs="Calibri"/>
          <w:sz w:val="24"/>
          <w:szCs w:val="24"/>
          <w:lang w:eastAsia="en-GB"/>
        </w:rPr>
        <w:t xml:space="preserve">, Caputo &amp; </w:t>
      </w:r>
      <w:proofErr w:type="spellStart"/>
      <w:r w:rsidRPr="00AE2A44">
        <w:rPr>
          <w:rFonts w:ascii="Calibri" w:eastAsia="Times New Roman" w:hAnsi="Calibri" w:cs="Calibri"/>
          <w:sz w:val="24"/>
          <w:szCs w:val="24"/>
          <w:lang w:eastAsia="en-GB"/>
        </w:rPr>
        <w:t>Soverchia</w:t>
      </w:r>
      <w:proofErr w:type="spellEnd"/>
      <w:r w:rsidRPr="00AE2A44">
        <w:rPr>
          <w:rFonts w:ascii="Calibri" w:eastAsia="Times New Roman" w:hAnsi="Calibri" w:cs="Calibri"/>
          <w:sz w:val="24"/>
          <w:szCs w:val="24"/>
          <w:lang w:eastAsia="en-GB"/>
        </w:rPr>
        <w:t>, 2020).</w:t>
      </w:r>
      <w:r w:rsidR="00205ECD" w:rsidRPr="00AE2A44">
        <w:rPr>
          <w:rFonts w:ascii="Calibri" w:eastAsia="Times New Roman" w:hAnsi="Calibri" w:cs="Calibri"/>
          <w:sz w:val="24"/>
          <w:szCs w:val="24"/>
          <w:lang w:eastAsia="en-GB"/>
        </w:rPr>
        <w:t xml:space="preserve"> The company cash flow is an essential data for companies, because it offers a general picture of the corporate health status, as well as giving knowledge of the liquidity actually present in cash and, consequently, of the money that can be spent in the short term. Knowing the liquidity levels in the company's cash register therefore allows us to develop the best investment strategy, thus avoiding being overwhelmed by excessive debt. Especially in such difficult times as today it is important that liquidity monitoring is done as accurately as possible (</w:t>
      </w:r>
      <w:proofErr w:type="spellStart"/>
      <w:r w:rsidR="00205ECD" w:rsidRPr="00AE2A44">
        <w:rPr>
          <w:rFonts w:ascii="Calibri" w:eastAsia="Times New Roman" w:hAnsi="Calibri" w:cs="Calibri"/>
          <w:sz w:val="24"/>
          <w:szCs w:val="24"/>
          <w:lang w:eastAsia="en-GB"/>
        </w:rPr>
        <w:t>Haleem</w:t>
      </w:r>
      <w:proofErr w:type="spellEnd"/>
      <w:r w:rsidR="00205ECD" w:rsidRPr="00AE2A44">
        <w:rPr>
          <w:rFonts w:ascii="Calibri" w:eastAsia="Times New Roman" w:hAnsi="Calibri" w:cs="Calibri"/>
          <w:sz w:val="24"/>
          <w:szCs w:val="24"/>
          <w:lang w:eastAsia="en-GB"/>
        </w:rPr>
        <w:t xml:space="preserve">, </w:t>
      </w:r>
      <w:proofErr w:type="spellStart"/>
      <w:r w:rsidR="00205ECD" w:rsidRPr="00AE2A44">
        <w:rPr>
          <w:rFonts w:ascii="Calibri" w:eastAsia="Times New Roman" w:hAnsi="Calibri" w:cs="Calibri"/>
          <w:sz w:val="24"/>
          <w:szCs w:val="24"/>
          <w:lang w:eastAsia="en-GB"/>
        </w:rPr>
        <w:t>Jehangir</w:t>
      </w:r>
      <w:proofErr w:type="spellEnd"/>
      <w:r w:rsidR="00205ECD" w:rsidRPr="00AE2A44">
        <w:rPr>
          <w:rFonts w:ascii="Calibri" w:eastAsia="Times New Roman" w:hAnsi="Calibri" w:cs="Calibri"/>
          <w:sz w:val="24"/>
          <w:szCs w:val="24"/>
          <w:lang w:eastAsia="en-GB"/>
        </w:rPr>
        <w:t xml:space="preserve"> &amp; </w:t>
      </w:r>
      <w:proofErr w:type="spellStart"/>
      <w:r w:rsidR="00205ECD" w:rsidRPr="00AE2A44">
        <w:rPr>
          <w:rFonts w:ascii="Calibri" w:eastAsia="Times New Roman" w:hAnsi="Calibri" w:cs="Calibri"/>
          <w:sz w:val="24"/>
          <w:szCs w:val="24"/>
          <w:lang w:eastAsia="en-GB"/>
        </w:rPr>
        <w:t>Ullah</w:t>
      </w:r>
      <w:proofErr w:type="spellEnd"/>
      <w:r w:rsidR="00205ECD" w:rsidRPr="00AE2A44">
        <w:rPr>
          <w:rFonts w:ascii="Calibri" w:eastAsia="Times New Roman" w:hAnsi="Calibri" w:cs="Calibri"/>
          <w:sz w:val="24"/>
          <w:szCs w:val="24"/>
          <w:lang w:eastAsia="en-GB"/>
        </w:rPr>
        <w:t>, 2019).</w:t>
      </w:r>
    </w:p>
    <w:p w:rsidR="00205ECD" w:rsidRPr="00AE2A44" w:rsidRDefault="00205ECD" w:rsidP="00205ECD">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A tool of this type uses automation technologies that allow real-time tracking of cash inflows and outflows in just a few clicks. In fact, it manages to automatically synchronise the data arriving from electronic invoicing tools and web banking apps, and offers an always up-to-date picture of company liquidity. Another advantage concerns the possibility of making </w:t>
      </w:r>
      <w:r w:rsidRPr="00AE2A44">
        <w:rPr>
          <w:rFonts w:ascii="Calibri" w:eastAsia="Times New Roman" w:hAnsi="Calibri" w:cs="Calibri"/>
          <w:sz w:val="24"/>
          <w:szCs w:val="24"/>
          <w:lang w:eastAsia="en-GB"/>
        </w:rPr>
        <w:lastRenderedPageBreak/>
        <w:t>financial forecasts. If it is true that liquidity planning is the only possible response to the current economic crisis, software will then be essential, because it is able to develop dynamic forecasting scenarios that adapt to business objectives (</w:t>
      </w:r>
      <w:proofErr w:type="spellStart"/>
      <w:r w:rsidRPr="00AE2A44">
        <w:rPr>
          <w:rFonts w:ascii="Calibri" w:eastAsia="Times New Roman" w:hAnsi="Calibri" w:cs="Calibri"/>
          <w:sz w:val="24"/>
          <w:szCs w:val="24"/>
          <w:lang w:eastAsia="en-GB"/>
        </w:rPr>
        <w:t>Haleem</w:t>
      </w:r>
      <w:proofErr w:type="spellEnd"/>
      <w:r w:rsidRPr="00AE2A44">
        <w:rPr>
          <w:rFonts w:ascii="Calibri" w:eastAsia="Times New Roman" w:hAnsi="Calibri" w:cs="Calibri"/>
          <w:sz w:val="24"/>
          <w:szCs w:val="24"/>
          <w:lang w:eastAsia="en-GB"/>
        </w:rPr>
        <w:t xml:space="preserve">, </w:t>
      </w:r>
      <w:proofErr w:type="spellStart"/>
      <w:r w:rsidRPr="00AE2A44">
        <w:rPr>
          <w:rFonts w:ascii="Calibri" w:eastAsia="Times New Roman" w:hAnsi="Calibri" w:cs="Calibri"/>
          <w:sz w:val="24"/>
          <w:szCs w:val="24"/>
          <w:lang w:eastAsia="en-GB"/>
        </w:rPr>
        <w:t>Jehangir</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Ullah</w:t>
      </w:r>
      <w:proofErr w:type="spellEnd"/>
      <w:r w:rsidRPr="00AE2A44">
        <w:rPr>
          <w:rFonts w:ascii="Calibri" w:eastAsia="Times New Roman" w:hAnsi="Calibri" w:cs="Calibri"/>
          <w:sz w:val="24"/>
          <w:szCs w:val="24"/>
          <w:lang w:eastAsia="en-GB"/>
        </w:rPr>
        <w:t>, 2019).</w:t>
      </w:r>
    </w:p>
    <w:p w:rsidR="003D15E9" w:rsidRPr="00AE2A44" w:rsidRDefault="00205ECD" w:rsidP="00205ECD">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Financial administration is a difficult task in a historical moment of inflation and crisis. For this reason, treasury software represents the best ally of today's entrepreneurs. In other words, strategic marketing is the process by which a company determines the most suitable competitive strategy to achieve its medium-long term objectives.</w:t>
      </w:r>
    </w:p>
    <w:p w:rsidR="003D15E9" w:rsidRPr="00AE2A44" w:rsidRDefault="003D15E9" w:rsidP="001F3680">
      <w:pPr>
        <w:spacing w:line="480" w:lineRule="auto"/>
        <w:rPr>
          <w:rFonts w:ascii="Calibri" w:hAnsi="Calibri" w:cs="Calibri"/>
          <w:sz w:val="24"/>
          <w:szCs w:val="24"/>
        </w:rPr>
      </w:pPr>
      <w:r w:rsidRPr="00AE2A44">
        <w:rPr>
          <w:rFonts w:ascii="Calibri" w:hAnsi="Calibri" w:cs="Calibri"/>
          <w:sz w:val="24"/>
          <w:szCs w:val="24"/>
        </w:rPr>
        <w:t>COVID-19 has caused issues in every field around the world, affecting their performance and profitability (</w:t>
      </w:r>
      <w:proofErr w:type="spellStart"/>
      <w:r w:rsidRPr="00AE2A44">
        <w:rPr>
          <w:rFonts w:ascii="Calibri" w:hAnsi="Calibri" w:cs="Calibri"/>
          <w:sz w:val="24"/>
          <w:szCs w:val="24"/>
        </w:rPr>
        <w:t>Mirza</w:t>
      </w:r>
      <w:proofErr w:type="spellEnd"/>
      <w:r w:rsidRPr="00AE2A44">
        <w:rPr>
          <w:rFonts w:ascii="Calibri" w:hAnsi="Calibri" w:cs="Calibri"/>
          <w:sz w:val="24"/>
          <w:szCs w:val="24"/>
        </w:rPr>
        <w:t xml:space="preserve">, </w:t>
      </w:r>
      <w:proofErr w:type="spellStart"/>
      <w:r w:rsidRPr="00AE2A44">
        <w:rPr>
          <w:rFonts w:ascii="Calibri" w:hAnsi="Calibri" w:cs="Calibri"/>
          <w:sz w:val="24"/>
          <w:szCs w:val="24"/>
        </w:rPr>
        <w:t>Hasnaoui</w:t>
      </w:r>
      <w:proofErr w:type="spellEnd"/>
      <w:r w:rsidRPr="00AE2A44">
        <w:rPr>
          <w:rFonts w:ascii="Calibri" w:hAnsi="Calibri" w:cs="Calibri"/>
          <w:sz w:val="24"/>
          <w:szCs w:val="24"/>
        </w:rPr>
        <w:t xml:space="preserve"> et al., 2020; </w:t>
      </w:r>
      <w:proofErr w:type="spellStart"/>
      <w:r w:rsidRPr="00AE2A44">
        <w:rPr>
          <w:rFonts w:ascii="Calibri" w:hAnsi="Calibri" w:cs="Calibri"/>
          <w:sz w:val="24"/>
          <w:szCs w:val="24"/>
        </w:rPr>
        <w:t>Mirza</w:t>
      </w:r>
      <w:proofErr w:type="spellEnd"/>
      <w:r w:rsidRPr="00AE2A44">
        <w:rPr>
          <w:rFonts w:ascii="Calibri" w:hAnsi="Calibri" w:cs="Calibri"/>
          <w:sz w:val="24"/>
          <w:szCs w:val="24"/>
        </w:rPr>
        <w:t xml:space="preserve">, </w:t>
      </w:r>
      <w:proofErr w:type="spellStart"/>
      <w:r w:rsidRPr="00AE2A44">
        <w:rPr>
          <w:rFonts w:ascii="Calibri" w:hAnsi="Calibri" w:cs="Calibri"/>
          <w:sz w:val="24"/>
          <w:szCs w:val="24"/>
        </w:rPr>
        <w:t>Naqvi</w:t>
      </w:r>
      <w:proofErr w:type="spellEnd"/>
      <w:r w:rsidRPr="00AE2A44">
        <w:rPr>
          <w:rFonts w:ascii="Calibri" w:hAnsi="Calibri" w:cs="Calibri"/>
          <w:sz w:val="24"/>
          <w:szCs w:val="24"/>
        </w:rPr>
        <w:t xml:space="preserve"> et al., 2020). According to </w:t>
      </w:r>
      <w:proofErr w:type="spellStart"/>
      <w:r w:rsidRPr="00AE2A44">
        <w:rPr>
          <w:rFonts w:ascii="Calibri" w:hAnsi="Calibri" w:cs="Calibri"/>
          <w:sz w:val="24"/>
          <w:szCs w:val="24"/>
        </w:rPr>
        <w:t>Loske</w:t>
      </w:r>
      <w:proofErr w:type="spellEnd"/>
      <w:r w:rsidRPr="00AE2A44">
        <w:rPr>
          <w:rFonts w:ascii="Calibri" w:hAnsi="Calibri" w:cs="Calibri"/>
          <w:sz w:val="24"/>
          <w:szCs w:val="24"/>
        </w:rPr>
        <w:t xml:space="preserve"> (2020), logistics and transportation are two of the most profitable fields that are also required for businesses to carry out operations and manage supply chain functions. Fortunately, according to Docherty et al. (2021), the outbreak of COVID-19 disease has had a negative impact on logistics because the government has imposed several regulations and has limited enterprises from performing procedures in this regard.</w:t>
      </w:r>
      <w:r w:rsidRPr="00AE2A44">
        <w:t xml:space="preserve"> </w:t>
      </w:r>
      <w:r w:rsidRPr="00AE2A44">
        <w:rPr>
          <w:rFonts w:ascii="Calibri" w:hAnsi="Calibri" w:cs="Calibri"/>
          <w:sz w:val="24"/>
          <w:szCs w:val="24"/>
        </w:rPr>
        <w:t xml:space="preserve">According to the study of </w:t>
      </w:r>
      <w:proofErr w:type="spellStart"/>
      <w:r w:rsidRPr="00AE2A44">
        <w:rPr>
          <w:rFonts w:ascii="Calibri" w:hAnsi="Calibri" w:cs="Calibri"/>
          <w:sz w:val="24"/>
          <w:szCs w:val="24"/>
        </w:rPr>
        <w:t>Suau</w:t>
      </w:r>
      <w:proofErr w:type="spellEnd"/>
      <w:r w:rsidRPr="00AE2A44">
        <w:rPr>
          <w:rFonts w:ascii="Calibri" w:hAnsi="Calibri" w:cs="Calibri"/>
          <w:sz w:val="24"/>
          <w:szCs w:val="24"/>
        </w:rPr>
        <w:t>-Sanchez et al., the pandemic situation was declared by the end of January 2020, giving rise to the COVID-19 issue that has taken over all countries in the world (2020). The death rate has also risen, with data suggesting 435,000 deaths in 185 countries (</w:t>
      </w:r>
      <w:proofErr w:type="spellStart"/>
      <w:r w:rsidRPr="00AE2A44">
        <w:rPr>
          <w:rFonts w:ascii="Calibri" w:hAnsi="Calibri" w:cs="Calibri"/>
          <w:sz w:val="24"/>
          <w:szCs w:val="24"/>
        </w:rPr>
        <w:t>Falchetta</w:t>
      </w:r>
      <w:proofErr w:type="spellEnd"/>
      <w:r w:rsidRPr="00AE2A44">
        <w:rPr>
          <w:rFonts w:ascii="Calibri" w:hAnsi="Calibri" w:cs="Calibri"/>
          <w:sz w:val="24"/>
          <w:szCs w:val="24"/>
        </w:rPr>
        <w:t xml:space="preserve"> &amp; </w:t>
      </w:r>
      <w:proofErr w:type="spellStart"/>
      <w:r w:rsidRPr="00AE2A44">
        <w:rPr>
          <w:rFonts w:ascii="Calibri" w:hAnsi="Calibri" w:cs="Calibri"/>
          <w:sz w:val="24"/>
          <w:szCs w:val="24"/>
        </w:rPr>
        <w:t>Noussan</w:t>
      </w:r>
      <w:proofErr w:type="spellEnd"/>
      <w:r w:rsidRPr="00AE2A44">
        <w:rPr>
          <w:rFonts w:ascii="Calibri" w:hAnsi="Calibri" w:cs="Calibri"/>
          <w:sz w:val="24"/>
          <w:szCs w:val="24"/>
        </w:rPr>
        <w:t>, 2020).</w:t>
      </w:r>
      <w:r w:rsidR="00981639" w:rsidRPr="00AE2A44">
        <w:t xml:space="preserve"> </w:t>
      </w:r>
      <w:r w:rsidR="00981639" w:rsidRPr="00AE2A44">
        <w:rPr>
          <w:rFonts w:ascii="Calibri" w:hAnsi="Calibri" w:cs="Calibri"/>
          <w:sz w:val="24"/>
          <w:szCs w:val="24"/>
        </w:rPr>
        <w:t>Transport connectivity is critical for barter, tourism, and the shipment of goods, as well as for economic relations and innovativeness (</w:t>
      </w:r>
      <w:proofErr w:type="spellStart"/>
      <w:r w:rsidR="00981639" w:rsidRPr="00AE2A44">
        <w:rPr>
          <w:rFonts w:ascii="Calibri" w:hAnsi="Calibri" w:cs="Calibri"/>
          <w:sz w:val="24"/>
          <w:szCs w:val="24"/>
        </w:rPr>
        <w:t>Wuest</w:t>
      </w:r>
      <w:proofErr w:type="spellEnd"/>
      <w:r w:rsidR="00981639" w:rsidRPr="00AE2A44">
        <w:rPr>
          <w:rFonts w:ascii="Calibri" w:hAnsi="Calibri" w:cs="Calibri"/>
          <w:sz w:val="24"/>
          <w:szCs w:val="24"/>
        </w:rPr>
        <w:t xml:space="preserve"> et al., 2020). However, the limitations in this field have made it difficult for countries to regain the profitability that they had in previous years, according to Docherty et al (2021). The following section of the </w:t>
      </w:r>
      <w:r w:rsidR="00981639" w:rsidRPr="00AE2A44">
        <w:rPr>
          <w:rFonts w:ascii="Calibri" w:hAnsi="Calibri" w:cs="Calibri"/>
          <w:sz w:val="24"/>
          <w:szCs w:val="24"/>
        </w:rPr>
        <w:lastRenderedPageBreak/>
        <w:t>literature has highlighted the key aspects of freight and transportation in various countries, as well as the modes of transportation used.</w:t>
      </w:r>
    </w:p>
    <w:p w:rsidR="00205ECD" w:rsidRPr="00AE2A44" w:rsidRDefault="00205ECD" w:rsidP="00205ECD">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In small organisations, finding time, resources (and sometimes the right business climate) to undertake strategic marketing is complex and by no means trivial. However, this effort is not only necessary but even necessary: ​​in the highly variable and complex context in which companies find themselves operating today, the direction in which to move in order to achieve </w:t>
      </w:r>
      <w:proofErr w:type="gramStart"/>
      <w:r w:rsidRPr="00AE2A44">
        <w:rPr>
          <w:rFonts w:ascii="Calibri" w:eastAsia="Times New Roman" w:hAnsi="Calibri" w:cs="Calibri"/>
          <w:sz w:val="24"/>
          <w:szCs w:val="24"/>
          <w:lang w:eastAsia="en-GB"/>
        </w:rPr>
        <w:t>The</w:t>
      </w:r>
      <w:proofErr w:type="gramEnd"/>
      <w:r w:rsidRPr="00AE2A44">
        <w:rPr>
          <w:rFonts w:ascii="Calibri" w:eastAsia="Times New Roman" w:hAnsi="Calibri" w:cs="Calibri"/>
          <w:sz w:val="24"/>
          <w:szCs w:val="24"/>
          <w:lang w:eastAsia="en-GB"/>
        </w:rPr>
        <w:t xml:space="preserve"> goal must be clear and shared, as mentioned several times in previous business strategy articles (</w:t>
      </w:r>
      <w:proofErr w:type="spellStart"/>
      <w:r w:rsidRPr="00AE2A44">
        <w:rPr>
          <w:rFonts w:ascii="Calibri" w:eastAsia="Times New Roman" w:hAnsi="Calibri" w:cs="Calibri"/>
          <w:sz w:val="24"/>
          <w:szCs w:val="24"/>
          <w:lang w:eastAsia="en-GB"/>
        </w:rPr>
        <w:t>Duhan</w:t>
      </w:r>
      <w:proofErr w:type="spellEnd"/>
      <w:r w:rsidRPr="00AE2A44">
        <w:rPr>
          <w:rFonts w:ascii="Calibri" w:eastAsia="Times New Roman" w:hAnsi="Calibri" w:cs="Calibri"/>
          <w:sz w:val="24"/>
          <w:szCs w:val="24"/>
          <w:lang w:eastAsia="en-GB"/>
        </w:rPr>
        <w:t>, 2007).</w:t>
      </w:r>
    </w:p>
    <w:p w:rsidR="00205ECD" w:rsidRPr="00AE2A44" w:rsidRDefault="00205ECD" w:rsidP="00205ECD">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The problem for a company is the lack of a strategic vision or when it has been formulated in an approximate way. Anyone who does business must have a solid marketing planning behind them at a strategic level, from which to derive the actions and tools typical of operational marketing (marketing mix in </w:t>
      </w:r>
      <w:proofErr w:type="spellStart"/>
      <w:r w:rsidRPr="00AE2A44">
        <w:rPr>
          <w:rFonts w:ascii="Calibri" w:eastAsia="Times New Roman" w:hAnsi="Calibri" w:cs="Calibri"/>
          <w:sz w:val="24"/>
          <w:szCs w:val="24"/>
          <w:lang w:eastAsia="en-GB"/>
        </w:rPr>
        <w:t>primis</w:t>
      </w:r>
      <w:proofErr w:type="spellEnd"/>
      <w:r w:rsidRPr="00AE2A44">
        <w:rPr>
          <w:rFonts w:ascii="Calibri" w:eastAsia="Times New Roman" w:hAnsi="Calibri" w:cs="Calibri"/>
          <w:sz w:val="24"/>
          <w:szCs w:val="24"/>
          <w:lang w:eastAsia="en-GB"/>
        </w:rPr>
        <w:t>) (</w:t>
      </w:r>
      <w:proofErr w:type="spellStart"/>
      <w:r w:rsidRPr="00AE2A44">
        <w:rPr>
          <w:rFonts w:ascii="Calibri" w:eastAsia="Times New Roman" w:hAnsi="Calibri" w:cs="Calibri"/>
          <w:sz w:val="24"/>
          <w:szCs w:val="24"/>
          <w:lang w:eastAsia="en-GB"/>
        </w:rPr>
        <w:t>Dey</w:t>
      </w:r>
      <w:proofErr w:type="spellEnd"/>
      <w:r w:rsidRPr="00AE2A44">
        <w:rPr>
          <w:rFonts w:ascii="Calibri" w:eastAsia="Times New Roman" w:hAnsi="Calibri" w:cs="Calibri"/>
          <w:sz w:val="24"/>
          <w:szCs w:val="24"/>
          <w:lang w:eastAsia="en-GB"/>
        </w:rPr>
        <w:t xml:space="preserve">, Petridis, Petridis, </w:t>
      </w:r>
      <w:proofErr w:type="spellStart"/>
      <w:r w:rsidRPr="00AE2A44">
        <w:rPr>
          <w:rFonts w:ascii="Calibri" w:eastAsia="Times New Roman" w:hAnsi="Calibri" w:cs="Calibri"/>
          <w:sz w:val="24"/>
          <w:szCs w:val="24"/>
          <w:lang w:eastAsia="en-GB"/>
        </w:rPr>
        <w:t>Malesios</w:t>
      </w:r>
      <w:proofErr w:type="spellEnd"/>
      <w:r w:rsidRPr="00AE2A44">
        <w:rPr>
          <w:rFonts w:ascii="Calibri" w:eastAsia="Times New Roman" w:hAnsi="Calibri" w:cs="Calibri"/>
          <w:sz w:val="24"/>
          <w:szCs w:val="24"/>
          <w:lang w:eastAsia="en-GB"/>
        </w:rPr>
        <w:t xml:space="preserve">, Nixon &amp; </w:t>
      </w:r>
      <w:proofErr w:type="spellStart"/>
      <w:r w:rsidRPr="00AE2A44">
        <w:rPr>
          <w:rFonts w:ascii="Calibri" w:eastAsia="Times New Roman" w:hAnsi="Calibri" w:cs="Calibri"/>
          <w:sz w:val="24"/>
          <w:szCs w:val="24"/>
          <w:lang w:eastAsia="en-GB"/>
        </w:rPr>
        <w:t>Ghosh</w:t>
      </w:r>
      <w:proofErr w:type="spellEnd"/>
      <w:r w:rsidRPr="00AE2A44">
        <w:rPr>
          <w:rFonts w:ascii="Calibri" w:eastAsia="Times New Roman" w:hAnsi="Calibri" w:cs="Calibri"/>
          <w:sz w:val="24"/>
          <w:szCs w:val="24"/>
          <w:lang w:eastAsia="en-GB"/>
        </w:rPr>
        <w:t>, 2018).</w:t>
      </w:r>
    </w:p>
    <w:p w:rsidR="00205ECD" w:rsidRPr="00AE2A44" w:rsidRDefault="00205ECD" w:rsidP="00205ECD">
      <w:pPr>
        <w:pStyle w:val="Heading1"/>
        <w:rPr>
          <w:color w:val="auto"/>
        </w:rPr>
      </w:pPr>
      <w:bookmarkStart w:id="7" w:name="_Toc119250905"/>
      <w:r w:rsidRPr="00AE2A44">
        <w:rPr>
          <w:color w:val="auto"/>
        </w:rPr>
        <w:t>2.1. Impact of COVID-19 on transportation and logistics</w:t>
      </w:r>
      <w:bookmarkEnd w:id="7"/>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t>Enterprises in different nations can use various transportation methods to carry out operations based on logistics and supply chain management based on (</w:t>
      </w:r>
      <w:proofErr w:type="spellStart"/>
      <w:r w:rsidRPr="00AE2A44">
        <w:rPr>
          <w:rFonts w:ascii="Calibri" w:hAnsi="Calibri" w:cs="Calibri"/>
          <w:sz w:val="24"/>
          <w:szCs w:val="24"/>
        </w:rPr>
        <w:t>Tardivo</w:t>
      </w:r>
      <w:proofErr w:type="spellEnd"/>
      <w:r w:rsidRPr="00AE2A44">
        <w:rPr>
          <w:rFonts w:ascii="Calibri" w:hAnsi="Calibri" w:cs="Calibri"/>
          <w:sz w:val="24"/>
          <w:szCs w:val="24"/>
        </w:rPr>
        <w:t xml:space="preserve"> et al., 2020) assessment. According to </w:t>
      </w:r>
      <w:proofErr w:type="spellStart"/>
      <w:r w:rsidRPr="00AE2A44">
        <w:rPr>
          <w:rFonts w:ascii="Calibri" w:hAnsi="Calibri" w:cs="Calibri"/>
          <w:sz w:val="24"/>
          <w:szCs w:val="24"/>
        </w:rPr>
        <w:t>Rewari</w:t>
      </w:r>
      <w:proofErr w:type="spellEnd"/>
      <w:r w:rsidRPr="00AE2A44">
        <w:rPr>
          <w:rFonts w:ascii="Calibri" w:hAnsi="Calibri" w:cs="Calibri"/>
          <w:sz w:val="24"/>
          <w:szCs w:val="24"/>
        </w:rPr>
        <w:t xml:space="preserve"> et al. (2020), the connectivity between different businesses and trade routes can only be developed with better transportation arras and the creation of activities that can be effective for carrying out trade in the countries.</w:t>
      </w:r>
    </w:p>
    <w:p w:rsidR="00205ECD" w:rsidRPr="00AE2A44" w:rsidRDefault="00205ECD" w:rsidP="00205ECD">
      <w:pPr>
        <w:spacing w:line="480" w:lineRule="auto"/>
        <w:ind w:firstLine="720"/>
        <w:rPr>
          <w:sz w:val="24"/>
        </w:rPr>
      </w:pPr>
      <w:r w:rsidRPr="00AE2A44">
        <w:rPr>
          <w:sz w:val="24"/>
        </w:rPr>
        <w:t>Firms involved in the movement, storage, and exchange of goods have been directly impacted as a result of the COVID-19 outbreak. These companies are responsible for the flow of goods. Companies that specialize in logistics make it possible for busines</w:t>
      </w:r>
      <w:bookmarkStart w:id="8" w:name="_GoBack"/>
      <w:bookmarkEnd w:id="8"/>
      <w:r w:rsidRPr="00AE2A44">
        <w:rPr>
          <w:sz w:val="24"/>
        </w:rPr>
        <w:t xml:space="preserve">ses to engage in trade and commerce, and they aid other businesses in delivering their wares to </w:t>
      </w:r>
      <w:r w:rsidRPr="00AE2A44">
        <w:rPr>
          <w:sz w:val="24"/>
        </w:rPr>
        <w:lastRenderedPageBreak/>
        <w:t>customers. This makes logistics a crucial component of value chains on a local as well as a worldwide scale. As a result, disruptions in the supply chain brought on by the pandemic might potentially have an effect on the sector's competitiveness as well as the development of the economy and the creation of jobs.</w:t>
      </w:r>
    </w:p>
    <w:p w:rsidR="00205ECD" w:rsidRPr="00AE2A44" w:rsidRDefault="00205ECD" w:rsidP="00205ECD">
      <w:pPr>
        <w:spacing w:line="480" w:lineRule="auto"/>
        <w:ind w:firstLine="720"/>
        <w:rPr>
          <w:sz w:val="24"/>
        </w:rPr>
      </w:pPr>
      <w:r w:rsidRPr="00AE2A44">
        <w:rPr>
          <w:sz w:val="24"/>
        </w:rPr>
        <w:t xml:space="preserve">Logistics organizations provide the connection between businesses and markets via the provision of a variety of services, including multimodal transportation, freight forwarding, storage, and inventory management. They play an essential role in the global manufacturing sector, which is both complex and scattered. For instance, Apple's </w:t>
      </w:r>
      <w:proofErr w:type="spellStart"/>
      <w:r w:rsidRPr="00AE2A44">
        <w:rPr>
          <w:sz w:val="24"/>
        </w:rPr>
        <w:t>iPhone</w:t>
      </w:r>
      <w:proofErr w:type="spellEnd"/>
      <w:r w:rsidRPr="00AE2A44">
        <w:rPr>
          <w:sz w:val="24"/>
        </w:rPr>
        <w:t xml:space="preserve"> has components sourced from almost 200 distinct manufacturers located in 43 different countries (</w:t>
      </w:r>
      <w:proofErr w:type="spellStart"/>
      <w:r w:rsidRPr="00AE2A44">
        <w:rPr>
          <w:sz w:val="24"/>
        </w:rPr>
        <w:t>Hilmola</w:t>
      </w:r>
      <w:proofErr w:type="spellEnd"/>
      <w:r w:rsidRPr="00AE2A44">
        <w:rPr>
          <w:sz w:val="24"/>
        </w:rPr>
        <w:t xml:space="preserve"> et al., 2020). Therefore, in order to sustain today's global value chains, the transportation of goods between and across states has to be more robust and efficient. The outsourcing of a company's logistical activities to third-party logistics service providers, especially those with the capacity to deliver integrated, end-to-end solution capabilities, is one way for a company to achieve these goals.</w:t>
      </w:r>
    </w:p>
    <w:p w:rsidR="00205ECD" w:rsidRPr="00AE2A44" w:rsidRDefault="00205ECD" w:rsidP="00205ECD">
      <w:pPr>
        <w:spacing w:line="480" w:lineRule="auto"/>
        <w:ind w:firstLine="720"/>
        <w:rPr>
          <w:sz w:val="24"/>
        </w:rPr>
      </w:pPr>
      <w:r w:rsidRPr="00AE2A44">
        <w:rPr>
          <w:sz w:val="24"/>
        </w:rPr>
        <w:t xml:space="preserve">The field of logistics is making adjustments to its operations and services on a global scale in order to handle the expansion of e-commerce, expansions into new markets, and the conveyance of needs such as immunizations and merchandise. The year 2020 has witnessed a lot of advances, and many companies are actively pushing their transition to the digitization and electronic commerce. This is despite the fact that COVID-19 has caused severe economic and health circumstances. This trend is expected to continue after the epidemic because companies, particularly SMEs, are transforming in response to the growing number of customers who conduct their transactions online. A smaller number of individuals are going to shopping malls as a result of the consequences and restrictions </w:t>
      </w:r>
      <w:r w:rsidRPr="00AE2A44">
        <w:rPr>
          <w:sz w:val="24"/>
        </w:rPr>
        <w:lastRenderedPageBreak/>
        <w:t>imposed by the epidemic (</w:t>
      </w:r>
      <w:proofErr w:type="spellStart"/>
      <w:r w:rsidRPr="00AE2A44">
        <w:rPr>
          <w:sz w:val="24"/>
        </w:rPr>
        <w:t>Pencarelli</w:t>
      </w:r>
      <w:proofErr w:type="spellEnd"/>
      <w:r w:rsidRPr="00AE2A44">
        <w:rPr>
          <w:sz w:val="24"/>
        </w:rPr>
        <w:t xml:space="preserve"> et al., 2020). This keeps customers away from brick-and-mortar businesses, which in turn lowers both consumption and spending. Because this occurs often in the cities of Europe, it is safe to assume that the residents of those cities are just as concerned and anxious about the challenges that are being brought on by climate change. Because of this, the logistics sector is now through a period of adjustment and reaction in order to make the most of the opportunities that the new environment brings (</w:t>
      </w:r>
      <w:proofErr w:type="spellStart"/>
      <w:r w:rsidRPr="00AE2A44">
        <w:rPr>
          <w:sz w:val="24"/>
        </w:rPr>
        <w:t>Bylen</w:t>
      </w:r>
      <w:proofErr w:type="spellEnd"/>
      <w:r w:rsidRPr="00AE2A44">
        <w:rPr>
          <w:sz w:val="24"/>
        </w:rPr>
        <w:t>, 2020).</w:t>
      </w:r>
    </w:p>
    <w:p w:rsidR="00205ECD" w:rsidRPr="00AE2A44" w:rsidRDefault="00205ECD" w:rsidP="00205ECD">
      <w:pPr>
        <w:spacing w:line="480" w:lineRule="auto"/>
        <w:ind w:firstLine="720"/>
        <w:rPr>
          <w:sz w:val="24"/>
        </w:rPr>
      </w:pPr>
      <w:r w:rsidRPr="00AE2A44">
        <w:rPr>
          <w:sz w:val="24"/>
        </w:rPr>
        <w:t xml:space="preserve">The COVID-19 predicament has provided an impetus for the development of new technologies and the continuing digitization of society that is </w:t>
      </w:r>
      <w:proofErr w:type="spellStart"/>
      <w:r w:rsidRPr="00AE2A44">
        <w:rPr>
          <w:sz w:val="24"/>
        </w:rPr>
        <w:t>unequaled</w:t>
      </w:r>
      <w:proofErr w:type="spellEnd"/>
      <w:r w:rsidRPr="00AE2A44">
        <w:rPr>
          <w:sz w:val="24"/>
        </w:rPr>
        <w:t>. The increase in the use of electronic devices and internet tools for almost all areas of everyday life, including work, pleasure, shopping, and other personal and professional duties, is promoting the growth of e-commerce as well as international trade. The widespread use of mobile phones as an essential component of online buying is becoming profitable for businesses in the logistics sector. According to the findings of a study, more than half of the small and medium-sized enterprises (SMEs) in Europe already have or plan to have e-commerce capabilities. This provides a viable alternative to the difficulties that the limitations brought on by the pandemic may create. It is also important to note that 77% of (SMEs) in Europe sell their products to international markets, the majority of which is comprised of other European nations. This data lends credence to the notion that transportation companies are currently facing a situation in which their services may be of the utmost significance (</w:t>
      </w:r>
      <w:proofErr w:type="spellStart"/>
      <w:r w:rsidRPr="00AE2A44">
        <w:rPr>
          <w:sz w:val="24"/>
        </w:rPr>
        <w:t>Paunović</w:t>
      </w:r>
      <w:proofErr w:type="spellEnd"/>
      <w:r w:rsidRPr="00AE2A44">
        <w:rPr>
          <w:sz w:val="24"/>
        </w:rPr>
        <w:t>, 2021).</w:t>
      </w:r>
    </w:p>
    <w:p w:rsidR="00205ECD" w:rsidRPr="00AE2A44" w:rsidRDefault="00205ECD" w:rsidP="00205ECD">
      <w:pPr>
        <w:spacing w:line="480" w:lineRule="auto"/>
        <w:ind w:firstLine="720"/>
        <w:rPr>
          <w:sz w:val="24"/>
        </w:rPr>
      </w:pPr>
      <w:r w:rsidRPr="00AE2A44">
        <w:rPr>
          <w:sz w:val="24"/>
        </w:rPr>
        <w:t xml:space="preserve">This also illustrates that in times of economic instability and volatility, the sector may gain by adjusting to the new digital reality with an eye toward global expansion. This was </w:t>
      </w:r>
      <w:r w:rsidRPr="00AE2A44">
        <w:rPr>
          <w:sz w:val="24"/>
        </w:rPr>
        <w:lastRenderedPageBreak/>
        <w:t>shown by the fact that. Because of this, small and medium-sized businesses in the logistics sector are responding to the needs of their customers by developing innovative online tools, services, and products that can track shipments and make it easier for customers to get reimbursements. On the other hand, the logistics industry's capacity to support SMEs is crucial to the distribution of COVID-19 immunizations. With temperature control solutions, monitoring capabilities that are almost as good as real-time, and a dedicated healthcare team to support the express transportation of vaccines and life science shipments, the expansive FedEx network is in a good position to manage vaccine shipments all over the world. The companies operating in this industry have previous experience working with this mode of transportation. In addition to this, it is working closely with its healthcare customers to ensure that it is prepared for an increase in the number of shipments and transportation of vital vaccine-related products (Joshi, 2022).</w:t>
      </w:r>
    </w:p>
    <w:p w:rsidR="00D35232" w:rsidRPr="00AE2A44" w:rsidRDefault="00D35232" w:rsidP="00D35232">
      <w:pPr>
        <w:pStyle w:val="Heading1"/>
        <w:rPr>
          <w:color w:val="auto"/>
        </w:rPr>
      </w:pPr>
      <w:bookmarkStart w:id="9" w:name="_Toc119250906"/>
      <w:r w:rsidRPr="00AE2A44">
        <w:rPr>
          <w:color w:val="auto"/>
        </w:rPr>
        <w:t>2.2 Supply Chain Management (SCM)</w:t>
      </w:r>
      <w:bookmarkEnd w:id="9"/>
    </w:p>
    <w:p w:rsidR="00D35232" w:rsidRPr="00AE2A44" w:rsidRDefault="00D35232" w:rsidP="00D35232">
      <w:pPr>
        <w:spacing w:line="480" w:lineRule="auto"/>
        <w:rPr>
          <w:rFonts w:ascii="Calibri" w:hAnsi="Calibri" w:cs="Calibri"/>
          <w:sz w:val="24"/>
          <w:szCs w:val="24"/>
        </w:rPr>
      </w:pPr>
      <w:r w:rsidRPr="00AE2A44">
        <w:rPr>
          <w:rFonts w:ascii="Calibri" w:hAnsi="Calibri" w:cs="Calibri"/>
          <w:sz w:val="24"/>
          <w:szCs w:val="24"/>
        </w:rPr>
        <w:t>According to Madura (2007), supply chain management is the network of sellers, manufacturers, carriers, storage resources, and suppliers who participate in the sale, delivery, and manufacturing of goods. In other words, Supply Chain Management (SCM) is also the manufacture of the right goods and services to meet their needs at the precise time, in a sufficient quantity, and at a reasonable cost. This process is also associated with efficient organisation, which includes managing relationships between suppliers and customers, controlling supply, forecasting demand, and receiving constant feedback from customers (Madura, 2007).</w:t>
      </w:r>
    </w:p>
    <w:p w:rsidR="00D35232" w:rsidRPr="00AE2A44" w:rsidRDefault="00D35232" w:rsidP="00D35232">
      <w:pPr>
        <w:spacing w:line="480" w:lineRule="auto"/>
        <w:rPr>
          <w:rFonts w:ascii="Calibri" w:hAnsi="Calibri" w:cs="Calibri"/>
          <w:sz w:val="24"/>
          <w:szCs w:val="24"/>
        </w:rPr>
      </w:pPr>
      <w:r w:rsidRPr="00AE2A44">
        <w:rPr>
          <w:rFonts w:ascii="Calibri" w:hAnsi="Calibri" w:cs="Calibri"/>
          <w:sz w:val="24"/>
          <w:szCs w:val="24"/>
        </w:rPr>
        <w:t xml:space="preserve">According to Trevino and Nelson (2007), business ethics is the significant prepared assessment of how people and organisations should behave in the business world. </w:t>
      </w:r>
      <w:r w:rsidRPr="00AE2A44">
        <w:rPr>
          <w:rFonts w:ascii="Calibri" w:hAnsi="Calibri" w:cs="Calibri"/>
          <w:sz w:val="24"/>
          <w:szCs w:val="24"/>
        </w:rPr>
        <w:lastRenderedPageBreak/>
        <w:t>Furthermore, it investigates the appropriate limitation on the pursuit of self-interest or profits when the actions of individuals or firms may be of concern to others.</w:t>
      </w:r>
    </w:p>
    <w:p w:rsidR="00D35232" w:rsidRPr="00AE2A44" w:rsidRDefault="00D35232" w:rsidP="00D35232">
      <w:pPr>
        <w:spacing w:line="480" w:lineRule="auto"/>
        <w:ind w:firstLine="720"/>
        <w:rPr>
          <w:sz w:val="24"/>
        </w:rPr>
      </w:pPr>
      <w:r w:rsidRPr="00AE2A44">
        <w:rPr>
          <w:sz w:val="24"/>
        </w:rPr>
        <w:t xml:space="preserve">Supply Chain Management (SCM) is the assimilation of critical business activities in order to provide products and services to customers in an efficient manner (Tariq &amp; </w:t>
      </w:r>
      <w:proofErr w:type="spellStart"/>
      <w:r w:rsidRPr="00AE2A44">
        <w:rPr>
          <w:sz w:val="24"/>
        </w:rPr>
        <w:t>Rehman</w:t>
      </w:r>
      <w:proofErr w:type="spellEnd"/>
      <w:r w:rsidRPr="00AE2A44">
        <w:rPr>
          <w:sz w:val="24"/>
        </w:rPr>
        <w:t>, 2012).</w:t>
      </w:r>
    </w:p>
    <w:p w:rsidR="00D35232" w:rsidRPr="00AE2A44" w:rsidRDefault="00D35232" w:rsidP="00D35232">
      <w:pPr>
        <w:spacing w:line="480" w:lineRule="auto"/>
        <w:rPr>
          <w:sz w:val="24"/>
        </w:rPr>
      </w:pPr>
      <w:r w:rsidRPr="00AE2A44">
        <w:rPr>
          <w:sz w:val="24"/>
        </w:rPr>
        <w:t xml:space="preserve">Relationships along the supply chain generally show how collaborating companies </w:t>
      </w:r>
      <w:proofErr w:type="gramStart"/>
      <w:r w:rsidRPr="00AE2A44">
        <w:rPr>
          <w:sz w:val="24"/>
        </w:rPr>
        <w:t>work together to provide dependable services that allow</w:t>
      </w:r>
      <w:proofErr w:type="gramEnd"/>
      <w:r w:rsidRPr="00AE2A44">
        <w:rPr>
          <w:sz w:val="24"/>
        </w:rPr>
        <w:t xml:space="preserve"> them to retain customers.</w:t>
      </w:r>
    </w:p>
    <w:p w:rsidR="00D35232" w:rsidRPr="00AE2A44" w:rsidRDefault="00D35232" w:rsidP="00D35232">
      <w:pPr>
        <w:spacing w:line="480" w:lineRule="auto"/>
        <w:rPr>
          <w:sz w:val="24"/>
        </w:rPr>
      </w:pPr>
      <w:r w:rsidRPr="00AE2A44">
        <w:rPr>
          <w:sz w:val="24"/>
        </w:rPr>
        <w:t xml:space="preserve">A supply chain is defined by </w:t>
      </w:r>
      <w:proofErr w:type="spellStart"/>
      <w:r w:rsidRPr="00AE2A44">
        <w:rPr>
          <w:sz w:val="24"/>
        </w:rPr>
        <w:t>Zaraté</w:t>
      </w:r>
      <w:proofErr w:type="spellEnd"/>
      <w:r w:rsidRPr="00AE2A44">
        <w:rPr>
          <w:sz w:val="24"/>
        </w:rPr>
        <w:t xml:space="preserve">, </w:t>
      </w:r>
      <w:proofErr w:type="spellStart"/>
      <w:r w:rsidRPr="00AE2A44">
        <w:rPr>
          <w:sz w:val="24"/>
        </w:rPr>
        <w:t>Belaud</w:t>
      </w:r>
      <w:proofErr w:type="spellEnd"/>
      <w:r w:rsidRPr="00AE2A44">
        <w:rPr>
          <w:sz w:val="24"/>
        </w:rPr>
        <w:t xml:space="preserve">, and </w:t>
      </w:r>
      <w:proofErr w:type="spellStart"/>
      <w:r w:rsidRPr="00AE2A44">
        <w:rPr>
          <w:sz w:val="24"/>
        </w:rPr>
        <w:t>Camilleri</w:t>
      </w:r>
      <w:proofErr w:type="spellEnd"/>
      <w:r w:rsidRPr="00AE2A44">
        <w:rPr>
          <w:sz w:val="24"/>
        </w:rPr>
        <w:t xml:space="preserve"> (2008) as a group of three or more companies linked together by the flow of products, finance, services, and information in an ideally seamless web. Companies in the supply chain move things, make things, store things, and throw things away.</w:t>
      </w:r>
    </w:p>
    <w:p w:rsidR="00D35232" w:rsidRPr="00AE2A44" w:rsidRDefault="00D35232" w:rsidP="00D35232">
      <w:pPr>
        <w:spacing w:line="480" w:lineRule="auto"/>
        <w:rPr>
          <w:sz w:val="24"/>
        </w:rPr>
      </w:pPr>
      <w:r w:rsidRPr="00AE2A44">
        <w:rPr>
          <w:sz w:val="24"/>
        </w:rPr>
        <w:t>It is part of a firm's management to maintain a competitive advantage. Thus, supply chain management is concerned with the incorporation of a company's ethical and operational practises, and it is a tried and true method of reducing the chances of a company being perceived as irresponsible.</w:t>
      </w:r>
    </w:p>
    <w:p w:rsidR="002F60FC" w:rsidRPr="00AE2A44" w:rsidRDefault="002F60FC" w:rsidP="002F60FC">
      <w:pPr>
        <w:pStyle w:val="Heading1"/>
        <w:rPr>
          <w:color w:val="auto"/>
        </w:rPr>
      </w:pPr>
      <w:bookmarkStart w:id="10" w:name="_Toc119250907"/>
      <w:r w:rsidRPr="00AE2A44">
        <w:rPr>
          <w:color w:val="auto"/>
        </w:rPr>
        <w:t>2.3 Importance of ethics</w:t>
      </w:r>
      <w:bookmarkEnd w:id="10"/>
      <w:r w:rsidRPr="00AE2A44">
        <w:rPr>
          <w:color w:val="auto"/>
        </w:rPr>
        <w:t xml:space="preserve"> </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t>Ethics is important in every society because it plays a critical role in shaping people's behaviours. Since the dawn of human civilization, men have sought to keep human behaviour in check in order to keep society at peace. Because the eyes of the law are not always available to govern official business and happenings, ethics acts as a self-governing system to keep human self-interest and the good of society in balance (</w:t>
      </w:r>
      <w:proofErr w:type="spellStart"/>
      <w:r w:rsidRPr="00AE2A44">
        <w:rPr>
          <w:rFonts w:ascii="Calibri" w:hAnsi="Calibri" w:cs="Calibri"/>
          <w:sz w:val="24"/>
          <w:szCs w:val="24"/>
        </w:rPr>
        <w:t>Duska</w:t>
      </w:r>
      <w:proofErr w:type="spellEnd"/>
      <w:r w:rsidRPr="00AE2A44">
        <w:rPr>
          <w:rFonts w:ascii="Calibri" w:hAnsi="Calibri" w:cs="Calibri"/>
          <w:sz w:val="24"/>
          <w:szCs w:val="24"/>
        </w:rPr>
        <w:t>, 2012).</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lastRenderedPageBreak/>
        <w:t xml:space="preserve">But, as with everything else in life, nothing is perfect. This rule applies to ethics and human behaviour as well. Because of changes in the environment and cultural norms, traditional ethics have become polluted and are insufficient for business self-governance. In other words, ethics has deteriorated in today's society. Managers and leaders in modern organisations, according to (Gino &amp; </w:t>
      </w:r>
      <w:proofErr w:type="spellStart"/>
      <w:r w:rsidRPr="00AE2A44">
        <w:rPr>
          <w:rFonts w:ascii="Calibri" w:hAnsi="Calibri" w:cs="Calibri"/>
          <w:sz w:val="24"/>
          <w:szCs w:val="24"/>
        </w:rPr>
        <w:t>Bazerman</w:t>
      </w:r>
      <w:proofErr w:type="spellEnd"/>
      <w:r w:rsidRPr="00AE2A44">
        <w:rPr>
          <w:rFonts w:ascii="Calibri" w:hAnsi="Calibri" w:cs="Calibri"/>
          <w:sz w:val="24"/>
          <w:szCs w:val="24"/>
        </w:rPr>
        <w:t xml:space="preserve">, 2008), lack strong ethical standards (Andrews, 1989; </w:t>
      </w:r>
      <w:proofErr w:type="spellStart"/>
      <w:r w:rsidRPr="00AE2A44">
        <w:rPr>
          <w:rFonts w:ascii="Calibri" w:hAnsi="Calibri" w:cs="Calibri"/>
          <w:sz w:val="24"/>
          <w:szCs w:val="24"/>
        </w:rPr>
        <w:t>Longnecker</w:t>
      </w:r>
      <w:proofErr w:type="spellEnd"/>
      <w:r w:rsidRPr="00AE2A44">
        <w:rPr>
          <w:rFonts w:ascii="Calibri" w:hAnsi="Calibri" w:cs="Calibri"/>
          <w:sz w:val="24"/>
          <w:szCs w:val="24"/>
        </w:rPr>
        <w:t xml:space="preserve">, 1985; </w:t>
      </w:r>
      <w:proofErr w:type="spellStart"/>
      <w:r w:rsidRPr="00AE2A44">
        <w:rPr>
          <w:rFonts w:ascii="Calibri" w:hAnsi="Calibri" w:cs="Calibri"/>
          <w:sz w:val="24"/>
          <w:szCs w:val="24"/>
        </w:rPr>
        <w:t>Molander</w:t>
      </w:r>
      <w:proofErr w:type="spellEnd"/>
      <w:r w:rsidRPr="00AE2A44">
        <w:rPr>
          <w:rFonts w:ascii="Calibri" w:hAnsi="Calibri" w:cs="Calibri"/>
          <w:sz w:val="24"/>
          <w:szCs w:val="24"/>
        </w:rPr>
        <w:t xml:space="preserve">, 1987; Pit t&amp; </w:t>
      </w:r>
      <w:proofErr w:type="spellStart"/>
      <w:r w:rsidRPr="00AE2A44">
        <w:rPr>
          <w:rFonts w:ascii="Calibri" w:hAnsi="Calibri" w:cs="Calibri"/>
          <w:sz w:val="24"/>
          <w:szCs w:val="24"/>
        </w:rPr>
        <w:t>Abratt</w:t>
      </w:r>
      <w:proofErr w:type="spellEnd"/>
      <w:r w:rsidRPr="00AE2A44">
        <w:rPr>
          <w:rFonts w:ascii="Calibri" w:hAnsi="Calibri" w:cs="Calibri"/>
          <w:sz w:val="24"/>
          <w:szCs w:val="24"/>
        </w:rPr>
        <w:t>, 1986) or are willing to abandon them in the face of economic incentives or competitive pressures (</w:t>
      </w:r>
      <w:proofErr w:type="spellStart"/>
      <w:r w:rsidRPr="00AE2A44">
        <w:rPr>
          <w:rFonts w:ascii="Calibri" w:hAnsi="Calibri" w:cs="Calibri"/>
          <w:sz w:val="24"/>
          <w:szCs w:val="24"/>
        </w:rPr>
        <w:t>Gellerman</w:t>
      </w:r>
      <w:proofErr w:type="spellEnd"/>
      <w:r w:rsidRPr="00AE2A44">
        <w:rPr>
          <w:rFonts w:ascii="Calibri" w:hAnsi="Calibri" w:cs="Calibri"/>
          <w:sz w:val="24"/>
          <w:szCs w:val="24"/>
        </w:rPr>
        <w:t xml:space="preserve">, 1986; </w:t>
      </w:r>
      <w:proofErr w:type="spellStart"/>
      <w:r w:rsidRPr="00AE2A44">
        <w:rPr>
          <w:rFonts w:ascii="Calibri" w:hAnsi="Calibri" w:cs="Calibri"/>
          <w:sz w:val="24"/>
          <w:szCs w:val="24"/>
        </w:rPr>
        <w:t>Hosmer</w:t>
      </w:r>
      <w:proofErr w:type="spellEnd"/>
      <w:r w:rsidRPr="00AE2A44">
        <w:rPr>
          <w:rFonts w:ascii="Calibri" w:hAnsi="Calibri" w:cs="Calibri"/>
          <w:sz w:val="24"/>
          <w:szCs w:val="24"/>
        </w:rPr>
        <w:t>, 1987).</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t>If the erosion of ethics is not checked, it will have serious consequences for society. The public, whether for business, friendship, or any other type of interaction, exists because humans rely on varying levels of trust, respect for others, and cooperation (</w:t>
      </w:r>
      <w:proofErr w:type="spellStart"/>
      <w:r w:rsidRPr="00AE2A44">
        <w:rPr>
          <w:rFonts w:ascii="Calibri" w:hAnsi="Calibri" w:cs="Calibri"/>
          <w:sz w:val="24"/>
          <w:szCs w:val="24"/>
        </w:rPr>
        <w:t>Cordeiro</w:t>
      </w:r>
      <w:proofErr w:type="spellEnd"/>
      <w:r w:rsidRPr="00AE2A44">
        <w:rPr>
          <w:rFonts w:ascii="Calibri" w:hAnsi="Calibri" w:cs="Calibri"/>
          <w:sz w:val="24"/>
          <w:szCs w:val="24"/>
        </w:rPr>
        <w:t>, 2003). If the erosion of ethics continues, no one will have any faith in others. In the end, society will no longer function as it does now, and everyone will either lock themselves in their homes or walk around heavily armed.</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t xml:space="preserve">Unfortunately, not only must the actual erosion of ethics be addressed, but so must people's perception of the erosion. Morgan (1993), as cited in </w:t>
      </w:r>
      <w:proofErr w:type="spellStart"/>
      <w:r w:rsidRPr="00AE2A44">
        <w:rPr>
          <w:rFonts w:ascii="Calibri" w:hAnsi="Calibri" w:cs="Calibri"/>
          <w:sz w:val="24"/>
          <w:szCs w:val="24"/>
        </w:rPr>
        <w:t>Cordeiro</w:t>
      </w:r>
      <w:proofErr w:type="spellEnd"/>
      <w:r w:rsidRPr="00AE2A44">
        <w:rPr>
          <w:rFonts w:ascii="Calibri" w:hAnsi="Calibri" w:cs="Calibri"/>
          <w:sz w:val="24"/>
          <w:szCs w:val="24"/>
        </w:rPr>
        <w:t xml:space="preserve"> (2003), claims that people are judgmental.</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t xml:space="preserve">Ethical norms are constantly changing because they are influenced by culture, technology, religion, and politics. What is considered ethical in one country may not be considered ethical in another. This simply makes determining what is ethical and </w:t>
      </w:r>
      <w:proofErr w:type="gramStart"/>
      <w:r w:rsidRPr="00AE2A44">
        <w:rPr>
          <w:rFonts w:ascii="Calibri" w:hAnsi="Calibri" w:cs="Calibri"/>
          <w:sz w:val="24"/>
          <w:szCs w:val="24"/>
        </w:rPr>
        <w:t>what is not an even more difficult question to answer than it is already</w:t>
      </w:r>
      <w:proofErr w:type="gramEnd"/>
      <w:r w:rsidRPr="00AE2A44">
        <w:rPr>
          <w:rFonts w:ascii="Calibri" w:hAnsi="Calibri" w:cs="Calibri"/>
          <w:sz w:val="24"/>
          <w:szCs w:val="24"/>
        </w:rPr>
        <w:t>. This is not to say that the world should simply give up and surrender. There are ways to at least define what is acceptable and what is not.</w:t>
      </w:r>
    </w:p>
    <w:p w:rsidR="002F60FC" w:rsidRPr="00AE2A44" w:rsidRDefault="002F60FC" w:rsidP="002F60FC">
      <w:pPr>
        <w:rPr>
          <w:rFonts w:ascii="Calibri" w:hAnsi="Calibri" w:cs="Calibri"/>
          <w:b/>
          <w:sz w:val="24"/>
          <w:szCs w:val="24"/>
        </w:rPr>
      </w:pPr>
      <w:r w:rsidRPr="00AE2A44">
        <w:rPr>
          <w:rFonts w:ascii="Calibri" w:hAnsi="Calibri" w:cs="Calibri"/>
          <w:b/>
          <w:sz w:val="24"/>
          <w:szCs w:val="24"/>
        </w:rPr>
        <w:lastRenderedPageBreak/>
        <w:t xml:space="preserve">Factors That Cause the Erosion </w:t>
      </w:r>
      <w:proofErr w:type="gramStart"/>
      <w:r w:rsidRPr="00AE2A44">
        <w:rPr>
          <w:rFonts w:ascii="Calibri" w:hAnsi="Calibri" w:cs="Calibri"/>
          <w:b/>
          <w:sz w:val="24"/>
          <w:szCs w:val="24"/>
        </w:rPr>
        <w:t>Of</w:t>
      </w:r>
      <w:proofErr w:type="gramEnd"/>
      <w:r w:rsidRPr="00AE2A44">
        <w:rPr>
          <w:rFonts w:ascii="Calibri" w:hAnsi="Calibri" w:cs="Calibri"/>
          <w:b/>
          <w:sz w:val="24"/>
          <w:szCs w:val="24"/>
        </w:rPr>
        <w:t xml:space="preserve"> Ethics</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t>Role models have a significant impact on an individual's life development (Perry &amp; Nixon, 2005), and the development of one's ethical thought and behaviour is no exception. With the advent of mass media such as television and, especially, the internet, role models now have a greater influence than ever before. As a result, if a very ethical person is viewed as a role model, he or she will undoubtedly grow up to uphold a high standard of ethics. On the other hand, if one's role model.</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t>Those who see religious figures, university counsellors, or advisors as role models are less likely to engage in questionable ethical behaviour in most situations. Those who look to journalists and spouses as role models, on the other hand, are more open to questionable ethical behaviour (</w:t>
      </w:r>
      <w:proofErr w:type="spellStart"/>
      <w:r w:rsidRPr="00AE2A44">
        <w:rPr>
          <w:rFonts w:ascii="Calibri" w:hAnsi="Calibri" w:cs="Calibri"/>
          <w:sz w:val="24"/>
          <w:szCs w:val="24"/>
        </w:rPr>
        <w:t>Zekos</w:t>
      </w:r>
      <w:proofErr w:type="spellEnd"/>
      <w:r w:rsidRPr="00AE2A44">
        <w:rPr>
          <w:rFonts w:ascii="Calibri" w:hAnsi="Calibri" w:cs="Calibri"/>
          <w:sz w:val="24"/>
          <w:szCs w:val="24"/>
        </w:rPr>
        <w:t>, 2004). It can be deduced that the emerging power of journalistic articles, particularly on the internet, can play a significant role in shaping the next generation's perception of ethics, whether through reinforcement or erosion.</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t>Globalization, on the other hand, has a significant impact on the ethical behaviour of the general public. Globalization is a transnational community in which geographical boundaries are merely a political inconvenience (</w:t>
      </w:r>
      <w:proofErr w:type="spellStart"/>
      <w:r w:rsidRPr="00AE2A44">
        <w:rPr>
          <w:rFonts w:ascii="Calibri" w:hAnsi="Calibri" w:cs="Calibri"/>
          <w:sz w:val="24"/>
          <w:szCs w:val="24"/>
        </w:rPr>
        <w:t>Zekos</w:t>
      </w:r>
      <w:proofErr w:type="spellEnd"/>
      <w:r w:rsidRPr="00AE2A44">
        <w:rPr>
          <w:rFonts w:ascii="Calibri" w:hAnsi="Calibri" w:cs="Calibri"/>
          <w:sz w:val="24"/>
          <w:szCs w:val="24"/>
        </w:rPr>
        <w:t>, 2004). Globalization fosters the erosion of ethics, particularly in developing countries. This is because developing economies are desperate for foreign investment and have a weak bargaining position in comparison to more prosperous countries. As a result, local law enforcement lacks the motivation to enforce any type of corruption and, in general, looks the other way even if they discover it, fearing that it will turn away potential investments in the country. </w:t>
      </w:r>
    </w:p>
    <w:p w:rsidR="002F60FC" w:rsidRPr="00AE2A44" w:rsidRDefault="002F60FC" w:rsidP="002F60FC">
      <w:pPr>
        <w:rPr>
          <w:rFonts w:ascii="Calibri" w:hAnsi="Calibri" w:cs="Calibri"/>
          <w:b/>
          <w:sz w:val="24"/>
          <w:szCs w:val="24"/>
        </w:rPr>
      </w:pPr>
      <w:r w:rsidRPr="00AE2A44">
        <w:rPr>
          <w:rFonts w:ascii="Calibri" w:hAnsi="Calibri" w:cs="Calibri"/>
          <w:b/>
          <w:sz w:val="24"/>
          <w:szCs w:val="24"/>
        </w:rPr>
        <w:t>The Impact of Erosion of Ethics to Society</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lastRenderedPageBreak/>
        <w:t>To begin with, the erosion of ethics can have a negative impact on unarmed civilians. It is because, in order to obtain more benefits, people act unethically and without regard for others, committing acts such as cheating, fraud, and rule breaking. All of this has the potential to cause harm to the innocent. People sometimes compromise their ethics and sacrifice the minority in order to meet the needs and happiness of the majority (Jessica, 2005). Finally, society suffers from distrust as a result of having harm inflicted on them despite the fact that they did nothing wrong.</w:t>
      </w:r>
    </w:p>
    <w:p w:rsidR="002F60FC" w:rsidRPr="00AE2A44" w:rsidRDefault="002F60FC" w:rsidP="002F60FC">
      <w:pPr>
        <w:spacing w:line="480" w:lineRule="auto"/>
        <w:rPr>
          <w:rFonts w:ascii="Calibri" w:hAnsi="Calibri" w:cs="Calibri"/>
          <w:sz w:val="24"/>
          <w:szCs w:val="24"/>
        </w:rPr>
      </w:pPr>
      <w:r w:rsidRPr="00AE2A44">
        <w:rPr>
          <w:rFonts w:ascii="Calibri" w:hAnsi="Calibri" w:cs="Calibri"/>
          <w:sz w:val="24"/>
          <w:szCs w:val="24"/>
        </w:rPr>
        <w:t>Relationships are founded on a single fundamental principle: trust. However, the erosion of ethics has had an impact on the level of trust between people (Hill, 2009). This is widespread, and it severely limits everything from friendships to business transactions. This is due to the mutual feeling of uncertainty and doubt. As a result, businesses will be bogged down by red tape and bureaucracy, and the economy's growth will be slowed.</w:t>
      </w:r>
    </w:p>
    <w:p w:rsidR="006F246E" w:rsidRPr="00AE2A44" w:rsidRDefault="006F246E" w:rsidP="002F60FC">
      <w:pPr>
        <w:spacing w:line="480" w:lineRule="auto"/>
        <w:rPr>
          <w:rFonts w:ascii="Calibri" w:hAnsi="Calibri" w:cs="Calibri"/>
          <w:sz w:val="24"/>
          <w:szCs w:val="24"/>
        </w:rPr>
      </w:pPr>
      <w:r w:rsidRPr="00AE2A44">
        <w:rPr>
          <w:rFonts w:ascii="Calibri" w:hAnsi="Calibri" w:cs="Calibri"/>
          <w:sz w:val="24"/>
          <w:szCs w:val="24"/>
        </w:rPr>
        <w:t xml:space="preserve">Furthermore, breaking rules or engaging in irregularities is invariably one of the negative consequences of ethical erosion. Rules violations can result in penalties such as fines and imprisonment. Others are often capable of concealing some unethical behaviour. However, society may suffer as a result of this over time (Janette, 2011). Ethics erosion is like a virus spreading; if not </w:t>
      </w:r>
      <w:proofErr w:type="gramStart"/>
      <w:r w:rsidRPr="00AE2A44">
        <w:rPr>
          <w:rFonts w:ascii="Calibri" w:hAnsi="Calibri" w:cs="Calibri"/>
          <w:sz w:val="24"/>
          <w:szCs w:val="24"/>
        </w:rPr>
        <w:t>stopped,</w:t>
      </w:r>
      <w:proofErr w:type="gramEnd"/>
      <w:r w:rsidRPr="00AE2A44">
        <w:rPr>
          <w:rFonts w:ascii="Calibri" w:hAnsi="Calibri" w:cs="Calibri"/>
          <w:sz w:val="24"/>
          <w:szCs w:val="24"/>
        </w:rPr>
        <w:t xml:space="preserve"> it will spread and become more severe. Families can be torn apart when one of their members is involved in criminal activity. Individuals involved may tarnish not only their own reputation and image, but also that of their family.</w:t>
      </w:r>
    </w:p>
    <w:p w:rsidR="002F60FC" w:rsidRPr="00AE2A44" w:rsidRDefault="002F60FC" w:rsidP="002F60FC">
      <w:pPr>
        <w:spacing w:line="480" w:lineRule="auto"/>
        <w:rPr>
          <w:rFonts w:ascii="Calibri" w:hAnsi="Calibri" w:cs="Calibri"/>
          <w:sz w:val="24"/>
          <w:szCs w:val="24"/>
        </w:rPr>
      </w:pPr>
    </w:p>
    <w:p w:rsidR="00205ECD" w:rsidRPr="00AE2A44" w:rsidRDefault="00205ECD" w:rsidP="00205ECD">
      <w:pPr>
        <w:pStyle w:val="Heading1"/>
        <w:rPr>
          <w:rFonts w:ascii="Times New Roman" w:eastAsia="Times New Roman" w:hAnsi="Times New Roman" w:cs="Times New Roman"/>
          <w:color w:val="auto"/>
          <w:kern w:val="36"/>
          <w:sz w:val="48"/>
          <w:szCs w:val="48"/>
          <w:lang w:eastAsia="en-GB"/>
        </w:rPr>
      </w:pPr>
      <w:bookmarkStart w:id="11" w:name="_Toc119152950"/>
      <w:bookmarkStart w:id="12" w:name="_Toc119250908"/>
      <w:proofErr w:type="gramStart"/>
      <w:r w:rsidRPr="00AE2A44">
        <w:rPr>
          <w:rFonts w:eastAsia="Times New Roman"/>
          <w:color w:val="auto"/>
          <w:kern w:val="36"/>
          <w:lang w:eastAsia="en-GB"/>
        </w:rPr>
        <w:lastRenderedPageBreak/>
        <w:t>3.0  Methodology</w:t>
      </w:r>
      <w:bookmarkEnd w:id="11"/>
      <w:bookmarkEnd w:id="12"/>
      <w:proofErr w:type="gramEnd"/>
    </w:p>
    <w:p w:rsidR="00205ECD" w:rsidRPr="00AE2A44" w:rsidRDefault="00205ECD" w:rsidP="00205ECD">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The strategic planning process can be prohibitive and difficult if we try to impose a methodology typical of large companies but fortunately it can also be simplified by making its application easier even for SMEs. Thus simplifying the process, there are 5 phases:</w:t>
      </w:r>
    </w:p>
    <w:p w:rsidR="00205ECD" w:rsidRPr="00AE2A44" w:rsidRDefault="00205ECD" w:rsidP="00205ECD">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In this phase, qualitative tools are used to understand the current internal situation, both in terms of results obtained and of resources, and the external one, in terms of market, sector, technology competitors, etc. (both SWOT and </w:t>
      </w:r>
      <w:proofErr w:type="spellStart"/>
      <w:r w:rsidRPr="00AE2A44">
        <w:rPr>
          <w:rFonts w:ascii="Calibri" w:eastAsia="Times New Roman" w:hAnsi="Calibri" w:cs="Calibri"/>
          <w:sz w:val="24"/>
          <w:szCs w:val="24"/>
          <w:lang w:eastAsia="en-GB"/>
        </w:rPr>
        <w:t>Pestel</w:t>
      </w:r>
      <w:proofErr w:type="spellEnd"/>
      <w:r w:rsidRPr="00AE2A44">
        <w:rPr>
          <w:rFonts w:ascii="Calibri" w:eastAsia="Times New Roman" w:hAnsi="Calibri" w:cs="Calibri"/>
          <w:sz w:val="24"/>
          <w:szCs w:val="24"/>
          <w:lang w:eastAsia="en-GB"/>
        </w:rPr>
        <w:t xml:space="preserve"> and Porter analyses can be used) and quantitative tools to understand the determinants of the economic and financial situation (balance sheet analysis, management control tools, business risks). The goal is to understand the strategy in place. </w:t>
      </w:r>
      <w:proofErr w:type="gramStart"/>
      <w:r w:rsidRPr="00AE2A44">
        <w:rPr>
          <w:rFonts w:ascii="Calibri" w:eastAsia="Times New Roman" w:hAnsi="Calibri" w:cs="Calibri"/>
          <w:sz w:val="24"/>
          <w:szCs w:val="24"/>
          <w:lang w:eastAsia="en-GB"/>
        </w:rPr>
        <w:t>the</w:t>
      </w:r>
      <w:proofErr w:type="gramEnd"/>
      <w:r w:rsidRPr="00AE2A44">
        <w:rPr>
          <w:rFonts w:ascii="Calibri" w:eastAsia="Times New Roman" w:hAnsi="Calibri" w:cs="Calibri"/>
          <w:sz w:val="24"/>
          <w:szCs w:val="24"/>
          <w:lang w:eastAsia="en-GB"/>
        </w:rPr>
        <w:t xml:space="preserve"> results it has achieved so far and the context in which the company operates (</w:t>
      </w:r>
      <w:proofErr w:type="spellStart"/>
      <w:r w:rsidRPr="00AE2A44">
        <w:rPr>
          <w:rFonts w:ascii="Calibri" w:eastAsia="Times New Roman" w:hAnsi="Calibri" w:cs="Calibri"/>
          <w:sz w:val="24"/>
          <w:szCs w:val="24"/>
          <w:lang w:eastAsia="en-GB"/>
        </w:rPr>
        <w:t>Demirel</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Danisman</w:t>
      </w:r>
      <w:proofErr w:type="spellEnd"/>
      <w:r w:rsidRPr="00AE2A44">
        <w:rPr>
          <w:rFonts w:ascii="Calibri" w:eastAsia="Times New Roman" w:hAnsi="Calibri" w:cs="Calibri"/>
          <w:sz w:val="24"/>
          <w:szCs w:val="24"/>
          <w:lang w:eastAsia="en-GB"/>
        </w:rPr>
        <w:t>, 2019).</w:t>
      </w:r>
    </w:p>
    <w:p w:rsidR="00205ECD" w:rsidRPr="00AE2A44" w:rsidRDefault="00205ECD" w:rsidP="00205ECD">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In this phase, not only are the objectives and strategic initiatives identified, but also the methods and parameters of measurement, taking care to also prepare the related action programs. In this as in the previous phase it is also important to make future predictions and imagine how possible negative elements could influence or not the achievement of strategic objectives (</w:t>
      </w:r>
      <w:proofErr w:type="spellStart"/>
      <w:r w:rsidRPr="00AE2A44">
        <w:rPr>
          <w:rFonts w:ascii="Calibri" w:eastAsia="Times New Roman" w:hAnsi="Calibri" w:cs="Calibri"/>
          <w:sz w:val="24"/>
          <w:szCs w:val="24"/>
          <w:lang w:eastAsia="en-GB"/>
        </w:rPr>
        <w:t>Demirel</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Danisman</w:t>
      </w:r>
      <w:proofErr w:type="spellEnd"/>
      <w:r w:rsidRPr="00AE2A44">
        <w:rPr>
          <w:rFonts w:ascii="Calibri" w:eastAsia="Times New Roman" w:hAnsi="Calibri" w:cs="Calibri"/>
          <w:sz w:val="24"/>
          <w:szCs w:val="24"/>
          <w:lang w:eastAsia="en-GB"/>
        </w:rPr>
        <w:t>, 2019).</w:t>
      </w:r>
    </w:p>
    <w:p w:rsidR="00205ECD" w:rsidRPr="00AE2A44" w:rsidRDefault="00205ECD" w:rsidP="00205ECD">
      <w:pPr>
        <w:spacing w:line="480" w:lineRule="auto"/>
        <w:jc w:val="both"/>
        <w:rPr>
          <w:rFonts w:ascii="Times New Roman" w:eastAsia="Times New Roman" w:hAnsi="Times New Roman" w:cs="Times New Roman"/>
          <w:sz w:val="24"/>
          <w:szCs w:val="24"/>
          <w:lang w:eastAsia="en-GB"/>
        </w:rPr>
      </w:pPr>
      <w:proofErr w:type="gramStart"/>
      <w:r w:rsidRPr="00AE2A44">
        <w:rPr>
          <w:rFonts w:ascii="Calibri" w:eastAsia="Times New Roman" w:hAnsi="Calibri" w:cs="Calibri"/>
          <w:sz w:val="24"/>
          <w:szCs w:val="24"/>
          <w:lang w:eastAsia="en-GB"/>
        </w:rPr>
        <w:t>Presentation and explanation of the strategy at all corporate hierarchical levels in order to also exploit the motivational factor of human resources.</w:t>
      </w:r>
      <w:proofErr w:type="gramEnd"/>
      <w:r w:rsidRPr="00AE2A44">
        <w:rPr>
          <w:rFonts w:ascii="Calibri" w:eastAsia="Times New Roman" w:hAnsi="Calibri" w:cs="Calibri"/>
          <w:sz w:val="24"/>
          <w:szCs w:val="24"/>
          <w:lang w:eastAsia="en-GB"/>
        </w:rPr>
        <w:t xml:space="preserve"> Especially in SMEs, where the temptation to coordinate activities through personal interaction is often very strong, it is advisable to use simple project management techniques instead to avoid possible problems. Final phase in which we move on to setting up the process improvement activities necessary to achieve success starting from the now defined strategic priorities. If, for example, the strategic priority of the company is to grow by increasing customer loyalty, then it will be </w:t>
      </w:r>
      <w:r w:rsidRPr="00AE2A44">
        <w:rPr>
          <w:rFonts w:ascii="Calibri" w:eastAsia="Times New Roman" w:hAnsi="Calibri" w:cs="Calibri"/>
          <w:sz w:val="24"/>
          <w:szCs w:val="24"/>
          <w:lang w:eastAsia="en-GB"/>
        </w:rPr>
        <w:lastRenderedPageBreak/>
        <w:t>necessary to intervene on all processes in close contact with customer management (</w:t>
      </w:r>
      <w:proofErr w:type="spellStart"/>
      <w:r w:rsidRPr="00AE2A44">
        <w:rPr>
          <w:rFonts w:ascii="Calibri" w:eastAsia="Times New Roman" w:hAnsi="Calibri" w:cs="Calibri"/>
          <w:sz w:val="24"/>
          <w:szCs w:val="24"/>
          <w:lang w:eastAsia="en-GB"/>
        </w:rPr>
        <w:t>Demirel</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Danisman</w:t>
      </w:r>
      <w:proofErr w:type="spellEnd"/>
      <w:r w:rsidRPr="00AE2A44">
        <w:rPr>
          <w:rFonts w:ascii="Calibri" w:eastAsia="Times New Roman" w:hAnsi="Calibri" w:cs="Calibri"/>
          <w:sz w:val="24"/>
          <w:szCs w:val="24"/>
          <w:lang w:eastAsia="en-GB"/>
        </w:rPr>
        <w:t>, 2019).</w:t>
      </w:r>
    </w:p>
    <w:p w:rsidR="00205ECD" w:rsidRPr="00AE2A44" w:rsidRDefault="00205ECD" w:rsidP="00205ECD">
      <w:pPr>
        <w:spacing w:line="480" w:lineRule="auto"/>
        <w:jc w:val="both"/>
        <w:rPr>
          <w:rFonts w:ascii="Calibri" w:eastAsia="Times New Roman" w:hAnsi="Calibri" w:cs="Calibri"/>
          <w:sz w:val="24"/>
          <w:szCs w:val="24"/>
          <w:lang w:eastAsia="en-GB"/>
        </w:rPr>
      </w:pPr>
      <w:r w:rsidRPr="00AE2A44">
        <w:rPr>
          <w:rFonts w:ascii="Calibri" w:eastAsia="Times New Roman" w:hAnsi="Calibri" w:cs="Calibri"/>
          <w:sz w:val="24"/>
          <w:szCs w:val="24"/>
          <w:lang w:eastAsia="en-GB"/>
        </w:rPr>
        <w:t>At the end of the strategic planning process, a document called “Corporate Strategic Plan” or more commonly Business Plan is produced. Once the plan has been drawn up, it is then necessary to prepare moments of control, evaluation and learning, such as the periodic organisation of meetings to verify the achievement (or not) of what is established in the plan so as to be able to act promptly if problematic events occur (</w:t>
      </w:r>
      <w:proofErr w:type="spellStart"/>
      <w:r w:rsidRPr="00AE2A44">
        <w:rPr>
          <w:rFonts w:ascii="Calibri" w:eastAsia="Times New Roman" w:hAnsi="Calibri" w:cs="Calibri"/>
          <w:sz w:val="24"/>
          <w:szCs w:val="24"/>
          <w:lang w:eastAsia="en-GB"/>
        </w:rPr>
        <w:t>Nikolić</w:t>
      </w:r>
      <w:proofErr w:type="spellEnd"/>
      <w:r w:rsidRPr="00AE2A44">
        <w:rPr>
          <w:rFonts w:ascii="Calibri" w:eastAsia="Times New Roman" w:hAnsi="Calibri" w:cs="Calibri"/>
          <w:sz w:val="24"/>
          <w:szCs w:val="24"/>
          <w:lang w:eastAsia="en-GB"/>
        </w:rPr>
        <w:t xml:space="preserve">, </w:t>
      </w:r>
      <w:proofErr w:type="spellStart"/>
      <w:r w:rsidRPr="00AE2A44">
        <w:rPr>
          <w:rFonts w:ascii="Calibri" w:eastAsia="Times New Roman" w:hAnsi="Calibri" w:cs="Calibri"/>
          <w:sz w:val="24"/>
          <w:szCs w:val="24"/>
          <w:lang w:eastAsia="en-GB"/>
        </w:rPr>
        <w:t>Dhamo</w:t>
      </w:r>
      <w:proofErr w:type="spellEnd"/>
      <w:r w:rsidRPr="00AE2A44">
        <w:rPr>
          <w:rFonts w:ascii="Calibri" w:eastAsia="Times New Roman" w:hAnsi="Calibri" w:cs="Calibri"/>
          <w:sz w:val="24"/>
          <w:szCs w:val="24"/>
          <w:lang w:eastAsia="en-GB"/>
        </w:rPr>
        <w:t xml:space="preserve">, Schulte, </w:t>
      </w:r>
      <w:proofErr w:type="spellStart"/>
      <w:r w:rsidRPr="00AE2A44">
        <w:rPr>
          <w:rFonts w:ascii="Calibri" w:eastAsia="Times New Roman" w:hAnsi="Calibri" w:cs="Calibri"/>
          <w:sz w:val="24"/>
          <w:szCs w:val="24"/>
          <w:lang w:eastAsia="en-GB"/>
        </w:rPr>
        <w:t>Mihajlović</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Kume</w:t>
      </w:r>
      <w:proofErr w:type="spellEnd"/>
      <w:r w:rsidRPr="00AE2A44">
        <w:rPr>
          <w:rFonts w:ascii="Calibri" w:eastAsia="Times New Roman" w:hAnsi="Calibri" w:cs="Calibri"/>
          <w:sz w:val="24"/>
          <w:szCs w:val="24"/>
          <w:lang w:eastAsia="en-GB"/>
        </w:rPr>
        <w:t xml:space="preserve">, 2015). To carry out an effective control on the Plan, it is necessary to first define the measurement parameters, such as the Balanced Scorecard which translates the corporate strategy and mission into a performance measurement system, thus allowing </w:t>
      </w:r>
      <w:proofErr w:type="gramStart"/>
      <w:r w:rsidRPr="00AE2A44">
        <w:rPr>
          <w:rFonts w:ascii="Calibri" w:eastAsia="Times New Roman" w:hAnsi="Calibri" w:cs="Calibri"/>
          <w:sz w:val="24"/>
          <w:szCs w:val="24"/>
          <w:lang w:eastAsia="en-GB"/>
        </w:rPr>
        <w:t>to connect</w:t>
      </w:r>
      <w:proofErr w:type="gramEnd"/>
      <w:r w:rsidRPr="00AE2A44">
        <w:rPr>
          <w:rFonts w:ascii="Calibri" w:eastAsia="Times New Roman" w:hAnsi="Calibri" w:cs="Calibri"/>
          <w:sz w:val="24"/>
          <w:szCs w:val="24"/>
          <w:lang w:eastAsia="en-GB"/>
        </w:rPr>
        <w:t>, in a cause-effect relationship, the strategy with results (</w:t>
      </w:r>
      <w:proofErr w:type="spellStart"/>
      <w:r w:rsidRPr="00AE2A44">
        <w:rPr>
          <w:rFonts w:ascii="Calibri" w:eastAsia="Times New Roman" w:hAnsi="Calibri" w:cs="Calibri"/>
          <w:sz w:val="24"/>
          <w:szCs w:val="24"/>
          <w:lang w:eastAsia="en-GB"/>
        </w:rPr>
        <w:t>Nigri</w:t>
      </w:r>
      <w:proofErr w:type="spellEnd"/>
      <w:r w:rsidRPr="00AE2A44">
        <w:rPr>
          <w:rFonts w:ascii="Calibri" w:eastAsia="Times New Roman" w:hAnsi="Calibri" w:cs="Calibri"/>
          <w:sz w:val="24"/>
          <w:szCs w:val="24"/>
          <w:lang w:eastAsia="en-GB"/>
        </w:rPr>
        <w:t xml:space="preserve"> &amp; Del </w:t>
      </w:r>
      <w:proofErr w:type="spellStart"/>
      <w:r w:rsidRPr="00AE2A44">
        <w:rPr>
          <w:rFonts w:ascii="Calibri" w:eastAsia="Times New Roman" w:hAnsi="Calibri" w:cs="Calibri"/>
          <w:sz w:val="24"/>
          <w:szCs w:val="24"/>
          <w:lang w:eastAsia="en-GB"/>
        </w:rPr>
        <w:t>Baldo</w:t>
      </w:r>
      <w:proofErr w:type="spellEnd"/>
      <w:r w:rsidRPr="00AE2A44">
        <w:rPr>
          <w:rFonts w:ascii="Calibri" w:eastAsia="Times New Roman" w:hAnsi="Calibri" w:cs="Calibri"/>
          <w:sz w:val="24"/>
          <w:szCs w:val="24"/>
          <w:lang w:eastAsia="en-GB"/>
        </w:rPr>
        <w:t>, 2018). All by analysing the latter from 4 different perspectives: the economic-financial one, that of the customer, that of business processes and that of learning and growth. Finally, in addition to verifying the results in progress, it is necessary to subject the deliberate strategy to continuous tests through periodic meetings between the entrepreneur and the fashion management team to make the appropriate changes and corrections (</w:t>
      </w:r>
      <w:proofErr w:type="spellStart"/>
      <w:r w:rsidRPr="00AE2A44">
        <w:rPr>
          <w:rFonts w:ascii="Calibri" w:eastAsia="Times New Roman" w:hAnsi="Calibri" w:cs="Calibri"/>
          <w:sz w:val="24"/>
          <w:szCs w:val="24"/>
          <w:lang w:eastAsia="en-GB"/>
        </w:rPr>
        <w:t>Demirel</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Danisman</w:t>
      </w:r>
      <w:proofErr w:type="spellEnd"/>
      <w:r w:rsidRPr="00AE2A44">
        <w:rPr>
          <w:rFonts w:ascii="Calibri" w:eastAsia="Times New Roman" w:hAnsi="Calibri" w:cs="Calibri"/>
          <w:sz w:val="24"/>
          <w:szCs w:val="24"/>
          <w:lang w:eastAsia="en-GB"/>
        </w:rPr>
        <w:t>, 2019).</w:t>
      </w:r>
    </w:p>
    <w:p w:rsidR="00205ECD" w:rsidRPr="00AE2A44" w:rsidRDefault="00205ECD" w:rsidP="00205ECD">
      <w:pPr>
        <w:spacing w:line="480" w:lineRule="auto"/>
        <w:rPr>
          <w:sz w:val="24"/>
          <w:szCs w:val="24"/>
        </w:rPr>
      </w:pPr>
      <w:r w:rsidRPr="00AE2A44">
        <w:rPr>
          <w:rFonts w:ascii="Calibri" w:hAnsi="Calibri" w:cs="Calibri"/>
          <w:sz w:val="24"/>
          <w:szCs w:val="24"/>
        </w:rPr>
        <w:t>In line with the explanations above, strategic management is a process which directs the organization, makes it viable to perform the activities together in order to reach strategic purposes and goals and is uniting. SWOT analysis, which will be emphasized with a strategic point of view, is an important route map for Strategic management, considering the citizen expectation questionnaires and data from internal and external stakeholders. Organizations can evaluate themselves through strategic management</w:t>
      </w:r>
      <w:proofErr w:type="gramStart"/>
      <w:r w:rsidRPr="00AE2A44">
        <w:rPr>
          <w:sz w:val="24"/>
          <w:szCs w:val="24"/>
        </w:rPr>
        <w:t>.</w:t>
      </w:r>
      <w:r w:rsidRPr="00AE2A44">
        <w:rPr>
          <w:b/>
          <w:sz w:val="24"/>
          <w:szCs w:val="24"/>
        </w:rPr>
        <w:t>(</w:t>
      </w:r>
      <w:proofErr w:type="gramEnd"/>
      <w:r w:rsidRPr="00AE2A44">
        <w:rPr>
          <w:b/>
          <w:sz w:val="24"/>
          <w:szCs w:val="24"/>
        </w:rPr>
        <w:t>see Appendix A )</w:t>
      </w:r>
      <w:r w:rsidRPr="00AE2A44">
        <w:rPr>
          <w:sz w:val="24"/>
          <w:szCs w:val="24"/>
        </w:rPr>
        <w:t xml:space="preserve"> </w:t>
      </w:r>
    </w:p>
    <w:p w:rsidR="00205ECD" w:rsidRPr="00AE2A44" w:rsidRDefault="00205ECD" w:rsidP="00205ECD">
      <w:pPr>
        <w:pStyle w:val="Heading1"/>
        <w:rPr>
          <w:color w:val="auto"/>
        </w:rPr>
      </w:pPr>
      <w:bookmarkStart w:id="13" w:name="_Toc119152951"/>
      <w:bookmarkStart w:id="14" w:name="_Toc119250909"/>
      <w:r w:rsidRPr="00AE2A44">
        <w:rPr>
          <w:color w:val="auto"/>
        </w:rPr>
        <w:lastRenderedPageBreak/>
        <w:t>3.1 Company background</w:t>
      </w:r>
      <w:bookmarkEnd w:id="13"/>
      <w:bookmarkEnd w:id="14"/>
      <w:r w:rsidRPr="00AE2A44">
        <w:rPr>
          <w:color w:val="auto"/>
        </w:rPr>
        <w:t xml:space="preserve"> </w:t>
      </w:r>
    </w:p>
    <w:p w:rsidR="00205ECD" w:rsidRPr="00AE2A44" w:rsidRDefault="00205ECD" w:rsidP="00205ECD">
      <w:pPr>
        <w:spacing w:line="480" w:lineRule="auto"/>
        <w:rPr>
          <w:rFonts w:eastAsia="Times New Roman"/>
          <w:sz w:val="24"/>
          <w:szCs w:val="24"/>
          <w:lang w:eastAsia="en-GB"/>
        </w:rPr>
      </w:pPr>
      <w:r w:rsidRPr="00AE2A44">
        <w:rPr>
          <w:rFonts w:eastAsia="Times New Roman"/>
          <w:sz w:val="24"/>
          <w:szCs w:val="24"/>
          <w:lang w:eastAsia="en-GB"/>
        </w:rPr>
        <w:t>The type of business chosen for this assignment is logistic services. Following some research, we decided to use FedEx Corporation as the company for our study. Fred Smith, the company's founder, founded the company in 1971. FedEx Corporation was founded in 1998 and later changed its name to FDX Corporation in January 2000. FedEx is based in Memphis, Tennessee. FedEx Express, FedEx Ground, FedEx Freight, and FedEx Services are the company's four divisions.</w:t>
      </w:r>
      <w:r w:rsidRPr="00AE2A44">
        <w:t xml:space="preserve"> </w:t>
      </w:r>
      <w:r w:rsidRPr="00AE2A44">
        <w:rPr>
          <w:rFonts w:eastAsia="Times New Roman"/>
          <w:sz w:val="24"/>
          <w:szCs w:val="24"/>
          <w:lang w:eastAsia="en-GB"/>
        </w:rPr>
        <w:t>FedEx Express is currently the world's leading provider of express logistics. This sector provides a variety of shipping services for the delivery of packages and freight. It also offers international trade services such as customs brokerage, ocean and air freight forwarding, customs clearance, and global trade data, an information tool that allows customers to track and manage imports, as well as international trade advisory services, such as assistance with the customs-trade partnership against terrorism programme, and publishes customs duty and tax information in various customs areas. Furthermore, it provides supply chain solutions such as critical inventory logistics, transportation management, and temperature-controlled transportation.</w:t>
      </w:r>
    </w:p>
    <w:p w:rsidR="00205ECD" w:rsidRPr="00AE2A44" w:rsidRDefault="00205ECD" w:rsidP="00205ECD">
      <w:pPr>
        <w:spacing w:line="480" w:lineRule="auto"/>
        <w:rPr>
          <w:rFonts w:eastAsia="Times New Roman"/>
          <w:sz w:val="24"/>
          <w:szCs w:val="24"/>
          <w:lang w:eastAsia="en-GB"/>
        </w:rPr>
      </w:pPr>
      <w:r w:rsidRPr="00AE2A44">
        <w:rPr>
          <w:rFonts w:eastAsia="Times New Roman"/>
          <w:sz w:val="24"/>
          <w:szCs w:val="24"/>
          <w:lang w:eastAsia="en-GB"/>
        </w:rPr>
        <w:t>FedEx is a company that offers logistics services. Apart from its owners, the firm has many party leaders collaborating with authority to take action and bear liability.</w:t>
      </w:r>
    </w:p>
    <w:p w:rsidR="00205ECD" w:rsidRPr="00AE2A44" w:rsidRDefault="00205ECD" w:rsidP="00205ECD">
      <w:pPr>
        <w:spacing w:line="480" w:lineRule="auto"/>
        <w:rPr>
          <w:rFonts w:ascii="Calibri" w:hAnsi="Calibri" w:cs="Calibri"/>
          <w:b/>
          <w:sz w:val="24"/>
          <w:szCs w:val="24"/>
        </w:rPr>
      </w:pPr>
      <w:r w:rsidRPr="00AE2A44">
        <w:rPr>
          <w:rFonts w:ascii="Calibri" w:hAnsi="Calibri" w:cs="Calibri"/>
          <w:b/>
          <w:sz w:val="24"/>
          <w:szCs w:val="24"/>
        </w:rPr>
        <w:t>FedEx's Service Offerings</w:t>
      </w:r>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t>FedEx is a distribution transportation services company that provides a wide range of transportation services and accommodates the widest range of shipments, sending parcels to over 80 countries worldwide.</w:t>
      </w:r>
    </w:p>
    <w:p w:rsidR="00205ECD" w:rsidRPr="00AE2A44" w:rsidRDefault="00205ECD" w:rsidP="00205ECD">
      <w:pPr>
        <w:spacing w:line="480" w:lineRule="auto"/>
        <w:rPr>
          <w:rFonts w:ascii="Calibri" w:hAnsi="Calibri" w:cs="Calibri"/>
          <w:sz w:val="24"/>
          <w:szCs w:val="24"/>
        </w:rPr>
      </w:pPr>
    </w:p>
    <w:p w:rsidR="00205ECD" w:rsidRPr="00AE2A44" w:rsidRDefault="00205ECD" w:rsidP="00205ECD">
      <w:pPr>
        <w:spacing w:line="480" w:lineRule="auto"/>
        <w:rPr>
          <w:rFonts w:ascii="Calibri" w:hAnsi="Calibri" w:cs="Calibri"/>
          <w:b/>
          <w:sz w:val="24"/>
          <w:szCs w:val="24"/>
        </w:rPr>
      </w:pPr>
      <w:r w:rsidRPr="00AE2A44">
        <w:rPr>
          <w:rFonts w:ascii="Calibri" w:hAnsi="Calibri" w:cs="Calibri"/>
          <w:sz w:val="24"/>
          <w:szCs w:val="24"/>
        </w:rPr>
        <w:t>FedEx Corporation provides a few different types of services</w:t>
      </w:r>
      <w:r w:rsidRPr="00AE2A44">
        <w:rPr>
          <w:rFonts w:ascii="Calibri" w:hAnsi="Calibri" w:cs="Calibri"/>
          <w:b/>
          <w:sz w:val="24"/>
          <w:szCs w:val="24"/>
        </w:rPr>
        <w:t>.</w:t>
      </w:r>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lastRenderedPageBreak/>
        <w:t xml:space="preserve">FedEx Express </w:t>
      </w:r>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t>This is the original overnight courier that offers next-day delivery in the United States as well as time-definite international service. This is primarily for individuals or businesses who sell products to consumers both locally and internationally. FedEx Express will transfer the items from the sender to the recipient in 3 - 5 days by charging a premium fee.</w:t>
      </w:r>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t>FedEx Ground Service</w:t>
      </w:r>
    </w:p>
    <w:p w:rsidR="003D15E9"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t>FedEx Ground provides day-specific service delivery with transit times supported within Canada and the United States at a lower cost than time-specific FedEx Express and is backed by a money-back guarantee. It employs trucks owned by independent owners and drivers who control specific delivery routes and territories. They offer effective services, day-definite service, and transit times backed by a money-back guarantee.</w:t>
      </w:r>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t>FedEx Custom Critical Service</w:t>
      </w:r>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t>FedEx Custom Critical provides expedited surface and air services, as well as temperature control and enhanced security. They specialise in critical freight delivery on the same day and overnight. Although the cost is higher than that of FedEx Express, senders will choose this over standard service for safety reasons. FedEx Custom Critical offers same-day and next-day door-to-door shipment of emergency freight, valuable items, and hazardous goods. FedEx Custom Critical serves a wide range of customers in a variety of markets and industries. Because of the adaptability of their services, each group can tailor their alternatives to their specific requirements.</w:t>
      </w:r>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t>FedEx Business Networks</w:t>
      </w:r>
    </w:p>
    <w:p w:rsidR="00205ECD" w:rsidRPr="00AE2A44" w:rsidRDefault="00205ECD" w:rsidP="00205ECD">
      <w:pPr>
        <w:spacing w:line="480" w:lineRule="auto"/>
        <w:rPr>
          <w:rFonts w:ascii="Calibri" w:hAnsi="Calibri" w:cs="Calibri"/>
          <w:sz w:val="24"/>
          <w:szCs w:val="24"/>
        </w:rPr>
      </w:pPr>
      <w:r w:rsidRPr="00AE2A44">
        <w:rPr>
          <w:rFonts w:ascii="Calibri" w:hAnsi="Calibri" w:cs="Calibri"/>
          <w:sz w:val="24"/>
          <w:szCs w:val="24"/>
        </w:rPr>
        <w:lastRenderedPageBreak/>
        <w:t>FedEx Trade Networks enables consumers of all sizes simplify international shipping by offering flexible end-to-end services such as customs brokerage, global cargo distribution, and trade facilitation solutions. Customers can use FedEx Trade Networks services in their entirety or as individual services as needed. It is typically used by customers in the business-to-business industry to transport a large number of items in a large box or cargo.</w:t>
      </w:r>
    </w:p>
    <w:p w:rsidR="00205ECD" w:rsidRPr="00AE2A44" w:rsidRDefault="00205ECD" w:rsidP="00205ECD">
      <w:pPr>
        <w:pStyle w:val="Heading1"/>
        <w:rPr>
          <w:color w:val="auto"/>
        </w:rPr>
      </w:pPr>
      <w:bookmarkStart w:id="15" w:name="_Toc119152952"/>
      <w:bookmarkStart w:id="16" w:name="_Toc119250910"/>
      <w:r w:rsidRPr="00AE2A44">
        <w:rPr>
          <w:rFonts w:eastAsia="Times New Roman"/>
          <w:color w:val="auto"/>
          <w:sz w:val="24"/>
          <w:szCs w:val="24"/>
          <w:lang w:eastAsia="en-GB"/>
        </w:rPr>
        <w:t>3.2</w:t>
      </w:r>
      <w:r w:rsidRPr="00AE2A44">
        <w:rPr>
          <w:color w:val="auto"/>
        </w:rPr>
        <w:t>Maslow’s Hierarchy of Needs</w:t>
      </w:r>
      <w:bookmarkEnd w:id="15"/>
      <w:bookmarkEnd w:id="16"/>
    </w:p>
    <w:p w:rsidR="00205ECD" w:rsidRPr="00AE2A44" w:rsidRDefault="00205ECD" w:rsidP="00205ECD">
      <w:pPr>
        <w:spacing w:line="480" w:lineRule="auto"/>
        <w:rPr>
          <w:rFonts w:eastAsia="Times New Roman"/>
          <w:b/>
          <w:sz w:val="24"/>
          <w:szCs w:val="24"/>
          <w:lang w:eastAsia="en-GB"/>
        </w:rPr>
      </w:pPr>
      <w:r w:rsidRPr="00AE2A44">
        <w:rPr>
          <w:rFonts w:eastAsia="Times New Roman"/>
          <w:sz w:val="24"/>
          <w:szCs w:val="24"/>
          <w:lang w:eastAsia="en-GB"/>
        </w:rPr>
        <w:t>These motivation theories are based on people's needs to satisfy their requirements at work as well as the outcomes that can satisfy those needs. Managers of the company must ensure that the needs of their employees are met when they receive rewards for accomplishing well.</w:t>
      </w:r>
      <w:r w:rsidRPr="00AE2A44">
        <w:t xml:space="preserve"> </w:t>
      </w:r>
      <w:r w:rsidRPr="00AE2A44">
        <w:rPr>
          <w:rFonts w:eastAsia="Times New Roman"/>
          <w:sz w:val="24"/>
          <w:szCs w:val="24"/>
          <w:lang w:eastAsia="en-GB"/>
        </w:rPr>
        <w:t>The hierarchy chart has five levels, beginning with the physiological and progressing through safety, belongingness, esteem, and self-actualization</w:t>
      </w:r>
      <w:r w:rsidRPr="00AE2A44">
        <w:rPr>
          <w:rFonts w:eastAsia="Times New Roman"/>
          <w:b/>
          <w:sz w:val="24"/>
          <w:szCs w:val="24"/>
          <w:lang w:eastAsia="en-GB"/>
        </w:rPr>
        <w:t>. (</w:t>
      </w:r>
      <w:proofErr w:type="gramStart"/>
      <w:r w:rsidRPr="00AE2A44">
        <w:rPr>
          <w:rFonts w:eastAsia="Times New Roman"/>
          <w:b/>
          <w:sz w:val="24"/>
          <w:szCs w:val="24"/>
          <w:lang w:eastAsia="en-GB"/>
        </w:rPr>
        <w:t>see</w:t>
      </w:r>
      <w:proofErr w:type="gramEnd"/>
      <w:r w:rsidRPr="00AE2A44">
        <w:rPr>
          <w:rFonts w:eastAsia="Times New Roman"/>
          <w:b/>
          <w:sz w:val="24"/>
          <w:szCs w:val="24"/>
          <w:lang w:eastAsia="en-GB"/>
        </w:rPr>
        <w:t xml:space="preserve"> Appendix B )</w:t>
      </w:r>
    </w:p>
    <w:p w:rsidR="00205ECD" w:rsidRPr="00AE2A44" w:rsidRDefault="00205ECD" w:rsidP="00205ECD">
      <w:pPr>
        <w:spacing w:line="480" w:lineRule="auto"/>
        <w:rPr>
          <w:rFonts w:eastAsia="Times New Roman"/>
          <w:sz w:val="24"/>
          <w:szCs w:val="24"/>
          <w:lang w:eastAsia="en-GB"/>
        </w:rPr>
      </w:pPr>
      <w:r w:rsidRPr="00AE2A44">
        <w:rPr>
          <w:rFonts w:eastAsia="Times New Roman"/>
          <w:sz w:val="24"/>
          <w:szCs w:val="24"/>
          <w:lang w:eastAsia="en-GB"/>
        </w:rPr>
        <w:t>FedEx pays their employees a monthly salary to ensure they can support their living needs, such as food, water, shelter, and other necessary items and activities, at the bottom of Maslow's Hierarchy.</w:t>
      </w:r>
    </w:p>
    <w:p w:rsidR="00205ECD" w:rsidRPr="00AE2A44" w:rsidRDefault="00205ECD" w:rsidP="00205ECD">
      <w:pPr>
        <w:spacing w:line="480" w:lineRule="auto"/>
        <w:rPr>
          <w:rFonts w:eastAsia="Times New Roman"/>
          <w:sz w:val="24"/>
          <w:szCs w:val="24"/>
          <w:lang w:eastAsia="en-GB"/>
        </w:rPr>
      </w:pPr>
      <w:r w:rsidRPr="00AE2A44">
        <w:rPr>
          <w:rFonts w:eastAsia="Times New Roman"/>
          <w:sz w:val="24"/>
          <w:szCs w:val="24"/>
          <w:lang w:eastAsia="en-GB"/>
        </w:rPr>
        <w:t>Safety is the second lowest level of Maslow's Hierarchy. This requirement emphasises employee security and stability. FedEx provides employees with the means to afford good health care by providing health-care benefits. FedEx benefits from this programme by having a healthier workforce, which leads to a decrease in the number of employees who are sick or unwell.</w:t>
      </w:r>
    </w:p>
    <w:p w:rsidR="00205ECD" w:rsidRPr="00AE2A44" w:rsidRDefault="00205ECD" w:rsidP="00205ECD">
      <w:pPr>
        <w:spacing w:line="480" w:lineRule="auto"/>
        <w:rPr>
          <w:rFonts w:eastAsia="Times New Roman"/>
          <w:sz w:val="24"/>
          <w:szCs w:val="24"/>
          <w:lang w:eastAsia="en-GB"/>
        </w:rPr>
      </w:pPr>
      <w:r w:rsidRPr="00AE2A44">
        <w:rPr>
          <w:rFonts w:eastAsia="Times New Roman"/>
          <w:sz w:val="24"/>
          <w:szCs w:val="24"/>
          <w:lang w:eastAsia="en-GB"/>
        </w:rPr>
        <w:t xml:space="preserve">Belongingness is the middle level of Maslow's Hierarchy. This requirement is for social interaction within the company as well as love and care between employees and managers. FedEx offers their employees vacation days, emergency leave, annual leave, and medical leave. Employees have the right to apply for these leaves as it is a basic need for a working </w:t>
      </w:r>
      <w:r w:rsidRPr="00AE2A44">
        <w:rPr>
          <w:rFonts w:eastAsia="Times New Roman"/>
          <w:sz w:val="24"/>
          <w:szCs w:val="24"/>
          <w:lang w:eastAsia="en-GB"/>
        </w:rPr>
        <w:lastRenderedPageBreak/>
        <w:t>person. FedEx also organises events for its employees such as family day, company trips, and monthly birthday parties.</w:t>
      </w:r>
    </w:p>
    <w:p w:rsidR="00205ECD" w:rsidRPr="00AE2A44" w:rsidRDefault="00205ECD" w:rsidP="00205ECD">
      <w:pPr>
        <w:spacing w:line="480" w:lineRule="auto"/>
        <w:rPr>
          <w:rFonts w:eastAsia="Times New Roman"/>
          <w:sz w:val="24"/>
          <w:szCs w:val="24"/>
          <w:lang w:eastAsia="en-GB"/>
        </w:rPr>
      </w:pPr>
      <w:r w:rsidRPr="00AE2A44">
        <w:rPr>
          <w:rFonts w:eastAsia="Times New Roman"/>
          <w:sz w:val="24"/>
          <w:szCs w:val="24"/>
          <w:lang w:eastAsia="en-GB"/>
        </w:rPr>
        <w:t xml:space="preserve">The following level in the hierarchy is Esteem requirements. It is critical for company employees to have self-confidence and feel good about </w:t>
      </w:r>
      <w:proofErr w:type="gramStart"/>
      <w:r w:rsidRPr="00AE2A44">
        <w:rPr>
          <w:rFonts w:eastAsia="Times New Roman"/>
          <w:sz w:val="24"/>
          <w:szCs w:val="24"/>
          <w:lang w:eastAsia="en-GB"/>
        </w:rPr>
        <w:t>themselves</w:t>
      </w:r>
      <w:proofErr w:type="gramEnd"/>
      <w:r w:rsidRPr="00AE2A44">
        <w:rPr>
          <w:rFonts w:eastAsia="Times New Roman"/>
          <w:sz w:val="24"/>
          <w:szCs w:val="24"/>
          <w:lang w:eastAsia="en-GB"/>
        </w:rPr>
        <w:t>. The company accomplishes this by promoting their employees' job positions as a reward for their hard work for the company. A hardworking low-level employee can be promoted to manager and thus have his or her salary increased. FedEx also gives its employees a yearly bonus at the end of the year basis of merit.</w:t>
      </w:r>
    </w:p>
    <w:p w:rsidR="00205ECD" w:rsidRPr="00AE2A44" w:rsidRDefault="00205ECD" w:rsidP="00205ECD">
      <w:pPr>
        <w:spacing w:line="480" w:lineRule="auto"/>
        <w:rPr>
          <w:rFonts w:eastAsia="Times New Roman"/>
          <w:sz w:val="24"/>
          <w:szCs w:val="24"/>
          <w:lang w:eastAsia="en-GB"/>
        </w:rPr>
      </w:pPr>
      <w:r w:rsidRPr="00AE2A44">
        <w:rPr>
          <w:rFonts w:eastAsia="Times New Roman"/>
          <w:sz w:val="24"/>
          <w:szCs w:val="24"/>
          <w:lang w:eastAsia="en-GB"/>
        </w:rPr>
        <w:t>Self-actualization is the highest level of Maslow's hierarchy. Self-actualization is the realisation of one's full potential in one's job. FedEx is looking for talented individuals who possess basic life qualities such as honesty, enthusiasm, creativity, and respect for both employees and customers. The company will learn about each employee's abilities and talents for specific divisions and burdens.</w:t>
      </w:r>
    </w:p>
    <w:p w:rsidR="005C3D70" w:rsidRPr="00AE2A44" w:rsidRDefault="005C3D70" w:rsidP="005C3D70">
      <w:pPr>
        <w:pStyle w:val="Heading1"/>
        <w:rPr>
          <w:color w:val="auto"/>
        </w:rPr>
      </w:pPr>
      <w:bookmarkStart w:id="17" w:name="_Toc119152955"/>
      <w:bookmarkStart w:id="18" w:name="_Toc119250911"/>
      <w:r w:rsidRPr="00AE2A44">
        <w:rPr>
          <w:color w:val="auto"/>
        </w:rPr>
        <w:t>4.0 Analysis</w:t>
      </w:r>
      <w:bookmarkEnd w:id="17"/>
      <w:bookmarkEnd w:id="18"/>
    </w:p>
    <w:p w:rsidR="005C3D70" w:rsidRPr="00AE2A44" w:rsidRDefault="005C3D70" w:rsidP="005C3D70">
      <w:pPr>
        <w:pStyle w:val="Heading1"/>
        <w:rPr>
          <w:color w:val="auto"/>
        </w:rPr>
      </w:pPr>
      <w:bookmarkStart w:id="19" w:name="_Toc119152956"/>
      <w:bookmarkStart w:id="20" w:name="_Toc119250912"/>
      <w:r w:rsidRPr="00AE2A44">
        <w:rPr>
          <w:color w:val="auto"/>
        </w:rPr>
        <w:t>4.1 Strategies for Logistic Companies</w:t>
      </w:r>
      <w:bookmarkEnd w:id="19"/>
      <w:bookmarkEnd w:id="20"/>
    </w:p>
    <w:p w:rsidR="005C3D70" w:rsidRPr="00AE2A44" w:rsidRDefault="005C3D70" w:rsidP="005C3D70">
      <w:pPr>
        <w:spacing w:line="480" w:lineRule="auto"/>
        <w:ind w:firstLine="720"/>
        <w:rPr>
          <w:sz w:val="24"/>
        </w:rPr>
      </w:pPr>
      <w:r w:rsidRPr="00AE2A44">
        <w:rPr>
          <w:sz w:val="24"/>
        </w:rPr>
        <w:t>The vast majority of economic activity across the globe has been halted as a direct result of the COVID-19 pandemic. As a result, logistics service providers (LSPs) in small and medium-sized enterprises are now forced to contend with significant supply-chain disruptions, erratic market dynamics, and an imminent global recession. LSP leadership teams need to fast enhance their operational agility and nimbleness in order to adjust correctly to rapidly evolving marketing situations (</w:t>
      </w:r>
      <w:proofErr w:type="spellStart"/>
      <w:r w:rsidRPr="00AE2A44">
        <w:rPr>
          <w:sz w:val="24"/>
        </w:rPr>
        <w:t>Syriopoulos</w:t>
      </w:r>
      <w:proofErr w:type="spellEnd"/>
      <w:r w:rsidRPr="00AE2A44">
        <w:rPr>
          <w:sz w:val="24"/>
        </w:rPr>
        <w:t xml:space="preserve">, 2020). This is necessary in order for LSPs to remain competitive. For example, logistics service providers (LSPs) have to </w:t>
      </w:r>
      <w:r w:rsidRPr="00AE2A44">
        <w:rPr>
          <w:sz w:val="24"/>
        </w:rPr>
        <w:lastRenderedPageBreak/>
        <w:t>take into account real-time supply and demand in order to maximize revenue and margins in light of the growing volatility in freight pricing. In addition, they are required to reach an agreement with underutilized carriers for new upfront and backward-looking volume reductions. LSPs are required to cut expenses to the absolute bare minimum on the internal side. In order for them to do this, they need to reduce their discretionary spending, reduce the expenses of road transportation, and employ commercially available technology to simplify their company activities. In a manner analogous to this, LSPs are required to be mindful of the viability of both their customers and carriers, many of whom may be experiencing significant financial challenges. It is true that "cash is king" is an old proverb. As a consequence of this, logistics service providers (LSPs) should adjust the terms of their payment conditions, such as asking for cash payments or shortening payment terms from some customers while avoiding doing business with others. In the era after COVID-19, LSPs will be required to develop and apply new approaches such as the following:</w:t>
      </w:r>
    </w:p>
    <w:p w:rsidR="005C3D70" w:rsidRPr="00AE2A44" w:rsidRDefault="005C3D70" w:rsidP="005C3D70">
      <w:pPr>
        <w:pStyle w:val="ListParagraph"/>
        <w:numPr>
          <w:ilvl w:val="0"/>
          <w:numId w:val="1"/>
        </w:numPr>
        <w:spacing w:line="480" w:lineRule="auto"/>
        <w:rPr>
          <w:sz w:val="24"/>
        </w:rPr>
      </w:pPr>
      <w:r w:rsidRPr="00AE2A44">
        <w:rPr>
          <w:sz w:val="24"/>
        </w:rPr>
        <w:t>Enterprises outside of regional areas should grow.</w:t>
      </w:r>
    </w:p>
    <w:p w:rsidR="005C3D70" w:rsidRPr="00AE2A44" w:rsidRDefault="005C3D70" w:rsidP="005C3D70">
      <w:pPr>
        <w:pStyle w:val="ListParagraph"/>
        <w:numPr>
          <w:ilvl w:val="0"/>
          <w:numId w:val="1"/>
        </w:numPr>
        <w:spacing w:line="480" w:lineRule="auto"/>
        <w:rPr>
          <w:sz w:val="24"/>
        </w:rPr>
      </w:pPr>
      <w:r w:rsidRPr="00AE2A44">
        <w:rPr>
          <w:sz w:val="24"/>
        </w:rPr>
        <w:t>Services in the supply chain that are faultless on a global scale and of the highest quality</w:t>
      </w:r>
    </w:p>
    <w:p w:rsidR="005C3D70" w:rsidRPr="00AE2A44" w:rsidRDefault="005C3D70" w:rsidP="005C3D70">
      <w:pPr>
        <w:pStyle w:val="ListParagraph"/>
        <w:numPr>
          <w:ilvl w:val="0"/>
          <w:numId w:val="1"/>
        </w:numPr>
        <w:spacing w:line="480" w:lineRule="auto"/>
        <w:rPr>
          <w:sz w:val="24"/>
        </w:rPr>
      </w:pPr>
      <w:r w:rsidRPr="00AE2A44">
        <w:rPr>
          <w:sz w:val="24"/>
        </w:rPr>
        <w:t>Determine which consumer markets and commercial corridors will provide the best results.</w:t>
      </w:r>
    </w:p>
    <w:p w:rsidR="005C3D70" w:rsidRPr="00AE2A44" w:rsidRDefault="005C3D70" w:rsidP="005C3D70">
      <w:pPr>
        <w:pStyle w:val="ListParagraph"/>
        <w:numPr>
          <w:ilvl w:val="0"/>
          <w:numId w:val="1"/>
        </w:numPr>
        <w:spacing w:line="480" w:lineRule="auto"/>
        <w:rPr>
          <w:sz w:val="24"/>
        </w:rPr>
      </w:pPr>
      <w:proofErr w:type="gramStart"/>
      <w:r w:rsidRPr="00AE2A44">
        <w:rPr>
          <w:sz w:val="24"/>
        </w:rPr>
        <w:t>work</w:t>
      </w:r>
      <w:proofErr w:type="gramEnd"/>
      <w:r w:rsidRPr="00AE2A44">
        <w:rPr>
          <w:sz w:val="24"/>
        </w:rPr>
        <w:t xml:space="preserve"> together with local, state, and federal governments to strengthen supply chains.</w:t>
      </w:r>
    </w:p>
    <w:p w:rsidR="005C3D70" w:rsidRPr="00AE2A44" w:rsidRDefault="005C3D70" w:rsidP="005C3D70">
      <w:pPr>
        <w:pStyle w:val="ListParagraph"/>
        <w:numPr>
          <w:ilvl w:val="0"/>
          <w:numId w:val="1"/>
        </w:numPr>
        <w:spacing w:line="480" w:lineRule="auto"/>
        <w:rPr>
          <w:sz w:val="24"/>
        </w:rPr>
      </w:pPr>
      <w:r w:rsidRPr="00AE2A44">
        <w:rPr>
          <w:sz w:val="24"/>
        </w:rPr>
        <w:t>Prepare in advance and keep an eye out for opportunities.</w:t>
      </w:r>
    </w:p>
    <w:p w:rsidR="005C3D70" w:rsidRPr="00AE2A44" w:rsidRDefault="005C3D70" w:rsidP="005C3D70">
      <w:pPr>
        <w:pStyle w:val="ListParagraph"/>
        <w:numPr>
          <w:ilvl w:val="0"/>
          <w:numId w:val="1"/>
        </w:numPr>
        <w:spacing w:line="480" w:lineRule="auto"/>
        <w:rPr>
          <w:sz w:val="24"/>
        </w:rPr>
      </w:pPr>
      <w:r w:rsidRPr="00AE2A44">
        <w:rPr>
          <w:sz w:val="24"/>
        </w:rPr>
        <w:t>Make a significant investment in the technology.</w:t>
      </w:r>
    </w:p>
    <w:p w:rsidR="005C3D70" w:rsidRPr="00AE2A44" w:rsidRDefault="005C3D70" w:rsidP="005C3D70">
      <w:pPr>
        <w:pStyle w:val="Heading1"/>
        <w:rPr>
          <w:color w:val="auto"/>
        </w:rPr>
      </w:pPr>
      <w:bookmarkStart w:id="21" w:name="_Toc119152957"/>
      <w:bookmarkStart w:id="22" w:name="_Toc119250913"/>
      <w:r w:rsidRPr="00AE2A44">
        <w:rPr>
          <w:color w:val="auto"/>
        </w:rPr>
        <w:lastRenderedPageBreak/>
        <w:t xml:space="preserve">4.2 Response </w:t>
      </w:r>
      <w:proofErr w:type="gramStart"/>
      <w:r w:rsidRPr="00AE2A44">
        <w:rPr>
          <w:color w:val="auto"/>
        </w:rPr>
        <w:t>To</w:t>
      </w:r>
      <w:proofErr w:type="gramEnd"/>
      <w:r w:rsidRPr="00AE2A44">
        <w:rPr>
          <w:color w:val="auto"/>
        </w:rPr>
        <w:t xml:space="preserve"> The Crisis</w:t>
      </w:r>
      <w:bookmarkEnd w:id="21"/>
      <w:bookmarkEnd w:id="22"/>
    </w:p>
    <w:p w:rsidR="005C3D70" w:rsidRPr="00AE2A44" w:rsidRDefault="005C3D70" w:rsidP="005C3D70">
      <w:pPr>
        <w:spacing w:line="480" w:lineRule="auto"/>
        <w:ind w:firstLine="360"/>
        <w:rPr>
          <w:sz w:val="24"/>
        </w:rPr>
      </w:pPr>
      <w:r w:rsidRPr="00AE2A44">
        <w:rPr>
          <w:sz w:val="24"/>
        </w:rPr>
        <w:t>The majority of the government's responses to the issue have consisted of designating some industries, such as ports, shipping, and trucking, as important and exempting them from lockdowns. For example, the government of India exempted from the norms governing port shutdowns the flow of critical products, supply lines, and cargo that was being moved through ports. Even while many airports across the world have banned passenger flights, the vast majority of airports are still open to cargo flights, which may prove to be very helpful in the fight against COVID-19. It is necessary for governments and third-party logistics companies to collaborate more closely in order to eliminate bottlenecks in supply chains and simplify approval processes (</w:t>
      </w:r>
      <w:proofErr w:type="spellStart"/>
      <w:r w:rsidRPr="00AE2A44">
        <w:rPr>
          <w:sz w:val="24"/>
        </w:rPr>
        <w:t>Abdelfattah</w:t>
      </w:r>
      <w:proofErr w:type="spellEnd"/>
      <w:r w:rsidRPr="00AE2A44">
        <w:rPr>
          <w:sz w:val="24"/>
        </w:rPr>
        <w:t xml:space="preserve"> et al., 2022). In response to these worries, third-party logistics companies have implemented a wide range of solutions, including the following ones:</w:t>
      </w:r>
    </w:p>
    <w:p w:rsidR="005C3D70" w:rsidRPr="00AE2A44" w:rsidRDefault="005C3D70" w:rsidP="005C3D70">
      <w:pPr>
        <w:spacing w:line="480" w:lineRule="auto"/>
        <w:ind w:firstLine="360"/>
        <w:rPr>
          <w:sz w:val="24"/>
        </w:rPr>
      </w:pPr>
      <w:r w:rsidRPr="00AE2A44">
        <w:rPr>
          <w:sz w:val="24"/>
        </w:rPr>
        <w:t>In order to safeguard their workers' health, some companies have instituted new social distance regulations in warehouses, sterilized work environments, or given protective equipment in addition to providing employees with an unlimited amount of unpaid vacation time. These efforts, which come with a higher price tag, are unable to offer protection against diseases in confined warehouses.</w:t>
      </w:r>
    </w:p>
    <w:p w:rsidR="005C3D70" w:rsidRPr="00AE2A44" w:rsidRDefault="005C3D70" w:rsidP="005C3D70">
      <w:pPr>
        <w:spacing w:line="480" w:lineRule="auto"/>
        <w:ind w:firstLine="360"/>
        <w:rPr>
          <w:sz w:val="24"/>
        </w:rPr>
      </w:pPr>
      <w:r w:rsidRPr="00AE2A44">
        <w:rPr>
          <w:sz w:val="24"/>
        </w:rPr>
        <w:t xml:space="preserve">A significant number of companies are adopting cutting-edge alternatives to the modes of transportation that they traditionally </w:t>
      </w:r>
      <w:proofErr w:type="spellStart"/>
      <w:r w:rsidRPr="00AE2A44">
        <w:rPr>
          <w:sz w:val="24"/>
        </w:rPr>
        <w:t>favor</w:t>
      </w:r>
      <w:proofErr w:type="spellEnd"/>
      <w:r w:rsidRPr="00AE2A44">
        <w:rPr>
          <w:sz w:val="24"/>
        </w:rPr>
        <w:t xml:space="preserve">. Because of the decrease in the number of passenger flights, the capacity of aircraft belly cargo has been constrained, which has forced certain businesses, like DHL, to turn to the use of charter flights to transport goods to and from China. In addition to this, airlines are beginning to transport freight in passenger aircraft. Some pundits are even forecasting a boom for the China-Europe railway as a result </w:t>
      </w:r>
      <w:r w:rsidRPr="00AE2A44">
        <w:rPr>
          <w:sz w:val="24"/>
        </w:rPr>
        <w:lastRenderedPageBreak/>
        <w:t>of the loss of sixty percent of the aviation freight capacity that previously existed between China and Europe (</w:t>
      </w:r>
      <w:proofErr w:type="spellStart"/>
      <w:r w:rsidRPr="00AE2A44">
        <w:rPr>
          <w:sz w:val="24"/>
        </w:rPr>
        <w:t>Baral</w:t>
      </w:r>
      <w:proofErr w:type="spellEnd"/>
      <w:r w:rsidRPr="00AE2A44">
        <w:rPr>
          <w:sz w:val="24"/>
        </w:rPr>
        <w:t>, 2021).</w:t>
      </w:r>
    </w:p>
    <w:p w:rsidR="005C3D70" w:rsidRPr="00AE2A44" w:rsidRDefault="005C3D70" w:rsidP="005C3D70">
      <w:pPr>
        <w:spacing w:line="480" w:lineRule="auto"/>
        <w:jc w:val="both"/>
      </w:pPr>
      <w:r w:rsidRPr="00AE2A44">
        <w:rPr>
          <w:sz w:val="24"/>
        </w:rPr>
        <w:t>The delivery of medical goods has become much more involved with certain larger companies.</w:t>
      </w:r>
    </w:p>
    <w:p w:rsidR="005C3D70" w:rsidRPr="00AE2A44" w:rsidRDefault="005C3D70" w:rsidP="005C3D70">
      <w:pPr>
        <w:spacing w:line="480" w:lineRule="auto"/>
        <w:jc w:val="center"/>
        <w:rPr>
          <w:b/>
          <w:sz w:val="24"/>
        </w:rPr>
      </w:pPr>
      <w:r w:rsidRPr="00AE2A44">
        <w:rPr>
          <w:b/>
          <w:sz w:val="24"/>
        </w:rPr>
        <w:t>Way forward for small and medium-sized logistics companies</w:t>
      </w:r>
    </w:p>
    <w:p w:rsidR="005C3D70" w:rsidRPr="00AE2A44" w:rsidRDefault="005C3D70" w:rsidP="005C3D70">
      <w:pPr>
        <w:spacing w:line="480" w:lineRule="auto"/>
        <w:rPr>
          <w:sz w:val="24"/>
        </w:rPr>
      </w:pPr>
      <w:r w:rsidRPr="00AE2A44">
        <w:rPr>
          <w:sz w:val="24"/>
        </w:rPr>
        <w:t>The following adjustments and situations may have an impact on how soon logistics companies recover from the epidemic and how long-lasting the consequences of the pandemic are felt by them:</w:t>
      </w:r>
    </w:p>
    <w:p w:rsidR="005C3D70" w:rsidRPr="00AE2A44" w:rsidRDefault="005C3D70" w:rsidP="005C3D70">
      <w:pPr>
        <w:spacing w:line="480" w:lineRule="auto"/>
        <w:rPr>
          <w:b/>
          <w:sz w:val="24"/>
        </w:rPr>
      </w:pPr>
      <w:r w:rsidRPr="00AE2A44">
        <w:rPr>
          <w:b/>
          <w:sz w:val="24"/>
        </w:rPr>
        <w:t>Expanded capabilities for the transport of specialty aviation freight:</w:t>
      </w:r>
    </w:p>
    <w:p w:rsidR="005C3D70" w:rsidRPr="00AE2A44" w:rsidRDefault="005C3D70" w:rsidP="005C3D70">
      <w:pPr>
        <w:spacing w:line="480" w:lineRule="auto"/>
        <w:rPr>
          <w:sz w:val="24"/>
        </w:rPr>
      </w:pPr>
      <w:r w:rsidRPr="00AE2A44">
        <w:rPr>
          <w:sz w:val="24"/>
        </w:rPr>
        <w:t>There is a growing need for air cargo, and airlines are quickly adapting their fleets to meet this demand.</w:t>
      </w:r>
    </w:p>
    <w:p w:rsidR="005C3D70" w:rsidRPr="00AE2A44" w:rsidRDefault="005C3D70" w:rsidP="005C3D70">
      <w:pPr>
        <w:spacing w:line="480" w:lineRule="auto"/>
        <w:rPr>
          <w:b/>
          <w:sz w:val="24"/>
        </w:rPr>
      </w:pPr>
      <w:r w:rsidRPr="00AE2A44">
        <w:rPr>
          <w:b/>
          <w:sz w:val="24"/>
        </w:rPr>
        <w:t>Procedures for controlling traffic across borders and increasing checks of shipments:</w:t>
      </w:r>
    </w:p>
    <w:p w:rsidR="005C3D70" w:rsidRPr="00AE2A44" w:rsidRDefault="005C3D70" w:rsidP="005C3D70">
      <w:pPr>
        <w:spacing w:line="480" w:lineRule="auto"/>
        <w:rPr>
          <w:sz w:val="24"/>
        </w:rPr>
      </w:pPr>
      <w:r w:rsidRPr="00AE2A44">
        <w:rPr>
          <w:sz w:val="24"/>
        </w:rPr>
        <w:t>As a result of the situation, governments have been forced to implement temporary trade embargoes and export curbs for essential items. There is a possibility that longer-term, stricter processes and restrictions at international borders, based on fears of disease transmission, would result in increased logistical expenses.</w:t>
      </w:r>
    </w:p>
    <w:p w:rsidR="005C3D70" w:rsidRPr="00AE2A44" w:rsidRDefault="005C3D70" w:rsidP="005C3D70">
      <w:pPr>
        <w:spacing w:line="480" w:lineRule="auto"/>
        <w:rPr>
          <w:b/>
          <w:sz w:val="24"/>
        </w:rPr>
      </w:pPr>
      <w:r w:rsidRPr="00AE2A44">
        <w:rPr>
          <w:b/>
          <w:sz w:val="24"/>
        </w:rPr>
        <w:t>Both online business and technological advancement are expanding:</w:t>
      </w:r>
    </w:p>
    <w:p w:rsidR="005C3D70" w:rsidRPr="00AE2A44" w:rsidRDefault="005C3D70" w:rsidP="005C3D70">
      <w:pPr>
        <w:spacing w:line="480" w:lineRule="auto"/>
        <w:rPr>
          <w:sz w:val="24"/>
        </w:rPr>
      </w:pPr>
      <w:r w:rsidRPr="00AE2A44">
        <w:rPr>
          <w:sz w:val="24"/>
        </w:rPr>
        <w:t xml:space="preserve">The field of logistics is undergoing a sea change as a direct result of technology. Companies that have great digital capabilities and are able to execute transactions online, as well as provide cargo visibility and traceability, are in a stronger position than their competitors. In order to accomplish this goal, it would be necessary to make investments in many </w:t>
      </w:r>
      <w:r w:rsidRPr="00AE2A44">
        <w:rPr>
          <w:sz w:val="24"/>
        </w:rPr>
        <w:lastRenderedPageBreak/>
        <w:t>technological areas, such as the Internet of Things (</w:t>
      </w:r>
      <w:proofErr w:type="spellStart"/>
      <w:r w:rsidRPr="00AE2A44">
        <w:rPr>
          <w:sz w:val="24"/>
        </w:rPr>
        <w:t>IoT</w:t>
      </w:r>
      <w:proofErr w:type="spellEnd"/>
      <w:r w:rsidRPr="00AE2A44">
        <w:rPr>
          <w:sz w:val="24"/>
        </w:rPr>
        <w:t xml:space="preserve">), cloud computing, automation, and data analytics. The potential for </w:t>
      </w:r>
      <w:proofErr w:type="spellStart"/>
      <w:r w:rsidRPr="00AE2A44">
        <w:rPr>
          <w:sz w:val="24"/>
        </w:rPr>
        <w:t>labor</w:t>
      </w:r>
      <w:proofErr w:type="spellEnd"/>
      <w:r w:rsidRPr="00AE2A44">
        <w:rPr>
          <w:sz w:val="24"/>
        </w:rPr>
        <w:t xml:space="preserve"> shortages among providers of logistics services may someday be mitigated by the use of robotics, unmanned aerial vehicles, and autonomous vehicles.</w:t>
      </w:r>
    </w:p>
    <w:p w:rsidR="005C3D70" w:rsidRPr="00AE2A44" w:rsidRDefault="005C3D70" w:rsidP="005C3D70">
      <w:pPr>
        <w:spacing w:line="480" w:lineRule="auto"/>
        <w:rPr>
          <w:sz w:val="24"/>
        </w:rPr>
      </w:pPr>
      <w:r w:rsidRPr="00AE2A44">
        <w:rPr>
          <w:b/>
          <w:sz w:val="24"/>
        </w:rPr>
        <w:t>The chances of recovery will vary greatly depending on both the country and the industry:</w:t>
      </w:r>
    </w:p>
    <w:p w:rsidR="005C3D70" w:rsidRPr="00AE2A44" w:rsidRDefault="005C3D70" w:rsidP="005C3D70">
      <w:pPr>
        <w:spacing w:line="480" w:lineRule="auto"/>
        <w:rPr>
          <w:sz w:val="24"/>
        </w:rPr>
      </w:pPr>
      <w:r w:rsidRPr="00AE2A44">
        <w:rPr>
          <w:sz w:val="24"/>
        </w:rPr>
        <w:t>Because the logistics business is so diverse, the chances for its recovery will vary depending on the length of time that lockdowns are in place and the duration of the economic crisis that accompanies them. Large corporations that serve a variety of sectors across a number of countries and states will be in a better position to weather the storm because of the diversity of their customer base and commercial activities (Ali et al., 2021).</w:t>
      </w:r>
    </w:p>
    <w:p w:rsidR="005C3D70" w:rsidRPr="00AE2A44" w:rsidRDefault="005C3D70" w:rsidP="005C3D70">
      <w:pPr>
        <w:spacing w:line="480" w:lineRule="auto"/>
        <w:ind w:firstLine="720"/>
        <w:rPr>
          <w:sz w:val="24"/>
        </w:rPr>
      </w:pPr>
      <w:r w:rsidRPr="00AE2A44">
        <w:rPr>
          <w:sz w:val="24"/>
        </w:rPr>
        <w:t xml:space="preserve">Despite the severe health and economic circumstances of the moment, the small and medium-sized logistics sector is navigating its way and exhibiting a remarkable aptitude for adaptability and resilience. This is the case despite the fact that they are navigating their way. It is aiding businesses in their attempts to digitalize their operations and achieve their goals of expanding into new markets by providing new and better-specialized services with a particular focus on small and medium-sized businesses. Technology has made it possible to reach closer to customers and earn their confidence by facilitating the adoption of novel patterns of digital consumption that are here to stay. Companies in the logistics industry have known from the beginning that e-commerce would transform the way customers shop and ship; as a result, having a top-notch network that can scale to meet peak demand throughout the year is more crucial than it has ever been. In addition, this transnational network has proven useful for both business and the management of public health crises, such as the COVID-19 epidemic. The industry's companies have been able to meet the </w:t>
      </w:r>
      <w:r w:rsidRPr="00AE2A44">
        <w:rPr>
          <w:sz w:val="24"/>
        </w:rPr>
        <w:lastRenderedPageBreak/>
        <w:t>demand for supplies even during the most challenging times, and they are providing immunizations throughout the world using a network that is growing more environmentally friendly and sustainable. This is evidence that logistics has the capability required to deal with a wide array of challenges. Moreover, they are providing immunizations all over the world by means of a network that is improving in terms of its sustainability and friendliness to the environment. This is evidence that logistics has the capability required to deal with a wide array of challenges. Moreover, they are providing immunizations all over the world by means of a network that is improving in terms of its sustainability and friendliness to the environment. This is evidence that logistics has the capability required to deal with a wide array of challenges.</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It is through strategic planning that entrepreneurs determine goals and actions, strengths and weaknesses of the company and prepare their way for the future. At the same time, clarity between management and employees about the desired paths for the organisation has, admittedly, positive effects on engagement, productivity and talent retention (Cohen, </w:t>
      </w:r>
      <w:proofErr w:type="spellStart"/>
      <w:r w:rsidRPr="00AE2A44">
        <w:rPr>
          <w:rFonts w:ascii="Calibri" w:eastAsia="Times New Roman" w:hAnsi="Calibri" w:cs="Calibri"/>
          <w:sz w:val="24"/>
          <w:szCs w:val="24"/>
          <w:lang w:eastAsia="en-GB"/>
        </w:rPr>
        <w:t>Naoum</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Vlismas</w:t>
      </w:r>
      <w:proofErr w:type="spellEnd"/>
      <w:r w:rsidRPr="00AE2A44">
        <w:rPr>
          <w:rFonts w:ascii="Calibri" w:eastAsia="Times New Roman" w:hAnsi="Calibri" w:cs="Calibri"/>
          <w:sz w:val="24"/>
          <w:szCs w:val="24"/>
          <w:lang w:eastAsia="en-GB"/>
        </w:rPr>
        <w:t>, 2014).</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Vision, mission, objectives and goals are some of the fundamental aspects for creating a feasible strategic plan in small and medium-sized companies. In addition to recognized analyses, in the case of SWOT (strengths, weaknesses, opportunities and threats) and SMART (specific, measurable, attainable, relevant and temporal objectives), the establishment of a vision of the future for the short, medium and long term needs to be defined and revisited regularly. Systematic monitoring of the company's internal and external conditions allows the business to prepare for unpredictability and sudden changes </w:t>
      </w:r>
      <w:r w:rsidRPr="00AE2A44">
        <w:rPr>
          <w:rFonts w:ascii="Calibri" w:eastAsia="Times New Roman" w:hAnsi="Calibri" w:cs="Calibri"/>
          <w:sz w:val="24"/>
          <w:szCs w:val="24"/>
          <w:lang w:eastAsia="en-GB"/>
        </w:rPr>
        <w:lastRenderedPageBreak/>
        <w:t xml:space="preserve">that are not under its control, as was the case with the covid-19 pandemic (Cohen, </w:t>
      </w:r>
      <w:proofErr w:type="spellStart"/>
      <w:r w:rsidRPr="00AE2A44">
        <w:rPr>
          <w:rFonts w:ascii="Calibri" w:eastAsia="Times New Roman" w:hAnsi="Calibri" w:cs="Calibri"/>
          <w:sz w:val="24"/>
          <w:szCs w:val="24"/>
          <w:lang w:eastAsia="en-GB"/>
        </w:rPr>
        <w:t>Naoum</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Vlismas</w:t>
      </w:r>
      <w:proofErr w:type="spellEnd"/>
      <w:r w:rsidRPr="00AE2A44">
        <w:rPr>
          <w:rFonts w:ascii="Calibri" w:eastAsia="Times New Roman" w:hAnsi="Calibri" w:cs="Calibri"/>
          <w:sz w:val="24"/>
          <w:szCs w:val="24"/>
          <w:lang w:eastAsia="en-GB"/>
        </w:rPr>
        <w:t>, 2014).</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To do this, based on the SWOT analysis, for example, establish a short-term action plan, one in which SMART objectives and actions for a period of up to one year are listed. Although this time interval seems too short, experts have suggested reviewing actions and goals in increasingly shorter periods so that the business strategy is always in line with events and changes in consumer behaviour (Cohen, </w:t>
      </w:r>
      <w:proofErr w:type="spellStart"/>
      <w:r w:rsidRPr="00AE2A44">
        <w:rPr>
          <w:rFonts w:ascii="Calibri" w:eastAsia="Times New Roman" w:hAnsi="Calibri" w:cs="Calibri"/>
          <w:sz w:val="24"/>
          <w:szCs w:val="24"/>
          <w:lang w:eastAsia="en-GB"/>
        </w:rPr>
        <w:t>Naoum</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Vlismas</w:t>
      </w:r>
      <w:proofErr w:type="spellEnd"/>
      <w:r w:rsidRPr="00AE2A44">
        <w:rPr>
          <w:rFonts w:ascii="Calibri" w:eastAsia="Times New Roman" w:hAnsi="Calibri" w:cs="Calibri"/>
          <w:sz w:val="24"/>
          <w:szCs w:val="24"/>
          <w:lang w:eastAsia="en-GB"/>
        </w:rPr>
        <w:t>, 2014). </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Then, prepare a set of goals and actions for a period of two to three years, considering which path the company wants to follow in its market and how fast the business wants to achieve these goals (Meyer &amp; </w:t>
      </w:r>
      <w:proofErr w:type="spellStart"/>
      <w:r w:rsidRPr="00AE2A44">
        <w:rPr>
          <w:rFonts w:ascii="Calibri" w:eastAsia="Times New Roman" w:hAnsi="Calibri" w:cs="Calibri"/>
          <w:sz w:val="24"/>
          <w:szCs w:val="24"/>
          <w:lang w:eastAsia="en-GB"/>
        </w:rPr>
        <w:t>Xin</w:t>
      </w:r>
      <w:proofErr w:type="spellEnd"/>
      <w:r w:rsidRPr="00AE2A44">
        <w:rPr>
          <w:rFonts w:ascii="Calibri" w:eastAsia="Times New Roman" w:hAnsi="Calibri" w:cs="Calibri"/>
          <w:sz w:val="24"/>
          <w:szCs w:val="24"/>
          <w:lang w:eastAsia="en-GB"/>
        </w:rPr>
        <w:t>, 2018). Finally, establish the same exercise for the long term, from five years forward. Especially in the analysis of future trends, the entrepreneur can divide this assessment into three steps:</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Time series analysis: in which it is possible to determine the influence of specific trends in the company, such as population growth, seasonal fluctuations and technological innovations, on variables such as costs, profitability, sales and market share in a given number of years, generating quantitative data (</w:t>
      </w:r>
      <w:proofErr w:type="spellStart"/>
      <w:r w:rsidRPr="00AE2A44">
        <w:rPr>
          <w:rFonts w:ascii="Calibri" w:eastAsia="Times New Roman" w:hAnsi="Calibri" w:cs="Calibri"/>
          <w:sz w:val="24"/>
          <w:szCs w:val="24"/>
          <w:lang w:eastAsia="en-GB"/>
        </w:rPr>
        <w:t>Maroufkhani</w:t>
      </w:r>
      <w:proofErr w:type="spellEnd"/>
      <w:r w:rsidRPr="00AE2A44">
        <w:rPr>
          <w:rFonts w:ascii="Calibri" w:eastAsia="Times New Roman" w:hAnsi="Calibri" w:cs="Calibri"/>
          <w:sz w:val="24"/>
          <w:szCs w:val="24"/>
          <w:lang w:eastAsia="en-GB"/>
        </w:rPr>
        <w:t xml:space="preserve">, Tseng, </w:t>
      </w:r>
      <w:proofErr w:type="spellStart"/>
      <w:r w:rsidRPr="00AE2A44">
        <w:rPr>
          <w:rFonts w:ascii="Calibri" w:eastAsia="Times New Roman" w:hAnsi="Calibri" w:cs="Calibri"/>
          <w:sz w:val="24"/>
          <w:szCs w:val="24"/>
          <w:lang w:eastAsia="en-GB"/>
        </w:rPr>
        <w:t>Iranmanesh</w:t>
      </w:r>
      <w:proofErr w:type="spellEnd"/>
      <w:r w:rsidRPr="00AE2A44">
        <w:rPr>
          <w:rFonts w:ascii="Calibri" w:eastAsia="Times New Roman" w:hAnsi="Calibri" w:cs="Calibri"/>
          <w:sz w:val="24"/>
          <w:szCs w:val="24"/>
          <w:lang w:eastAsia="en-GB"/>
        </w:rPr>
        <w:t>, Ismail &amp; Khalid, 2020).</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Forecast by judgement: where employees, customers, suppliers or unions are used as sources of qualitative data on future trends (</w:t>
      </w:r>
      <w:proofErr w:type="spellStart"/>
      <w:r w:rsidRPr="00AE2A44">
        <w:rPr>
          <w:rFonts w:ascii="Calibri" w:eastAsia="Times New Roman" w:hAnsi="Calibri" w:cs="Calibri"/>
          <w:sz w:val="24"/>
          <w:szCs w:val="24"/>
          <w:lang w:eastAsia="en-GB"/>
        </w:rPr>
        <w:t>Müller</w:t>
      </w:r>
      <w:proofErr w:type="spellEnd"/>
      <w:r w:rsidRPr="00AE2A44">
        <w:rPr>
          <w:rFonts w:ascii="Calibri" w:eastAsia="Times New Roman" w:hAnsi="Calibri" w:cs="Calibri"/>
          <w:sz w:val="24"/>
          <w:szCs w:val="24"/>
          <w:lang w:eastAsia="en-GB"/>
        </w:rPr>
        <w:t>, 2019).</w:t>
      </w:r>
    </w:p>
    <w:p w:rsidR="005C3D70" w:rsidRPr="00AE2A44" w:rsidRDefault="005C3D70" w:rsidP="005C3D70">
      <w:pPr>
        <w:spacing w:line="480" w:lineRule="auto"/>
        <w:jc w:val="both"/>
        <w:rPr>
          <w:rFonts w:ascii="Calibri" w:eastAsia="Times New Roman" w:hAnsi="Calibri" w:cs="Calibri"/>
          <w:sz w:val="24"/>
          <w:szCs w:val="24"/>
          <w:lang w:eastAsia="en-GB"/>
        </w:rPr>
      </w:pPr>
      <w:r w:rsidRPr="00AE2A44">
        <w:rPr>
          <w:rFonts w:ascii="Calibri" w:eastAsia="Times New Roman" w:hAnsi="Calibri" w:cs="Calibri"/>
          <w:sz w:val="24"/>
          <w:szCs w:val="24"/>
          <w:lang w:eastAsia="en-GB"/>
        </w:rPr>
        <w:t>Multiple Scenarios: In which professionals make various assumptions about future trends and events regarding economic and environmental conditions, such as elections, strikes, environmental regulations, raw material prices, etc (</w:t>
      </w:r>
      <w:proofErr w:type="spellStart"/>
      <w:r w:rsidRPr="00AE2A44">
        <w:rPr>
          <w:rFonts w:ascii="Calibri" w:eastAsia="Times New Roman" w:hAnsi="Calibri" w:cs="Calibri"/>
          <w:sz w:val="24"/>
          <w:szCs w:val="24"/>
          <w:lang w:eastAsia="en-GB"/>
        </w:rPr>
        <w:t>Kot</w:t>
      </w:r>
      <w:proofErr w:type="spellEnd"/>
      <w:r w:rsidRPr="00AE2A44">
        <w:rPr>
          <w:rFonts w:ascii="Calibri" w:eastAsia="Times New Roman" w:hAnsi="Calibri" w:cs="Calibri"/>
          <w:sz w:val="24"/>
          <w:szCs w:val="24"/>
          <w:lang w:eastAsia="en-GB"/>
        </w:rPr>
        <w:t>, 2018).</w:t>
      </w:r>
    </w:p>
    <w:p w:rsidR="005C3D70" w:rsidRPr="00AE2A44" w:rsidRDefault="005C3D70" w:rsidP="005C3D70">
      <w:pPr>
        <w:pStyle w:val="Heading1"/>
        <w:rPr>
          <w:color w:val="auto"/>
        </w:rPr>
      </w:pPr>
      <w:bookmarkStart w:id="23" w:name="_Toc119250914"/>
      <w:r w:rsidRPr="00AE2A44">
        <w:rPr>
          <w:color w:val="auto"/>
        </w:rPr>
        <w:lastRenderedPageBreak/>
        <w:t xml:space="preserve">4.3 Consumer </w:t>
      </w:r>
      <w:proofErr w:type="spellStart"/>
      <w:r w:rsidRPr="00AE2A44">
        <w:rPr>
          <w:color w:val="auto"/>
        </w:rPr>
        <w:t>behavior</w:t>
      </w:r>
      <w:proofErr w:type="spellEnd"/>
      <w:r w:rsidRPr="00AE2A44">
        <w:rPr>
          <w:color w:val="auto"/>
        </w:rPr>
        <w:t xml:space="preserve"> during COVID-19</w:t>
      </w:r>
      <w:bookmarkEnd w:id="23"/>
    </w:p>
    <w:p w:rsidR="005C3D70" w:rsidRPr="00AE2A44" w:rsidRDefault="005C3D70" w:rsidP="005C3D70">
      <w:pPr>
        <w:spacing w:line="480" w:lineRule="auto"/>
        <w:rPr>
          <w:rFonts w:ascii="Calibri" w:hAnsi="Calibri" w:cs="Calibri"/>
          <w:sz w:val="24"/>
          <w:szCs w:val="24"/>
        </w:rPr>
      </w:pPr>
      <w:r w:rsidRPr="00AE2A44">
        <w:rPr>
          <w:rFonts w:ascii="Calibri" w:hAnsi="Calibri" w:cs="Calibri"/>
          <w:sz w:val="24"/>
          <w:szCs w:val="24"/>
        </w:rPr>
        <w:t>Globally, societies are on lockdown, and citizens are being asked to maintain social distance and stay at home. Isolation may be harmful to us because we are social beings (</w:t>
      </w:r>
      <w:proofErr w:type="spellStart"/>
      <w:r w:rsidRPr="00AE2A44">
        <w:rPr>
          <w:rFonts w:ascii="Calibri" w:hAnsi="Calibri" w:cs="Calibri"/>
          <w:sz w:val="24"/>
          <w:szCs w:val="24"/>
        </w:rPr>
        <w:t>Cacioppo</w:t>
      </w:r>
      <w:proofErr w:type="spellEnd"/>
      <w:r w:rsidRPr="00AE2A44">
        <w:rPr>
          <w:rFonts w:ascii="Calibri" w:hAnsi="Calibri" w:cs="Calibri"/>
          <w:sz w:val="24"/>
          <w:szCs w:val="24"/>
        </w:rPr>
        <w:t xml:space="preserve"> &amp; </w:t>
      </w:r>
      <w:proofErr w:type="spellStart"/>
      <w:r w:rsidRPr="00AE2A44">
        <w:rPr>
          <w:rFonts w:ascii="Calibri" w:hAnsi="Calibri" w:cs="Calibri"/>
          <w:sz w:val="24"/>
          <w:szCs w:val="24"/>
        </w:rPr>
        <w:t>Hawkley</w:t>
      </w:r>
      <w:proofErr w:type="spellEnd"/>
      <w:r w:rsidRPr="00AE2A44">
        <w:rPr>
          <w:rFonts w:ascii="Calibri" w:hAnsi="Calibri" w:cs="Calibri"/>
          <w:sz w:val="24"/>
          <w:szCs w:val="24"/>
        </w:rPr>
        <w:t>, 2009). Loneliness has been linked to lower cognitive performance, negativity, depression, and sensitivity to social threats, among other things. There are signs that this is happening during the current pandemic, such as an increase in domestic violence, quarrels among neighbours, and firearm sales (Campbell, 2020). However, researchers are seeing an increase in other, more positive types of behaviour that have not been studied as a result of social distancing. People have begun to nest, learn new skills, and take better care of their surroundings. For example, they could learn to bake, work out, do a puzzle, or read more. Cleaning product purchases have also increased, and more trash is being recycled. Simultaneously, we eat more junk food and clean ourselves less. People are also stockpiling necessities, buying in panic, and fleeing to rural areas. This suggests that what is happening to us and our behaviours is complex, and it would be interesting to investigate this further.</w:t>
      </w:r>
    </w:p>
    <w:p w:rsidR="000F0C2C" w:rsidRPr="00AE2A44" w:rsidRDefault="000F0C2C" w:rsidP="000F0C2C">
      <w:pPr>
        <w:pStyle w:val="Heading1"/>
        <w:rPr>
          <w:color w:val="auto"/>
        </w:rPr>
      </w:pPr>
      <w:bookmarkStart w:id="24" w:name="_Toc119250915"/>
      <w:r w:rsidRPr="00AE2A44">
        <w:rPr>
          <w:color w:val="auto"/>
        </w:rPr>
        <w:t>4.4 Porter’s Value Chain Techniques</w:t>
      </w:r>
      <w:bookmarkEnd w:id="24"/>
    </w:p>
    <w:p w:rsidR="000F0C2C" w:rsidRPr="00AE2A44" w:rsidRDefault="000F0C2C" w:rsidP="000F0C2C">
      <w:pPr>
        <w:spacing w:line="480" w:lineRule="auto"/>
        <w:rPr>
          <w:rFonts w:ascii="Calibri" w:hAnsi="Calibri" w:cs="Calibri"/>
          <w:sz w:val="24"/>
          <w:szCs w:val="24"/>
        </w:rPr>
      </w:pPr>
      <w:r w:rsidRPr="00AE2A44">
        <w:rPr>
          <w:rFonts w:ascii="Calibri" w:hAnsi="Calibri" w:cs="Calibri"/>
          <w:sz w:val="24"/>
          <w:szCs w:val="24"/>
        </w:rPr>
        <w:t xml:space="preserve">Porter coined the phrase "value chain" (1980). The "value chain," according to Porter, is a representation of a firm's value-adding activities based on its pricing structure and pricing policies. Porter's method identifies actual and potential areas of </w:t>
      </w:r>
      <w:proofErr w:type="gramStart"/>
      <w:r w:rsidRPr="00AE2A44">
        <w:rPr>
          <w:rFonts w:ascii="Calibri" w:hAnsi="Calibri" w:cs="Calibri"/>
          <w:sz w:val="24"/>
          <w:szCs w:val="24"/>
        </w:rPr>
        <w:t>company ’s</w:t>
      </w:r>
      <w:proofErr w:type="gramEnd"/>
      <w:r w:rsidRPr="00AE2A44">
        <w:rPr>
          <w:rFonts w:ascii="Calibri" w:hAnsi="Calibri" w:cs="Calibri"/>
          <w:sz w:val="24"/>
          <w:szCs w:val="24"/>
        </w:rPr>
        <w:t xml:space="preserve"> competitiveness. Individual firms, according to Porter, have their own value chains embedded in value networks (or "value systems" in Porter's terminology), each of which has different functions within a sector or industry that impacts (and are influenced by) other actors in the network. Porter's discussion was notable for emphasising the interdependence and linkages between vertically arrayed actors in the creation of value for a firm.</w:t>
      </w:r>
    </w:p>
    <w:p w:rsidR="000F0C2C" w:rsidRPr="00AE2A44" w:rsidRDefault="000F0C2C" w:rsidP="000F0C2C">
      <w:pPr>
        <w:spacing w:line="480" w:lineRule="auto"/>
        <w:rPr>
          <w:rFonts w:ascii="Segoe UI" w:hAnsi="Segoe UI" w:cs="Segoe UI"/>
          <w:b/>
          <w:shd w:val="clear" w:color="auto" w:fill="FFFFFF"/>
        </w:rPr>
      </w:pPr>
      <w:r w:rsidRPr="00AE2A44">
        <w:rPr>
          <w:rFonts w:ascii="Segoe UI" w:hAnsi="Segoe UI" w:cs="Segoe UI"/>
          <w:shd w:val="clear" w:color="auto" w:fill="FFFFFF"/>
        </w:rPr>
        <w:lastRenderedPageBreak/>
        <w:t xml:space="preserve">The Porter Value Chain Model can be used as a support to help understand the situation of a business process and a linked technical-solution </w:t>
      </w:r>
      <w:proofErr w:type="gramStart"/>
      <w:r w:rsidRPr="00AE2A44">
        <w:rPr>
          <w:rFonts w:ascii="Segoe UI" w:hAnsi="Segoe UI" w:cs="Segoe UI"/>
          <w:shd w:val="clear" w:color="auto" w:fill="FFFFFF"/>
        </w:rPr>
        <w:t xml:space="preserve">space </w:t>
      </w:r>
      <w:r w:rsidRPr="00AE2A44">
        <w:rPr>
          <w:rFonts w:ascii="Segoe UI" w:hAnsi="Segoe UI" w:cs="Segoe UI"/>
          <w:b/>
          <w:shd w:val="clear" w:color="auto" w:fill="FFFFFF"/>
        </w:rPr>
        <w:t>.(</w:t>
      </w:r>
      <w:proofErr w:type="gramEnd"/>
      <w:r w:rsidRPr="00AE2A44">
        <w:rPr>
          <w:rFonts w:ascii="Segoe UI" w:hAnsi="Segoe UI" w:cs="Segoe UI"/>
          <w:b/>
          <w:shd w:val="clear" w:color="auto" w:fill="FFFFFF"/>
        </w:rPr>
        <w:t>see Appendix F)</w:t>
      </w:r>
    </w:p>
    <w:p w:rsidR="000F0C2C" w:rsidRPr="00AE2A44" w:rsidRDefault="000F0C2C" w:rsidP="000F0C2C">
      <w:pPr>
        <w:rPr>
          <w:rFonts w:cstheme="minorHAnsi"/>
          <w:b/>
          <w:sz w:val="24"/>
          <w:szCs w:val="24"/>
        </w:rPr>
      </w:pPr>
      <w:r w:rsidRPr="00AE2A44">
        <w:rPr>
          <w:rFonts w:cstheme="minorHAnsi"/>
          <w:b/>
          <w:sz w:val="24"/>
          <w:szCs w:val="24"/>
        </w:rPr>
        <w:t>Value Chain analysis for FedEx Corporation</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The value chain analysis for FedEx Corporation begins with the gathering of packages from various locations.</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The value-added services for FedEx customers are as follows:</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 xml:space="preserve">The </w:t>
      </w:r>
      <w:proofErr w:type="gramStart"/>
      <w:r w:rsidRPr="00AE2A44">
        <w:rPr>
          <w:rFonts w:ascii="Segoe UI" w:hAnsi="Segoe UI" w:cs="Segoe UI"/>
        </w:rPr>
        <w:t>invention of the air/ground express</w:t>
      </w:r>
      <w:proofErr w:type="gramEnd"/>
      <w:r w:rsidRPr="00AE2A44">
        <w:rPr>
          <w:rFonts w:ascii="Segoe UI" w:hAnsi="Segoe UI" w:cs="Segoe UI"/>
        </w:rPr>
        <w:t xml:space="preserve"> industry in1973</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Overnight delivery market</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Worldwide express delivery</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The possibility of package pick-ups just about anywhere and anytime</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Assuring timely delivery of the packages</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Ability to deliver goods quickly, therefore creating value</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Expansion into logistics management activities such as order processing, purchasing, production and customer and sales services</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t>First big transportation company that launch a Website that included tracking and tracing capabilities e.g. (the centralised computer system, COSMOS in 1979)</w:t>
      </w:r>
    </w:p>
    <w:p w:rsidR="000F0C2C" w:rsidRPr="00AE2A44" w:rsidRDefault="000F0C2C" w:rsidP="000F0C2C">
      <w:pPr>
        <w:pStyle w:val="NormalWeb"/>
        <w:shd w:val="clear" w:color="auto" w:fill="FFFFFF"/>
        <w:spacing w:before="0" w:beforeAutospacing="0" w:line="480" w:lineRule="auto"/>
        <w:rPr>
          <w:rFonts w:ascii="Segoe UI" w:hAnsi="Segoe UI" w:cs="Segoe UI"/>
        </w:rPr>
      </w:pPr>
      <w:r w:rsidRPr="00AE2A44">
        <w:rPr>
          <w:rFonts w:ascii="Segoe UI" w:hAnsi="Segoe UI" w:cs="Segoe UI"/>
        </w:rPr>
        <w:lastRenderedPageBreak/>
        <w:t xml:space="preserve">The launch of the </w:t>
      </w:r>
      <w:proofErr w:type="spellStart"/>
      <w:r w:rsidRPr="00AE2A44">
        <w:rPr>
          <w:rFonts w:ascii="Segoe UI" w:hAnsi="Segoe UI" w:cs="Segoe UI"/>
        </w:rPr>
        <w:t>Powership</w:t>
      </w:r>
      <w:proofErr w:type="spellEnd"/>
      <w:r w:rsidRPr="00AE2A44">
        <w:rPr>
          <w:rFonts w:ascii="Segoe UI" w:hAnsi="Segoe UI" w:cs="Segoe UI"/>
        </w:rPr>
        <w:t xml:space="preserve"> programme in 1984, which provides customer with online services such as storing of frequently used addresses, label printing, online package pick up requests, package tracking etc</w:t>
      </w:r>
    </w:p>
    <w:p w:rsidR="000F0C2C" w:rsidRPr="00AE2A44" w:rsidRDefault="000F0C2C" w:rsidP="000F0C2C">
      <w:pPr>
        <w:pStyle w:val="Heading1"/>
        <w:rPr>
          <w:color w:val="auto"/>
        </w:rPr>
      </w:pPr>
      <w:bookmarkStart w:id="25" w:name="_Toc119250916"/>
      <w:r w:rsidRPr="00AE2A44">
        <w:rPr>
          <w:color w:val="auto"/>
        </w:rPr>
        <w:t>4.5</w:t>
      </w:r>
      <w:r w:rsidRPr="00AE2A44">
        <w:rPr>
          <w:rFonts w:ascii="Calibri" w:hAnsi="Calibri" w:cs="Calibri"/>
          <w:color w:val="auto"/>
          <w:sz w:val="24"/>
          <w:szCs w:val="24"/>
        </w:rPr>
        <w:t xml:space="preserve"> </w:t>
      </w:r>
      <w:r w:rsidRPr="00AE2A44">
        <w:rPr>
          <w:color w:val="auto"/>
        </w:rPr>
        <w:t>Model of Competitive Advantage</w:t>
      </w:r>
      <w:bookmarkEnd w:id="25"/>
    </w:p>
    <w:p w:rsidR="000F0C2C" w:rsidRPr="00AE2A44" w:rsidRDefault="000F0C2C" w:rsidP="000F0C2C"/>
    <w:p w:rsidR="000F0C2C" w:rsidRPr="00AE2A44" w:rsidRDefault="000F0C2C" w:rsidP="000F0C2C">
      <w:pPr>
        <w:spacing w:line="480" w:lineRule="auto"/>
        <w:rPr>
          <w:rFonts w:ascii="Calibri" w:hAnsi="Calibri" w:cs="Calibri"/>
          <w:sz w:val="24"/>
          <w:szCs w:val="24"/>
        </w:rPr>
      </w:pPr>
      <w:r w:rsidRPr="00AE2A44">
        <w:rPr>
          <w:rFonts w:ascii="Calibri" w:hAnsi="Calibri" w:cs="Calibri"/>
          <w:sz w:val="24"/>
          <w:szCs w:val="24"/>
        </w:rPr>
        <w:t>The core competencies are not thought to be fixed. They are intended to change as a result of a firm's complex and turbulent external environment. They are adaptable and evolve over time. As a company grows and adapts to new circumstances and opportunities, its Core Competencies must adapt and change.</w:t>
      </w:r>
    </w:p>
    <w:p w:rsidR="000F0C2C" w:rsidRPr="00AE2A44" w:rsidRDefault="000F0C2C" w:rsidP="000F0C2C">
      <w:pPr>
        <w:spacing w:line="480" w:lineRule="auto"/>
        <w:rPr>
          <w:rFonts w:ascii="Calibri" w:hAnsi="Calibri" w:cs="Calibri"/>
          <w:sz w:val="24"/>
          <w:szCs w:val="24"/>
        </w:rPr>
      </w:pPr>
    </w:p>
    <w:p w:rsidR="000F0C2C" w:rsidRPr="00AE2A44" w:rsidRDefault="000F0C2C" w:rsidP="000F0C2C">
      <w:pPr>
        <w:spacing w:line="480" w:lineRule="auto"/>
        <w:rPr>
          <w:rFonts w:ascii="Calibri" w:hAnsi="Calibri" w:cs="Calibri"/>
          <w:sz w:val="24"/>
          <w:szCs w:val="24"/>
        </w:rPr>
      </w:pPr>
      <w:r w:rsidRPr="00AE2A44">
        <w:rPr>
          <w:rFonts w:ascii="Calibri" w:hAnsi="Calibri" w:cs="Calibri"/>
          <w:sz w:val="24"/>
          <w:szCs w:val="24"/>
        </w:rPr>
        <w:t>Furthermore, FedEx's competitive position has improved. Its main areas of expertise are now express transportation and e-solutions (providing holistic solutions to customers for managing their selling and supply chains). FedEx's primary competitive advantage has been its information technology infrastructure, client-supplied software, and website. FedEx has laid the groundwork for enormous future potential in e-business.</w:t>
      </w:r>
    </w:p>
    <w:p w:rsidR="000F0C2C" w:rsidRPr="00AE2A44" w:rsidRDefault="000F0C2C" w:rsidP="000F0C2C">
      <w:pPr>
        <w:spacing w:line="480" w:lineRule="auto"/>
        <w:rPr>
          <w:rFonts w:ascii="Calibri" w:hAnsi="Calibri" w:cs="Calibri"/>
          <w:sz w:val="24"/>
          <w:szCs w:val="24"/>
        </w:rPr>
      </w:pPr>
      <w:r w:rsidRPr="00AE2A44">
        <w:rPr>
          <w:rFonts w:ascii="Calibri" w:hAnsi="Calibri" w:cs="Calibri"/>
          <w:sz w:val="24"/>
          <w:szCs w:val="24"/>
        </w:rPr>
        <w:t>FedEx's competencies are not particularly distinctive, as the company already has strong existing competencies. These include a strong brand name and a fierce commitment to innovation and technology. FedEx broke a few records with groundbreaking technology in the 1980s. FedEx's existing competencies enabled it to become the world's leading express delivery company. FedEx will be able to make inroads and eventually gain a competitive advantage in the shipping industry as a result of these competencies, even though FedEx still trails UPS and DHL in terms of competitive advantage.</w:t>
      </w:r>
    </w:p>
    <w:p w:rsidR="000F0C2C" w:rsidRPr="00AE2A44" w:rsidRDefault="000F0C2C" w:rsidP="000F0C2C">
      <w:pPr>
        <w:spacing w:line="480" w:lineRule="auto"/>
        <w:rPr>
          <w:rFonts w:ascii="Calibri" w:hAnsi="Calibri" w:cs="Calibri"/>
          <w:sz w:val="24"/>
          <w:szCs w:val="24"/>
        </w:rPr>
      </w:pPr>
      <w:r w:rsidRPr="00AE2A44">
        <w:rPr>
          <w:rFonts w:ascii="Calibri" w:hAnsi="Calibri" w:cs="Calibri"/>
          <w:sz w:val="24"/>
          <w:szCs w:val="24"/>
        </w:rPr>
        <w:lastRenderedPageBreak/>
        <w:t>FedEx's corporate strategy had the capability of using IT to assist customers in taking advantage of international markets. By 1988, the company had spent billions on IT developments, plus millions more on capital expenditure, and had a 5,000-person IT workforce. Hand-held scanners were also distributed to its drivers, alerting customers when packages were picked up or delivered. FedEx was the first major transportation company to launch a Website with tracking and tracing capabilities in 1994.</w:t>
      </w:r>
    </w:p>
    <w:p w:rsidR="000F0C2C" w:rsidRPr="00AE2A44" w:rsidRDefault="000F0C2C" w:rsidP="000F0C2C">
      <w:pPr>
        <w:spacing w:line="480" w:lineRule="auto"/>
        <w:rPr>
          <w:rFonts w:ascii="Calibri" w:hAnsi="Calibri" w:cs="Calibri"/>
          <w:sz w:val="24"/>
          <w:szCs w:val="24"/>
        </w:rPr>
      </w:pPr>
      <w:r w:rsidRPr="00AE2A44">
        <w:rPr>
          <w:rFonts w:ascii="Calibri" w:hAnsi="Calibri" w:cs="Calibri"/>
          <w:sz w:val="24"/>
          <w:szCs w:val="24"/>
        </w:rPr>
        <w:t>Understanding business success or failure is critical for developing a successful corporate strategy and is managers' most important task. The use of prescriptive tools, methodologies, and models is insufficient for the development of an effective strategy and must be accompanied by in-depth conceptual knowledge. Managers should understand that each business strategy is unique and that no strategy is "wrong" or "right" in any absolute sense. Strategy is about developing the skills required to dominate future markets.</w:t>
      </w:r>
    </w:p>
    <w:p w:rsidR="000F0C2C" w:rsidRPr="00AE2A44" w:rsidRDefault="000F0C2C" w:rsidP="000F0C2C">
      <w:pPr>
        <w:pStyle w:val="Heading1"/>
        <w:rPr>
          <w:color w:val="auto"/>
        </w:rPr>
      </w:pPr>
      <w:bookmarkStart w:id="26" w:name="_Toc119250917"/>
      <w:r w:rsidRPr="00AE2A44">
        <w:rPr>
          <w:color w:val="auto"/>
        </w:rPr>
        <w:t>4.6 Different perspectives of the strategy’s elaboration approach</w:t>
      </w:r>
      <w:bookmarkEnd w:id="26"/>
    </w:p>
    <w:p w:rsidR="000F0C2C" w:rsidRPr="00AE2A44" w:rsidRDefault="000F0C2C" w:rsidP="000F0C2C">
      <w:pPr>
        <w:spacing w:line="480" w:lineRule="auto"/>
        <w:rPr>
          <w:rFonts w:ascii="Calibri" w:hAnsi="Calibri" w:cs="Calibri"/>
          <w:sz w:val="24"/>
        </w:rPr>
      </w:pPr>
      <w:r w:rsidRPr="00AE2A44">
        <w:rPr>
          <w:rFonts w:ascii="Calibri" w:hAnsi="Calibri" w:cs="Calibri"/>
          <w:sz w:val="24"/>
        </w:rPr>
        <w:t>FedEx used the 'Classical Management' theory method to cut costs when pricing was under pressure from competition, increase productivity by implementing new technologies, and re-examine organisational efficiency and effectiveness.</w:t>
      </w:r>
    </w:p>
    <w:p w:rsidR="000F0C2C" w:rsidRPr="00AE2A44" w:rsidRDefault="000F0C2C" w:rsidP="000F0C2C">
      <w:pPr>
        <w:spacing w:line="480" w:lineRule="auto"/>
        <w:rPr>
          <w:rFonts w:ascii="Calibri" w:hAnsi="Calibri" w:cs="Calibri"/>
          <w:sz w:val="24"/>
        </w:rPr>
      </w:pPr>
      <w:r w:rsidRPr="00AE2A44">
        <w:rPr>
          <w:rFonts w:ascii="Calibri" w:hAnsi="Calibri" w:cs="Calibri"/>
          <w:sz w:val="24"/>
        </w:rPr>
        <w:t>When conditions become more difficult, weaker members of the population face extinction, according to the 'Evolutionary Perspective.' FedEx is largely at the mercy of its surroundings, and its top priority must be to scan for threats and opportunities. The company must be vigilant and understand its own market characteristics. This will help to safeguard the organisation against threats and ensure survival within a population or niche. FedEx learned to adapt product innovators' marketing strategies in order to become adept at delivering game-changing services in light of the unique characteristics of the products.</w:t>
      </w:r>
    </w:p>
    <w:p w:rsidR="000F0C2C" w:rsidRPr="00AE2A44" w:rsidRDefault="000F0C2C" w:rsidP="000F0C2C">
      <w:pPr>
        <w:spacing w:line="480" w:lineRule="auto"/>
        <w:rPr>
          <w:rFonts w:ascii="Calibri" w:hAnsi="Calibri" w:cs="Calibri"/>
          <w:sz w:val="24"/>
        </w:rPr>
      </w:pPr>
      <w:r w:rsidRPr="00AE2A44">
        <w:rPr>
          <w:rFonts w:ascii="Calibri" w:hAnsi="Calibri" w:cs="Calibri"/>
          <w:sz w:val="24"/>
        </w:rPr>
        <w:lastRenderedPageBreak/>
        <w:t>FedEx has fostered an innovative culture, for which it has received national and international recognition. More important than the awards, however, is the value provided to customers.</w:t>
      </w:r>
    </w:p>
    <w:p w:rsidR="000F0C2C" w:rsidRPr="00AE2A44" w:rsidRDefault="000F0C2C" w:rsidP="000F0C2C">
      <w:pPr>
        <w:spacing w:line="480" w:lineRule="auto"/>
        <w:rPr>
          <w:rFonts w:ascii="Calibri" w:hAnsi="Calibri" w:cs="Calibri"/>
          <w:sz w:val="24"/>
        </w:rPr>
      </w:pPr>
      <w:r w:rsidRPr="00AE2A44">
        <w:rPr>
          <w:rFonts w:ascii="Calibri" w:hAnsi="Calibri" w:cs="Calibri"/>
          <w:sz w:val="24"/>
        </w:rPr>
        <w:t xml:space="preserve">FedEx customers said they wanted FedEx to help them grow, collaborate with them, and expand their markets when asked what they wanted. FedEx innovations assist customers in expanding their businesses. This is customer-driven innovation at its finest. You grow as your customers grow. </w:t>
      </w:r>
    </w:p>
    <w:p w:rsidR="000F0C2C" w:rsidRPr="00AE2A44" w:rsidRDefault="000F0C2C" w:rsidP="000F0C2C">
      <w:pPr>
        <w:spacing w:line="480" w:lineRule="auto"/>
        <w:rPr>
          <w:rFonts w:ascii="Calibri" w:hAnsi="Calibri" w:cs="Calibri"/>
          <w:sz w:val="24"/>
        </w:rPr>
      </w:pPr>
      <w:r w:rsidRPr="00AE2A44">
        <w:rPr>
          <w:rFonts w:ascii="Calibri" w:hAnsi="Calibri" w:cs="Calibri"/>
          <w:sz w:val="24"/>
        </w:rPr>
        <w:t>In the Evolutionary Perspective, FedEx can be described as an innovative entrepreneur as well as an exploiter of change. One of FedEx's top strategic priorities is improving customer experience in order to maintain market superiority as well as continued growth and profitability. The company find it difficult for the top performance enabling them to remain alive and progress.</w:t>
      </w:r>
    </w:p>
    <w:p w:rsidR="000F0C2C" w:rsidRPr="00AE2A44" w:rsidRDefault="000F0C2C" w:rsidP="000F0C2C">
      <w:pPr>
        <w:spacing w:line="480" w:lineRule="auto"/>
        <w:rPr>
          <w:rFonts w:ascii="Calibri" w:hAnsi="Calibri" w:cs="Calibri"/>
          <w:sz w:val="24"/>
        </w:rPr>
      </w:pPr>
      <w:proofErr w:type="gramStart"/>
      <w:r w:rsidRPr="00AE2A44">
        <w:rPr>
          <w:rFonts w:ascii="Calibri" w:hAnsi="Calibri" w:cs="Calibri"/>
          <w:sz w:val="24"/>
        </w:rPr>
        <w:t>An</w:t>
      </w:r>
      <w:proofErr w:type="gramEnd"/>
      <w:r w:rsidRPr="00AE2A44">
        <w:rPr>
          <w:rFonts w:ascii="Calibri" w:hAnsi="Calibri" w:cs="Calibri"/>
          <w:sz w:val="24"/>
        </w:rPr>
        <w:t xml:space="preserve"> developmental approach enables a company to create better tools for assessing threats and opportunities, as well as balancing exploration and exploitation in changing environments. This strategy is based on the natural selection principle, which states that in a market, the strongest survive. Individual strategic decisions made by the manager are not considered important in this context, and his role is limited to keeping costs low. The environment is the one who leaves an imprint on the structure of the strategy in this approach. Enterprises can only achieve and maintain profitability by constantly improving operational effectiveness. The evolutionary model, according to </w:t>
      </w:r>
      <w:proofErr w:type="spellStart"/>
      <w:r w:rsidRPr="00AE2A44">
        <w:rPr>
          <w:rFonts w:ascii="Calibri" w:hAnsi="Calibri" w:cs="Calibri"/>
          <w:sz w:val="24"/>
        </w:rPr>
        <w:t>Weick</w:t>
      </w:r>
      <w:proofErr w:type="spellEnd"/>
      <w:r w:rsidRPr="00AE2A44">
        <w:rPr>
          <w:rFonts w:ascii="Calibri" w:hAnsi="Calibri" w:cs="Calibri"/>
          <w:sz w:val="24"/>
        </w:rPr>
        <w:t xml:space="preserve"> (1979), is critical for understanding how individuals and groups make sense of their surroundings and organise processes. The main mechanism is sense-making in this case.</w:t>
      </w:r>
    </w:p>
    <w:p w:rsidR="000F0C2C" w:rsidRPr="00AE2A44" w:rsidRDefault="000F0C2C" w:rsidP="000F0C2C">
      <w:pPr>
        <w:spacing w:line="480" w:lineRule="auto"/>
        <w:rPr>
          <w:rFonts w:ascii="Calibri" w:hAnsi="Calibri" w:cs="Calibri"/>
          <w:sz w:val="24"/>
          <w:szCs w:val="24"/>
        </w:rPr>
      </w:pPr>
    </w:p>
    <w:p w:rsidR="005C3D70" w:rsidRPr="00AE2A44" w:rsidRDefault="00AE2A44" w:rsidP="00AE2A44">
      <w:pPr>
        <w:pStyle w:val="Heading1"/>
        <w:rPr>
          <w:color w:val="auto"/>
        </w:rPr>
      </w:pPr>
      <w:bookmarkStart w:id="27" w:name="_Toc119250918"/>
      <w:r w:rsidRPr="00AE2A44">
        <w:rPr>
          <w:color w:val="auto"/>
          <w:szCs w:val="24"/>
        </w:rPr>
        <w:lastRenderedPageBreak/>
        <w:t xml:space="preserve">4.7 </w:t>
      </w:r>
      <w:r w:rsidRPr="00AE2A44">
        <w:rPr>
          <w:color w:val="auto"/>
        </w:rPr>
        <w:t>Economic impact of COVID-19</w:t>
      </w:r>
      <w:bookmarkEnd w:id="27"/>
    </w:p>
    <w:p w:rsidR="00AE2A44" w:rsidRPr="00AE2A44" w:rsidRDefault="00AE2A44" w:rsidP="00AE2A44">
      <w:pPr>
        <w:spacing w:line="480" w:lineRule="auto"/>
        <w:rPr>
          <w:rFonts w:ascii="Calibri" w:hAnsi="Calibri" w:cs="Calibri"/>
          <w:sz w:val="24"/>
          <w:szCs w:val="24"/>
        </w:rPr>
      </w:pPr>
      <w:r w:rsidRPr="00AE2A44">
        <w:rPr>
          <w:rFonts w:ascii="Calibri" w:hAnsi="Calibri" w:cs="Calibri"/>
          <w:sz w:val="24"/>
          <w:szCs w:val="24"/>
        </w:rPr>
        <w:t xml:space="preserve">Despite the fact that COVID-19 will have an </w:t>
      </w:r>
      <w:proofErr w:type="spellStart"/>
      <w:r w:rsidRPr="00AE2A44">
        <w:rPr>
          <w:rFonts w:ascii="Calibri" w:hAnsi="Calibri" w:cs="Calibri"/>
          <w:sz w:val="24"/>
          <w:szCs w:val="24"/>
        </w:rPr>
        <w:t>impact</w:t>
      </w:r>
      <w:proofErr w:type="gramStart"/>
      <w:r w:rsidRPr="00AE2A44">
        <w:rPr>
          <w:rFonts w:ascii="Calibri" w:hAnsi="Calibri" w:cs="Calibri"/>
          <w:sz w:val="24"/>
          <w:szCs w:val="24"/>
        </w:rPr>
        <w:t>,a</w:t>
      </w:r>
      <w:proofErr w:type="spellEnd"/>
      <w:proofErr w:type="gramEnd"/>
      <w:r w:rsidRPr="00AE2A44">
        <w:rPr>
          <w:rFonts w:ascii="Calibri" w:hAnsi="Calibri" w:cs="Calibri"/>
          <w:sz w:val="24"/>
          <w:szCs w:val="24"/>
        </w:rPr>
        <w:t xml:space="preserve"> matter of bargaining power, particular</w:t>
      </w:r>
    </w:p>
    <w:p w:rsidR="00AE2A44" w:rsidRPr="00AE2A44" w:rsidRDefault="00AE2A44" w:rsidP="00AE2A44">
      <w:pPr>
        <w:spacing w:line="480" w:lineRule="auto"/>
        <w:rPr>
          <w:rFonts w:ascii="Calibri" w:hAnsi="Calibri" w:cs="Calibri"/>
          <w:sz w:val="24"/>
          <w:szCs w:val="24"/>
        </w:rPr>
      </w:pPr>
      <w:proofErr w:type="gramStart"/>
      <w:r w:rsidRPr="00AE2A44">
        <w:rPr>
          <w:rFonts w:ascii="Calibri" w:hAnsi="Calibri" w:cs="Calibri"/>
          <w:sz w:val="24"/>
          <w:szCs w:val="24"/>
        </w:rPr>
        <w:t>initiatives</w:t>
      </w:r>
      <w:proofErr w:type="gramEnd"/>
      <w:r w:rsidRPr="00AE2A44">
        <w:rPr>
          <w:rFonts w:ascii="Calibri" w:hAnsi="Calibri" w:cs="Calibri"/>
          <w:sz w:val="24"/>
          <w:szCs w:val="24"/>
        </w:rPr>
        <w:t xml:space="preserve"> are most likely to be launched by producers throughout the supply chain in order</w:t>
      </w:r>
    </w:p>
    <w:p w:rsidR="00AE2A44" w:rsidRPr="00AE2A44" w:rsidRDefault="00AE2A44" w:rsidP="00AE2A44">
      <w:pPr>
        <w:spacing w:line="480" w:lineRule="auto"/>
        <w:rPr>
          <w:rFonts w:ascii="Calibri" w:hAnsi="Calibri" w:cs="Calibri"/>
          <w:sz w:val="24"/>
          <w:szCs w:val="24"/>
        </w:rPr>
      </w:pPr>
      <w:proofErr w:type="gramStart"/>
      <w:r w:rsidRPr="00AE2A44">
        <w:rPr>
          <w:rFonts w:ascii="Calibri" w:hAnsi="Calibri" w:cs="Calibri"/>
          <w:sz w:val="24"/>
          <w:szCs w:val="24"/>
        </w:rPr>
        <w:t>to</w:t>
      </w:r>
      <w:proofErr w:type="gramEnd"/>
      <w:r w:rsidRPr="00AE2A44">
        <w:rPr>
          <w:rFonts w:ascii="Calibri" w:hAnsi="Calibri" w:cs="Calibri"/>
          <w:sz w:val="24"/>
          <w:szCs w:val="24"/>
        </w:rPr>
        <w:t xml:space="preserve"> oversee the procedure Despite its </w:t>
      </w:r>
      <w:proofErr w:type="spellStart"/>
      <w:r w:rsidRPr="00AE2A44">
        <w:rPr>
          <w:rFonts w:ascii="Calibri" w:hAnsi="Calibri" w:cs="Calibri"/>
          <w:sz w:val="24"/>
          <w:szCs w:val="24"/>
        </w:rPr>
        <w:t>sizeMultinational</w:t>
      </w:r>
      <w:proofErr w:type="spellEnd"/>
      <w:r w:rsidRPr="00AE2A44">
        <w:rPr>
          <w:rFonts w:ascii="Calibri" w:hAnsi="Calibri" w:cs="Calibri"/>
          <w:sz w:val="24"/>
          <w:szCs w:val="24"/>
        </w:rPr>
        <w:t xml:space="preserve"> corporations may form management </w:t>
      </w:r>
      <w:proofErr w:type="spellStart"/>
      <w:r w:rsidRPr="00AE2A44">
        <w:rPr>
          <w:rFonts w:ascii="Calibri" w:hAnsi="Calibri" w:cs="Calibri"/>
          <w:sz w:val="24"/>
          <w:szCs w:val="24"/>
        </w:rPr>
        <w:t>teams.These</w:t>
      </w:r>
      <w:proofErr w:type="spellEnd"/>
      <w:r w:rsidRPr="00AE2A44">
        <w:rPr>
          <w:rFonts w:ascii="Calibri" w:hAnsi="Calibri" w:cs="Calibri"/>
          <w:sz w:val="24"/>
          <w:szCs w:val="24"/>
        </w:rPr>
        <w:t xml:space="preserve"> initiatives are scaled-down versions of the same considerations are most likely to apply.</w:t>
      </w:r>
    </w:p>
    <w:p w:rsidR="00AE2A44" w:rsidRPr="00AE2A44" w:rsidRDefault="00AE2A44" w:rsidP="00AE2A44">
      <w:pPr>
        <w:spacing w:line="480" w:lineRule="auto"/>
        <w:rPr>
          <w:rFonts w:ascii="Calibri" w:hAnsi="Calibri" w:cs="Calibri"/>
          <w:sz w:val="24"/>
          <w:szCs w:val="24"/>
        </w:rPr>
      </w:pPr>
      <w:r w:rsidRPr="00AE2A44">
        <w:rPr>
          <w:rFonts w:ascii="Calibri" w:hAnsi="Calibri" w:cs="Calibri"/>
          <w:sz w:val="24"/>
          <w:szCs w:val="24"/>
        </w:rPr>
        <w:t>Initiatives that are likely include:</w:t>
      </w:r>
    </w:p>
    <w:p w:rsidR="00AE2A44" w:rsidRPr="00AE2A44" w:rsidRDefault="00AE2A44" w:rsidP="00AE2A44">
      <w:pPr>
        <w:spacing w:line="480" w:lineRule="auto"/>
        <w:rPr>
          <w:rFonts w:ascii="Calibri" w:hAnsi="Calibri" w:cs="Calibri"/>
          <w:sz w:val="24"/>
          <w:szCs w:val="24"/>
        </w:rPr>
      </w:pPr>
      <w:r w:rsidRPr="00AE2A44">
        <w:rPr>
          <w:rFonts w:ascii="Calibri" w:hAnsi="Calibri" w:cs="Calibri"/>
          <w:sz w:val="24"/>
          <w:szCs w:val="24"/>
        </w:rPr>
        <w:t>Financial Health: Enterprises will reassess their financial health and consider how they can improve their cash flow position, reserves, defer investments and increase their ability to access loans. Enterprises with weaker financial positions will have less opportunity to respond and will be more vulnerable to shocks of suppliers or customers going bankrupt. SMEs in particular may be vulnerable, as even a few customers defaulting on payments may jeopardise their financial health</w:t>
      </w:r>
    </w:p>
    <w:p w:rsidR="00AE2A44" w:rsidRPr="00AE2A44" w:rsidRDefault="00AE2A44" w:rsidP="00AE2A44">
      <w:pPr>
        <w:spacing w:line="480" w:lineRule="auto"/>
        <w:rPr>
          <w:rFonts w:ascii="Calibri" w:hAnsi="Calibri" w:cs="Calibri"/>
          <w:sz w:val="24"/>
          <w:szCs w:val="24"/>
        </w:rPr>
      </w:pPr>
      <w:r w:rsidRPr="00AE2A44">
        <w:rPr>
          <w:rFonts w:ascii="Calibri" w:hAnsi="Calibri" w:cs="Calibri"/>
          <w:sz w:val="24"/>
          <w:szCs w:val="24"/>
        </w:rPr>
        <w:t xml:space="preserve"> Cost reduction: Falling demand across the chain will drive producers to cut costs. The initial focus will be on rapidly implementable changes in the major cost drivers of the company, especially if they do not affect production capacity. Back-office activities, low-profit product lines, </w:t>
      </w:r>
      <w:proofErr w:type="spellStart"/>
      <w:r w:rsidRPr="00AE2A44">
        <w:rPr>
          <w:rFonts w:ascii="Calibri" w:hAnsi="Calibri" w:cs="Calibri"/>
          <w:sz w:val="24"/>
          <w:szCs w:val="24"/>
        </w:rPr>
        <w:t>offshoreable</w:t>
      </w:r>
      <w:proofErr w:type="spellEnd"/>
      <w:r w:rsidRPr="00AE2A44">
        <w:rPr>
          <w:rFonts w:ascii="Calibri" w:hAnsi="Calibri" w:cs="Calibri"/>
          <w:sz w:val="24"/>
          <w:szCs w:val="24"/>
        </w:rPr>
        <w:t xml:space="preserve"> services etc. are likely to be impacted. </w:t>
      </w:r>
    </w:p>
    <w:p w:rsidR="00AE2A44" w:rsidRPr="00AE2A44" w:rsidRDefault="00AE2A44" w:rsidP="00AE2A44">
      <w:pPr>
        <w:spacing w:line="480" w:lineRule="auto"/>
        <w:rPr>
          <w:rFonts w:ascii="Calibri" w:hAnsi="Calibri" w:cs="Calibri"/>
          <w:sz w:val="24"/>
          <w:szCs w:val="24"/>
        </w:rPr>
      </w:pPr>
      <w:r w:rsidRPr="00AE2A44">
        <w:rPr>
          <w:rFonts w:ascii="Calibri" w:hAnsi="Calibri" w:cs="Calibri"/>
          <w:sz w:val="24"/>
          <w:szCs w:val="24"/>
        </w:rPr>
        <w:t xml:space="preserve"> De-risking efforts: Enterprises will attempt to de-risk their supplier base. They will assess which suppliers are vulnerable, and while they may support critical suppliers to become more resilient, smaller and less critical ones may be cut from the portfolio as they are unlikely to present a cost-benefit ratio worth investing in. Tail-end spend will likely be reduced, supply chains may be shortened and localised, customers may demand that suppliers carry higher stock levels and conduct additional financial due diligence </w:t>
      </w:r>
    </w:p>
    <w:p w:rsidR="005C3D70" w:rsidRPr="00AE2A44" w:rsidRDefault="005C3D70" w:rsidP="005C3D70">
      <w:pPr>
        <w:pStyle w:val="Heading1"/>
        <w:rPr>
          <w:rFonts w:ascii="Times New Roman" w:eastAsia="Times New Roman" w:hAnsi="Times New Roman" w:cs="Times New Roman"/>
          <w:color w:val="auto"/>
          <w:kern w:val="36"/>
          <w:sz w:val="48"/>
          <w:szCs w:val="48"/>
          <w:lang w:eastAsia="en-GB"/>
        </w:rPr>
      </w:pPr>
      <w:bookmarkStart w:id="28" w:name="_Toc119152958"/>
      <w:bookmarkStart w:id="29" w:name="_Toc119250919"/>
      <w:r w:rsidRPr="00AE2A44">
        <w:rPr>
          <w:rFonts w:eastAsia="Times New Roman"/>
          <w:color w:val="auto"/>
          <w:kern w:val="36"/>
          <w:lang w:eastAsia="en-GB"/>
        </w:rPr>
        <w:lastRenderedPageBreak/>
        <w:t>5.0 Evaluation</w:t>
      </w:r>
      <w:bookmarkEnd w:id="28"/>
      <w:bookmarkEnd w:id="29"/>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The relevance of the research was to demonstrate that managers of micro and small companies need to acquire greater knowledge of internal and external issues companies since this factor determines the solution for strategic management in an auspicious management approach. However, we can also highlight the understanding of the need for training for a better relationship with the market niche; and the planning practices of the companies through formal meetings (with the managers of the different departments), formal meetings with the company's employees and informal conversations with the managers and employees. Every company, regardless of its size, needs to formulate strategies to manage its resources, optimise its time, focus on growth and train its employees, establish the institution's mission and </w:t>
      </w:r>
      <w:proofErr w:type="gramStart"/>
      <w:r w:rsidRPr="00AE2A44">
        <w:rPr>
          <w:rFonts w:ascii="Calibri" w:eastAsia="Times New Roman" w:hAnsi="Calibri" w:cs="Calibri"/>
          <w:sz w:val="24"/>
          <w:szCs w:val="24"/>
          <w:lang w:eastAsia="en-GB"/>
        </w:rPr>
        <w:t>vision,</w:t>
      </w:r>
      <w:proofErr w:type="gramEnd"/>
      <w:r w:rsidRPr="00AE2A44">
        <w:rPr>
          <w:rFonts w:ascii="Calibri" w:eastAsia="Times New Roman" w:hAnsi="Calibri" w:cs="Calibri"/>
          <w:sz w:val="24"/>
          <w:szCs w:val="24"/>
          <w:lang w:eastAsia="en-GB"/>
        </w:rPr>
        <w:t xml:space="preserve"> develop and improve its products and/or services. Therefore, it aims to achieve future profits and not only remain in the market but become a well-known and relevant brand (Raymond &amp; St-Pierre, 2013).</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Strategic planning is an essential activity for every company but above all it is for small and medium-sized enterprises, although most of them think that this process is an activity reserved only for large companies, as generally the disappearance of small and large economic realities is due not so much to chance and the imponderable but to strategic choices that turned out to be wrong despite having also had a good execution. To fully understand what the strategic planning process consists of, however, it is first necessary to analyse its definition as well as to know and carefully study all the tools necessary to set this process in motion (</w:t>
      </w:r>
      <w:proofErr w:type="spellStart"/>
      <w:r w:rsidRPr="00AE2A44">
        <w:rPr>
          <w:rFonts w:ascii="Calibri" w:eastAsia="Times New Roman" w:hAnsi="Calibri" w:cs="Calibri"/>
          <w:sz w:val="24"/>
          <w:szCs w:val="24"/>
          <w:lang w:eastAsia="en-GB"/>
        </w:rPr>
        <w:t>Shafi</w:t>
      </w:r>
      <w:proofErr w:type="spellEnd"/>
      <w:r w:rsidRPr="00AE2A44">
        <w:rPr>
          <w:rFonts w:ascii="Calibri" w:eastAsia="Times New Roman" w:hAnsi="Calibri" w:cs="Calibri"/>
          <w:sz w:val="24"/>
          <w:szCs w:val="24"/>
          <w:lang w:eastAsia="en-GB"/>
        </w:rPr>
        <w:t xml:space="preserve">, Liu &amp; </w:t>
      </w:r>
      <w:proofErr w:type="spellStart"/>
      <w:r w:rsidRPr="00AE2A44">
        <w:rPr>
          <w:rFonts w:ascii="Calibri" w:eastAsia="Times New Roman" w:hAnsi="Calibri" w:cs="Calibri"/>
          <w:sz w:val="24"/>
          <w:szCs w:val="24"/>
          <w:lang w:eastAsia="en-GB"/>
        </w:rPr>
        <w:t>Ren</w:t>
      </w:r>
      <w:proofErr w:type="spellEnd"/>
      <w:r w:rsidRPr="00AE2A44">
        <w:rPr>
          <w:rFonts w:ascii="Calibri" w:eastAsia="Times New Roman" w:hAnsi="Calibri" w:cs="Calibri"/>
          <w:sz w:val="24"/>
          <w:szCs w:val="24"/>
          <w:lang w:eastAsia="en-GB"/>
        </w:rPr>
        <w:t>, 2020).</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For SMEs, it is essential to set up a strategy capable of defining the direction that the company must follow with a sufficient level of detail. This is because, contrary to what one may mistakenly think, the strategy does not correspond to economic effectiveness and </w:t>
      </w:r>
      <w:r w:rsidRPr="00AE2A44">
        <w:rPr>
          <w:rFonts w:ascii="Calibri" w:eastAsia="Times New Roman" w:hAnsi="Calibri" w:cs="Calibri"/>
          <w:sz w:val="24"/>
          <w:szCs w:val="24"/>
          <w:lang w:eastAsia="en-GB"/>
        </w:rPr>
        <w:lastRenderedPageBreak/>
        <w:t>efficiency. Having an effective and efficient management, in fact, is essential but it is not enough to ensure success for the company as it only represents the company's ability to do better the activities that competitors also perform similarly (</w:t>
      </w:r>
      <w:proofErr w:type="spellStart"/>
      <w:r w:rsidRPr="00AE2A44">
        <w:rPr>
          <w:rFonts w:ascii="Calibri" w:eastAsia="Times New Roman" w:hAnsi="Calibri" w:cs="Calibri"/>
          <w:sz w:val="24"/>
          <w:szCs w:val="24"/>
          <w:lang w:eastAsia="en-GB"/>
        </w:rPr>
        <w:t>Teece</w:t>
      </w:r>
      <w:proofErr w:type="spellEnd"/>
      <w:r w:rsidRPr="00AE2A44">
        <w:rPr>
          <w:rFonts w:ascii="Calibri" w:eastAsia="Times New Roman" w:hAnsi="Calibri" w:cs="Calibri"/>
          <w:sz w:val="24"/>
          <w:szCs w:val="24"/>
          <w:lang w:eastAsia="en-GB"/>
        </w:rPr>
        <w:t>, 2019). The correct setting of a strategy for their business as well as of the related action plan, allows entrepreneurs to understand which resources to acquire externally and which ones to take care of with extreme attention within the business environment. The formalised process through which a specific strategy is defined and implemented is defined as strategic planning which, by its nature, brings not a few (and often not considered) benefits to SMEs (</w:t>
      </w:r>
      <w:proofErr w:type="spellStart"/>
      <w:r w:rsidRPr="00AE2A44">
        <w:rPr>
          <w:rFonts w:ascii="Calibri" w:eastAsia="Times New Roman" w:hAnsi="Calibri" w:cs="Calibri"/>
          <w:sz w:val="24"/>
          <w:szCs w:val="24"/>
          <w:lang w:eastAsia="en-GB"/>
        </w:rPr>
        <w:t>Sainidis</w:t>
      </w:r>
      <w:proofErr w:type="spellEnd"/>
      <w:r w:rsidRPr="00AE2A44">
        <w:rPr>
          <w:rFonts w:ascii="Calibri" w:eastAsia="Times New Roman" w:hAnsi="Calibri" w:cs="Calibri"/>
          <w:sz w:val="24"/>
          <w:szCs w:val="24"/>
          <w:lang w:eastAsia="en-GB"/>
        </w:rPr>
        <w:t>, Gill &amp; White, 2001).</w:t>
      </w:r>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In order to put into practice an effective strategic planning process, specific tools are needed, each capable of highlighting and evaluating different parameters. These tools have been extensively treated and described in our previous technical article but for convenience they are listed again here. The tools in question are: Porter's analysis, strategic maps, SWOT Analysis, the Business Canvas model, </w:t>
      </w:r>
      <w:proofErr w:type="spellStart"/>
      <w:r w:rsidRPr="00AE2A44">
        <w:rPr>
          <w:rFonts w:ascii="Calibri" w:eastAsia="Times New Roman" w:hAnsi="Calibri" w:cs="Calibri"/>
          <w:sz w:val="24"/>
          <w:szCs w:val="24"/>
          <w:lang w:eastAsia="en-GB"/>
        </w:rPr>
        <w:t>Pestel</w:t>
      </w:r>
      <w:proofErr w:type="spellEnd"/>
      <w:r w:rsidRPr="00AE2A44">
        <w:rPr>
          <w:rFonts w:ascii="Calibri" w:eastAsia="Times New Roman" w:hAnsi="Calibri" w:cs="Calibri"/>
          <w:sz w:val="24"/>
          <w:szCs w:val="24"/>
          <w:lang w:eastAsia="en-GB"/>
        </w:rPr>
        <w:t xml:space="preserve"> analysis and the strategic framework (</w:t>
      </w:r>
      <w:proofErr w:type="spellStart"/>
      <w:r w:rsidRPr="00AE2A44">
        <w:rPr>
          <w:rFonts w:ascii="Calibri" w:eastAsia="Times New Roman" w:hAnsi="Calibri" w:cs="Calibri"/>
          <w:sz w:val="24"/>
          <w:szCs w:val="24"/>
          <w:lang w:eastAsia="en-GB"/>
        </w:rPr>
        <w:t>Sherifi</w:t>
      </w:r>
      <w:proofErr w:type="spellEnd"/>
      <w:r w:rsidRPr="00AE2A44">
        <w:rPr>
          <w:rFonts w:ascii="Calibri" w:eastAsia="Times New Roman" w:hAnsi="Calibri" w:cs="Calibri"/>
          <w:sz w:val="24"/>
          <w:szCs w:val="24"/>
          <w:lang w:eastAsia="en-GB"/>
        </w:rPr>
        <w:t xml:space="preserve">, </w:t>
      </w:r>
      <w:proofErr w:type="spellStart"/>
      <w:r w:rsidRPr="00AE2A44">
        <w:rPr>
          <w:rFonts w:ascii="Calibri" w:eastAsia="Times New Roman" w:hAnsi="Calibri" w:cs="Calibri"/>
          <w:sz w:val="24"/>
          <w:szCs w:val="24"/>
          <w:lang w:eastAsia="en-GB"/>
        </w:rPr>
        <w:t>Andrushchenko</w:t>
      </w:r>
      <w:proofErr w:type="spellEnd"/>
      <w:r w:rsidRPr="00AE2A44">
        <w:rPr>
          <w:rFonts w:ascii="Calibri" w:eastAsia="Times New Roman" w:hAnsi="Calibri" w:cs="Calibri"/>
          <w:sz w:val="24"/>
          <w:szCs w:val="24"/>
          <w:lang w:eastAsia="en-GB"/>
        </w:rPr>
        <w:t xml:space="preserve">, </w:t>
      </w:r>
      <w:proofErr w:type="spellStart"/>
      <w:r w:rsidRPr="00AE2A44">
        <w:rPr>
          <w:rFonts w:ascii="Calibri" w:eastAsia="Times New Roman" w:hAnsi="Calibri" w:cs="Calibri"/>
          <w:sz w:val="24"/>
          <w:szCs w:val="24"/>
          <w:lang w:eastAsia="en-GB"/>
        </w:rPr>
        <w:t>Vankovych</w:t>
      </w:r>
      <w:proofErr w:type="spellEnd"/>
      <w:r w:rsidRPr="00AE2A44">
        <w:rPr>
          <w:rFonts w:ascii="Calibri" w:eastAsia="Times New Roman" w:hAnsi="Calibri" w:cs="Calibri"/>
          <w:sz w:val="24"/>
          <w:szCs w:val="24"/>
          <w:lang w:eastAsia="en-GB"/>
        </w:rPr>
        <w:t xml:space="preserve">, </w:t>
      </w:r>
      <w:proofErr w:type="spellStart"/>
      <w:r w:rsidRPr="00AE2A44">
        <w:rPr>
          <w:rFonts w:ascii="Calibri" w:eastAsia="Times New Roman" w:hAnsi="Calibri" w:cs="Calibri"/>
          <w:sz w:val="24"/>
          <w:szCs w:val="24"/>
          <w:lang w:eastAsia="en-GB"/>
        </w:rPr>
        <w:t>Solokha</w:t>
      </w:r>
      <w:proofErr w:type="spellEnd"/>
      <w:r w:rsidRPr="00AE2A44">
        <w:rPr>
          <w:rFonts w:ascii="Calibri" w:eastAsia="Times New Roman" w:hAnsi="Calibri" w:cs="Calibri"/>
          <w:sz w:val="24"/>
          <w:szCs w:val="24"/>
          <w:lang w:eastAsia="en-GB"/>
        </w:rPr>
        <w:t xml:space="preserve">, </w:t>
      </w:r>
      <w:proofErr w:type="spellStart"/>
      <w:r w:rsidRPr="00AE2A44">
        <w:rPr>
          <w:rFonts w:ascii="Calibri" w:eastAsia="Times New Roman" w:hAnsi="Calibri" w:cs="Calibri"/>
          <w:sz w:val="24"/>
          <w:szCs w:val="24"/>
          <w:lang w:eastAsia="en-GB"/>
        </w:rPr>
        <w:t>Malyshenko</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Yavorska</w:t>
      </w:r>
      <w:proofErr w:type="spellEnd"/>
      <w:r w:rsidRPr="00AE2A44">
        <w:rPr>
          <w:rFonts w:ascii="Calibri" w:eastAsia="Times New Roman" w:hAnsi="Calibri" w:cs="Calibri"/>
          <w:sz w:val="24"/>
          <w:szCs w:val="24"/>
          <w:lang w:eastAsia="en-GB"/>
        </w:rPr>
        <w:t>, 2020). </w:t>
      </w:r>
    </w:p>
    <w:p w:rsidR="005C3D70" w:rsidRPr="00AE2A44" w:rsidRDefault="005C3D70" w:rsidP="005C3D70">
      <w:pPr>
        <w:spacing w:line="480" w:lineRule="auto"/>
        <w:jc w:val="both"/>
        <w:rPr>
          <w:rFonts w:ascii="Calibri" w:eastAsia="Times New Roman" w:hAnsi="Calibri" w:cs="Calibri"/>
          <w:sz w:val="24"/>
          <w:szCs w:val="24"/>
          <w:lang w:eastAsia="en-GB"/>
        </w:rPr>
      </w:pPr>
      <w:r w:rsidRPr="00AE2A44">
        <w:rPr>
          <w:rFonts w:ascii="Calibri" w:eastAsia="Times New Roman" w:hAnsi="Calibri" w:cs="Calibri"/>
          <w:sz w:val="24"/>
          <w:szCs w:val="24"/>
          <w:lang w:eastAsia="en-GB"/>
        </w:rPr>
        <w:t xml:space="preserve">In conclusion, it is therefore evident that there are many actions to be taken to complete an effective strategic planning process so that, since SMEs often lack the skills to draft a correct Business Plan, it is often necessary to be present. </w:t>
      </w:r>
      <w:proofErr w:type="gramStart"/>
      <w:r w:rsidRPr="00AE2A44">
        <w:rPr>
          <w:rFonts w:ascii="Calibri" w:eastAsia="Times New Roman" w:hAnsi="Calibri" w:cs="Calibri"/>
          <w:sz w:val="24"/>
          <w:szCs w:val="24"/>
          <w:lang w:eastAsia="en-GB"/>
        </w:rPr>
        <w:t>of</w:t>
      </w:r>
      <w:proofErr w:type="gramEnd"/>
      <w:r w:rsidRPr="00AE2A44">
        <w:rPr>
          <w:rFonts w:ascii="Calibri" w:eastAsia="Times New Roman" w:hAnsi="Calibri" w:cs="Calibri"/>
          <w:sz w:val="24"/>
          <w:szCs w:val="24"/>
          <w:lang w:eastAsia="en-GB"/>
        </w:rPr>
        <w:t xml:space="preserve"> external resources able to assist the work. Corporate welfare has proved to be a very useful tool in large companies to retain their employees, generate a positive social impact on the territory and overcome the logic of the mere provision of company compensation and benefits (</w:t>
      </w:r>
      <w:proofErr w:type="spellStart"/>
      <w:r w:rsidRPr="00AE2A44">
        <w:rPr>
          <w:rFonts w:ascii="Calibri" w:eastAsia="Times New Roman" w:hAnsi="Calibri" w:cs="Calibri"/>
          <w:sz w:val="24"/>
          <w:szCs w:val="24"/>
          <w:lang w:eastAsia="en-GB"/>
        </w:rPr>
        <w:t>Rekarti</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Doktoralina</w:t>
      </w:r>
      <w:proofErr w:type="spellEnd"/>
      <w:r w:rsidRPr="00AE2A44">
        <w:rPr>
          <w:rFonts w:ascii="Calibri" w:eastAsia="Times New Roman" w:hAnsi="Calibri" w:cs="Calibri"/>
          <w:sz w:val="24"/>
          <w:szCs w:val="24"/>
          <w:lang w:eastAsia="en-GB"/>
        </w:rPr>
        <w:t>, 2017).</w:t>
      </w:r>
    </w:p>
    <w:p w:rsidR="005C3D70" w:rsidRPr="00AE2A44" w:rsidRDefault="005C3D70" w:rsidP="005C3D70">
      <w:pPr>
        <w:spacing w:before="400" w:line="480" w:lineRule="auto"/>
        <w:jc w:val="center"/>
        <w:outlineLvl w:val="0"/>
        <w:rPr>
          <w:rFonts w:ascii="Calibri" w:eastAsia="Times New Roman" w:hAnsi="Calibri" w:cs="Calibri"/>
          <w:b/>
          <w:bCs/>
          <w:kern w:val="36"/>
          <w:sz w:val="24"/>
          <w:szCs w:val="24"/>
          <w:lang w:eastAsia="en-GB"/>
        </w:rPr>
      </w:pPr>
    </w:p>
    <w:p w:rsidR="005C3D70" w:rsidRPr="00AE2A44" w:rsidRDefault="005C3D70" w:rsidP="005C3D70">
      <w:pPr>
        <w:pStyle w:val="Heading1"/>
        <w:rPr>
          <w:rFonts w:ascii="Times New Roman" w:eastAsia="Times New Roman" w:hAnsi="Times New Roman" w:cs="Times New Roman"/>
          <w:color w:val="auto"/>
          <w:kern w:val="36"/>
          <w:sz w:val="48"/>
          <w:szCs w:val="48"/>
          <w:lang w:eastAsia="en-GB"/>
        </w:rPr>
      </w:pPr>
      <w:bookmarkStart w:id="30" w:name="_Toc119152959"/>
      <w:bookmarkStart w:id="31" w:name="_Toc119250920"/>
      <w:r w:rsidRPr="00AE2A44">
        <w:rPr>
          <w:rFonts w:eastAsia="Times New Roman"/>
          <w:color w:val="auto"/>
          <w:kern w:val="36"/>
          <w:lang w:eastAsia="en-GB"/>
        </w:rPr>
        <w:lastRenderedPageBreak/>
        <w:t>6.0 Conclusion</w:t>
      </w:r>
      <w:bookmarkEnd w:id="30"/>
      <w:bookmarkEnd w:id="31"/>
    </w:p>
    <w:p w:rsidR="005C3D70" w:rsidRPr="00AE2A44" w:rsidRDefault="005C3D70" w:rsidP="005C3D70">
      <w:pPr>
        <w:spacing w:line="480" w:lineRule="auto"/>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Since management experts suggest that small and medium-sized companies constantly update their strategic planning in order to monitor uncertain scenarios and potential disruptions in their segment, the subscription consumption model becomes even more interesting for entrepreneurs. Given the goals and objectives created for the short, medium and long term, the flexibility of the subscription model allows for more fluid management in line with expenses, revenues and business strategy.</w:t>
      </w:r>
    </w:p>
    <w:p w:rsidR="005C3D70" w:rsidRPr="00AE2A44" w:rsidRDefault="005C3D70" w:rsidP="005C3D70">
      <w:pPr>
        <w:spacing w:line="480" w:lineRule="auto"/>
        <w:jc w:val="both"/>
        <w:rPr>
          <w:rFonts w:ascii="Calibri" w:eastAsia="Times New Roman" w:hAnsi="Calibri" w:cs="Calibri"/>
          <w:sz w:val="24"/>
          <w:szCs w:val="24"/>
          <w:lang w:eastAsia="en-GB"/>
        </w:rPr>
      </w:pPr>
      <w:r w:rsidRPr="00AE2A44">
        <w:rPr>
          <w:rFonts w:ascii="Calibri" w:eastAsia="Times New Roman" w:hAnsi="Calibri" w:cs="Calibri"/>
          <w:sz w:val="24"/>
          <w:szCs w:val="24"/>
          <w:lang w:eastAsia="en-GB"/>
        </w:rPr>
        <w:t xml:space="preserve">In this sense, small and medium managers reduce strategic and operational risk by investing in flexible services, such as subscriptions to car service that allows entrepreneurs to rent up to ten cars for themselves. This way, it is possible to choose a plan suited to the needs of the moment without losing service and expertise in fleet management, paying exactly for what is used. The possibility of adapting the service obtained to the current situation of the business means that SMEs do not need to </w:t>
      </w:r>
      <w:proofErr w:type="spellStart"/>
      <w:r w:rsidRPr="00AE2A44">
        <w:rPr>
          <w:rFonts w:ascii="Calibri" w:eastAsia="Times New Roman" w:hAnsi="Calibri" w:cs="Calibri"/>
          <w:sz w:val="24"/>
          <w:szCs w:val="24"/>
          <w:lang w:eastAsia="en-GB"/>
        </w:rPr>
        <w:t>decapitalize</w:t>
      </w:r>
      <w:proofErr w:type="spellEnd"/>
      <w:r w:rsidRPr="00AE2A44">
        <w:rPr>
          <w:rFonts w:ascii="Calibri" w:eastAsia="Times New Roman" w:hAnsi="Calibri" w:cs="Calibri"/>
          <w:sz w:val="24"/>
          <w:szCs w:val="24"/>
          <w:lang w:eastAsia="en-GB"/>
        </w:rPr>
        <w:t xml:space="preserve"> to acquire vehicles, pay for insurance, documentation and fees, and keep their strategic planning up to date and in permanent connection with the market (Kraus, </w:t>
      </w:r>
      <w:proofErr w:type="spellStart"/>
      <w:r w:rsidRPr="00AE2A44">
        <w:rPr>
          <w:rFonts w:ascii="Calibri" w:eastAsia="Times New Roman" w:hAnsi="Calibri" w:cs="Calibri"/>
          <w:sz w:val="24"/>
          <w:szCs w:val="24"/>
          <w:lang w:eastAsia="en-GB"/>
        </w:rPr>
        <w:t>Reiche</w:t>
      </w:r>
      <w:proofErr w:type="spellEnd"/>
      <w:r w:rsidRPr="00AE2A44">
        <w:rPr>
          <w:rFonts w:ascii="Calibri" w:eastAsia="Times New Roman" w:hAnsi="Calibri" w:cs="Calibri"/>
          <w:sz w:val="24"/>
          <w:szCs w:val="24"/>
          <w:lang w:eastAsia="en-GB"/>
        </w:rPr>
        <w:t xml:space="preserve"> &amp; </w:t>
      </w:r>
      <w:proofErr w:type="spellStart"/>
      <w:r w:rsidRPr="00AE2A44">
        <w:rPr>
          <w:rFonts w:ascii="Calibri" w:eastAsia="Times New Roman" w:hAnsi="Calibri" w:cs="Calibri"/>
          <w:sz w:val="24"/>
          <w:szCs w:val="24"/>
          <w:lang w:eastAsia="en-GB"/>
        </w:rPr>
        <w:t>Reschke</w:t>
      </w:r>
      <w:proofErr w:type="spellEnd"/>
      <w:r w:rsidRPr="00AE2A44">
        <w:rPr>
          <w:rFonts w:ascii="Calibri" w:eastAsia="Times New Roman" w:hAnsi="Calibri" w:cs="Calibri"/>
          <w:sz w:val="24"/>
          <w:szCs w:val="24"/>
          <w:lang w:eastAsia="en-GB"/>
        </w:rPr>
        <w:t>, 2007).</w:t>
      </w:r>
    </w:p>
    <w:p w:rsidR="00AE2A44" w:rsidRPr="00AE2A44" w:rsidRDefault="00AE2A44" w:rsidP="00AE2A44">
      <w:pPr>
        <w:spacing w:line="480" w:lineRule="auto"/>
        <w:ind w:firstLine="720"/>
        <w:rPr>
          <w:rFonts w:ascii="Times New Roman" w:hAnsi="Times New Roman" w:cs="Times New Roman"/>
          <w:sz w:val="24"/>
          <w:szCs w:val="24"/>
        </w:rPr>
      </w:pPr>
      <w:r w:rsidRPr="00AE2A44">
        <w:rPr>
          <w:rFonts w:ascii="Times New Roman" w:hAnsi="Times New Roman" w:cs="Times New Roman"/>
          <w:sz w:val="24"/>
          <w:szCs w:val="24"/>
        </w:rPr>
        <w:t xml:space="preserve">Creating a strategy for SMEs may comprise systematic and opportunistic or emergent choices, actions, and outcomes. This approach is founded on the notion that lucrative opportunities are accessible in the larger market. The bulk of strategic management literature is shifting away from a logical approach and toward a practice- or activity-based approach. This tendency might be seen as a movement from an approach </w:t>
      </w:r>
      <w:proofErr w:type="spellStart"/>
      <w:r w:rsidRPr="00AE2A44">
        <w:rPr>
          <w:rFonts w:ascii="Times New Roman" w:hAnsi="Times New Roman" w:cs="Times New Roman"/>
          <w:sz w:val="24"/>
          <w:szCs w:val="24"/>
        </w:rPr>
        <w:t>centered</w:t>
      </w:r>
      <w:proofErr w:type="spellEnd"/>
      <w:r w:rsidRPr="00AE2A44">
        <w:rPr>
          <w:rFonts w:ascii="Times New Roman" w:hAnsi="Times New Roman" w:cs="Times New Roman"/>
          <w:sz w:val="24"/>
          <w:szCs w:val="24"/>
        </w:rPr>
        <w:t xml:space="preserve"> on rational reasoning to one focused on action. The literature on entrepreneurship and SME strategy is thus important to this development.</w:t>
      </w:r>
    </w:p>
    <w:p w:rsidR="00AE2A44" w:rsidRPr="00AE2A44" w:rsidRDefault="00AE2A44" w:rsidP="00AE2A44">
      <w:pPr>
        <w:spacing w:line="480" w:lineRule="auto"/>
        <w:ind w:firstLine="720"/>
        <w:rPr>
          <w:rFonts w:ascii="Times New Roman" w:hAnsi="Times New Roman" w:cs="Times New Roman"/>
          <w:sz w:val="24"/>
          <w:szCs w:val="24"/>
        </w:rPr>
      </w:pPr>
      <w:r w:rsidRPr="00AE2A44">
        <w:rPr>
          <w:rFonts w:ascii="Times New Roman" w:hAnsi="Times New Roman" w:cs="Times New Roman"/>
          <w:sz w:val="24"/>
          <w:szCs w:val="24"/>
        </w:rPr>
        <w:t>The use of inefficient strategy management tactics is considered one of the causes of the insufficient success of SMEs. Small and medium-sized businesses employ short-</w:t>
      </w:r>
      <w:proofErr w:type="spellStart"/>
      <w:r w:rsidRPr="00AE2A44">
        <w:rPr>
          <w:rFonts w:ascii="Times New Roman" w:hAnsi="Times New Roman" w:cs="Times New Roman"/>
          <w:sz w:val="24"/>
          <w:szCs w:val="24"/>
        </w:rPr>
        <w:lastRenderedPageBreak/>
        <w:t>terminism</w:t>
      </w:r>
      <w:proofErr w:type="spellEnd"/>
      <w:r w:rsidRPr="00AE2A44">
        <w:rPr>
          <w:rFonts w:ascii="Times New Roman" w:hAnsi="Times New Roman" w:cs="Times New Roman"/>
          <w:sz w:val="24"/>
          <w:szCs w:val="24"/>
        </w:rPr>
        <w:t xml:space="preserve"> to manage their goals less formally and more intuitively. The level of strategic awareness held by SME managers and business owners is the primary factor determining the company's longevity and level of long-term success. Managers of small and medium-sized enterprises (SMEs) must conduct frequent evaluations of their business strategies to ensure that their plans remain relevant over time. SMEs must strive toward the achievement of the company's strategic objectives via the efforts of motivated employees and continuous investments.</w:t>
      </w:r>
    </w:p>
    <w:p w:rsidR="00906158" w:rsidRPr="00AE2A44" w:rsidRDefault="00906158" w:rsidP="005C3D70">
      <w:pPr>
        <w:spacing w:line="480" w:lineRule="auto"/>
        <w:jc w:val="both"/>
        <w:rPr>
          <w:rFonts w:ascii="Times New Roman" w:eastAsia="Times New Roman" w:hAnsi="Times New Roman" w:cs="Times New Roman"/>
          <w:sz w:val="24"/>
          <w:szCs w:val="24"/>
          <w:lang w:eastAsia="en-GB"/>
        </w:rPr>
      </w:pPr>
    </w:p>
    <w:p w:rsidR="00906158" w:rsidRPr="00AE2A44" w:rsidRDefault="00906158">
      <w:pPr>
        <w:spacing w:after="200" w:line="276" w:lineRule="auto"/>
        <w:rPr>
          <w:rFonts w:ascii="Times New Roman" w:eastAsia="Times New Roman" w:hAnsi="Times New Roman" w:cs="Times New Roman"/>
          <w:sz w:val="24"/>
          <w:szCs w:val="24"/>
          <w:lang w:eastAsia="en-GB"/>
        </w:rPr>
      </w:pPr>
      <w:r w:rsidRPr="00AE2A44">
        <w:rPr>
          <w:rFonts w:ascii="Times New Roman" w:eastAsia="Times New Roman" w:hAnsi="Times New Roman" w:cs="Times New Roman"/>
          <w:sz w:val="24"/>
          <w:szCs w:val="24"/>
          <w:lang w:eastAsia="en-GB"/>
        </w:rPr>
        <w:br w:type="page"/>
      </w:r>
    </w:p>
    <w:p w:rsidR="00906158" w:rsidRPr="00AE2A44" w:rsidRDefault="00906158" w:rsidP="00906158">
      <w:pPr>
        <w:pStyle w:val="Heading1"/>
        <w:rPr>
          <w:rFonts w:ascii="Times New Roman" w:eastAsia="Times New Roman" w:hAnsi="Times New Roman" w:cs="Times New Roman"/>
          <w:color w:val="auto"/>
          <w:kern w:val="36"/>
          <w:sz w:val="48"/>
          <w:szCs w:val="48"/>
          <w:lang w:eastAsia="en-GB"/>
        </w:rPr>
      </w:pPr>
      <w:bookmarkStart w:id="32" w:name="_Toc119152960"/>
      <w:bookmarkStart w:id="33" w:name="_Toc119250921"/>
      <w:r w:rsidRPr="00AE2A44">
        <w:rPr>
          <w:rFonts w:eastAsia="Times New Roman"/>
          <w:color w:val="auto"/>
          <w:kern w:val="36"/>
          <w:lang w:eastAsia="en-GB"/>
        </w:rPr>
        <w:lastRenderedPageBreak/>
        <w:t>References</w:t>
      </w:r>
      <w:bookmarkEnd w:id="32"/>
      <w:bookmarkEnd w:id="33"/>
    </w:p>
    <w:p w:rsidR="00906158" w:rsidRPr="00AE2A44" w:rsidRDefault="00906158" w:rsidP="00906158">
      <w:pPr>
        <w:spacing w:line="480" w:lineRule="auto"/>
        <w:ind w:hanging="720"/>
        <w:rPr>
          <w:rFonts w:ascii="Times New Roman" w:eastAsia="Times New Roman" w:hAnsi="Times New Roman" w:cs="Times New Roman"/>
          <w:sz w:val="24"/>
          <w:szCs w:val="24"/>
          <w:lang w:eastAsia="en-GB"/>
        </w:rPr>
      </w:pPr>
      <w:proofErr w:type="gramStart"/>
      <w:r w:rsidRPr="00AE2A44">
        <w:rPr>
          <w:rFonts w:ascii="Calibri" w:eastAsia="Times New Roman" w:hAnsi="Calibri" w:cs="Calibri"/>
          <w:sz w:val="24"/>
          <w:szCs w:val="24"/>
          <w:lang w:eastAsia="en-GB"/>
        </w:rPr>
        <w:t>Aragón‐</w:t>
      </w:r>
      <w:proofErr w:type="spellStart"/>
      <w:r w:rsidRPr="00AE2A44">
        <w:rPr>
          <w:rFonts w:ascii="Calibri" w:eastAsia="Times New Roman" w:hAnsi="Calibri" w:cs="Calibri"/>
          <w:sz w:val="24"/>
          <w:szCs w:val="24"/>
          <w:lang w:eastAsia="en-GB"/>
        </w:rPr>
        <w:t>Sánchez</w:t>
      </w:r>
      <w:proofErr w:type="spellEnd"/>
      <w:r w:rsidRPr="00AE2A44">
        <w:rPr>
          <w:rFonts w:ascii="Calibri" w:eastAsia="Times New Roman" w:hAnsi="Calibri" w:cs="Calibri"/>
          <w:sz w:val="24"/>
          <w:szCs w:val="24"/>
          <w:lang w:eastAsia="en-GB"/>
        </w:rPr>
        <w:t xml:space="preserve">, A., &amp; </w:t>
      </w:r>
      <w:proofErr w:type="spellStart"/>
      <w:r w:rsidRPr="00AE2A44">
        <w:rPr>
          <w:rFonts w:ascii="Calibri" w:eastAsia="Times New Roman" w:hAnsi="Calibri" w:cs="Calibri"/>
          <w:sz w:val="24"/>
          <w:szCs w:val="24"/>
          <w:lang w:eastAsia="en-GB"/>
        </w:rPr>
        <w:t>Sánchez‐Marín</w:t>
      </w:r>
      <w:proofErr w:type="spellEnd"/>
      <w:r w:rsidRPr="00AE2A44">
        <w:rPr>
          <w:rFonts w:ascii="Calibri" w:eastAsia="Times New Roman" w:hAnsi="Calibri" w:cs="Calibri"/>
          <w:sz w:val="24"/>
          <w:szCs w:val="24"/>
          <w:lang w:eastAsia="en-GB"/>
        </w:rPr>
        <w:t>, G. (2005).</w:t>
      </w:r>
      <w:proofErr w:type="gramEnd"/>
      <w:r w:rsidRPr="00AE2A44">
        <w:rPr>
          <w:rFonts w:ascii="Calibri" w:eastAsia="Times New Roman" w:hAnsi="Calibri" w:cs="Calibri"/>
          <w:sz w:val="24"/>
          <w:szCs w:val="24"/>
          <w:lang w:eastAsia="en-GB"/>
        </w:rPr>
        <w:t xml:space="preserve"> Strategic orientation, management characteristics, and performance: A study of Spanish SMEs. </w:t>
      </w:r>
      <w:proofErr w:type="gramStart"/>
      <w:r w:rsidRPr="00AE2A44">
        <w:rPr>
          <w:rFonts w:ascii="Calibri" w:eastAsia="Times New Roman" w:hAnsi="Calibri" w:cs="Calibri"/>
          <w:sz w:val="24"/>
          <w:szCs w:val="24"/>
          <w:lang w:eastAsia="en-GB"/>
        </w:rPr>
        <w:t>Journal of small business management, 43(3), 287-308.</w:t>
      </w:r>
      <w:proofErr w:type="gramEnd"/>
      <w:r w:rsidRPr="00AE2A44">
        <w:rPr>
          <w:rFonts w:ascii="Calibri" w:eastAsia="Times New Roman" w:hAnsi="Calibri" w:cs="Calibri"/>
          <w:sz w:val="24"/>
          <w:szCs w:val="24"/>
          <w:lang w:eastAsia="en-GB"/>
        </w:rPr>
        <w:t xml:space="preserve"> Available </w:t>
      </w:r>
      <w:proofErr w:type="gramStart"/>
      <w:r w:rsidRPr="00AE2A44">
        <w:rPr>
          <w:rFonts w:ascii="Calibri" w:eastAsia="Times New Roman" w:hAnsi="Calibri" w:cs="Calibri"/>
          <w:sz w:val="24"/>
          <w:szCs w:val="24"/>
          <w:lang w:eastAsia="en-GB"/>
        </w:rPr>
        <w:t>at :</w:t>
      </w:r>
      <w:proofErr w:type="gramEnd"/>
      <w:r w:rsidRPr="00AE2A44">
        <w:rPr>
          <w:rFonts w:ascii="Calibri" w:eastAsia="Times New Roman" w:hAnsi="Calibri" w:cs="Calibri"/>
          <w:sz w:val="24"/>
          <w:szCs w:val="24"/>
          <w:lang w:eastAsia="en-GB"/>
        </w:rPr>
        <w:t xml:space="preserve"> </w:t>
      </w:r>
      <w:hyperlink r:id="rId7" w:history="1">
        <w:r w:rsidRPr="00AE2A44">
          <w:rPr>
            <w:rStyle w:val="Hyperlink"/>
            <w:rFonts w:ascii="Calibri" w:eastAsia="Times New Roman" w:hAnsi="Calibri" w:cs="Calibri"/>
            <w:color w:val="auto"/>
            <w:sz w:val="24"/>
            <w:szCs w:val="24"/>
            <w:lang w:eastAsia="en-GB"/>
          </w:rPr>
          <w:t>https://www.tandfonline.com/doi/abs/10.1111/j.1540-627X.2005.00138.x</w:t>
        </w:r>
      </w:hyperlink>
      <w:r w:rsidRPr="00AE2A44">
        <w:t xml:space="preserve"> </w:t>
      </w:r>
      <w:r w:rsidRPr="00AE2A44">
        <w:rPr>
          <w:rFonts w:ascii="Calibri" w:eastAsia="Times New Roman" w:hAnsi="Calibri" w:cs="Calibri"/>
          <w:sz w:val="24"/>
          <w:szCs w:val="24"/>
          <w:lang w:eastAsia="en-GB"/>
        </w:rPr>
        <w:t xml:space="preserve"> Accessed 03/10/2022 </w:t>
      </w:r>
    </w:p>
    <w:p w:rsidR="00906158" w:rsidRPr="00AE2A44" w:rsidRDefault="00906158" w:rsidP="00906158">
      <w:pPr>
        <w:spacing w:line="480" w:lineRule="auto"/>
        <w:ind w:left="720" w:hanging="720"/>
        <w:rPr>
          <w:sz w:val="24"/>
        </w:rPr>
      </w:pPr>
      <w:proofErr w:type="spellStart"/>
      <w:proofErr w:type="gramStart"/>
      <w:r w:rsidRPr="00AE2A44">
        <w:rPr>
          <w:sz w:val="24"/>
        </w:rPr>
        <w:t>Abdelfattah</w:t>
      </w:r>
      <w:proofErr w:type="spellEnd"/>
      <w:r w:rsidRPr="00AE2A44">
        <w:rPr>
          <w:sz w:val="24"/>
        </w:rPr>
        <w:t xml:space="preserve">, F., </w:t>
      </w:r>
      <w:proofErr w:type="spellStart"/>
      <w:r w:rsidRPr="00AE2A44">
        <w:rPr>
          <w:sz w:val="24"/>
        </w:rPr>
        <w:t>Malik</w:t>
      </w:r>
      <w:proofErr w:type="spellEnd"/>
      <w:r w:rsidRPr="00AE2A44">
        <w:rPr>
          <w:sz w:val="24"/>
        </w:rPr>
        <w:t xml:space="preserve">, M., Al </w:t>
      </w:r>
      <w:proofErr w:type="spellStart"/>
      <w:r w:rsidRPr="00AE2A44">
        <w:rPr>
          <w:sz w:val="24"/>
        </w:rPr>
        <w:t>Alawi</w:t>
      </w:r>
      <w:proofErr w:type="spellEnd"/>
      <w:r w:rsidRPr="00AE2A44">
        <w:rPr>
          <w:sz w:val="24"/>
        </w:rPr>
        <w:t xml:space="preserve">, A. M., </w:t>
      </w:r>
      <w:proofErr w:type="spellStart"/>
      <w:r w:rsidRPr="00AE2A44">
        <w:rPr>
          <w:sz w:val="24"/>
        </w:rPr>
        <w:t>Sallem</w:t>
      </w:r>
      <w:proofErr w:type="spellEnd"/>
      <w:r w:rsidRPr="00AE2A44">
        <w:rPr>
          <w:sz w:val="24"/>
        </w:rPr>
        <w:t xml:space="preserve">, R., &amp; </w:t>
      </w:r>
      <w:proofErr w:type="spellStart"/>
      <w:r w:rsidRPr="00AE2A44">
        <w:rPr>
          <w:sz w:val="24"/>
        </w:rPr>
        <w:t>Ganguly</w:t>
      </w:r>
      <w:proofErr w:type="spellEnd"/>
      <w:r w:rsidRPr="00AE2A44">
        <w:rPr>
          <w:sz w:val="24"/>
        </w:rPr>
        <w:t>, A. (2022).</w:t>
      </w:r>
      <w:proofErr w:type="gramEnd"/>
      <w:r w:rsidRPr="00AE2A44">
        <w:rPr>
          <w:sz w:val="24"/>
        </w:rPr>
        <w:t xml:space="preserve"> Towards measuring SMEs performance amid the COVID-19 outbreak: Exploring the impact of integrated supply chain drivers. </w:t>
      </w:r>
      <w:proofErr w:type="gramStart"/>
      <w:r w:rsidRPr="00AE2A44">
        <w:rPr>
          <w:sz w:val="24"/>
        </w:rPr>
        <w:t>Journal of Global Operations and Strategic Sourcing, (ahead-of-print).</w:t>
      </w:r>
      <w:proofErr w:type="gramEnd"/>
      <w:r w:rsidRPr="00AE2A44">
        <w:rPr>
          <w:sz w:val="24"/>
        </w:rPr>
        <w:t xml:space="preserve"> Available at : </w:t>
      </w:r>
      <w:hyperlink r:id="rId8" w:history="1">
        <w:r w:rsidRPr="00AE2A44">
          <w:rPr>
            <w:rStyle w:val="Hyperlink"/>
            <w:color w:val="auto"/>
            <w:sz w:val="24"/>
          </w:rPr>
          <w:t>https://s100.copyright.com/AppDispatchServlet?publisherName=Emerald&amp;contentID=10.1108%2FJGOSS-11-2021-0094&amp;title=Towards+measuring+SMEs+performance+amid+the+COVID-19+outbreak%3A+exploring+the+impact+of+integrated+supply+chain+drivers&amp;publicationDate=07%2F08%2F2022&amp;author=Fadi+Abdelfattah%2C+Mustafa+Malik%2C+Abrar+Mohammed+Al+Alawi%2C+Ramzi+Sallem%2C+Anirban+Ganguly&amp;orderBeanReset=true&amp;volumeNum=ahead-of-print&amp;issueNum=ahead-of-print&amp;startPage=&amp;endPage=&amp;publication=JGOSS&amp;pageCount=1&amp;imprint=Emerald&amp;issn=2398-5364&amp;color=false&amp;pa=&amp;rpt</w:t>
        </w:r>
      </w:hyperlink>
      <w:r w:rsidRPr="00AE2A44">
        <w:rPr>
          <w:sz w:val="24"/>
        </w:rPr>
        <w:t>=  Accessed 05/10/2022</w:t>
      </w:r>
    </w:p>
    <w:p w:rsidR="00906158" w:rsidRPr="00AE2A44" w:rsidRDefault="00906158" w:rsidP="00906158">
      <w:pPr>
        <w:tabs>
          <w:tab w:val="left" w:pos="0"/>
        </w:tabs>
        <w:spacing w:line="480" w:lineRule="auto"/>
        <w:ind w:left="720" w:hanging="720"/>
        <w:rPr>
          <w:sz w:val="24"/>
        </w:rPr>
      </w:pPr>
      <w:proofErr w:type="gramStart"/>
      <w:r w:rsidRPr="00AE2A44">
        <w:rPr>
          <w:sz w:val="24"/>
        </w:rPr>
        <w:t>Ali, M. H., Suleiman, N., Khalid, N., Tan, K. H., Tseng, M. L., &amp; Kumar, M. (2021).</w:t>
      </w:r>
      <w:proofErr w:type="gramEnd"/>
      <w:r w:rsidRPr="00AE2A44">
        <w:rPr>
          <w:sz w:val="24"/>
        </w:rPr>
        <w:t xml:space="preserve"> Supply chain resilience reactive strategies for food SMEs in coping to COVID-19 crisis. </w:t>
      </w:r>
      <w:proofErr w:type="gramStart"/>
      <w:r w:rsidRPr="00AE2A44">
        <w:rPr>
          <w:sz w:val="24"/>
        </w:rPr>
        <w:t>Trends in food science &amp; technology, 109, 94-102.</w:t>
      </w:r>
      <w:proofErr w:type="gramEnd"/>
      <w:r w:rsidRPr="00AE2A44">
        <w:rPr>
          <w:sz w:val="24"/>
        </w:rPr>
        <w:t xml:space="preserve"> Available </w:t>
      </w:r>
      <w:proofErr w:type="gramStart"/>
      <w:r w:rsidRPr="00AE2A44">
        <w:rPr>
          <w:sz w:val="24"/>
        </w:rPr>
        <w:t>at :</w:t>
      </w:r>
      <w:proofErr w:type="gramEnd"/>
      <w:r w:rsidRPr="00AE2A44">
        <w:rPr>
          <w:sz w:val="24"/>
        </w:rPr>
        <w:t xml:space="preserve"> </w:t>
      </w:r>
      <w:hyperlink r:id="rId9" w:history="1">
        <w:r w:rsidRPr="00AE2A44">
          <w:rPr>
            <w:rStyle w:val="Hyperlink"/>
            <w:color w:val="auto"/>
            <w:sz w:val="24"/>
          </w:rPr>
          <w:t>https://www.sciencedirect.com/science/article/pii/S0924224421000200</w:t>
        </w:r>
      </w:hyperlink>
      <w:r w:rsidRPr="00AE2A44">
        <w:rPr>
          <w:sz w:val="24"/>
        </w:rPr>
        <w:t xml:space="preserve">  Accessed 09/10/2022 </w:t>
      </w:r>
    </w:p>
    <w:p w:rsidR="00170454" w:rsidRPr="00AE2A44" w:rsidRDefault="00170454" w:rsidP="00170454">
      <w:pPr>
        <w:rPr>
          <w:rFonts w:ascii="Calibri" w:hAnsi="Calibri" w:cs="Calibri"/>
          <w:sz w:val="24"/>
          <w:szCs w:val="24"/>
        </w:rPr>
      </w:pPr>
      <w:proofErr w:type="gramStart"/>
      <w:r w:rsidRPr="00AE2A44">
        <w:rPr>
          <w:rStyle w:val="hlfld-contribauthor"/>
          <w:rFonts w:ascii="Calibri" w:hAnsi="Calibri" w:cs="Calibri"/>
          <w:sz w:val="24"/>
          <w:szCs w:val="24"/>
        </w:rPr>
        <w:lastRenderedPageBreak/>
        <w:t>Ali, </w:t>
      </w:r>
      <w:r w:rsidRPr="00AE2A44">
        <w:rPr>
          <w:rStyle w:val="nlmgiven-names"/>
          <w:rFonts w:ascii="Calibri" w:hAnsi="Calibri" w:cs="Calibri"/>
          <w:sz w:val="24"/>
          <w:szCs w:val="24"/>
        </w:rPr>
        <w:t>K.</w:t>
      </w:r>
      <w:r w:rsidRPr="00AE2A44">
        <w:rPr>
          <w:rFonts w:ascii="Calibri" w:hAnsi="Calibri" w:cs="Calibri"/>
          <w:sz w:val="24"/>
          <w:szCs w:val="24"/>
        </w:rPr>
        <w:t>, &amp; </w:t>
      </w:r>
      <w:r w:rsidRPr="00AE2A44">
        <w:rPr>
          <w:rStyle w:val="hlfld-contribauthor"/>
          <w:rFonts w:ascii="Calibri" w:hAnsi="Calibri" w:cs="Calibri"/>
          <w:sz w:val="24"/>
          <w:szCs w:val="24"/>
        </w:rPr>
        <w:t>Raja, </w:t>
      </w:r>
      <w:r w:rsidRPr="00AE2A44">
        <w:rPr>
          <w:rStyle w:val="nlmgiven-names"/>
          <w:rFonts w:ascii="Calibri" w:hAnsi="Calibri" w:cs="Calibri"/>
          <w:sz w:val="24"/>
          <w:szCs w:val="24"/>
        </w:rPr>
        <w:t>M.</w:t>
      </w:r>
      <w:r w:rsidRPr="00AE2A44">
        <w:rPr>
          <w:rFonts w:ascii="Calibri" w:hAnsi="Calibri" w:cs="Calibri"/>
          <w:sz w:val="24"/>
          <w:szCs w:val="24"/>
        </w:rPr>
        <w:t> (</w:t>
      </w:r>
      <w:r w:rsidRPr="00AE2A44">
        <w:rPr>
          <w:rStyle w:val="nlmyear"/>
          <w:rFonts w:ascii="Calibri" w:hAnsi="Calibri" w:cs="Calibri"/>
          <w:sz w:val="24"/>
          <w:szCs w:val="24"/>
        </w:rPr>
        <w:t>2020</w:t>
      </w:r>
      <w:r w:rsidRPr="00AE2A44">
        <w:rPr>
          <w:rFonts w:ascii="Calibri" w:hAnsi="Calibri" w:cs="Calibri"/>
          <w:sz w:val="24"/>
          <w:szCs w:val="24"/>
        </w:rPr>
        <w:t>).</w:t>
      </w:r>
      <w:proofErr w:type="gramEnd"/>
      <w:r w:rsidRPr="00AE2A44">
        <w:rPr>
          <w:rFonts w:ascii="Calibri" w:hAnsi="Calibri" w:cs="Calibri"/>
          <w:sz w:val="24"/>
          <w:szCs w:val="24"/>
        </w:rPr>
        <w:t> </w:t>
      </w:r>
      <w:proofErr w:type="spellStart"/>
      <w:r w:rsidRPr="00AE2A44">
        <w:rPr>
          <w:rStyle w:val="nlmarticle-title"/>
          <w:rFonts w:ascii="Calibri" w:hAnsi="Calibri" w:cs="Calibri"/>
          <w:sz w:val="24"/>
          <w:szCs w:val="24"/>
        </w:rPr>
        <w:t>Coronavirus</w:t>
      </w:r>
      <w:proofErr w:type="spellEnd"/>
      <w:r w:rsidRPr="00AE2A44">
        <w:rPr>
          <w:rStyle w:val="nlmarticle-title"/>
          <w:rFonts w:ascii="Calibri" w:hAnsi="Calibri" w:cs="Calibri"/>
          <w:sz w:val="24"/>
          <w:szCs w:val="24"/>
        </w:rPr>
        <w:t xml:space="preserve"> disease 2019 (COVID-19): Challenges and management of aerosol-generating procedures in dentistry</w:t>
      </w:r>
      <w:r w:rsidRPr="00AE2A44">
        <w:rPr>
          <w:rFonts w:ascii="Calibri" w:hAnsi="Calibri" w:cs="Calibri"/>
          <w:sz w:val="24"/>
          <w:szCs w:val="24"/>
        </w:rPr>
        <w:t>. </w:t>
      </w:r>
      <w:r w:rsidRPr="00AE2A44">
        <w:rPr>
          <w:rFonts w:ascii="Calibri" w:hAnsi="Calibri" w:cs="Calibri"/>
          <w:i/>
          <w:iCs/>
          <w:sz w:val="24"/>
          <w:szCs w:val="24"/>
        </w:rPr>
        <w:t>Evidence-Based Dentistry</w:t>
      </w:r>
      <w:r w:rsidRPr="00AE2A44">
        <w:rPr>
          <w:rFonts w:ascii="Calibri" w:hAnsi="Calibri" w:cs="Calibri"/>
          <w:sz w:val="24"/>
          <w:szCs w:val="24"/>
        </w:rPr>
        <w:t>, </w:t>
      </w:r>
      <w:r w:rsidRPr="00AE2A44">
        <w:rPr>
          <w:rFonts w:ascii="Calibri" w:hAnsi="Calibri" w:cs="Calibri"/>
          <w:i/>
          <w:iCs/>
          <w:sz w:val="24"/>
          <w:szCs w:val="24"/>
        </w:rPr>
        <w:t>21</w:t>
      </w:r>
      <w:r w:rsidRPr="00AE2A44">
        <w:rPr>
          <w:rFonts w:ascii="Calibri" w:hAnsi="Calibri" w:cs="Calibri"/>
          <w:sz w:val="24"/>
          <w:szCs w:val="24"/>
        </w:rPr>
        <w:t>(2), </w:t>
      </w:r>
      <w:r w:rsidRPr="00AE2A44">
        <w:rPr>
          <w:rStyle w:val="nlmfpage"/>
          <w:rFonts w:ascii="Calibri" w:hAnsi="Calibri" w:cs="Calibri"/>
          <w:sz w:val="24"/>
          <w:szCs w:val="24"/>
        </w:rPr>
        <w:t>44</w:t>
      </w:r>
      <w:r w:rsidRPr="00AE2A44">
        <w:rPr>
          <w:rFonts w:ascii="Calibri" w:hAnsi="Calibri" w:cs="Calibri"/>
          <w:sz w:val="24"/>
          <w:szCs w:val="24"/>
        </w:rPr>
        <w:t>–</w:t>
      </w:r>
      <w:r w:rsidRPr="00AE2A44">
        <w:rPr>
          <w:rStyle w:val="nlmlpage"/>
          <w:rFonts w:ascii="Calibri" w:hAnsi="Calibri" w:cs="Calibri"/>
          <w:sz w:val="24"/>
          <w:szCs w:val="24"/>
        </w:rPr>
        <w:t>45</w:t>
      </w:r>
      <w:r w:rsidRPr="00AE2A44">
        <w:rPr>
          <w:rFonts w:ascii="Calibri" w:hAnsi="Calibri" w:cs="Calibri"/>
          <w:sz w:val="24"/>
          <w:szCs w:val="24"/>
        </w:rPr>
        <w:t xml:space="preserve">. Available at : </w:t>
      </w:r>
      <w:hyperlink r:id="rId10" w:history="1">
        <w:r w:rsidRPr="00AE2A44">
          <w:rPr>
            <w:rStyle w:val="Hyperlink"/>
            <w:rFonts w:ascii="Calibri" w:hAnsi="Calibri" w:cs="Calibri"/>
            <w:color w:val="auto"/>
            <w:sz w:val="24"/>
            <w:szCs w:val="24"/>
          </w:rPr>
          <w:t>https://scholar.google.com/scholar_lookup?hl=en&amp;volume=21&amp;publication_year=2020&amp;pages=44-45&amp;issue=2&amp;author=K.+Ali&amp;author=M.+Raja&amp;title=Coronavirus+disease+2019+%28COVID-19%29%3A+Challenges+and+management+of+aerosol-generating+procedures+in+dentistry&amp;doi=https%3A%2F%2Fdoi.org%2F10.1038%2Fs41432-020-0088-4</w:t>
        </w:r>
      </w:hyperlink>
      <w:r w:rsidRPr="00AE2A44">
        <w:rPr>
          <w:rFonts w:ascii="Calibri" w:hAnsi="Calibri" w:cs="Calibri"/>
          <w:sz w:val="24"/>
          <w:szCs w:val="24"/>
        </w:rPr>
        <w:t xml:space="preserve"> Accessed 10/11/2022 </w:t>
      </w:r>
    </w:p>
    <w:p w:rsidR="00906158" w:rsidRPr="00AE2A44" w:rsidRDefault="00906158" w:rsidP="00906158">
      <w:pPr>
        <w:spacing w:line="480" w:lineRule="auto"/>
        <w:jc w:val="both"/>
        <w:rPr>
          <w:rFonts w:ascii="Calibri" w:eastAsia="Times New Roman" w:hAnsi="Calibri" w:cs="Calibri"/>
          <w:sz w:val="24"/>
          <w:szCs w:val="24"/>
          <w:lang w:eastAsia="en-GB"/>
        </w:rPr>
      </w:pPr>
      <w:proofErr w:type="spellStart"/>
      <w:proofErr w:type="gramStart"/>
      <w:r w:rsidRPr="00AE2A44">
        <w:rPr>
          <w:rFonts w:ascii="Calibri" w:eastAsia="Times New Roman" w:hAnsi="Calibri" w:cs="Calibri"/>
          <w:sz w:val="24"/>
          <w:szCs w:val="24"/>
          <w:lang w:eastAsia="en-GB"/>
        </w:rPr>
        <w:t>Bartolacci</w:t>
      </w:r>
      <w:proofErr w:type="spellEnd"/>
      <w:r w:rsidRPr="00AE2A44">
        <w:rPr>
          <w:rFonts w:ascii="Calibri" w:eastAsia="Times New Roman" w:hAnsi="Calibri" w:cs="Calibri"/>
          <w:sz w:val="24"/>
          <w:szCs w:val="24"/>
          <w:lang w:eastAsia="en-GB"/>
        </w:rPr>
        <w:t xml:space="preserve">, F., Caputo, A., &amp; </w:t>
      </w:r>
      <w:proofErr w:type="spellStart"/>
      <w:r w:rsidRPr="00AE2A44">
        <w:rPr>
          <w:rFonts w:ascii="Calibri" w:eastAsia="Times New Roman" w:hAnsi="Calibri" w:cs="Calibri"/>
          <w:sz w:val="24"/>
          <w:szCs w:val="24"/>
          <w:lang w:eastAsia="en-GB"/>
        </w:rPr>
        <w:t>Soverchia</w:t>
      </w:r>
      <w:proofErr w:type="spellEnd"/>
      <w:r w:rsidRPr="00AE2A44">
        <w:rPr>
          <w:rFonts w:ascii="Calibri" w:eastAsia="Times New Roman" w:hAnsi="Calibri" w:cs="Calibri"/>
          <w:sz w:val="24"/>
          <w:szCs w:val="24"/>
          <w:lang w:eastAsia="en-GB"/>
        </w:rPr>
        <w:t>, M. (2020).</w:t>
      </w:r>
      <w:proofErr w:type="gramEnd"/>
      <w:r w:rsidRPr="00AE2A44">
        <w:rPr>
          <w:rFonts w:ascii="Calibri" w:eastAsia="Times New Roman" w:hAnsi="Calibri" w:cs="Calibri"/>
          <w:sz w:val="24"/>
          <w:szCs w:val="24"/>
          <w:lang w:eastAsia="en-GB"/>
        </w:rPr>
        <w:t xml:space="preserve"> Sustainability and financial performance of small and medium sized enterprises: A </w:t>
      </w:r>
      <w:proofErr w:type="spellStart"/>
      <w:r w:rsidRPr="00AE2A44">
        <w:rPr>
          <w:rFonts w:ascii="Calibri" w:eastAsia="Times New Roman" w:hAnsi="Calibri" w:cs="Calibri"/>
          <w:sz w:val="24"/>
          <w:szCs w:val="24"/>
          <w:lang w:eastAsia="en-GB"/>
        </w:rPr>
        <w:t>bibliometric</w:t>
      </w:r>
      <w:proofErr w:type="spellEnd"/>
      <w:r w:rsidRPr="00AE2A44">
        <w:rPr>
          <w:rFonts w:ascii="Calibri" w:eastAsia="Times New Roman" w:hAnsi="Calibri" w:cs="Calibri"/>
          <w:sz w:val="24"/>
          <w:szCs w:val="24"/>
          <w:lang w:eastAsia="en-GB"/>
        </w:rPr>
        <w:t xml:space="preserve"> and systematic literature review. </w:t>
      </w:r>
      <w:r w:rsidRPr="00AE2A44">
        <w:rPr>
          <w:rFonts w:ascii="Calibri" w:eastAsia="Times New Roman" w:hAnsi="Calibri" w:cs="Calibri"/>
          <w:i/>
          <w:iCs/>
          <w:sz w:val="24"/>
          <w:szCs w:val="24"/>
          <w:lang w:eastAsia="en-GB"/>
        </w:rPr>
        <w:t>Business Strategy and the Environment</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29</w:t>
      </w:r>
      <w:r w:rsidRPr="00AE2A44">
        <w:rPr>
          <w:rFonts w:ascii="Calibri" w:eastAsia="Times New Roman" w:hAnsi="Calibri" w:cs="Calibri"/>
          <w:sz w:val="24"/>
          <w:szCs w:val="24"/>
          <w:lang w:eastAsia="en-GB"/>
        </w:rPr>
        <w:t xml:space="preserve">(3), 1297-1309. Available </w:t>
      </w:r>
      <w:proofErr w:type="gramStart"/>
      <w:r w:rsidRPr="00AE2A44">
        <w:rPr>
          <w:rFonts w:ascii="Calibri" w:eastAsia="Times New Roman" w:hAnsi="Calibri" w:cs="Calibri"/>
          <w:sz w:val="24"/>
          <w:szCs w:val="24"/>
          <w:lang w:eastAsia="en-GB"/>
        </w:rPr>
        <w:t>at :</w:t>
      </w:r>
      <w:proofErr w:type="gramEnd"/>
      <w:r w:rsidRPr="00AE2A44">
        <w:rPr>
          <w:rFonts w:ascii="Calibri" w:eastAsia="Times New Roman" w:hAnsi="Calibri" w:cs="Calibri"/>
          <w:sz w:val="24"/>
          <w:szCs w:val="24"/>
          <w:lang w:eastAsia="en-GB"/>
        </w:rPr>
        <w:t xml:space="preserve"> </w:t>
      </w:r>
      <w:hyperlink r:id="rId11" w:history="1">
        <w:r w:rsidRPr="00AE2A44">
          <w:rPr>
            <w:rStyle w:val="Hyperlink"/>
            <w:rFonts w:ascii="Calibri" w:eastAsia="Times New Roman" w:hAnsi="Calibri" w:cs="Calibri"/>
            <w:color w:val="auto"/>
            <w:sz w:val="24"/>
            <w:szCs w:val="24"/>
            <w:lang w:eastAsia="en-GB"/>
          </w:rPr>
          <w:t>https://onlinelibrary.wiley.com/doi/abs/10.1002/bse.2434</w:t>
        </w:r>
      </w:hyperlink>
      <w:r w:rsidRPr="00AE2A44">
        <w:rPr>
          <w:rFonts w:ascii="Calibri" w:eastAsia="Times New Roman" w:hAnsi="Calibri" w:cs="Calibri"/>
          <w:sz w:val="24"/>
          <w:szCs w:val="24"/>
          <w:lang w:eastAsia="en-GB"/>
        </w:rPr>
        <w:t xml:space="preserve">  Accessed 15/10/2022 </w:t>
      </w:r>
    </w:p>
    <w:p w:rsidR="00906158" w:rsidRPr="00AE2A44" w:rsidRDefault="00906158" w:rsidP="00906158">
      <w:pPr>
        <w:tabs>
          <w:tab w:val="left" w:pos="0"/>
        </w:tabs>
        <w:spacing w:line="480" w:lineRule="auto"/>
        <w:ind w:left="720" w:hanging="720"/>
        <w:rPr>
          <w:sz w:val="24"/>
        </w:rPr>
      </w:pPr>
      <w:proofErr w:type="spellStart"/>
      <w:proofErr w:type="gramStart"/>
      <w:r w:rsidRPr="00AE2A44">
        <w:rPr>
          <w:sz w:val="24"/>
        </w:rPr>
        <w:t>Baral</w:t>
      </w:r>
      <w:proofErr w:type="spellEnd"/>
      <w:r w:rsidRPr="00AE2A44">
        <w:rPr>
          <w:sz w:val="24"/>
        </w:rPr>
        <w:t xml:space="preserve">, M. M., Singh, R. K., &amp; </w:t>
      </w:r>
      <w:proofErr w:type="spellStart"/>
      <w:r w:rsidRPr="00AE2A44">
        <w:rPr>
          <w:sz w:val="24"/>
        </w:rPr>
        <w:t>Kazançoğlu</w:t>
      </w:r>
      <w:proofErr w:type="spellEnd"/>
      <w:r w:rsidRPr="00AE2A44">
        <w:rPr>
          <w:sz w:val="24"/>
        </w:rPr>
        <w:t>, Y. (2021).</w:t>
      </w:r>
      <w:proofErr w:type="gramEnd"/>
      <w:r w:rsidRPr="00AE2A44">
        <w:rPr>
          <w:sz w:val="24"/>
        </w:rPr>
        <w:t xml:space="preserve"> Analysis of factors impacting survivability of sustainable supply chain during COVID-19 pandemic: an empirical study in the context of SMEs. </w:t>
      </w:r>
      <w:proofErr w:type="gramStart"/>
      <w:r w:rsidRPr="00AE2A44">
        <w:rPr>
          <w:sz w:val="24"/>
        </w:rPr>
        <w:t>The International Journal of Logistics Management.</w:t>
      </w:r>
      <w:proofErr w:type="gramEnd"/>
      <w:r w:rsidRPr="00AE2A44">
        <w:rPr>
          <w:sz w:val="24"/>
        </w:rPr>
        <w:t xml:space="preserve"> Available </w:t>
      </w:r>
      <w:proofErr w:type="gramStart"/>
      <w:r w:rsidRPr="00AE2A44">
        <w:rPr>
          <w:sz w:val="24"/>
        </w:rPr>
        <w:t>at  :</w:t>
      </w:r>
      <w:proofErr w:type="gramEnd"/>
      <w:r w:rsidRPr="00AE2A44">
        <w:t xml:space="preserve"> </w:t>
      </w:r>
      <w:hyperlink r:id="rId12" w:history="1">
        <w:r w:rsidRPr="00AE2A44">
          <w:rPr>
            <w:rStyle w:val="Hyperlink"/>
            <w:color w:val="auto"/>
            <w:sz w:val="24"/>
          </w:rPr>
          <w:t>https://www.emerald.com/insight/content/doi/10.1108/IJLM-04-2021-0198/full/html</w:t>
        </w:r>
      </w:hyperlink>
      <w:r w:rsidRPr="00AE2A44">
        <w:rPr>
          <w:sz w:val="24"/>
        </w:rPr>
        <w:t xml:space="preserve">  Accessed 16/10/2022 </w:t>
      </w:r>
    </w:p>
    <w:p w:rsidR="00906158" w:rsidRPr="00AE2A44" w:rsidRDefault="00906158" w:rsidP="00906158">
      <w:pPr>
        <w:tabs>
          <w:tab w:val="left" w:pos="0"/>
        </w:tabs>
        <w:spacing w:line="480" w:lineRule="auto"/>
        <w:ind w:left="720" w:hanging="720"/>
        <w:rPr>
          <w:sz w:val="24"/>
        </w:rPr>
      </w:pPr>
      <w:proofErr w:type="spellStart"/>
      <w:proofErr w:type="gramStart"/>
      <w:r w:rsidRPr="00AE2A44">
        <w:rPr>
          <w:sz w:val="24"/>
        </w:rPr>
        <w:t>Bylen</w:t>
      </w:r>
      <w:proofErr w:type="spellEnd"/>
      <w:r w:rsidRPr="00AE2A44">
        <w:rPr>
          <w:sz w:val="24"/>
        </w:rPr>
        <w:t>, S. (2020).</w:t>
      </w:r>
      <w:proofErr w:type="gramEnd"/>
      <w:r w:rsidRPr="00AE2A44">
        <w:rPr>
          <w:sz w:val="24"/>
        </w:rPr>
        <w:t xml:space="preserve"> </w:t>
      </w:r>
      <w:proofErr w:type="gramStart"/>
      <w:r w:rsidRPr="00AE2A44">
        <w:rPr>
          <w:sz w:val="24"/>
        </w:rPr>
        <w:t>Market of logistics services during the Covid-19 pandemic.</w:t>
      </w:r>
      <w:proofErr w:type="gramEnd"/>
      <w:r w:rsidRPr="00AE2A44">
        <w:rPr>
          <w:sz w:val="24"/>
        </w:rPr>
        <w:t xml:space="preserve"> Available </w:t>
      </w:r>
      <w:proofErr w:type="gramStart"/>
      <w:r w:rsidRPr="00AE2A44">
        <w:rPr>
          <w:sz w:val="24"/>
        </w:rPr>
        <w:t>at :</w:t>
      </w:r>
      <w:proofErr w:type="gramEnd"/>
      <w:r w:rsidRPr="00AE2A44">
        <w:rPr>
          <w:sz w:val="24"/>
        </w:rPr>
        <w:t xml:space="preserve"> </w:t>
      </w:r>
      <w:hyperlink r:id="rId13" w:history="1">
        <w:r w:rsidRPr="00AE2A44">
          <w:rPr>
            <w:rStyle w:val="Hyperlink"/>
            <w:color w:val="auto"/>
            <w:sz w:val="24"/>
          </w:rPr>
          <w:t>https://www.um.edu.mt/library/oar/handle/123456789/79041</w:t>
        </w:r>
      </w:hyperlink>
      <w:r w:rsidRPr="00AE2A44">
        <w:rPr>
          <w:sz w:val="24"/>
        </w:rPr>
        <w:t xml:space="preserve">  </w:t>
      </w:r>
      <w:proofErr w:type="spellStart"/>
      <w:r w:rsidRPr="00AE2A44">
        <w:rPr>
          <w:sz w:val="24"/>
        </w:rPr>
        <w:t>Acceessed</w:t>
      </w:r>
      <w:proofErr w:type="spellEnd"/>
      <w:r w:rsidRPr="00AE2A44">
        <w:rPr>
          <w:sz w:val="24"/>
        </w:rPr>
        <w:t xml:space="preserve"> 20/10/2022</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
    <w:p w:rsidR="00906158" w:rsidRPr="00AE2A44" w:rsidRDefault="00906158" w:rsidP="00906158">
      <w:pPr>
        <w:spacing w:line="480" w:lineRule="auto"/>
        <w:ind w:left="720" w:hanging="720"/>
        <w:rPr>
          <w:sz w:val="24"/>
        </w:rPr>
      </w:pPr>
      <w:proofErr w:type="gramStart"/>
      <w:r w:rsidRPr="00AE2A44">
        <w:rPr>
          <w:sz w:val="24"/>
        </w:rPr>
        <w:t>Caballero-Morales, S. O. (2021).</w:t>
      </w:r>
      <w:proofErr w:type="gramEnd"/>
      <w:r w:rsidRPr="00AE2A44">
        <w:rPr>
          <w:sz w:val="24"/>
        </w:rPr>
        <w:t xml:space="preserve"> </w:t>
      </w:r>
      <w:proofErr w:type="gramStart"/>
      <w:r w:rsidRPr="00AE2A44">
        <w:rPr>
          <w:sz w:val="24"/>
        </w:rPr>
        <w:t>Innovation as recovery strategy for SMEs in emerging economies during the COVID-19 pandemic.</w:t>
      </w:r>
      <w:proofErr w:type="gramEnd"/>
      <w:r w:rsidRPr="00AE2A44">
        <w:rPr>
          <w:sz w:val="24"/>
        </w:rPr>
        <w:t xml:space="preserve"> Research in international business and finance, 57, 101396 Available </w:t>
      </w:r>
      <w:proofErr w:type="gramStart"/>
      <w:r w:rsidRPr="00AE2A44">
        <w:rPr>
          <w:sz w:val="24"/>
        </w:rPr>
        <w:t>at :</w:t>
      </w:r>
      <w:proofErr w:type="gramEnd"/>
      <w:r w:rsidRPr="00AE2A44">
        <w:rPr>
          <w:sz w:val="24"/>
        </w:rPr>
        <w:t xml:space="preserve"> </w:t>
      </w:r>
      <w:hyperlink r:id="rId14" w:history="1">
        <w:r w:rsidRPr="00AE2A44">
          <w:rPr>
            <w:rStyle w:val="Hyperlink"/>
            <w:color w:val="auto"/>
            <w:sz w:val="24"/>
          </w:rPr>
          <w:t>https://www.sciencedirect.com/science/article/pii/S0275531921000179</w:t>
        </w:r>
      </w:hyperlink>
      <w:r w:rsidRPr="00AE2A44">
        <w:t xml:space="preserve"> </w:t>
      </w:r>
      <w:r w:rsidRPr="00AE2A44">
        <w:rPr>
          <w:sz w:val="24"/>
        </w:rPr>
        <w:t xml:space="preserve"> Accessed 17/10/2022 </w:t>
      </w:r>
    </w:p>
    <w:p w:rsidR="00906158" w:rsidRPr="00AE2A44" w:rsidRDefault="00906158" w:rsidP="00906158">
      <w:pPr>
        <w:spacing w:line="480" w:lineRule="auto"/>
        <w:jc w:val="both"/>
        <w:rPr>
          <w:rFonts w:ascii="Calibri" w:eastAsia="Times New Roman" w:hAnsi="Calibri" w:cs="Calibri"/>
          <w:sz w:val="24"/>
          <w:szCs w:val="24"/>
          <w:lang w:eastAsia="en-GB"/>
        </w:rPr>
      </w:pPr>
      <w:proofErr w:type="gramStart"/>
      <w:r w:rsidRPr="00AE2A44">
        <w:rPr>
          <w:rFonts w:ascii="Calibri" w:eastAsia="Times New Roman" w:hAnsi="Calibri" w:cs="Calibri"/>
          <w:sz w:val="24"/>
          <w:szCs w:val="24"/>
          <w:lang w:eastAsia="en-GB"/>
        </w:rPr>
        <w:lastRenderedPageBreak/>
        <w:t xml:space="preserve">Cohen, S., </w:t>
      </w:r>
      <w:proofErr w:type="spellStart"/>
      <w:r w:rsidRPr="00AE2A44">
        <w:rPr>
          <w:rFonts w:ascii="Calibri" w:eastAsia="Times New Roman" w:hAnsi="Calibri" w:cs="Calibri"/>
          <w:sz w:val="24"/>
          <w:szCs w:val="24"/>
          <w:lang w:eastAsia="en-GB"/>
        </w:rPr>
        <w:t>Naoum</w:t>
      </w:r>
      <w:proofErr w:type="spellEnd"/>
      <w:r w:rsidRPr="00AE2A44">
        <w:rPr>
          <w:rFonts w:ascii="Calibri" w:eastAsia="Times New Roman" w:hAnsi="Calibri" w:cs="Calibri"/>
          <w:sz w:val="24"/>
          <w:szCs w:val="24"/>
          <w:lang w:eastAsia="en-GB"/>
        </w:rPr>
        <w:t xml:space="preserve">, V. C., &amp; </w:t>
      </w:r>
      <w:proofErr w:type="spellStart"/>
      <w:r w:rsidRPr="00AE2A44">
        <w:rPr>
          <w:rFonts w:ascii="Calibri" w:eastAsia="Times New Roman" w:hAnsi="Calibri" w:cs="Calibri"/>
          <w:sz w:val="24"/>
          <w:szCs w:val="24"/>
          <w:lang w:eastAsia="en-GB"/>
        </w:rPr>
        <w:t>Vlismas</w:t>
      </w:r>
      <w:proofErr w:type="spellEnd"/>
      <w:r w:rsidRPr="00AE2A44">
        <w:rPr>
          <w:rFonts w:ascii="Calibri" w:eastAsia="Times New Roman" w:hAnsi="Calibri" w:cs="Calibri"/>
          <w:sz w:val="24"/>
          <w:szCs w:val="24"/>
          <w:lang w:eastAsia="en-GB"/>
        </w:rPr>
        <w:t>, O. (2014).</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Intellectual capital, strategy and financial crisis from a SMEs perspective.</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Journal of Intellectual Capital.</w:t>
      </w:r>
      <w:proofErr w:type="gramEnd"/>
      <w:r w:rsidRPr="00AE2A44">
        <w:rPr>
          <w:rFonts w:ascii="Calibri" w:eastAsia="Times New Roman" w:hAnsi="Calibri" w:cs="Calibri"/>
          <w:sz w:val="24"/>
          <w:szCs w:val="24"/>
          <w:lang w:eastAsia="en-GB"/>
        </w:rPr>
        <w:t xml:space="preserve"> Available at : </w:t>
      </w:r>
      <w:hyperlink r:id="rId15" w:history="1">
        <w:r w:rsidRPr="00AE2A44">
          <w:rPr>
            <w:rStyle w:val="Hyperlink"/>
            <w:rFonts w:ascii="Calibri" w:eastAsia="Times New Roman" w:hAnsi="Calibri" w:cs="Calibri"/>
            <w:color w:val="auto"/>
            <w:sz w:val="24"/>
            <w:szCs w:val="24"/>
            <w:lang w:eastAsia="en-GB"/>
          </w:rPr>
          <w:t>https://scholar.google.co.uk/scholar?hl=en&amp;as_sdt=0%2C5&amp;q=Cohen%2C+S.%2C+Naoum%2C+V.+C.%2C+%26+Vlismas%2C+O.+%282014%29.+Intellectual+capital%2C+strategy+and+financial+crisis+from+a+SMEs+perspective.+Journal+of+Intellectual+Capital.&amp;btnG</w:t>
        </w:r>
      </w:hyperlink>
      <w:r w:rsidRPr="00AE2A44">
        <w:t xml:space="preserve"> </w:t>
      </w:r>
      <w:r w:rsidRPr="00AE2A44">
        <w:rPr>
          <w:rFonts w:ascii="Calibri" w:eastAsia="Times New Roman" w:hAnsi="Calibri" w:cs="Calibri"/>
          <w:sz w:val="24"/>
          <w:szCs w:val="24"/>
          <w:lang w:eastAsia="en-GB"/>
        </w:rPr>
        <w:t xml:space="preserve"> Accessed 17/10/2022</w:t>
      </w:r>
    </w:p>
    <w:p w:rsidR="00906158" w:rsidRPr="00AE2A44" w:rsidRDefault="00906158" w:rsidP="00906158">
      <w:pPr>
        <w:spacing w:line="480" w:lineRule="auto"/>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Demirel</w:t>
      </w:r>
      <w:proofErr w:type="spellEnd"/>
      <w:r w:rsidRPr="00AE2A44">
        <w:rPr>
          <w:rFonts w:ascii="Calibri" w:eastAsia="Times New Roman" w:hAnsi="Calibri" w:cs="Calibri"/>
          <w:sz w:val="24"/>
          <w:szCs w:val="24"/>
          <w:lang w:eastAsia="en-GB"/>
        </w:rPr>
        <w:t xml:space="preserve">, P., &amp; </w:t>
      </w:r>
      <w:proofErr w:type="spellStart"/>
      <w:r w:rsidRPr="00AE2A44">
        <w:rPr>
          <w:rFonts w:ascii="Calibri" w:eastAsia="Times New Roman" w:hAnsi="Calibri" w:cs="Calibri"/>
          <w:sz w:val="24"/>
          <w:szCs w:val="24"/>
          <w:lang w:eastAsia="en-GB"/>
        </w:rPr>
        <w:t>Danisman</w:t>
      </w:r>
      <w:proofErr w:type="spellEnd"/>
      <w:r w:rsidRPr="00AE2A44">
        <w:rPr>
          <w:rFonts w:ascii="Calibri" w:eastAsia="Times New Roman" w:hAnsi="Calibri" w:cs="Calibri"/>
          <w:sz w:val="24"/>
          <w:szCs w:val="24"/>
          <w:lang w:eastAsia="en-GB"/>
        </w:rPr>
        <w:t>, G. O. (2019).</w:t>
      </w:r>
      <w:proofErr w:type="gramEnd"/>
      <w:r w:rsidRPr="00AE2A44">
        <w:rPr>
          <w:rFonts w:ascii="Calibri" w:eastAsia="Times New Roman" w:hAnsi="Calibri" w:cs="Calibri"/>
          <w:sz w:val="24"/>
          <w:szCs w:val="24"/>
          <w:lang w:eastAsia="en-GB"/>
        </w:rPr>
        <w:t xml:space="preserve"> Eco‐innovation and firm growth in the circular economy: Evidence from European small‐and medium‐sized enterprises. </w:t>
      </w:r>
      <w:r w:rsidRPr="00AE2A44">
        <w:rPr>
          <w:rFonts w:ascii="Calibri" w:eastAsia="Times New Roman" w:hAnsi="Calibri" w:cs="Calibri"/>
          <w:i/>
          <w:iCs/>
          <w:sz w:val="24"/>
          <w:szCs w:val="24"/>
          <w:lang w:eastAsia="en-GB"/>
        </w:rPr>
        <w:t>Business Strategy and the Environment</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28</w:t>
      </w:r>
      <w:r w:rsidRPr="00AE2A44">
        <w:rPr>
          <w:rFonts w:ascii="Calibri" w:eastAsia="Times New Roman" w:hAnsi="Calibri" w:cs="Calibri"/>
          <w:sz w:val="24"/>
          <w:szCs w:val="24"/>
          <w:lang w:eastAsia="en-GB"/>
        </w:rPr>
        <w:t xml:space="preserve">(8), 1608-1618. Available at : </w:t>
      </w:r>
      <w:hyperlink r:id="rId16" w:history="1">
        <w:r w:rsidRPr="00AE2A44">
          <w:rPr>
            <w:rStyle w:val="Hyperlink"/>
            <w:rFonts w:ascii="Calibri" w:eastAsia="Times New Roman" w:hAnsi="Calibri" w:cs="Calibri"/>
            <w:color w:val="auto"/>
            <w:sz w:val="24"/>
            <w:szCs w:val="24"/>
            <w:lang w:eastAsia="en-GB"/>
          </w:rPr>
          <w:t>https://scholar.google.co.uk/scholar?hl=en&amp;as_sdt=0%2C5&amp;q=Demirel%2C+P.%2C+%26+Danisman%2C+G.+O.+%282019%29.+Eco%E2%80%90innovation+and+firm+growth+in+the+circular+economy%3A+Evidence+from+European+small%E2%80%90and+medium%E2%80%90sized+enterprises.+Business+Strategy+and+the+Environment%2C+28%288%29%2C+1608-1618.&amp;btnG</w:t>
        </w:r>
      </w:hyperlink>
      <w:r w:rsidRPr="00AE2A44">
        <w:rPr>
          <w:rFonts w:ascii="Calibri" w:eastAsia="Times New Roman" w:hAnsi="Calibri" w:cs="Calibri"/>
          <w:sz w:val="24"/>
          <w:szCs w:val="24"/>
          <w:lang w:eastAsia="en-GB"/>
        </w:rPr>
        <w:t xml:space="preserve"> </w:t>
      </w:r>
      <w:r w:rsidRPr="00AE2A44">
        <w:rPr>
          <w:rFonts w:ascii="Calibri" w:eastAsia="Times New Roman" w:hAnsi="Calibri" w:cs="Calibri"/>
          <w:sz w:val="24"/>
          <w:szCs w:val="24"/>
          <w:lang w:eastAsia="en-GB"/>
        </w:rPr>
        <w:tab/>
        <w:t>Accessed 03/10/2022</w:t>
      </w:r>
    </w:p>
    <w:p w:rsidR="00906158" w:rsidRPr="00AE2A44" w:rsidRDefault="00906158" w:rsidP="00906158">
      <w:pPr>
        <w:spacing w:line="480" w:lineRule="auto"/>
        <w:ind w:hanging="720"/>
        <w:jc w:val="both"/>
        <w:rPr>
          <w:rFonts w:ascii="Calibri" w:eastAsia="Times New Roman" w:hAnsi="Calibri" w:cs="Calibri"/>
          <w:sz w:val="24"/>
          <w:szCs w:val="24"/>
          <w:lang w:eastAsia="en-GB"/>
        </w:rPr>
      </w:pPr>
      <w:proofErr w:type="gramStart"/>
      <w:r w:rsidRPr="00AE2A44">
        <w:rPr>
          <w:rFonts w:ascii="Calibri" w:eastAsia="Times New Roman" w:hAnsi="Calibri" w:cs="Calibri"/>
          <w:sz w:val="24"/>
          <w:szCs w:val="24"/>
          <w:lang w:eastAsia="en-GB"/>
        </w:rPr>
        <w:t xml:space="preserve">Eller, R., Alford, P., </w:t>
      </w:r>
      <w:proofErr w:type="spellStart"/>
      <w:r w:rsidRPr="00AE2A44">
        <w:rPr>
          <w:rFonts w:ascii="Calibri" w:eastAsia="Times New Roman" w:hAnsi="Calibri" w:cs="Calibri"/>
          <w:sz w:val="24"/>
          <w:szCs w:val="24"/>
          <w:lang w:eastAsia="en-GB"/>
        </w:rPr>
        <w:t>Kallmünzer</w:t>
      </w:r>
      <w:proofErr w:type="spellEnd"/>
      <w:r w:rsidRPr="00AE2A44">
        <w:rPr>
          <w:rFonts w:ascii="Calibri" w:eastAsia="Times New Roman" w:hAnsi="Calibri" w:cs="Calibri"/>
          <w:sz w:val="24"/>
          <w:szCs w:val="24"/>
          <w:lang w:eastAsia="en-GB"/>
        </w:rPr>
        <w:t>, A., &amp; Peters, M. (2020).</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Antecedents, consequences, and challenges of small and medium-sized enterprise digitalization.</w:t>
      </w:r>
      <w:proofErr w:type="gramEnd"/>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Journal of Business Research</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112</w:t>
      </w:r>
      <w:r w:rsidRPr="00AE2A44">
        <w:rPr>
          <w:rFonts w:ascii="Calibri" w:eastAsia="Times New Roman" w:hAnsi="Calibri" w:cs="Calibri"/>
          <w:sz w:val="24"/>
          <w:szCs w:val="24"/>
          <w:lang w:eastAsia="en-GB"/>
        </w:rPr>
        <w:t xml:space="preserve">, 119-127. Available at : </w:t>
      </w:r>
      <w:hyperlink r:id="rId17" w:history="1">
        <w:r w:rsidRPr="00AE2A44">
          <w:rPr>
            <w:rStyle w:val="Hyperlink"/>
            <w:rFonts w:ascii="Calibri" w:eastAsia="Times New Roman" w:hAnsi="Calibri" w:cs="Calibri"/>
            <w:color w:val="auto"/>
            <w:sz w:val="24"/>
            <w:szCs w:val="24"/>
            <w:lang w:eastAsia="en-GB"/>
          </w:rPr>
          <w:t>https://scholar.google.co.uk/scholar?hl=en&amp;as_sdt=0%2C5&amp;q=Demirel%2C+P.%2C+%26+Danisman%2C+G.+O.+%282019%29.+Eco%E2%80%90innovation+and+firm+growth+in+the+circular+economy%3A+Evidence+from+European+small%E2%80%90and+medium%E2%80%90sized+enterprises.+Business+Strategy+and+the+Environment%2C+28%288%29%2C+1608-1618.&amp;btnG</w:t>
        </w:r>
      </w:hyperlink>
      <w:r w:rsidRPr="00AE2A44">
        <w:rPr>
          <w:rFonts w:ascii="Calibri" w:eastAsia="Times New Roman" w:hAnsi="Calibri" w:cs="Calibri"/>
          <w:sz w:val="24"/>
          <w:szCs w:val="24"/>
          <w:lang w:eastAsia="en-GB"/>
        </w:rPr>
        <w:t xml:space="preserve">  Accessed 07/10/2022</w:t>
      </w:r>
    </w:p>
    <w:p w:rsidR="00906158" w:rsidRPr="00AE2A44" w:rsidRDefault="00906158" w:rsidP="00906158">
      <w:pPr>
        <w:spacing w:line="480" w:lineRule="auto"/>
        <w:ind w:hanging="720"/>
        <w:jc w:val="both"/>
        <w:rPr>
          <w:rFonts w:ascii="Calibri" w:eastAsia="Times New Roman" w:hAnsi="Calibri" w:cs="Calibri"/>
          <w:sz w:val="24"/>
          <w:szCs w:val="24"/>
          <w:lang w:eastAsia="en-GB"/>
        </w:rPr>
      </w:pPr>
      <w:r w:rsidRPr="00AE2A44">
        <w:rPr>
          <w:rFonts w:ascii="Calibri" w:hAnsi="Calibri" w:cs="Calibri"/>
          <w:sz w:val="24"/>
          <w:szCs w:val="24"/>
          <w:shd w:val="clear" w:color="auto" w:fill="FFFFFF"/>
        </w:rPr>
        <w:lastRenderedPageBreak/>
        <w:t xml:space="preserve">Funk S., </w:t>
      </w:r>
      <w:proofErr w:type="spellStart"/>
      <w:r w:rsidRPr="00AE2A44">
        <w:rPr>
          <w:rFonts w:ascii="Calibri" w:hAnsi="Calibri" w:cs="Calibri"/>
          <w:sz w:val="24"/>
          <w:szCs w:val="24"/>
          <w:shd w:val="clear" w:color="auto" w:fill="FFFFFF"/>
        </w:rPr>
        <w:t>Gilad</w:t>
      </w:r>
      <w:proofErr w:type="spellEnd"/>
      <w:r w:rsidRPr="00AE2A44">
        <w:rPr>
          <w:rFonts w:ascii="Calibri" w:hAnsi="Calibri" w:cs="Calibri"/>
          <w:sz w:val="24"/>
          <w:szCs w:val="24"/>
          <w:shd w:val="clear" w:color="auto" w:fill="FFFFFF"/>
        </w:rPr>
        <w:t xml:space="preserve"> E., Watkins C., Jansen V.A. The spread of awareness and its impact on epidemic outbreaks. </w:t>
      </w:r>
      <w:proofErr w:type="gramStart"/>
      <w:r w:rsidRPr="00AE2A44">
        <w:rPr>
          <w:rStyle w:val="ref-journal"/>
          <w:rFonts w:ascii="Calibri" w:hAnsi="Calibri" w:cs="Calibri"/>
          <w:i/>
          <w:iCs/>
          <w:sz w:val="24"/>
          <w:szCs w:val="24"/>
          <w:shd w:val="clear" w:color="auto" w:fill="FFFFFF"/>
        </w:rPr>
        <w:t>Proceedings of the National Academy of Sciences.</w:t>
      </w:r>
      <w:proofErr w:type="gramEnd"/>
      <w:r w:rsidRPr="00AE2A44">
        <w:rPr>
          <w:rStyle w:val="ref-journal"/>
          <w:rFonts w:ascii="Calibri" w:hAnsi="Calibri" w:cs="Calibri"/>
          <w:i/>
          <w:iCs/>
          <w:sz w:val="24"/>
          <w:szCs w:val="24"/>
          <w:shd w:val="clear" w:color="auto" w:fill="FFFFFF"/>
        </w:rPr>
        <w:t> </w:t>
      </w:r>
      <w:r w:rsidRPr="00AE2A44">
        <w:rPr>
          <w:rFonts w:ascii="Calibri" w:hAnsi="Calibri" w:cs="Calibri"/>
          <w:sz w:val="24"/>
          <w:szCs w:val="24"/>
          <w:shd w:val="clear" w:color="auto" w:fill="FFFFFF"/>
        </w:rPr>
        <w:t>2009</w:t>
      </w:r>
      <w:proofErr w:type="gramStart"/>
      <w:r w:rsidRPr="00AE2A44">
        <w:rPr>
          <w:rFonts w:ascii="Calibri" w:hAnsi="Calibri" w:cs="Calibri"/>
          <w:sz w:val="24"/>
          <w:szCs w:val="24"/>
          <w:shd w:val="clear" w:color="auto" w:fill="FFFFFF"/>
        </w:rPr>
        <w:t>;</w:t>
      </w:r>
      <w:r w:rsidRPr="00AE2A44">
        <w:rPr>
          <w:rStyle w:val="ref-vol"/>
          <w:rFonts w:ascii="Calibri" w:hAnsi="Calibri" w:cs="Calibri"/>
          <w:sz w:val="24"/>
          <w:szCs w:val="24"/>
          <w:shd w:val="clear" w:color="auto" w:fill="FFFFFF"/>
        </w:rPr>
        <w:t>106</w:t>
      </w:r>
      <w:proofErr w:type="gramEnd"/>
      <w:r w:rsidRPr="00AE2A44">
        <w:rPr>
          <w:rFonts w:ascii="Calibri" w:hAnsi="Calibri" w:cs="Calibri"/>
          <w:sz w:val="24"/>
          <w:szCs w:val="24"/>
          <w:shd w:val="clear" w:color="auto" w:fill="FFFFFF"/>
        </w:rPr>
        <w:t xml:space="preserve">(16):6872–6877. Available at : </w:t>
      </w:r>
      <w:hyperlink r:id="rId18" w:history="1">
        <w:r w:rsidRPr="00AE2A44">
          <w:rPr>
            <w:rStyle w:val="Hyperlink"/>
            <w:rFonts w:ascii="Calibri" w:hAnsi="Calibri" w:cs="Calibri"/>
            <w:color w:val="auto"/>
            <w:sz w:val="24"/>
            <w:szCs w:val="24"/>
            <w:shd w:val="clear" w:color="auto" w:fill="FFFFFF"/>
          </w:rPr>
          <w:t>https://scholar.google.com/scholar_lookup?journal=Proceedings+of+the+National+Academy+of+Sciences&amp;title=The+spread+of+awareness+and+its+impact+on+epidemic+outbreaks&amp;author=S.+Funk&amp;author=E.+Gilad&amp;author=C.+Watkins&amp;author=V.A.+Jansen&amp;volume=106&amp;issue=16&amp;publication_year=2009&amp;pages=6872-6877&amp;</w:t>
        </w:r>
      </w:hyperlink>
      <w:r w:rsidRPr="00AE2A44">
        <w:rPr>
          <w:rFonts w:ascii="Calibri" w:hAnsi="Calibri" w:cs="Calibri"/>
          <w:sz w:val="24"/>
          <w:szCs w:val="24"/>
          <w:shd w:val="clear" w:color="auto" w:fill="FFFFFF"/>
        </w:rPr>
        <w:t xml:space="preserve"> Accessed 10/11/2022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Gherghina</w:t>
      </w:r>
      <w:proofErr w:type="spellEnd"/>
      <w:r w:rsidRPr="00AE2A44">
        <w:rPr>
          <w:rFonts w:ascii="Calibri" w:eastAsia="Times New Roman" w:hAnsi="Calibri" w:cs="Calibri"/>
          <w:sz w:val="24"/>
          <w:szCs w:val="24"/>
          <w:lang w:eastAsia="en-GB"/>
        </w:rPr>
        <w:t>, Ș.</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 xml:space="preserve">C., </w:t>
      </w:r>
      <w:proofErr w:type="spellStart"/>
      <w:r w:rsidRPr="00AE2A44">
        <w:rPr>
          <w:rFonts w:ascii="Calibri" w:eastAsia="Times New Roman" w:hAnsi="Calibri" w:cs="Calibri"/>
          <w:sz w:val="24"/>
          <w:szCs w:val="24"/>
          <w:lang w:eastAsia="en-GB"/>
        </w:rPr>
        <w:t>Botezatu</w:t>
      </w:r>
      <w:proofErr w:type="spellEnd"/>
      <w:r w:rsidRPr="00AE2A44">
        <w:rPr>
          <w:rFonts w:ascii="Calibri" w:eastAsia="Times New Roman" w:hAnsi="Calibri" w:cs="Calibri"/>
          <w:sz w:val="24"/>
          <w:szCs w:val="24"/>
          <w:lang w:eastAsia="en-GB"/>
        </w:rPr>
        <w:t xml:space="preserve">, M. A., </w:t>
      </w:r>
      <w:proofErr w:type="spellStart"/>
      <w:r w:rsidRPr="00AE2A44">
        <w:rPr>
          <w:rFonts w:ascii="Calibri" w:eastAsia="Times New Roman" w:hAnsi="Calibri" w:cs="Calibri"/>
          <w:sz w:val="24"/>
          <w:szCs w:val="24"/>
          <w:lang w:eastAsia="en-GB"/>
        </w:rPr>
        <w:t>Hosszu</w:t>
      </w:r>
      <w:proofErr w:type="spellEnd"/>
      <w:r w:rsidRPr="00AE2A44">
        <w:rPr>
          <w:rFonts w:ascii="Calibri" w:eastAsia="Times New Roman" w:hAnsi="Calibri" w:cs="Calibri"/>
          <w:sz w:val="24"/>
          <w:szCs w:val="24"/>
          <w:lang w:eastAsia="en-GB"/>
        </w:rPr>
        <w:t xml:space="preserve">, A., &amp; </w:t>
      </w:r>
      <w:proofErr w:type="spellStart"/>
      <w:r w:rsidRPr="00AE2A44">
        <w:rPr>
          <w:rFonts w:ascii="Calibri" w:eastAsia="Times New Roman" w:hAnsi="Calibri" w:cs="Calibri"/>
          <w:sz w:val="24"/>
          <w:szCs w:val="24"/>
          <w:lang w:eastAsia="en-GB"/>
        </w:rPr>
        <w:t>Simionescu</w:t>
      </w:r>
      <w:proofErr w:type="spellEnd"/>
      <w:r w:rsidRPr="00AE2A44">
        <w:rPr>
          <w:rFonts w:ascii="Calibri" w:eastAsia="Times New Roman" w:hAnsi="Calibri" w:cs="Calibri"/>
          <w:sz w:val="24"/>
          <w:szCs w:val="24"/>
          <w:lang w:eastAsia="en-GB"/>
        </w:rPr>
        <w:t>, L. N. (2020).</w:t>
      </w:r>
      <w:proofErr w:type="gramEnd"/>
      <w:r w:rsidRPr="00AE2A44">
        <w:rPr>
          <w:rFonts w:ascii="Calibri" w:eastAsia="Times New Roman" w:hAnsi="Calibri" w:cs="Calibri"/>
          <w:sz w:val="24"/>
          <w:szCs w:val="24"/>
          <w:lang w:eastAsia="en-GB"/>
        </w:rPr>
        <w:t xml:space="preserve"> Small and medium-sized enterprises (SMEs): The engine of economic growth through investments and innovation. </w:t>
      </w:r>
      <w:proofErr w:type="gramStart"/>
      <w:r w:rsidRPr="00AE2A44">
        <w:rPr>
          <w:rFonts w:ascii="Calibri" w:eastAsia="Times New Roman" w:hAnsi="Calibri" w:cs="Calibri"/>
          <w:i/>
          <w:iCs/>
          <w:sz w:val="24"/>
          <w:szCs w:val="24"/>
          <w:lang w:eastAsia="en-GB"/>
        </w:rPr>
        <w:t>Sustainability</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12</w:t>
      </w:r>
      <w:r w:rsidRPr="00AE2A44">
        <w:rPr>
          <w:rFonts w:ascii="Calibri" w:eastAsia="Times New Roman" w:hAnsi="Calibri" w:cs="Calibri"/>
          <w:sz w:val="24"/>
          <w:szCs w:val="24"/>
          <w:lang w:eastAsia="en-GB"/>
        </w:rPr>
        <w:t>(1), 347.</w:t>
      </w:r>
      <w:proofErr w:type="gramEnd"/>
      <w:r w:rsidRPr="00AE2A44">
        <w:rPr>
          <w:rFonts w:ascii="Calibri" w:eastAsia="Times New Roman" w:hAnsi="Calibri" w:cs="Calibri"/>
          <w:sz w:val="24"/>
          <w:szCs w:val="24"/>
          <w:lang w:eastAsia="en-GB"/>
        </w:rPr>
        <w:t xml:space="preserve"> Available at : </w:t>
      </w:r>
      <w:hyperlink r:id="rId19" w:history="1">
        <w:r w:rsidRPr="00AE2A44">
          <w:rPr>
            <w:rStyle w:val="Hyperlink"/>
            <w:rFonts w:ascii="Calibri" w:eastAsia="Times New Roman" w:hAnsi="Calibri" w:cs="Calibri"/>
            <w:color w:val="auto"/>
            <w:sz w:val="24"/>
            <w:szCs w:val="24"/>
            <w:lang w:eastAsia="en-GB"/>
          </w:rPr>
          <w:t>https://scholar.google.co.uk/scholar?hl=en&amp;as_sdt=0%2C5&amp;q=Gherghina%2C+%C8%98.+C.%2C+Botezatu%2C+M.+A.%2C+Hosszu%2C+A.%2C+%26+Simionescu%2C+L.+N.+%282020%29.+Small+and+medium-sized+enterprises+%28SMEs%29%3A+The+engine+of+economic+growth+through+investments+and+innovation.+Sustainability%2C+12%281%29%2C+347.&amp;btnG</w:t>
        </w:r>
      </w:hyperlink>
      <w:r w:rsidRPr="00AE2A44">
        <w:rPr>
          <w:rFonts w:ascii="Calibri" w:eastAsia="Times New Roman" w:hAnsi="Calibri" w:cs="Calibri"/>
          <w:sz w:val="24"/>
          <w:szCs w:val="24"/>
          <w:lang w:eastAsia="en-GB"/>
        </w:rPr>
        <w:t xml:space="preserve"> Accessed  13/10/2022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Goerzig</w:t>
      </w:r>
      <w:proofErr w:type="spellEnd"/>
      <w:r w:rsidRPr="00AE2A44">
        <w:rPr>
          <w:rFonts w:ascii="Calibri" w:eastAsia="Times New Roman" w:hAnsi="Calibri" w:cs="Calibri"/>
          <w:sz w:val="24"/>
          <w:szCs w:val="24"/>
          <w:lang w:eastAsia="en-GB"/>
        </w:rPr>
        <w:t xml:space="preserve">, D., &amp; </w:t>
      </w:r>
      <w:proofErr w:type="spellStart"/>
      <w:r w:rsidRPr="00AE2A44">
        <w:rPr>
          <w:rFonts w:ascii="Calibri" w:eastAsia="Times New Roman" w:hAnsi="Calibri" w:cs="Calibri"/>
          <w:sz w:val="24"/>
          <w:szCs w:val="24"/>
          <w:lang w:eastAsia="en-GB"/>
        </w:rPr>
        <w:t>Bauernhansl</w:t>
      </w:r>
      <w:proofErr w:type="spellEnd"/>
      <w:r w:rsidRPr="00AE2A44">
        <w:rPr>
          <w:rFonts w:ascii="Calibri" w:eastAsia="Times New Roman" w:hAnsi="Calibri" w:cs="Calibri"/>
          <w:sz w:val="24"/>
          <w:szCs w:val="24"/>
          <w:lang w:eastAsia="en-GB"/>
        </w:rPr>
        <w:t>, T. (2018).</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Enterprise architectures for the digital transformation in small and medium-sized enterprises.</w:t>
      </w:r>
      <w:proofErr w:type="gramEnd"/>
      <w:r w:rsidRPr="00AE2A44">
        <w:rPr>
          <w:rFonts w:ascii="Calibri" w:eastAsia="Times New Roman" w:hAnsi="Calibri" w:cs="Calibri"/>
          <w:sz w:val="24"/>
          <w:szCs w:val="24"/>
          <w:lang w:eastAsia="en-GB"/>
        </w:rPr>
        <w:t> </w:t>
      </w:r>
      <w:proofErr w:type="spellStart"/>
      <w:r w:rsidRPr="00AE2A44">
        <w:rPr>
          <w:rFonts w:ascii="Calibri" w:eastAsia="Times New Roman" w:hAnsi="Calibri" w:cs="Calibri"/>
          <w:i/>
          <w:iCs/>
          <w:sz w:val="24"/>
          <w:szCs w:val="24"/>
          <w:lang w:eastAsia="en-GB"/>
        </w:rPr>
        <w:t>Procedia</w:t>
      </w:r>
      <w:proofErr w:type="spellEnd"/>
      <w:r w:rsidRPr="00AE2A44">
        <w:rPr>
          <w:rFonts w:ascii="Calibri" w:eastAsia="Times New Roman" w:hAnsi="Calibri" w:cs="Calibri"/>
          <w:i/>
          <w:iCs/>
          <w:sz w:val="24"/>
          <w:szCs w:val="24"/>
          <w:lang w:eastAsia="en-GB"/>
        </w:rPr>
        <w:t xml:space="preserve"> </w:t>
      </w:r>
      <w:proofErr w:type="spellStart"/>
      <w:r w:rsidRPr="00AE2A44">
        <w:rPr>
          <w:rFonts w:ascii="Calibri" w:eastAsia="Times New Roman" w:hAnsi="Calibri" w:cs="Calibri"/>
          <w:i/>
          <w:iCs/>
          <w:sz w:val="24"/>
          <w:szCs w:val="24"/>
          <w:lang w:eastAsia="en-GB"/>
        </w:rPr>
        <w:t>Cirp</w:t>
      </w:r>
      <w:proofErr w:type="spellEnd"/>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67</w:t>
      </w:r>
      <w:r w:rsidRPr="00AE2A44">
        <w:rPr>
          <w:rFonts w:ascii="Calibri" w:eastAsia="Times New Roman" w:hAnsi="Calibri" w:cs="Calibri"/>
          <w:sz w:val="24"/>
          <w:szCs w:val="24"/>
          <w:lang w:eastAsia="en-GB"/>
        </w:rPr>
        <w:t xml:space="preserve">, 540-545. Available at : </w:t>
      </w:r>
      <w:hyperlink r:id="rId20" w:history="1">
        <w:r w:rsidRPr="00AE2A44">
          <w:rPr>
            <w:rStyle w:val="Hyperlink"/>
            <w:rFonts w:ascii="Calibri" w:eastAsia="Times New Roman" w:hAnsi="Calibri" w:cs="Calibri"/>
            <w:color w:val="auto"/>
            <w:sz w:val="24"/>
            <w:szCs w:val="24"/>
            <w:lang w:eastAsia="en-GB"/>
          </w:rPr>
          <w:t>https://scholar.google.co.uk/scholar?hl=en&amp;as_sdt=0%2C5&amp;q=Goerzig%2C+D.%2C+%26+Bauernhansl%2C+T.+%282018%29.+Enterprise+architectures+for+the+digital+transformation+in+small+and+medium-sized+enterprises.+Procedia+Cirp%2C+67%2C+540-545.&amp;btnG</w:t>
        </w:r>
      </w:hyperlink>
      <w:r w:rsidRPr="00AE2A44">
        <w:rPr>
          <w:rFonts w:ascii="Calibri" w:eastAsia="Times New Roman" w:hAnsi="Calibri" w:cs="Calibri"/>
          <w:sz w:val="24"/>
          <w:szCs w:val="24"/>
          <w:lang w:eastAsia="en-GB"/>
        </w:rPr>
        <w:t xml:space="preserve">  Accessed  03/10/2022</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Haleem</w:t>
      </w:r>
      <w:proofErr w:type="spellEnd"/>
      <w:r w:rsidRPr="00AE2A44">
        <w:rPr>
          <w:rFonts w:ascii="Calibri" w:eastAsia="Times New Roman" w:hAnsi="Calibri" w:cs="Calibri"/>
          <w:sz w:val="24"/>
          <w:szCs w:val="24"/>
          <w:lang w:eastAsia="en-GB"/>
        </w:rPr>
        <w:t xml:space="preserve">, F., </w:t>
      </w:r>
      <w:proofErr w:type="spellStart"/>
      <w:r w:rsidRPr="00AE2A44">
        <w:rPr>
          <w:rFonts w:ascii="Calibri" w:eastAsia="Times New Roman" w:hAnsi="Calibri" w:cs="Calibri"/>
          <w:sz w:val="24"/>
          <w:szCs w:val="24"/>
          <w:lang w:eastAsia="en-GB"/>
        </w:rPr>
        <w:t>Jehangir</w:t>
      </w:r>
      <w:proofErr w:type="spellEnd"/>
      <w:r w:rsidRPr="00AE2A44">
        <w:rPr>
          <w:rFonts w:ascii="Calibri" w:eastAsia="Times New Roman" w:hAnsi="Calibri" w:cs="Calibri"/>
          <w:sz w:val="24"/>
          <w:szCs w:val="24"/>
          <w:lang w:eastAsia="en-GB"/>
        </w:rPr>
        <w:t xml:space="preserve">, M., &amp; </w:t>
      </w:r>
      <w:proofErr w:type="spellStart"/>
      <w:r w:rsidRPr="00AE2A44">
        <w:rPr>
          <w:rFonts w:ascii="Calibri" w:eastAsia="Times New Roman" w:hAnsi="Calibri" w:cs="Calibri"/>
          <w:sz w:val="24"/>
          <w:szCs w:val="24"/>
          <w:lang w:eastAsia="en-GB"/>
        </w:rPr>
        <w:t>Ullah</w:t>
      </w:r>
      <w:proofErr w:type="spellEnd"/>
      <w:r w:rsidRPr="00AE2A44">
        <w:rPr>
          <w:rFonts w:ascii="Calibri" w:eastAsia="Times New Roman" w:hAnsi="Calibri" w:cs="Calibri"/>
          <w:sz w:val="24"/>
          <w:szCs w:val="24"/>
          <w:lang w:eastAsia="en-GB"/>
        </w:rPr>
        <w:t>, Z. (2019).</w:t>
      </w:r>
      <w:proofErr w:type="gramEnd"/>
      <w:r w:rsidRPr="00AE2A44">
        <w:rPr>
          <w:rFonts w:ascii="Calibri" w:eastAsia="Times New Roman" w:hAnsi="Calibri" w:cs="Calibri"/>
          <w:sz w:val="24"/>
          <w:szCs w:val="24"/>
          <w:lang w:eastAsia="en-GB"/>
        </w:rPr>
        <w:t xml:space="preserve"> Strategic planning and SMEs performance: A developing country's perspective. Journal of Business &amp; Economics, 11(2), 33-49. Available at : </w:t>
      </w:r>
      <w:hyperlink r:id="rId21" w:history="1">
        <w:r w:rsidRPr="00AE2A44">
          <w:rPr>
            <w:rStyle w:val="Hyperlink"/>
            <w:rFonts w:ascii="Calibri" w:eastAsia="Times New Roman" w:hAnsi="Calibri" w:cs="Calibri"/>
            <w:color w:val="auto"/>
            <w:sz w:val="24"/>
            <w:szCs w:val="24"/>
            <w:lang w:eastAsia="en-GB"/>
          </w:rPr>
          <w:t>https://scholar.google.co.uk/scholar?hl=en&amp;as_sdt=0%2C5&amp;q=Haleem%2C+F.%2C+Jehangir%2C+M.%2C+%26+Ullah%2C+Z.+%282019%29.+Strategic+planning+and+SMEs+performance%3A+A+developing+country%27s+perspective.+Journal+of+Business+%26+Economics%2C+11%282%29%2C+33-49.&amp;btnG</w:t>
        </w:r>
      </w:hyperlink>
      <w:r w:rsidRPr="00AE2A44">
        <w:rPr>
          <w:rFonts w:ascii="Calibri" w:eastAsia="Times New Roman" w:hAnsi="Calibri" w:cs="Calibri"/>
          <w:sz w:val="24"/>
          <w:szCs w:val="24"/>
          <w:lang w:eastAsia="en-GB"/>
        </w:rPr>
        <w:t xml:space="preserve"> Accessed 07/10/2022</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Henry, A. (2021). </w:t>
      </w:r>
      <w:proofErr w:type="gramStart"/>
      <w:r w:rsidRPr="00AE2A44">
        <w:rPr>
          <w:rFonts w:ascii="Calibri" w:eastAsia="Times New Roman" w:hAnsi="Calibri" w:cs="Calibri"/>
          <w:i/>
          <w:iCs/>
          <w:sz w:val="24"/>
          <w:szCs w:val="24"/>
          <w:lang w:eastAsia="en-GB"/>
        </w:rPr>
        <w:t>Understanding strategic management</w:t>
      </w:r>
      <w:r w:rsidRPr="00AE2A44">
        <w:rPr>
          <w:rFonts w:ascii="Calibri" w:eastAsia="Times New Roman" w:hAnsi="Calibri" w:cs="Calibri"/>
          <w:sz w:val="24"/>
          <w:szCs w:val="24"/>
          <w:lang w:eastAsia="en-GB"/>
        </w:rPr>
        <w:t>.</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Oxford University Press.</w:t>
      </w:r>
      <w:proofErr w:type="gramEnd"/>
      <w:r w:rsidRPr="00AE2A44">
        <w:rPr>
          <w:rFonts w:ascii="Calibri" w:eastAsia="Times New Roman" w:hAnsi="Calibri" w:cs="Calibri"/>
          <w:sz w:val="24"/>
          <w:szCs w:val="24"/>
          <w:lang w:eastAsia="en-GB"/>
        </w:rPr>
        <w:t xml:space="preserve"> Available </w:t>
      </w:r>
      <w:proofErr w:type="gramStart"/>
      <w:r w:rsidRPr="00AE2A44">
        <w:rPr>
          <w:rFonts w:ascii="Calibri" w:eastAsia="Times New Roman" w:hAnsi="Calibri" w:cs="Calibri"/>
          <w:sz w:val="24"/>
          <w:szCs w:val="24"/>
          <w:lang w:eastAsia="en-GB"/>
        </w:rPr>
        <w:t>at :</w:t>
      </w:r>
      <w:proofErr w:type="gramEnd"/>
      <w:r w:rsidRPr="00AE2A44">
        <w:rPr>
          <w:rFonts w:ascii="Calibri" w:eastAsia="Times New Roman" w:hAnsi="Calibri" w:cs="Calibri"/>
          <w:sz w:val="24"/>
          <w:szCs w:val="24"/>
          <w:lang w:eastAsia="en-GB"/>
        </w:rPr>
        <w:t xml:space="preserve"> </w:t>
      </w:r>
      <w:hyperlink r:id="rId22" w:history="1">
        <w:r w:rsidRPr="00AE2A44">
          <w:rPr>
            <w:rStyle w:val="Hyperlink"/>
            <w:rFonts w:ascii="Calibri" w:eastAsia="Times New Roman" w:hAnsi="Calibri" w:cs="Calibri"/>
            <w:color w:val="auto"/>
            <w:sz w:val="24"/>
            <w:szCs w:val="24"/>
            <w:lang w:eastAsia="en-GB"/>
          </w:rPr>
          <w:t>https://scholar.google.co.uk/scholar?hl=en&amp;as_sdt=0%2C5&amp;q=Henry%2C+A.+%282021%29.+Understanding+strategic+management.+Oxford+University+Press.&amp;btnG</w:t>
        </w:r>
      </w:hyperlink>
      <w:r w:rsidRPr="00AE2A44">
        <w:rPr>
          <w:rFonts w:ascii="Calibri" w:eastAsia="Times New Roman" w:hAnsi="Calibri" w:cs="Calibri"/>
          <w:sz w:val="24"/>
          <w:szCs w:val="24"/>
          <w:lang w:eastAsia="en-GB"/>
        </w:rPr>
        <w:t xml:space="preserve"> Accessed 01/11/2022</w:t>
      </w:r>
    </w:p>
    <w:p w:rsidR="00906158" w:rsidRPr="00AE2A44" w:rsidRDefault="00906158" w:rsidP="00906158">
      <w:pPr>
        <w:spacing w:line="480" w:lineRule="auto"/>
        <w:ind w:hanging="720"/>
        <w:jc w:val="both"/>
        <w:rPr>
          <w:rFonts w:ascii="Calibri" w:eastAsia="Times New Roman" w:hAnsi="Calibri" w:cs="Calibri"/>
          <w:sz w:val="24"/>
          <w:szCs w:val="24"/>
          <w:lang w:eastAsia="en-GB"/>
        </w:rPr>
      </w:pPr>
      <w:proofErr w:type="spellStart"/>
      <w:proofErr w:type="gramStart"/>
      <w:r w:rsidRPr="00AE2A44">
        <w:rPr>
          <w:rFonts w:ascii="Calibri" w:eastAsia="Times New Roman" w:hAnsi="Calibri" w:cs="Calibri"/>
          <w:sz w:val="24"/>
          <w:szCs w:val="24"/>
          <w:lang w:eastAsia="en-GB"/>
        </w:rPr>
        <w:t>Hieu</w:t>
      </w:r>
      <w:proofErr w:type="spellEnd"/>
      <w:r w:rsidRPr="00AE2A44">
        <w:rPr>
          <w:rFonts w:ascii="Calibri" w:eastAsia="Times New Roman" w:hAnsi="Calibri" w:cs="Calibri"/>
          <w:sz w:val="24"/>
          <w:szCs w:val="24"/>
          <w:lang w:eastAsia="en-GB"/>
        </w:rPr>
        <w:t xml:space="preserve">, V. M., &amp; </w:t>
      </w:r>
      <w:proofErr w:type="spellStart"/>
      <w:r w:rsidRPr="00AE2A44">
        <w:rPr>
          <w:rFonts w:ascii="Calibri" w:eastAsia="Times New Roman" w:hAnsi="Calibri" w:cs="Calibri"/>
          <w:sz w:val="24"/>
          <w:szCs w:val="24"/>
          <w:lang w:eastAsia="en-GB"/>
        </w:rPr>
        <w:t>Nwachukwu</w:t>
      </w:r>
      <w:proofErr w:type="spellEnd"/>
      <w:r w:rsidRPr="00AE2A44">
        <w:rPr>
          <w:rFonts w:ascii="Calibri" w:eastAsia="Times New Roman" w:hAnsi="Calibri" w:cs="Calibri"/>
          <w:sz w:val="24"/>
          <w:szCs w:val="24"/>
          <w:lang w:eastAsia="en-GB"/>
        </w:rPr>
        <w:t>, C. (2019).</w:t>
      </w:r>
      <w:proofErr w:type="gramEnd"/>
      <w:r w:rsidRPr="00AE2A44">
        <w:rPr>
          <w:rFonts w:ascii="Calibri" w:eastAsia="Times New Roman" w:hAnsi="Calibri" w:cs="Calibri"/>
          <w:sz w:val="24"/>
          <w:szCs w:val="24"/>
          <w:lang w:eastAsia="en-GB"/>
        </w:rPr>
        <w:t xml:space="preserve"> Strategy Evaluation Process And Strategic Performance Nexus Available </w:t>
      </w:r>
      <w:proofErr w:type="gramStart"/>
      <w:r w:rsidRPr="00AE2A44">
        <w:rPr>
          <w:rFonts w:ascii="Calibri" w:eastAsia="Times New Roman" w:hAnsi="Calibri" w:cs="Calibri"/>
          <w:sz w:val="24"/>
          <w:szCs w:val="24"/>
          <w:lang w:eastAsia="en-GB"/>
        </w:rPr>
        <w:t>at :</w:t>
      </w:r>
      <w:proofErr w:type="gramEnd"/>
      <w:r w:rsidRPr="00AE2A44">
        <w:rPr>
          <w:rFonts w:ascii="Calibri" w:eastAsia="Times New Roman" w:hAnsi="Calibri" w:cs="Calibri"/>
          <w:sz w:val="24"/>
          <w:szCs w:val="24"/>
          <w:lang w:eastAsia="en-GB"/>
        </w:rPr>
        <w:t xml:space="preserve"> </w:t>
      </w:r>
      <w:hyperlink r:id="rId23" w:history="1">
        <w:r w:rsidRPr="00AE2A44">
          <w:rPr>
            <w:rStyle w:val="Hyperlink"/>
            <w:rFonts w:ascii="Calibri" w:eastAsia="Times New Roman" w:hAnsi="Calibri" w:cs="Calibri"/>
            <w:color w:val="auto"/>
            <w:sz w:val="24"/>
            <w:szCs w:val="24"/>
            <w:lang w:eastAsia="en-GB"/>
          </w:rPr>
          <w:t>https://scholar.google.co.uk/scholar?hl=en&amp;as_sdt=0%2C5&amp;q=Hieu%2C+V.+M.%2C+%26+Nwachukwu%2C+C.+%282019%29.+Strategy+Evaluation+Process+And+Strategic+Performance+Nexus.&amp;btnG</w:t>
        </w:r>
      </w:hyperlink>
      <w:r w:rsidRPr="00AE2A44">
        <w:rPr>
          <w:rFonts w:ascii="Calibri" w:eastAsia="Times New Roman" w:hAnsi="Calibri" w:cs="Calibri"/>
          <w:sz w:val="24"/>
          <w:szCs w:val="24"/>
          <w:lang w:eastAsia="en-GB"/>
        </w:rPr>
        <w:t xml:space="preserve">  Accessed  25/10/2022 </w:t>
      </w:r>
    </w:p>
    <w:p w:rsidR="00906158" w:rsidRPr="00AE2A44" w:rsidRDefault="00906158" w:rsidP="00906158">
      <w:pPr>
        <w:tabs>
          <w:tab w:val="left" w:pos="0"/>
        </w:tabs>
        <w:spacing w:line="480" w:lineRule="auto"/>
        <w:ind w:left="720" w:hanging="720"/>
        <w:rPr>
          <w:sz w:val="24"/>
        </w:rPr>
      </w:pPr>
      <w:proofErr w:type="spellStart"/>
      <w:proofErr w:type="gramStart"/>
      <w:r w:rsidRPr="00AE2A44">
        <w:rPr>
          <w:sz w:val="24"/>
        </w:rPr>
        <w:t>Hilmola</w:t>
      </w:r>
      <w:proofErr w:type="spellEnd"/>
      <w:r w:rsidRPr="00AE2A44">
        <w:rPr>
          <w:sz w:val="24"/>
        </w:rPr>
        <w:t xml:space="preserve">, O. P., </w:t>
      </w:r>
      <w:proofErr w:type="spellStart"/>
      <w:r w:rsidRPr="00AE2A44">
        <w:rPr>
          <w:sz w:val="24"/>
        </w:rPr>
        <w:t>Lähdeaho</w:t>
      </w:r>
      <w:proofErr w:type="spellEnd"/>
      <w:r w:rsidRPr="00AE2A44">
        <w:rPr>
          <w:sz w:val="24"/>
        </w:rPr>
        <w:t xml:space="preserve">, O., </w:t>
      </w:r>
      <w:proofErr w:type="spellStart"/>
      <w:r w:rsidRPr="00AE2A44">
        <w:rPr>
          <w:sz w:val="24"/>
        </w:rPr>
        <w:t>Henttu</w:t>
      </w:r>
      <w:proofErr w:type="spellEnd"/>
      <w:r w:rsidRPr="00AE2A44">
        <w:rPr>
          <w:sz w:val="24"/>
        </w:rPr>
        <w:t xml:space="preserve">, V., &amp; </w:t>
      </w:r>
      <w:proofErr w:type="spellStart"/>
      <w:r w:rsidRPr="00AE2A44">
        <w:rPr>
          <w:sz w:val="24"/>
        </w:rPr>
        <w:t>Hilletofth</w:t>
      </w:r>
      <w:proofErr w:type="spellEnd"/>
      <w:r w:rsidRPr="00AE2A44">
        <w:rPr>
          <w:sz w:val="24"/>
        </w:rPr>
        <w:t>, P. (2020).</w:t>
      </w:r>
      <w:proofErr w:type="gramEnd"/>
      <w:r w:rsidRPr="00AE2A44">
        <w:rPr>
          <w:sz w:val="24"/>
        </w:rPr>
        <w:t xml:space="preserve"> COVID-19 pandemic: Early implications for North European manufacturing and logistics. </w:t>
      </w:r>
      <w:proofErr w:type="gramStart"/>
      <w:r w:rsidRPr="00AE2A44">
        <w:rPr>
          <w:sz w:val="24"/>
        </w:rPr>
        <w:t>Sustainability, 12(20), 8315.</w:t>
      </w:r>
      <w:proofErr w:type="gramEnd"/>
      <w:r w:rsidRPr="00AE2A44">
        <w:rPr>
          <w:sz w:val="24"/>
        </w:rPr>
        <w:t xml:space="preserve"> Available at : </w:t>
      </w:r>
      <w:hyperlink r:id="rId24" w:history="1">
        <w:r w:rsidRPr="00AE2A44">
          <w:rPr>
            <w:rStyle w:val="Hyperlink"/>
            <w:color w:val="auto"/>
            <w:sz w:val="24"/>
          </w:rPr>
          <w:t>https://scholar.google.co.uk/scholar?hl=en&amp;as_sdt=0%2C5&amp;q=Hilmola%2C+O.+P.%2C+L%C3%A4hdeaho%2C+O.%2C+Henttu%2C+V.%2C+%26+Hilletofth%2C+P.+%282020%29.+COVID-19+pandemic%3A+Early+implications+for+North+European+manufacturing+and+logistics.+Sustainability%2C+12%2820%29%2C+8315.&amp;btnG</w:t>
        </w:r>
      </w:hyperlink>
      <w:r w:rsidRPr="00AE2A44">
        <w:rPr>
          <w:sz w:val="24"/>
        </w:rPr>
        <w:t xml:space="preserve"> Accessed 25/10/2022</w:t>
      </w:r>
    </w:p>
    <w:p w:rsidR="00906158" w:rsidRPr="00AE2A44" w:rsidRDefault="00906158" w:rsidP="00906158">
      <w:pPr>
        <w:tabs>
          <w:tab w:val="left" w:pos="0"/>
        </w:tabs>
        <w:spacing w:line="480" w:lineRule="auto"/>
        <w:ind w:left="720" w:hanging="720"/>
        <w:rPr>
          <w:sz w:val="24"/>
        </w:rPr>
      </w:pPr>
      <w:proofErr w:type="gramStart"/>
      <w:r w:rsidRPr="00AE2A44">
        <w:rPr>
          <w:sz w:val="24"/>
        </w:rPr>
        <w:t>Joshi, S., &amp; Sharma, M. (2022).</w:t>
      </w:r>
      <w:proofErr w:type="gramEnd"/>
      <w:r w:rsidRPr="00AE2A44">
        <w:rPr>
          <w:sz w:val="24"/>
        </w:rPr>
        <w:t xml:space="preserve"> Impact of sustainable supply chain management on performance of SMEs amidst COVID-19 pandemic: an Indian perspective. </w:t>
      </w:r>
      <w:r w:rsidRPr="00AE2A44">
        <w:rPr>
          <w:sz w:val="24"/>
        </w:rPr>
        <w:lastRenderedPageBreak/>
        <w:t xml:space="preserve">International Journal of Logistics Economics and Globalisation, 9(3), 248-276. Available at : </w:t>
      </w:r>
      <w:hyperlink r:id="rId25" w:history="1">
        <w:r w:rsidRPr="00AE2A44">
          <w:rPr>
            <w:rStyle w:val="Hyperlink"/>
            <w:color w:val="auto"/>
            <w:sz w:val="24"/>
          </w:rPr>
          <w:t>https://scholar.google.co.uk/scholar?hl=en&amp;as_sdt=0%2C5&amp;q=Joshi%2C+S.%2C+%26+Sharma%2C+M.+%282022%29.+Impact+of+sustainable+supply+chain+management+on+performance+of+SMEs+amidst+COVID-19+pandemic%3A+an+Indian+perspective.+International+Journal+of+Logistics+Economics+and+Globalisation%2C+9%283%29%2C+248-276.&amp;btnG</w:t>
        </w:r>
      </w:hyperlink>
      <w:r w:rsidRPr="00AE2A44">
        <w:rPr>
          <w:sz w:val="24"/>
        </w:rPr>
        <w:t xml:space="preserve"> Accessed 27/10/2022</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gramStart"/>
      <w:r w:rsidRPr="00AE2A44">
        <w:rPr>
          <w:rFonts w:ascii="Calibri" w:eastAsia="Times New Roman" w:hAnsi="Calibri" w:cs="Calibri"/>
          <w:sz w:val="24"/>
          <w:szCs w:val="24"/>
          <w:lang w:eastAsia="en-GB"/>
        </w:rPr>
        <w:t>Kim, N., &amp; Shim, C. (2018).</w:t>
      </w:r>
      <w:proofErr w:type="gramEnd"/>
      <w:r w:rsidRPr="00AE2A44">
        <w:rPr>
          <w:rFonts w:ascii="Calibri" w:eastAsia="Times New Roman" w:hAnsi="Calibri" w:cs="Calibri"/>
          <w:sz w:val="24"/>
          <w:szCs w:val="24"/>
          <w:lang w:eastAsia="en-GB"/>
        </w:rPr>
        <w:t xml:space="preserve"> Social capital, knowledge sharing and innovation of small-and medium-sized enterprises in a tourism cluster. </w:t>
      </w:r>
      <w:proofErr w:type="gramStart"/>
      <w:r w:rsidRPr="00AE2A44">
        <w:rPr>
          <w:rFonts w:ascii="Calibri" w:eastAsia="Times New Roman" w:hAnsi="Calibri" w:cs="Calibri"/>
          <w:i/>
          <w:iCs/>
          <w:sz w:val="24"/>
          <w:szCs w:val="24"/>
          <w:lang w:eastAsia="en-GB"/>
        </w:rPr>
        <w:t>International journal of contemporary hospitality management</w:t>
      </w:r>
      <w:r w:rsidRPr="00AE2A44">
        <w:rPr>
          <w:rFonts w:ascii="Calibri" w:eastAsia="Times New Roman" w:hAnsi="Calibri" w:cs="Calibri"/>
          <w:sz w:val="24"/>
          <w:szCs w:val="24"/>
          <w:lang w:eastAsia="en-GB"/>
        </w:rPr>
        <w:t>.</w:t>
      </w:r>
      <w:proofErr w:type="gramEnd"/>
      <w:r w:rsidRPr="00AE2A44">
        <w:rPr>
          <w:rFonts w:ascii="Calibri" w:eastAsia="Times New Roman" w:hAnsi="Calibri" w:cs="Calibri"/>
          <w:sz w:val="24"/>
          <w:szCs w:val="24"/>
          <w:lang w:eastAsia="en-GB"/>
        </w:rPr>
        <w:t xml:space="preserve"> Available at : </w:t>
      </w:r>
      <w:hyperlink r:id="rId26" w:history="1">
        <w:r w:rsidRPr="00AE2A44">
          <w:rPr>
            <w:rStyle w:val="Hyperlink"/>
            <w:rFonts w:ascii="Calibri" w:eastAsia="Times New Roman" w:hAnsi="Calibri" w:cs="Calibri"/>
            <w:color w:val="auto"/>
            <w:sz w:val="24"/>
            <w:szCs w:val="24"/>
            <w:lang w:eastAsia="en-GB"/>
          </w:rPr>
          <w:t>https://scholar.google.co.uk/scholar?hl=en&amp;as_sdt=0%2C5&amp;q=Kim%2C+N.%2C+%26+Shim%2C+C.+%282018%29.+Social+capital%2C+knowledge+sharing+and+innovation+of+small-and+medium-sized+enterprises+in+a+tourism+cluster.+International+journal+of+contemporary+hospitality+management.&amp;btnG</w:t>
        </w:r>
      </w:hyperlink>
      <w:r w:rsidRPr="00AE2A44">
        <w:rPr>
          <w:rFonts w:ascii="Calibri" w:eastAsia="Times New Roman" w:hAnsi="Calibri" w:cs="Calibri"/>
          <w:sz w:val="24"/>
          <w:szCs w:val="24"/>
          <w:lang w:eastAsia="en-GB"/>
        </w:rPr>
        <w:t xml:space="preserve"> Accessed 03/11/2022</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Kot</w:t>
      </w:r>
      <w:proofErr w:type="spellEnd"/>
      <w:r w:rsidRPr="00AE2A44">
        <w:rPr>
          <w:rFonts w:ascii="Calibri" w:eastAsia="Times New Roman" w:hAnsi="Calibri" w:cs="Calibri"/>
          <w:sz w:val="24"/>
          <w:szCs w:val="24"/>
          <w:lang w:eastAsia="en-GB"/>
        </w:rPr>
        <w:t>, S. (2018).</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Sustainable supply chain management in small and medium enterprises.</w:t>
      </w:r>
      <w:proofErr w:type="gramEnd"/>
      <w:r w:rsidRPr="00AE2A44">
        <w:rPr>
          <w:rFonts w:ascii="Calibri" w:eastAsia="Times New Roman" w:hAnsi="Calibri" w:cs="Calibri"/>
          <w:sz w:val="24"/>
          <w:szCs w:val="24"/>
          <w:lang w:eastAsia="en-GB"/>
        </w:rPr>
        <w:t> </w:t>
      </w:r>
      <w:proofErr w:type="gramStart"/>
      <w:r w:rsidRPr="00AE2A44">
        <w:rPr>
          <w:rFonts w:ascii="Calibri" w:eastAsia="Times New Roman" w:hAnsi="Calibri" w:cs="Calibri"/>
          <w:i/>
          <w:iCs/>
          <w:sz w:val="24"/>
          <w:szCs w:val="24"/>
          <w:lang w:eastAsia="en-GB"/>
        </w:rPr>
        <w:t>Sustainability</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10</w:t>
      </w:r>
      <w:r w:rsidRPr="00AE2A44">
        <w:rPr>
          <w:rFonts w:ascii="Calibri" w:eastAsia="Times New Roman" w:hAnsi="Calibri" w:cs="Calibri"/>
          <w:sz w:val="24"/>
          <w:szCs w:val="24"/>
          <w:lang w:eastAsia="en-GB"/>
        </w:rPr>
        <w:t>(4), 1143.</w:t>
      </w:r>
      <w:proofErr w:type="gramEnd"/>
      <w:r w:rsidRPr="00AE2A44">
        <w:rPr>
          <w:rFonts w:ascii="Calibri" w:eastAsia="Times New Roman" w:hAnsi="Calibri" w:cs="Calibri"/>
          <w:sz w:val="24"/>
          <w:szCs w:val="24"/>
          <w:lang w:eastAsia="en-GB"/>
        </w:rPr>
        <w:t xml:space="preserve"> Available </w:t>
      </w:r>
      <w:proofErr w:type="gramStart"/>
      <w:r w:rsidRPr="00AE2A44">
        <w:rPr>
          <w:rFonts w:ascii="Calibri" w:eastAsia="Times New Roman" w:hAnsi="Calibri" w:cs="Calibri"/>
          <w:sz w:val="24"/>
          <w:szCs w:val="24"/>
          <w:lang w:eastAsia="en-GB"/>
        </w:rPr>
        <w:t>at :</w:t>
      </w:r>
      <w:proofErr w:type="gramEnd"/>
      <w:r w:rsidRPr="00AE2A44">
        <w:rPr>
          <w:rFonts w:ascii="Calibri" w:eastAsia="Times New Roman" w:hAnsi="Calibri" w:cs="Calibri"/>
          <w:sz w:val="24"/>
          <w:szCs w:val="24"/>
          <w:lang w:eastAsia="en-GB"/>
        </w:rPr>
        <w:t xml:space="preserve"> </w:t>
      </w:r>
      <w:hyperlink r:id="rId27" w:history="1">
        <w:r w:rsidRPr="00AE2A44">
          <w:rPr>
            <w:rStyle w:val="Hyperlink"/>
            <w:rFonts w:ascii="Calibri" w:eastAsia="Times New Roman" w:hAnsi="Calibri" w:cs="Calibri"/>
            <w:color w:val="auto"/>
            <w:sz w:val="24"/>
            <w:szCs w:val="24"/>
            <w:lang w:eastAsia="en-GB"/>
          </w:rPr>
          <w:t>https://scholar.google.co.uk/scholar?hl=en&amp;as_sdt=0%2C5&amp;q=Kot%2C+S.+%282018%29.+Sustainable+supply+chain+management+in+small+and+medium+enterprises.+Sustainability%2C+10%284%29%2C+1143.&amp;btnG</w:t>
        </w:r>
      </w:hyperlink>
      <w:r w:rsidRPr="00AE2A44">
        <w:rPr>
          <w:rFonts w:ascii="Calibri" w:eastAsia="Times New Roman" w:hAnsi="Calibri" w:cs="Calibri"/>
          <w:sz w:val="24"/>
          <w:szCs w:val="24"/>
          <w:lang w:eastAsia="en-GB"/>
        </w:rPr>
        <w:t xml:space="preserve"> Accessed 05/11/2022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Kraus, S., </w:t>
      </w:r>
      <w:proofErr w:type="spellStart"/>
      <w:r w:rsidRPr="00AE2A44">
        <w:rPr>
          <w:rFonts w:ascii="Calibri" w:eastAsia="Times New Roman" w:hAnsi="Calibri" w:cs="Calibri"/>
          <w:sz w:val="24"/>
          <w:szCs w:val="24"/>
          <w:lang w:eastAsia="en-GB"/>
        </w:rPr>
        <w:t>Reiche</w:t>
      </w:r>
      <w:proofErr w:type="spellEnd"/>
      <w:r w:rsidRPr="00AE2A44">
        <w:rPr>
          <w:rFonts w:ascii="Calibri" w:eastAsia="Times New Roman" w:hAnsi="Calibri" w:cs="Calibri"/>
          <w:sz w:val="24"/>
          <w:szCs w:val="24"/>
          <w:lang w:eastAsia="en-GB"/>
        </w:rPr>
        <w:t xml:space="preserve">, B. S., &amp; </w:t>
      </w:r>
      <w:proofErr w:type="spellStart"/>
      <w:r w:rsidRPr="00AE2A44">
        <w:rPr>
          <w:rFonts w:ascii="Calibri" w:eastAsia="Times New Roman" w:hAnsi="Calibri" w:cs="Calibri"/>
          <w:sz w:val="24"/>
          <w:szCs w:val="24"/>
          <w:lang w:eastAsia="en-GB"/>
        </w:rPr>
        <w:t>Reschke</w:t>
      </w:r>
      <w:proofErr w:type="spellEnd"/>
      <w:r w:rsidRPr="00AE2A44">
        <w:rPr>
          <w:rFonts w:ascii="Calibri" w:eastAsia="Times New Roman" w:hAnsi="Calibri" w:cs="Calibri"/>
          <w:sz w:val="24"/>
          <w:szCs w:val="24"/>
          <w:lang w:eastAsia="en-GB"/>
        </w:rPr>
        <w:t xml:space="preserve">, C. H. (2007, September). The role of strategic planning in SMEs: Literature review and implications. </w:t>
      </w:r>
      <w:proofErr w:type="gramStart"/>
      <w:r w:rsidRPr="00AE2A44">
        <w:rPr>
          <w:rFonts w:ascii="Calibri" w:eastAsia="Times New Roman" w:hAnsi="Calibri" w:cs="Calibri"/>
          <w:sz w:val="24"/>
          <w:szCs w:val="24"/>
          <w:lang w:eastAsia="en-GB"/>
        </w:rPr>
        <w:t>In Conference proceedings of the Annual Meeting of the British Academy of Management.</w:t>
      </w:r>
      <w:proofErr w:type="gramEnd"/>
      <w:r w:rsidRPr="00AE2A44">
        <w:rPr>
          <w:rFonts w:ascii="Calibri" w:eastAsia="Times New Roman" w:hAnsi="Calibri" w:cs="Calibri"/>
          <w:sz w:val="24"/>
          <w:szCs w:val="24"/>
          <w:lang w:eastAsia="en-GB"/>
        </w:rPr>
        <w:t xml:space="preserve"> Available at : </w:t>
      </w:r>
      <w:hyperlink r:id="rId28" w:history="1">
        <w:r w:rsidRPr="00AE2A44">
          <w:rPr>
            <w:rStyle w:val="Hyperlink"/>
            <w:rFonts w:ascii="Calibri" w:eastAsia="Times New Roman" w:hAnsi="Calibri" w:cs="Calibri"/>
            <w:color w:val="auto"/>
            <w:sz w:val="24"/>
            <w:szCs w:val="24"/>
            <w:lang w:eastAsia="en-GB"/>
          </w:rPr>
          <w:t>https://scholar.google.co.uk/scholar?hl=en&amp;as_sdt=0%2C5&amp;q=Kraus%2C+S.%2C+Reiche%2C+B.+S.%2C+%26+Reschke%2C+C.+H.+%282007%2C+September%29.+The+role+of+strategic+planning+in+SMEs%3A+Literature+review+and+implications.+In+Conference+proceedings+of+the+Annual+Meeting+of+the+British+Academy+of+Management.&amp;btnG</w:t>
        </w:r>
      </w:hyperlink>
      <w:r w:rsidRPr="00AE2A44">
        <w:rPr>
          <w:rFonts w:ascii="Calibri" w:eastAsia="Times New Roman" w:hAnsi="Calibri" w:cs="Calibri"/>
          <w:sz w:val="24"/>
          <w:szCs w:val="24"/>
          <w:lang w:eastAsia="en-GB"/>
        </w:rPr>
        <w:t xml:space="preserve"> Accessed 05/11 /2022 </w:t>
      </w:r>
    </w:p>
    <w:p w:rsidR="00906158" w:rsidRPr="00AE2A44" w:rsidRDefault="00906158" w:rsidP="00906158">
      <w:pPr>
        <w:tabs>
          <w:tab w:val="left" w:pos="0"/>
        </w:tabs>
        <w:spacing w:line="480" w:lineRule="auto"/>
        <w:ind w:left="720" w:hanging="720"/>
        <w:rPr>
          <w:sz w:val="24"/>
        </w:rPr>
      </w:pP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Maroufkhani</w:t>
      </w:r>
      <w:proofErr w:type="spellEnd"/>
      <w:r w:rsidRPr="00AE2A44">
        <w:rPr>
          <w:rFonts w:ascii="Calibri" w:eastAsia="Times New Roman" w:hAnsi="Calibri" w:cs="Calibri"/>
          <w:sz w:val="24"/>
          <w:szCs w:val="24"/>
          <w:lang w:eastAsia="en-GB"/>
        </w:rPr>
        <w:t xml:space="preserve">, P., Tseng, M. L., </w:t>
      </w:r>
      <w:proofErr w:type="spellStart"/>
      <w:r w:rsidRPr="00AE2A44">
        <w:rPr>
          <w:rFonts w:ascii="Calibri" w:eastAsia="Times New Roman" w:hAnsi="Calibri" w:cs="Calibri"/>
          <w:sz w:val="24"/>
          <w:szCs w:val="24"/>
          <w:lang w:eastAsia="en-GB"/>
        </w:rPr>
        <w:t>Iranmanesh</w:t>
      </w:r>
      <w:proofErr w:type="spellEnd"/>
      <w:r w:rsidRPr="00AE2A44">
        <w:rPr>
          <w:rFonts w:ascii="Calibri" w:eastAsia="Times New Roman" w:hAnsi="Calibri" w:cs="Calibri"/>
          <w:sz w:val="24"/>
          <w:szCs w:val="24"/>
          <w:lang w:eastAsia="en-GB"/>
        </w:rPr>
        <w:t>, M., Ismail, W. K. W., &amp; Khalid, H. (2020).</w:t>
      </w:r>
      <w:proofErr w:type="gramEnd"/>
      <w:r w:rsidRPr="00AE2A44">
        <w:rPr>
          <w:rFonts w:ascii="Calibri" w:eastAsia="Times New Roman" w:hAnsi="Calibri" w:cs="Calibri"/>
          <w:sz w:val="24"/>
          <w:szCs w:val="24"/>
          <w:lang w:eastAsia="en-GB"/>
        </w:rPr>
        <w:t xml:space="preserve"> Big data analytics adoption: Determinants and performances among small to medium-sized enterprises. </w:t>
      </w:r>
      <w:proofErr w:type="gramStart"/>
      <w:r w:rsidRPr="00AE2A44">
        <w:rPr>
          <w:rFonts w:ascii="Calibri" w:eastAsia="Times New Roman" w:hAnsi="Calibri" w:cs="Calibri"/>
          <w:i/>
          <w:iCs/>
          <w:sz w:val="24"/>
          <w:szCs w:val="24"/>
          <w:lang w:eastAsia="en-GB"/>
        </w:rPr>
        <w:t>International Journal of Information Management</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54</w:t>
      </w:r>
      <w:r w:rsidRPr="00AE2A44">
        <w:rPr>
          <w:rFonts w:ascii="Calibri" w:eastAsia="Times New Roman" w:hAnsi="Calibri" w:cs="Calibri"/>
          <w:sz w:val="24"/>
          <w:szCs w:val="24"/>
          <w:lang w:eastAsia="en-GB"/>
        </w:rPr>
        <w:t>, 102190.</w:t>
      </w:r>
      <w:proofErr w:type="gramEnd"/>
      <w:r w:rsidRPr="00AE2A44">
        <w:rPr>
          <w:rFonts w:ascii="Calibri" w:eastAsia="Times New Roman" w:hAnsi="Calibri" w:cs="Calibri"/>
          <w:sz w:val="24"/>
          <w:szCs w:val="24"/>
          <w:lang w:eastAsia="en-GB"/>
        </w:rPr>
        <w:t xml:space="preserve"> Available at : </w:t>
      </w:r>
      <w:hyperlink r:id="rId29" w:history="1">
        <w:r w:rsidRPr="00AE2A44">
          <w:rPr>
            <w:rStyle w:val="Hyperlink"/>
            <w:rFonts w:ascii="Calibri" w:eastAsia="Times New Roman" w:hAnsi="Calibri" w:cs="Calibri"/>
            <w:color w:val="auto"/>
            <w:sz w:val="24"/>
            <w:szCs w:val="24"/>
            <w:lang w:eastAsia="en-GB"/>
          </w:rPr>
          <w:t>https://scholar.google.co.uk/scholar?hl=en&amp;as_sdt=0%2C5&amp;q=+Maroufkhani%2C+P.%2C+Tseng%2C+M.+L.%2C+Iranmanesh%2C+M.%2C+Ismail%2C+W.+K.+W.%2C+%26+Khalid%2C+H.+%282020%29.+Big+data+analytics+adoption%3A+Determinants+and+performances+among+small+to+medium-sized+enterprises.+International+Journal+of+Information+Management%2C+54%2C+102190.&amp;btnG</w:t>
        </w:r>
      </w:hyperlink>
      <w:r w:rsidRPr="00AE2A44">
        <w:rPr>
          <w:rFonts w:ascii="Calibri" w:eastAsia="Times New Roman" w:hAnsi="Calibri" w:cs="Calibri"/>
          <w:sz w:val="24"/>
          <w:szCs w:val="24"/>
          <w:lang w:eastAsia="en-GB"/>
        </w:rPr>
        <w:t xml:space="preserve"> Accessed 07/11/2022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gramStart"/>
      <w:r w:rsidRPr="00AE2A44">
        <w:rPr>
          <w:rFonts w:ascii="Calibri" w:eastAsia="Times New Roman" w:hAnsi="Calibri" w:cs="Calibri"/>
          <w:sz w:val="24"/>
          <w:szCs w:val="24"/>
          <w:lang w:eastAsia="en-GB"/>
        </w:rPr>
        <w:t xml:space="preserve">Meyer, K. E., &amp; </w:t>
      </w:r>
      <w:proofErr w:type="spellStart"/>
      <w:r w:rsidRPr="00AE2A44">
        <w:rPr>
          <w:rFonts w:ascii="Calibri" w:eastAsia="Times New Roman" w:hAnsi="Calibri" w:cs="Calibri"/>
          <w:sz w:val="24"/>
          <w:szCs w:val="24"/>
          <w:lang w:eastAsia="en-GB"/>
        </w:rPr>
        <w:t>Xin</w:t>
      </w:r>
      <w:proofErr w:type="spellEnd"/>
      <w:r w:rsidRPr="00AE2A44">
        <w:rPr>
          <w:rFonts w:ascii="Calibri" w:eastAsia="Times New Roman" w:hAnsi="Calibri" w:cs="Calibri"/>
          <w:sz w:val="24"/>
          <w:szCs w:val="24"/>
          <w:lang w:eastAsia="en-GB"/>
        </w:rPr>
        <w:t>, K. R. (2018).</w:t>
      </w:r>
      <w:proofErr w:type="gramEnd"/>
      <w:r w:rsidRPr="00AE2A44">
        <w:rPr>
          <w:rFonts w:ascii="Calibri" w:eastAsia="Times New Roman" w:hAnsi="Calibri" w:cs="Calibri"/>
          <w:sz w:val="24"/>
          <w:szCs w:val="24"/>
          <w:lang w:eastAsia="en-GB"/>
        </w:rPr>
        <w:t xml:space="preserve"> Managing talent in emerging economy multinationals: Integrating strategic management and human resource management. </w:t>
      </w:r>
      <w:r w:rsidRPr="00AE2A44">
        <w:rPr>
          <w:rFonts w:ascii="Calibri" w:eastAsia="Times New Roman" w:hAnsi="Calibri" w:cs="Calibri"/>
          <w:i/>
          <w:iCs/>
          <w:sz w:val="24"/>
          <w:szCs w:val="24"/>
          <w:lang w:eastAsia="en-GB"/>
        </w:rPr>
        <w:t>The International Journal of Human Resource Management</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29</w:t>
      </w:r>
      <w:r w:rsidRPr="00AE2A44">
        <w:rPr>
          <w:rFonts w:ascii="Calibri" w:eastAsia="Times New Roman" w:hAnsi="Calibri" w:cs="Calibri"/>
          <w:sz w:val="24"/>
          <w:szCs w:val="24"/>
          <w:lang w:eastAsia="en-GB"/>
        </w:rPr>
        <w:t xml:space="preserve">(11), 1827-1855. Available at : </w:t>
      </w:r>
      <w:hyperlink r:id="rId30" w:history="1">
        <w:r w:rsidRPr="00AE2A44">
          <w:rPr>
            <w:rStyle w:val="Hyperlink"/>
            <w:rFonts w:ascii="Calibri" w:eastAsia="Times New Roman" w:hAnsi="Calibri" w:cs="Calibri"/>
            <w:color w:val="auto"/>
            <w:sz w:val="24"/>
            <w:szCs w:val="24"/>
            <w:lang w:eastAsia="en-GB"/>
          </w:rPr>
          <w:t>https://scholar.google.co.uk/scholar?hl=en&amp;as_sdt=0%2C5&amp;q=Meyer%2C+K.+E.%2C+%26+Xin%2C+K.+R.+%282018%29.+Managing+talent+in+emerging+economy+multinationals%3A+Integrating+strategic+management+and+human+resource+management.+The+International+Journal+of+Human+Resource+Management%2C+29%2811%29%2C+1827-1855.&amp;btnG</w:t>
        </w:r>
      </w:hyperlink>
      <w:r w:rsidRPr="00AE2A44">
        <w:rPr>
          <w:rFonts w:ascii="Calibri" w:eastAsia="Times New Roman" w:hAnsi="Calibri" w:cs="Calibri"/>
          <w:sz w:val="24"/>
          <w:szCs w:val="24"/>
          <w:lang w:eastAsia="en-GB"/>
        </w:rPr>
        <w:t xml:space="preserve"> Accessed 28/10/2022 </w:t>
      </w:r>
    </w:p>
    <w:p w:rsidR="00906158" w:rsidRPr="00AE2A44" w:rsidRDefault="00906158" w:rsidP="00906158">
      <w:pPr>
        <w:spacing w:line="480" w:lineRule="auto"/>
        <w:ind w:hanging="720"/>
        <w:jc w:val="both"/>
        <w:rPr>
          <w:rFonts w:ascii="Calibri" w:eastAsia="Times New Roman" w:hAnsi="Calibri" w:cs="Calibri"/>
          <w:sz w:val="24"/>
          <w:szCs w:val="24"/>
          <w:lang w:eastAsia="en-GB"/>
        </w:rPr>
      </w:pPr>
      <w:proofErr w:type="spellStart"/>
      <w:proofErr w:type="gramStart"/>
      <w:r w:rsidRPr="00AE2A44">
        <w:rPr>
          <w:rFonts w:ascii="Calibri" w:eastAsia="Times New Roman" w:hAnsi="Calibri" w:cs="Calibri"/>
          <w:sz w:val="24"/>
          <w:szCs w:val="24"/>
          <w:lang w:eastAsia="en-GB"/>
        </w:rPr>
        <w:lastRenderedPageBreak/>
        <w:t>Mittal</w:t>
      </w:r>
      <w:proofErr w:type="spellEnd"/>
      <w:r w:rsidRPr="00AE2A44">
        <w:rPr>
          <w:rFonts w:ascii="Calibri" w:eastAsia="Times New Roman" w:hAnsi="Calibri" w:cs="Calibri"/>
          <w:sz w:val="24"/>
          <w:szCs w:val="24"/>
          <w:lang w:eastAsia="en-GB"/>
        </w:rPr>
        <w:t xml:space="preserve">, S., Khan, M. A., Romero, D., &amp; </w:t>
      </w:r>
      <w:proofErr w:type="spellStart"/>
      <w:r w:rsidRPr="00AE2A44">
        <w:rPr>
          <w:rFonts w:ascii="Calibri" w:eastAsia="Times New Roman" w:hAnsi="Calibri" w:cs="Calibri"/>
          <w:sz w:val="24"/>
          <w:szCs w:val="24"/>
          <w:lang w:eastAsia="en-GB"/>
        </w:rPr>
        <w:t>Wuest</w:t>
      </w:r>
      <w:proofErr w:type="spellEnd"/>
      <w:r w:rsidRPr="00AE2A44">
        <w:rPr>
          <w:rFonts w:ascii="Calibri" w:eastAsia="Times New Roman" w:hAnsi="Calibri" w:cs="Calibri"/>
          <w:sz w:val="24"/>
          <w:szCs w:val="24"/>
          <w:lang w:eastAsia="en-GB"/>
        </w:rPr>
        <w:t>, T. (2018).</w:t>
      </w:r>
      <w:proofErr w:type="gramEnd"/>
      <w:r w:rsidRPr="00AE2A44">
        <w:rPr>
          <w:rFonts w:ascii="Calibri" w:eastAsia="Times New Roman" w:hAnsi="Calibri" w:cs="Calibri"/>
          <w:sz w:val="24"/>
          <w:szCs w:val="24"/>
          <w:lang w:eastAsia="en-GB"/>
        </w:rPr>
        <w:t xml:space="preserve"> A critical review of smart manufacturing &amp; Industry 4.0 maturity models: Implications for small and medium-sized enterprises (SMEs). </w:t>
      </w:r>
      <w:r w:rsidRPr="00AE2A44">
        <w:rPr>
          <w:rFonts w:ascii="Calibri" w:eastAsia="Times New Roman" w:hAnsi="Calibri" w:cs="Calibri"/>
          <w:i/>
          <w:iCs/>
          <w:sz w:val="24"/>
          <w:szCs w:val="24"/>
          <w:lang w:eastAsia="en-GB"/>
        </w:rPr>
        <w:t>Journal of manufacturing systems</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49</w:t>
      </w:r>
      <w:r w:rsidRPr="00AE2A44">
        <w:rPr>
          <w:rFonts w:ascii="Calibri" w:eastAsia="Times New Roman" w:hAnsi="Calibri" w:cs="Calibri"/>
          <w:sz w:val="24"/>
          <w:szCs w:val="24"/>
          <w:lang w:eastAsia="en-GB"/>
        </w:rPr>
        <w:t xml:space="preserve">, 194-214. Available at : </w:t>
      </w:r>
      <w:hyperlink r:id="rId31" w:history="1">
        <w:r w:rsidRPr="00AE2A44">
          <w:rPr>
            <w:rStyle w:val="Hyperlink"/>
            <w:rFonts w:ascii="Calibri" w:eastAsia="Times New Roman" w:hAnsi="Calibri" w:cs="Calibri"/>
            <w:color w:val="auto"/>
            <w:sz w:val="24"/>
            <w:szCs w:val="24"/>
            <w:lang w:eastAsia="en-GB"/>
          </w:rPr>
          <w:t>https://scholar.google.co.uk/scholar?hl=en&amp;as_sdt=0%2C5&amp;q=Mittal%2C+S.%2C+Khan%2C+M.+A.%2C+Romero%2C+D.%2C+%26+Wuest%2C+T.+%282018%29.+A+critical+review+of+smart+manufacturing+%26+Industry+4.0+maturity+models%3A+Implications+for+small+and+medium-sized+enterprises+%28SMEs%29.+Journal+of+manufacturing+systems%2C+49%2C+194-214.&amp;btnG</w:t>
        </w:r>
      </w:hyperlink>
      <w:r w:rsidRPr="00AE2A44">
        <w:rPr>
          <w:rFonts w:ascii="Calibri" w:eastAsia="Times New Roman" w:hAnsi="Calibri" w:cs="Calibri"/>
          <w:sz w:val="24"/>
          <w:szCs w:val="24"/>
          <w:lang w:eastAsia="en-GB"/>
        </w:rPr>
        <w:t xml:space="preserve"> Accessed 29/10/2022 </w:t>
      </w:r>
    </w:p>
    <w:p w:rsidR="00906158" w:rsidRPr="00AE2A44" w:rsidRDefault="00906158" w:rsidP="00906158">
      <w:pPr>
        <w:tabs>
          <w:tab w:val="left" w:pos="0"/>
        </w:tabs>
        <w:spacing w:line="480" w:lineRule="auto"/>
        <w:ind w:left="720" w:hanging="720"/>
        <w:rPr>
          <w:sz w:val="24"/>
        </w:rPr>
      </w:pPr>
      <w:proofErr w:type="spellStart"/>
      <w:proofErr w:type="gramStart"/>
      <w:r w:rsidRPr="00AE2A44">
        <w:rPr>
          <w:sz w:val="24"/>
        </w:rPr>
        <w:t>Mitręga</w:t>
      </w:r>
      <w:proofErr w:type="spellEnd"/>
      <w:r w:rsidRPr="00AE2A44">
        <w:rPr>
          <w:sz w:val="24"/>
        </w:rPr>
        <w:t xml:space="preserve">, M., &amp; </w:t>
      </w:r>
      <w:proofErr w:type="spellStart"/>
      <w:r w:rsidRPr="00AE2A44">
        <w:rPr>
          <w:sz w:val="24"/>
        </w:rPr>
        <w:t>Choi</w:t>
      </w:r>
      <w:proofErr w:type="spellEnd"/>
      <w:r w:rsidRPr="00AE2A44">
        <w:rPr>
          <w:sz w:val="24"/>
        </w:rPr>
        <w:t>, T. M. (2021).</w:t>
      </w:r>
      <w:proofErr w:type="gramEnd"/>
      <w:r w:rsidRPr="00AE2A44">
        <w:rPr>
          <w:sz w:val="24"/>
        </w:rPr>
        <w:t xml:space="preserve"> How small-and-medium transportation companies handle asymmetric customer relationships under COVID-19 pandemic: A multi-method study. Transportation Research Part E: Logistics and Transportation Review, 148, 102249. Available at : </w:t>
      </w:r>
      <w:hyperlink r:id="rId32" w:history="1">
        <w:r w:rsidRPr="00AE2A44">
          <w:rPr>
            <w:rStyle w:val="Hyperlink"/>
            <w:color w:val="auto"/>
            <w:sz w:val="24"/>
          </w:rPr>
          <w:t>https://scholar.google.co.uk/scholar?hl=en&amp;as_sdt=0%2C5&amp;q=Mitr%C4%99ga%2C+M.%2C+%26+Choi%2C+T.+M.+%282021%29.+How+small-and-medium+transportation+companies+handle+asymmetric+customer+relationships+under+COVID-19+pandemic%3A+A+multi-method+study.+Transportation+Research+Part+E%3A+Logistics+and+Transportation+Review%2C+148%2C+102249.&amp;btnG</w:t>
        </w:r>
      </w:hyperlink>
      <w:r w:rsidRPr="00AE2A44">
        <w:rPr>
          <w:sz w:val="24"/>
        </w:rPr>
        <w:t xml:space="preserve"> Accessed 29/10/2022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r w:rsidRPr="00AE2A44">
        <w:rPr>
          <w:rFonts w:ascii="Calibri" w:eastAsia="Times New Roman" w:hAnsi="Calibri" w:cs="Calibri"/>
          <w:sz w:val="24"/>
          <w:szCs w:val="24"/>
          <w:lang w:eastAsia="en-GB"/>
        </w:rPr>
        <w:t>Müller</w:t>
      </w:r>
      <w:proofErr w:type="spellEnd"/>
      <w:r w:rsidRPr="00AE2A44">
        <w:rPr>
          <w:rFonts w:ascii="Calibri" w:eastAsia="Times New Roman" w:hAnsi="Calibri" w:cs="Calibri"/>
          <w:sz w:val="24"/>
          <w:szCs w:val="24"/>
          <w:lang w:eastAsia="en-GB"/>
        </w:rPr>
        <w:t>, J. M. (2019). Business model innovation in small-and medium-sized enterprises: Strategies for industry 4.0 providers and users. </w:t>
      </w:r>
      <w:proofErr w:type="gramStart"/>
      <w:r w:rsidRPr="00AE2A44">
        <w:rPr>
          <w:rFonts w:ascii="Calibri" w:eastAsia="Times New Roman" w:hAnsi="Calibri" w:cs="Calibri"/>
          <w:i/>
          <w:iCs/>
          <w:sz w:val="24"/>
          <w:szCs w:val="24"/>
          <w:lang w:eastAsia="en-GB"/>
        </w:rPr>
        <w:t>Journal of Manufacturing Technology Management</w:t>
      </w:r>
      <w:r w:rsidRPr="00AE2A44">
        <w:rPr>
          <w:rFonts w:ascii="Calibri" w:eastAsia="Times New Roman" w:hAnsi="Calibri" w:cs="Calibri"/>
          <w:sz w:val="24"/>
          <w:szCs w:val="24"/>
          <w:lang w:eastAsia="en-GB"/>
        </w:rPr>
        <w:t>.</w:t>
      </w:r>
      <w:proofErr w:type="gramEnd"/>
      <w:r w:rsidRPr="00AE2A44">
        <w:rPr>
          <w:rFonts w:ascii="Calibri" w:eastAsia="Times New Roman" w:hAnsi="Calibri" w:cs="Calibri"/>
          <w:sz w:val="24"/>
          <w:szCs w:val="24"/>
          <w:lang w:eastAsia="en-GB"/>
        </w:rPr>
        <w:t xml:space="preserve"> Available at : </w:t>
      </w:r>
      <w:hyperlink r:id="rId33" w:history="1">
        <w:r w:rsidRPr="00AE2A44">
          <w:rPr>
            <w:rStyle w:val="Hyperlink"/>
            <w:rFonts w:ascii="Calibri" w:eastAsia="Times New Roman" w:hAnsi="Calibri" w:cs="Calibri"/>
            <w:color w:val="auto"/>
            <w:sz w:val="24"/>
            <w:szCs w:val="24"/>
            <w:lang w:eastAsia="en-GB"/>
          </w:rPr>
          <w:t>https://scholar.google.co.uk/scholar?hl=en&amp;as_sdt=0%2C5&amp;q=M%C3%BCller%2C+J.+M.+%</w:t>
        </w:r>
        <w:r w:rsidRPr="00AE2A44">
          <w:rPr>
            <w:rStyle w:val="Hyperlink"/>
            <w:rFonts w:ascii="Calibri" w:eastAsia="Times New Roman" w:hAnsi="Calibri" w:cs="Calibri"/>
            <w:color w:val="auto"/>
            <w:sz w:val="24"/>
            <w:szCs w:val="24"/>
            <w:lang w:eastAsia="en-GB"/>
          </w:rPr>
          <w:lastRenderedPageBreak/>
          <w:t>282019%29.+Business+model+innovation+in+small-and+medium-sized+enterprises%3A+Strategies+for+industry+4.0+providers+and+users.+Journal+of+Manufacturing+Technology+Management.&amp;btnG</w:t>
        </w:r>
      </w:hyperlink>
      <w:r w:rsidRPr="00AE2A44">
        <w:rPr>
          <w:rFonts w:ascii="Calibri" w:eastAsia="Times New Roman" w:hAnsi="Calibri" w:cs="Calibri"/>
          <w:sz w:val="24"/>
          <w:szCs w:val="24"/>
          <w:lang w:eastAsia="en-GB"/>
        </w:rPr>
        <w:t xml:space="preserve"> Accessed 06/11/2022 </w:t>
      </w:r>
    </w:p>
    <w:p w:rsidR="00906158" w:rsidRPr="00AE2A44" w:rsidRDefault="00906158" w:rsidP="00906158">
      <w:pPr>
        <w:spacing w:line="480" w:lineRule="auto"/>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Nigri</w:t>
      </w:r>
      <w:proofErr w:type="spellEnd"/>
      <w:r w:rsidRPr="00AE2A44">
        <w:rPr>
          <w:rFonts w:ascii="Calibri" w:eastAsia="Times New Roman" w:hAnsi="Calibri" w:cs="Calibri"/>
          <w:sz w:val="24"/>
          <w:szCs w:val="24"/>
          <w:lang w:eastAsia="en-GB"/>
        </w:rPr>
        <w:t xml:space="preserve">, G., &amp; Del </w:t>
      </w:r>
      <w:proofErr w:type="spellStart"/>
      <w:r w:rsidRPr="00AE2A44">
        <w:rPr>
          <w:rFonts w:ascii="Calibri" w:eastAsia="Times New Roman" w:hAnsi="Calibri" w:cs="Calibri"/>
          <w:sz w:val="24"/>
          <w:szCs w:val="24"/>
          <w:lang w:eastAsia="en-GB"/>
        </w:rPr>
        <w:t>Baldo</w:t>
      </w:r>
      <w:proofErr w:type="spellEnd"/>
      <w:r w:rsidRPr="00AE2A44">
        <w:rPr>
          <w:rFonts w:ascii="Calibri" w:eastAsia="Times New Roman" w:hAnsi="Calibri" w:cs="Calibri"/>
          <w:sz w:val="24"/>
          <w:szCs w:val="24"/>
          <w:lang w:eastAsia="en-GB"/>
        </w:rPr>
        <w:t>, M. (2018).</w:t>
      </w:r>
      <w:proofErr w:type="gramEnd"/>
      <w:r w:rsidRPr="00AE2A44">
        <w:rPr>
          <w:rFonts w:ascii="Calibri" w:eastAsia="Times New Roman" w:hAnsi="Calibri" w:cs="Calibri"/>
          <w:sz w:val="24"/>
          <w:szCs w:val="24"/>
          <w:lang w:eastAsia="en-GB"/>
        </w:rPr>
        <w:t xml:space="preserve"> Sustainability reporting and performance measurement systems: How do small-and medium-sized benefit corporations manage integration</w:t>
      </w:r>
      <w:proofErr w:type="gramStart"/>
      <w:r w:rsidRPr="00AE2A44">
        <w:rPr>
          <w:rFonts w:ascii="Calibri" w:eastAsia="Times New Roman" w:hAnsi="Calibri" w:cs="Calibri"/>
          <w:sz w:val="24"/>
          <w:szCs w:val="24"/>
          <w:lang w:eastAsia="en-GB"/>
        </w:rPr>
        <w:t>?.</w:t>
      </w:r>
      <w:proofErr w:type="gramEnd"/>
      <w:r w:rsidRPr="00AE2A44">
        <w:rPr>
          <w:rFonts w:ascii="Calibri" w:eastAsia="Times New Roman" w:hAnsi="Calibri" w:cs="Calibri"/>
          <w:sz w:val="24"/>
          <w:szCs w:val="24"/>
          <w:lang w:eastAsia="en-GB"/>
        </w:rPr>
        <w:t> </w:t>
      </w:r>
      <w:proofErr w:type="gramStart"/>
      <w:r w:rsidRPr="00AE2A44">
        <w:rPr>
          <w:rFonts w:ascii="Calibri" w:eastAsia="Times New Roman" w:hAnsi="Calibri" w:cs="Calibri"/>
          <w:i/>
          <w:iCs/>
          <w:sz w:val="24"/>
          <w:szCs w:val="24"/>
          <w:lang w:eastAsia="en-GB"/>
        </w:rPr>
        <w:t>Sustainability</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10</w:t>
      </w:r>
      <w:r w:rsidRPr="00AE2A44">
        <w:rPr>
          <w:rFonts w:ascii="Calibri" w:eastAsia="Times New Roman" w:hAnsi="Calibri" w:cs="Calibri"/>
          <w:sz w:val="24"/>
          <w:szCs w:val="24"/>
          <w:lang w:eastAsia="en-GB"/>
        </w:rPr>
        <w:t>(12), 4499.</w:t>
      </w:r>
      <w:proofErr w:type="gramEnd"/>
      <w:r w:rsidRPr="00AE2A44">
        <w:rPr>
          <w:rFonts w:ascii="Calibri" w:eastAsia="Times New Roman" w:hAnsi="Calibri" w:cs="Calibri"/>
          <w:sz w:val="24"/>
          <w:szCs w:val="24"/>
          <w:lang w:eastAsia="en-GB"/>
        </w:rPr>
        <w:t xml:space="preserve"> Available at : </w:t>
      </w:r>
      <w:hyperlink r:id="rId34" w:history="1">
        <w:r w:rsidRPr="00AE2A44">
          <w:rPr>
            <w:rStyle w:val="Hyperlink"/>
            <w:rFonts w:ascii="Calibri" w:eastAsia="Times New Roman" w:hAnsi="Calibri" w:cs="Calibri"/>
            <w:color w:val="auto"/>
            <w:sz w:val="24"/>
            <w:szCs w:val="24"/>
            <w:lang w:eastAsia="en-GB"/>
          </w:rPr>
          <w:t>https://scholar.google.co.uk/scholar?hl=en&amp;as_sdt=0%2C5&amp;q=Nigri%2C+G.%2C+%26+Del+Baldo%2C+M.+%282018%29.+Sustainability+reporting+and+performance+measurement+systems%3A+How+do+small-and+medium-sized+benefit+corporations+manage+integration%3F.+Sustainability%2C+10%2812%29%2C+4499.&amp;btnG</w:t>
        </w:r>
      </w:hyperlink>
      <w:r w:rsidRPr="00AE2A44">
        <w:rPr>
          <w:rFonts w:ascii="Calibri" w:eastAsia="Times New Roman" w:hAnsi="Calibri" w:cs="Calibri"/>
          <w:sz w:val="24"/>
          <w:szCs w:val="24"/>
          <w:lang w:eastAsia="en-GB"/>
        </w:rPr>
        <w:t xml:space="preserve"> Accessed 25/10/2022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Nikolić</w:t>
      </w:r>
      <w:proofErr w:type="spellEnd"/>
      <w:r w:rsidRPr="00AE2A44">
        <w:rPr>
          <w:rFonts w:ascii="Calibri" w:eastAsia="Times New Roman" w:hAnsi="Calibri" w:cs="Calibri"/>
          <w:sz w:val="24"/>
          <w:szCs w:val="24"/>
          <w:lang w:eastAsia="en-GB"/>
        </w:rPr>
        <w:t xml:space="preserve">, N., </w:t>
      </w:r>
      <w:proofErr w:type="spellStart"/>
      <w:r w:rsidRPr="00AE2A44">
        <w:rPr>
          <w:rFonts w:ascii="Calibri" w:eastAsia="Times New Roman" w:hAnsi="Calibri" w:cs="Calibri"/>
          <w:sz w:val="24"/>
          <w:szCs w:val="24"/>
          <w:lang w:eastAsia="en-GB"/>
        </w:rPr>
        <w:t>Dhamo</w:t>
      </w:r>
      <w:proofErr w:type="spellEnd"/>
      <w:r w:rsidRPr="00AE2A44">
        <w:rPr>
          <w:rFonts w:ascii="Calibri" w:eastAsia="Times New Roman" w:hAnsi="Calibri" w:cs="Calibri"/>
          <w:sz w:val="24"/>
          <w:szCs w:val="24"/>
          <w:lang w:eastAsia="en-GB"/>
        </w:rPr>
        <w:t xml:space="preserve">, Z., Schulte, P., </w:t>
      </w:r>
      <w:proofErr w:type="spellStart"/>
      <w:r w:rsidRPr="00AE2A44">
        <w:rPr>
          <w:rFonts w:ascii="Calibri" w:eastAsia="Times New Roman" w:hAnsi="Calibri" w:cs="Calibri"/>
          <w:sz w:val="24"/>
          <w:szCs w:val="24"/>
          <w:lang w:eastAsia="en-GB"/>
        </w:rPr>
        <w:t>Mihajlović</w:t>
      </w:r>
      <w:proofErr w:type="spellEnd"/>
      <w:r w:rsidRPr="00AE2A44">
        <w:rPr>
          <w:rFonts w:ascii="Calibri" w:eastAsia="Times New Roman" w:hAnsi="Calibri" w:cs="Calibri"/>
          <w:sz w:val="24"/>
          <w:szCs w:val="24"/>
          <w:lang w:eastAsia="en-GB"/>
        </w:rPr>
        <w:t xml:space="preserve">, I., &amp; </w:t>
      </w:r>
      <w:proofErr w:type="spellStart"/>
      <w:r w:rsidRPr="00AE2A44">
        <w:rPr>
          <w:rFonts w:ascii="Calibri" w:eastAsia="Times New Roman" w:hAnsi="Calibri" w:cs="Calibri"/>
          <w:sz w:val="24"/>
          <w:szCs w:val="24"/>
          <w:lang w:eastAsia="en-GB"/>
        </w:rPr>
        <w:t>Kume</w:t>
      </w:r>
      <w:proofErr w:type="spellEnd"/>
      <w:r w:rsidRPr="00AE2A44">
        <w:rPr>
          <w:rFonts w:ascii="Calibri" w:eastAsia="Times New Roman" w:hAnsi="Calibri" w:cs="Calibri"/>
          <w:sz w:val="24"/>
          <w:szCs w:val="24"/>
          <w:lang w:eastAsia="en-GB"/>
        </w:rPr>
        <w:t>, V. (2015, May).</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An analysis of factors affecting failure of SMEs.</w:t>
      </w:r>
      <w:proofErr w:type="gramEnd"/>
      <w:r w:rsidRPr="00AE2A44">
        <w:rPr>
          <w:rFonts w:ascii="Calibri" w:eastAsia="Times New Roman" w:hAnsi="Calibri" w:cs="Calibri"/>
          <w:sz w:val="24"/>
          <w:szCs w:val="24"/>
          <w:lang w:eastAsia="en-GB"/>
        </w:rPr>
        <w:t xml:space="preserve"> In Proceedings of 11th International May Conference on Strategic Management-IMKSM2015 (pp. 29-31). Available at : </w:t>
      </w:r>
      <w:hyperlink r:id="rId35" w:history="1">
        <w:r w:rsidRPr="00AE2A44">
          <w:rPr>
            <w:rStyle w:val="Hyperlink"/>
            <w:rFonts w:ascii="Calibri" w:eastAsia="Times New Roman" w:hAnsi="Calibri" w:cs="Calibri"/>
            <w:color w:val="auto"/>
            <w:sz w:val="24"/>
            <w:szCs w:val="24"/>
            <w:lang w:eastAsia="en-GB"/>
          </w:rPr>
          <w:t>https://scholar.google.co.uk/scholar?hl=en&amp;as_sdt=0%2C5&amp;q=Nikoli%C4%87%2C+N.%2C+Dhamo%2C+Z.%2C+Schulte%2C+P.%2C+Mihajlovi%C4%87%2C+I.%2C+%26+Kume%2C+V.+%282015%2C+May%29.+An+analysis+of+factors+affecting+failure+of+SMEs.+In+Proceedings+of+11th+International+May+Conference+on+Strategic+Management-IMKSM2015+%28pp.+29-31%29.&amp;btnG</w:t>
        </w:r>
      </w:hyperlink>
      <w:r w:rsidRPr="00AE2A44">
        <w:rPr>
          <w:rFonts w:ascii="Calibri" w:eastAsia="Times New Roman" w:hAnsi="Calibri" w:cs="Calibri"/>
          <w:sz w:val="24"/>
          <w:szCs w:val="24"/>
          <w:lang w:eastAsia="en-GB"/>
        </w:rPr>
        <w:t xml:space="preserve"> Accessed 05/10/2022 </w:t>
      </w:r>
    </w:p>
    <w:p w:rsidR="00906158" w:rsidRPr="00AE2A44" w:rsidRDefault="00906158" w:rsidP="00906158">
      <w:pPr>
        <w:tabs>
          <w:tab w:val="left" w:pos="0"/>
        </w:tabs>
        <w:spacing w:line="480" w:lineRule="auto"/>
        <w:ind w:left="720" w:hanging="720"/>
        <w:rPr>
          <w:sz w:val="24"/>
        </w:rPr>
      </w:pPr>
    </w:p>
    <w:p w:rsidR="00906158" w:rsidRPr="00AE2A44" w:rsidRDefault="00906158" w:rsidP="00906158">
      <w:pPr>
        <w:tabs>
          <w:tab w:val="left" w:pos="0"/>
        </w:tabs>
        <w:spacing w:line="480" w:lineRule="auto"/>
        <w:ind w:left="720" w:hanging="720"/>
        <w:rPr>
          <w:sz w:val="24"/>
        </w:rPr>
      </w:pPr>
      <w:proofErr w:type="spellStart"/>
      <w:proofErr w:type="gramStart"/>
      <w:r w:rsidRPr="00AE2A44">
        <w:rPr>
          <w:sz w:val="24"/>
        </w:rPr>
        <w:t>Paunović</w:t>
      </w:r>
      <w:proofErr w:type="spellEnd"/>
      <w:r w:rsidRPr="00AE2A44">
        <w:rPr>
          <w:sz w:val="24"/>
        </w:rPr>
        <w:t xml:space="preserve">, B., &amp; </w:t>
      </w:r>
      <w:proofErr w:type="spellStart"/>
      <w:r w:rsidRPr="00AE2A44">
        <w:rPr>
          <w:sz w:val="24"/>
        </w:rPr>
        <w:t>Aničić</w:t>
      </w:r>
      <w:proofErr w:type="spellEnd"/>
      <w:r w:rsidRPr="00AE2A44">
        <w:rPr>
          <w:sz w:val="24"/>
        </w:rPr>
        <w:t>, Z. (2021).</w:t>
      </w:r>
      <w:proofErr w:type="gramEnd"/>
      <w:r w:rsidRPr="00AE2A44">
        <w:rPr>
          <w:sz w:val="24"/>
        </w:rPr>
        <w:t xml:space="preserve"> </w:t>
      </w:r>
      <w:proofErr w:type="gramStart"/>
      <w:r w:rsidRPr="00AE2A44">
        <w:rPr>
          <w:sz w:val="24"/>
        </w:rPr>
        <w:t>Impact of the COVID-19 crisis on SMEs and possible innovation responses.</w:t>
      </w:r>
      <w:proofErr w:type="gramEnd"/>
      <w:r w:rsidRPr="00AE2A44">
        <w:rPr>
          <w:sz w:val="24"/>
        </w:rPr>
        <w:t xml:space="preserve"> </w:t>
      </w:r>
      <w:proofErr w:type="spellStart"/>
      <w:proofErr w:type="gramStart"/>
      <w:r w:rsidRPr="00AE2A44">
        <w:rPr>
          <w:sz w:val="24"/>
        </w:rPr>
        <w:t>Ekonomika</w:t>
      </w:r>
      <w:proofErr w:type="spellEnd"/>
      <w:r w:rsidRPr="00AE2A44">
        <w:rPr>
          <w:sz w:val="24"/>
        </w:rPr>
        <w:t xml:space="preserve"> </w:t>
      </w:r>
      <w:proofErr w:type="spellStart"/>
      <w:r w:rsidRPr="00AE2A44">
        <w:rPr>
          <w:sz w:val="24"/>
        </w:rPr>
        <w:t>preduzeća</w:t>
      </w:r>
      <w:proofErr w:type="spellEnd"/>
      <w:r w:rsidRPr="00AE2A44">
        <w:rPr>
          <w:sz w:val="24"/>
        </w:rPr>
        <w:t>, 69(3-4), 169-184.</w:t>
      </w:r>
      <w:proofErr w:type="gramEnd"/>
      <w:r w:rsidRPr="00AE2A44">
        <w:rPr>
          <w:sz w:val="24"/>
        </w:rPr>
        <w:t xml:space="preserve"> Available at : </w:t>
      </w:r>
      <w:hyperlink r:id="rId36" w:history="1">
        <w:r w:rsidRPr="00AE2A44">
          <w:rPr>
            <w:rStyle w:val="Hyperlink"/>
            <w:color w:val="auto"/>
            <w:sz w:val="24"/>
          </w:rPr>
          <w:t>https://scholar.google.co.uk/scholar?hl=en&amp;as_sdt=0%2C5&amp;q=Paunovi%C4%87%2C</w:t>
        </w:r>
        <w:r w:rsidRPr="00AE2A44">
          <w:rPr>
            <w:rStyle w:val="Hyperlink"/>
            <w:color w:val="auto"/>
            <w:sz w:val="24"/>
          </w:rPr>
          <w:lastRenderedPageBreak/>
          <w:t>+B.%2C+%26+Ani%C4%8Di%C4%87%2C+Z.+%282021%29.+Impact+of+the+COVID-19+crisis+on+SMEs+and+possible+innovation+responses.+Ekonomika+preduze%C4%87a%2C+69%283-4%29%2C+169-184.&amp;btnG</w:t>
        </w:r>
      </w:hyperlink>
      <w:r w:rsidRPr="00AE2A44">
        <w:rPr>
          <w:sz w:val="24"/>
        </w:rPr>
        <w:t xml:space="preserve"> </w:t>
      </w:r>
      <w:r w:rsidRPr="00AE2A44">
        <w:rPr>
          <w:sz w:val="24"/>
        </w:rPr>
        <w:tab/>
        <w:t xml:space="preserve">Accessed  05/10/2022 </w:t>
      </w:r>
    </w:p>
    <w:p w:rsidR="00906158" w:rsidRPr="00AE2A44" w:rsidRDefault="00906158" w:rsidP="00906158">
      <w:pPr>
        <w:tabs>
          <w:tab w:val="left" w:pos="0"/>
        </w:tabs>
        <w:spacing w:line="480" w:lineRule="auto"/>
        <w:ind w:left="720" w:hanging="720"/>
      </w:pPr>
      <w:proofErr w:type="spellStart"/>
      <w:r w:rsidRPr="00AE2A44">
        <w:rPr>
          <w:sz w:val="24"/>
        </w:rPr>
        <w:t>Pencarelli</w:t>
      </w:r>
      <w:proofErr w:type="spellEnd"/>
      <w:r w:rsidRPr="00AE2A44">
        <w:rPr>
          <w:sz w:val="24"/>
        </w:rPr>
        <w:t xml:space="preserve">, T., </w:t>
      </w:r>
      <w:proofErr w:type="spellStart"/>
      <w:r w:rsidRPr="00AE2A44">
        <w:rPr>
          <w:sz w:val="24"/>
        </w:rPr>
        <w:t>Cesaroni</w:t>
      </w:r>
      <w:proofErr w:type="spellEnd"/>
      <w:r w:rsidRPr="00AE2A44">
        <w:rPr>
          <w:sz w:val="24"/>
        </w:rPr>
        <w:t xml:space="preserve">, F. M., &amp; </w:t>
      </w:r>
      <w:proofErr w:type="spellStart"/>
      <w:r w:rsidRPr="00AE2A44">
        <w:rPr>
          <w:sz w:val="24"/>
        </w:rPr>
        <w:t>Demartini</w:t>
      </w:r>
      <w:proofErr w:type="spellEnd"/>
      <w:r w:rsidRPr="00AE2A44">
        <w:rPr>
          <w:sz w:val="24"/>
        </w:rPr>
        <w:t xml:space="preserve">, P. (2020). Covid-19 and Italian small and medium-sized enterprises: consequences, threats and opportunities. </w:t>
      </w:r>
      <w:proofErr w:type="spellStart"/>
      <w:proofErr w:type="gramStart"/>
      <w:r w:rsidRPr="00AE2A44">
        <w:rPr>
          <w:sz w:val="24"/>
        </w:rPr>
        <w:t>Piccola</w:t>
      </w:r>
      <w:proofErr w:type="spellEnd"/>
      <w:r w:rsidRPr="00AE2A44">
        <w:rPr>
          <w:sz w:val="24"/>
        </w:rPr>
        <w:t xml:space="preserve"> </w:t>
      </w:r>
      <w:proofErr w:type="spellStart"/>
      <w:r w:rsidRPr="00AE2A44">
        <w:rPr>
          <w:sz w:val="24"/>
        </w:rPr>
        <w:t>Impresa</w:t>
      </w:r>
      <w:proofErr w:type="spellEnd"/>
      <w:r w:rsidRPr="00AE2A44">
        <w:rPr>
          <w:sz w:val="24"/>
        </w:rPr>
        <w:t>/Small Business, (3).</w:t>
      </w:r>
      <w:proofErr w:type="gramEnd"/>
      <w:r w:rsidRPr="00AE2A44">
        <w:t xml:space="preserve">  Available at : </w:t>
      </w:r>
      <w:hyperlink r:id="rId37" w:history="1">
        <w:r w:rsidRPr="00AE2A44">
          <w:rPr>
            <w:rStyle w:val="Hyperlink"/>
            <w:color w:val="auto"/>
          </w:rPr>
          <w:t>https://scholar.google.co.uk/scholar?hl=en&amp;as_sdt=0%2C5&amp;q=Pencarelli%2C+T.%2C+Cesaroni%2C+F.+M.%2C+%26+Demartini%2C+P.+%282020%29.+Covid-19+and+Italian+small+and+medium-sized+enterprises%3A+consequences%2C+threats+and+opportunities.+Piccola+Impresa%2FSmall+Business%2C+%283%29.+&amp;btnG</w:t>
        </w:r>
      </w:hyperlink>
      <w:r w:rsidRPr="00AE2A44">
        <w:t xml:space="preserve"> Accessed 13/10/2022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Papazov</w:t>
      </w:r>
      <w:proofErr w:type="spellEnd"/>
      <w:r w:rsidRPr="00AE2A44">
        <w:rPr>
          <w:rFonts w:ascii="Calibri" w:eastAsia="Times New Roman" w:hAnsi="Calibri" w:cs="Calibri"/>
          <w:sz w:val="24"/>
          <w:szCs w:val="24"/>
          <w:lang w:eastAsia="en-GB"/>
        </w:rPr>
        <w:t xml:space="preserve">, E., &amp; </w:t>
      </w:r>
      <w:proofErr w:type="spellStart"/>
      <w:r w:rsidRPr="00AE2A44">
        <w:rPr>
          <w:rFonts w:ascii="Calibri" w:eastAsia="Times New Roman" w:hAnsi="Calibri" w:cs="Calibri"/>
          <w:sz w:val="24"/>
          <w:szCs w:val="24"/>
          <w:lang w:eastAsia="en-GB"/>
        </w:rPr>
        <w:t>Mihaylova</w:t>
      </w:r>
      <w:proofErr w:type="spellEnd"/>
      <w:r w:rsidRPr="00AE2A44">
        <w:rPr>
          <w:rFonts w:ascii="Calibri" w:eastAsia="Times New Roman" w:hAnsi="Calibri" w:cs="Calibri"/>
          <w:sz w:val="24"/>
          <w:szCs w:val="24"/>
          <w:lang w:eastAsia="en-GB"/>
        </w:rPr>
        <w:t>, L. (2012, May).</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Modern approach to strategic control in SMEs.</w:t>
      </w:r>
      <w:proofErr w:type="gramEnd"/>
      <w:r w:rsidRPr="00AE2A44">
        <w:rPr>
          <w:rFonts w:ascii="Calibri" w:eastAsia="Times New Roman" w:hAnsi="Calibri" w:cs="Calibri"/>
          <w:sz w:val="24"/>
          <w:szCs w:val="24"/>
          <w:lang w:eastAsia="en-GB"/>
        </w:rPr>
        <w:t xml:space="preserve"> In Proceedings of MIBES International Scientific Conference 2012–Innovation &amp; Sustainability (pp. 25-27). Available at : </w:t>
      </w:r>
      <w:hyperlink r:id="rId38" w:history="1">
        <w:r w:rsidRPr="00AE2A44">
          <w:rPr>
            <w:rStyle w:val="Hyperlink"/>
            <w:rFonts w:ascii="Calibri" w:eastAsia="Times New Roman" w:hAnsi="Calibri" w:cs="Calibri"/>
            <w:color w:val="auto"/>
            <w:sz w:val="24"/>
            <w:szCs w:val="24"/>
            <w:lang w:eastAsia="en-GB"/>
          </w:rPr>
          <w:t>https://scholar.google.co.uk/scholar?hl=en&amp;as_sdt=0%2C5&amp;q=Papazov%2C+E.%2C+%26+Mihaylova%2C+L.+%282012%2C+May%29.+Modern+approach+to+strategic+control+in+SMEs.+In+Proceedings+of+MIBES+International+Scientific+Conference+2012%E2%80%93Innovation+%26+Sustainability+%28pp.+25-27%29.&amp;btnG</w:t>
        </w:r>
      </w:hyperlink>
      <w:r w:rsidRPr="00AE2A44">
        <w:rPr>
          <w:rFonts w:ascii="Calibri" w:eastAsia="Times New Roman" w:hAnsi="Calibri" w:cs="Calibri"/>
          <w:sz w:val="24"/>
          <w:szCs w:val="24"/>
          <w:lang w:eastAsia="en-GB"/>
        </w:rPr>
        <w:t xml:space="preserve"> </w:t>
      </w:r>
      <w:proofErr w:type="spellStart"/>
      <w:r w:rsidRPr="00AE2A44">
        <w:rPr>
          <w:rFonts w:ascii="Calibri" w:eastAsia="Times New Roman" w:hAnsi="Calibri" w:cs="Calibri"/>
          <w:sz w:val="24"/>
          <w:szCs w:val="24"/>
          <w:lang w:eastAsia="en-GB"/>
        </w:rPr>
        <w:t>Acceessed</w:t>
      </w:r>
      <w:proofErr w:type="spellEnd"/>
      <w:r w:rsidRPr="00AE2A44">
        <w:rPr>
          <w:rFonts w:ascii="Calibri" w:eastAsia="Times New Roman" w:hAnsi="Calibri" w:cs="Calibri"/>
          <w:sz w:val="24"/>
          <w:szCs w:val="24"/>
          <w:lang w:eastAsia="en-GB"/>
        </w:rPr>
        <w:t xml:space="preserve"> 07/10/2022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r w:rsidRPr="00AE2A44">
        <w:rPr>
          <w:rFonts w:ascii="Calibri" w:eastAsia="Times New Roman" w:hAnsi="Calibri" w:cs="Calibri"/>
          <w:sz w:val="24"/>
          <w:szCs w:val="24"/>
          <w:lang w:eastAsia="en-GB"/>
        </w:rPr>
        <w:t xml:space="preserve">Peter, F., </w:t>
      </w:r>
      <w:proofErr w:type="spellStart"/>
      <w:r w:rsidRPr="00AE2A44">
        <w:rPr>
          <w:rFonts w:ascii="Calibri" w:eastAsia="Times New Roman" w:hAnsi="Calibri" w:cs="Calibri"/>
          <w:sz w:val="24"/>
          <w:szCs w:val="24"/>
          <w:lang w:eastAsia="en-GB"/>
        </w:rPr>
        <w:t>Adegbuyi</w:t>
      </w:r>
      <w:proofErr w:type="spellEnd"/>
      <w:r w:rsidRPr="00AE2A44">
        <w:rPr>
          <w:rFonts w:ascii="Calibri" w:eastAsia="Times New Roman" w:hAnsi="Calibri" w:cs="Calibri"/>
          <w:sz w:val="24"/>
          <w:szCs w:val="24"/>
          <w:lang w:eastAsia="en-GB"/>
        </w:rPr>
        <w:t xml:space="preserve">, O., </w:t>
      </w:r>
      <w:proofErr w:type="spellStart"/>
      <w:r w:rsidRPr="00AE2A44">
        <w:rPr>
          <w:rFonts w:ascii="Calibri" w:eastAsia="Times New Roman" w:hAnsi="Calibri" w:cs="Calibri"/>
          <w:sz w:val="24"/>
          <w:szCs w:val="24"/>
          <w:lang w:eastAsia="en-GB"/>
        </w:rPr>
        <w:t>Olokundun</w:t>
      </w:r>
      <w:proofErr w:type="spellEnd"/>
      <w:r w:rsidRPr="00AE2A44">
        <w:rPr>
          <w:rFonts w:ascii="Calibri" w:eastAsia="Times New Roman" w:hAnsi="Calibri" w:cs="Calibri"/>
          <w:sz w:val="24"/>
          <w:szCs w:val="24"/>
          <w:lang w:eastAsia="en-GB"/>
        </w:rPr>
        <w:t xml:space="preserve">, M., Peter, A. O., </w:t>
      </w:r>
      <w:proofErr w:type="spellStart"/>
      <w:r w:rsidRPr="00AE2A44">
        <w:rPr>
          <w:rFonts w:ascii="Calibri" w:eastAsia="Times New Roman" w:hAnsi="Calibri" w:cs="Calibri"/>
          <w:sz w:val="24"/>
          <w:szCs w:val="24"/>
          <w:lang w:eastAsia="en-GB"/>
        </w:rPr>
        <w:t>Amaihian</w:t>
      </w:r>
      <w:proofErr w:type="spellEnd"/>
      <w:r w:rsidRPr="00AE2A44">
        <w:rPr>
          <w:rFonts w:ascii="Calibri" w:eastAsia="Times New Roman" w:hAnsi="Calibri" w:cs="Calibri"/>
          <w:sz w:val="24"/>
          <w:szCs w:val="24"/>
          <w:lang w:eastAsia="en-GB"/>
        </w:rPr>
        <w:t xml:space="preserve">, A. B., &amp; </w:t>
      </w:r>
      <w:proofErr w:type="spellStart"/>
      <w:r w:rsidRPr="00AE2A44">
        <w:rPr>
          <w:rFonts w:ascii="Calibri" w:eastAsia="Times New Roman" w:hAnsi="Calibri" w:cs="Calibri"/>
          <w:sz w:val="24"/>
          <w:szCs w:val="24"/>
          <w:lang w:eastAsia="en-GB"/>
        </w:rPr>
        <w:t>Ibidunni</w:t>
      </w:r>
      <w:proofErr w:type="spellEnd"/>
      <w:r w:rsidRPr="00AE2A44">
        <w:rPr>
          <w:rFonts w:ascii="Calibri" w:eastAsia="Times New Roman" w:hAnsi="Calibri" w:cs="Calibri"/>
          <w:sz w:val="24"/>
          <w:szCs w:val="24"/>
          <w:lang w:eastAsia="en-GB"/>
        </w:rPr>
        <w:t xml:space="preserve">, A. S. (2018). </w:t>
      </w:r>
      <w:proofErr w:type="gramStart"/>
      <w:r w:rsidRPr="00AE2A44">
        <w:rPr>
          <w:rFonts w:ascii="Calibri" w:eastAsia="Times New Roman" w:hAnsi="Calibri" w:cs="Calibri"/>
          <w:sz w:val="24"/>
          <w:szCs w:val="24"/>
          <w:lang w:eastAsia="en-GB"/>
        </w:rPr>
        <w:t>Government financial support and financial performance of SMEs.</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Academy of Strategic Management Journal, 17.</w:t>
      </w:r>
      <w:proofErr w:type="gramEnd"/>
      <w:r w:rsidRPr="00AE2A44">
        <w:rPr>
          <w:rFonts w:ascii="Calibri" w:eastAsia="Times New Roman" w:hAnsi="Calibri" w:cs="Calibri"/>
          <w:sz w:val="24"/>
          <w:szCs w:val="24"/>
          <w:lang w:eastAsia="en-GB"/>
        </w:rPr>
        <w:t xml:space="preserve"> Available at : </w:t>
      </w:r>
      <w:hyperlink r:id="rId39" w:history="1">
        <w:r w:rsidRPr="00AE2A44">
          <w:rPr>
            <w:rStyle w:val="Hyperlink"/>
            <w:rFonts w:ascii="Calibri" w:eastAsia="Times New Roman" w:hAnsi="Calibri" w:cs="Calibri"/>
            <w:color w:val="auto"/>
            <w:sz w:val="24"/>
            <w:szCs w:val="24"/>
            <w:lang w:eastAsia="en-GB"/>
          </w:rPr>
          <w:t>https://scholar.google.co.uk/scholar?hl=en&amp;as_sdt=0%2C5&amp;q=Peter%2C+F.%2C+Adegbuyi%2C+O.%2C+Olokundun%2C+M.%2C+Peter%2C+A.+O.%2C+Amaihian%2C+A.+B.%2C+%26+I</w:t>
        </w:r>
        <w:r w:rsidRPr="00AE2A44">
          <w:rPr>
            <w:rStyle w:val="Hyperlink"/>
            <w:rFonts w:ascii="Calibri" w:eastAsia="Times New Roman" w:hAnsi="Calibri" w:cs="Calibri"/>
            <w:color w:val="auto"/>
            <w:sz w:val="24"/>
            <w:szCs w:val="24"/>
            <w:lang w:eastAsia="en-GB"/>
          </w:rPr>
          <w:lastRenderedPageBreak/>
          <w:t>bidunni%2C+A.+S.+%282018%29.+Government+financial+support+and+financial+performance+of+SMEs.+Academy+of+Strategic+Management+Journal%2C+17.&amp;btnG</w:t>
        </w:r>
      </w:hyperlink>
      <w:r w:rsidRPr="00AE2A44">
        <w:rPr>
          <w:rFonts w:ascii="Calibri" w:eastAsia="Times New Roman" w:hAnsi="Calibri" w:cs="Calibri"/>
          <w:sz w:val="24"/>
          <w:szCs w:val="24"/>
          <w:lang w:eastAsia="en-GB"/>
        </w:rPr>
        <w:t xml:space="preserve"> Accessed 15/10/2022 </w:t>
      </w:r>
    </w:p>
    <w:p w:rsidR="00906158" w:rsidRPr="00AE2A44" w:rsidRDefault="00906158" w:rsidP="00906158">
      <w:pPr>
        <w:spacing w:line="480" w:lineRule="auto"/>
        <w:ind w:hanging="720"/>
        <w:jc w:val="both"/>
        <w:rPr>
          <w:rFonts w:ascii="Calibri" w:eastAsia="Times New Roman" w:hAnsi="Calibri" w:cs="Calibri"/>
          <w:sz w:val="24"/>
          <w:szCs w:val="24"/>
          <w:lang w:eastAsia="en-GB"/>
        </w:rPr>
      </w:pPr>
      <w:proofErr w:type="spellStart"/>
      <w:proofErr w:type="gramStart"/>
      <w:r w:rsidRPr="00AE2A44">
        <w:rPr>
          <w:rFonts w:ascii="Calibri" w:eastAsia="Times New Roman" w:hAnsi="Calibri" w:cs="Calibri"/>
          <w:sz w:val="24"/>
          <w:szCs w:val="24"/>
          <w:lang w:eastAsia="en-GB"/>
        </w:rPr>
        <w:t>Postma</w:t>
      </w:r>
      <w:proofErr w:type="spellEnd"/>
      <w:r w:rsidRPr="00AE2A44">
        <w:rPr>
          <w:rFonts w:ascii="Calibri" w:eastAsia="Times New Roman" w:hAnsi="Calibri" w:cs="Calibri"/>
          <w:sz w:val="24"/>
          <w:szCs w:val="24"/>
          <w:lang w:eastAsia="en-GB"/>
        </w:rPr>
        <w:t xml:space="preserve">, T. J., &amp; </w:t>
      </w:r>
      <w:proofErr w:type="spellStart"/>
      <w:r w:rsidRPr="00AE2A44">
        <w:rPr>
          <w:rFonts w:ascii="Calibri" w:eastAsia="Times New Roman" w:hAnsi="Calibri" w:cs="Calibri"/>
          <w:sz w:val="24"/>
          <w:szCs w:val="24"/>
          <w:lang w:eastAsia="en-GB"/>
        </w:rPr>
        <w:t>Zwart</w:t>
      </w:r>
      <w:proofErr w:type="spellEnd"/>
      <w:r w:rsidRPr="00AE2A44">
        <w:rPr>
          <w:rFonts w:ascii="Calibri" w:eastAsia="Times New Roman" w:hAnsi="Calibri" w:cs="Calibri"/>
          <w:sz w:val="24"/>
          <w:szCs w:val="24"/>
          <w:lang w:eastAsia="en-GB"/>
        </w:rPr>
        <w:t>, P. S. (2001).</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Strategic research and performance of SMEs'.</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Journal of small business strategy, 12(2), 52-64.</w:t>
      </w:r>
      <w:proofErr w:type="gramEnd"/>
      <w:r w:rsidRPr="00AE2A44">
        <w:rPr>
          <w:rFonts w:ascii="Calibri" w:eastAsia="Times New Roman" w:hAnsi="Calibri" w:cs="Calibri"/>
          <w:sz w:val="24"/>
          <w:szCs w:val="24"/>
          <w:lang w:eastAsia="en-GB"/>
        </w:rPr>
        <w:t xml:space="preserve"> Available at : </w:t>
      </w:r>
      <w:hyperlink r:id="rId40" w:history="1">
        <w:r w:rsidRPr="00AE2A44">
          <w:rPr>
            <w:rStyle w:val="Hyperlink"/>
            <w:rFonts w:ascii="Calibri" w:eastAsia="Times New Roman" w:hAnsi="Calibri" w:cs="Calibri"/>
            <w:color w:val="auto"/>
            <w:sz w:val="24"/>
            <w:szCs w:val="24"/>
            <w:lang w:eastAsia="en-GB"/>
          </w:rPr>
          <w:t>https://scholar.google.co.uk/scholar?hl=en&amp;as_sdt=0%2C5&amp;q=Postma%2C+T.+J.%2C+%26+Zwart%2C+P.+S.+%282001%29.+Strategic+research+and+performance+of+SMEs%27.+Journal+of+small+business+strategy%2C+12%282%29%2C+52-64.&amp;btnG</w:t>
        </w:r>
      </w:hyperlink>
      <w:r w:rsidRPr="00AE2A44">
        <w:rPr>
          <w:rFonts w:ascii="Calibri" w:eastAsia="Times New Roman" w:hAnsi="Calibri" w:cs="Calibri"/>
          <w:sz w:val="24"/>
          <w:szCs w:val="24"/>
          <w:lang w:eastAsia="en-GB"/>
        </w:rPr>
        <w:t xml:space="preserve"> Accessed 17/10/2022</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gramStart"/>
      <w:r w:rsidRPr="00AE2A44">
        <w:rPr>
          <w:rFonts w:ascii="Calibri" w:eastAsia="Times New Roman" w:hAnsi="Calibri" w:cs="Calibri"/>
          <w:sz w:val="24"/>
          <w:szCs w:val="24"/>
          <w:lang w:eastAsia="en-GB"/>
        </w:rPr>
        <w:t>Raymond, L., &amp; St-Pierre, J. (2013).</w:t>
      </w:r>
      <w:proofErr w:type="gramEnd"/>
      <w:r w:rsidRPr="00AE2A44">
        <w:rPr>
          <w:rFonts w:ascii="Calibri" w:eastAsia="Times New Roman" w:hAnsi="Calibri" w:cs="Calibri"/>
          <w:sz w:val="24"/>
          <w:szCs w:val="24"/>
          <w:lang w:eastAsia="en-GB"/>
        </w:rPr>
        <w:t xml:space="preserve"> Strategic capability configurations for the internationalization of SMEs: A study in </w:t>
      </w:r>
      <w:proofErr w:type="spellStart"/>
      <w:r w:rsidRPr="00AE2A44">
        <w:rPr>
          <w:rFonts w:ascii="Calibri" w:eastAsia="Times New Roman" w:hAnsi="Calibri" w:cs="Calibri"/>
          <w:sz w:val="24"/>
          <w:szCs w:val="24"/>
          <w:lang w:eastAsia="en-GB"/>
        </w:rPr>
        <w:t>equifinality</w:t>
      </w:r>
      <w:proofErr w:type="spellEnd"/>
      <w:r w:rsidRPr="00AE2A44">
        <w:rPr>
          <w:rFonts w:ascii="Calibri" w:eastAsia="Times New Roman" w:hAnsi="Calibri" w:cs="Calibri"/>
          <w:sz w:val="24"/>
          <w:szCs w:val="24"/>
          <w:lang w:eastAsia="en-GB"/>
        </w:rPr>
        <w:t xml:space="preserve">. International Small Business Journal, 31(1), 82-102. Available at : </w:t>
      </w:r>
      <w:hyperlink r:id="rId41" w:history="1">
        <w:r w:rsidRPr="00AE2A44">
          <w:rPr>
            <w:rStyle w:val="Hyperlink"/>
            <w:rFonts w:ascii="Calibri" w:eastAsia="Times New Roman" w:hAnsi="Calibri" w:cs="Calibri"/>
            <w:color w:val="auto"/>
            <w:sz w:val="24"/>
            <w:szCs w:val="24"/>
            <w:lang w:eastAsia="en-GB"/>
          </w:rPr>
          <w:t>https://scholar.google.co.uk/scholar?hl=en&amp;as_sdt=0%2C5&amp;q=Raymond%2C+L.%2C+%26+St-Pierre%2C+J.+%282013%29.+Strategic+capability+configurations+for+the+internationalization+of+SMEs%3A+A+study+in+equifinality.+International+Small+Business+Journal%2C+31%281%29%2C+82-102.&amp;btnG</w:t>
        </w:r>
      </w:hyperlink>
      <w:r w:rsidRPr="00AE2A44">
        <w:rPr>
          <w:rFonts w:ascii="Calibri" w:eastAsia="Times New Roman" w:hAnsi="Calibri" w:cs="Calibri"/>
          <w:sz w:val="24"/>
          <w:szCs w:val="24"/>
          <w:lang w:eastAsia="en-GB"/>
        </w:rPr>
        <w:t xml:space="preserve"> Accessed 28/10/2022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Rekarti</w:t>
      </w:r>
      <w:proofErr w:type="spellEnd"/>
      <w:r w:rsidRPr="00AE2A44">
        <w:rPr>
          <w:rFonts w:ascii="Calibri" w:eastAsia="Times New Roman" w:hAnsi="Calibri" w:cs="Calibri"/>
          <w:sz w:val="24"/>
          <w:szCs w:val="24"/>
          <w:lang w:eastAsia="en-GB"/>
        </w:rPr>
        <w:t xml:space="preserve">, E., &amp; </w:t>
      </w:r>
      <w:proofErr w:type="spellStart"/>
      <w:r w:rsidRPr="00AE2A44">
        <w:rPr>
          <w:rFonts w:ascii="Calibri" w:eastAsia="Times New Roman" w:hAnsi="Calibri" w:cs="Calibri"/>
          <w:sz w:val="24"/>
          <w:szCs w:val="24"/>
          <w:lang w:eastAsia="en-GB"/>
        </w:rPr>
        <w:t>Doktoralina</w:t>
      </w:r>
      <w:proofErr w:type="spellEnd"/>
      <w:r w:rsidRPr="00AE2A44">
        <w:rPr>
          <w:rFonts w:ascii="Calibri" w:eastAsia="Times New Roman" w:hAnsi="Calibri" w:cs="Calibri"/>
          <w:sz w:val="24"/>
          <w:szCs w:val="24"/>
          <w:lang w:eastAsia="en-GB"/>
        </w:rPr>
        <w:t>, C. M. (2017).</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Improving business performance: A proposed model for SMEs.</w:t>
      </w:r>
      <w:proofErr w:type="gramEnd"/>
      <w:r w:rsidRPr="00AE2A44">
        <w:rPr>
          <w:rFonts w:ascii="Calibri" w:eastAsia="Times New Roman" w:hAnsi="Calibri" w:cs="Calibri"/>
          <w:sz w:val="24"/>
          <w:szCs w:val="24"/>
          <w:lang w:eastAsia="en-GB"/>
        </w:rPr>
        <w:t xml:space="preserve"> Available </w:t>
      </w:r>
      <w:proofErr w:type="gramStart"/>
      <w:r w:rsidRPr="00AE2A44">
        <w:rPr>
          <w:rFonts w:ascii="Calibri" w:eastAsia="Times New Roman" w:hAnsi="Calibri" w:cs="Calibri"/>
          <w:sz w:val="24"/>
          <w:szCs w:val="24"/>
          <w:lang w:eastAsia="en-GB"/>
        </w:rPr>
        <w:t>at :</w:t>
      </w:r>
      <w:proofErr w:type="gramEnd"/>
      <w:r w:rsidRPr="00AE2A44">
        <w:rPr>
          <w:rFonts w:ascii="Calibri" w:eastAsia="Times New Roman" w:hAnsi="Calibri" w:cs="Calibri"/>
          <w:sz w:val="24"/>
          <w:szCs w:val="24"/>
          <w:lang w:eastAsia="en-GB"/>
        </w:rPr>
        <w:t xml:space="preserve"> </w:t>
      </w:r>
      <w:hyperlink r:id="rId42" w:history="1">
        <w:r w:rsidRPr="00AE2A44">
          <w:rPr>
            <w:rStyle w:val="Hyperlink"/>
            <w:rFonts w:ascii="Calibri" w:eastAsia="Times New Roman" w:hAnsi="Calibri" w:cs="Calibri"/>
            <w:color w:val="auto"/>
            <w:sz w:val="24"/>
            <w:szCs w:val="24"/>
            <w:lang w:eastAsia="en-GB"/>
          </w:rPr>
          <w:t>https://scholar.google.co.uk/scholar?hl=en&amp;as_sdt=0%2C5&amp;q=Rekarti%2C+E.%2C+%26+Doktoralina%2C+C.+M.+%282017%29.+Improving+business+performance%3A+A+proposed+model+for+SMEs.&amp;btnG</w:t>
        </w:r>
      </w:hyperlink>
      <w:r w:rsidRPr="00AE2A44">
        <w:rPr>
          <w:rFonts w:ascii="Calibri" w:eastAsia="Times New Roman" w:hAnsi="Calibri" w:cs="Calibri"/>
          <w:sz w:val="24"/>
          <w:szCs w:val="24"/>
          <w:lang w:eastAsia="en-GB"/>
        </w:rPr>
        <w:t xml:space="preserve"> Accessed 01/11/2022 </w:t>
      </w:r>
    </w:p>
    <w:p w:rsidR="00906158" w:rsidRPr="00AE2A44" w:rsidRDefault="00906158" w:rsidP="00906158">
      <w:pPr>
        <w:tabs>
          <w:tab w:val="left" w:pos="0"/>
        </w:tabs>
        <w:spacing w:line="480" w:lineRule="auto"/>
        <w:ind w:left="720" w:hanging="720"/>
      </w:pPr>
    </w:p>
    <w:p w:rsidR="00906158" w:rsidRPr="00AE2A44" w:rsidRDefault="00906158" w:rsidP="00906158">
      <w:pPr>
        <w:spacing w:line="480" w:lineRule="auto"/>
        <w:ind w:left="720" w:hanging="720"/>
        <w:rPr>
          <w:sz w:val="24"/>
        </w:rPr>
      </w:pPr>
      <w:proofErr w:type="spellStart"/>
      <w:r w:rsidRPr="00AE2A44">
        <w:rPr>
          <w:sz w:val="24"/>
        </w:rPr>
        <w:lastRenderedPageBreak/>
        <w:t>Syriopoulos</w:t>
      </w:r>
      <w:proofErr w:type="spellEnd"/>
      <w:r w:rsidRPr="00AE2A44">
        <w:rPr>
          <w:sz w:val="24"/>
        </w:rPr>
        <w:t xml:space="preserve">, K. (2020). </w:t>
      </w:r>
      <w:proofErr w:type="gramStart"/>
      <w:r w:rsidRPr="00AE2A44">
        <w:rPr>
          <w:sz w:val="24"/>
        </w:rPr>
        <w:t>The impact of COVID-19 on entrepreneurship and SMEs.</w:t>
      </w:r>
      <w:proofErr w:type="gramEnd"/>
      <w:r w:rsidRPr="00AE2A44">
        <w:rPr>
          <w:sz w:val="24"/>
        </w:rPr>
        <w:t xml:space="preserve"> Journal of the International Academy for Case Studies, 26(2), 1-2. Available at : </w:t>
      </w:r>
      <w:hyperlink r:id="rId43" w:history="1">
        <w:r w:rsidRPr="00AE2A44">
          <w:rPr>
            <w:rStyle w:val="Hyperlink"/>
            <w:color w:val="auto"/>
            <w:sz w:val="24"/>
          </w:rPr>
          <w:t>https://scholar.google.co.uk/scholar?hl=en&amp;as_sdt=0%2C5&amp;q=Syriopoulos%2C+K.+%282020%29.+The+impact+of+COVID-19+on+entrepreneurship+and+SMEs.+Journal+of+the+International+Academy+for+Case+Studies%2C+26%282%29%2C+1-2.&amp;btnG</w:t>
        </w:r>
      </w:hyperlink>
      <w:r w:rsidRPr="00AE2A44">
        <w:rPr>
          <w:sz w:val="24"/>
        </w:rPr>
        <w:t xml:space="preserve"> Accessed 01/11/2022</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Sainidis</w:t>
      </w:r>
      <w:proofErr w:type="spellEnd"/>
      <w:r w:rsidRPr="00AE2A44">
        <w:rPr>
          <w:rFonts w:ascii="Calibri" w:eastAsia="Times New Roman" w:hAnsi="Calibri" w:cs="Calibri"/>
          <w:sz w:val="24"/>
          <w:szCs w:val="24"/>
          <w:lang w:eastAsia="en-GB"/>
        </w:rPr>
        <w:t>, F., Gill, R. E., &amp; White, A. (2001, May).</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Emergent strategies in SMEs.</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 xml:space="preserve">In 4th SME International Conference, </w:t>
      </w:r>
      <w:proofErr w:type="spellStart"/>
      <w:r w:rsidRPr="00AE2A44">
        <w:rPr>
          <w:rFonts w:ascii="Calibri" w:eastAsia="Times New Roman" w:hAnsi="Calibri" w:cs="Calibri"/>
          <w:sz w:val="24"/>
          <w:szCs w:val="24"/>
          <w:lang w:eastAsia="en-GB"/>
        </w:rPr>
        <w:t>Allborg</w:t>
      </w:r>
      <w:proofErr w:type="spellEnd"/>
      <w:r w:rsidRPr="00AE2A44">
        <w:rPr>
          <w:rFonts w:ascii="Calibri" w:eastAsia="Times New Roman" w:hAnsi="Calibri" w:cs="Calibri"/>
          <w:sz w:val="24"/>
          <w:szCs w:val="24"/>
          <w:lang w:eastAsia="en-GB"/>
        </w:rPr>
        <w:t>, Denmark (pp. 242-247).</w:t>
      </w:r>
      <w:proofErr w:type="gramEnd"/>
      <w:r w:rsidRPr="00AE2A44">
        <w:rPr>
          <w:rFonts w:ascii="Calibri" w:eastAsia="Times New Roman" w:hAnsi="Calibri" w:cs="Calibri"/>
          <w:sz w:val="24"/>
          <w:szCs w:val="24"/>
          <w:lang w:eastAsia="en-GB"/>
        </w:rPr>
        <w:t xml:space="preserve"> Available at : </w:t>
      </w:r>
      <w:hyperlink r:id="rId44" w:history="1">
        <w:r w:rsidRPr="00AE2A44">
          <w:rPr>
            <w:rStyle w:val="Hyperlink"/>
            <w:rFonts w:ascii="Calibri" w:eastAsia="Times New Roman" w:hAnsi="Calibri" w:cs="Calibri"/>
            <w:color w:val="auto"/>
            <w:sz w:val="24"/>
            <w:szCs w:val="24"/>
            <w:lang w:eastAsia="en-GB"/>
          </w:rPr>
          <w:t>https://scholar.google.co.uk/scholar?hl=en&amp;as_sdt=0%2C5&amp;q=Sainidis%2C+F.%2C+Gill%2C+R.+E.%2C+%26+White%2C+A.+%282001%2C+May%29.+Emergent+strategies+in+SMEs.+In+4th+SME+International+Conference%2C+Allborg%2C+Denmark+%28pp.+242-247%29.&amp;btnG</w:t>
        </w:r>
      </w:hyperlink>
      <w:r w:rsidRPr="00AE2A44">
        <w:rPr>
          <w:rFonts w:ascii="Calibri" w:eastAsia="Times New Roman" w:hAnsi="Calibri" w:cs="Calibri"/>
          <w:sz w:val="24"/>
          <w:szCs w:val="24"/>
          <w:lang w:eastAsia="en-GB"/>
        </w:rPr>
        <w:t xml:space="preserve">  Accessed 15/10/2022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Sherifi</w:t>
      </w:r>
      <w:proofErr w:type="spellEnd"/>
      <w:r w:rsidRPr="00AE2A44">
        <w:rPr>
          <w:rFonts w:ascii="Calibri" w:eastAsia="Times New Roman" w:hAnsi="Calibri" w:cs="Calibri"/>
          <w:sz w:val="24"/>
          <w:szCs w:val="24"/>
          <w:lang w:eastAsia="en-GB"/>
        </w:rPr>
        <w:t xml:space="preserve">, I., </w:t>
      </w:r>
      <w:proofErr w:type="spellStart"/>
      <w:r w:rsidRPr="00AE2A44">
        <w:rPr>
          <w:rFonts w:ascii="Calibri" w:eastAsia="Times New Roman" w:hAnsi="Calibri" w:cs="Calibri"/>
          <w:sz w:val="24"/>
          <w:szCs w:val="24"/>
          <w:lang w:eastAsia="en-GB"/>
        </w:rPr>
        <w:t>Andrushchenko</w:t>
      </w:r>
      <w:proofErr w:type="spellEnd"/>
      <w:r w:rsidRPr="00AE2A44">
        <w:rPr>
          <w:rFonts w:ascii="Calibri" w:eastAsia="Times New Roman" w:hAnsi="Calibri" w:cs="Calibri"/>
          <w:sz w:val="24"/>
          <w:szCs w:val="24"/>
          <w:lang w:eastAsia="en-GB"/>
        </w:rPr>
        <w:t xml:space="preserve">, H., </w:t>
      </w:r>
      <w:proofErr w:type="spellStart"/>
      <w:r w:rsidRPr="00AE2A44">
        <w:rPr>
          <w:rFonts w:ascii="Calibri" w:eastAsia="Times New Roman" w:hAnsi="Calibri" w:cs="Calibri"/>
          <w:sz w:val="24"/>
          <w:szCs w:val="24"/>
          <w:lang w:eastAsia="en-GB"/>
        </w:rPr>
        <w:t>Vankovych</w:t>
      </w:r>
      <w:proofErr w:type="spellEnd"/>
      <w:r w:rsidRPr="00AE2A44">
        <w:rPr>
          <w:rFonts w:ascii="Calibri" w:eastAsia="Times New Roman" w:hAnsi="Calibri" w:cs="Calibri"/>
          <w:sz w:val="24"/>
          <w:szCs w:val="24"/>
          <w:lang w:eastAsia="en-GB"/>
        </w:rPr>
        <w:t xml:space="preserve">, D., </w:t>
      </w:r>
      <w:proofErr w:type="spellStart"/>
      <w:r w:rsidRPr="00AE2A44">
        <w:rPr>
          <w:rFonts w:ascii="Calibri" w:eastAsia="Times New Roman" w:hAnsi="Calibri" w:cs="Calibri"/>
          <w:sz w:val="24"/>
          <w:szCs w:val="24"/>
          <w:lang w:eastAsia="en-GB"/>
        </w:rPr>
        <w:t>Solokha</w:t>
      </w:r>
      <w:proofErr w:type="spellEnd"/>
      <w:r w:rsidRPr="00AE2A44">
        <w:rPr>
          <w:rFonts w:ascii="Calibri" w:eastAsia="Times New Roman" w:hAnsi="Calibri" w:cs="Calibri"/>
          <w:sz w:val="24"/>
          <w:szCs w:val="24"/>
          <w:lang w:eastAsia="en-GB"/>
        </w:rPr>
        <w:t xml:space="preserve">, D., </w:t>
      </w:r>
      <w:proofErr w:type="spellStart"/>
      <w:r w:rsidRPr="00AE2A44">
        <w:rPr>
          <w:rFonts w:ascii="Calibri" w:eastAsia="Times New Roman" w:hAnsi="Calibri" w:cs="Calibri"/>
          <w:sz w:val="24"/>
          <w:szCs w:val="24"/>
          <w:lang w:eastAsia="en-GB"/>
        </w:rPr>
        <w:t>Malyshenko</w:t>
      </w:r>
      <w:proofErr w:type="spellEnd"/>
      <w:r w:rsidRPr="00AE2A44">
        <w:rPr>
          <w:rFonts w:ascii="Calibri" w:eastAsia="Times New Roman" w:hAnsi="Calibri" w:cs="Calibri"/>
          <w:sz w:val="24"/>
          <w:szCs w:val="24"/>
          <w:lang w:eastAsia="en-GB"/>
        </w:rPr>
        <w:t xml:space="preserve">, I., &amp; </w:t>
      </w:r>
      <w:proofErr w:type="spellStart"/>
      <w:r w:rsidRPr="00AE2A44">
        <w:rPr>
          <w:rFonts w:ascii="Calibri" w:eastAsia="Times New Roman" w:hAnsi="Calibri" w:cs="Calibri"/>
          <w:sz w:val="24"/>
          <w:szCs w:val="24"/>
          <w:lang w:eastAsia="en-GB"/>
        </w:rPr>
        <w:t>Yavorska</w:t>
      </w:r>
      <w:proofErr w:type="spellEnd"/>
      <w:r w:rsidRPr="00AE2A44">
        <w:rPr>
          <w:rFonts w:ascii="Calibri" w:eastAsia="Times New Roman" w:hAnsi="Calibri" w:cs="Calibri"/>
          <w:sz w:val="24"/>
          <w:szCs w:val="24"/>
          <w:lang w:eastAsia="en-GB"/>
        </w:rPr>
        <w:t>, N. (2020).</w:t>
      </w:r>
      <w:proofErr w:type="gramEnd"/>
      <w:r w:rsidRPr="00AE2A44">
        <w:rPr>
          <w:rFonts w:ascii="Calibri" w:eastAsia="Times New Roman" w:hAnsi="Calibri" w:cs="Calibri"/>
          <w:sz w:val="24"/>
          <w:szCs w:val="24"/>
          <w:lang w:eastAsia="en-GB"/>
        </w:rPr>
        <w:t xml:space="preserve"> </w:t>
      </w:r>
      <w:proofErr w:type="gramStart"/>
      <w:r w:rsidRPr="00AE2A44">
        <w:rPr>
          <w:rFonts w:ascii="Calibri" w:eastAsia="Times New Roman" w:hAnsi="Calibri" w:cs="Calibri"/>
          <w:sz w:val="24"/>
          <w:szCs w:val="24"/>
          <w:lang w:eastAsia="en-GB"/>
        </w:rPr>
        <w:t>Strategic management of industrial enterprise innovation potential development.</w:t>
      </w:r>
      <w:proofErr w:type="gramEnd"/>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Academy of Strategic Management Journal</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19</w:t>
      </w:r>
      <w:r w:rsidRPr="00AE2A44">
        <w:rPr>
          <w:rFonts w:ascii="Calibri" w:eastAsia="Times New Roman" w:hAnsi="Calibri" w:cs="Calibri"/>
          <w:sz w:val="24"/>
          <w:szCs w:val="24"/>
          <w:lang w:eastAsia="en-GB"/>
        </w:rPr>
        <w:t xml:space="preserve">(6), 1-8. Available at : </w:t>
      </w:r>
      <w:hyperlink r:id="rId45" w:history="1">
        <w:r w:rsidRPr="00AE2A44">
          <w:rPr>
            <w:rStyle w:val="Hyperlink"/>
            <w:rFonts w:ascii="Calibri" w:eastAsia="Times New Roman" w:hAnsi="Calibri" w:cs="Calibri"/>
            <w:color w:val="auto"/>
            <w:sz w:val="24"/>
            <w:szCs w:val="24"/>
            <w:lang w:eastAsia="en-GB"/>
          </w:rPr>
          <w:t>https://scholar.google.co.uk/scholar?hl=en&amp;as_sdt=0%2C5&amp;q=Sherifi%2C+I.%2C+Andrushchenko%2C+H.%2C+Vankovych%2C+D.%2C+Solokha%2C+D.%2C+Malyshenko%2C+I.%2C+%26+Yavorska%2C+N.+%282020%29.+Strategic+management+of+industrial+enterprise+innovation+potential+development.+Academy+of+Strategic+Management+Journal%2C+19%286%29%2C+1-8.&amp;btnG</w:t>
        </w:r>
      </w:hyperlink>
      <w:r w:rsidRPr="00AE2A44">
        <w:rPr>
          <w:rFonts w:ascii="Calibri" w:eastAsia="Times New Roman" w:hAnsi="Calibri" w:cs="Calibri"/>
          <w:sz w:val="24"/>
          <w:szCs w:val="24"/>
          <w:lang w:eastAsia="en-GB"/>
        </w:rPr>
        <w:t xml:space="preserve"> Accessed 20/10/2022</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Teece</w:t>
      </w:r>
      <w:proofErr w:type="spellEnd"/>
      <w:r w:rsidRPr="00AE2A44">
        <w:rPr>
          <w:rFonts w:ascii="Calibri" w:eastAsia="Times New Roman" w:hAnsi="Calibri" w:cs="Calibri"/>
          <w:sz w:val="24"/>
          <w:szCs w:val="24"/>
          <w:lang w:eastAsia="en-GB"/>
        </w:rPr>
        <w:t>, D. J. (2019).</w:t>
      </w:r>
      <w:proofErr w:type="gramEnd"/>
      <w:r w:rsidRPr="00AE2A44">
        <w:rPr>
          <w:rFonts w:ascii="Calibri" w:eastAsia="Times New Roman" w:hAnsi="Calibri" w:cs="Calibri"/>
          <w:sz w:val="24"/>
          <w:szCs w:val="24"/>
          <w:lang w:eastAsia="en-GB"/>
        </w:rPr>
        <w:t xml:space="preserve"> A capability theory of the firm: an economics and (strategic) management perspective. </w:t>
      </w:r>
      <w:r w:rsidRPr="00AE2A44">
        <w:rPr>
          <w:rFonts w:ascii="Calibri" w:eastAsia="Times New Roman" w:hAnsi="Calibri" w:cs="Calibri"/>
          <w:i/>
          <w:iCs/>
          <w:sz w:val="24"/>
          <w:szCs w:val="24"/>
          <w:lang w:eastAsia="en-GB"/>
        </w:rPr>
        <w:t>New Zealand Economic Papers</w:t>
      </w:r>
      <w:r w:rsidRPr="00AE2A44">
        <w:rPr>
          <w:rFonts w:ascii="Calibri" w:eastAsia="Times New Roman" w:hAnsi="Calibri" w:cs="Calibri"/>
          <w:sz w:val="24"/>
          <w:szCs w:val="24"/>
          <w:lang w:eastAsia="en-GB"/>
        </w:rPr>
        <w:t>, </w:t>
      </w:r>
      <w:r w:rsidRPr="00AE2A44">
        <w:rPr>
          <w:rFonts w:ascii="Calibri" w:eastAsia="Times New Roman" w:hAnsi="Calibri" w:cs="Calibri"/>
          <w:i/>
          <w:iCs/>
          <w:sz w:val="24"/>
          <w:szCs w:val="24"/>
          <w:lang w:eastAsia="en-GB"/>
        </w:rPr>
        <w:t>53</w:t>
      </w:r>
      <w:r w:rsidRPr="00AE2A44">
        <w:rPr>
          <w:rFonts w:ascii="Calibri" w:eastAsia="Times New Roman" w:hAnsi="Calibri" w:cs="Calibri"/>
          <w:sz w:val="24"/>
          <w:szCs w:val="24"/>
          <w:lang w:eastAsia="en-GB"/>
        </w:rPr>
        <w:t xml:space="preserve">(1), 1-43. Available at : </w:t>
      </w:r>
      <w:hyperlink r:id="rId46" w:history="1">
        <w:r w:rsidRPr="00AE2A44">
          <w:rPr>
            <w:rStyle w:val="Hyperlink"/>
            <w:rFonts w:ascii="Calibri" w:eastAsia="Times New Roman" w:hAnsi="Calibri" w:cs="Calibri"/>
            <w:color w:val="auto"/>
            <w:sz w:val="24"/>
            <w:szCs w:val="24"/>
            <w:lang w:eastAsia="en-GB"/>
          </w:rPr>
          <w:t>https://scholar.google.co.uk/scholar?hl=en&amp;as_sdt=0%2C5&amp;q=Teece%2C+D.+J.+%282019%</w:t>
        </w:r>
        <w:r w:rsidRPr="00AE2A44">
          <w:rPr>
            <w:rStyle w:val="Hyperlink"/>
            <w:rFonts w:ascii="Calibri" w:eastAsia="Times New Roman" w:hAnsi="Calibri" w:cs="Calibri"/>
            <w:color w:val="auto"/>
            <w:sz w:val="24"/>
            <w:szCs w:val="24"/>
            <w:lang w:eastAsia="en-GB"/>
          </w:rPr>
          <w:lastRenderedPageBreak/>
          <w:t>29.+A+capability+theory+of+the+firm%3A+an+economics+and+%28strategic%29+management+perspective.+New+Zealand+Economic+Papers%2C+53%281%29%2C+1-43.&amp;btnG</w:t>
        </w:r>
      </w:hyperlink>
      <w:r w:rsidRPr="00AE2A44">
        <w:rPr>
          <w:rFonts w:ascii="Calibri" w:eastAsia="Times New Roman" w:hAnsi="Calibri" w:cs="Calibri"/>
          <w:sz w:val="24"/>
          <w:szCs w:val="24"/>
          <w:lang w:eastAsia="en-GB"/>
        </w:rPr>
        <w:t xml:space="preserve"> Accessed 21/10/2022 </w:t>
      </w:r>
    </w:p>
    <w:p w:rsidR="00906158" w:rsidRPr="00AE2A44" w:rsidRDefault="00906158" w:rsidP="00906158">
      <w:pPr>
        <w:spacing w:line="480" w:lineRule="auto"/>
        <w:ind w:hanging="720"/>
        <w:jc w:val="both"/>
        <w:rPr>
          <w:rFonts w:ascii="Times New Roman" w:eastAsia="Times New Roman" w:hAnsi="Times New Roman" w:cs="Times New Roman"/>
          <w:sz w:val="24"/>
          <w:szCs w:val="24"/>
          <w:lang w:eastAsia="en-GB"/>
        </w:rPr>
      </w:pPr>
      <w:proofErr w:type="spellStart"/>
      <w:proofErr w:type="gramStart"/>
      <w:r w:rsidRPr="00AE2A44">
        <w:rPr>
          <w:rFonts w:ascii="Calibri" w:eastAsia="Times New Roman" w:hAnsi="Calibri" w:cs="Calibri"/>
          <w:sz w:val="24"/>
          <w:szCs w:val="24"/>
          <w:lang w:eastAsia="en-GB"/>
        </w:rPr>
        <w:t>Thakkar</w:t>
      </w:r>
      <w:proofErr w:type="spellEnd"/>
      <w:r w:rsidRPr="00AE2A44">
        <w:rPr>
          <w:rFonts w:ascii="Calibri" w:eastAsia="Times New Roman" w:hAnsi="Calibri" w:cs="Calibri"/>
          <w:sz w:val="24"/>
          <w:szCs w:val="24"/>
          <w:lang w:eastAsia="en-GB"/>
        </w:rPr>
        <w:t xml:space="preserve">, J., Kanda, A., &amp; </w:t>
      </w:r>
      <w:proofErr w:type="spellStart"/>
      <w:r w:rsidRPr="00AE2A44">
        <w:rPr>
          <w:rFonts w:ascii="Calibri" w:eastAsia="Times New Roman" w:hAnsi="Calibri" w:cs="Calibri"/>
          <w:sz w:val="24"/>
          <w:szCs w:val="24"/>
          <w:lang w:eastAsia="en-GB"/>
        </w:rPr>
        <w:t>Deshmukh</w:t>
      </w:r>
      <w:proofErr w:type="spellEnd"/>
      <w:r w:rsidRPr="00AE2A44">
        <w:rPr>
          <w:rFonts w:ascii="Calibri" w:eastAsia="Times New Roman" w:hAnsi="Calibri" w:cs="Calibri"/>
          <w:sz w:val="24"/>
          <w:szCs w:val="24"/>
          <w:lang w:eastAsia="en-GB"/>
        </w:rPr>
        <w:t>, S. G. (2008).</w:t>
      </w:r>
      <w:proofErr w:type="gramEnd"/>
      <w:r w:rsidRPr="00AE2A44">
        <w:rPr>
          <w:rFonts w:ascii="Calibri" w:eastAsia="Times New Roman" w:hAnsi="Calibri" w:cs="Calibri"/>
          <w:sz w:val="24"/>
          <w:szCs w:val="24"/>
          <w:lang w:eastAsia="en-GB"/>
        </w:rPr>
        <w:t xml:space="preserve"> Supply chain management in SMEs: development of constructs and propositions. </w:t>
      </w:r>
      <w:proofErr w:type="gramStart"/>
      <w:r w:rsidRPr="00AE2A44">
        <w:rPr>
          <w:rFonts w:ascii="Calibri" w:eastAsia="Times New Roman" w:hAnsi="Calibri" w:cs="Calibri"/>
          <w:sz w:val="24"/>
          <w:szCs w:val="24"/>
          <w:lang w:eastAsia="en-GB"/>
        </w:rPr>
        <w:t>Asia Pacific Journal of Marketing and Logistics.</w:t>
      </w:r>
      <w:proofErr w:type="gramEnd"/>
      <w:r w:rsidRPr="00AE2A44">
        <w:rPr>
          <w:rFonts w:ascii="Calibri" w:eastAsia="Times New Roman" w:hAnsi="Calibri" w:cs="Calibri"/>
          <w:sz w:val="24"/>
          <w:szCs w:val="24"/>
          <w:lang w:eastAsia="en-GB"/>
        </w:rPr>
        <w:t xml:space="preserve"> Available at : </w:t>
      </w:r>
      <w:hyperlink r:id="rId47" w:history="1">
        <w:r w:rsidRPr="00AE2A44">
          <w:rPr>
            <w:rStyle w:val="Hyperlink"/>
            <w:rFonts w:ascii="Calibri" w:eastAsia="Times New Roman" w:hAnsi="Calibri" w:cs="Calibri"/>
            <w:color w:val="auto"/>
            <w:sz w:val="24"/>
            <w:szCs w:val="24"/>
            <w:lang w:eastAsia="en-GB"/>
          </w:rPr>
          <w:t>https://scholar.google.co.uk/scholar?hl=en&amp;as_sdt=0%2C5&amp;q=Thakkar%2C+J.%2C+Kanda%2C+A.%2C+%26+Deshmukh%2C+S.+G.+%282008%29.+Supply+chain+management+in+SMEs%3A+development+of+constructs+and+propositions.+Asia+Pacific+Journal+of+Marketing+and+Logistics.&amp;btnG</w:t>
        </w:r>
      </w:hyperlink>
      <w:r w:rsidRPr="00AE2A44">
        <w:rPr>
          <w:rFonts w:ascii="Calibri" w:eastAsia="Times New Roman" w:hAnsi="Calibri" w:cs="Calibri"/>
          <w:sz w:val="24"/>
          <w:szCs w:val="24"/>
          <w:lang w:eastAsia="en-GB"/>
        </w:rPr>
        <w:t xml:space="preserve">  Accessed 05/11/2022 </w:t>
      </w:r>
    </w:p>
    <w:p w:rsidR="00906158" w:rsidRPr="00AE2A44" w:rsidRDefault="00906158" w:rsidP="005C3D70">
      <w:pPr>
        <w:spacing w:line="480" w:lineRule="auto"/>
        <w:jc w:val="both"/>
        <w:rPr>
          <w:rFonts w:ascii="Times New Roman" w:eastAsia="Times New Roman" w:hAnsi="Times New Roman" w:cs="Times New Roman"/>
          <w:sz w:val="24"/>
          <w:szCs w:val="24"/>
          <w:lang w:eastAsia="en-GB"/>
        </w:rPr>
      </w:pPr>
    </w:p>
    <w:p w:rsidR="00170454" w:rsidRPr="00AE2A44" w:rsidRDefault="00170454" w:rsidP="00205ECD">
      <w:pPr>
        <w:spacing w:line="480" w:lineRule="auto"/>
        <w:rPr>
          <w:rFonts w:ascii="Calibri" w:hAnsi="Calibri" w:cs="Calibri"/>
          <w:sz w:val="24"/>
          <w:szCs w:val="24"/>
        </w:rPr>
      </w:pPr>
    </w:p>
    <w:p w:rsidR="00170454" w:rsidRPr="00AE2A44" w:rsidRDefault="00170454">
      <w:pPr>
        <w:spacing w:after="200" w:line="276" w:lineRule="auto"/>
        <w:rPr>
          <w:rFonts w:ascii="Calibri" w:hAnsi="Calibri" w:cs="Calibri"/>
          <w:sz w:val="24"/>
          <w:szCs w:val="24"/>
        </w:rPr>
      </w:pPr>
      <w:r w:rsidRPr="00AE2A44">
        <w:rPr>
          <w:rFonts w:ascii="Calibri" w:hAnsi="Calibri" w:cs="Calibri"/>
          <w:sz w:val="24"/>
          <w:szCs w:val="24"/>
        </w:rPr>
        <w:br w:type="page"/>
      </w:r>
    </w:p>
    <w:p w:rsidR="00170454" w:rsidRPr="00AE2A44" w:rsidRDefault="00170454" w:rsidP="00170454">
      <w:pPr>
        <w:pStyle w:val="Heading1"/>
        <w:rPr>
          <w:color w:val="auto"/>
        </w:rPr>
      </w:pPr>
      <w:bookmarkStart w:id="34" w:name="_Toc119152961"/>
      <w:bookmarkStart w:id="35" w:name="_Toc119250922"/>
      <w:r w:rsidRPr="00AE2A44">
        <w:rPr>
          <w:color w:val="auto"/>
        </w:rPr>
        <w:lastRenderedPageBreak/>
        <w:t>Appendices</w:t>
      </w:r>
      <w:bookmarkEnd w:id="34"/>
      <w:bookmarkEnd w:id="35"/>
      <w:r w:rsidRPr="00AE2A44">
        <w:rPr>
          <w:color w:val="auto"/>
        </w:rPr>
        <w:t xml:space="preserve"> </w:t>
      </w:r>
    </w:p>
    <w:p w:rsidR="00170454" w:rsidRPr="00AE2A44" w:rsidRDefault="00170454" w:rsidP="00170454">
      <w:pPr>
        <w:pStyle w:val="Heading1"/>
        <w:rPr>
          <w:color w:val="auto"/>
        </w:rPr>
      </w:pPr>
      <w:bookmarkStart w:id="36" w:name="_Toc119152962"/>
      <w:bookmarkStart w:id="37" w:name="_Toc119250923"/>
      <w:r w:rsidRPr="00AE2A44">
        <w:rPr>
          <w:color w:val="auto"/>
        </w:rPr>
        <w:t>Appendix A</w:t>
      </w:r>
      <w:bookmarkEnd w:id="36"/>
      <w:bookmarkEnd w:id="37"/>
      <w:r w:rsidRPr="00AE2A44">
        <w:rPr>
          <w:color w:val="auto"/>
        </w:rPr>
        <w:t xml:space="preserve"> </w:t>
      </w:r>
    </w:p>
    <w:p w:rsidR="00170454" w:rsidRPr="00AE2A44" w:rsidRDefault="00170454" w:rsidP="00170454">
      <w:pPr>
        <w:rPr>
          <w:b/>
        </w:rPr>
      </w:pPr>
      <w:r w:rsidRPr="00AE2A44">
        <w:rPr>
          <w:b/>
        </w:rPr>
        <w:t xml:space="preserve">Swot analysis strategic management </w:t>
      </w:r>
    </w:p>
    <w:tbl>
      <w:tblPr>
        <w:tblStyle w:val="TableGrid"/>
        <w:tblW w:w="0" w:type="auto"/>
        <w:tblLook w:val="04A0"/>
      </w:tblPr>
      <w:tblGrid>
        <w:gridCol w:w="4621"/>
        <w:gridCol w:w="4621"/>
      </w:tblGrid>
      <w:tr w:rsidR="00170454" w:rsidRPr="00AE2A44" w:rsidTr="00D35232">
        <w:tc>
          <w:tcPr>
            <w:tcW w:w="4621" w:type="dxa"/>
          </w:tcPr>
          <w:p w:rsidR="00170454" w:rsidRPr="00AE2A44" w:rsidRDefault="00170454" w:rsidP="00D35232">
            <w:pPr>
              <w:rPr>
                <w:b/>
              </w:rPr>
            </w:pPr>
            <w:r w:rsidRPr="00AE2A44">
              <w:rPr>
                <w:b/>
              </w:rPr>
              <w:t>STRENGTHS</w:t>
            </w:r>
          </w:p>
          <w:p w:rsidR="00170454" w:rsidRPr="00AE2A44" w:rsidRDefault="00170454" w:rsidP="00D35232">
            <w:r w:rsidRPr="00AE2A44">
              <w:t xml:space="preserve">Upper management with </w:t>
            </w:r>
            <w:proofErr w:type="spellStart"/>
            <w:r w:rsidRPr="00AE2A44">
              <w:t>visional</w:t>
            </w:r>
            <w:proofErr w:type="spellEnd"/>
            <w:r w:rsidRPr="00AE2A44">
              <w:t xml:space="preserve"> and project cycle awareness</w:t>
            </w:r>
          </w:p>
          <w:p w:rsidR="00170454" w:rsidRPr="00AE2A44" w:rsidRDefault="00170454" w:rsidP="00D35232">
            <w:r w:rsidRPr="00AE2A44">
              <w:t xml:space="preserve"> </w:t>
            </w:r>
            <w:r w:rsidRPr="00AE2A44">
              <w:sym w:font="Symbol" w:char="F0B7"/>
            </w:r>
            <w:r w:rsidRPr="00AE2A44">
              <w:t xml:space="preserve"> Management understanding </w:t>
            </w:r>
          </w:p>
          <w:p w:rsidR="00170454" w:rsidRPr="00AE2A44" w:rsidRDefault="00170454" w:rsidP="00D35232">
            <w:r w:rsidRPr="00AE2A44">
              <w:sym w:font="Symbol" w:char="F0B7"/>
            </w:r>
            <w:r w:rsidRPr="00AE2A44">
              <w:t xml:space="preserve"> Self-sacrificing, capable and experienced personnel</w:t>
            </w:r>
          </w:p>
          <w:p w:rsidR="00170454" w:rsidRPr="00AE2A44" w:rsidRDefault="00170454" w:rsidP="00D35232">
            <w:r w:rsidRPr="00AE2A44">
              <w:t xml:space="preserve"> </w:t>
            </w:r>
            <w:r w:rsidRPr="00AE2A44">
              <w:sym w:font="Symbol" w:char="F0B7"/>
            </w:r>
            <w:r w:rsidRPr="00AE2A44">
              <w:t xml:space="preserve"> Powerful communication with other institutions </w:t>
            </w:r>
          </w:p>
          <w:p w:rsidR="00170454" w:rsidRPr="00AE2A44" w:rsidRDefault="00170454" w:rsidP="00D35232">
            <w:r w:rsidRPr="00AE2A44">
              <w:sym w:font="Symbol" w:char="F0B7"/>
            </w:r>
            <w:r w:rsidRPr="00AE2A44">
              <w:t xml:space="preserve"> Fibre  optic internet access</w:t>
            </w:r>
          </w:p>
          <w:p w:rsidR="00170454" w:rsidRPr="00AE2A44" w:rsidRDefault="00170454" w:rsidP="00D35232">
            <w:r w:rsidRPr="00AE2A44">
              <w:t xml:space="preserve"> </w:t>
            </w:r>
            <w:r w:rsidRPr="00AE2A44">
              <w:sym w:font="Symbol" w:char="F0B7"/>
            </w:r>
            <w:r w:rsidRPr="00AE2A44">
              <w:t xml:space="preserve"> Periodical meetings aimed for coordination </w:t>
            </w:r>
          </w:p>
          <w:p w:rsidR="00170454" w:rsidRPr="00AE2A44" w:rsidRDefault="00170454" w:rsidP="00D35232">
            <w:r w:rsidRPr="00AE2A44">
              <w:sym w:font="Symbol" w:char="F0B7"/>
            </w:r>
            <w:r w:rsidRPr="00AE2A44">
              <w:t xml:space="preserve"> The importance given by the upper management of municipality to social, cultural, physical, economic and corporate municipality</w:t>
            </w:r>
          </w:p>
          <w:p w:rsidR="00170454" w:rsidRPr="00AE2A44" w:rsidRDefault="00170454" w:rsidP="00D35232">
            <w:r w:rsidRPr="00AE2A44">
              <w:t xml:space="preserve"> </w:t>
            </w:r>
            <w:r w:rsidRPr="00AE2A44">
              <w:sym w:font="Symbol" w:char="F0B7"/>
            </w:r>
            <w:r w:rsidRPr="00AE2A44">
              <w:t xml:space="preserve"> Presence of a Outer Relations Directorate which will make a bridge for access to funds and prepare projects </w:t>
            </w:r>
          </w:p>
          <w:p w:rsidR="00170454" w:rsidRPr="00AE2A44" w:rsidRDefault="00170454" w:rsidP="00D35232">
            <w:r w:rsidRPr="00AE2A44">
              <w:sym w:font="Symbol" w:char="F0B7"/>
            </w:r>
            <w:r w:rsidRPr="00AE2A44">
              <w:t xml:space="preserve"> Having an autonomous budget,</w:t>
            </w:r>
          </w:p>
          <w:p w:rsidR="00170454" w:rsidRPr="00AE2A44" w:rsidRDefault="00170454" w:rsidP="00D35232">
            <w:r w:rsidRPr="00AE2A44">
              <w:t xml:space="preserve"> </w:t>
            </w:r>
            <w:r w:rsidRPr="00AE2A44">
              <w:sym w:font="Symbol" w:char="F0B7"/>
            </w:r>
            <w:r w:rsidRPr="00AE2A44">
              <w:t xml:space="preserve"> Having its own decision organ,</w:t>
            </w:r>
          </w:p>
          <w:p w:rsidR="00170454" w:rsidRPr="00AE2A44" w:rsidRDefault="00170454" w:rsidP="00D35232">
            <w:pPr>
              <w:rPr>
                <w:b/>
              </w:rPr>
            </w:pPr>
            <w:r w:rsidRPr="00AE2A44">
              <w:t xml:space="preserve"> </w:t>
            </w:r>
            <w:r w:rsidRPr="00AE2A44">
              <w:sym w:font="Symbol" w:char="F0B7"/>
            </w:r>
            <w:r w:rsidRPr="00AE2A44">
              <w:t xml:space="preserve"> Debtless institution</w:t>
            </w:r>
          </w:p>
        </w:tc>
        <w:tc>
          <w:tcPr>
            <w:tcW w:w="4621" w:type="dxa"/>
          </w:tcPr>
          <w:p w:rsidR="00170454" w:rsidRPr="00AE2A44" w:rsidRDefault="00170454" w:rsidP="00D35232">
            <w:pPr>
              <w:rPr>
                <w:b/>
              </w:rPr>
            </w:pPr>
            <w:r w:rsidRPr="00AE2A44">
              <w:rPr>
                <w:b/>
              </w:rPr>
              <w:t>WEAKNESSES</w:t>
            </w:r>
          </w:p>
          <w:p w:rsidR="00170454" w:rsidRPr="00AE2A44" w:rsidRDefault="00170454" w:rsidP="00D35232">
            <w:r w:rsidRPr="00AE2A44">
              <w:t>Lack of technical equipment</w:t>
            </w:r>
          </w:p>
          <w:p w:rsidR="00170454" w:rsidRPr="00AE2A44" w:rsidRDefault="00170454" w:rsidP="00D35232">
            <w:r w:rsidRPr="00AE2A44">
              <w:t xml:space="preserve"> </w:t>
            </w:r>
            <w:r w:rsidRPr="00AE2A44">
              <w:sym w:font="Symbol" w:char="F0B7"/>
            </w:r>
            <w:r w:rsidRPr="00AE2A44">
              <w:t xml:space="preserve"> Lack of shared service building </w:t>
            </w:r>
          </w:p>
          <w:p w:rsidR="00170454" w:rsidRPr="00AE2A44" w:rsidRDefault="00170454" w:rsidP="00D35232">
            <w:r w:rsidRPr="00AE2A44">
              <w:sym w:font="Symbol" w:char="F0B7"/>
            </w:r>
            <w:r w:rsidRPr="00AE2A44">
              <w:t xml:space="preserve"> Inadequate number of personnel</w:t>
            </w:r>
          </w:p>
          <w:p w:rsidR="00170454" w:rsidRPr="00AE2A44" w:rsidRDefault="00170454" w:rsidP="00D35232">
            <w:r w:rsidRPr="00AE2A44">
              <w:t xml:space="preserve"> </w:t>
            </w:r>
            <w:r w:rsidRPr="00AE2A44">
              <w:sym w:font="Symbol" w:char="F0B7"/>
            </w:r>
            <w:r w:rsidRPr="00AE2A44">
              <w:t xml:space="preserve"> Inadequate machine park </w:t>
            </w:r>
          </w:p>
          <w:p w:rsidR="00170454" w:rsidRPr="00AE2A44" w:rsidRDefault="00170454" w:rsidP="00D35232">
            <w:r w:rsidRPr="00AE2A44">
              <w:sym w:font="Symbol" w:char="F0B7"/>
            </w:r>
            <w:r w:rsidRPr="00AE2A44">
              <w:t xml:space="preserve"> Inadequate corporate archive </w:t>
            </w:r>
          </w:p>
          <w:p w:rsidR="00170454" w:rsidRPr="00AE2A44" w:rsidRDefault="00170454" w:rsidP="00D35232">
            <w:r w:rsidRPr="00AE2A44">
              <w:sym w:font="Symbol" w:char="F0B7"/>
            </w:r>
            <w:r w:rsidRPr="00AE2A44">
              <w:t xml:space="preserve"> Lack of equipments in directorates</w:t>
            </w:r>
          </w:p>
          <w:p w:rsidR="00170454" w:rsidRPr="00AE2A44" w:rsidRDefault="00170454" w:rsidP="00D35232">
            <w:r w:rsidRPr="00AE2A44">
              <w:t xml:space="preserve"> </w:t>
            </w:r>
            <w:r w:rsidRPr="00AE2A44">
              <w:sym w:font="Symbol" w:char="F0B7"/>
            </w:r>
            <w:r w:rsidRPr="00AE2A44">
              <w:t xml:space="preserve"> Significant lowness of the number of technical and qualified personnel</w:t>
            </w:r>
          </w:p>
          <w:p w:rsidR="00170454" w:rsidRPr="00AE2A44" w:rsidRDefault="00170454" w:rsidP="00D35232">
            <w:r w:rsidRPr="00AE2A44">
              <w:t xml:space="preserve">l </w:t>
            </w:r>
            <w:r w:rsidRPr="00AE2A44">
              <w:sym w:font="Symbol" w:char="F0B7"/>
            </w:r>
            <w:r w:rsidRPr="00AE2A44">
              <w:t xml:space="preserve"> Too broad and dispersed service field</w:t>
            </w:r>
          </w:p>
          <w:p w:rsidR="00170454" w:rsidRPr="00AE2A44" w:rsidRDefault="00170454" w:rsidP="00D35232">
            <w:r w:rsidRPr="00AE2A44">
              <w:t xml:space="preserve"> </w:t>
            </w:r>
            <w:r w:rsidRPr="00AE2A44">
              <w:sym w:font="Symbol" w:char="F0B7"/>
            </w:r>
            <w:r w:rsidRPr="00AE2A44">
              <w:t xml:space="preserve"> Deficiencies in use of initiatives and authorization</w:t>
            </w:r>
          </w:p>
          <w:p w:rsidR="00170454" w:rsidRPr="00AE2A44" w:rsidRDefault="00170454" w:rsidP="00D35232">
            <w:r w:rsidRPr="00AE2A44">
              <w:t xml:space="preserve"> </w:t>
            </w:r>
            <w:r w:rsidRPr="00AE2A44">
              <w:sym w:font="Symbol" w:char="F0B7"/>
            </w:r>
            <w:r w:rsidRPr="00AE2A44">
              <w:t xml:space="preserve"> Incomplete corporate structure </w:t>
            </w:r>
          </w:p>
          <w:p w:rsidR="00170454" w:rsidRPr="00AE2A44" w:rsidRDefault="00170454" w:rsidP="00D35232">
            <w:pPr>
              <w:rPr>
                <w:b/>
              </w:rPr>
            </w:pPr>
            <w:r w:rsidRPr="00AE2A44">
              <w:sym w:font="Symbol" w:char="F0B7"/>
            </w:r>
            <w:r w:rsidRPr="00AE2A44">
              <w:t xml:space="preserve"> Inadequate movable and immovable assets of municipality</w:t>
            </w:r>
          </w:p>
        </w:tc>
      </w:tr>
      <w:tr w:rsidR="00170454" w:rsidRPr="00AE2A44" w:rsidTr="00D35232">
        <w:tc>
          <w:tcPr>
            <w:tcW w:w="4621" w:type="dxa"/>
          </w:tcPr>
          <w:p w:rsidR="00170454" w:rsidRPr="00AE2A44" w:rsidRDefault="00170454" w:rsidP="00D35232">
            <w:pPr>
              <w:rPr>
                <w:b/>
              </w:rPr>
            </w:pPr>
            <w:r w:rsidRPr="00AE2A44">
              <w:rPr>
                <w:b/>
              </w:rPr>
              <w:t>OPPORTUNITIES</w:t>
            </w:r>
          </w:p>
          <w:p w:rsidR="00170454" w:rsidRPr="00AE2A44" w:rsidRDefault="00170454" w:rsidP="00D35232">
            <w:r w:rsidRPr="00AE2A44">
              <w:sym w:font="Symbol" w:char="F0B7"/>
            </w:r>
            <w:r w:rsidRPr="00AE2A44">
              <w:t xml:space="preserve"> Religious, historical and cultural structure richness in the district</w:t>
            </w:r>
          </w:p>
          <w:p w:rsidR="00170454" w:rsidRPr="00AE2A44" w:rsidRDefault="00170454" w:rsidP="00D35232">
            <w:r w:rsidRPr="00AE2A44">
              <w:t xml:space="preserve"> </w:t>
            </w:r>
            <w:r w:rsidRPr="00AE2A44">
              <w:sym w:font="Symbol" w:char="F0B7"/>
            </w:r>
            <w:r w:rsidRPr="00AE2A44">
              <w:t xml:space="preserve"> Increase in big and prestigious investment projects in the region </w:t>
            </w:r>
          </w:p>
          <w:p w:rsidR="00170454" w:rsidRPr="00AE2A44" w:rsidRDefault="00170454" w:rsidP="00D35232">
            <w:r w:rsidRPr="00AE2A44">
              <w:sym w:font="Symbol" w:char="F0B7"/>
            </w:r>
            <w:r w:rsidRPr="00AE2A44">
              <w:t xml:space="preserve"> Presence of areas open to development and residence in the new construction plans</w:t>
            </w:r>
          </w:p>
          <w:p w:rsidR="00170454" w:rsidRPr="00AE2A44" w:rsidRDefault="00170454" w:rsidP="00D35232">
            <w:r w:rsidRPr="00AE2A44">
              <w:t xml:space="preserve"> </w:t>
            </w:r>
            <w:r w:rsidRPr="00AE2A44">
              <w:sym w:font="Symbol" w:char="F0B7"/>
            </w:r>
            <w:r w:rsidRPr="00AE2A44">
              <w:t xml:space="preserve"> 71,8% young population</w:t>
            </w:r>
          </w:p>
          <w:p w:rsidR="00170454" w:rsidRPr="00AE2A44" w:rsidRDefault="00170454" w:rsidP="00D35232">
            <w:r w:rsidRPr="00AE2A44">
              <w:sym w:font="Symbol" w:char="F0B7"/>
            </w:r>
            <w:r w:rsidRPr="00AE2A44">
              <w:t xml:space="preserve"> Young and entrepreneur human resource</w:t>
            </w:r>
          </w:p>
          <w:p w:rsidR="00170454" w:rsidRPr="00AE2A44" w:rsidRDefault="00170454" w:rsidP="00D35232">
            <w:r w:rsidRPr="00AE2A44">
              <w:t xml:space="preserve"> </w:t>
            </w:r>
            <w:r w:rsidRPr="00AE2A44">
              <w:sym w:font="Symbol" w:char="F0B7"/>
            </w:r>
            <w:r w:rsidRPr="00AE2A44">
              <w:t xml:space="preserve"> Importance given by the central government to local managements</w:t>
            </w:r>
          </w:p>
          <w:p w:rsidR="00170454" w:rsidRPr="00AE2A44" w:rsidRDefault="00170454" w:rsidP="00D35232">
            <w:pPr>
              <w:rPr>
                <w:b/>
              </w:rPr>
            </w:pPr>
            <w:r w:rsidRPr="00AE2A44">
              <w:lastRenderedPageBreak/>
              <w:t xml:space="preserve"> </w:t>
            </w:r>
            <w:r w:rsidRPr="00AE2A44">
              <w:sym w:font="Symbol" w:char="F0B7"/>
            </w:r>
            <w:r w:rsidRPr="00AE2A44">
              <w:t xml:space="preserve"> Developments in EU membership,</w:t>
            </w:r>
          </w:p>
        </w:tc>
        <w:tc>
          <w:tcPr>
            <w:tcW w:w="4621" w:type="dxa"/>
          </w:tcPr>
          <w:p w:rsidR="00170454" w:rsidRPr="00AE2A44" w:rsidRDefault="00170454" w:rsidP="00D35232">
            <w:pPr>
              <w:rPr>
                <w:b/>
              </w:rPr>
            </w:pPr>
            <w:r w:rsidRPr="00AE2A44">
              <w:rPr>
                <w:b/>
              </w:rPr>
              <w:lastRenderedPageBreak/>
              <w:t>THREATS</w:t>
            </w:r>
          </w:p>
          <w:p w:rsidR="00170454" w:rsidRPr="00AE2A44" w:rsidRDefault="00170454" w:rsidP="00D35232">
            <w:r w:rsidRPr="00AE2A44">
              <w:sym w:font="Symbol" w:char="F0B7"/>
            </w:r>
            <w:r w:rsidRPr="00AE2A44">
              <w:t xml:space="preserve"> Law educational level of citizens, </w:t>
            </w:r>
          </w:p>
          <w:p w:rsidR="00170454" w:rsidRPr="00AE2A44" w:rsidRDefault="00170454" w:rsidP="00D35232">
            <w:r w:rsidRPr="00AE2A44">
              <w:sym w:font="Symbol" w:char="F0B7"/>
            </w:r>
            <w:r w:rsidRPr="00AE2A44">
              <w:t xml:space="preserve"> Intense shanty houses and non-planned urbanization,</w:t>
            </w:r>
          </w:p>
          <w:p w:rsidR="00170454" w:rsidRPr="00AE2A44" w:rsidRDefault="00170454" w:rsidP="00D35232">
            <w:r w:rsidRPr="00AE2A44">
              <w:t xml:space="preserve"> </w:t>
            </w:r>
            <w:r w:rsidRPr="00AE2A44">
              <w:sym w:font="Symbol" w:char="F0B7"/>
            </w:r>
            <w:r w:rsidRPr="00AE2A44">
              <w:t xml:space="preserve"> Large number of infrastructure and superstructure deficiencies</w:t>
            </w:r>
          </w:p>
          <w:p w:rsidR="00170454" w:rsidRPr="00AE2A44" w:rsidRDefault="00170454" w:rsidP="00D35232">
            <w:r w:rsidRPr="00AE2A44">
              <w:t xml:space="preserve"> </w:t>
            </w:r>
            <w:r w:rsidRPr="00AE2A44">
              <w:sym w:font="Symbol" w:char="F0B7"/>
            </w:r>
            <w:r w:rsidRPr="00AE2A44">
              <w:t xml:space="preserve"> Deficiency of coordination between institutions in the city</w:t>
            </w:r>
          </w:p>
          <w:p w:rsidR="00170454" w:rsidRPr="00AE2A44" w:rsidRDefault="00170454" w:rsidP="00D35232">
            <w:r w:rsidRPr="00AE2A44">
              <w:t xml:space="preserve"> </w:t>
            </w:r>
            <w:r w:rsidRPr="00AE2A44">
              <w:sym w:font="Symbol" w:char="F0B7"/>
            </w:r>
            <w:r w:rsidRPr="00AE2A44">
              <w:t xml:space="preserve"> Large number of migrations </w:t>
            </w:r>
          </w:p>
          <w:p w:rsidR="00170454" w:rsidRPr="00AE2A44" w:rsidRDefault="00170454" w:rsidP="00D35232">
            <w:r w:rsidRPr="00AE2A44">
              <w:sym w:font="Symbol" w:char="F0B7"/>
            </w:r>
            <w:r w:rsidRPr="00AE2A44">
              <w:t xml:space="preserve"> Narrow streets in the district</w:t>
            </w:r>
          </w:p>
          <w:p w:rsidR="00170454" w:rsidRPr="00AE2A44" w:rsidRDefault="00170454" w:rsidP="00D35232">
            <w:r w:rsidRPr="00AE2A44">
              <w:t xml:space="preserve"> </w:t>
            </w:r>
            <w:r w:rsidRPr="00AE2A44">
              <w:sym w:font="Symbol" w:char="F0B7"/>
            </w:r>
            <w:r w:rsidRPr="00AE2A44">
              <w:t xml:space="preserve"> Lack of natural gas distribution in the district </w:t>
            </w:r>
          </w:p>
          <w:p w:rsidR="00170454" w:rsidRPr="00AE2A44" w:rsidRDefault="00170454" w:rsidP="00D35232">
            <w:r w:rsidRPr="00AE2A44">
              <w:lastRenderedPageBreak/>
              <w:sym w:font="Symbol" w:char="F0B7"/>
            </w:r>
            <w:r w:rsidRPr="00AE2A44">
              <w:t xml:space="preserve"> Insensible husbandry activities</w:t>
            </w:r>
          </w:p>
          <w:p w:rsidR="00170454" w:rsidRPr="00AE2A44" w:rsidRDefault="00170454" w:rsidP="00D35232">
            <w:pPr>
              <w:rPr>
                <w:b/>
              </w:rPr>
            </w:pPr>
            <w:r w:rsidRPr="00AE2A44">
              <w:t xml:space="preserve"> </w:t>
            </w:r>
            <w:r w:rsidRPr="00AE2A44">
              <w:sym w:font="Symbol" w:char="F0B7"/>
            </w:r>
            <w:r w:rsidRPr="00AE2A44">
              <w:t xml:space="preserve"> Lawsuits resulted against the municipality which are transferred from liquidated institutions</w:t>
            </w:r>
          </w:p>
        </w:tc>
      </w:tr>
    </w:tbl>
    <w:p w:rsidR="00170454" w:rsidRPr="00AE2A44" w:rsidRDefault="00170454" w:rsidP="00170454">
      <w:pPr>
        <w:rPr>
          <w:b/>
        </w:rPr>
      </w:pPr>
    </w:p>
    <w:p w:rsidR="00170454" w:rsidRPr="00AE2A44" w:rsidRDefault="00170454" w:rsidP="00170454">
      <w:pPr>
        <w:pStyle w:val="Heading1"/>
        <w:rPr>
          <w:color w:val="auto"/>
        </w:rPr>
      </w:pPr>
      <w:r w:rsidRPr="00AE2A44">
        <w:rPr>
          <w:color w:val="auto"/>
        </w:rPr>
        <w:br w:type="page"/>
      </w:r>
      <w:bookmarkStart w:id="38" w:name="_Toc119152963"/>
      <w:bookmarkStart w:id="39" w:name="_Toc119250924"/>
      <w:r w:rsidRPr="00AE2A44">
        <w:rPr>
          <w:color w:val="auto"/>
        </w:rPr>
        <w:lastRenderedPageBreak/>
        <w:t>Appendix B</w:t>
      </w:r>
      <w:bookmarkEnd w:id="38"/>
      <w:bookmarkEnd w:id="39"/>
      <w:r w:rsidRPr="00AE2A44">
        <w:rPr>
          <w:color w:val="auto"/>
        </w:rPr>
        <w:t xml:space="preserve"> </w:t>
      </w:r>
    </w:p>
    <w:p w:rsidR="00170454" w:rsidRPr="00AE2A44" w:rsidRDefault="00170454" w:rsidP="00170454">
      <w:pPr>
        <w:pStyle w:val="Heading2"/>
        <w:shd w:val="clear" w:color="auto" w:fill="FFFFFF"/>
        <w:spacing w:before="0" w:after="144"/>
        <w:rPr>
          <w:rFonts w:ascii="Segoe UI" w:hAnsi="Segoe UI" w:cs="Segoe UI"/>
          <w:bCs w:val="0"/>
          <w:color w:val="auto"/>
        </w:rPr>
      </w:pPr>
      <w:bookmarkStart w:id="40" w:name="_Toc119152964"/>
      <w:bookmarkStart w:id="41" w:name="_Toc119250925"/>
      <w:r w:rsidRPr="00AE2A44">
        <w:rPr>
          <w:rFonts w:ascii="Segoe UI" w:hAnsi="Segoe UI" w:cs="Segoe UI"/>
          <w:bCs w:val="0"/>
          <w:color w:val="auto"/>
        </w:rPr>
        <w:t>Maslow’s Hierarchy of Needs</w:t>
      </w:r>
      <w:bookmarkEnd w:id="40"/>
      <w:bookmarkEnd w:id="41"/>
    </w:p>
    <w:p w:rsidR="00170454" w:rsidRPr="00AE2A44" w:rsidRDefault="00170454" w:rsidP="00170454">
      <w:pPr>
        <w:spacing w:after="200" w:line="276" w:lineRule="auto"/>
        <w:rPr>
          <w:b/>
        </w:rPr>
      </w:pPr>
      <w:r w:rsidRPr="00AE2A44">
        <w:rPr>
          <w:b/>
          <w:noProof/>
          <w:lang w:eastAsia="en-GB"/>
        </w:rPr>
        <w:drawing>
          <wp:inline distT="0" distB="0" distL="0" distR="0">
            <wp:extent cx="5731510" cy="4298950"/>
            <wp:effectExtent l="0" t="0" r="2540" b="0"/>
            <wp:docPr id="1" name="Picture 0" descr="Maslows_Hierarchy_of_Needs-Psyn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lows_Hierarchy_of_Needs-Psynso.png"/>
                    <pic:cNvPicPr/>
                  </pic:nvPicPr>
                  <pic:blipFill>
                    <a:blip r:embed="rId48" cstate="print"/>
                    <a:stretch>
                      <a:fillRect/>
                    </a:stretch>
                  </pic:blipFill>
                  <pic:spPr>
                    <a:xfrm>
                      <a:off x="0" y="0"/>
                      <a:ext cx="5731510" cy="4298950"/>
                    </a:xfrm>
                    <a:prstGeom prst="rect">
                      <a:avLst/>
                    </a:prstGeom>
                  </pic:spPr>
                </pic:pic>
              </a:graphicData>
            </a:graphic>
          </wp:inline>
        </w:drawing>
      </w:r>
    </w:p>
    <w:p w:rsidR="00170454" w:rsidRPr="00AE2A44" w:rsidRDefault="00170454" w:rsidP="00205ECD">
      <w:pPr>
        <w:spacing w:line="480" w:lineRule="auto"/>
        <w:rPr>
          <w:rFonts w:ascii="Calibri" w:hAnsi="Calibri" w:cs="Calibri"/>
          <w:sz w:val="24"/>
          <w:szCs w:val="24"/>
        </w:rPr>
      </w:pPr>
    </w:p>
    <w:p w:rsidR="00170454" w:rsidRPr="00AE2A44" w:rsidRDefault="00170454">
      <w:pPr>
        <w:spacing w:after="200" w:line="276" w:lineRule="auto"/>
        <w:rPr>
          <w:rFonts w:ascii="Calibri" w:hAnsi="Calibri" w:cs="Calibri"/>
          <w:sz w:val="24"/>
          <w:szCs w:val="24"/>
        </w:rPr>
      </w:pPr>
      <w:r w:rsidRPr="00AE2A44">
        <w:rPr>
          <w:rFonts w:ascii="Calibri" w:hAnsi="Calibri" w:cs="Calibri"/>
          <w:sz w:val="24"/>
          <w:szCs w:val="24"/>
        </w:rPr>
        <w:br w:type="page"/>
      </w:r>
    </w:p>
    <w:p w:rsidR="00170454" w:rsidRPr="00AE2A44" w:rsidRDefault="00170454" w:rsidP="00170454">
      <w:pPr>
        <w:pStyle w:val="Heading1"/>
        <w:rPr>
          <w:color w:val="auto"/>
        </w:rPr>
      </w:pPr>
      <w:bookmarkStart w:id="42" w:name="_Toc119152965"/>
      <w:bookmarkStart w:id="43" w:name="_Toc119250926"/>
      <w:r w:rsidRPr="00AE2A44">
        <w:rPr>
          <w:color w:val="auto"/>
        </w:rPr>
        <w:lastRenderedPageBreak/>
        <w:t>Appendix C</w:t>
      </w:r>
      <w:bookmarkEnd w:id="42"/>
      <w:bookmarkEnd w:id="43"/>
      <w:r w:rsidRPr="00AE2A44">
        <w:rPr>
          <w:color w:val="auto"/>
        </w:rPr>
        <w:t xml:space="preserve"> </w:t>
      </w:r>
    </w:p>
    <w:p w:rsidR="00170454" w:rsidRPr="00AE2A44" w:rsidRDefault="00170454" w:rsidP="00170454">
      <w:pPr>
        <w:rPr>
          <w:b/>
        </w:rPr>
      </w:pPr>
      <w:r w:rsidRPr="00AE2A44">
        <w:rPr>
          <w:b/>
        </w:rPr>
        <w:t xml:space="preserve">PESTLE analysis </w:t>
      </w:r>
    </w:p>
    <w:p w:rsidR="00170454" w:rsidRPr="00AE2A44" w:rsidRDefault="00170454" w:rsidP="00205ECD">
      <w:pPr>
        <w:spacing w:line="480" w:lineRule="auto"/>
        <w:rPr>
          <w:rFonts w:ascii="Calibri" w:hAnsi="Calibri" w:cs="Calibri"/>
          <w:sz w:val="24"/>
          <w:szCs w:val="24"/>
        </w:rPr>
      </w:pPr>
      <w:r w:rsidRPr="00AE2A44">
        <w:rPr>
          <w:rFonts w:ascii="Calibri" w:hAnsi="Calibri" w:cs="Calibri"/>
          <w:noProof/>
          <w:sz w:val="24"/>
          <w:szCs w:val="24"/>
          <w:lang w:eastAsia="en-GB"/>
        </w:rPr>
        <w:drawing>
          <wp:inline distT="0" distB="0" distL="0" distR="0">
            <wp:extent cx="5731510" cy="3514725"/>
            <wp:effectExtent l="19050" t="0" r="2540" b="0"/>
            <wp:docPr id="6" name="Picture 5" descr="PESTLE+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LE+Analysis.jpg"/>
                    <pic:cNvPicPr/>
                  </pic:nvPicPr>
                  <pic:blipFill>
                    <a:blip r:embed="rId49" cstate="print"/>
                    <a:stretch>
                      <a:fillRect/>
                    </a:stretch>
                  </pic:blipFill>
                  <pic:spPr>
                    <a:xfrm>
                      <a:off x="0" y="0"/>
                      <a:ext cx="5731510" cy="3514725"/>
                    </a:xfrm>
                    <a:prstGeom prst="rect">
                      <a:avLst/>
                    </a:prstGeom>
                  </pic:spPr>
                </pic:pic>
              </a:graphicData>
            </a:graphic>
          </wp:inline>
        </w:drawing>
      </w:r>
    </w:p>
    <w:p w:rsidR="00170454" w:rsidRPr="00AE2A44" w:rsidRDefault="00170454">
      <w:pPr>
        <w:spacing w:after="200" w:line="276" w:lineRule="auto"/>
        <w:rPr>
          <w:rFonts w:ascii="Calibri" w:hAnsi="Calibri" w:cs="Calibri"/>
          <w:sz w:val="24"/>
          <w:szCs w:val="24"/>
        </w:rPr>
      </w:pPr>
      <w:r w:rsidRPr="00AE2A44">
        <w:rPr>
          <w:rFonts w:ascii="Calibri" w:hAnsi="Calibri" w:cs="Calibri"/>
          <w:sz w:val="24"/>
          <w:szCs w:val="24"/>
        </w:rPr>
        <w:br w:type="page"/>
      </w:r>
    </w:p>
    <w:p w:rsidR="00170454" w:rsidRPr="00AE2A44" w:rsidRDefault="00170454" w:rsidP="00170454">
      <w:pPr>
        <w:pStyle w:val="Heading1"/>
        <w:rPr>
          <w:color w:val="auto"/>
        </w:rPr>
      </w:pPr>
      <w:bookmarkStart w:id="44" w:name="_Toc119152966"/>
      <w:bookmarkStart w:id="45" w:name="_Toc119250927"/>
      <w:r w:rsidRPr="00AE2A44">
        <w:rPr>
          <w:color w:val="auto"/>
        </w:rPr>
        <w:lastRenderedPageBreak/>
        <w:t>Appendix D</w:t>
      </w:r>
      <w:bookmarkEnd w:id="44"/>
      <w:bookmarkEnd w:id="45"/>
      <w:r w:rsidRPr="00AE2A44">
        <w:rPr>
          <w:color w:val="auto"/>
        </w:rPr>
        <w:t xml:space="preserve"> </w:t>
      </w:r>
    </w:p>
    <w:p w:rsidR="00170454" w:rsidRPr="00AE2A44" w:rsidRDefault="00170454" w:rsidP="00170454">
      <w:pPr>
        <w:rPr>
          <w:b/>
        </w:rPr>
      </w:pPr>
      <w:r w:rsidRPr="00AE2A44">
        <w:rPr>
          <w:b/>
        </w:rPr>
        <w:t xml:space="preserve">Logistic management scorecard sheets </w:t>
      </w:r>
    </w:p>
    <w:p w:rsidR="00170454" w:rsidRPr="00AE2A44" w:rsidRDefault="00170454" w:rsidP="00205ECD">
      <w:pPr>
        <w:spacing w:line="480" w:lineRule="auto"/>
        <w:rPr>
          <w:rFonts w:ascii="Calibri" w:hAnsi="Calibri" w:cs="Calibri"/>
          <w:sz w:val="24"/>
          <w:szCs w:val="24"/>
        </w:rPr>
      </w:pPr>
      <w:r w:rsidRPr="00AE2A44">
        <w:rPr>
          <w:rFonts w:ascii="Calibri" w:hAnsi="Calibri" w:cs="Calibri"/>
          <w:noProof/>
          <w:sz w:val="24"/>
          <w:szCs w:val="24"/>
          <w:lang w:eastAsia="en-GB"/>
        </w:rPr>
        <w:drawing>
          <wp:inline distT="0" distB="0" distL="0" distR="0">
            <wp:extent cx="5731510" cy="4144010"/>
            <wp:effectExtent l="19050" t="0" r="2540" b="0"/>
            <wp:docPr id="7" name="Picture 6" descr="IC-Key-Performance-Indicators-Dashboard-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Key-Performance-Indicators-Dashboard-Template.jpg"/>
                    <pic:cNvPicPr/>
                  </pic:nvPicPr>
                  <pic:blipFill>
                    <a:blip r:embed="rId50" cstate="print"/>
                    <a:stretch>
                      <a:fillRect/>
                    </a:stretch>
                  </pic:blipFill>
                  <pic:spPr>
                    <a:xfrm>
                      <a:off x="0" y="0"/>
                      <a:ext cx="5731510" cy="4144010"/>
                    </a:xfrm>
                    <a:prstGeom prst="rect">
                      <a:avLst/>
                    </a:prstGeom>
                  </pic:spPr>
                </pic:pic>
              </a:graphicData>
            </a:graphic>
          </wp:inline>
        </w:drawing>
      </w:r>
    </w:p>
    <w:p w:rsidR="00170454" w:rsidRPr="00AE2A44" w:rsidRDefault="00170454">
      <w:pPr>
        <w:spacing w:after="200" w:line="276" w:lineRule="auto"/>
        <w:rPr>
          <w:rFonts w:ascii="Calibri" w:hAnsi="Calibri" w:cs="Calibri"/>
          <w:sz w:val="24"/>
          <w:szCs w:val="24"/>
        </w:rPr>
      </w:pPr>
      <w:r w:rsidRPr="00AE2A44">
        <w:rPr>
          <w:rFonts w:ascii="Calibri" w:hAnsi="Calibri" w:cs="Calibri"/>
          <w:sz w:val="24"/>
          <w:szCs w:val="24"/>
        </w:rPr>
        <w:br w:type="page"/>
      </w:r>
    </w:p>
    <w:p w:rsidR="00170454" w:rsidRPr="00AE2A44" w:rsidRDefault="00170454" w:rsidP="00170454">
      <w:pPr>
        <w:pStyle w:val="Heading1"/>
        <w:rPr>
          <w:color w:val="auto"/>
        </w:rPr>
      </w:pPr>
      <w:bookmarkStart w:id="46" w:name="_Toc119152967"/>
      <w:bookmarkStart w:id="47" w:name="_Toc119250928"/>
      <w:r w:rsidRPr="00AE2A44">
        <w:rPr>
          <w:color w:val="auto"/>
        </w:rPr>
        <w:lastRenderedPageBreak/>
        <w:t>Appendix E</w:t>
      </w:r>
      <w:bookmarkEnd w:id="46"/>
      <w:bookmarkEnd w:id="47"/>
    </w:p>
    <w:p w:rsidR="00170454" w:rsidRPr="00AE2A44" w:rsidRDefault="00170454" w:rsidP="00170454">
      <w:pPr>
        <w:rPr>
          <w:b/>
        </w:rPr>
      </w:pPr>
      <w:proofErr w:type="gramStart"/>
      <w:r w:rsidRPr="00AE2A44">
        <w:rPr>
          <w:b/>
        </w:rPr>
        <w:t>Logistic  strategic</w:t>
      </w:r>
      <w:proofErr w:type="gramEnd"/>
      <w:r w:rsidRPr="00AE2A44">
        <w:rPr>
          <w:b/>
        </w:rPr>
        <w:t xml:space="preserve"> management</w:t>
      </w:r>
    </w:p>
    <w:p w:rsidR="00205ECD" w:rsidRPr="00AE2A44" w:rsidRDefault="00170454" w:rsidP="00205ECD">
      <w:pPr>
        <w:spacing w:line="480" w:lineRule="auto"/>
        <w:rPr>
          <w:rFonts w:ascii="Calibri" w:hAnsi="Calibri" w:cs="Calibri"/>
          <w:sz w:val="24"/>
          <w:szCs w:val="24"/>
        </w:rPr>
      </w:pPr>
      <w:r w:rsidRPr="00AE2A44">
        <w:rPr>
          <w:rFonts w:ascii="Calibri" w:hAnsi="Calibri" w:cs="Calibri"/>
          <w:noProof/>
          <w:sz w:val="24"/>
          <w:szCs w:val="24"/>
          <w:lang w:eastAsia="en-GB"/>
        </w:rPr>
        <w:drawing>
          <wp:inline distT="0" distB="0" distL="0" distR="0">
            <wp:extent cx="5448300" cy="5448300"/>
            <wp:effectExtent l="19050" t="0" r="0" b="0"/>
            <wp:docPr id="8" name="Picture 7" descr="5-Figur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igure2-1.png"/>
                    <pic:cNvPicPr/>
                  </pic:nvPicPr>
                  <pic:blipFill>
                    <a:blip r:embed="rId51" cstate="print"/>
                    <a:stretch>
                      <a:fillRect/>
                    </a:stretch>
                  </pic:blipFill>
                  <pic:spPr>
                    <a:xfrm>
                      <a:off x="0" y="0"/>
                      <a:ext cx="5448300" cy="5448300"/>
                    </a:xfrm>
                    <a:prstGeom prst="rect">
                      <a:avLst/>
                    </a:prstGeom>
                  </pic:spPr>
                </pic:pic>
              </a:graphicData>
            </a:graphic>
          </wp:inline>
        </w:drawing>
      </w:r>
    </w:p>
    <w:p w:rsidR="000F0C2C" w:rsidRPr="00AE2A44" w:rsidRDefault="000F0C2C" w:rsidP="00205ECD">
      <w:pPr>
        <w:spacing w:line="480" w:lineRule="auto"/>
        <w:rPr>
          <w:rFonts w:ascii="Calibri" w:hAnsi="Calibri" w:cs="Calibri"/>
          <w:sz w:val="24"/>
          <w:szCs w:val="24"/>
        </w:rPr>
      </w:pPr>
    </w:p>
    <w:p w:rsidR="000F0C2C" w:rsidRPr="00AE2A44" w:rsidRDefault="000F0C2C">
      <w:pPr>
        <w:spacing w:after="200" w:line="276" w:lineRule="auto"/>
        <w:rPr>
          <w:rFonts w:ascii="Calibri" w:hAnsi="Calibri" w:cs="Calibri"/>
          <w:sz w:val="24"/>
          <w:szCs w:val="24"/>
        </w:rPr>
      </w:pPr>
      <w:r w:rsidRPr="00AE2A44">
        <w:rPr>
          <w:rFonts w:ascii="Calibri" w:hAnsi="Calibri" w:cs="Calibri"/>
          <w:sz w:val="24"/>
          <w:szCs w:val="24"/>
        </w:rPr>
        <w:br w:type="page"/>
      </w:r>
    </w:p>
    <w:p w:rsidR="000F0C2C" w:rsidRPr="00AE2A44" w:rsidRDefault="000F0C2C" w:rsidP="000F0C2C">
      <w:pPr>
        <w:pStyle w:val="Heading1"/>
        <w:rPr>
          <w:color w:val="auto"/>
        </w:rPr>
      </w:pPr>
      <w:bookmarkStart w:id="48" w:name="_Toc119250929"/>
      <w:r w:rsidRPr="00AE2A44">
        <w:rPr>
          <w:color w:val="auto"/>
        </w:rPr>
        <w:lastRenderedPageBreak/>
        <w:t>Appendix F</w:t>
      </w:r>
      <w:bookmarkEnd w:id="48"/>
      <w:r w:rsidRPr="00AE2A44">
        <w:rPr>
          <w:color w:val="auto"/>
        </w:rPr>
        <w:t xml:space="preserve"> </w:t>
      </w:r>
    </w:p>
    <w:p w:rsidR="000F0C2C" w:rsidRPr="00AE2A44" w:rsidRDefault="000F0C2C" w:rsidP="000F0C2C">
      <w:pPr>
        <w:rPr>
          <w:shd w:val="clear" w:color="auto" w:fill="FFFFFF"/>
        </w:rPr>
      </w:pPr>
      <w:r w:rsidRPr="00AE2A44">
        <w:rPr>
          <w:shd w:val="clear" w:color="auto" w:fill="FFFFFF"/>
        </w:rPr>
        <w:t>The Porter Value Chain Model</w:t>
      </w:r>
    </w:p>
    <w:p w:rsidR="000F0C2C" w:rsidRPr="00AE2A44" w:rsidRDefault="000F0C2C" w:rsidP="000F0C2C">
      <w:pPr>
        <w:rPr>
          <w:rFonts w:ascii="Calibri" w:hAnsi="Calibri" w:cs="Calibri"/>
          <w:sz w:val="24"/>
          <w:szCs w:val="24"/>
        </w:rPr>
      </w:pPr>
      <w:r w:rsidRPr="00AE2A44">
        <w:rPr>
          <w:rFonts w:ascii="Calibri" w:hAnsi="Calibri" w:cs="Calibri"/>
          <w:noProof/>
          <w:sz w:val="24"/>
          <w:szCs w:val="24"/>
          <w:lang w:eastAsia="en-GB"/>
        </w:rPr>
        <w:drawing>
          <wp:inline distT="0" distB="0" distL="0" distR="0">
            <wp:extent cx="5731510" cy="2941955"/>
            <wp:effectExtent l="19050" t="0" r="2540" b="0"/>
            <wp:docPr id="3" name="Picture 2" descr="Value-chain-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ue-chain-analysis.png"/>
                    <pic:cNvPicPr/>
                  </pic:nvPicPr>
                  <pic:blipFill>
                    <a:blip r:embed="rId52" cstate="print"/>
                    <a:stretch>
                      <a:fillRect/>
                    </a:stretch>
                  </pic:blipFill>
                  <pic:spPr>
                    <a:xfrm>
                      <a:off x="0" y="0"/>
                      <a:ext cx="5731510" cy="2941955"/>
                    </a:xfrm>
                    <a:prstGeom prst="rect">
                      <a:avLst/>
                    </a:prstGeom>
                  </pic:spPr>
                </pic:pic>
              </a:graphicData>
            </a:graphic>
          </wp:inline>
        </w:drawing>
      </w:r>
    </w:p>
    <w:sectPr w:rsidR="000F0C2C" w:rsidRPr="00AE2A44" w:rsidSect="00D1781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624A7"/>
    <w:multiLevelType w:val="hybridMultilevel"/>
    <w:tmpl w:val="9B6277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F3680"/>
    <w:rsid w:val="000F0C2C"/>
    <w:rsid w:val="00170454"/>
    <w:rsid w:val="001D72C9"/>
    <w:rsid w:val="001F3680"/>
    <w:rsid w:val="00205ECD"/>
    <w:rsid w:val="002F60FC"/>
    <w:rsid w:val="003D15E9"/>
    <w:rsid w:val="005C3D70"/>
    <w:rsid w:val="006F246E"/>
    <w:rsid w:val="00906158"/>
    <w:rsid w:val="00981639"/>
    <w:rsid w:val="00AE2A44"/>
    <w:rsid w:val="00D17811"/>
    <w:rsid w:val="00D35232"/>
    <w:rsid w:val="00D63CFB"/>
    <w:rsid w:val="00EB13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680"/>
    <w:pPr>
      <w:spacing w:after="160" w:line="259" w:lineRule="auto"/>
    </w:pPr>
  </w:style>
  <w:style w:type="paragraph" w:styleId="Heading1">
    <w:name w:val="heading 1"/>
    <w:basedOn w:val="Normal"/>
    <w:next w:val="Normal"/>
    <w:link w:val="Heading1Char"/>
    <w:uiPriority w:val="9"/>
    <w:qFormat/>
    <w:rsid w:val="001F36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C3D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05E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36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680"/>
    <w:rPr>
      <w:rFonts w:ascii="Tahoma" w:hAnsi="Tahoma" w:cs="Tahoma"/>
      <w:sz w:val="16"/>
      <w:szCs w:val="16"/>
    </w:rPr>
  </w:style>
  <w:style w:type="character" w:customStyle="1" w:styleId="Heading1Char">
    <w:name w:val="Heading 1 Char"/>
    <w:basedOn w:val="DefaultParagraphFont"/>
    <w:link w:val="Heading1"/>
    <w:uiPriority w:val="9"/>
    <w:rsid w:val="001F368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05ECD"/>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5C3D70"/>
    <w:pPr>
      <w:ind w:left="720"/>
      <w:contextualSpacing/>
    </w:pPr>
    <w:rPr>
      <w:lang w:val="en-US"/>
    </w:rPr>
  </w:style>
  <w:style w:type="character" w:customStyle="1" w:styleId="Heading2Char">
    <w:name w:val="Heading 2 Char"/>
    <w:basedOn w:val="DefaultParagraphFont"/>
    <w:link w:val="Heading2"/>
    <w:uiPriority w:val="9"/>
    <w:semiHidden/>
    <w:rsid w:val="005C3D70"/>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06158"/>
    <w:rPr>
      <w:color w:val="0000FF" w:themeColor="hyperlink"/>
      <w:u w:val="single"/>
    </w:rPr>
  </w:style>
  <w:style w:type="character" w:customStyle="1" w:styleId="ref-journal">
    <w:name w:val="ref-journal"/>
    <w:basedOn w:val="DefaultParagraphFont"/>
    <w:rsid w:val="00906158"/>
  </w:style>
  <w:style w:type="character" w:customStyle="1" w:styleId="ref-vol">
    <w:name w:val="ref-vol"/>
    <w:basedOn w:val="DefaultParagraphFont"/>
    <w:rsid w:val="00906158"/>
  </w:style>
  <w:style w:type="character" w:customStyle="1" w:styleId="hlfld-contribauthor">
    <w:name w:val="hlfld-contribauthor"/>
    <w:basedOn w:val="DefaultParagraphFont"/>
    <w:rsid w:val="00170454"/>
  </w:style>
  <w:style w:type="character" w:customStyle="1" w:styleId="nlmgiven-names">
    <w:name w:val="nlm_given-names"/>
    <w:basedOn w:val="DefaultParagraphFont"/>
    <w:rsid w:val="00170454"/>
  </w:style>
  <w:style w:type="character" w:customStyle="1" w:styleId="nlmyear">
    <w:name w:val="nlm_year"/>
    <w:basedOn w:val="DefaultParagraphFont"/>
    <w:rsid w:val="00170454"/>
  </w:style>
  <w:style w:type="character" w:customStyle="1" w:styleId="nlmarticle-title">
    <w:name w:val="nlm_article-title"/>
    <w:basedOn w:val="DefaultParagraphFont"/>
    <w:rsid w:val="00170454"/>
  </w:style>
  <w:style w:type="character" w:customStyle="1" w:styleId="nlmfpage">
    <w:name w:val="nlm_fpage"/>
    <w:basedOn w:val="DefaultParagraphFont"/>
    <w:rsid w:val="00170454"/>
  </w:style>
  <w:style w:type="character" w:customStyle="1" w:styleId="nlmlpage">
    <w:name w:val="nlm_lpage"/>
    <w:basedOn w:val="DefaultParagraphFont"/>
    <w:rsid w:val="00170454"/>
  </w:style>
  <w:style w:type="table" w:styleId="TableGrid">
    <w:name w:val="Table Grid"/>
    <w:basedOn w:val="TableNormal"/>
    <w:uiPriority w:val="59"/>
    <w:rsid w:val="001704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D35232"/>
    <w:pPr>
      <w:spacing w:line="276" w:lineRule="auto"/>
      <w:outlineLvl w:val="9"/>
    </w:pPr>
    <w:rPr>
      <w:lang w:val="en-US"/>
    </w:rPr>
  </w:style>
  <w:style w:type="paragraph" w:styleId="TOC1">
    <w:name w:val="toc 1"/>
    <w:basedOn w:val="Normal"/>
    <w:next w:val="Normal"/>
    <w:autoRedefine/>
    <w:uiPriority w:val="39"/>
    <w:unhideWhenUsed/>
    <w:rsid w:val="00D35232"/>
    <w:pPr>
      <w:spacing w:after="100"/>
    </w:pPr>
  </w:style>
  <w:style w:type="paragraph" w:styleId="TOC2">
    <w:name w:val="toc 2"/>
    <w:basedOn w:val="Normal"/>
    <w:next w:val="Normal"/>
    <w:autoRedefine/>
    <w:uiPriority w:val="39"/>
    <w:unhideWhenUsed/>
    <w:rsid w:val="00D35232"/>
    <w:pPr>
      <w:spacing w:after="100"/>
      <w:ind w:left="220"/>
    </w:pPr>
  </w:style>
  <w:style w:type="paragraph" w:styleId="NormalWeb">
    <w:name w:val="Normal (Web)"/>
    <w:basedOn w:val="Normal"/>
    <w:uiPriority w:val="99"/>
    <w:semiHidden/>
    <w:unhideWhenUsed/>
    <w:rsid w:val="000F0C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82411089">
      <w:bodyDiv w:val="1"/>
      <w:marLeft w:val="0"/>
      <w:marRight w:val="0"/>
      <w:marTop w:val="0"/>
      <w:marBottom w:val="0"/>
      <w:divBdr>
        <w:top w:val="none" w:sz="0" w:space="0" w:color="auto"/>
        <w:left w:val="none" w:sz="0" w:space="0" w:color="auto"/>
        <w:bottom w:val="none" w:sz="0" w:space="0" w:color="auto"/>
        <w:right w:val="none" w:sz="0" w:space="0" w:color="auto"/>
      </w:divBdr>
    </w:div>
    <w:div w:id="367415036">
      <w:bodyDiv w:val="1"/>
      <w:marLeft w:val="0"/>
      <w:marRight w:val="0"/>
      <w:marTop w:val="0"/>
      <w:marBottom w:val="0"/>
      <w:divBdr>
        <w:top w:val="none" w:sz="0" w:space="0" w:color="auto"/>
        <w:left w:val="none" w:sz="0" w:space="0" w:color="auto"/>
        <w:bottom w:val="none" w:sz="0" w:space="0" w:color="auto"/>
        <w:right w:val="none" w:sz="0" w:space="0" w:color="auto"/>
      </w:divBdr>
    </w:div>
    <w:div w:id="576328109">
      <w:bodyDiv w:val="1"/>
      <w:marLeft w:val="0"/>
      <w:marRight w:val="0"/>
      <w:marTop w:val="0"/>
      <w:marBottom w:val="0"/>
      <w:divBdr>
        <w:top w:val="none" w:sz="0" w:space="0" w:color="auto"/>
        <w:left w:val="none" w:sz="0" w:space="0" w:color="auto"/>
        <w:bottom w:val="none" w:sz="0" w:space="0" w:color="auto"/>
        <w:right w:val="none" w:sz="0" w:space="0" w:color="auto"/>
      </w:divBdr>
    </w:div>
    <w:div w:id="745877687">
      <w:bodyDiv w:val="1"/>
      <w:marLeft w:val="0"/>
      <w:marRight w:val="0"/>
      <w:marTop w:val="0"/>
      <w:marBottom w:val="0"/>
      <w:divBdr>
        <w:top w:val="none" w:sz="0" w:space="0" w:color="auto"/>
        <w:left w:val="none" w:sz="0" w:space="0" w:color="auto"/>
        <w:bottom w:val="none" w:sz="0" w:space="0" w:color="auto"/>
        <w:right w:val="none" w:sz="0" w:space="0" w:color="auto"/>
      </w:divBdr>
    </w:div>
    <w:div w:id="934824524">
      <w:bodyDiv w:val="1"/>
      <w:marLeft w:val="0"/>
      <w:marRight w:val="0"/>
      <w:marTop w:val="0"/>
      <w:marBottom w:val="0"/>
      <w:divBdr>
        <w:top w:val="none" w:sz="0" w:space="0" w:color="auto"/>
        <w:left w:val="none" w:sz="0" w:space="0" w:color="auto"/>
        <w:bottom w:val="none" w:sz="0" w:space="0" w:color="auto"/>
        <w:right w:val="none" w:sz="0" w:space="0" w:color="auto"/>
      </w:divBdr>
    </w:div>
    <w:div w:id="1007947972">
      <w:bodyDiv w:val="1"/>
      <w:marLeft w:val="0"/>
      <w:marRight w:val="0"/>
      <w:marTop w:val="0"/>
      <w:marBottom w:val="0"/>
      <w:divBdr>
        <w:top w:val="none" w:sz="0" w:space="0" w:color="auto"/>
        <w:left w:val="none" w:sz="0" w:space="0" w:color="auto"/>
        <w:bottom w:val="none" w:sz="0" w:space="0" w:color="auto"/>
        <w:right w:val="none" w:sz="0" w:space="0" w:color="auto"/>
      </w:divBdr>
    </w:div>
    <w:div w:id="1717393484">
      <w:bodyDiv w:val="1"/>
      <w:marLeft w:val="0"/>
      <w:marRight w:val="0"/>
      <w:marTop w:val="0"/>
      <w:marBottom w:val="0"/>
      <w:divBdr>
        <w:top w:val="none" w:sz="0" w:space="0" w:color="auto"/>
        <w:left w:val="none" w:sz="0" w:space="0" w:color="auto"/>
        <w:bottom w:val="none" w:sz="0" w:space="0" w:color="auto"/>
        <w:right w:val="none" w:sz="0" w:space="0" w:color="auto"/>
      </w:divBdr>
    </w:div>
    <w:div w:id="1726878506">
      <w:bodyDiv w:val="1"/>
      <w:marLeft w:val="0"/>
      <w:marRight w:val="0"/>
      <w:marTop w:val="0"/>
      <w:marBottom w:val="0"/>
      <w:divBdr>
        <w:top w:val="none" w:sz="0" w:space="0" w:color="auto"/>
        <w:left w:val="none" w:sz="0" w:space="0" w:color="auto"/>
        <w:bottom w:val="none" w:sz="0" w:space="0" w:color="auto"/>
        <w:right w:val="none" w:sz="0" w:space="0" w:color="auto"/>
      </w:divBdr>
    </w:div>
    <w:div w:id="186273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um.edu.mt/library/oar/handle/123456789/79041" TargetMode="External"/><Relationship Id="rId18" Type="http://schemas.openxmlformats.org/officeDocument/2006/relationships/hyperlink" Target="https://scholar.google.com/scholar_lookup?journal=Proceedings+of+the+National+Academy+of+Sciences&amp;title=The+spread+of+awareness+and+its+impact+on+epidemic+outbreaks&amp;author=S.+Funk&amp;author=E.+Gilad&amp;author=C.+Watkins&amp;author=V.A.+Jansen&amp;volume=106&amp;issue=16&amp;publication_year=2009&amp;pages=6872-6877&amp;" TargetMode="External"/><Relationship Id="rId26" Type="http://schemas.openxmlformats.org/officeDocument/2006/relationships/hyperlink" Target="https://scholar.google.co.uk/scholar?hl=en&amp;as_sdt=0%2C5&amp;q=Kim%2C+N.%2C+%26+Shim%2C+C.+%282018%29.+Social+capital%2C+knowledge+sharing+and+innovation+of+small-and+medium-sized+enterprises+in+a+tourism+cluster.+International+journal+of+contemporary+hospitality+management.&amp;btnG" TargetMode="External"/><Relationship Id="rId39" Type="http://schemas.openxmlformats.org/officeDocument/2006/relationships/hyperlink" Target="https://scholar.google.co.uk/scholar?hl=en&amp;as_sdt=0%2C5&amp;q=Peter%2C+F.%2C+Adegbuyi%2C+O.%2C+Olokundun%2C+M.%2C+Peter%2C+A.+O.%2C+Amaihian%2C+A.+B.%2C+%26+Ibidunni%2C+A.+S.+%282018%29.+Government+financial+support+and+financial+performance+of+SMEs.+Academy+of+Strategic+Management+Journal%2C+17.&amp;btnG" TargetMode="External"/><Relationship Id="rId3" Type="http://schemas.openxmlformats.org/officeDocument/2006/relationships/styles" Target="styles.xml"/><Relationship Id="rId21" Type="http://schemas.openxmlformats.org/officeDocument/2006/relationships/hyperlink" Target="https://scholar.google.co.uk/scholar?hl=en&amp;as_sdt=0%2C5&amp;q=Haleem%2C+F.%2C+Jehangir%2C+M.%2C+%26+Ullah%2C+Z.+%282019%29.+Strategic+planning+and+SMEs+performance%3A+A+developing+country%27s+perspective.+Journal+of+Business+%26+Economics%2C+11%282%29%2C+33-49.&amp;btnG" TargetMode="External"/><Relationship Id="rId34" Type="http://schemas.openxmlformats.org/officeDocument/2006/relationships/hyperlink" Target="https://scholar.google.co.uk/scholar?hl=en&amp;as_sdt=0%2C5&amp;q=Nigri%2C+G.%2C+%26+Del+Baldo%2C+M.+%282018%29.+Sustainability+reporting+and+performance+measurement+systems%3A+How+do+small-and+medium-sized+benefit+corporations+manage+integration%3F.+Sustainability%2C+10%2812%29%2C+4499.&amp;btnG" TargetMode="External"/><Relationship Id="rId42" Type="http://schemas.openxmlformats.org/officeDocument/2006/relationships/hyperlink" Target="https://scholar.google.co.uk/scholar?hl=en&amp;as_sdt=0%2C5&amp;q=Rekarti%2C+E.%2C+%26+Doktoralina%2C+C.+M.+%282017%29.+Improving+business+performance%3A+A+proposed+model+for+SMEs.&amp;btnG" TargetMode="External"/><Relationship Id="rId47" Type="http://schemas.openxmlformats.org/officeDocument/2006/relationships/hyperlink" Target="https://scholar.google.co.uk/scholar?hl=en&amp;as_sdt=0%2C5&amp;q=Thakkar%2C+J.%2C+Kanda%2C+A.%2C+%26+Deshmukh%2C+S.+G.+%282008%29.+Supply+chain+management+in+SMEs%3A+development+of+constructs+and+propositions.+Asia+Pacific+Journal+of+Marketing+and+Logistics.&amp;btnG" TargetMode="External"/><Relationship Id="rId50" Type="http://schemas.openxmlformats.org/officeDocument/2006/relationships/image" Target="media/image4.jpeg"/><Relationship Id="rId7" Type="http://schemas.openxmlformats.org/officeDocument/2006/relationships/hyperlink" Target="https://www.tandfonline.com/doi/abs/10.1111/j.1540-627X.2005.00138.x" TargetMode="External"/><Relationship Id="rId12" Type="http://schemas.openxmlformats.org/officeDocument/2006/relationships/hyperlink" Target="https://www.emerald.com/insight/content/doi/10.1108/IJLM-04-2021-0198/full/html" TargetMode="External"/><Relationship Id="rId17" Type="http://schemas.openxmlformats.org/officeDocument/2006/relationships/hyperlink" Target="https://scholar.google.co.uk/scholar?hl=en&amp;as_sdt=0%2C5&amp;q=Demirel%2C+P.%2C+%26+Danisman%2C+G.+O.+%282019%29.+Eco%E2%80%90innovation+and+firm+growth+in+the+circular+economy%3A+Evidence+from+European+small%E2%80%90and+medium%E2%80%90sized+enterprises.+Business+Strategy+and+the+Environment%2C+28%288%29%2C+1608-1618.&amp;btnG" TargetMode="External"/><Relationship Id="rId25" Type="http://schemas.openxmlformats.org/officeDocument/2006/relationships/hyperlink" Target="https://scholar.google.co.uk/scholar?hl=en&amp;as_sdt=0%2C5&amp;q=Joshi%2C+S.%2C+%26+Sharma%2C+M.+%282022%29.+Impact+of+sustainable+supply+chain+management+on+performance+of+SMEs+amidst+COVID-19+pandemic%3A+an+Indian+perspective.+International+Journal+of+Logistics+Economics+and+Globalisation%2C+9%283%29%2C+248-276.&amp;btnG" TargetMode="External"/><Relationship Id="rId33" Type="http://schemas.openxmlformats.org/officeDocument/2006/relationships/hyperlink" Target="https://scholar.google.co.uk/scholar?hl=en&amp;as_sdt=0%2C5&amp;q=M%C3%BCller%2C+J.+M.+%282019%29.+Business+model+innovation+in+small-and+medium-sized+enterprises%3A+Strategies+for+industry+4.0+providers+and+users.+Journal+of+Manufacturing+Technology+Management.&amp;btnG" TargetMode="External"/><Relationship Id="rId38" Type="http://schemas.openxmlformats.org/officeDocument/2006/relationships/hyperlink" Target="https://scholar.google.co.uk/scholar?hl=en&amp;as_sdt=0%2C5&amp;q=Papazov%2C+E.%2C+%26+Mihaylova%2C+L.+%282012%2C+May%29.+Modern+approach+to+strategic+control+in+SMEs.+In+Proceedings+of+MIBES+International+Scientific+Conference+2012%E2%80%93Innovation+%26+Sustainability+%28pp.+25-27%29.&amp;btnG" TargetMode="External"/><Relationship Id="rId46" Type="http://schemas.openxmlformats.org/officeDocument/2006/relationships/hyperlink" Target="https://scholar.google.co.uk/scholar?hl=en&amp;as_sdt=0%2C5&amp;q=Teece%2C+D.+J.+%282019%29.+A+capability+theory+of+the+firm%3A+an+economics+and+%28strategic%29+management+perspective.+New+Zealand+Economic+Papers%2C+53%281%29%2C+1-43.&amp;btnG" TargetMode="External"/><Relationship Id="rId2" Type="http://schemas.openxmlformats.org/officeDocument/2006/relationships/numbering" Target="numbering.xml"/><Relationship Id="rId16" Type="http://schemas.openxmlformats.org/officeDocument/2006/relationships/hyperlink" Target="https://scholar.google.co.uk/scholar?hl=en&amp;as_sdt=0%2C5&amp;q=Demirel%2C+P.%2C+%26+Danisman%2C+G.+O.+%282019%29.+Eco%E2%80%90innovation+and+firm+growth+in+the+circular+economy%3A+Evidence+from+European+small%E2%80%90and+medium%E2%80%90sized+enterprises.+Business+Strategy+and+the+Environment%2C+28%288%29%2C+1608-1618.&amp;btnG" TargetMode="External"/><Relationship Id="rId20" Type="http://schemas.openxmlformats.org/officeDocument/2006/relationships/hyperlink" Target="https://scholar.google.co.uk/scholar?hl=en&amp;as_sdt=0%2C5&amp;q=Goerzig%2C+D.%2C+%26+Bauernhansl%2C+T.+%282018%29.+Enterprise+architectures+for+the+digital+transformation+in+small+and+medium-sized+enterprises.+Procedia+Cirp%2C+67%2C+540-545.&amp;btnG" TargetMode="External"/><Relationship Id="rId29" Type="http://schemas.openxmlformats.org/officeDocument/2006/relationships/hyperlink" Target="https://scholar.google.co.uk/scholar?hl=en&amp;as_sdt=0%2C5&amp;q=+Maroufkhani%2C+P.%2C+Tseng%2C+M.+L.%2C+Iranmanesh%2C+M.%2C+Ismail%2C+W.+K.+W.%2C+%26+Khalid%2C+H.+%282020%29.+Big+data+analytics+adoption%3A+Determinants+and+performances+among+small+to+medium-sized+enterprises.+International+Journal+of+Information+Management%2C+54%2C+102190.&amp;btnG" TargetMode="External"/><Relationship Id="rId41" Type="http://schemas.openxmlformats.org/officeDocument/2006/relationships/hyperlink" Target="https://scholar.google.co.uk/scholar?hl=en&amp;as_sdt=0%2C5&amp;q=Raymond%2C+L.%2C+%26+St-Pierre%2C+J.+%282013%29.+Strategic+capability+configurations+for+the+internationalization+of+SMEs%3A+A+study+in+equifinality.+International+Small+Business+Journal%2C+31%281%29%2C+82-102.&amp;btn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onlinelibrary.wiley.com/doi/abs/10.1002/bse.2434" TargetMode="External"/><Relationship Id="rId24" Type="http://schemas.openxmlformats.org/officeDocument/2006/relationships/hyperlink" Target="https://scholar.google.co.uk/scholar?hl=en&amp;as_sdt=0%2C5&amp;q=Hilmola%2C+O.+P.%2C+L%C3%A4hdeaho%2C+O.%2C+Henttu%2C+V.%2C+%26+Hilletofth%2C+P.+%282020%29.+COVID-19+pandemic%3A+Early+implications+for+North+European+manufacturing+and+logistics.+Sustainability%2C+12%2820%29%2C+8315.&amp;btnG" TargetMode="External"/><Relationship Id="rId32" Type="http://schemas.openxmlformats.org/officeDocument/2006/relationships/hyperlink" Target="https://scholar.google.co.uk/scholar?hl=en&amp;as_sdt=0%2C5&amp;q=Mitr%C4%99ga%2C+M.%2C+%26+Choi%2C+T.+M.+%282021%29.+How+small-and-medium+transportation+companies+handle+asymmetric+customer+relationships+under+COVID-19+pandemic%3A+A+multi-method+study.+Transportation+Research+Part+E%3A+Logistics+and+Transportation+Review%2C+148%2C+102249.&amp;btnG" TargetMode="External"/><Relationship Id="rId37" Type="http://schemas.openxmlformats.org/officeDocument/2006/relationships/hyperlink" Target="https://scholar.google.co.uk/scholar?hl=en&amp;as_sdt=0%2C5&amp;q=Pencarelli%2C+T.%2C+Cesaroni%2C+F.+M.%2C+%26+Demartini%2C+P.+%282020%29.+Covid-19+and+Italian+small+and+medium-sized+enterprises%3A+consequences%2C+threats+and+opportunities.+Piccola+Impresa%2FSmall+Business%2C+%283%29.+&amp;btnG" TargetMode="External"/><Relationship Id="rId40" Type="http://schemas.openxmlformats.org/officeDocument/2006/relationships/hyperlink" Target="https://scholar.google.co.uk/scholar?hl=en&amp;as_sdt=0%2C5&amp;q=Postma%2C+T.+J.%2C+%26+Zwart%2C+P.+S.+%282001%29.+Strategic+research+and+performance+of+SMEs%27.+Journal+of+small+business+strategy%2C+12%282%29%2C+52-64.&amp;btnG" TargetMode="External"/><Relationship Id="rId45" Type="http://schemas.openxmlformats.org/officeDocument/2006/relationships/hyperlink" Target="https://scholar.google.co.uk/scholar?hl=en&amp;as_sdt=0%2C5&amp;q=Sherifi%2C+I.%2C+Andrushchenko%2C+H.%2C+Vankovych%2C+D.%2C+Solokha%2C+D.%2C+Malyshenko%2C+I.%2C+%26+Yavorska%2C+N.+%282020%29.+Strategic+management+of+industrial+enterprise+innovation+potential+development.+Academy+of+Strategic+Management+Journal%2C+19%286%29%2C+1-8.&amp;btnG"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cholar.google.co.uk/scholar?hl=en&amp;as_sdt=0%2C5&amp;q=Cohen%2C+S.%2C+Naoum%2C+V.+C.%2C+%26+Vlismas%2C+O.+%282014%29.+Intellectual+capital%2C+strategy+and+financial+crisis+from+a+SMEs+perspective.+Journal+of+Intellectual+Capital.&amp;btnG" TargetMode="External"/><Relationship Id="rId23" Type="http://schemas.openxmlformats.org/officeDocument/2006/relationships/hyperlink" Target="https://scholar.google.co.uk/scholar?hl=en&amp;as_sdt=0%2C5&amp;q=Hieu%2C+V.+M.%2C+%26+Nwachukwu%2C+C.+%282019%29.+Strategy+Evaluation+Process+And+Strategic+Performance+Nexus.&amp;btnG" TargetMode="External"/><Relationship Id="rId28" Type="http://schemas.openxmlformats.org/officeDocument/2006/relationships/hyperlink" Target="https://scholar.google.co.uk/scholar?hl=en&amp;as_sdt=0%2C5&amp;q=Kraus%2C+S.%2C+Reiche%2C+B.+S.%2C+%26+Reschke%2C+C.+H.+%282007%2C+September%29.+The+role+of+strategic+planning+in+SMEs%3A+Literature+review+and+implications.+In+Conference+proceedings+of+the+Annual+Meeting+of+the+British+Academy+of+Management.&amp;btnG" TargetMode="External"/><Relationship Id="rId36" Type="http://schemas.openxmlformats.org/officeDocument/2006/relationships/hyperlink" Target="https://scholar.google.co.uk/scholar?hl=en&amp;as_sdt=0%2C5&amp;q=Paunovi%C4%87%2C+B.%2C+%26+Ani%C4%8Di%C4%87%2C+Z.+%282021%29.+Impact+of+the+COVID-19+crisis+on+SMEs+and+possible+innovation+responses.+Ekonomika+preduze%C4%87a%2C+69%283-4%29%2C+169-184.&amp;btnG" TargetMode="External"/><Relationship Id="rId49" Type="http://schemas.openxmlformats.org/officeDocument/2006/relationships/image" Target="media/image3.jpeg"/><Relationship Id="rId10" Type="http://schemas.openxmlformats.org/officeDocument/2006/relationships/hyperlink" Target="https://scholar.google.com/scholar_lookup?hl=en&amp;volume=21&amp;publication_year=2020&amp;pages=44-45&amp;issue=2&amp;author=K.+Ali&amp;author=M.+Raja&amp;title=Coronavirus+disease+2019+%28COVID-19%29%3A+Challenges+and+management+of+aerosol-generating+procedures+in+dentistry&amp;doi=https%3A%2F%2Fdoi.org%2F10.1038%2Fs41432-020-0088-4" TargetMode="External"/><Relationship Id="rId19" Type="http://schemas.openxmlformats.org/officeDocument/2006/relationships/hyperlink" Target="https://scholar.google.co.uk/scholar?hl=en&amp;as_sdt=0%2C5&amp;q=Gherghina%2C+%C8%98.+C.%2C+Botezatu%2C+M.+A.%2C+Hosszu%2C+A.%2C+%26+Simionescu%2C+L.+N.+%282020%29.+Small+and+medium-sized+enterprises+%28SMEs%29%3A+The+engine+of+economic+growth+through+investments+and+innovation.+Sustainability%2C+12%281%29%2C+347.&amp;btnG" TargetMode="External"/><Relationship Id="rId31" Type="http://schemas.openxmlformats.org/officeDocument/2006/relationships/hyperlink" Target="https://scholar.google.co.uk/scholar?hl=en&amp;as_sdt=0%2C5&amp;q=Mittal%2C+S.%2C+Khan%2C+M.+A.%2C+Romero%2C+D.%2C+%26+Wuest%2C+T.+%282018%29.+A+critical+review+of+smart+manufacturing+%26+Industry+4.0+maturity+models%3A+Implications+for+small+and+medium-sized+enterprises+%28SMEs%29.+Journal+of+manufacturing+systems%2C+49%2C+194-214.&amp;btnG" TargetMode="External"/><Relationship Id="rId44" Type="http://schemas.openxmlformats.org/officeDocument/2006/relationships/hyperlink" Target="https://scholar.google.co.uk/scholar?hl=en&amp;as_sdt=0%2C5&amp;q=Sainidis%2C+F.%2C+Gill%2C+R.+E.%2C+%26+White%2C+A.+%282001%2C+May%29.+Emergent+strategies+in+SMEs.+In+4th+SME+International+Conference%2C+Allborg%2C+Denmark+%28pp.+242-247%29.&amp;btnG" TargetMode="External"/><Relationship Id="rId52"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sciencedirect.com/science/article/pii/S0924224421000200" TargetMode="External"/><Relationship Id="rId14" Type="http://schemas.openxmlformats.org/officeDocument/2006/relationships/hyperlink" Target="https://www.sciencedirect.com/science/article/pii/S0275531921000179" TargetMode="External"/><Relationship Id="rId22" Type="http://schemas.openxmlformats.org/officeDocument/2006/relationships/hyperlink" Target="https://scholar.google.co.uk/scholar?hl=en&amp;as_sdt=0%2C5&amp;q=Henry%2C+A.+%282021%29.+Understanding+strategic+management.+Oxford+University+Press.&amp;btnG" TargetMode="External"/><Relationship Id="rId27" Type="http://schemas.openxmlformats.org/officeDocument/2006/relationships/hyperlink" Target="https://scholar.google.co.uk/scholar?hl=en&amp;as_sdt=0%2C5&amp;q=Kot%2C+S.+%282018%29.+Sustainable+supply+chain+management+in+small+and+medium+enterprises.+Sustainability%2C+10%284%29%2C+1143.&amp;btnG" TargetMode="External"/><Relationship Id="rId30" Type="http://schemas.openxmlformats.org/officeDocument/2006/relationships/hyperlink" Target="https://scholar.google.co.uk/scholar?hl=en&amp;as_sdt=0%2C5&amp;q=Meyer%2C+K.+E.%2C+%26+Xin%2C+K.+R.+%282018%29.+Managing+talent+in+emerging+economy+multinationals%3A+Integrating+strategic+management+and+human+resource+management.+The+International+Journal+of+Human+Resource+Management%2C+29%2811%29%2C+1827-1855.&amp;btnG" TargetMode="External"/><Relationship Id="rId35" Type="http://schemas.openxmlformats.org/officeDocument/2006/relationships/hyperlink" Target="https://scholar.google.co.uk/scholar?hl=en&amp;as_sdt=0%2C5&amp;q=Nikoli%C4%87%2C+N.%2C+Dhamo%2C+Z.%2C+Schulte%2C+P.%2C+Mihajlovi%C4%87%2C+I.%2C+%26+Kume%2C+V.+%282015%2C+May%29.+An+analysis+of+factors+affecting+failure+of+SMEs.+In+Proceedings+of+11th+International+May+Conference+on+Strategic+Management-IMKSM2015+%28pp.+29-31%29.&amp;btnG" TargetMode="External"/><Relationship Id="rId43" Type="http://schemas.openxmlformats.org/officeDocument/2006/relationships/hyperlink" Target="https://scholar.google.co.uk/scholar?hl=en&amp;as_sdt=0%2C5&amp;q=Syriopoulos%2C+K.+%282020%29.+The+impact+of+COVID-19+on+entrepreneurship+and+SMEs.+Journal+of+the+International+Academy+for+Case+Studies%2C+26%282%29%2C+1-2.&amp;btnG" TargetMode="External"/><Relationship Id="rId48" Type="http://schemas.openxmlformats.org/officeDocument/2006/relationships/image" Target="media/image2.png"/><Relationship Id="rId8" Type="http://schemas.openxmlformats.org/officeDocument/2006/relationships/hyperlink" Target="https://s100.copyright.com/AppDispatchServlet?publisherName=Emerald&amp;contentID=10.1108%2FJGOSS-11-2021-0094&amp;title=Towards+measuring+SMEs+performance+amid+the+COVID-19+outbreak%3A+exploring+the+impact+of+integrated+supply+chain+drivers&amp;publicationDate=07%2F08%2F2022&amp;author=Fadi+Abdelfattah%2C+Mustafa+Malik%2C+Abrar+Mohammed+Al+Alawi%2C+Ramzi+Sallem%2C+Anirban+Ganguly&amp;orderBeanReset=true&amp;volumeNum=ahead-of-print&amp;issueNum=ahead-of-print&amp;startPage=&amp;endPage=&amp;publication=JGOSS&amp;pageCount=1&amp;imprint=Emerald&amp;issn=2398-5364&amp;color=false&amp;pa=&amp;rpt" TargetMode="External"/><Relationship Id="rId5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F7B381-27FE-40ED-BC45-2856A66A4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57</Pages>
  <Words>14398</Words>
  <Characters>82071</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2022-11-13T13:07:00Z</dcterms:created>
  <dcterms:modified xsi:type="dcterms:W3CDTF">2022-11-13T16:55:00Z</dcterms:modified>
</cp:coreProperties>
</file>