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93AF6" w14:textId="77777777" w:rsidR="00F35A39" w:rsidRDefault="233E6FFE">
      <w:r>
        <w:rPr>
          <w:noProof/>
        </w:rPr>
        <w:drawing>
          <wp:anchor distT="0" distB="0" distL="114300" distR="114300" simplePos="0" relativeHeight="251658240" behindDoc="0" locked="0" layoutInCell="1" allowOverlap="1" wp14:anchorId="601B9468" wp14:editId="619021B1">
            <wp:simplePos x="0" y="0"/>
            <wp:positionH relativeFrom="column">
              <wp:posOffset>-723900</wp:posOffset>
            </wp:positionH>
            <wp:positionV relativeFrom="paragraph">
              <wp:posOffset>-685800</wp:posOffset>
            </wp:positionV>
            <wp:extent cx="2066973" cy="852622"/>
            <wp:effectExtent l="0" t="0" r="0" b="0"/>
            <wp:wrapNone/>
            <wp:docPr id="20576963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696360" name="Picture 2057696360"/>
                    <pic:cNvPicPr/>
                  </pic:nvPicPr>
                  <pic:blipFill>
                    <a:blip r:embed="rId8">
                      <a:extLst>
                        <a:ext uri="{28A0092B-C50C-407E-A947-70E740481C1C}">
                          <a14:useLocalDpi xmlns:a14="http://schemas.microsoft.com/office/drawing/2010/main"/>
                        </a:ext>
                      </a:extLst>
                    </a:blip>
                    <a:stretch>
                      <a:fillRect/>
                    </a:stretch>
                  </pic:blipFill>
                  <pic:spPr>
                    <a:xfrm>
                      <a:off x="0" y="0"/>
                      <a:ext cx="2066973" cy="852622"/>
                    </a:xfrm>
                    <a:prstGeom prst="rect">
                      <a:avLst/>
                    </a:prstGeom>
                  </pic:spPr>
                </pic:pic>
              </a:graphicData>
            </a:graphic>
            <wp14:sizeRelH relativeFrom="page">
              <wp14:pctWidth>0</wp14:pctWidth>
            </wp14:sizeRelH>
            <wp14:sizeRelV relativeFrom="page">
              <wp14:pctHeight>0</wp14:pctHeight>
            </wp14:sizeRelV>
          </wp:anchor>
        </w:drawing>
      </w:r>
    </w:p>
    <w:p w14:paraId="76550D74" w14:textId="50F9B11E" w:rsidR="233E6FFE" w:rsidRDefault="233E6FFE" w:rsidP="233E6FFE">
      <w:pPr>
        <w:widowControl w:val="0"/>
        <w:tabs>
          <w:tab w:val="left" w:pos="392"/>
        </w:tabs>
        <w:ind w:right="473"/>
        <w:jc w:val="center"/>
        <w:rPr>
          <w:rFonts w:cs="Arial"/>
          <w:b/>
          <w:bCs/>
          <w:sz w:val="22"/>
          <w:szCs w:val="22"/>
        </w:rPr>
      </w:pPr>
    </w:p>
    <w:p w14:paraId="26CFFECE" w14:textId="73AFDC6B" w:rsidR="233E6FFE" w:rsidRDefault="233E6FFE" w:rsidP="233E6FFE">
      <w:pPr>
        <w:widowControl w:val="0"/>
        <w:tabs>
          <w:tab w:val="left" w:pos="392"/>
        </w:tabs>
        <w:ind w:right="473"/>
        <w:jc w:val="center"/>
        <w:rPr>
          <w:rFonts w:cs="Arial"/>
          <w:b/>
          <w:bCs/>
          <w:sz w:val="22"/>
          <w:szCs w:val="22"/>
        </w:rPr>
      </w:pPr>
    </w:p>
    <w:p w14:paraId="3A45D136" w14:textId="61CB63B2" w:rsidR="25E8297C" w:rsidRDefault="25E8297C" w:rsidP="25E8297C">
      <w:pPr>
        <w:widowControl w:val="0"/>
        <w:tabs>
          <w:tab w:val="left" w:pos="392"/>
        </w:tabs>
        <w:ind w:right="473"/>
        <w:jc w:val="center"/>
        <w:rPr>
          <w:rFonts w:cs="Arial"/>
          <w:b/>
          <w:bCs/>
          <w:sz w:val="22"/>
          <w:szCs w:val="22"/>
        </w:rPr>
      </w:pPr>
    </w:p>
    <w:p w14:paraId="4BA6265A" w14:textId="56641947" w:rsidR="25E8297C" w:rsidRDefault="25E8297C" w:rsidP="25E8297C">
      <w:pPr>
        <w:widowControl w:val="0"/>
        <w:tabs>
          <w:tab w:val="left" w:pos="392"/>
        </w:tabs>
        <w:ind w:right="473"/>
        <w:jc w:val="center"/>
        <w:rPr>
          <w:rFonts w:cs="Arial"/>
          <w:b/>
          <w:bCs/>
          <w:sz w:val="22"/>
          <w:szCs w:val="22"/>
        </w:rPr>
      </w:pPr>
    </w:p>
    <w:p w14:paraId="20DF7D15" w14:textId="186E1E8E" w:rsidR="00F35A39" w:rsidRPr="005A5F90" w:rsidRDefault="53C35F68" w:rsidP="233E6FFE">
      <w:pPr>
        <w:widowControl w:val="0"/>
        <w:tabs>
          <w:tab w:val="left" w:pos="392"/>
        </w:tabs>
        <w:autoSpaceDE w:val="0"/>
        <w:autoSpaceDN w:val="0"/>
        <w:ind w:right="473"/>
        <w:jc w:val="center"/>
        <w:rPr>
          <w:rFonts w:cs="Arial"/>
          <w:b/>
          <w:bCs/>
          <w:sz w:val="22"/>
          <w:szCs w:val="22"/>
        </w:rPr>
      </w:pPr>
      <w:r w:rsidRPr="233E6FFE">
        <w:rPr>
          <w:rFonts w:cs="Arial"/>
          <w:b/>
          <w:bCs/>
          <w:sz w:val="22"/>
          <w:szCs w:val="22"/>
        </w:rPr>
        <w:t>Asfia Akhtar</w:t>
      </w:r>
    </w:p>
    <w:p w14:paraId="560D252B" w14:textId="38EEC15F" w:rsidR="00F35A39" w:rsidRPr="005A5F90" w:rsidRDefault="2B24F350" w:rsidP="233E6FFE">
      <w:pPr>
        <w:widowControl w:val="0"/>
        <w:tabs>
          <w:tab w:val="left" w:pos="392"/>
        </w:tabs>
        <w:autoSpaceDE w:val="0"/>
        <w:autoSpaceDN w:val="0"/>
        <w:ind w:right="473"/>
        <w:jc w:val="center"/>
        <w:rPr>
          <w:rFonts w:cs="Arial"/>
          <w:b/>
          <w:bCs/>
          <w:sz w:val="22"/>
          <w:szCs w:val="22"/>
        </w:rPr>
      </w:pPr>
      <w:r w:rsidRPr="233E6FFE">
        <w:rPr>
          <w:rFonts w:cs="Arial"/>
          <w:b/>
          <w:bCs/>
          <w:sz w:val="22"/>
          <w:szCs w:val="22"/>
        </w:rPr>
        <w:t>2432708</w:t>
      </w:r>
    </w:p>
    <w:p w14:paraId="75163324" w14:textId="72E3F2EE" w:rsidR="00F35A39" w:rsidRPr="005A5F90" w:rsidRDefault="042AAE9E" w:rsidP="233E6FFE">
      <w:pPr>
        <w:widowControl w:val="0"/>
        <w:tabs>
          <w:tab w:val="left" w:pos="392"/>
        </w:tabs>
        <w:autoSpaceDE w:val="0"/>
        <w:autoSpaceDN w:val="0"/>
        <w:ind w:right="473"/>
        <w:jc w:val="center"/>
        <w:rPr>
          <w:rFonts w:cs="Arial"/>
          <w:b/>
          <w:bCs/>
          <w:sz w:val="22"/>
          <w:szCs w:val="22"/>
        </w:rPr>
      </w:pPr>
      <w:r w:rsidRPr="233E6FFE">
        <w:rPr>
          <w:rFonts w:cs="Arial"/>
          <w:b/>
          <w:bCs/>
          <w:sz w:val="22"/>
          <w:szCs w:val="22"/>
        </w:rPr>
        <w:t>LCHS4003_BIRM</w:t>
      </w:r>
    </w:p>
    <w:p w14:paraId="2ACC5A58" w14:textId="7D235383" w:rsidR="042AAE9E" w:rsidRDefault="042AAE9E" w:rsidP="233E6FFE">
      <w:pPr>
        <w:widowControl w:val="0"/>
        <w:tabs>
          <w:tab w:val="left" w:pos="392"/>
        </w:tabs>
        <w:ind w:right="473"/>
        <w:jc w:val="center"/>
        <w:rPr>
          <w:rFonts w:cs="Arial"/>
          <w:b/>
          <w:bCs/>
          <w:sz w:val="22"/>
          <w:szCs w:val="22"/>
        </w:rPr>
      </w:pPr>
      <w:r w:rsidRPr="233E6FFE">
        <w:rPr>
          <w:rFonts w:cs="Arial"/>
          <w:b/>
          <w:bCs/>
          <w:sz w:val="22"/>
          <w:szCs w:val="22"/>
        </w:rPr>
        <w:t>Introduction to Health and Social Care</w:t>
      </w:r>
    </w:p>
    <w:p w14:paraId="2AC7A452" w14:textId="42A1E4E0" w:rsidR="00F32475" w:rsidRDefault="2CC4452E" w:rsidP="00F32475">
      <w:pPr>
        <w:widowControl w:val="0"/>
        <w:tabs>
          <w:tab w:val="left" w:pos="392"/>
        </w:tabs>
        <w:autoSpaceDE w:val="0"/>
        <w:autoSpaceDN w:val="0"/>
        <w:ind w:right="473"/>
        <w:jc w:val="center"/>
      </w:pPr>
      <w:r>
        <w:t>Aishat Bakre</w:t>
      </w:r>
      <w:r w:rsidR="00F32475">
        <w:br/>
      </w:r>
      <w:r w:rsidR="139A7765">
        <w:t>Portfolio - two tasks</w:t>
      </w:r>
    </w:p>
    <w:p w14:paraId="0CDABCE9" w14:textId="1220155A" w:rsidR="00F32475" w:rsidRPr="00F32475" w:rsidRDefault="0FAC6A03" w:rsidP="233E6FFE">
      <w:pPr>
        <w:widowControl w:val="0"/>
        <w:tabs>
          <w:tab w:val="left" w:pos="392"/>
        </w:tabs>
        <w:autoSpaceDE w:val="0"/>
        <w:autoSpaceDN w:val="0"/>
        <w:ind w:right="473"/>
        <w:jc w:val="center"/>
        <w:rPr>
          <w:rFonts w:cs="Arial"/>
          <w:b/>
          <w:bCs/>
          <w:sz w:val="22"/>
          <w:szCs w:val="22"/>
        </w:rPr>
      </w:pPr>
      <w:r w:rsidRPr="233E6FFE">
        <w:rPr>
          <w:rFonts w:cs="Arial"/>
          <w:b/>
          <w:bCs/>
          <w:sz w:val="22"/>
          <w:szCs w:val="22"/>
        </w:rPr>
        <w:t>19/10/25</w:t>
      </w:r>
    </w:p>
    <w:p w14:paraId="3F893EFD" w14:textId="76F1A313" w:rsidR="233E6FFE" w:rsidRDefault="233E6FFE" w:rsidP="233E6FFE">
      <w:pPr>
        <w:widowControl w:val="0"/>
        <w:tabs>
          <w:tab w:val="left" w:pos="392"/>
        </w:tabs>
        <w:ind w:right="473"/>
        <w:jc w:val="center"/>
        <w:rPr>
          <w:rFonts w:cs="Arial"/>
          <w:b/>
          <w:bCs/>
          <w:sz w:val="22"/>
          <w:szCs w:val="22"/>
        </w:rPr>
      </w:pPr>
    </w:p>
    <w:p w14:paraId="31BA6E69" w14:textId="62D684AB" w:rsidR="233E6FFE" w:rsidRDefault="233E6FFE" w:rsidP="233E6FFE">
      <w:pPr>
        <w:widowControl w:val="0"/>
        <w:tabs>
          <w:tab w:val="left" w:pos="392"/>
        </w:tabs>
        <w:ind w:right="473"/>
        <w:jc w:val="center"/>
        <w:rPr>
          <w:rFonts w:cs="Arial"/>
          <w:b/>
          <w:bCs/>
          <w:sz w:val="22"/>
          <w:szCs w:val="22"/>
        </w:rPr>
      </w:pPr>
    </w:p>
    <w:p w14:paraId="2725D5FF" w14:textId="5CDD55B5" w:rsidR="233E6FFE" w:rsidRDefault="233E6FFE" w:rsidP="233E6FFE">
      <w:pPr>
        <w:widowControl w:val="0"/>
        <w:tabs>
          <w:tab w:val="left" w:pos="392"/>
        </w:tabs>
        <w:ind w:right="473"/>
        <w:jc w:val="center"/>
        <w:rPr>
          <w:rFonts w:cs="Arial"/>
          <w:b/>
          <w:bCs/>
          <w:sz w:val="22"/>
          <w:szCs w:val="22"/>
        </w:rPr>
      </w:pPr>
    </w:p>
    <w:p w14:paraId="34290585" w14:textId="5CD3E752" w:rsidR="233E6FFE" w:rsidRDefault="233E6FFE" w:rsidP="233E6FFE">
      <w:pPr>
        <w:widowControl w:val="0"/>
        <w:tabs>
          <w:tab w:val="left" w:pos="392"/>
        </w:tabs>
        <w:ind w:right="473"/>
        <w:jc w:val="center"/>
        <w:sectPr w:rsidR="233E6FFE">
          <w:pgSz w:w="11906" w:h="16838"/>
          <w:pgMar w:top="1440" w:right="1440" w:bottom="1440" w:left="1440" w:header="708" w:footer="708" w:gutter="0"/>
          <w:cols w:space="708"/>
          <w:docGrid w:linePitch="360"/>
        </w:sectPr>
      </w:pPr>
    </w:p>
    <w:p w14:paraId="1E44653B" w14:textId="4A8B950A" w:rsidR="005A5F90" w:rsidRDefault="25E8297C" w:rsidP="233E6FFE">
      <w:pPr>
        <w:ind w:left="-567" w:right="-784"/>
      </w:pPr>
      <w:r>
        <w:rPr>
          <w:noProof/>
        </w:rPr>
        <w:lastRenderedPageBreak/>
        <w:drawing>
          <wp:anchor distT="0" distB="0" distL="114300" distR="114300" simplePos="0" relativeHeight="251657216" behindDoc="0" locked="0" layoutInCell="1" allowOverlap="1" wp14:anchorId="7047E733" wp14:editId="7F3E3B81">
            <wp:simplePos x="0" y="0"/>
            <wp:positionH relativeFrom="column">
              <wp:posOffset>-533400</wp:posOffset>
            </wp:positionH>
            <wp:positionV relativeFrom="paragraph">
              <wp:posOffset>-371475</wp:posOffset>
            </wp:positionV>
            <wp:extent cx="6890569" cy="9744075"/>
            <wp:effectExtent l="0" t="0" r="0" b="0"/>
            <wp:wrapNone/>
            <wp:docPr id="12814739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473944" name="Picture 1281473944"/>
                    <pic:cNvPicPr/>
                  </pic:nvPicPr>
                  <pic:blipFill>
                    <a:blip r:embed="rId9">
                      <a:extLst>
                        <a:ext uri="{28A0092B-C50C-407E-A947-70E740481C1C}">
                          <a14:useLocalDpi xmlns:a14="http://schemas.microsoft.com/office/drawing/2010/main"/>
                        </a:ext>
                      </a:extLst>
                    </a:blip>
                    <a:stretch>
                      <a:fillRect/>
                    </a:stretch>
                  </pic:blipFill>
                  <pic:spPr>
                    <a:xfrm>
                      <a:off x="0" y="0"/>
                      <a:ext cx="6890569" cy="9744075"/>
                    </a:xfrm>
                    <a:prstGeom prst="rect">
                      <a:avLst/>
                    </a:prstGeom>
                  </pic:spPr>
                </pic:pic>
              </a:graphicData>
            </a:graphic>
            <wp14:sizeRelH relativeFrom="page">
              <wp14:pctWidth>0</wp14:pctWidth>
            </wp14:sizeRelH>
            <wp14:sizeRelV relativeFrom="page">
              <wp14:pctHeight>0</wp14:pctHeight>
            </wp14:sizeRelV>
          </wp:anchor>
        </w:drawing>
      </w:r>
    </w:p>
    <w:p w14:paraId="44EDC6D9" w14:textId="77777777" w:rsidR="005A5F90" w:rsidRDefault="005A5F90" w:rsidP="004D15D8">
      <w:pPr>
        <w:ind w:left="-567" w:right="-784"/>
      </w:pPr>
    </w:p>
    <w:p w14:paraId="18B3C855" w14:textId="77777777" w:rsidR="005A5F90" w:rsidRDefault="005A5F90" w:rsidP="004D15D8">
      <w:pPr>
        <w:ind w:left="-567" w:right="-784"/>
      </w:pPr>
    </w:p>
    <w:p w14:paraId="16123B55" w14:textId="77777777" w:rsidR="005A5F90" w:rsidRDefault="005A5F90" w:rsidP="004D15D8">
      <w:pPr>
        <w:ind w:left="-567" w:right="-784"/>
      </w:pPr>
    </w:p>
    <w:p w14:paraId="08927AD7" w14:textId="77777777" w:rsidR="005A5F90" w:rsidRDefault="005A5F90" w:rsidP="004D15D8">
      <w:pPr>
        <w:ind w:left="-567" w:right="-784"/>
      </w:pPr>
    </w:p>
    <w:p w14:paraId="07EC2B84" w14:textId="77777777" w:rsidR="005A5F90" w:rsidRDefault="005A5F90" w:rsidP="004D15D8">
      <w:pPr>
        <w:ind w:left="-567" w:right="-784"/>
      </w:pPr>
    </w:p>
    <w:p w14:paraId="70674A7E" w14:textId="77777777" w:rsidR="005A5F90" w:rsidRDefault="005A5F90" w:rsidP="004D15D8">
      <w:pPr>
        <w:ind w:left="-567" w:right="-784"/>
      </w:pPr>
    </w:p>
    <w:p w14:paraId="69F95ECA" w14:textId="7C6BEF6F" w:rsidR="005A5F90" w:rsidRDefault="005A5F90" w:rsidP="25E8297C">
      <w:pPr>
        <w:ind w:left="-567" w:right="-784"/>
      </w:pPr>
    </w:p>
    <w:p w14:paraId="548FAA97" w14:textId="77777777" w:rsidR="005A5F90" w:rsidRDefault="005A5F90" w:rsidP="004D15D8">
      <w:pPr>
        <w:ind w:left="-567" w:right="-784"/>
      </w:pPr>
    </w:p>
    <w:p w14:paraId="06FC6443" w14:textId="77777777" w:rsidR="005A5F90" w:rsidRDefault="005A5F90" w:rsidP="004D15D8">
      <w:pPr>
        <w:ind w:left="-567" w:right="-784"/>
      </w:pPr>
    </w:p>
    <w:p w14:paraId="6B33A3B4" w14:textId="77777777" w:rsidR="00F35A39" w:rsidRDefault="00F35A39" w:rsidP="004D15D8">
      <w:pPr>
        <w:ind w:left="-567" w:right="-784"/>
      </w:pPr>
    </w:p>
    <w:p w14:paraId="371C2E59" w14:textId="77777777" w:rsidR="00F35A39" w:rsidRDefault="00F35A39" w:rsidP="004D15D8">
      <w:pPr>
        <w:ind w:left="-567" w:right="-784"/>
        <w:sectPr w:rsidR="00F35A39" w:rsidSect="00F35A39">
          <w:pgSz w:w="11906" w:h="16838"/>
          <w:pgMar w:top="1440" w:right="1440" w:bottom="1440" w:left="1440" w:header="708" w:footer="708" w:gutter="0"/>
          <w:cols w:space="708"/>
          <w:docGrid w:linePitch="360"/>
        </w:sectPr>
      </w:pPr>
    </w:p>
    <w:p w14:paraId="0EB8ED00" w14:textId="1FF078F8" w:rsidR="00F35A39" w:rsidRDefault="20CEF871" w:rsidP="2007203C">
      <w:pPr>
        <w:spacing w:after="160"/>
      </w:pPr>
      <w:r w:rsidRPr="2007203C">
        <w:rPr>
          <w:rFonts w:eastAsia="Arial" w:cs="Arial"/>
          <w:sz w:val="22"/>
          <w:szCs w:val="22"/>
        </w:rPr>
        <w:lastRenderedPageBreak/>
        <w:t xml:space="preserve">The National Health Service (NHS) is widely regarded as one of the most significant social reforms in British history, founded on the principle of providing comprehensive healthcare free at the point of delivery. Established in 1948, the NHS emerged from a historical context marked by social inequities, wartime experience, and ideological shifts towards welfare state principles. </w:t>
      </w:r>
    </w:p>
    <w:p w14:paraId="4C33CF49" w14:textId="27D7A46E" w:rsidR="00F35A39" w:rsidRDefault="20CEF871" w:rsidP="2007203C">
      <w:pPr>
        <w:spacing w:after="160"/>
      </w:pPr>
      <w:r w:rsidRPr="2007203C">
        <w:rPr>
          <w:rFonts w:eastAsia="Arial" w:cs="Arial"/>
          <w:sz w:val="22"/>
          <w:szCs w:val="22"/>
        </w:rPr>
        <w:t xml:space="preserve">The origins of the NHS can be traced back to the broader social and political environment of early 20th-century Britain. Prior to its formation, healthcare was fragmented, with services provided by voluntary hospitals, private practitioners, and local government initiatives, often inaccessible to the poor (Webster, 2002). The Beveridge Report of 1942, authored by William Beveridge, played a pivotal role by advocating for a comprehensive welfare state that addressed the "five giants" of Want, Disease, Ignorance, Squalor, and Idleness (Beveridge, 1942). Health was recognized as a crucial component of social welfare. World War II further underscored the need for a unified health system. The war effort showed weaknesses in public health and the disparities in access to medical care, galvanizing public and political support for reform (Timmins, 2001). The post-war Labour government, led by Clement Attlee, seized this momentum, and Aneurin Bevan, the Minister of Health, was instrumental in the NHS's creation. The NHS was founded on three key principles: healthcare should be universal, comprehensive, and free at the point of use (Bevan, 1948). </w:t>
      </w:r>
    </w:p>
    <w:p w14:paraId="17037197" w14:textId="646D04E7" w:rsidR="00F35A39" w:rsidRDefault="20CEF871" w:rsidP="2007203C">
      <w:pPr>
        <w:spacing w:after="160"/>
      </w:pPr>
      <w:r w:rsidRPr="2007203C">
        <w:rPr>
          <w:rFonts w:eastAsia="Arial" w:cs="Arial"/>
          <w:sz w:val="22"/>
          <w:szCs w:val="22"/>
        </w:rPr>
        <w:t xml:space="preserve">The NHS's founding principles aimed to dismantle the barriers that prevented equitable access to healthcare. Universality meant the NHS would be available to all UK residents regardless of income or social status. Comprehensiveness signified that the service would cover all medical needs, from prevention to treatment. Free access eliminated financial barriers, funded through general taxation (Webster, 2002). These principles not only reflected a commitment to social justice but also recognized healthcare as a public good essential for societal well-being. Bevan famously stated, “The NHS will last as long as there </w:t>
      </w:r>
      <w:proofErr w:type="gramStart"/>
      <w:r w:rsidRPr="2007203C">
        <w:rPr>
          <w:rFonts w:eastAsia="Arial" w:cs="Arial"/>
          <w:sz w:val="22"/>
          <w:szCs w:val="22"/>
        </w:rPr>
        <w:t>are</w:t>
      </w:r>
      <w:proofErr w:type="gramEnd"/>
      <w:r w:rsidRPr="2007203C">
        <w:rPr>
          <w:rFonts w:eastAsia="Arial" w:cs="Arial"/>
          <w:sz w:val="22"/>
          <w:szCs w:val="22"/>
        </w:rPr>
        <w:t xml:space="preserve"> folk left with the faith to fight for it” (Bevan, 1948), highlighting the political and social dedication required to sustain the service. </w:t>
      </w:r>
    </w:p>
    <w:p w14:paraId="35BDD1F8" w14:textId="38B4FB80" w:rsidR="00F35A39" w:rsidRDefault="20CEF871" w:rsidP="2007203C">
      <w:pPr>
        <w:spacing w:after="160"/>
      </w:pPr>
      <w:r w:rsidRPr="2007203C">
        <w:rPr>
          <w:rFonts w:eastAsia="Arial" w:cs="Arial"/>
          <w:sz w:val="22"/>
          <w:szCs w:val="22"/>
        </w:rPr>
        <w:t xml:space="preserve"> The NHS today is a vast, publicly funded system delivering care across England, Scotland, Wales, and Northern Ireland, though each devolved government manages its own NHS arrangements. In England, the NHS is structured around commissioning bodies, provider trusts, and integrated care systems aiming to coordinate services across primary, secondary, and tertiary care (NHS England, 2023). General Practitioners (GPs) act as gatekeepers to specialist services, with hospital trusts providing acute care. Recent reforms have sought to promote integration between health and social care, enhance patient choice, and improve efficiency through digital innovation (Ham et al., 2019). However, the NHS faces significant </w:t>
      </w:r>
      <w:r w:rsidRPr="2007203C">
        <w:rPr>
          <w:rFonts w:eastAsia="Arial" w:cs="Arial"/>
          <w:sz w:val="22"/>
          <w:szCs w:val="22"/>
        </w:rPr>
        <w:lastRenderedPageBreak/>
        <w:t xml:space="preserve">challenges including funding constraints, workforce shortages, and rising demand from an aging population with complex health needs (Appleby et al., 2023). </w:t>
      </w:r>
    </w:p>
    <w:p w14:paraId="3D730142" w14:textId="58025BF5" w:rsidR="00F35A39" w:rsidRDefault="20CEF871" w:rsidP="2007203C">
      <w:pPr>
        <w:spacing w:after="160"/>
      </w:pPr>
      <w:r w:rsidRPr="2007203C">
        <w:rPr>
          <w:rFonts w:eastAsia="Arial" w:cs="Arial"/>
          <w:sz w:val="22"/>
          <w:szCs w:val="22"/>
        </w:rPr>
        <w:t>While the NHS remains a beloved institution, critiques of its current functioning highlight persistent issues. Funding pressures have led to long waiting times and rationing of services, undermining the principle of universal access (Appleby et al., 2023). The complexity of commissioning and provision sometimes causes fragmentation, despite efforts to integrate services (Ham et al., 2019).</w:t>
      </w:r>
      <w:r w:rsidR="30815088" w:rsidRPr="2007203C">
        <w:rPr>
          <w:rFonts w:eastAsia="Arial" w:cs="Arial"/>
          <w:sz w:val="22"/>
          <w:szCs w:val="22"/>
        </w:rPr>
        <w:t xml:space="preserve"> </w:t>
      </w:r>
      <w:r w:rsidRPr="2007203C">
        <w:rPr>
          <w:rFonts w:eastAsia="Arial" w:cs="Arial"/>
          <w:sz w:val="22"/>
          <w:szCs w:val="22"/>
        </w:rPr>
        <w:t xml:space="preserve">Workforce shortages, exacerbated by Brexit and the COVID-19 pandemic, have strained the system’s capacity, affecting both staff morale and patient outcomes (Buchan et al., 2022). Additionally, the NHS grapples with health inequalities, with outcomes varying by socioeconomic status and geography, suggesting that universal access does not always translate to equitable care (Marmot et al., 2020). </w:t>
      </w:r>
    </w:p>
    <w:p w14:paraId="76CAE65E" w14:textId="299FC250" w:rsidR="00F35A39" w:rsidRDefault="20CEF871" w:rsidP="2007203C">
      <w:pPr>
        <w:spacing w:after="160"/>
      </w:pPr>
      <w:r w:rsidRPr="2007203C">
        <w:rPr>
          <w:rFonts w:eastAsia="Arial" w:cs="Arial"/>
          <w:sz w:val="22"/>
          <w:szCs w:val="22"/>
        </w:rPr>
        <w:t>Furthermore, political debates over privatization and funding priorities continue to impact the NHS’s stability. The challenge remains to balance innovation and efficiency with the founding ethos of the NHS—equity, comprehensiveness, and universality. The NHS was born from a historical moment shaped by social reform ideals, wartime experience, and a commitment to universal healthcare. Its founding principles continue to guide its mission, but contemporary challenges require ongoing adaptation and political will. Ensuring the NHS remains sustainable, equitable, and effective will depend on addressing systemic issues while preserving its foundational values.</w:t>
      </w:r>
    </w:p>
    <w:p w14:paraId="380834BE" w14:textId="67BAFCB1" w:rsidR="00F35A39" w:rsidRDefault="00F35A39" w:rsidP="2007203C">
      <w:pPr>
        <w:spacing w:after="160"/>
        <w:rPr>
          <w:rFonts w:eastAsia="Arial" w:cs="Arial"/>
          <w:sz w:val="22"/>
          <w:szCs w:val="22"/>
        </w:rPr>
      </w:pPr>
    </w:p>
    <w:p w14:paraId="3E0B4E49" w14:textId="291FC12A" w:rsidR="00F35A39" w:rsidRDefault="00F35A39" w:rsidP="2007203C">
      <w:pPr>
        <w:spacing w:after="160"/>
        <w:rPr>
          <w:rFonts w:eastAsia="Arial" w:cs="Arial"/>
          <w:sz w:val="22"/>
          <w:szCs w:val="22"/>
        </w:rPr>
      </w:pPr>
    </w:p>
    <w:p w14:paraId="4631F9C0" w14:textId="3CC8B566" w:rsidR="00F35A39" w:rsidRDefault="00F35A39" w:rsidP="2007203C">
      <w:pPr>
        <w:spacing w:after="160"/>
        <w:rPr>
          <w:rFonts w:eastAsia="Arial" w:cs="Arial"/>
          <w:sz w:val="22"/>
          <w:szCs w:val="22"/>
        </w:rPr>
      </w:pPr>
    </w:p>
    <w:p w14:paraId="42DD7FD5" w14:textId="002C946F" w:rsidR="00F35A39" w:rsidRDefault="00F35A39" w:rsidP="2007203C">
      <w:pPr>
        <w:spacing w:after="160"/>
        <w:rPr>
          <w:rFonts w:eastAsia="Arial" w:cs="Arial"/>
          <w:sz w:val="22"/>
          <w:szCs w:val="22"/>
        </w:rPr>
      </w:pPr>
    </w:p>
    <w:p w14:paraId="47E6754C" w14:textId="4D875C0E" w:rsidR="00F35A39" w:rsidRDefault="00F35A39" w:rsidP="2007203C">
      <w:pPr>
        <w:spacing w:after="160"/>
        <w:rPr>
          <w:rFonts w:eastAsia="Arial" w:cs="Arial"/>
          <w:sz w:val="22"/>
          <w:szCs w:val="22"/>
        </w:rPr>
      </w:pPr>
    </w:p>
    <w:p w14:paraId="449236CA" w14:textId="29056CF7" w:rsidR="00F35A39" w:rsidRDefault="00F35A39" w:rsidP="2007203C">
      <w:pPr>
        <w:spacing w:after="160"/>
        <w:rPr>
          <w:rFonts w:eastAsia="Arial" w:cs="Arial"/>
          <w:sz w:val="22"/>
          <w:szCs w:val="22"/>
        </w:rPr>
      </w:pPr>
    </w:p>
    <w:p w14:paraId="10A1D202" w14:textId="7726FD5C" w:rsidR="00F35A39" w:rsidRDefault="00F35A39" w:rsidP="2007203C">
      <w:pPr>
        <w:spacing w:after="160"/>
        <w:rPr>
          <w:rFonts w:eastAsia="Arial" w:cs="Arial"/>
          <w:sz w:val="22"/>
          <w:szCs w:val="22"/>
        </w:rPr>
      </w:pPr>
    </w:p>
    <w:p w14:paraId="341D5655" w14:textId="7F18461B" w:rsidR="00F35A39" w:rsidRDefault="00F35A39" w:rsidP="2007203C">
      <w:pPr>
        <w:spacing w:after="160"/>
        <w:rPr>
          <w:rFonts w:eastAsia="Arial" w:cs="Arial"/>
          <w:sz w:val="22"/>
          <w:szCs w:val="22"/>
        </w:rPr>
      </w:pPr>
    </w:p>
    <w:p w14:paraId="5E016E23" w14:textId="76FAC714" w:rsidR="00F35A39" w:rsidRDefault="00F35A39" w:rsidP="2007203C">
      <w:pPr>
        <w:spacing w:after="160"/>
        <w:rPr>
          <w:rFonts w:eastAsia="Arial" w:cs="Arial"/>
          <w:sz w:val="22"/>
          <w:szCs w:val="22"/>
        </w:rPr>
      </w:pPr>
    </w:p>
    <w:p w14:paraId="5996E7EC" w14:textId="42F10B46" w:rsidR="00F35A39" w:rsidRDefault="00F35A39" w:rsidP="2007203C">
      <w:pPr>
        <w:spacing w:after="160"/>
        <w:rPr>
          <w:rFonts w:eastAsia="Arial" w:cs="Arial"/>
          <w:sz w:val="22"/>
          <w:szCs w:val="22"/>
        </w:rPr>
      </w:pPr>
    </w:p>
    <w:p w14:paraId="687506AD" w14:textId="6CB27781" w:rsidR="00F35A39" w:rsidRDefault="00F35A39" w:rsidP="2007203C">
      <w:pPr>
        <w:spacing w:after="160"/>
        <w:rPr>
          <w:rFonts w:eastAsia="Arial" w:cs="Arial"/>
          <w:sz w:val="22"/>
          <w:szCs w:val="22"/>
        </w:rPr>
      </w:pPr>
    </w:p>
    <w:p w14:paraId="606A633C" w14:textId="6237F5C3" w:rsidR="00F35A39" w:rsidRDefault="00F35A39" w:rsidP="2007203C">
      <w:pPr>
        <w:spacing w:after="160"/>
        <w:rPr>
          <w:rFonts w:eastAsia="Arial" w:cs="Arial"/>
          <w:sz w:val="22"/>
          <w:szCs w:val="22"/>
        </w:rPr>
      </w:pPr>
    </w:p>
    <w:p w14:paraId="73249538" w14:textId="22D9D4FB" w:rsidR="00F35A39" w:rsidRDefault="00F35A39" w:rsidP="2007203C">
      <w:pPr>
        <w:spacing w:after="160"/>
        <w:rPr>
          <w:rFonts w:eastAsia="Arial" w:cs="Arial"/>
          <w:sz w:val="22"/>
          <w:szCs w:val="22"/>
        </w:rPr>
      </w:pPr>
    </w:p>
    <w:p w14:paraId="7658C967" w14:textId="395D34A2" w:rsidR="00F35A39" w:rsidRDefault="00F35A39" w:rsidP="2007203C">
      <w:pPr>
        <w:spacing w:after="160"/>
        <w:rPr>
          <w:rFonts w:eastAsia="Arial" w:cs="Arial"/>
          <w:sz w:val="22"/>
          <w:szCs w:val="22"/>
        </w:rPr>
      </w:pPr>
    </w:p>
    <w:p w14:paraId="75559612" w14:textId="1CB8B8CF" w:rsidR="00F35A39" w:rsidRDefault="64349331" w:rsidP="2007203C">
      <w:pPr>
        <w:spacing w:before="240" w:after="240"/>
        <w:rPr>
          <w:rFonts w:eastAsia="Arial" w:cs="Arial"/>
          <w:sz w:val="22"/>
          <w:szCs w:val="22"/>
        </w:rPr>
      </w:pPr>
      <w:r w:rsidRPr="2007203C">
        <w:rPr>
          <w:rFonts w:eastAsia="Arial" w:cs="Arial"/>
          <w:sz w:val="22"/>
          <w:szCs w:val="22"/>
        </w:rPr>
        <w:t xml:space="preserve">AACE (Association of Ambulance Chief Executives) (n.d.) </w:t>
      </w:r>
      <w:r w:rsidRPr="2007203C">
        <w:rPr>
          <w:rFonts w:eastAsia="Arial" w:cs="Arial"/>
          <w:i/>
          <w:iCs/>
          <w:sz w:val="22"/>
          <w:szCs w:val="22"/>
        </w:rPr>
        <w:t>Hospital handovers</w:t>
      </w:r>
      <w:r w:rsidRPr="2007203C">
        <w:rPr>
          <w:rFonts w:eastAsia="Arial" w:cs="Arial"/>
          <w:sz w:val="22"/>
          <w:szCs w:val="22"/>
        </w:rPr>
        <w:t xml:space="preserve">. Available at: </w:t>
      </w:r>
      <w:hyperlink r:id="rId10">
        <w:r w:rsidRPr="2007203C">
          <w:rPr>
            <w:rStyle w:val="Hyperlink"/>
            <w:rFonts w:eastAsia="Arial" w:cs="Arial"/>
            <w:sz w:val="22"/>
            <w:szCs w:val="22"/>
          </w:rPr>
          <w:t>https://aace.org.uk/hospital-handovers/</w:t>
        </w:r>
      </w:hyperlink>
      <w:r w:rsidRPr="2007203C">
        <w:rPr>
          <w:rFonts w:eastAsia="Arial" w:cs="Arial"/>
          <w:sz w:val="22"/>
          <w:szCs w:val="22"/>
        </w:rPr>
        <w:t xml:space="preserve"> (Accessed: 14 October 2025).</w:t>
      </w:r>
    </w:p>
    <w:p w14:paraId="171D90F5" w14:textId="3AE949C1" w:rsidR="00F35A39" w:rsidRDefault="64349331" w:rsidP="2007203C">
      <w:pPr>
        <w:spacing w:before="240" w:after="240"/>
        <w:rPr>
          <w:rFonts w:eastAsia="Arial" w:cs="Arial"/>
          <w:sz w:val="22"/>
          <w:szCs w:val="22"/>
        </w:rPr>
      </w:pPr>
      <w:r w:rsidRPr="2007203C">
        <w:rPr>
          <w:rFonts w:eastAsia="Arial" w:cs="Arial"/>
          <w:sz w:val="22"/>
          <w:szCs w:val="22"/>
        </w:rPr>
        <w:t xml:space="preserve">Air Ambulances UK (n.d.) </w:t>
      </w:r>
      <w:r w:rsidRPr="2007203C">
        <w:rPr>
          <w:rFonts w:eastAsia="Arial" w:cs="Arial"/>
          <w:i/>
          <w:iCs/>
          <w:sz w:val="22"/>
          <w:szCs w:val="22"/>
        </w:rPr>
        <w:t>Facts</w:t>
      </w:r>
      <w:r w:rsidRPr="2007203C">
        <w:rPr>
          <w:rFonts w:eastAsia="Arial" w:cs="Arial"/>
          <w:sz w:val="22"/>
          <w:szCs w:val="22"/>
        </w:rPr>
        <w:t xml:space="preserve">. Available at: </w:t>
      </w:r>
      <w:hyperlink r:id="rId11">
        <w:r w:rsidRPr="2007203C">
          <w:rPr>
            <w:rStyle w:val="Hyperlink"/>
            <w:rFonts w:eastAsia="Arial" w:cs="Arial"/>
            <w:sz w:val="22"/>
            <w:szCs w:val="22"/>
          </w:rPr>
          <w:t>https://www.airambulancesuk.org/about-us/facts/</w:t>
        </w:r>
      </w:hyperlink>
      <w:r w:rsidRPr="2007203C">
        <w:rPr>
          <w:rFonts w:eastAsia="Arial" w:cs="Arial"/>
          <w:sz w:val="22"/>
          <w:szCs w:val="22"/>
        </w:rPr>
        <w:t xml:space="preserve"> (Accessed: 14 October 2025).</w:t>
      </w:r>
    </w:p>
    <w:p w14:paraId="355470B8" w14:textId="535B2646" w:rsidR="00F35A39" w:rsidRDefault="64349331" w:rsidP="2007203C">
      <w:pPr>
        <w:spacing w:before="240" w:after="240"/>
        <w:rPr>
          <w:rFonts w:eastAsia="Arial" w:cs="Arial"/>
          <w:sz w:val="22"/>
          <w:szCs w:val="22"/>
        </w:rPr>
      </w:pPr>
      <w:r w:rsidRPr="2007203C">
        <w:rPr>
          <w:rFonts w:eastAsia="Arial" w:cs="Arial"/>
          <w:sz w:val="22"/>
          <w:szCs w:val="22"/>
        </w:rPr>
        <w:t xml:space="preserve">Appleby, J., Leng, G. and Marshall, M. (2024) </w:t>
      </w:r>
      <w:r w:rsidRPr="2007203C">
        <w:rPr>
          <w:rFonts w:eastAsia="Arial" w:cs="Arial"/>
          <w:i/>
          <w:iCs/>
          <w:sz w:val="22"/>
          <w:szCs w:val="22"/>
        </w:rPr>
        <w:t>NHS funding for a secure future</w:t>
      </w:r>
      <w:r w:rsidRPr="2007203C">
        <w:rPr>
          <w:rFonts w:eastAsia="Arial" w:cs="Arial"/>
          <w:sz w:val="22"/>
          <w:szCs w:val="22"/>
        </w:rPr>
        <w:t xml:space="preserve">. </w:t>
      </w:r>
      <w:r w:rsidRPr="2007203C">
        <w:rPr>
          <w:rFonts w:eastAsia="Arial" w:cs="Arial"/>
          <w:i/>
          <w:iCs/>
          <w:sz w:val="22"/>
          <w:szCs w:val="22"/>
        </w:rPr>
        <w:t>BMJ</w:t>
      </w:r>
      <w:r w:rsidRPr="2007203C">
        <w:rPr>
          <w:rFonts w:eastAsia="Arial" w:cs="Arial"/>
          <w:sz w:val="22"/>
          <w:szCs w:val="22"/>
        </w:rPr>
        <w:t>, 384, e079341. doi:10.1136/bmj-2024-079341.</w:t>
      </w:r>
    </w:p>
    <w:p w14:paraId="1951F7D3" w14:textId="486DC81C" w:rsidR="00F35A39" w:rsidRDefault="64349331" w:rsidP="2007203C">
      <w:pPr>
        <w:spacing w:before="240" w:after="240"/>
        <w:rPr>
          <w:rFonts w:eastAsia="Arial" w:cs="Arial"/>
          <w:sz w:val="22"/>
          <w:szCs w:val="22"/>
        </w:rPr>
      </w:pPr>
      <w:r w:rsidRPr="2007203C">
        <w:rPr>
          <w:rFonts w:eastAsia="Arial" w:cs="Arial"/>
          <w:sz w:val="22"/>
          <w:szCs w:val="22"/>
        </w:rPr>
        <w:t xml:space="preserve">Beveridge, W. (1942) </w:t>
      </w:r>
      <w:r w:rsidRPr="2007203C">
        <w:rPr>
          <w:rFonts w:eastAsia="Arial" w:cs="Arial"/>
          <w:i/>
          <w:iCs/>
          <w:sz w:val="22"/>
          <w:szCs w:val="22"/>
        </w:rPr>
        <w:t>Social Insurance and Allied Services (The Beveridge Report)</w:t>
      </w:r>
      <w:r w:rsidRPr="2007203C">
        <w:rPr>
          <w:rFonts w:eastAsia="Arial" w:cs="Arial"/>
          <w:sz w:val="22"/>
          <w:szCs w:val="22"/>
        </w:rPr>
        <w:t>. London: His Majesty’s Stationery Office.</w:t>
      </w:r>
    </w:p>
    <w:p w14:paraId="23E7B656" w14:textId="27F3F90C" w:rsidR="00F35A39" w:rsidRDefault="64349331" w:rsidP="2007203C">
      <w:pPr>
        <w:spacing w:before="240" w:after="240"/>
        <w:rPr>
          <w:rFonts w:eastAsia="Arial" w:cs="Arial"/>
          <w:sz w:val="22"/>
          <w:szCs w:val="22"/>
        </w:rPr>
      </w:pPr>
      <w:r w:rsidRPr="2007203C">
        <w:rPr>
          <w:rFonts w:eastAsia="Arial" w:cs="Arial"/>
          <w:sz w:val="22"/>
          <w:szCs w:val="22"/>
        </w:rPr>
        <w:t xml:space="preserve">Briggs, A.D.M. (2020) ‘Integrated health and care systems in England: can they help coordinate and improve services?’, </w:t>
      </w:r>
      <w:r w:rsidRPr="2007203C">
        <w:rPr>
          <w:rFonts w:eastAsia="Arial" w:cs="Arial"/>
          <w:i/>
          <w:iCs/>
          <w:sz w:val="22"/>
          <w:szCs w:val="22"/>
        </w:rPr>
        <w:t>Journal of Integrated Care Systems</w:t>
      </w:r>
      <w:r w:rsidRPr="2007203C">
        <w:rPr>
          <w:rFonts w:eastAsia="Arial" w:cs="Arial"/>
          <w:sz w:val="22"/>
          <w:szCs w:val="22"/>
        </w:rPr>
        <w:t>, (article published online).</w:t>
      </w:r>
    </w:p>
    <w:p w14:paraId="16808390" w14:textId="45FABDF6" w:rsidR="00F35A39" w:rsidRDefault="64349331" w:rsidP="2007203C">
      <w:pPr>
        <w:spacing w:before="240" w:after="240"/>
        <w:rPr>
          <w:rFonts w:eastAsia="Arial" w:cs="Arial"/>
          <w:sz w:val="22"/>
          <w:szCs w:val="22"/>
        </w:rPr>
      </w:pPr>
      <w:r w:rsidRPr="2007203C">
        <w:rPr>
          <w:rFonts w:eastAsia="Arial" w:cs="Arial"/>
          <w:sz w:val="22"/>
          <w:szCs w:val="22"/>
        </w:rPr>
        <w:t xml:space="preserve">Britannica (2025) </w:t>
      </w:r>
      <w:r w:rsidRPr="2007203C">
        <w:rPr>
          <w:rFonts w:eastAsia="Arial" w:cs="Arial"/>
          <w:i/>
          <w:iCs/>
          <w:sz w:val="22"/>
          <w:szCs w:val="22"/>
        </w:rPr>
        <w:t>Dominique-Jean, Baron Larrey</w:t>
      </w:r>
      <w:r w:rsidRPr="2007203C">
        <w:rPr>
          <w:rFonts w:eastAsia="Arial" w:cs="Arial"/>
          <w:sz w:val="22"/>
          <w:szCs w:val="22"/>
        </w:rPr>
        <w:t xml:space="preserve">. Available at: </w:t>
      </w:r>
      <w:hyperlink r:id="rId12">
        <w:r w:rsidRPr="2007203C">
          <w:rPr>
            <w:rStyle w:val="Hyperlink"/>
            <w:rFonts w:eastAsia="Arial" w:cs="Arial"/>
            <w:sz w:val="22"/>
            <w:szCs w:val="22"/>
          </w:rPr>
          <w:t>https://www.britannica.com/biography/Dominique-Jean-Baron-Larrey</w:t>
        </w:r>
      </w:hyperlink>
      <w:r w:rsidRPr="2007203C">
        <w:rPr>
          <w:rFonts w:eastAsia="Arial" w:cs="Arial"/>
          <w:sz w:val="22"/>
          <w:szCs w:val="22"/>
        </w:rPr>
        <w:t xml:space="preserve"> (Accessed: 18 October 2025).</w:t>
      </w:r>
    </w:p>
    <w:p w14:paraId="1E33B24A" w14:textId="2D4EEE44" w:rsidR="00F35A39" w:rsidRDefault="64349331" w:rsidP="2007203C">
      <w:pPr>
        <w:spacing w:before="240" w:after="240"/>
        <w:rPr>
          <w:rFonts w:eastAsia="Arial" w:cs="Arial"/>
          <w:sz w:val="22"/>
          <w:szCs w:val="22"/>
        </w:rPr>
      </w:pPr>
      <w:r w:rsidRPr="2007203C">
        <w:rPr>
          <w:rFonts w:eastAsia="Arial" w:cs="Arial"/>
          <w:sz w:val="22"/>
          <w:szCs w:val="22"/>
        </w:rPr>
        <w:t xml:space="preserve">Buchan, J., Gershlick, B. and Charlesworth, A. (2022) </w:t>
      </w:r>
      <w:r w:rsidRPr="2007203C">
        <w:rPr>
          <w:rFonts w:eastAsia="Arial" w:cs="Arial"/>
          <w:i/>
          <w:iCs/>
          <w:sz w:val="22"/>
          <w:szCs w:val="22"/>
        </w:rPr>
        <w:t>Falling short: the NHS workforce challenge</w:t>
      </w:r>
      <w:r w:rsidRPr="2007203C">
        <w:rPr>
          <w:rFonts w:eastAsia="Arial" w:cs="Arial"/>
          <w:sz w:val="22"/>
          <w:szCs w:val="22"/>
        </w:rPr>
        <w:t>. London: The Health Foundation.</w:t>
      </w:r>
    </w:p>
    <w:p w14:paraId="3ED3C993" w14:textId="54090304" w:rsidR="00F35A39" w:rsidRDefault="64349331" w:rsidP="2007203C">
      <w:pPr>
        <w:spacing w:before="240" w:after="240"/>
        <w:rPr>
          <w:rFonts w:eastAsia="Arial" w:cs="Arial"/>
          <w:sz w:val="22"/>
          <w:szCs w:val="22"/>
        </w:rPr>
      </w:pPr>
      <w:r w:rsidRPr="2007203C">
        <w:rPr>
          <w:rFonts w:eastAsia="Arial" w:cs="Arial"/>
          <w:sz w:val="22"/>
          <w:szCs w:val="22"/>
        </w:rPr>
        <w:t xml:space="preserve">Cook, R.M., Smith, T., Jones, P. and Taylor, L. (2025) ‘AmReS: an observational retrospective time-to-event analysis of staff voluntary turnover in an English ambulance service’, </w:t>
      </w:r>
      <w:r w:rsidRPr="2007203C">
        <w:rPr>
          <w:rFonts w:eastAsia="Arial" w:cs="Arial"/>
          <w:i/>
          <w:iCs/>
          <w:sz w:val="22"/>
          <w:szCs w:val="22"/>
        </w:rPr>
        <w:t>BMJ Open</w:t>
      </w:r>
      <w:r w:rsidRPr="2007203C">
        <w:rPr>
          <w:rFonts w:eastAsia="Arial" w:cs="Arial"/>
          <w:sz w:val="22"/>
          <w:szCs w:val="22"/>
        </w:rPr>
        <w:t xml:space="preserve">, 15(4), e098174. Available at: </w:t>
      </w:r>
      <w:hyperlink r:id="rId13">
        <w:r w:rsidRPr="2007203C">
          <w:rPr>
            <w:rStyle w:val="Hyperlink"/>
            <w:rFonts w:eastAsia="Arial" w:cs="Arial"/>
            <w:sz w:val="22"/>
            <w:szCs w:val="22"/>
          </w:rPr>
          <w:t>https://bmjopen.bmj.com/content/15/4/e098174</w:t>
        </w:r>
      </w:hyperlink>
      <w:r w:rsidRPr="2007203C">
        <w:rPr>
          <w:rFonts w:eastAsia="Arial" w:cs="Arial"/>
          <w:sz w:val="22"/>
          <w:szCs w:val="22"/>
        </w:rPr>
        <w:t xml:space="preserve"> (Accessed: 17 October 2025).</w:t>
      </w:r>
    </w:p>
    <w:p w14:paraId="47247597" w14:textId="30322213" w:rsidR="00F35A39" w:rsidRDefault="64349331" w:rsidP="2007203C">
      <w:pPr>
        <w:spacing w:before="240" w:after="240"/>
        <w:rPr>
          <w:rFonts w:eastAsia="Arial" w:cs="Arial"/>
          <w:sz w:val="22"/>
          <w:szCs w:val="22"/>
        </w:rPr>
      </w:pPr>
      <w:r w:rsidRPr="2007203C">
        <w:rPr>
          <w:rFonts w:eastAsia="Arial" w:cs="Arial"/>
          <w:sz w:val="22"/>
          <w:szCs w:val="22"/>
        </w:rPr>
        <w:t xml:space="preserve">Delamothe, T. (2008) ‘Founding principles—what did the NHS really stand for?’, </w:t>
      </w:r>
      <w:r w:rsidRPr="2007203C">
        <w:rPr>
          <w:rFonts w:eastAsia="Arial" w:cs="Arial"/>
          <w:i/>
          <w:iCs/>
          <w:sz w:val="22"/>
          <w:szCs w:val="22"/>
        </w:rPr>
        <w:t>BMJ</w:t>
      </w:r>
      <w:r w:rsidRPr="2007203C">
        <w:rPr>
          <w:rFonts w:eastAsia="Arial" w:cs="Arial"/>
          <w:sz w:val="22"/>
          <w:szCs w:val="22"/>
        </w:rPr>
        <w:t>, 336(7659), pp. 1421–1423.</w:t>
      </w:r>
    </w:p>
    <w:p w14:paraId="5C31F5E6" w14:textId="79F840B0" w:rsidR="00F35A39" w:rsidRDefault="64349331" w:rsidP="2007203C">
      <w:pPr>
        <w:spacing w:before="240" w:after="240"/>
        <w:rPr>
          <w:rFonts w:eastAsia="Arial" w:cs="Arial"/>
          <w:sz w:val="22"/>
          <w:szCs w:val="22"/>
        </w:rPr>
      </w:pPr>
      <w:r w:rsidRPr="2007203C">
        <w:rPr>
          <w:rFonts w:eastAsia="Arial" w:cs="Arial"/>
          <w:sz w:val="22"/>
          <w:szCs w:val="22"/>
        </w:rPr>
        <w:t xml:space="preserve">Ham, C., Dixon, J. and Chantler, C. (2008) ‘Clinically integrated systems: the future of NHS reform in England’, </w:t>
      </w:r>
      <w:r w:rsidRPr="2007203C">
        <w:rPr>
          <w:rFonts w:eastAsia="Arial" w:cs="Arial"/>
          <w:i/>
          <w:iCs/>
          <w:sz w:val="22"/>
          <w:szCs w:val="22"/>
        </w:rPr>
        <w:t>Health Services Management Research</w:t>
      </w:r>
      <w:r w:rsidRPr="2007203C">
        <w:rPr>
          <w:rFonts w:eastAsia="Arial" w:cs="Arial"/>
          <w:sz w:val="22"/>
          <w:szCs w:val="22"/>
        </w:rPr>
        <w:t>, 21(4), pp. 204–210. doi:10.1258/hsmr.2008.008020.</w:t>
      </w:r>
    </w:p>
    <w:p w14:paraId="47CCC4BB" w14:textId="6002B071" w:rsidR="00F35A39" w:rsidRDefault="64349331" w:rsidP="2007203C">
      <w:pPr>
        <w:spacing w:before="240" w:after="240"/>
        <w:rPr>
          <w:rFonts w:eastAsia="Arial" w:cs="Arial"/>
          <w:sz w:val="22"/>
          <w:szCs w:val="22"/>
        </w:rPr>
      </w:pPr>
      <w:r w:rsidRPr="2007203C">
        <w:rPr>
          <w:rFonts w:eastAsia="Arial" w:cs="Arial"/>
          <w:sz w:val="22"/>
          <w:szCs w:val="22"/>
        </w:rPr>
        <w:lastRenderedPageBreak/>
        <w:t xml:space="preserve">House of Commons Library (2025) </w:t>
      </w:r>
      <w:r w:rsidRPr="2007203C">
        <w:rPr>
          <w:rFonts w:eastAsia="Arial" w:cs="Arial"/>
          <w:i/>
          <w:iCs/>
          <w:sz w:val="22"/>
          <w:szCs w:val="22"/>
        </w:rPr>
        <w:t>NHS key statistics: England</w:t>
      </w:r>
      <w:r w:rsidRPr="2007203C">
        <w:rPr>
          <w:rFonts w:eastAsia="Arial" w:cs="Arial"/>
          <w:sz w:val="22"/>
          <w:szCs w:val="22"/>
        </w:rPr>
        <w:t xml:space="preserve">. CBP-7281. Available at: </w:t>
      </w:r>
      <w:hyperlink r:id="rId14">
        <w:r w:rsidRPr="2007203C">
          <w:rPr>
            <w:rStyle w:val="Hyperlink"/>
            <w:rFonts w:eastAsia="Arial" w:cs="Arial"/>
            <w:sz w:val="22"/>
            <w:szCs w:val="22"/>
          </w:rPr>
          <w:t>https://commonslibrary.parliament.uk/research-briefings/cbp-7281/</w:t>
        </w:r>
      </w:hyperlink>
      <w:r w:rsidRPr="2007203C">
        <w:rPr>
          <w:rFonts w:eastAsia="Arial" w:cs="Arial"/>
          <w:sz w:val="22"/>
          <w:szCs w:val="22"/>
        </w:rPr>
        <w:t xml:space="preserve"> (Accessed: 14 October 2025).</w:t>
      </w:r>
    </w:p>
    <w:p w14:paraId="3878CF34" w14:textId="6268E3F6" w:rsidR="00F35A39" w:rsidRDefault="64349331" w:rsidP="2007203C">
      <w:pPr>
        <w:spacing w:before="240" w:after="240"/>
        <w:rPr>
          <w:rFonts w:eastAsia="Arial" w:cs="Arial"/>
          <w:sz w:val="22"/>
          <w:szCs w:val="22"/>
        </w:rPr>
      </w:pPr>
      <w:r w:rsidRPr="2007203C">
        <w:rPr>
          <w:rFonts w:eastAsia="Arial" w:cs="Arial"/>
          <w:sz w:val="22"/>
          <w:szCs w:val="22"/>
        </w:rPr>
        <w:t xml:space="preserve">Marmot, M., Allen, J., Goldblatt, P., Boyce, T., McNeish, D., Grady, M. and Geddes, I. (2020) </w:t>
      </w:r>
      <w:r w:rsidRPr="2007203C">
        <w:rPr>
          <w:rFonts w:eastAsia="Arial" w:cs="Arial"/>
          <w:i/>
          <w:iCs/>
          <w:sz w:val="22"/>
          <w:szCs w:val="22"/>
        </w:rPr>
        <w:t>Health Equity in England: The Marmot Review 10 Years On</w:t>
      </w:r>
      <w:r w:rsidRPr="2007203C">
        <w:rPr>
          <w:rFonts w:eastAsia="Arial" w:cs="Arial"/>
          <w:sz w:val="22"/>
          <w:szCs w:val="22"/>
        </w:rPr>
        <w:t>. London: Institute of Health Equity.</w:t>
      </w:r>
    </w:p>
    <w:p w14:paraId="3DE83AE5" w14:textId="5261703D" w:rsidR="00F35A39" w:rsidRDefault="64349331" w:rsidP="2007203C">
      <w:pPr>
        <w:spacing w:before="240" w:after="240"/>
        <w:rPr>
          <w:rFonts w:eastAsia="Arial" w:cs="Arial"/>
          <w:sz w:val="22"/>
          <w:szCs w:val="22"/>
        </w:rPr>
      </w:pPr>
      <w:r w:rsidRPr="2007203C">
        <w:rPr>
          <w:rFonts w:eastAsia="Arial" w:cs="Arial"/>
          <w:sz w:val="22"/>
          <w:szCs w:val="22"/>
        </w:rPr>
        <w:t xml:space="preserve">McKenna, C. (2023) ‘Michael Marmot: the health of nations’, </w:t>
      </w:r>
      <w:r w:rsidRPr="2007203C">
        <w:rPr>
          <w:rFonts w:eastAsia="Arial" w:cs="Arial"/>
          <w:i/>
          <w:iCs/>
          <w:sz w:val="22"/>
          <w:szCs w:val="22"/>
        </w:rPr>
        <w:t>Journal of Public Health</w:t>
      </w:r>
      <w:r w:rsidRPr="2007203C">
        <w:rPr>
          <w:rFonts w:eastAsia="Arial" w:cs="Arial"/>
          <w:sz w:val="22"/>
          <w:szCs w:val="22"/>
        </w:rPr>
        <w:t>, 45(2).</w:t>
      </w:r>
    </w:p>
    <w:p w14:paraId="2119ADE4" w14:textId="35BCF05F" w:rsidR="00F35A39" w:rsidRDefault="64349331" w:rsidP="2007203C">
      <w:pPr>
        <w:spacing w:before="240" w:after="240"/>
        <w:rPr>
          <w:rFonts w:eastAsia="Arial" w:cs="Arial"/>
          <w:sz w:val="22"/>
          <w:szCs w:val="22"/>
        </w:rPr>
      </w:pPr>
      <w:r w:rsidRPr="2007203C">
        <w:rPr>
          <w:rFonts w:eastAsia="Arial" w:cs="Arial"/>
          <w:sz w:val="22"/>
          <w:szCs w:val="22"/>
        </w:rPr>
        <w:t xml:space="preserve">NAO (National Audit Office) (2023) </w:t>
      </w:r>
      <w:r w:rsidRPr="2007203C">
        <w:rPr>
          <w:rFonts w:eastAsia="Arial" w:cs="Arial"/>
          <w:i/>
          <w:iCs/>
          <w:sz w:val="22"/>
          <w:szCs w:val="22"/>
        </w:rPr>
        <w:t>Access to unplanned or urgent care (press release)</w:t>
      </w:r>
      <w:r w:rsidRPr="2007203C">
        <w:rPr>
          <w:rFonts w:eastAsia="Arial" w:cs="Arial"/>
          <w:sz w:val="22"/>
          <w:szCs w:val="22"/>
        </w:rPr>
        <w:t xml:space="preserve">. Available at: </w:t>
      </w:r>
      <w:hyperlink r:id="rId15">
        <w:r w:rsidRPr="2007203C">
          <w:rPr>
            <w:rStyle w:val="Hyperlink"/>
            <w:rFonts w:eastAsia="Arial" w:cs="Arial"/>
            <w:sz w:val="22"/>
            <w:szCs w:val="22"/>
          </w:rPr>
          <w:t>https://www.nao.org.uk/press-releases/access-to-unplanned-or-urgent-care/</w:t>
        </w:r>
      </w:hyperlink>
      <w:r w:rsidRPr="2007203C">
        <w:rPr>
          <w:rFonts w:eastAsia="Arial" w:cs="Arial"/>
          <w:sz w:val="22"/>
          <w:szCs w:val="22"/>
        </w:rPr>
        <w:t xml:space="preserve"> (Accessed: 14 October 2025).</w:t>
      </w:r>
    </w:p>
    <w:p w14:paraId="54CD72B3" w14:textId="261FE1E9" w:rsidR="00F35A39" w:rsidRDefault="64349331" w:rsidP="2007203C">
      <w:pPr>
        <w:spacing w:before="240" w:after="240"/>
        <w:rPr>
          <w:rFonts w:eastAsia="Arial" w:cs="Arial"/>
          <w:sz w:val="22"/>
          <w:szCs w:val="22"/>
        </w:rPr>
      </w:pPr>
      <w:r w:rsidRPr="2007203C">
        <w:rPr>
          <w:rFonts w:eastAsia="Arial" w:cs="Arial"/>
          <w:sz w:val="22"/>
          <w:szCs w:val="22"/>
        </w:rPr>
        <w:t xml:space="preserve">NHS England (2024b) </w:t>
      </w:r>
      <w:r w:rsidRPr="2007203C">
        <w:rPr>
          <w:rFonts w:eastAsia="Arial" w:cs="Arial"/>
          <w:i/>
          <w:iCs/>
          <w:sz w:val="22"/>
          <w:szCs w:val="22"/>
        </w:rPr>
        <w:t>Monthly operational statistics – August 2024</w:t>
      </w:r>
      <w:r w:rsidRPr="2007203C">
        <w:rPr>
          <w:rFonts w:eastAsia="Arial" w:cs="Arial"/>
          <w:sz w:val="22"/>
          <w:szCs w:val="22"/>
        </w:rPr>
        <w:t xml:space="preserve">. Available at: </w:t>
      </w:r>
      <w:hyperlink r:id="rId16">
        <w:r w:rsidRPr="2007203C">
          <w:rPr>
            <w:rStyle w:val="Hyperlink"/>
            <w:rFonts w:eastAsia="Arial" w:cs="Arial"/>
            <w:sz w:val="22"/>
            <w:szCs w:val="22"/>
          </w:rPr>
          <w:t>https://www.england.nhs.uk/long-read/monthly-operational-statistics-august-2024/</w:t>
        </w:r>
      </w:hyperlink>
      <w:r w:rsidRPr="2007203C">
        <w:rPr>
          <w:rFonts w:eastAsia="Arial" w:cs="Arial"/>
          <w:sz w:val="22"/>
          <w:szCs w:val="22"/>
        </w:rPr>
        <w:t xml:space="preserve"> (Accessed: 15 October 2025).</w:t>
      </w:r>
    </w:p>
    <w:p w14:paraId="5E21082B" w14:textId="795467F5" w:rsidR="00F35A39" w:rsidRDefault="64349331" w:rsidP="2007203C">
      <w:pPr>
        <w:spacing w:before="240" w:after="240"/>
        <w:rPr>
          <w:rFonts w:eastAsia="Arial" w:cs="Arial"/>
          <w:sz w:val="22"/>
          <w:szCs w:val="22"/>
        </w:rPr>
      </w:pPr>
      <w:r w:rsidRPr="2007203C">
        <w:rPr>
          <w:rFonts w:eastAsia="Arial" w:cs="Arial"/>
          <w:sz w:val="22"/>
          <w:szCs w:val="22"/>
        </w:rPr>
        <w:t xml:space="preserve">NHS England (2024c) </w:t>
      </w:r>
      <w:r w:rsidRPr="2007203C">
        <w:rPr>
          <w:rFonts w:eastAsia="Arial" w:cs="Arial"/>
          <w:i/>
          <w:iCs/>
          <w:sz w:val="22"/>
          <w:szCs w:val="22"/>
        </w:rPr>
        <w:t>Monthly operational statistics – December 2024</w:t>
      </w:r>
      <w:r w:rsidRPr="2007203C">
        <w:rPr>
          <w:rFonts w:eastAsia="Arial" w:cs="Arial"/>
          <w:sz w:val="22"/>
          <w:szCs w:val="22"/>
        </w:rPr>
        <w:t xml:space="preserve">. Available at: </w:t>
      </w:r>
      <w:hyperlink r:id="rId17">
        <w:r w:rsidRPr="2007203C">
          <w:rPr>
            <w:rStyle w:val="Hyperlink"/>
            <w:rFonts w:eastAsia="Arial" w:cs="Arial"/>
            <w:sz w:val="22"/>
            <w:szCs w:val="22"/>
          </w:rPr>
          <w:t>https://www.england.nhs.uk/long-read/monthly-operational-statistics-december-2024/</w:t>
        </w:r>
      </w:hyperlink>
      <w:r w:rsidRPr="2007203C">
        <w:rPr>
          <w:rFonts w:eastAsia="Arial" w:cs="Arial"/>
          <w:sz w:val="22"/>
          <w:szCs w:val="22"/>
        </w:rPr>
        <w:t xml:space="preserve"> (Accessed: 13 October 2025).</w:t>
      </w:r>
    </w:p>
    <w:p w14:paraId="7B964C68" w14:textId="77498121" w:rsidR="00F35A39" w:rsidRDefault="64349331" w:rsidP="2007203C">
      <w:pPr>
        <w:spacing w:before="240" w:after="240"/>
        <w:rPr>
          <w:rFonts w:eastAsia="Arial" w:cs="Arial"/>
          <w:sz w:val="22"/>
          <w:szCs w:val="22"/>
        </w:rPr>
      </w:pPr>
      <w:r w:rsidRPr="2007203C">
        <w:rPr>
          <w:rFonts w:eastAsia="Arial" w:cs="Arial"/>
          <w:sz w:val="22"/>
          <w:szCs w:val="22"/>
        </w:rPr>
        <w:t xml:space="preserve">NHS England (2025a) </w:t>
      </w:r>
      <w:r w:rsidRPr="2007203C">
        <w:rPr>
          <w:rFonts w:eastAsia="Arial" w:cs="Arial"/>
          <w:i/>
          <w:iCs/>
          <w:sz w:val="22"/>
          <w:szCs w:val="22"/>
        </w:rPr>
        <w:t>Ambulance Quality Indicators – Statistics (AQI)</w:t>
      </w:r>
      <w:r w:rsidRPr="2007203C">
        <w:rPr>
          <w:rFonts w:eastAsia="Arial" w:cs="Arial"/>
          <w:sz w:val="22"/>
          <w:szCs w:val="22"/>
        </w:rPr>
        <w:t xml:space="preserve">. Available at: </w:t>
      </w:r>
      <w:hyperlink r:id="rId18">
        <w:r w:rsidRPr="2007203C">
          <w:rPr>
            <w:rStyle w:val="Hyperlink"/>
            <w:rFonts w:eastAsia="Arial" w:cs="Arial"/>
            <w:sz w:val="22"/>
            <w:szCs w:val="22"/>
          </w:rPr>
          <w:t>https://www.england.nhs.uk/statistics/statistical-work-areas/ambulance-quality-indicators/</w:t>
        </w:r>
      </w:hyperlink>
      <w:r w:rsidRPr="2007203C">
        <w:rPr>
          <w:rFonts w:eastAsia="Arial" w:cs="Arial"/>
          <w:sz w:val="22"/>
          <w:szCs w:val="22"/>
        </w:rPr>
        <w:t xml:space="preserve"> (Accessed: 16 October 2025).</w:t>
      </w:r>
    </w:p>
    <w:p w14:paraId="720660D3" w14:textId="588B0171" w:rsidR="00F35A39" w:rsidRDefault="64349331" w:rsidP="2007203C">
      <w:pPr>
        <w:spacing w:before="240" w:after="240"/>
        <w:rPr>
          <w:rFonts w:eastAsia="Arial" w:cs="Arial"/>
          <w:sz w:val="22"/>
          <w:szCs w:val="22"/>
        </w:rPr>
      </w:pPr>
      <w:r w:rsidRPr="2007203C">
        <w:rPr>
          <w:rFonts w:eastAsia="Arial" w:cs="Arial"/>
          <w:sz w:val="22"/>
          <w:szCs w:val="22"/>
        </w:rPr>
        <w:t xml:space="preserve">Nuffield Trust (2025) </w:t>
      </w:r>
      <w:r w:rsidRPr="2007203C">
        <w:rPr>
          <w:rFonts w:eastAsia="Arial" w:cs="Arial"/>
          <w:i/>
          <w:iCs/>
          <w:sz w:val="22"/>
          <w:szCs w:val="22"/>
        </w:rPr>
        <w:t>Ambulance response times</w:t>
      </w:r>
      <w:r w:rsidRPr="2007203C">
        <w:rPr>
          <w:rFonts w:eastAsia="Arial" w:cs="Arial"/>
          <w:sz w:val="22"/>
          <w:szCs w:val="22"/>
        </w:rPr>
        <w:t xml:space="preserve">. Available at: </w:t>
      </w:r>
      <w:hyperlink r:id="rId19">
        <w:r w:rsidRPr="2007203C">
          <w:rPr>
            <w:rStyle w:val="Hyperlink"/>
            <w:rFonts w:eastAsia="Arial" w:cs="Arial"/>
            <w:sz w:val="22"/>
            <w:szCs w:val="22"/>
          </w:rPr>
          <w:t>https://www.nuffieldtrust.org.uk/resource/ambulance-response-times</w:t>
        </w:r>
      </w:hyperlink>
      <w:r w:rsidRPr="2007203C">
        <w:rPr>
          <w:rFonts w:eastAsia="Arial" w:cs="Arial"/>
          <w:sz w:val="22"/>
          <w:szCs w:val="22"/>
        </w:rPr>
        <w:t xml:space="preserve"> (Accessed: 14 October 2025).</w:t>
      </w:r>
    </w:p>
    <w:p w14:paraId="1431A565" w14:textId="79B46602" w:rsidR="00F35A39" w:rsidRDefault="64349331" w:rsidP="2007203C">
      <w:pPr>
        <w:spacing w:before="240" w:after="240"/>
        <w:rPr>
          <w:rFonts w:eastAsia="Arial" w:cs="Arial"/>
          <w:sz w:val="22"/>
          <w:szCs w:val="22"/>
        </w:rPr>
      </w:pPr>
      <w:r w:rsidRPr="2007203C">
        <w:rPr>
          <w:rFonts w:eastAsia="Arial" w:cs="Arial"/>
          <w:sz w:val="22"/>
          <w:szCs w:val="22"/>
        </w:rPr>
        <w:t xml:space="preserve">Sheard, S. (2011) ‘A creature of its time: the critical history of the creation of the British NHS’, </w:t>
      </w:r>
      <w:r w:rsidRPr="2007203C">
        <w:rPr>
          <w:rFonts w:eastAsia="Arial" w:cs="Arial"/>
          <w:i/>
          <w:iCs/>
          <w:sz w:val="22"/>
          <w:szCs w:val="22"/>
        </w:rPr>
        <w:t>Michael Quarterly</w:t>
      </w:r>
      <w:r w:rsidRPr="2007203C">
        <w:rPr>
          <w:rFonts w:eastAsia="Arial" w:cs="Arial"/>
          <w:sz w:val="22"/>
          <w:szCs w:val="22"/>
        </w:rPr>
        <w:t>, 8(4), pp. 428–441.</w:t>
      </w:r>
    </w:p>
    <w:p w14:paraId="1EC9EF41" w14:textId="3ECAD4BC" w:rsidR="00F35A39" w:rsidRDefault="64349331" w:rsidP="2007203C">
      <w:pPr>
        <w:spacing w:before="240" w:after="240"/>
        <w:rPr>
          <w:rFonts w:eastAsia="Arial" w:cs="Arial"/>
          <w:sz w:val="22"/>
          <w:szCs w:val="22"/>
        </w:rPr>
      </w:pPr>
      <w:r w:rsidRPr="2007203C">
        <w:rPr>
          <w:rFonts w:eastAsia="Arial" w:cs="Arial"/>
          <w:sz w:val="22"/>
          <w:szCs w:val="22"/>
        </w:rPr>
        <w:t xml:space="preserve">Timmins, N. (2001) </w:t>
      </w:r>
      <w:r w:rsidRPr="2007203C">
        <w:rPr>
          <w:rFonts w:eastAsia="Arial" w:cs="Arial"/>
          <w:i/>
          <w:iCs/>
          <w:sz w:val="22"/>
          <w:szCs w:val="22"/>
        </w:rPr>
        <w:t>The Five Giants: A Biography of the Welfare State</w:t>
      </w:r>
      <w:r w:rsidRPr="2007203C">
        <w:rPr>
          <w:rFonts w:eastAsia="Arial" w:cs="Arial"/>
          <w:sz w:val="22"/>
          <w:szCs w:val="22"/>
        </w:rPr>
        <w:t>. Rev. edn. London: HarperCollins.</w:t>
      </w:r>
    </w:p>
    <w:p w14:paraId="10B9EC5A" w14:textId="1A7FA3FD" w:rsidR="00F35A39" w:rsidRDefault="64349331" w:rsidP="2007203C">
      <w:pPr>
        <w:spacing w:before="240" w:after="240"/>
        <w:rPr>
          <w:rFonts w:eastAsia="Arial" w:cs="Arial"/>
          <w:sz w:val="22"/>
          <w:szCs w:val="22"/>
        </w:rPr>
      </w:pPr>
      <w:r w:rsidRPr="2007203C">
        <w:rPr>
          <w:rFonts w:eastAsia="Arial" w:cs="Arial"/>
          <w:sz w:val="22"/>
          <w:szCs w:val="22"/>
        </w:rPr>
        <w:t xml:space="preserve">Webster, C. (2002) </w:t>
      </w:r>
      <w:r w:rsidRPr="2007203C">
        <w:rPr>
          <w:rFonts w:eastAsia="Arial" w:cs="Arial"/>
          <w:i/>
          <w:iCs/>
          <w:sz w:val="22"/>
          <w:szCs w:val="22"/>
        </w:rPr>
        <w:t>The National Health Service: A Political History</w:t>
      </w:r>
      <w:r w:rsidRPr="2007203C">
        <w:rPr>
          <w:rFonts w:eastAsia="Arial" w:cs="Arial"/>
          <w:sz w:val="22"/>
          <w:szCs w:val="22"/>
        </w:rPr>
        <w:t>. 2nd edn. Oxford: Oxford University Press.</w:t>
      </w:r>
    </w:p>
    <w:p w14:paraId="2EB4A211" w14:textId="34D135D1" w:rsidR="00F35A39" w:rsidRDefault="64349331" w:rsidP="2007203C">
      <w:pPr>
        <w:spacing w:before="240" w:after="240"/>
        <w:rPr>
          <w:rFonts w:eastAsia="Arial" w:cs="Arial"/>
          <w:sz w:val="22"/>
          <w:szCs w:val="22"/>
        </w:rPr>
      </w:pPr>
      <w:r w:rsidRPr="2007203C">
        <w:rPr>
          <w:rFonts w:eastAsia="Arial" w:cs="Arial"/>
          <w:sz w:val="22"/>
          <w:szCs w:val="22"/>
        </w:rPr>
        <w:lastRenderedPageBreak/>
        <w:t xml:space="preserve">World Health Organization (WHO) (2025) </w:t>
      </w:r>
      <w:r w:rsidRPr="2007203C">
        <w:rPr>
          <w:rFonts w:eastAsia="Arial" w:cs="Arial"/>
          <w:i/>
          <w:iCs/>
          <w:sz w:val="22"/>
          <w:szCs w:val="22"/>
        </w:rPr>
        <w:t>Prehospital emergency care – operational guidance for ambulance systems</w:t>
      </w:r>
      <w:r w:rsidRPr="2007203C">
        <w:rPr>
          <w:rFonts w:eastAsia="Arial" w:cs="Arial"/>
          <w:sz w:val="22"/>
          <w:szCs w:val="22"/>
        </w:rPr>
        <w:t xml:space="preserve">. Geneva: World Health Organization. Available at: </w:t>
      </w:r>
      <w:hyperlink r:id="rId20">
        <w:r w:rsidRPr="2007203C">
          <w:rPr>
            <w:rStyle w:val="Hyperlink"/>
            <w:rFonts w:eastAsia="Arial" w:cs="Arial"/>
            <w:sz w:val="22"/>
            <w:szCs w:val="22"/>
          </w:rPr>
          <w:t>https://www.who.int/publications/i/item/9789240114067</w:t>
        </w:r>
      </w:hyperlink>
      <w:r w:rsidRPr="2007203C">
        <w:rPr>
          <w:rFonts w:eastAsia="Arial" w:cs="Arial"/>
          <w:sz w:val="22"/>
          <w:szCs w:val="22"/>
        </w:rPr>
        <w:t xml:space="preserve"> (Accessed: 17 October 2025</w:t>
      </w:r>
      <w:r w:rsidR="212B0949" w:rsidRPr="2007203C">
        <w:rPr>
          <w:rFonts w:eastAsia="Arial" w:cs="Arial"/>
          <w:sz w:val="22"/>
          <w:szCs w:val="22"/>
        </w:rPr>
        <w:t>).</w:t>
      </w:r>
    </w:p>
    <w:p w14:paraId="043FE5CC" w14:textId="5461A4AF" w:rsidR="009D1251" w:rsidRDefault="009D1251" w:rsidP="2007203C"/>
    <w:sectPr w:rsidR="009D1251" w:rsidSect="00F35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81DB8"/>
    <w:rsid w:val="000D454D"/>
    <w:rsid w:val="00104C1B"/>
    <w:rsid w:val="00123666"/>
    <w:rsid w:val="002528B5"/>
    <w:rsid w:val="00283952"/>
    <w:rsid w:val="004D15D8"/>
    <w:rsid w:val="005A5F90"/>
    <w:rsid w:val="006C55EF"/>
    <w:rsid w:val="00701853"/>
    <w:rsid w:val="007B583F"/>
    <w:rsid w:val="007E584A"/>
    <w:rsid w:val="00806EDF"/>
    <w:rsid w:val="008D4371"/>
    <w:rsid w:val="009D1251"/>
    <w:rsid w:val="009D5033"/>
    <w:rsid w:val="00A2645D"/>
    <w:rsid w:val="00BD052B"/>
    <w:rsid w:val="00CC5CE9"/>
    <w:rsid w:val="00D43BA6"/>
    <w:rsid w:val="00DE3E6C"/>
    <w:rsid w:val="00F32475"/>
    <w:rsid w:val="00F35A39"/>
    <w:rsid w:val="042AAE9E"/>
    <w:rsid w:val="0FAC6A03"/>
    <w:rsid w:val="10B4A67C"/>
    <w:rsid w:val="112BDDE7"/>
    <w:rsid w:val="117A4721"/>
    <w:rsid w:val="1282CDF2"/>
    <w:rsid w:val="139A7765"/>
    <w:rsid w:val="13ACC3BB"/>
    <w:rsid w:val="16D083FE"/>
    <w:rsid w:val="177804F1"/>
    <w:rsid w:val="1C7671E3"/>
    <w:rsid w:val="1C82A8F4"/>
    <w:rsid w:val="1D3D1A4D"/>
    <w:rsid w:val="1DD05310"/>
    <w:rsid w:val="1E1727EF"/>
    <w:rsid w:val="1EE3860D"/>
    <w:rsid w:val="2007203C"/>
    <w:rsid w:val="20CEF871"/>
    <w:rsid w:val="212B0949"/>
    <w:rsid w:val="21386B1C"/>
    <w:rsid w:val="22D9D6E8"/>
    <w:rsid w:val="233E6FFE"/>
    <w:rsid w:val="25E8297C"/>
    <w:rsid w:val="263EFF74"/>
    <w:rsid w:val="287B0F76"/>
    <w:rsid w:val="2B24F350"/>
    <w:rsid w:val="2CC4452E"/>
    <w:rsid w:val="2E02D701"/>
    <w:rsid w:val="30815088"/>
    <w:rsid w:val="3B20ED4C"/>
    <w:rsid w:val="3F4B0B48"/>
    <w:rsid w:val="3F9E4DB4"/>
    <w:rsid w:val="44319CEC"/>
    <w:rsid w:val="48924369"/>
    <w:rsid w:val="4AC50A67"/>
    <w:rsid w:val="4B0DA6C1"/>
    <w:rsid w:val="4D28A4AF"/>
    <w:rsid w:val="4EAB890A"/>
    <w:rsid w:val="51C9F009"/>
    <w:rsid w:val="5366B612"/>
    <w:rsid w:val="53C35F68"/>
    <w:rsid w:val="5EFA5F28"/>
    <w:rsid w:val="5F1DE2FE"/>
    <w:rsid w:val="5F63C079"/>
    <w:rsid w:val="64349331"/>
    <w:rsid w:val="653E02B2"/>
    <w:rsid w:val="66EF9044"/>
    <w:rsid w:val="68FE8641"/>
    <w:rsid w:val="69654AAA"/>
    <w:rsid w:val="6965B642"/>
    <w:rsid w:val="722E64F5"/>
    <w:rsid w:val="75B9DFB6"/>
    <w:rsid w:val="77B9B47C"/>
    <w:rsid w:val="7B3156F5"/>
    <w:rsid w:val="7BB38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88AA1"/>
  <w15:chartTrackingRefBased/>
  <w15:docId w15:val="{CE609D56-4284-7C48-9D8C-2CFA7BB0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character" w:styleId="Hyperlink">
    <w:name w:val="Hyperlink"/>
    <w:basedOn w:val="DefaultParagraphFont"/>
    <w:uiPriority w:val="99"/>
    <w:unhideWhenUsed/>
    <w:rsid w:val="2007203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mjopen.bmj.com/content/15/4/e098174" TargetMode="External"/><Relationship Id="rId18" Type="http://schemas.openxmlformats.org/officeDocument/2006/relationships/hyperlink" Target="https://www.england.nhs.uk/statistics/statistical-work-areas/ambulance-quality-indicator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ritannica.com/biography/Dominique-Jean-Baron-Larrey" TargetMode="External"/><Relationship Id="rId17" Type="http://schemas.openxmlformats.org/officeDocument/2006/relationships/hyperlink" Target="https://www.england.nhs.uk/long-read/monthly-operational-statistics-december-2024/" TargetMode="External"/><Relationship Id="rId2" Type="http://schemas.openxmlformats.org/officeDocument/2006/relationships/customXml" Target="../customXml/item2.xml"/><Relationship Id="rId16" Type="http://schemas.openxmlformats.org/officeDocument/2006/relationships/hyperlink" Target="https://www.england.nhs.uk/long-read/monthly-operational-statistics-august-2024/" TargetMode="External"/><Relationship Id="rId20" Type="http://schemas.openxmlformats.org/officeDocument/2006/relationships/hyperlink" Target="https://www.who.int/publications/i/item/978924011406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irambulancesuk.org/about-us/facts/" TargetMode="External"/><Relationship Id="rId5" Type="http://schemas.openxmlformats.org/officeDocument/2006/relationships/styles" Target="styles.xml"/><Relationship Id="rId15" Type="http://schemas.openxmlformats.org/officeDocument/2006/relationships/hyperlink" Target="https://www.nao.org.uk/press-releases/access-to-unplanned-or-urgent-care/" TargetMode="External"/><Relationship Id="rId10" Type="http://schemas.openxmlformats.org/officeDocument/2006/relationships/hyperlink" Target="https://aace.org.uk/hospital-handovers/" TargetMode="External"/><Relationship Id="rId19" Type="http://schemas.openxmlformats.org/officeDocument/2006/relationships/hyperlink" Target="https://www.nuffieldtrust.org.uk/resource/ambulance-response-times"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commonslibrary.parliament.uk/research-briefings/cbp-728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91792ac3f6388d019f6f3c834cc55db1">
  <xsd:schema xmlns:xsd="http://www.w3.org/2001/XMLSchema" xmlns:xs="http://www.w3.org/2001/XMLSchema" xmlns:p="http://schemas.microsoft.com/office/2006/metadata/properties" xmlns:ns3="f799553d-1ac0-48da-9ae3-fe400ced9c3b" targetNamespace="http://schemas.microsoft.com/office/2006/metadata/properties" ma:root="true" ma:fieldsID="b385b1a061bc84163bc3738e6b83bc51"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134770-5CE7-47B6-8323-063CB890A6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0D9615-3C29-4CE1-9E1C-FC4EB4BF7DD1}">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5BA2076A-06D9-495A-8F10-ED17E12DA2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1389</Words>
  <Characters>7920</Characters>
  <Application>Microsoft Office Word</Application>
  <DocSecurity>0</DocSecurity>
  <Lines>66</Lines>
  <Paragraphs>18</Paragraphs>
  <ScaleCrop>false</ScaleCrop>
  <Company/>
  <LinksUpToDate>false</LinksUpToDate>
  <CharactersWithSpaces>9291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Asfia Akhtar (2432708)</cp:lastModifiedBy>
  <cp:revision>2</cp:revision>
  <dcterms:created xsi:type="dcterms:W3CDTF">2025-10-19T17:02:00Z</dcterms:created>
  <dcterms:modified xsi:type="dcterms:W3CDTF">2025-10-19T17:02:00Z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