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w:cs="Times" w:eastAsia="Times" w:hAnsi="Times"/>
          <w:sz w:val="26"/>
          <w:szCs w:val="26"/>
          <w:u w:val="single"/>
        </w:rPr>
      </w:pPr>
      <w:r w:rsidDel="00000000" w:rsidR="00000000" w:rsidRPr="00000000">
        <w:rPr>
          <w:rFonts w:ascii="Times" w:cs="Times" w:eastAsia="Times" w:hAnsi="Times"/>
          <w:sz w:val="26"/>
          <w:szCs w:val="26"/>
          <w:u w:val="single"/>
          <w:rtl w:val="0"/>
        </w:rPr>
        <w:t xml:space="preserve">Bibliographical Exercise</w:t>
      </w:r>
    </w:p>
    <w:p w:rsidR="00000000" w:rsidDel="00000000" w:rsidP="00000000" w:rsidRDefault="00000000" w:rsidRPr="00000000" w14:paraId="00000002">
      <w:pPr>
        <w:jc w:val="center"/>
        <w:rPr>
          <w:rFonts w:ascii="Times" w:cs="Times" w:eastAsia="Times" w:hAnsi="Times"/>
          <w:sz w:val="26"/>
          <w:szCs w:val="26"/>
          <w:u w:val="single"/>
        </w:rPr>
      </w:pPr>
      <w:r w:rsidDel="00000000" w:rsidR="00000000" w:rsidRPr="00000000">
        <w:rPr>
          <w:rFonts w:ascii="Times" w:cs="Times" w:eastAsia="Times" w:hAnsi="Times"/>
          <w:sz w:val="26"/>
          <w:szCs w:val="26"/>
          <w:u w:val="single"/>
          <w:rtl w:val="0"/>
        </w:rPr>
        <w:t xml:space="preserve">Word count (inc bibliography): 1126</w:t>
      </w:r>
    </w:p>
    <w:p w:rsidR="00000000" w:rsidDel="00000000" w:rsidP="00000000" w:rsidRDefault="00000000" w:rsidRPr="00000000" w14:paraId="00000003">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Within the book Inc 30, also known as the Thesaurus Cornupoiae et Horti Adonidis</w:t>
      </w:r>
      <w:r w:rsidDel="00000000" w:rsidR="00000000" w:rsidRPr="00000000">
        <w:rPr>
          <w:rFonts w:ascii="Times" w:cs="Times" w:eastAsia="Times" w:hAnsi="Times"/>
          <w:sz w:val="24"/>
          <w:szCs w:val="24"/>
          <w:vertAlign w:val="superscript"/>
        </w:rPr>
        <w:footnoteReference w:customMarkFollows="0" w:id="0"/>
      </w:r>
      <w:r w:rsidDel="00000000" w:rsidR="00000000" w:rsidRPr="00000000">
        <w:rPr>
          <w:rFonts w:ascii="Times" w:cs="Times" w:eastAsia="Times" w:hAnsi="Times"/>
          <w:sz w:val="24"/>
          <w:szCs w:val="24"/>
          <w:rtl w:val="0"/>
        </w:rPr>
        <w:t xml:space="preserve">, which is written in Latin and Greek, the title page is on the fifth page, as there are several pages at the beginning of the book - including the cover - without type.</w:t>
      </w:r>
    </w:p>
    <w:p w:rsidR="00000000" w:rsidDel="00000000" w:rsidP="00000000" w:rsidRDefault="00000000" w:rsidRPr="00000000" w14:paraId="0000000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title page is laid out with a Greek title in a large font of capital letters, with spaces between each letter. Below it, there is smaller greek writing using both upper and lower case letters. The latin translation is below that, once again in a large font of capital letters, stating that the book is a thesaurus. Below that, there is latin written in a smaller front using both upper and lower case letters. There is then a sentence in greek using only capital letters, with a slightly bolder font that had been used thus far. There are no ornaments present on the page.</w:t>
      </w:r>
    </w:p>
    <w:p w:rsidR="00000000" w:rsidDel="00000000" w:rsidP="00000000" w:rsidRDefault="00000000" w:rsidRPr="00000000" w14:paraId="0000000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While I am not able to transcribe the Greek writing within the title due to a technological inability, the Latin reads as below:</w:t>
      </w:r>
    </w:p>
    <w:p w:rsidR="00000000" w:rsidDel="00000000" w:rsidP="00000000" w:rsidRDefault="00000000" w:rsidRPr="00000000" w14:paraId="0000000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THESAURUS | </w:t>
      </w:r>
      <w:r w:rsidDel="00000000" w:rsidR="00000000" w:rsidRPr="00000000">
        <w:rPr>
          <w:rFonts w:ascii="Times" w:cs="Times" w:eastAsia="Times" w:hAnsi="Times"/>
          <w:sz w:val="24"/>
          <w:szCs w:val="24"/>
          <w:rtl w:val="0"/>
        </w:rPr>
        <w:t xml:space="preserve">Cornucopia&amp;Horti</w:t>
      </w:r>
      <w:r w:rsidDel="00000000" w:rsidR="00000000" w:rsidRPr="00000000">
        <w:rPr>
          <w:rFonts w:ascii="Times" w:cs="Times" w:eastAsia="Times" w:hAnsi="Times"/>
          <w:sz w:val="24"/>
          <w:szCs w:val="24"/>
          <w:rtl w:val="0"/>
        </w:rPr>
        <w:t xml:space="preserve"> Adonidis</w:t>
      </w:r>
    </w:p>
    <w:p w:rsidR="00000000" w:rsidDel="00000000" w:rsidP="00000000" w:rsidRDefault="00000000" w:rsidRPr="00000000" w14:paraId="0000000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Below the titles, there are eighteen bullet points typed in small Greek font, which I found to be a list of the contributors to the book, which is a thesaurus not by modern definition by the archaic definition - causing it to be an anthology of both ancient and renaissance greek and roman writers, providing a study guide for greek literature.</w:t>
      </w:r>
    </w:p>
    <w:p w:rsidR="00000000" w:rsidDel="00000000" w:rsidP="00000000" w:rsidRDefault="00000000" w:rsidRPr="00000000" w14:paraId="0000000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At this time, the Author would need to request permission to have their name featured on their work. In this case, the author - Aldus Manutius</w:t>
      </w:r>
      <w:r w:rsidDel="00000000" w:rsidR="00000000" w:rsidRPr="00000000">
        <w:rPr>
          <w:rFonts w:ascii="Times" w:cs="Times" w:eastAsia="Times" w:hAnsi="Times"/>
          <w:sz w:val="24"/>
          <w:szCs w:val="24"/>
          <w:vertAlign w:val="superscript"/>
        </w:rPr>
        <w:footnoteReference w:customMarkFollows="0" w:id="1"/>
      </w:r>
      <w:r w:rsidDel="00000000" w:rsidR="00000000" w:rsidRPr="00000000">
        <w:rPr>
          <w:rFonts w:ascii="Times" w:cs="Times" w:eastAsia="Times" w:hAnsi="Times"/>
          <w:sz w:val="24"/>
          <w:szCs w:val="24"/>
          <w:rtl w:val="0"/>
        </w:rPr>
        <w:t xml:space="preserve"> - was either not granted permission or did not request it.</w:t>
      </w:r>
    </w:p>
    <w:p w:rsidR="00000000" w:rsidDel="00000000" w:rsidP="00000000" w:rsidRDefault="00000000" w:rsidRPr="00000000" w14:paraId="0000000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At the very bottom of the page, roman numerals display ‘I’ to signify that it is the first page of the book.</w:t>
      </w:r>
    </w:p>
    <w:p w:rsidR="00000000" w:rsidDel="00000000" w:rsidP="00000000" w:rsidRDefault="00000000" w:rsidRPr="00000000" w14:paraId="0000000B">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 colophon can be at the beginning or end of a book and contains facts about how it was produced. Inc 30 was published in 1496, before it became common for the colophon to be cited just after the title page, and so it appears on page 270 of the book</w:t>
      </w:r>
      <w:r w:rsidDel="00000000" w:rsidR="00000000" w:rsidRPr="00000000">
        <w:rPr>
          <w:rFonts w:ascii="Times" w:cs="Times" w:eastAsia="Times" w:hAnsi="Times"/>
          <w:sz w:val="24"/>
          <w:szCs w:val="24"/>
          <w:vertAlign w:val="superscript"/>
        </w:rPr>
        <w:footnoteReference w:customMarkFollows="0" w:id="2"/>
      </w:r>
      <w:r w:rsidDel="00000000" w:rsidR="00000000" w:rsidRPr="00000000">
        <w:rPr>
          <w:rFonts w:ascii="Times" w:cs="Times" w:eastAsia="Times" w:hAnsi="Times"/>
          <w:sz w:val="24"/>
          <w:szCs w:val="24"/>
          <w:rtl w:val="0"/>
        </w:rPr>
        <w:t xml:space="preserve">. It is typed beneath a Greek inscription, but the colophon itself is in small latin font, using both upper and lower case lettering. It reads:</w:t>
      </w:r>
    </w:p>
    <w:p w:rsidR="00000000" w:rsidDel="00000000" w:rsidP="00000000" w:rsidRDefault="00000000" w:rsidRPr="00000000" w14:paraId="0000000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Venetiis in domo Aldi Romani summa cura: laboreq; paema- | gno. Menfe Augusto. M. 1111.D. Ab I11. Senatu. V. | concessum est nequis &amp;c. Utin ceteris. | Vale quilegeris |</w:t>
      </w:r>
    </w:p>
    <w:p w:rsidR="00000000" w:rsidDel="00000000" w:rsidP="00000000" w:rsidRDefault="00000000" w:rsidRPr="00000000" w14:paraId="0000000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This entry is short and provides details about where the book was printed, which was in the home of Aldus Manutius (Venetiis in Domo). It also explains when it was printed, which was in the Month of August (Menfe Augusto) of 1496 (M. 1111 D).</w:t>
      </w:r>
    </w:p>
    <w:p w:rsidR="00000000" w:rsidDel="00000000" w:rsidP="00000000" w:rsidRDefault="00000000" w:rsidRPr="00000000" w14:paraId="0000000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It also provides extra details about the process, such as how it was given credibility by the senate of Rome and that it was “made with greatest care” using an Aldine printing press.</w:t>
      </w:r>
    </w:p>
    <w:p w:rsidR="00000000" w:rsidDel="00000000" w:rsidP="00000000" w:rsidRDefault="00000000" w:rsidRPr="00000000" w14:paraId="00000010">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When making a book in the Renaissance period, several pages of a book would be printed on either side of one sheet of paper, and then folded in such a way that they could be read cohesively</w:t>
      </w:r>
      <w:r w:rsidDel="00000000" w:rsidR="00000000" w:rsidRPr="00000000">
        <w:rPr>
          <w:rFonts w:ascii="Times" w:cs="Times" w:eastAsia="Times" w:hAnsi="Times"/>
          <w:sz w:val="24"/>
          <w:szCs w:val="24"/>
          <w:vertAlign w:val="superscript"/>
        </w:rPr>
        <w:footnoteReference w:customMarkFollows="0" w:id="3"/>
      </w:r>
      <w:r w:rsidDel="00000000" w:rsidR="00000000" w:rsidRPr="00000000">
        <w:rPr>
          <w:rFonts w:ascii="Times" w:cs="Times" w:eastAsia="Times" w:hAnsi="Times"/>
          <w:sz w:val="24"/>
          <w:szCs w:val="24"/>
          <w:rtl w:val="0"/>
        </w:rPr>
        <w:t xml:space="preserve">. Inc 30 was made as a folio, meaning that two pages of type are printed to one side of a sheet, allowing for four pages in total to be folded to form a section of a book. Very often, it is evident how the pages were printed as there are signatures somewhere on various pages, indicating how many pages were on a sheet.</w:t>
      </w:r>
    </w:p>
    <w:p w:rsidR="00000000" w:rsidDel="00000000" w:rsidP="00000000" w:rsidRDefault="00000000" w:rsidRPr="00000000" w14:paraId="0000001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Aldus Manutius was the first scholar to introduce the paperback book</w:t>
      </w:r>
      <w:r w:rsidDel="00000000" w:rsidR="00000000" w:rsidRPr="00000000">
        <w:rPr>
          <w:rFonts w:ascii="Times" w:cs="Times" w:eastAsia="Times" w:hAnsi="Times"/>
          <w:sz w:val="24"/>
          <w:szCs w:val="24"/>
          <w:vertAlign w:val="superscript"/>
        </w:rPr>
        <w:footnoteReference w:customMarkFollows="0" w:id="4"/>
      </w:r>
      <w:r w:rsidDel="00000000" w:rsidR="00000000" w:rsidRPr="00000000">
        <w:rPr>
          <w:rFonts w:ascii="Times" w:cs="Times" w:eastAsia="Times" w:hAnsi="Times"/>
          <w:sz w:val="24"/>
          <w:szCs w:val="24"/>
          <w:rtl w:val="0"/>
        </w:rPr>
        <w:t xml:space="preserve"> which have been commonly used since this time, in which he printed his works such as Thesaurus Cornupoiae et Horti Adonidis.</w:t>
      </w:r>
    </w:p>
    <w:p w:rsidR="00000000" w:rsidDel="00000000" w:rsidP="00000000" w:rsidRDefault="00000000" w:rsidRPr="00000000" w14:paraId="0000001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As well as folios, such as the aforementioned work, books could also be printed as quartos, which allowed for four pages to be printed on one side of a sheet, meaning that a total of eight pages would be produced after folding as the sheet was double sided.</w:t>
      </w:r>
    </w:p>
    <w:p w:rsidR="00000000" w:rsidDel="00000000" w:rsidP="00000000" w:rsidRDefault="00000000" w:rsidRPr="00000000" w14:paraId="00000014">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collation and the binding of a book was reliant upon the signatures at the bottom of the pages so that those putting it together were aware of the order in which the pages should be folded. Signatures could be numbers, letters or ornaments such as symbols, as long as they guided the binder in their folding.</w:t>
      </w:r>
    </w:p>
    <w:p w:rsidR="00000000" w:rsidDel="00000000" w:rsidP="00000000" w:rsidRDefault="00000000" w:rsidRPr="00000000" w14:paraId="0000001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In Inc 30, I believe that there were not obvious signatures present, which may be due to the type of printing press used in the creation of this book. Many books - such as the Bible - produced during the renaissance were printed using a Gutenberg Printing press, brought about in the mid 1400s by Johann Gutenberg. However, we know from the colophon within this book that it was printed using an Aldine printing press, which came about over forty years after Gutenberg’s original invention, and typically produced a far different type of book: pocket sized paperbacks.</w:t>
      </w:r>
    </w:p>
    <w:p w:rsidR="00000000" w:rsidDel="00000000" w:rsidP="00000000" w:rsidRDefault="00000000" w:rsidRPr="00000000" w14:paraId="00000017">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pagination of Thesaurus Cornucopiae et Horti Adonidis uses both roman numerals and arabic numerals. After the empty pages at the beginning of the book, roman numerals begin to appear in the bottom right hand corner of every second page, but only ascend by the value of one. For example, page one is labelled “i”, page three is labelled “ii”, and page five is labelled “iii”. This continues until page ten (V), before the numerals cease and ten non-numbered pages ensue. After this, the page numbering restarts, and both roman numerals and arabic numerals are used for a period, using the same pattern of appearing on every other page but only increasing by one digit. This continues until page four, where the roman numerals cease and the arabic numerals continue, situated at the top right corner of the page.</w:t>
      </w:r>
    </w:p>
    <w:p w:rsidR="00000000" w:rsidDel="00000000" w:rsidP="00000000" w:rsidRDefault="00000000" w:rsidRPr="00000000" w14:paraId="0000001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Roman numerals appear intermittently, such as on page 41, which features “ii” and page 43, featuring “iii”.</w:t>
      </w:r>
    </w:p>
    <w:p w:rsidR="00000000" w:rsidDel="00000000" w:rsidP="00000000" w:rsidRDefault="00000000" w:rsidRPr="00000000" w14:paraId="0000001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In a library that uses the Dewey Decimal System of literary classification, this book could be in several places, one of which being within the ‘400s’ section, which covers language, due to its title as a Thesaurus. However, it could also be included in the ‘700s’ section, which covers areas such as renaissance art and poetry. Alternatively, it may appear in ‘940.21’ which would allow for reading on the general history of the renaissance period.</w:t>
      </w:r>
    </w:p>
    <w:p w:rsidR="00000000" w:rsidDel="00000000" w:rsidP="00000000" w:rsidRDefault="00000000" w:rsidRPr="00000000" w14:paraId="0000001B">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D">
      <w:pPr>
        <w:jc w:val="left"/>
        <w:rPr>
          <w:rFonts w:ascii="Times" w:cs="Times" w:eastAsia="Times" w:hAnsi="Times"/>
          <w:sz w:val="24"/>
          <w:szCs w:val="24"/>
        </w:rPr>
      </w:pPr>
      <w:r w:rsidDel="00000000" w:rsidR="00000000" w:rsidRPr="00000000">
        <w:rPr>
          <w:rFonts w:ascii="Times" w:cs="Times" w:eastAsia="Times" w:hAnsi="Times"/>
          <w:sz w:val="24"/>
          <w:szCs w:val="24"/>
          <w:u w:val="single"/>
          <w:rtl w:val="0"/>
        </w:rPr>
        <w:t xml:space="preserve">Bibliography</w:t>
      </w:r>
      <w:r w:rsidDel="00000000" w:rsidR="00000000" w:rsidRPr="00000000">
        <w:rPr>
          <w:rtl w:val="0"/>
        </w:rPr>
      </w:r>
    </w:p>
    <w:p w:rsidR="00000000" w:rsidDel="00000000" w:rsidP="00000000" w:rsidRDefault="00000000" w:rsidRPr="00000000" w14:paraId="0000001E">
      <w:pPr>
        <w:numPr>
          <w:ilvl w:val="0"/>
          <w:numId w:val="1"/>
        </w:numPr>
        <w:spacing w:after="0" w:afterAutospacing="0" w:line="360" w:lineRule="auto"/>
        <w:ind w:left="720" w:hanging="360"/>
        <w:rPr>
          <w:rFonts w:ascii="Times" w:cs="Times" w:eastAsia="Times" w:hAnsi="Times"/>
          <w:sz w:val="24"/>
          <w:szCs w:val="24"/>
        </w:rPr>
      </w:pPr>
      <w:r w:rsidDel="00000000" w:rsidR="00000000" w:rsidRPr="00000000">
        <w:rPr>
          <w:rFonts w:ascii="Times New Roman" w:cs="Times New Roman" w:eastAsia="Times New Roman" w:hAnsi="Times New Roman"/>
          <w:sz w:val="24"/>
          <w:szCs w:val="24"/>
          <w:rtl w:val="0"/>
        </w:rPr>
        <w:t xml:space="preserve">Manutius, A. (1496). </w:t>
      </w:r>
      <w:r w:rsidDel="00000000" w:rsidR="00000000" w:rsidRPr="00000000">
        <w:rPr>
          <w:rFonts w:ascii="Times New Roman" w:cs="Times New Roman" w:eastAsia="Times New Roman" w:hAnsi="Times New Roman"/>
          <w:i w:val="1"/>
          <w:iCs w:val="1"/>
          <w:sz w:val="24"/>
          <w:szCs w:val="24"/>
          <w:rtl w:val="0"/>
        </w:rPr>
        <w:t xml:space="preserve">Thesaurus Cornupoiae et Horti Adonidis</w:t>
      </w:r>
      <w:r w:rsidDel="00000000" w:rsidR="00000000" w:rsidRPr="00000000">
        <w:rPr>
          <w:rFonts w:ascii="Times New Roman" w:cs="Times New Roman" w:eastAsia="Times New Roman" w:hAnsi="Times New Roman"/>
          <w:sz w:val="24"/>
          <w:szCs w:val="24"/>
          <w:rtl w:val="0"/>
        </w:rPr>
        <w:t xml:space="preserve">. The Home of Aldus Manutius: Aldus Manutius, pp.i–270.</w:t>
      </w:r>
    </w:p>
    <w:p w:rsidR="00000000" w:rsidDel="00000000" w:rsidP="00000000" w:rsidRDefault="00000000" w:rsidRPr="00000000" w14:paraId="0000001F">
      <w:pPr>
        <w:numPr>
          <w:ilvl w:val="0"/>
          <w:numId w:val="1"/>
        </w:numPr>
        <w:spacing w:after="0" w:afterAutospacing="0" w:line="360" w:lineRule="auto"/>
        <w:ind w:left="720" w:hanging="360"/>
        <w:rPr>
          <w:rFonts w:ascii="Times" w:cs="Times" w:eastAsia="Times" w:hAnsi="Times"/>
          <w:sz w:val="24"/>
          <w:szCs w:val="24"/>
        </w:rPr>
      </w:pPr>
      <w:r w:rsidDel="00000000" w:rsidR="00000000" w:rsidRPr="00000000">
        <w:rPr>
          <w:rFonts w:ascii="Times New Roman" w:cs="Times New Roman" w:eastAsia="Times New Roman" w:hAnsi="Times New Roman"/>
          <w:sz w:val="24"/>
          <w:szCs w:val="24"/>
          <w:rtl w:val="0"/>
        </w:rPr>
        <w:t xml:space="preserve">Editors, B. (2026). </w:t>
      </w:r>
      <w:r w:rsidDel="00000000" w:rsidR="00000000" w:rsidRPr="00000000">
        <w:rPr>
          <w:rFonts w:ascii="Times New Roman" w:cs="Times New Roman" w:eastAsia="Times New Roman" w:hAnsi="Times New Roman"/>
          <w:i w:val="1"/>
          <w:iCs w:val="1"/>
          <w:sz w:val="24"/>
          <w:szCs w:val="24"/>
          <w:rtl w:val="0"/>
        </w:rPr>
        <w:t xml:space="preserve">Aldus Manutius | Biography &amp; Facts</w:t>
      </w:r>
      <w:r w:rsidDel="00000000" w:rsidR="00000000" w:rsidRPr="00000000">
        <w:rPr>
          <w:rFonts w:ascii="Times New Roman" w:cs="Times New Roman" w:eastAsia="Times New Roman" w:hAnsi="Times New Roman"/>
          <w:sz w:val="24"/>
          <w:szCs w:val="24"/>
          <w:rtl w:val="0"/>
        </w:rPr>
        <w:t xml:space="preserve">. [online] Encyclopedia Britannica. Available at: https://www.britannica.com/biography/Aldus-Manutius.</w:t>
      </w:r>
    </w:p>
    <w:p w:rsidR="00000000" w:rsidDel="00000000" w:rsidP="00000000" w:rsidRDefault="00000000" w:rsidRPr="00000000" w14:paraId="00000020">
      <w:pPr>
        <w:numPr>
          <w:ilvl w:val="0"/>
          <w:numId w:val="1"/>
        </w:numPr>
        <w:spacing w:after="0" w:afterAutospacing="0" w:line="360" w:lineRule="auto"/>
        <w:ind w:left="720" w:hanging="360"/>
        <w:rPr>
          <w:rFonts w:ascii="Times" w:cs="Times" w:eastAsia="Times" w:hAnsi="Times"/>
          <w:sz w:val="24"/>
          <w:szCs w:val="24"/>
        </w:rPr>
      </w:pPr>
      <w:r w:rsidDel="00000000" w:rsidR="00000000" w:rsidRPr="00000000">
        <w:rPr>
          <w:rFonts w:ascii="Times New Roman" w:cs="Times New Roman" w:eastAsia="Times New Roman" w:hAnsi="Times New Roman"/>
          <w:sz w:val="24"/>
          <w:szCs w:val="24"/>
          <w:rtl w:val="0"/>
        </w:rPr>
        <w:t xml:space="preserve">Manutius, A. (1496). </w:t>
      </w:r>
      <w:r w:rsidDel="00000000" w:rsidR="00000000" w:rsidRPr="00000000">
        <w:rPr>
          <w:rFonts w:ascii="Times New Roman" w:cs="Times New Roman" w:eastAsia="Times New Roman" w:hAnsi="Times New Roman"/>
          <w:i w:val="1"/>
          <w:iCs w:val="1"/>
          <w:sz w:val="24"/>
          <w:szCs w:val="24"/>
          <w:rtl w:val="0"/>
        </w:rPr>
        <w:t xml:space="preserve">Thesaurus Cornupoiae et Horti Adonidis</w:t>
      </w:r>
      <w:r w:rsidDel="00000000" w:rsidR="00000000" w:rsidRPr="00000000">
        <w:rPr>
          <w:rFonts w:ascii="Times New Roman" w:cs="Times New Roman" w:eastAsia="Times New Roman" w:hAnsi="Times New Roman"/>
          <w:sz w:val="24"/>
          <w:szCs w:val="24"/>
          <w:rtl w:val="0"/>
        </w:rPr>
        <w:t xml:space="preserve">. The Home of Aldus Manutius: Aldus Manutius, p.270.</w:t>
      </w:r>
    </w:p>
    <w:p w:rsidR="00000000" w:rsidDel="00000000" w:rsidP="00000000" w:rsidRDefault="00000000" w:rsidRPr="00000000" w14:paraId="00000021">
      <w:pPr>
        <w:numPr>
          <w:ilvl w:val="0"/>
          <w:numId w:val="1"/>
        </w:numPr>
        <w:spacing w:after="0" w:afterAutospacing="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Ronald Brunlees McKerrow (1927). </w:t>
      </w:r>
      <w:r w:rsidDel="00000000" w:rsidR="00000000" w:rsidRPr="00000000">
        <w:rPr>
          <w:rFonts w:ascii="Times New Roman" w:cs="Times New Roman" w:eastAsia="Times New Roman" w:hAnsi="Times New Roman"/>
          <w:i w:val="1"/>
          <w:iCs w:val="1"/>
          <w:sz w:val="24"/>
          <w:szCs w:val="24"/>
          <w:rtl w:val="0"/>
        </w:rPr>
        <w:t xml:space="preserve">An Introduction to Bibliography for Literary Students</w:t>
      </w:r>
      <w:r w:rsidDel="00000000" w:rsidR="00000000" w:rsidRPr="00000000">
        <w:rPr>
          <w:rFonts w:ascii="Times New Roman" w:cs="Times New Roman" w:eastAsia="Times New Roman" w:hAnsi="Times New Roman"/>
          <w:sz w:val="24"/>
          <w:szCs w:val="24"/>
          <w:rtl w:val="0"/>
        </w:rPr>
        <w:t xml:space="preserve">. Oxford at Clarendon Press, p.360.</w:t>
      </w:r>
    </w:p>
    <w:p w:rsidR="00000000" w:rsidDel="00000000" w:rsidP="00000000" w:rsidRDefault="00000000" w:rsidRPr="00000000" w14:paraId="00000022">
      <w:pPr>
        <w:numPr>
          <w:ilvl w:val="0"/>
          <w:numId w:val="1"/>
        </w:numPr>
        <w:spacing w:after="24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D.L. (2019). </w:t>
      </w:r>
      <w:r w:rsidDel="00000000" w:rsidR="00000000" w:rsidRPr="00000000">
        <w:rPr>
          <w:rFonts w:ascii="Times New Roman" w:cs="Times New Roman" w:eastAsia="Times New Roman" w:hAnsi="Times New Roman"/>
          <w:i w:val="1"/>
          <w:iCs w:val="1"/>
          <w:sz w:val="24"/>
          <w:szCs w:val="24"/>
          <w:rtl w:val="0"/>
        </w:rPr>
        <w:t xml:space="preserve">Smarthistory</w:t>
      </w:r>
      <w:r w:rsidDel="00000000" w:rsidR="00000000" w:rsidRPr="00000000">
        <w:rPr>
          <w:rFonts w:ascii="Times New Roman" w:cs="Times New Roman" w:eastAsia="Times New Roman" w:hAnsi="Times New Roman"/>
          <w:sz w:val="24"/>
          <w:szCs w:val="24"/>
          <w:rtl w:val="0"/>
        </w:rPr>
        <w:t xml:space="preserve">. [online] Smarthistory.org. Available at: https://smarthistory.org.</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Time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sz w:val="20"/>
            <w:szCs w:val="20"/>
            <w:u w:val="single"/>
            <w:rtl w:val="0"/>
          </w:rPr>
          <w:t xml:space="preserve">https://books.google.co.uk/books?id=1PEucgAACAAJ&amp;printsec=frontcover&amp;redir_esc=y#v=onepage&amp;q&amp;f=false</w:t>
        </w:r>
      </w:hyperlink>
      <w:r w:rsidDel="00000000" w:rsidR="00000000" w:rsidRPr="00000000">
        <w:rPr>
          <w:sz w:val="20"/>
          <w:szCs w:val="20"/>
          <w:rtl w:val="0"/>
        </w:rPr>
        <w:t xml:space="preserve"> </w:t>
      </w:r>
    </w:p>
  </w:footnote>
  <w:footnote w:id="1">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color w:val="1155cc"/>
            <w:sz w:val="20"/>
            <w:szCs w:val="20"/>
            <w:u w:val="single"/>
            <w:rtl w:val="0"/>
          </w:rPr>
          <w:t xml:space="preserve">https://www.britannica.com/biography/Aldus-Manutius</w:t>
        </w:r>
      </w:hyperlink>
      <w:r w:rsidDel="00000000" w:rsidR="00000000" w:rsidRPr="00000000">
        <w:rPr>
          <w:sz w:val="20"/>
          <w:szCs w:val="20"/>
          <w:rtl w:val="0"/>
        </w:rPr>
        <w:t xml:space="preserve"> </w:t>
      </w:r>
    </w:p>
  </w:footnote>
  <w:footnote w:id="2">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McKerrow, pp. 270</w:t>
      </w:r>
    </w:p>
  </w:footnote>
  <w:footnote w:id="3">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sz w:val="20"/>
            <w:szCs w:val="20"/>
            <w:u w:val="single"/>
            <w:rtl w:val="0"/>
          </w:rPr>
          <w:t xml:space="preserve">https://archive.org/details/dli.ernet.503054/page/15/mode/2up</w:t>
        </w:r>
      </w:hyperlink>
      <w:r w:rsidDel="00000000" w:rsidR="00000000" w:rsidRPr="00000000">
        <w:rPr>
          <w:sz w:val="20"/>
          <w:szCs w:val="20"/>
          <w:rtl w:val="0"/>
        </w:rPr>
        <w:t xml:space="preserve"> </w:t>
      </w:r>
    </w:p>
  </w:footnote>
  <w:footnote w:id="4">
    <w:p w:rsidR="00000000" w:rsidDel="00000000" w:rsidP="00000000" w:rsidRDefault="00000000" w:rsidRPr="00000000" w14:paraId="00000027">
      <w:pPr>
        <w:spacing w:line="240" w:lineRule="auto"/>
        <w:rPr>
          <w:rFonts w:ascii="Times" w:cs="Times" w:eastAsia="Times" w:hAnsi="Times"/>
          <w:color w:val="1155cc"/>
          <w:sz w:val="24"/>
          <w:szCs w:val="24"/>
          <w:u w:val="single"/>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fldChar w:fldCharType="begin"/>
        <w:instrText xml:space="preserve"> HYPERLINK "https://smarthistory.org/aldo-manuzio-aldus-manutius/" </w:instrText>
        <w:fldChar w:fldCharType="separate"/>
      </w:r>
      <w:r w:rsidDel="00000000" w:rsidR="00000000" w:rsidRPr="00000000">
        <w:rPr>
          <w:rtl w:val="0"/>
        </w:rPr>
      </w:r>
    </w:p>
    <w:p w:rsidR="00000000" w:rsidDel="00000000" w:rsidP="00000000" w:rsidRDefault="00000000" w:rsidRPr="00000000" w14:paraId="00000028">
      <w:pPr>
        <w:rPr>
          <w:sz w:val="20"/>
          <w:szCs w:val="20"/>
        </w:rPr>
      </w:pPr>
      <w:r w:rsidDel="00000000" w:rsidR="00000000" w:rsidRPr="00000000">
        <w:rPr>
          <w:rFonts w:ascii="Times" w:cs="Times" w:eastAsia="Times" w:hAnsi="Times"/>
          <w:color w:val="1155cc"/>
          <w:sz w:val="24"/>
          <w:szCs w:val="24"/>
          <w:u w:val="single"/>
          <w:rtl w:val="0"/>
        </w:rPr>
        <w:t xml:space="preserve">https://smarthistory.org › aldo-manuzio-aldus-manutius</w:t>
      </w:r>
      <w:r w:rsidDel="00000000" w:rsidR="00000000" w:rsidRPr="00000000">
        <w:fldChar w:fldCharType="end"/>
      </w:r>
      <w:r w:rsidDel="00000000" w:rsidR="00000000" w:rsidRPr="00000000">
        <w:rPr>
          <w:sz w:val="20"/>
          <w:szCs w:val="20"/>
          <w:rtl w:val="0"/>
        </w:rPr>
        <w:t xml:space="preserve"> </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books.google.co.uk/books?id=1PEucgAACAAJ&amp;printsec=frontcover&amp;redir_esc=y#v=onepage&amp;q&amp;f=false" TargetMode="External"/><Relationship Id="rId2" Type="http://schemas.openxmlformats.org/officeDocument/2006/relationships/hyperlink" Target="https://www.britannica.com/biography/Aldus-Manutius" TargetMode="External"/><Relationship Id="rId3" Type="http://schemas.openxmlformats.org/officeDocument/2006/relationships/hyperlink" Target="https://archive.org/details/dli.ernet.503054/page/15/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