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Default Extension="jpg" ContentType="image/jpg"/>
  <Default Extension="png" ContentType="image/png"/>
  <Override PartName="/word/settings.xml" ContentType="application/vnd.openxmlformats-officedocument.wordprocessingml.settings+xml"/>
  <Override PartName="/word/header1.xml" ContentType="application/vnd.openxmlformats-officedocument.wordprocessingml.header+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jc w:val="center"/>
      </w:pPr>
      <w:r>
        <w:rPr>
          <w:lang w:val="en-IN" w:eastAsia="en-IN"/>
        </w:rPr>
        <w:drawing>
          <wp:inline distT="0" distB="0" distL="0" distR="0">
            <wp:extent cx="2157211" cy="863431"/>
            <wp:effectExtent l="0" t="0" r="0" b="0"/>
            <wp:docPr id="1" name="图片 1" descr="A close up of a logo&#10;&#10;Description automatically generated"/>
            <wp:cNvGraphicFramePr>
              <a:graphicFrameLocks noChangeAspect="1"/>
            </wp:cNvGraphicFramePr>
            <a:graphic>
              <a:graphicData uri="http://schemas.openxmlformats.org/drawingml/2006/picture">
                <pic:pic>
                  <pic:nvPicPr>
                    <pic:cNvPr id="3" name="图片 3"/>
                    <pic:cNvPicPr/>
                  </pic:nvPicPr>
                  <pic:blipFill>
                    <a:blip r:embed="rId4"/>
                    <a:stretch>
                      <a:fillRect/>
                    </a:stretch>
                  </pic:blipFill>
                  <pic:spPr>
                    <a:xfrm rot="0">
                      <a:off x="0" y="0"/>
                      <a:ext cx="2157211" cy="863431"/>
                    </a:xfrm>
                    <a:prstGeom prst="rect"/>
                    <a:noFill/>
                    <a:ln w="12700" cmpd="sng" cap="flat">
                      <a:noFill/>
                      <a:prstDash val="solid"/>
                      <a:miter/>
                    </a:ln>
                  </pic:spPr>
                </pic:pic>
              </a:graphicData>
            </a:graphic>
          </wp:inline>
        </w:drawing>
      </w:r>
    </w:p>
    <w:p>
      <w:pPr>
        <w:jc w:val="right"/>
        <w:rPr>
          <w:rFonts w:cs="Times New Roman"/>
          <w:szCs w:val="24"/>
        </w:rPr>
      </w:pPr>
    </w:p>
    <w:p>
      <w:pPr>
        <w:jc w:val="center"/>
        <w:rPr>
          <w:rFonts w:cs="Times New Roman"/>
          <w:szCs w:val="24"/>
        </w:rPr>
      </w:pPr>
      <w:r>
        <w:rPr>
          <w:rFonts w:cs="Times New Roman"/>
          <w:sz w:val="40"/>
          <w:szCs w:val="40"/>
        </w:rPr>
        <w:t>Strategic Management (LCMB7003)</w:t>
      </w:r>
    </w:p>
    <w:p>
      <w:pPr>
        <w:jc w:val="right"/>
        <w:rPr>
          <w:rFonts w:cs="Times New Roman"/>
          <w:szCs w:val="24"/>
        </w:rPr>
      </w:pPr>
    </w:p>
    <w:p>
      <w:pPr>
        <w:jc w:val="center"/>
        <w:rPr>
          <w:rFonts w:ascii="Arial Black" w:cs="Times New Roman" w:hAnsi="Arial Black"/>
          <w:sz w:val="40"/>
          <w:szCs w:val="40"/>
        </w:rPr>
      </w:pPr>
      <w:r>
        <w:rPr>
          <w:rFonts w:ascii="Arial Black" w:cs="Times New Roman" w:hAnsi="Arial Black"/>
          <w:sz w:val="40"/>
          <w:szCs w:val="40"/>
        </w:rPr>
        <w:t xml:space="preserve">Strategic Analysis of  Intercontinental Hotel group </w:t>
      </w:r>
    </w:p>
    <w:p>
      <w:pPr>
        <w:jc w:val="center"/>
        <w:rPr>
          <w:rFonts w:ascii="Arial Black" w:cs="Times New Roman" w:hAnsi="Arial Black"/>
          <w:sz w:val="40"/>
          <w:szCs w:val="40"/>
        </w:rPr>
      </w:pPr>
      <w:r>
        <w:rPr>
          <w:rFonts w:ascii="Arial Black" w:cs="Times New Roman" w:hAnsi="Arial Black"/>
          <w:sz w:val="40"/>
          <w:szCs w:val="40"/>
        </w:rPr>
        <w:drawing>
          <wp:inline distT="0" distB="0" distL="85723" distR="85723">
            <wp:extent cx="3379458" cy="1435187"/>
            <wp:effectExtent l="0" t="0" r="0" b="0"/>
            <wp:docPr id="4" name="图片 4"/>
            <wp:cNvGraphicFramePr>
              <a:graphicFrameLocks noChangeAspect="1"/>
            </wp:cNvGraphicFramePr>
            <a:graphic>
              <a:graphicData uri="http://schemas.openxmlformats.org/drawingml/2006/picture">
                <pic:pic>
                  <pic:nvPicPr>
                    <pic:cNvPr id="6" name="图片 6"/>
                    <pic:cNvPicPr/>
                  </pic:nvPicPr>
                  <pic:blipFill>
                    <a:blip r:embed="rId5"/>
                    <a:stretch>
                      <a:fillRect/>
                    </a:stretch>
                  </pic:blipFill>
                  <pic:spPr>
                    <a:xfrm rot="0">
                      <a:off x="0" y="0"/>
                      <a:ext cx="3379458" cy="1435187"/>
                    </a:xfrm>
                    <a:prstGeom prst="rect"/>
                    <a:noFill/>
                    <a:ln w="12700" cmpd="sng" cap="flat">
                      <a:noFill/>
                      <a:prstDash val="solid"/>
                      <a:miter/>
                    </a:ln>
                  </pic:spPr>
                </pic:pic>
              </a:graphicData>
            </a:graphic>
          </wp:inline>
        </w:drawing>
      </w:r>
    </w:p>
    <w:p>
      <w:pPr>
        <w:jc w:val="center"/>
        <w:rPr>
          <w:rFonts w:ascii="Arial Black" w:cs="Times New Roman" w:hAnsi="Arial Black"/>
          <w:sz w:val="40"/>
          <w:szCs w:val="40"/>
        </w:rPr>
      </w:pPr>
    </w:p>
    <w:p>
      <w:pPr>
        <w:jc w:val="center"/>
        <w:rPr>
          <w:rFonts w:ascii="Arial Black" w:cs="Times New Roman" w:hAnsi="Arial Black"/>
          <w:sz w:val="40"/>
          <w:szCs w:val="40"/>
        </w:rPr>
      </w:pPr>
    </w:p>
    <w:p>
      <w:pPr>
        <w:jc w:val="center"/>
        <w:rPr>
          <w:rFonts w:ascii="Arial Black" w:cs="Times New Roman" w:hAnsi="Arial Black"/>
          <w:sz w:val="40"/>
          <w:szCs w:val="40"/>
        </w:rPr>
      </w:pPr>
    </w:p>
    <w:p>
      <w:pPr>
        <w:jc w:val="right"/>
        <w:rPr>
          <w:rFonts w:cs="Times New Roman"/>
          <w:szCs w:val="24"/>
        </w:rPr>
      </w:pPr>
    </w:p>
    <w:p>
      <w:pPr>
        <w:jc w:val="both"/>
        <w:rPr>
          <w:rFonts w:cs="Times New Roman"/>
          <w:szCs w:val="24"/>
        </w:rPr>
      </w:pPr>
    </w:p>
    <w:p>
      <w:pPr>
        <w:rPr>
          <w:rFonts w:cs="Times New Roman"/>
          <w:sz w:val="28"/>
          <w:szCs w:val="28"/>
        </w:rPr>
      </w:pPr>
      <w:r>
        <w:rPr>
          <w:rFonts w:cs="Times New Roman"/>
          <w:sz w:val="28"/>
          <w:szCs w:val="28"/>
        </w:rPr>
        <w:t xml:space="preserve">Student name: Arsinbanu Monismiya Jadeja </w:t>
      </w:r>
    </w:p>
    <w:p>
      <w:pPr>
        <w:rPr>
          <w:rFonts w:cs="Times New Roman"/>
          <w:sz w:val="28"/>
          <w:szCs w:val="28"/>
        </w:rPr>
      </w:pPr>
      <w:r>
        <w:rPr>
          <w:rFonts w:cs="Times New Roman"/>
          <w:sz w:val="28"/>
          <w:szCs w:val="28"/>
        </w:rPr>
        <w:t>Student Number: 2208899</w:t>
      </w:r>
    </w:p>
    <w:p>
      <w:pPr>
        <w:rPr>
          <w:rFonts w:cs="Times New Roman"/>
          <w:sz w:val="28"/>
          <w:szCs w:val="28"/>
        </w:rPr>
      </w:pPr>
      <w:r>
        <w:rPr>
          <w:rFonts w:cs="Times New Roman"/>
          <w:sz w:val="28"/>
          <w:szCs w:val="28"/>
        </w:rPr>
        <w:t>Lecturer: Gladius Kulothungan</w:t>
      </w:r>
    </w:p>
    <w:p>
      <w:pPr>
        <w:rPr>
          <w:rFonts w:cs="Times New Roman"/>
          <w:sz w:val="28"/>
          <w:szCs w:val="28"/>
        </w:rPr>
      </w:pPr>
      <w:r>
        <w:rPr>
          <w:rFonts w:cs="Times New Roman"/>
          <w:sz w:val="28"/>
          <w:szCs w:val="28"/>
        </w:rPr>
        <w:t>Word count:6207</w:t>
      </w:r>
    </w:p>
    <w:p>
      <w:pPr>
        <w:rPr>
          <w:rFonts w:cs="Times New Roman"/>
          <w:sz w:val="28"/>
          <w:szCs w:val="28"/>
        </w:rPr>
      </w:pPr>
      <w:r>
        <w:rPr>
          <w:rFonts w:cs="Times New Roman"/>
          <w:sz w:val="28"/>
          <w:szCs w:val="28"/>
        </w:rPr>
        <w:t>Submission Date: 8th May 2023</w:t>
      </w:r>
      <w:bookmarkStart w:id="0" w:name="_GoBack"/>
      <w:bookmarkEnd w:id="0"/>
    </w:p>
    <w:p>
      <w:pPr>
        <w:pStyle w:val="22"/>
        <w:rPr>
          <w:rStyle w:val="1Char"/>
        </w:rPr>
      </w:pPr>
      <w:r>
        <w:rPr>
          <w:rStyle w:val="1Char"/>
        </w:rPr>
        <w:t>Table of Contents</w:t>
      </w:r>
    </w:p>
    <w:p>
      <w:pPr>
        <w:pStyle w:val="23"/>
        <w:tabs>
          <w:tab w:val="right" w:leader="dot" w:pos="9016"/>
        </w:tabs>
        <w:rPr>
          <w:rFonts w:ascii="Droid Sans" w:eastAsia="宋体" w:hAnsi="Droid Sans"/>
          <w:sz w:val="22"/>
          <w:lang w:val="en-IN" w:eastAsia="en-IN"/>
        </w:rPr>
      </w:pPr>
      <w:r>
        <w:fldChar w:fldCharType="begin"/>
      </w:r>
      <w:r>
        <w:instrText xml:space="preserve"> TOC \o "1-4" \h \z \u </w:instrText>
      </w:r>
      <w:r>
        <w:fldChar w:fldCharType="separate"/>
      </w:r>
      <w:r>
        <w:fldChar w:fldCharType="begin"/>
      </w:r>
      <w:r>
        <w:instrText>Hyperlink \l "_Toc130320664"</w:instrText>
      </w:r>
      <w:r>
        <w:fldChar w:fldCharType="separate"/>
      </w:r>
      <w:r>
        <w:t>Introduction</w:t>
        <w:tab/>
      </w:r>
      <w:r>
        <w:fldChar w:fldCharType="begin"/>
      </w:r>
      <w:r>
        <w:instrText xml:space="preserve"> PAGEREF _Toc130320664 \h </w:instrText>
      </w:r>
      <w:r>
        <w:fldChar w:fldCharType="separate"/>
      </w:r>
      <w:r>
        <w:t>2</w:t>
      </w:r>
      <w:r>
        <w:fldChar w:fldCharType="end"/>
      </w:r>
      <w:r>
        <w:fldChar w:fldCharType="end"/>
      </w:r>
    </w:p>
    <w:p>
      <w:pPr>
        <w:pStyle w:val="23"/>
        <w:tabs>
          <w:tab w:val="right" w:leader="dot" w:pos="9016"/>
        </w:tabs>
        <w:rPr>
          <w:rFonts w:ascii="Droid Sans" w:eastAsia="宋体" w:hAnsi="Droid Sans"/>
          <w:sz w:val="22"/>
          <w:lang w:val="en-IN" w:eastAsia="en-IN"/>
        </w:rPr>
      </w:pPr>
      <w:r>
        <w:fldChar w:fldCharType="begin"/>
      </w:r>
      <w:r>
        <w:instrText>Hyperlink \l "_Toc130320665"</w:instrText>
      </w:r>
      <w:r>
        <w:fldChar w:fldCharType="separate"/>
      </w:r>
      <w:r>
        <w:t>Organizational Background</w:t>
        <w:tab/>
      </w:r>
      <w:r>
        <w:fldChar w:fldCharType="begin"/>
      </w:r>
      <w:r>
        <w:instrText xml:space="preserve"> PAGEREF _Toc130320665 \h </w:instrText>
      </w:r>
      <w:r>
        <w:fldChar w:fldCharType="separate"/>
      </w:r>
      <w:r>
        <w:t>2</w:t>
      </w:r>
      <w:r>
        <w:fldChar w:fldCharType="end"/>
      </w:r>
      <w:r>
        <w:fldChar w:fldCharType="end"/>
      </w:r>
    </w:p>
    <w:p>
      <w:pPr>
        <w:pStyle w:val="24"/>
        <w:tabs>
          <w:tab w:val="right" w:leader="dot" w:pos="9016"/>
        </w:tabs>
        <w:rPr>
          <w:rFonts w:ascii="Droid Sans" w:eastAsia="宋体" w:hAnsi="Droid Sans"/>
          <w:sz w:val="22"/>
          <w:lang w:val="en-IN" w:eastAsia="en-IN"/>
        </w:rPr>
      </w:pPr>
      <w:r>
        <w:fldChar w:fldCharType="begin"/>
      </w:r>
      <w:r>
        <w:instrText>Hyperlink \l "_Toc130320666"</w:instrText>
      </w:r>
      <w:r>
        <w:fldChar w:fldCharType="separate"/>
      </w:r>
      <w:r>
        <w:t>Mission and Objectives</w:t>
        <w:tab/>
      </w:r>
      <w:r>
        <w:fldChar w:fldCharType="begin"/>
      </w:r>
      <w:r>
        <w:instrText xml:space="preserve"> PAGEREF _Toc130320666 \h </w:instrText>
      </w:r>
      <w:r>
        <w:fldChar w:fldCharType="separate"/>
      </w:r>
      <w:r>
        <w:t>3</w:t>
      </w:r>
      <w:r>
        <w:fldChar w:fldCharType="end"/>
      </w:r>
      <w:r>
        <w:fldChar w:fldCharType="end"/>
      </w:r>
    </w:p>
    <w:p>
      <w:pPr>
        <w:pStyle w:val="23"/>
        <w:tabs>
          <w:tab w:val="right" w:leader="dot" w:pos="9016"/>
        </w:tabs>
        <w:rPr>
          <w:rFonts w:ascii="Droid Sans" w:eastAsia="宋体" w:hAnsi="Droid Sans"/>
          <w:sz w:val="22"/>
          <w:lang w:val="en-IN" w:eastAsia="en-IN"/>
        </w:rPr>
      </w:pPr>
      <w:r>
        <w:fldChar w:fldCharType="begin"/>
      </w:r>
      <w:r>
        <w:instrText>Hyperlink \l "_Toc130320667"</w:instrText>
      </w:r>
      <w:r>
        <w:fldChar w:fldCharType="separate"/>
      </w:r>
      <w:r>
        <w:t>Macro-Environment Analysis</w:t>
        <w:tab/>
      </w:r>
      <w:r>
        <w:fldChar w:fldCharType="begin"/>
      </w:r>
      <w:r>
        <w:instrText xml:space="preserve"> PAGEREF _Toc130320667 \h </w:instrText>
      </w:r>
      <w:r>
        <w:fldChar w:fldCharType="separate"/>
      </w:r>
      <w:r>
        <w:t>4</w:t>
      </w:r>
      <w:r>
        <w:fldChar w:fldCharType="end"/>
      </w:r>
      <w:r>
        <w:fldChar w:fldCharType="end"/>
      </w:r>
    </w:p>
    <w:p>
      <w:pPr>
        <w:pStyle w:val="24"/>
        <w:tabs>
          <w:tab w:val="right" w:leader="dot" w:pos="9016"/>
        </w:tabs>
        <w:rPr>
          <w:rFonts w:ascii="Droid Sans" w:eastAsia="宋体" w:hAnsi="Droid Sans"/>
          <w:sz w:val="22"/>
          <w:lang w:val="en-IN" w:eastAsia="en-IN"/>
        </w:rPr>
      </w:pPr>
      <w:r>
        <w:fldChar w:fldCharType="begin"/>
      </w:r>
      <w:r>
        <w:instrText>Hyperlink \l "_Toc130320668"</w:instrText>
      </w:r>
      <w:r>
        <w:fldChar w:fldCharType="separate"/>
      </w:r>
      <w:r>
        <w:t>PESTEL Analysis</w:t>
        <w:tab/>
      </w:r>
      <w:r>
        <w:fldChar w:fldCharType="begin"/>
      </w:r>
      <w:r>
        <w:instrText xml:space="preserve"> PAGEREF _Toc130320668 \h </w:instrText>
      </w:r>
      <w:r>
        <w:fldChar w:fldCharType="separate"/>
      </w:r>
      <w:r>
        <w:t>4</w:t>
      </w:r>
      <w:r>
        <w:fldChar w:fldCharType="end"/>
      </w:r>
      <w:r>
        <w:fldChar w:fldCharType="end"/>
      </w:r>
    </w:p>
    <w:p>
      <w:pPr>
        <w:pStyle w:val="23"/>
        <w:tabs>
          <w:tab w:val="right" w:leader="dot" w:pos="9016"/>
        </w:tabs>
        <w:rPr>
          <w:rFonts w:ascii="Droid Sans" w:eastAsia="宋体" w:hAnsi="Droid Sans"/>
          <w:sz w:val="22"/>
          <w:lang w:val="en-IN" w:eastAsia="en-IN"/>
        </w:rPr>
      </w:pPr>
      <w:r>
        <w:fldChar w:fldCharType="begin"/>
      </w:r>
      <w:r>
        <w:instrText>Hyperlink \l "_Toc130320669"</w:instrText>
      </w:r>
      <w:r>
        <w:fldChar w:fldCharType="separate"/>
      </w:r>
      <w:r>
        <w:t>Micro-Environment Analysis</w:t>
        <w:tab/>
      </w:r>
      <w:r>
        <w:fldChar w:fldCharType="begin"/>
      </w:r>
      <w:r>
        <w:instrText xml:space="preserve"> PAGEREF _Toc130320669 \h </w:instrText>
      </w:r>
      <w:r>
        <w:fldChar w:fldCharType="separate"/>
      </w:r>
      <w:r>
        <w:t>10</w:t>
      </w:r>
      <w:r>
        <w:fldChar w:fldCharType="end"/>
      </w:r>
      <w:r>
        <w:fldChar w:fldCharType="end"/>
      </w:r>
    </w:p>
    <w:p>
      <w:pPr>
        <w:pStyle w:val="24"/>
        <w:tabs>
          <w:tab w:val="right" w:leader="dot" w:pos="9016"/>
        </w:tabs>
        <w:rPr>
          <w:rFonts w:ascii="Droid Sans" w:eastAsia="宋体" w:hAnsi="Droid Sans"/>
          <w:sz w:val="22"/>
          <w:lang w:val="en-IN" w:eastAsia="en-IN"/>
        </w:rPr>
      </w:pPr>
      <w:r>
        <w:fldChar w:fldCharType="begin"/>
      </w:r>
      <w:r>
        <w:instrText>Hyperlink \l "_Toc130320670"</w:instrText>
      </w:r>
      <w:r>
        <w:fldChar w:fldCharType="separate"/>
      </w:r>
      <w:r>
        <w:t>Industry Life Cycle</w:t>
        <w:tab/>
      </w:r>
      <w:r>
        <w:fldChar w:fldCharType="begin"/>
      </w:r>
      <w:r>
        <w:instrText xml:space="preserve"> PAGEREF _Toc130320670 \h </w:instrText>
      </w:r>
      <w:r>
        <w:fldChar w:fldCharType="separate"/>
      </w:r>
      <w:r>
        <w:t>10</w:t>
      </w:r>
      <w:r>
        <w:fldChar w:fldCharType="end"/>
      </w:r>
      <w:r>
        <w:fldChar w:fldCharType="end"/>
      </w:r>
    </w:p>
    <w:p>
      <w:pPr>
        <w:pStyle w:val="24"/>
        <w:tabs>
          <w:tab w:val="right" w:leader="dot" w:pos="9016"/>
        </w:tabs>
        <w:rPr>
          <w:rFonts w:ascii="Droid Sans" w:eastAsia="宋体" w:hAnsi="Droid Sans"/>
          <w:sz w:val="22"/>
          <w:lang w:val="en-IN" w:eastAsia="en-IN"/>
        </w:rPr>
      </w:pPr>
      <w:r>
        <w:fldChar w:fldCharType="begin"/>
      </w:r>
      <w:r>
        <w:instrText>Hyperlink \l "_Toc130320671"</w:instrText>
      </w:r>
      <w:r>
        <w:fldChar w:fldCharType="separate"/>
      </w:r>
      <w:r>
        <w:t>Porter’s Industry Five Forces Analysis</w:t>
        <w:tab/>
      </w:r>
      <w:r>
        <w:fldChar w:fldCharType="begin"/>
      </w:r>
      <w:r>
        <w:instrText xml:space="preserve"> PAGEREF _Toc130320671 \h </w:instrText>
      </w:r>
      <w:r>
        <w:fldChar w:fldCharType="separate"/>
      </w:r>
      <w:r>
        <w:t>11</w:t>
      </w:r>
      <w:r>
        <w:fldChar w:fldCharType="end"/>
      </w:r>
      <w:r>
        <w:fldChar w:fldCharType="end"/>
      </w:r>
    </w:p>
    <w:p>
      <w:pPr>
        <w:pStyle w:val="23"/>
        <w:tabs>
          <w:tab w:val="right" w:leader="dot" w:pos="9016"/>
        </w:tabs>
        <w:rPr>
          <w:rFonts w:ascii="Droid Sans" w:eastAsia="宋体" w:hAnsi="Droid Sans"/>
          <w:sz w:val="22"/>
          <w:lang w:val="en-IN" w:eastAsia="en-IN"/>
        </w:rPr>
      </w:pPr>
      <w:r>
        <w:fldChar w:fldCharType="begin"/>
      </w:r>
      <w:r>
        <w:instrText>Hyperlink \l "_Toc130320672"</w:instrText>
      </w:r>
      <w:r>
        <w:fldChar w:fldCharType="separate"/>
      </w:r>
      <w:r>
        <w:t>Internal Analysis</w:t>
        <w:tab/>
      </w:r>
      <w:r>
        <w:fldChar w:fldCharType="begin"/>
      </w:r>
      <w:r>
        <w:instrText xml:space="preserve"> PAGEREF _Toc130320672 \h </w:instrText>
      </w:r>
      <w:r>
        <w:fldChar w:fldCharType="separate"/>
      </w:r>
      <w:r>
        <w:t>15</w:t>
      </w:r>
      <w:r>
        <w:fldChar w:fldCharType="end"/>
      </w:r>
      <w:r>
        <w:fldChar w:fldCharType="end"/>
      </w:r>
    </w:p>
    <w:p>
      <w:pPr>
        <w:pStyle w:val="24"/>
        <w:tabs>
          <w:tab w:val="right" w:leader="dot" w:pos="9016"/>
        </w:tabs>
        <w:rPr>
          <w:rFonts w:ascii="Droid Sans" w:eastAsia="宋体" w:hAnsi="Droid Sans"/>
          <w:sz w:val="22"/>
          <w:lang w:val="en-IN" w:eastAsia="en-IN"/>
        </w:rPr>
      </w:pPr>
      <w:r>
        <w:fldChar w:fldCharType="begin"/>
      </w:r>
      <w:r>
        <w:instrText>Hyperlink \l "_Toc130320673"</w:instrText>
      </w:r>
      <w:r>
        <w:fldChar w:fldCharType="separate"/>
      </w:r>
      <w:r>
        <w:t>Strategic Resources and Capabilities</w:t>
        <w:tab/>
      </w:r>
      <w:r>
        <w:fldChar w:fldCharType="begin"/>
      </w:r>
      <w:r>
        <w:instrText xml:space="preserve"> PAGEREF _Toc130320673 \h </w:instrText>
      </w:r>
      <w:r>
        <w:fldChar w:fldCharType="separate"/>
      </w:r>
      <w:r>
        <w:t>15</w:t>
      </w:r>
      <w:r>
        <w:fldChar w:fldCharType="end"/>
      </w:r>
      <w:r>
        <w:fldChar w:fldCharType="end"/>
      </w:r>
    </w:p>
    <w:p>
      <w:pPr>
        <w:pStyle w:val="24"/>
        <w:tabs>
          <w:tab w:val="right" w:leader="dot" w:pos="9016"/>
        </w:tabs>
        <w:rPr>
          <w:rFonts w:ascii="Droid Sans" w:eastAsia="宋体" w:hAnsi="Droid Sans"/>
          <w:sz w:val="22"/>
          <w:lang w:val="en-IN" w:eastAsia="en-IN"/>
        </w:rPr>
      </w:pPr>
      <w:r>
        <w:fldChar w:fldCharType="begin"/>
      </w:r>
      <w:r>
        <w:instrText>Hyperlink \l "_Toc130320674"</w:instrText>
      </w:r>
      <w:r>
        <w:fldChar w:fldCharType="separate"/>
      </w:r>
      <w:r>
        <w:t>Value Chain Analysis</w:t>
        <w:tab/>
      </w:r>
      <w:r>
        <w:fldChar w:fldCharType="begin"/>
      </w:r>
      <w:r>
        <w:instrText xml:space="preserve"> PAGEREF _Toc130320674 \h </w:instrText>
      </w:r>
      <w:r>
        <w:fldChar w:fldCharType="separate"/>
      </w:r>
      <w:r>
        <w:t>16</w:t>
      </w:r>
      <w:r>
        <w:fldChar w:fldCharType="end"/>
      </w:r>
      <w:r>
        <w:fldChar w:fldCharType="end"/>
      </w:r>
    </w:p>
    <w:p>
      <w:pPr>
        <w:pStyle w:val="28"/>
        <w:tabs>
          <w:tab w:val="right" w:leader="dot" w:pos="9016"/>
        </w:tabs>
        <w:rPr>
          <w:rFonts w:ascii="Droid Sans" w:eastAsia="宋体" w:hAnsi="Droid Sans"/>
          <w:sz w:val="22"/>
          <w:lang w:val="en-IN" w:eastAsia="en-IN"/>
        </w:rPr>
      </w:pPr>
      <w:r>
        <w:fldChar w:fldCharType="begin"/>
      </w:r>
      <w:r>
        <w:instrText>Hyperlink \l "_Toc130320675"</w:instrText>
      </w:r>
      <w:r>
        <w:fldChar w:fldCharType="separate"/>
      </w:r>
      <w:r>
        <w:t>Primary Activities</w:t>
        <w:tab/>
      </w:r>
      <w:r>
        <w:fldChar w:fldCharType="begin"/>
      </w:r>
      <w:r>
        <w:instrText xml:space="preserve"> PAGEREF _Toc130320675 \h </w:instrText>
      </w:r>
      <w:r>
        <w:fldChar w:fldCharType="separate"/>
      </w:r>
      <w:r>
        <w:t>16</w:t>
      </w:r>
      <w:r>
        <w:fldChar w:fldCharType="end"/>
      </w:r>
      <w:r>
        <w:fldChar w:fldCharType="end"/>
      </w:r>
    </w:p>
    <w:p>
      <w:pPr>
        <w:pStyle w:val="28"/>
        <w:tabs>
          <w:tab w:val="right" w:leader="dot" w:pos="9016"/>
        </w:tabs>
        <w:rPr>
          <w:rFonts w:ascii="Droid Sans" w:eastAsia="宋体" w:hAnsi="Droid Sans"/>
          <w:sz w:val="22"/>
          <w:lang w:val="en-IN" w:eastAsia="en-IN"/>
        </w:rPr>
      </w:pPr>
      <w:r>
        <w:fldChar w:fldCharType="begin"/>
      </w:r>
      <w:r>
        <w:instrText>Hyperlink \l "_Toc130320676"</w:instrText>
      </w:r>
      <w:r>
        <w:fldChar w:fldCharType="separate"/>
      </w:r>
      <w:r>
        <w:t>Secondary Activities</w:t>
        <w:tab/>
      </w:r>
      <w:r>
        <w:fldChar w:fldCharType="begin"/>
      </w:r>
      <w:r>
        <w:instrText xml:space="preserve"> PAGEREF _Toc130320676 \h </w:instrText>
      </w:r>
      <w:r>
        <w:fldChar w:fldCharType="separate"/>
      </w:r>
      <w:r>
        <w:t>18</w:t>
      </w:r>
      <w:r>
        <w:fldChar w:fldCharType="end"/>
      </w:r>
      <w:r>
        <w:fldChar w:fldCharType="end"/>
      </w:r>
    </w:p>
    <w:p>
      <w:pPr>
        <w:pStyle w:val="24"/>
        <w:tabs>
          <w:tab w:val="right" w:leader="dot" w:pos="9016"/>
        </w:tabs>
        <w:rPr>
          <w:rFonts w:ascii="Droid Sans" w:eastAsia="宋体" w:hAnsi="Droid Sans"/>
          <w:sz w:val="22"/>
          <w:lang w:val="en-IN" w:eastAsia="en-IN"/>
        </w:rPr>
      </w:pPr>
      <w:r>
        <w:fldChar w:fldCharType="begin"/>
      </w:r>
      <w:r>
        <w:instrText>Hyperlink \l "_Toc130320677"</w:instrText>
      </w:r>
      <w:r>
        <w:fldChar w:fldCharType="separate"/>
      </w:r>
      <w:r>
        <w:t>VRIO Analysis of Distinctive Resources and Capabilities</w:t>
        <w:tab/>
      </w:r>
      <w:r>
        <w:fldChar w:fldCharType="begin"/>
      </w:r>
      <w:r>
        <w:instrText xml:space="preserve"> PAGEREF _Toc130320677 \h </w:instrText>
      </w:r>
      <w:r>
        <w:fldChar w:fldCharType="separate"/>
      </w:r>
      <w:r>
        <w:t>19</w:t>
      </w:r>
      <w:r>
        <w:fldChar w:fldCharType="end"/>
      </w:r>
      <w:r>
        <w:fldChar w:fldCharType="end"/>
      </w:r>
    </w:p>
    <w:p>
      <w:pPr>
        <w:pStyle w:val="24"/>
        <w:tabs>
          <w:tab w:val="right" w:leader="dot" w:pos="9016"/>
        </w:tabs>
        <w:rPr>
          <w:rFonts w:ascii="Droid Sans" w:eastAsia="宋体" w:hAnsi="Droid Sans"/>
          <w:sz w:val="22"/>
          <w:lang w:val="en-IN" w:eastAsia="en-IN"/>
        </w:rPr>
      </w:pPr>
      <w:r>
        <w:fldChar w:fldCharType="begin"/>
      </w:r>
      <w:r>
        <w:instrText>Hyperlink \l "_Toc130320678"</w:instrText>
      </w:r>
      <w:r>
        <w:fldChar w:fldCharType="separate"/>
      </w:r>
      <w:r>
        <w:t>SWOT Analysis</w:t>
        <w:tab/>
      </w:r>
      <w:r>
        <w:fldChar w:fldCharType="begin"/>
      </w:r>
      <w:r>
        <w:instrText xml:space="preserve"> PAGEREF _Toc130320678 \h </w:instrText>
      </w:r>
      <w:r>
        <w:fldChar w:fldCharType="separate"/>
      </w:r>
      <w:r>
        <w:t>20</w:t>
      </w:r>
      <w:r>
        <w:fldChar w:fldCharType="end"/>
      </w:r>
      <w:r>
        <w:fldChar w:fldCharType="end"/>
      </w:r>
    </w:p>
    <w:p>
      <w:pPr>
        <w:pStyle w:val="23"/>
        <w:tabs>
          <w:tab w:val="right" w:leader="dot" w:pos="9016"/>
        </w:tabs>
        <w:rPr>
          <w:rFonts w:ascii="Droid Sans" w:eastAsia="宋体" w:hAnsi="Droid Sans"/>
          <w:sz w:val="22"/>
          <w:lang w:val="en-IN" w:eastAsia="en-IN"/>
        </w:rPr>
      </w:pPr>
      <w:r>
        <w:fldChar w:fldCharType="begin"/>
      </w:r>
      <w:r>
        <w:instrText>Hyperlink \l "_Toc130320679"</w:instrText>
      </w:r>
      <w:r>
        <w:fldChar w:fldCharType="separate"/>
      </w:r>
      <w:r>
        <w:t>Strategies to Sustain Competitive Advantage</w:t>
        <w:tab/>
      </w:r>
      <w:r>
        <w:fldChar w:fldCharType="begin"/>
      </w:r>
      <w:r>
        <w:instrText xml:space="preserve"> PAGEREF _Toc130320679 \h </w:instrText>
      </w:r>
      <w:r>
        <w:fldChar w:fldCharType="separate"/>
      </w:r>
      <w:r>
        <w:t>22</w:t>
      </w:r>
      <w:r>
        <w:fldChar w:fldCharType="end"/>
      </w:r>
      <w:r>
        <w:fldChar w:fldCharType="end"/>
      </w:r>
    </w:p>
    <w:p>
      <w:pPr>
        <w:pStyle w:val="23"/>
        <w:tabs>
          <w:tab w:val="right" w:leader="dot" w:pos="9016"/>
        </w:tabs>
        <w:rPr>
          <w:rFonts w:ascii="Droid Sans" w:eastAsia="宋体" w:hAnsi="Droid Sans"/>
          <w:sz w:val="22"/>
          <w:lang w:val="en-IN" w:eastAsia="en-IN"/>
        </w:rPr>
      </w:pPr>
      <w:r>
        <w:fldChar w:fldCharType="begin"/>
      </w:r>
      <w:r>
        <w:instrText>Hyperlink \l "_Toc130320680"</w:instrText>
      </w:r>
      <w:r>
        <w:fldChar w:fldCharType="separate"/>
      </w:r>
      <w:r>
        <w:t>Growth Strategies</w:t>
        <w:tab/>
      </w:r>
      <w:r>
        <w:fldChar w:fldCharType="begin"/>
      </w:r>
      <w:r>
        <w:instrText xml:space="preserve"> PAGEREF _Toc130320680 \h </w:instrText>
      </w:r>
      <w:r>
        <w:fldChar w:fldCharType="separate"/>
      </w:r>
      <w:r>
        <w:t>23</w:t>
      </w:r>
      <w:r>
        <w:fldChar w:fldCharType="end"/>
      </w:r>
      <w:r>
        <w:fldChar w:fldCharType="end"/>
      </w:r>
    </w:p>
    <w:p>
      <w:pPr>
        <w:pStyle w:val="23"/>
        <w:tabs>
          <w:tab w:val="right" w:leader="dot" w:pos="9016"/>
        </w:tabs>
        <w:rPr>
          <w:rFonts w:ascii="Droid Sans" w:eastAsia="宋体" w:hAnsi="Droid Sans"/>
          <w:sz w:val="22"/>
          <w:lang w:val="en-IN" w:eastAsia="en-IN"/>
        </w:rPr>
      </w:pPr>
      <w:r>
        <w:fldChar w:fldCharType="begin"/>
      </w:r>
      <w:r>
        <w:instrText>Hyperlink \l "_Toc130320681"</w:instrText>
      </w:r>
      <w:r>
        <w:fldChar w:fldCharType="separate"/>
      </w:r>
      <w:r>
        <w:t>Green Strategy and CSR</w:t>
        <w:tab/>
      </w:r>
      <w:r>
        <w:fldChar w:fldCharType="begin"/>
      </w:r>
      <w:r>
        <w:instrText xml:space="preserve"> PAGEREF _Toc130320681 \h </w:instrText>
      </w:r>
      <w:r>
        <w:fldChar w:fldCharType="separate"/>
      </w:r>
      <w:r>
        <w:t>23</w:t>
      </w:r>
      <w:r>
        <w:fldChar w:fldCharType="end"/>
      </w:r>
      <w:r>
        <w:fldChar w:fldCharType="end"/>
      </w:r>
    </w:p>
    <w:p>
      <w:pPr>
        <w:pStyle w:val="23"/>
        <w:tabs>
          <w:tab w:val="right" w:leader="dot" w:pos="9016"/>
        </w:tabs>
        <w:rPr>
          <w:rFonts w:ascii="Droid Sans" w:eastAsia="宋体" w:hAnsi="Droid Sans"/>
          <w:sz w:val="22"/>
          <w:lang w:val="en-IN" w:eastAsia="en-IN"/>
        </w:rPr>
      </w:pPr>
      <w:r>
        <w:fldChar w:fldCharType="begin"/>
      </w:r>
      <w:r>
        <w:instrText>Hyperlink \l "_Toc130320682"</w:instrText>
      </w:r>
      <w:r>
        <w:fldChar w:fldCharType="separate"/>
      </w:r>
      <w:r>
        <w:t>Conclusion</w:t>
        <w:tab/>
      </w:r>
      <w:r>
        <w:fldChar w:fldCharType="begin"/>
      </w:r>
      <w:r>
        <w:instrText xml:space="preserve"> PAGEREF _Toc130320682 \h </w:instrText>
      </w:r>
      <w:r>
        <w:fldChar w:fldCharType="separate"/>
      </w:r>
      <w:r>
        <w:t>24</w:t>
      </w:r>
      <w:r>
        <w:fldChar w:fldCharType="end"/>
      </w:r>
      <w:r>
        <w:fldChar w:fldCharType="end"/>
      </w:r>
    </w:p>
    <w:p>
      <w:pPr>
        <w:pStyle w:val="23"/>
        <w:tabs>
          <w:tab w:val="right" w:leader="dot" w:pos="9016"/>
        </w:tabs>
        <w:rPr>
          <w:rFonts w:ascii="Droid Sans" w:eastAsia="宋体" w:hAnsi="Droid Sans"/>
          <w:sz w:val="22"/>
          <w:lang w:val="en-IN" w:eastAsia="en-IN"/>
        </w:rPr>
      </w:pPr>
      <w:r>
        <w:fldChar w:fldCharType="begin"/>
      </w:r>
      <w:r>
        <w:instrText>Hyperlink \l "_Toc130320683"</w:instrText>
      </w:r>
      <w:r>
        <w:fldChar w:fldCharType="separate"/>
      </w:r>
      <w:r>
        <w:t>Recommendation</w:t>
        <w:tab/>
      </w:r>
      <w:r>
        <w:fldChar w:fldCharType="begin"/>
      </w:r>
      <w:r>
        <w:instrText xml:space="preserve"> PAGEREF _Toc130320683 \h </w:instrText>
      </w:r>
      <w:r>
        <w:fldChar w:fldCharType="separate"/>
      </w:r>
      <w:r>
        <w:t>25</w:t>
      </w:r>
      <w:r>
        <w:fldChar w:fldCharType="end"/>
      </w:r>
      <w:r>
        <w:fldChar w:fldCharType="end"/>
      </w:r>
    </w:p>
    <w:p>
      <w:pPr>
        <w:pStyle w:val="23"/>
        <w:tabs>
          <w:tab w:val="right" w:leader="dot" w:pos="9016"/>
        </w:tabs>
        <w:rPr>
          <w:rFonts w:ascii="Droid Sans" w:eastAsia="宋体" w:hAnsi="Droid Sans"/>
          <w:sz w:val="22"/>
          <w:lang w:val="en-IN" w:eastAsia="en-IN"/>
        </w:rPr>
      </w:pPr>
      <w:r>
        <w:fldChar w:fldCharType="begin"/>
      </w:r>
      <w:r>
        <w:instrText>Hyperlink \l "_Toc130320684"</w:instrText>
      </w:r>
      <w:r>
        <w:fldChar w:fldCharType="separate"/>
      </w:r>
      <w:r>
        <w:t>References</w:t>
        <w:tab/>
      </w:r>
      <w:r>
        <w:fldChar w:fldCharType="begin"/>
      </w:r>
      <w:r>
        <w:instrText xml:space="preserve"> PAGEREF _Toc130320684 \h </w:instrText>
      </w:r>
      <w:r>
        <w:fldChar w:fldCharType="separate"/>
      </w:r>
      <w:r>
        <w:t>25</w:t>
      </w:r>
      <w:r>
        <w:fldChar w:fldCharType="end"/>
      </w:r>
      <w:r>
        <w:fldChar w:fldCharType="end"/>
      </w:r>
    </w:p>
    <w:p>
      <w:pPr>
        <w:pStyle w:val="23"/>
        <w:tabs>
          <w:tab w:val="right" w:leader="dot" w:pos="9016"/>
        </w:tabs>
        <w:rPr>
          <w:rFonts w:ascii="Droid Sans" w:eastAsia="宋体" w:hAnsi="Droid Sans"/>
          <w:sz w:val="22"/>
          <w:lang w:val="en-IN" w:eastAsia="en-IN"/>
        </w:rPr>
      </w:pPr>
      <w:r>
        <w:fldChar w:fldCharType="begin"/>
      </w:r>
      <w:r>
        <w:instrText>Hyperlink \l "_Toc130320685"</w:instrText>
      </w:r>
      <w:r>
        <w:fldChar w:fldCharType="separate"/>
      </w:r>
      <w:r>
        <w:t>Appendix</w:t>
        <w:tab/>
      </w:r>
      <w:r>
        <w:fldChar w:fldCharType="begin"/>
      </w:r>
      <w:r>
        <w:instrText xml:space="preserve"> PAGEREF _Toc130320685 \h </w:instrText>
      </w:r>
      <w:r>
        <w:fldChar w:fldCharType="separate"/>
      </w:r>
      <w:r>
        <w:t>29</w:t>
      </w:r>
      <w:r>
        <w:fldChar w:fldCharType="end"/>
      </w:r>
      <w:r>
        <w:fldChar w:fldCharType="end"/>
      </w:r>
    </w:p>
    <w:p>
      <w:pPr>
        <w:pStyle w:val="24"/>
        <w:tabs>
          <w:tab w:val="right" w:leader="dot" w:pos="9016"/>
        </w:tabs>
        <w:rPr>
          <w:rFonts w:ascii="Droid Sans" w:eastAsia="宋体" w:hAnsi="Droid Sans"/>
          <w:sz w:val="22"/>
          <w:lang w:val="en-IN" w:eastAsia="en-IN"/>
        </w:rPr>
      </w:pPr>
      <w:r>
        <w:fldChar w:fldCharType="begin"/>
      </w:r>
      <w:r>
        <w:instrText>Hyperlink \l "_Toc130320686"</w:instrText>
      </w:r>
      <w:r>
        <w:fldChar w:fldCharType="separate"/>
      </w:r>
      <w:r>
        <w:t>Appendix 1:</w:t>
        <w:tab/>
      </w:r>
      <w:r>
        <w:fldChar w:fldCharType="begin"/>
      </w:r>
      <w:r>
        <w:instrText xml:space="preserve"> PAGEREF _Toc130320686 \h </w:instrText>
      </w:r>
      <w:r>
        <w:fldChar w:fldCharType="separate"/>
      </w:r>
      <w:r>
        <w:t>29</w:t>
      </w:r>
      <w:r>
        <w:fldChar w:fldCharType="end"/>
      </w:r>
      <w:r>
        <w:fldChar w:fldCharType="end"/>
      </w:r>
    </w:p>
    <w:p>
      <w:pPr>
        <w:pStyle w:val="24"/>
        <w:tabs>
          <w:tab w:val="right" w:leader="dot" w:pos="9016"/>
        </w:tabs>
        <w:rPr>
          <w:rFonts w:ascii="Droid Sans" w:eastAsia="宋体" w:hAnsi="Droid Sans"/>
          <w:sz w:val="22"/>
          <w:lang w:val="en-IN" w:eastAsia="en-IN"/>
        </w:rPr>
      </w:pPr>
      <w:r>
        <w:fldChar w:fldCharType="begin"/>
      </w:r>
      <w:r>
        <w:instrText>Hyperlink \l "_Toc130320687"</w:instrText>
      </w:r>
      <w:r>
        <w:fldChar w:fldCharType="separate"/>
      </w:r>
      <w:r>
        <w:t>Appendix 2:</w:t>
        <w:tab/>
      </w:r>
      <w:r>
        <w:fldChar w:fldCharType="begin"/>
      </w:r>
      <w:r>
        <w:instrText xml:space="preserve"> PAGEREF _Toc130320687 \h </w:instrText>
      </w:r>
      <w:r>
        <w:fldChar w:fldCharType="separate"/>
      </w:r>
      <w:r>
        <w:t>29</w:t>
      </w:r>
      <w:r>
        <w:fldChar w:fldCharType="end"/>
      </w:r>
      <w:r>
        <w:fldChar w:fldCharType="end"/>
      </w:r>
    </w:p>
    <w:p>
      <w:r>
        <w:fldChar w:fldCharType="end"/>
      </w:r>
    </w:p>
    <w:p>
      <w:r>
        <w:t xml:space="preserve"> </w:t>
      </w:r>
    </w:p>
    <w:p>
      <w:pPr>
        <w:rPr>
          <w:rFonts w:ascii="Arial" w:eastAsia="宋体" w:cs="Times New Roman" w:hAnsi="Arial"/>
          <w:b/>
          <w:bCs/>
          <w:color w:val="17365D"/>
          <w:szCs w:val="24"/>
          <w:lang w:eastAsia="ja-JP"/>
        </w:rPr>
      </w:pPr>
      <w:r>
        <w:br w:type="page"/>
      </w:r>
    </w:p>
    <w:p>
      <w:pPr>
        <w:pStyle w:val="1"/>
      </w:pPr>
      <w:bookmarkStart w:id="1" w:name="_Toc130320664"/>
      <w:r>
        <w:t>Introduction</w:t>
      </w:r>
      <w:bookmarkEnd w:id="1"/>
    </w:p>
    <w:p>
      <w:pPr>
        <w:pStyle w:val="33"/>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Strategic management helps the organization analyze external and internal forces, and all resources, which assists the organization in meeting its goals. However, it changes the company's environment according to its requirements, which involves success for this company as well. This report includes the importance of strategic management and how it assists in monitoring all capabilities of the "InterContinental Hotels Group" or IHG Company. It involves clear information on all objectives and missions of this IHG organization and the strategic management of this specific organization. This project also covers all activities that significantly impact this company's growth section, additionally, it implements a PESTEL analysis that describes all factors clearly and it is beneficial for collecting proper information. On the other hand, here also describes the value chain of this IHG Company, which includes green strategies and growth strategies, it assists to collect significant information about its strategies. Finally, it provides a recommendation according to the company's requirements and needs, which effectively helps to develop its resources.</w:t>
      </w:r>
    </w:p>
    <w:p>
      <w:pPr>
        <w:spacing w:line="360" w:lineRule="auto"/>
        <w:jc w:val="both"/>
        <w:rPr>
          <w:szCs w:val="24"/>
        </w:rPr>
      </w:pPr>
    </w:p>
    <w:p>
      <w:pPr>
        <w:spacing w:line="360" w:lineRule="auto"/>
        <w:jc w:val="both"/>
        <w:rPr>
          <w:szCs w:val="24"/>
        </w:rPr>
      </w:pPr>
    </w:p>
    <w:p>
      <w:pPr>
        <w:pStyle w:val="1"/>
      </w:pPr>
      <w:bookmarkStart w:id="2" w:name="_Toc130320665"/>
      <w:r>
        <w:t>Organizational Background</w:t>
      </w:r>
      <w:bookmarkEnd w:id="2"/>
    </w:p>
    <w:p>
      <w:pPr>
        <w:pStyle w:val="33"/>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One of the top resorts and hotels in the world is “InterContinental Hotels Group”, which employs around 345,000 co-workers in more than 100 different countries (Ihgplc.com, 2023). The main ambition of this organization is to deliver a high-quality net room to all guests and this organization developing its brand in a huge level market as well. Along with it, this organization includes crucial responsibilities to take care of all guests, which makes a positive difference to its all communities as well. Based on this research, it has been addressed that IHG Company selected effective KPIs to measure its overall performance, additionally, these KPIs help to monitor its all successes (Ateljević,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 xml:space="preserve">2023). Moreover, KPIs assist to improve its growth positions and include effective strategies that achieve its goal in the UK market. However, IHG firms reward one of the top largest hotels and resort in the globe, and this company has around 6,000 hotels along with around 885,000 guest rooms in overall a thousand countries. </w:t>
      </w:r>
    </w:p>
    <w:p>
      <w:pPr>
        <w:pStyle w:val="33"/>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total gross revenue of IHG hotels in 2021 is around 13% is all non-rooms revenue, additionally, beverage and food are coming with around 11% from it (Ihgplc.com, 2023). According to this research, it has been found that IHG organization's revenue management system is world-class and the sales force of this company is nearly around 15,000 which positively impacts this organization's profit growth section as well. </w:t>
      </w:r>
    </w:p>
    <w:p>
      <w:pPr>
        <w:pStyle w:val="33"/>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lang w:val="en-IN" w:eastAsia="en-IN"/>
        </w:rPr>
        <w:drawing>
          <wp:inline distT="114300" distB="114300" distL="114300" distR="114300">
            <wp:extent cx="5731200" cy="3810000"/>
            <wp:effectExtent l="0" t="0" r="0" b="0"/>
            <wp:docPr id="7" name="图片 7"/>
            <wp:cNvGraphicFramePr>
              <a:graphicFrameLocks noChangeAspect="0"/>
            </wp:cNvGraphicFramePr>
            <a:graphic>
              <a:graphicData uri="http://schemas.openxmlformats.org/drawingml/2006/picture">
                <pic:pic>
                  <pic:nvPicPr>
                    <pic:cNvPr id="9" name="图片 9"/>
                    <pic:cNvPicPr/>
                  </pic:nvPicPr>
                  <pic:blipFill>
                    <a:blip r:embed="rId6"/>
                    <a:stretch>
                      <a:fillRect/>
                    </a:stretch>
                  </pic:blipFill>
                  <pic:spPr>
                    <a:xfrm rot="0">
                      <a:off x="0" y="0"/>
                      <a:ext cx="5731200" cy="3810000"/>
                    </a:xfrm>
                    <a:prstGeom prst="rect"/>
                    <a:noFill/>
                    <a:ln w="12700" cmpd="sng" cap="flat">
                      <a:noFill/>
                      <a:prstDash val="solid"/>
                      <a:miter/>
                    </a:ln>
                  </pic:spPr>
                </pic:pic>
              </a:graphicData>
            </a:graphic>
          </wp:inline>
        </w:drawing>
      </w:r>
    </w:p>
    <w:p>
      <w:pPr>
        <w:pStyle w:val="33"/>
        <w:spacing w:line="360" w:lineRule="auto"/>
        <w:jc w:val="center"/>
        <w:rPr>
          <w:rFonts w:ascii="Times New Roman" w:eastAsia="Times New Roman" w:cs="Times New Roman" w:hAnsi="Times New Roman"/>
          <w:b/>
          <w:sz w:val="24"/>
          <w:szCs w:val="24"/>
        </w:rPr>
      </w:pPr>
      <w:r>
        <w:rPr>
          <w:rFonts w:ascii="Times New Roman" w:eastAsia="Times New Roman" w:cs="Times New Roman" w:hAnsi="Times New Roman"/>
          <w:b/>
          <w:sz w:val="24"/>
          <w:szCs w:val="24"/>
        </w:rPr>
        <w:t xml:space="preserve">Figure 1: Income of the IHG Organization </w:t>
      </w:r>
    </w:p>
    <w:p>
      <w:pPr>
        <w:pStyle w:val="33"/>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t>(Source: Statista.com, 2023)</w:t>
      </w:r>
    </w:p>
    <w:p>
      <w:pPr>
        <w:pStyle w:val="33"/>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Based on the above figure, represents the financial situation of IHG Hotel, and it shows the structure from 2007 years to 2021 years. According to this graph, IHG company reported a net loss of around 265 million U.S. dollars in 2021, which negatively impacted its business (Statista.com, 2023). Moreover, these resorts and hotels overall net income peaked at around 1.2 billion dollars in 2015. </w:t>
      </w:r>
    </w:p>
    <w:p>
      <w:pPr>
        <w:spacing w:line="360" w:lineRule="auto"/>
        <w:jc w:val="both"/>
        <w:rPr>
          <w:rFonts w:cs="Times New Roman"/>
          <w:szCs w:val="24"/>
        </w:rPr>
      </w:pPr>
    </w:p>
    <w:p>
      <w:pPr>
        <w:pStyle w:val="2"/>
      </w:pPr>
      <w:r>
        <w:t xml:space="preserve"> </w:t>
      </w:r>
      <w:bookmarkStart w:id="3" w:name="_Toc130320666"/>
      <w:r>
        <w:t>Mission and Objectives</w:t>
      </w:r>
      <w:bookmarkEnd w:id="3"/>
    </w:p>
    <w:p>
      <w:pPr>
        <w:pStyle w:val="33"/>
        <w:spacing w:line="360" w:lineRule="auto"/>
        <w:jc w:val="both"/>
        <w:rPr>
          <w:rFonts w:ascii="Times New Roman" w:eastAsia="Times New Roman" w:cs="Times New Roman" w:hAnsi="Times New Roman"/>
          <w:b/>
          <w:sz w:val="24"/>
          <w:szCs w:val="24"/>
        </w:rPr>
      </w:pPr>
      <w:r>
        <w:rPr>
          <w:rFonts w:ascii="Times New Roman" w:eastAsia="Times New Roman" w:cs="Times New Roman" w:hAnsi="Times New Roman"/>
          <w:b/>
          <w:sz w:val="24"/>
          <w:szCs w:val="24"/>
        </w:rPr>
        <w:t xml:space="preserve">Aims: </w:t>
      </w:r>
    </w:p>
    <w:p>
      <w:pPr>
        <w:pStyle w:val="33"/>
        <w:numPr>
          <w:ilvl w:val="0"/>
          <w:numId w:val="1"/>
        </w:num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To become one of the largest and greatest companies in the world through expressing good work, and employees' values (Bogers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2019)</w:t>
      </w:r>
    </w:p>
    <w:p>
      <w:pPr>
        <w:pStyle w:val="33"/>
        <w:numPr>
          <w:ilvl w:val="0"/>
          <w:numId w:val="1"/>
        </w:num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To make hotel guests satisfied depended on their high performance and engagement in the entire workplace. </w:t>
      </w:r>
    </w:p>
    <w:p>
      <w:pPr>
        <w:pStyle w:val="33"/>
        <w:spacing w:line="360" w:lineRule="auto"/>
        <w:jc w:val="both"/>
        <w:rPr>
          <w:rFonts w:ascii="Times New Roman" w:eastAsia="Times New Roman" w:cs="Times New Roman" w:hAnsi="Times New Roman"/>
          <w:b/>
          <w:sz w:val="24"/>
          <w:szCs w:val="24"/>
        </w:rPr>
      </w:pPr>
      <w:r>
        <w:rPr>
          <w:rFonts w:ascii="Times New Roman" w:eastAsia="Times New Roman" w:cs="Times New Roman" w:hAnsi="Times New Roman"/>
          <w:b/>
          <w:sz w:val="24"/>
          <w:szCs w:val="24"/>
        </w:rPr>
        <w:t>Objectives:</w:t>
      </w:r>
    </w:p>
    <w:p>
      <w:pPr>
        <w:pStyle w:val="33"/>
        <w:numPr>
          <w:ilvl w:val="0"/>
          <w:numId w:val="2"/>
        </w:num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IHG organization used different types of strategies that make this organization unique and helps to develop its brand prestige (Cabral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2019)</w:t>
      </w:r>
    </w:p>
    <w:p>
      <w:pPr>
        <w:spacing w:line="360" w:lineRule="auto"/>
        <w:jc w:val="both"/>
        <w:rPr>
          <w:rFonts w:cs="Times New Roman"/>
          <w:szCs w:val="24"/>
        </w:rPr>
      </w:pPr>
    </w:p>
    <w:p>
      <w:pPr>
        <w:pStyle w:val="1"/>
      </w:pPr>
      <w:bookmarkStart w:id="4" w:name="_Toc130320667"/>
      <w:r>
        <w:t>Macro-Environment Analysis</w:t>
      </w:r>
      <w:bookmarkEnd w:id="4"/>
    </w:p>
    <w:p>
      <w:pPr>
        <w:spacing w:line="360" w:lineRule="auto"/>
        <w:jc w:val="both"/>
        <w:rPr>
          <w:rFonts w:cs="Times New Roman"/>
          <w:szCs w:val="24"/>
        </w:rPr>
      </w:pPr>
    </w:p>
    <w:p>
      <w:pPr>
        <w:spacing w:line="360" w:lineRule="auto"/>
        <w:jc w:val="both"/>
        <w:rPr>
          <w:rFonts w:cs="Times New Roman"/>
          <w:szCs w:val="24"/>
        </w:rPr>
      </w:pPr>
    </w:p>
    <w:p>
      <w:pPr>
        <w:pStyle w:val="2"/>
      </w:pPr>
      <w:bookmarkStart w:id="5" w:name="_Toc130320668"/>
      <w:r>
        <w:t>PESTEL Analysis</w:t>
      </w:r>
      <w:bookmarkEnd w:id="5"/>
    </w:p>
    <w:tbl>
      <w:tblPr>
        <w:jc w:val="left"/>
        <w:tblInd w:w="0" w:type="dx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Pr>
      <w:tblGrid>
        <w:gridCol w:w="3009"/>
        <w:gridCol w:w="3009"/>
        <w:gridCol w:w="3009"/>
      </w:tblGrid>
      <w:tr>
        <w:tc>
          <w:tcPr>
            <w:tcW w:w="3009" w:type="dxa"/>
            <w:shd w:val="clear" w:color="auto" w:fill="auto"/>
          </w:tcPr>
          <w:p>
            <w:pPr>
              <w:pStyle w:val="33"/>
              <w:widowControl w:val="0"/>
              <w:pBdr>
                <w:top w:val="none" w:sz="0" w:space="0" w:color="auto"/>
                <w:left w:val="none" w:sz="0" w:space="0" w:color="auto"/>
                <w:bottom w:val="none" w:sz="0" w:space="0" w:color="auto"/>
                <w:right w:val="none" w:sz="0" w:space="0" w:color="auto"/>
                <w:between w:val="none" w:sz="0" w:space="0" w:color="auto"/>
              </w:pBdr>
              <w:spacing w:line="240" w:lineRule="auto"/>
              <w:jc w:val="center"/>
              <w:rPr>
                <w:rFonts w:ascii="Times New Roman" w:eastAsia="Times New Roman" w:cs="Times New Roman" w:hAnsi="Times New Roman"/>
                <w:b/>
                <w:sz w:val="24"/>
                <w:szCs w:val="24"/>
              </w:rPr>
            </w:pPr>
            <w:r>
              <w:rPr>
                <w:rFonts w:ascii="Times New Roman" w:eastAsia="Times New Roman" w:cs="Times New Roman" w:hAnsi="Times New Roman"/>
                <w:b/>
                <w:sz w:val="24"/>
                <w:szCs w:val="24"/>
              </w:rPr>
              <w:t xml:space="preserve">Factors </w:t>
            </w:r>
          </w:p>
        </w:tc>
        <w:tc>
          <w:tcPr>
            <w:tcW w:w="3009" w:type="dxa"/>
            <w:shd w:val="clear" w:color="auto" w:fill="auto"/>
          </w:tcPr>
          <w:p>
            <w:pPr>
              <w:pStyle w:val="33"/>
              <w:widowControl w:val="0"/>
              <w:pBdr>
                <w:top w:val="none" w:sz="0" w:space="0" w:color="auto"/>
                <w:left w:val="none" w:sz="0" w:space="0" w:color="auto"/>
                <w:bottom w:val="none" w:sz="0" w:space="0" w:color="auto"/>
                <w:right w:val="none" w:sz="0" w:space="0" w:color="auto"/>
                <w:between w:val="none" w:sz="0" w:space="0" w:color="auto"/>
              </w:pBdr>
              <w:spacing w:line="240" w:lineRule="auto"/>
              <w:jc w:val="center"/>
              <w:rPr>
                <w:rFonts w:ascii="Times New Roman" w:eastAsia="Times New Roman" w:cs="Times New Roman" w:hAnsi="Times New Roman"/>
                <w:b/>
                <w:sz w:val="24"/>
                <w:szCs w:val="24"/>
              </w:rPr>
            </w:pPr>
            <w:r>
              <w:rPr>
                <w:rFonts w:ascii="Times New Roman" w:eastAsia="Times New Roman" w:cs="Times New Roman" w:hAnsi="Times New Roman"/>
                <w:b/>
                <w:sz w:val="24"/>
                <w:szCs w:val="24"/>
              </w:rPr>
              <w:t>Description</w:t>
            </w:r>
          </w:p>
        </w:tc>
        <w:tc>
          <w:tcPr>
            <w:tcW w:w="3009" w:type="dxa"/>
            <w:shd w:val="clear" w:color="auto" w:fill="auto"/>
          </w:tcPr>
          <w:p>
            <w:pPr>
              <w:pStyle w:val="33"/>
              <w:widowControl w:val="0"/>
              <w:pBdr>
                <w:top w:val="none" w:sz="0" w:space="0" w:color="auto"/>
                <w:left w:val="none" w:sz="0" w:space="0" w:color="auto"/>
                <w:bottom w:val="none" w:sz="0" w:space="0" w:color="auto"/>
                <w:right w:val="none" w:sz="0" w:space="0" w:color="auto"/>
                <w:between w:val="none" w:sz="0" w:space="0" w:color="auto"/>
              </w:pBdr>
              <w:spacing w:line="240" w:lineRule="auto"/>
              <w:jc w:val="center"/>
              <w:rPr>
                <w:rFonts w:ascii="Times New Roman" w:eastAsia="Times New Roman" w:cs="Times New Roman" w:hAnsi="Times New Roman"/>
                <w:b/>
                <w:sz w:val="24"/>
                <w:szCs w:val="24"/>
              </w:rPr>
            </w:pPr>
            <w:r>
              <w:rPr>
                <w:rFonts w:ascii="Times New Roman" w:eastAsia="Times New Roman" w:cs="Times New Roman" w:hAnsi="Times New Roman"/>
                <w:b/>
                <w:sz w:val="24"/>
                <w:szCs w:val="24"/>
              </w:rPr>
              <w:t xml:space="preserve">Impacts </w:t>
            </w:r>
          </w:p>
        </w:tc>
      </w:tr>
      <w:tr>
        <w:tc>
          <w:tcPr>
            <w:tcW w:w="3009" w:type="dxa"/>
            <w:shd w:val="clear" w:color="auto" w:fill="auto"/>
          </w:tcPr>
          <w:p>
            <w:pPr>
              <w:pStyle w:val="33"/>
              <w:widowControl w:val="0"/>
              <w:pBdr>
                <w:top w:val="none" w:sz="0" w:space="0" w:color="auto"/>
                <w:left w:val="none" w:sz="0" w:space="0" w:color="auto"/>
                <w:bottom w:val="none" w:sz="0" w:space="0" w:color="auto"/>
                <w:right w:val="none" w:sz="0" w:space="0" w:color="auto"/>
                <w:between w:val="none" w:sz="0" w:space="0" w:color="auto"/>
              </w:pBdr>
              <w:spacing w:line="240" w:lineRule="auto"/>
              <w:jc w:val="center"/>
              <w:rPr>
                <w:rFonts w:ascii="Times New Roman" w:eastAsia="Times New Roman" w:cs="Times New Roman" w:hAnsi="Times New Roman"/>
                <w:b/>
                <w:sz w:val="24"/>
                <w:szCs w:val="24"/>
              </w:rPr>
            </w:pPr>
            <w:r>
              <w:rPr>
                <w:rFonts w:ascii="Times New Roman" w:eastAsia="Times New Roman" w:cs="Times New Roman" w:hAnsi="Times New Roman"/>
                <w:b/>
                <w:sz w:val="24"/>
                <w:szCs w:val="24"/>
              </w:rPr>
              <w:t xml:space="preserve">Political </w:t>
            </w:r>
          </w:p>
        </w:tc>
        <w:tc>
          <w:tcPr>
            <w:tcW w:w="3009" w:type="dxa"/>
            <w:shd w:val="clear" w:color="auto" w:fill="auto"/>
          </w:tcPr>
          <w:p>
            <w:pPr>
              <w:pStyle w:val="33"/>
              <w:widowControl w:val="0"/>
              <w:numPr>
                <w:ilvl w:val="0"/>
                <w:numId w:val="3"/>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Government stability helps this IHG Company to expand its business internationally and regionally</w:t>
            </w:r>
          </w:p>
          <w:p>
            <w:pPr>
              <w:pStyle w:val="33"/>
              <w:widowControl w:val="0"/>
              <w:numPr>
                <w:ilvl w:val="0"/>
                <w:numId w:val="3"/>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A favourable tax policy allows this organization to expand its business easily</w:t>
            </w:r>
          </w:p>
          <w:p>
            <w:pPr>
              <w:pStyle w:val="33"/>
              <w:widowControl w:val="0"/>
              <w:numPr>
                <w:ilvl w:val="0"/>
                <w:numId w:val="3"/>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Competition regulation also assists the government to regulate, monitor and restrict all imports, which helps to develop the local business to grow </w:t>
            </w:r>
          </w:p>
          <w:p>
            <w:pPr>
              <w:pStyle w:val="33"/>
              <w:widowControl w:val="0"/>
              <w:numPr>
                <w:ilvl w:val="0"/>
                <w:numId w:val="3"/>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IHG Hotel takes advantage of all trade blocks as well as, signed and formed as a respective city of origin</w:t>
            </w:r>
          </w:p>
          <w:p>
            <w:pPr>
              <w:pStyle w:val="33"/>
              <w:widowControl w:val="0"/>
              <w:numPr>
                <w:ilvl w:val="0"/>
                <w:numId w:val="3"/>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Trade block also helps this organization easily access its all channel through its distribution agencies and channels</w:t>
            </w:r>
          </w:p>
        </w:tc>
        <w:tc>
          <w:tcPr>
            <w:tcW w:w="3009" w:type="dxa"/>
            <w:shd w:val="clear" w:color="auto" w:fill="auto"/>
          </w:tcPr>
          <w:p>
            <w:pPr>
              <w:pStyle w:val="33"/>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Positive </w:t>
            </w:r>
          </w:p>
        </w:tc>
      </w:tr>
      <w:tr>
        <w:tc>
          <w:tcPr>
            <w:tcW w:w="3009" w:type="dxa"/>
            <w:shd w:val="clear" w:color="auto" w:fill="auto"/>
          </w:tcPr>
          <w:p>
            <w:pPr>
              <w:pStyle w:val="33"/>
              <w:widowControl w:val="0"/>
              <w:pBdr>
                <w:top w:val="none" w:sz="0" w:space="0" w:color="auto"/>
                <w:left w:val="none" w:sz="0" w:space="0" w:color="auto"/>
                <w:bottom w:val="none" w:sz="0" w:space="0" w:color="auto"/>
                <w:right w:val="none" w:sz="0" w:space="0" w:color="auto"/>
                <w:between w:val="none" w:sz="0" w:space="0" w:color="auto"/>
              </w:pBdr>
              <w:spacing w:line="240" w:lineRule="auto"/>
              <w:jc w:val="center"/>
              <w:rPr>
                <w:rFonts w:ascii="Times New Roman" w:eastAsia="Times New Roman" w:cs="Times New Roman" w:hAnsi="Times New Roman"/>
                <w:b/>
                <w:sz w:val="24"/>
                <w:szCs w:val="24"/>
              </w:rPr>
            </w:pPr>
            <w:r>
              <w:rPr>
                <w:rFonts w:ascii="Times New Roman" w:eastAsia="Times New Roman" w:cs="Times New Roman" w:hAnsi="Times New Roman"/>
                <w:b/>
                <w:sz w:val="24"/>
                <w:szCs w:val="24"/>
              </w:rPr>
              <w:t xml:space="preserve">Environment </w:t>
            </w:r>
          </w:p>
        </w:tc>
        <w:tc>
          <w:tcPr>
            <w:tcW w:w="3009" w:type="dxa"/>
            <w:shd w:val="clear" w:color="auto" w:fill="auto"/>
          </w:tcPr>
          <w:p>
            <w:pPr>
              <w:pStyle w:val="33"/>
              <w:widowControl w:val="0"/>
              <w:numPr>
                <w:ilvl w:val="0"/>
                <w:numId w:val="4"/>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Air pollution is one of the biggest threats in the UK and it impacts recycling  and sustainability </w:t>
            </w:r>
          </w:p>
          <w:p>
            <w:pPr>
              <w:pStyle w:val="33"/>
              <w:widowControl w:val="0"/>
              <w:numPr>
                <w:ilvl w:val="0"/>
                <w:numId w:val="4"/>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Green consumption helps to increase environmental sustainability awareness, additionally, increase green lifecycle</w:t>
            </w:r>
          </w:p>
          <w:p>
            <w:pPr>
              <w:pStyle w:val="33"/>
              <w:widowControl w:val="0"/>
              <w:numPr>
                <w:ilvl w:val="0"/>
                <w:numId w:val="4"/>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This IHG organization regularly engaged in environment-friendly activities, which is such as CSR activities</w:t>
            </w:r>
          </w:p>
          <w:p>
            <w:pPr>
              <w:pStyle w:val="33"/>
              <w:widowControl w:val="0"/>
              <w:numPr>
                <w:ilvl w:val="0"/>
                <w:numId w:val="4"/>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The environmental footprint  is reduced by this hotel and it also reduces carbon effect as well</w:t>
            </w:r>
          </w:p>
          <w:p>
            <w:pPr>
              <w:pStyle w:val="33"/>
              <w:widowControl w:val="0"/>
              <w:numPr>
                <w:ilvl w:val="0"/>
                <w:numId w:val="4"/>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As per this research, IHG hotel controls the hydra plant, which significantly helps to manufacture its all operations</w:t>
            </w:r>
          </w:p>
        </w:tc>
        <w:tc>
          <w:tcPr>
            <w:tcW w:w="3009" w:type="dxa"/>
            <w:shd w:val="clear" w:color="auto" w:fill="auto"/>
          </w:tcPr>
          <w:p>
            <w:pPr>
              <w:pStyle w:val="33"/>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Positive</w:t>
            </w:r>
          </w:p>
        </w:tc>
      </w:tr>
      <w:tr>
        <w:tc>
          <w:tcPr>
            <w:tcW w:w="3009" w:type="dxa"/>
            <w:shd w:val="clear" w:color="auto" w:fill="auto"/>
          </w:tcPr>
          <w:p>
            <w:pPr>
              <w:pStyle w:val="33"/>
              <w:widowControl w:val="0"/>
              <w:pBdr>
                <w:top w:val="none" w:sz="0" w:space="0" w:color="auto"/>
                <w:left w:val="none" w:sz="0" w:space="0" w:color="auto"/>
                <w:bottom w:val="none" w:sz="0" w:space="0" w:color="auto"/>
                <w:right w:val="none" w:sz="0" w:space="0" w:color="auto"/>
                <w:between w:val="none" w:sz="0" w:space="0" w:color="auto"/>
              </w:pBdr>
              <w:spacing w:line="240" w:lineRule="auto"/>
              <w:jc w:val="center"/>
              <w:rPr>
                <w:rFonts w:ascii="Times New Roman" w:eastAsia="Times New Roman" w:cs="Times New Roman" w:hAnsi="Times New Roman"/>
                <w:b/>
                <w:sz w:val="24"/>
                <w:szCs w:val="24"/>
              </w:rPr>
            </w:pPr>
            <w:r>
              <w:rPr>
                <w:rFonts w:ascii="Times New Roman" w:eastAsia="Times New Roman" w:cs="Times New Roman" w:hAnsi="Times New Roman"/>
                <w:b/>
                <w:sz w:val="24"/>
                <w:szCs w:val="24"/>
              </w:rPr>
              <w:t xml:space="preserve">Social </w:t>
            </w:r>
          </w:p>
        </w:tc>
        <w:tc>
          <w:tcPr>
            <w:tcW w:w="3009" w:type="dxa"/>
            <w:shd w:val="clear" w:color="auto" w:fill="auto"/>
          </w:tcPr>
          <w:p>
            <w:pPr>
              <w:pStyle w:val="33"/>
              <w:widowControl w:val="0"/>
              <w:numPr>
                <w:ilvl w:val="0"/>
                <w:numId w:val="5"/>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Social factor mainly impacts the organization's cultural structure </w:t>
            </w:r>
          </w:p>
          <w:p>
            <w:pPr>
              <w:pStyle w:val="33"/>
              <w:widowControl w:val="0"/>
              <w:numPr>
                <w:ilvl w:val="0"/>
                <w:numId w:val="5"/>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Social factors help to develop the brand ambassadors for this company, as well as, it also encourages the entire youngest population to become a large customer base</w:t>
            </w:r>
          </w:p>
          <w:p>
            <w:pPr>
              <w:pStyle w:val="33"/>
              <w:widowControl w:val="0"/>
              <w:numPr>
                <w:ilvl w:val="0"/>
                <w:numId w:val="5"/>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Demographics generally encourage all young stars to become a loyal consumer of the organization </w:t>
            </w:r>
          </w:p>
          <w:p>
            <w:pPr>
              <w:pStyle w:val="33"/>
              <w:widowControl w:val="0"/>
              <w:numPr>
                <w:ilvl w:val="0"/>
                <w:numId w:val="5"/>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This IHG organization being more advantages with its activities and the main reason they focus on their quality</w:t>
            </w:r>
          </w:p>
          <w:p>
            <w:pPr>
              <w:pStyle w:val="33"/>
              <w:widowControl w:val="0"/>
              <w:numPr>
                <w:ilvl w:val="0"/>
                <w:numId w:val="5"/>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As per the research, "Intercontinental Hotels Group" Company applies to pull and push strategies that are for its appeal</w:t>
            </w:r>
          </w:p>
          <w:p>
            <w:pPr>
              <w:pStyle w:val="33"/>
              <w:widowControl w:val="0"/>
              <w:numPr>
                <w:ilvl w:val="0"/>
                <w:numId w:val="5"/>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Increasing the population portion is required to adopt wellness and health trends</w:t>
            </w:r>
          </w:p>
        </w:tc>
        <w:tc>
          <w:tcPr>
            <w:tcW w:w="3009" w:type="dxa"/>
            <w:shd w:val="clear" w:color="auto" w:fill="auto"/>
          </w:tcPr>
          <w:p>
            <w:pPr>
              <w:pStyle w:val="33"/>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Positive</w:t>
            </w:r>
          </w:p>
        </w:tc>
      </w:tr>
      <w:tr>
        <w:tc>
          <w:tcPr>
            <w:tcW w:w="3009" w:type="dxa"/>
            <w:shd w:val="clear" w:color="auto" w:fill="auto"/>
          </w:tcPr>
          <w:p>
            <w:pPr>
              <w:pStyle w:val="33"/>
              <w:widowControl w:val="0"/>
              <w:pBdr>
                <w:top w:val="none" w:sz="0" w:space="0" w:color="auto"/>
                <w:left w:val="none" w:sz="0" w:space="0" w:color="auto"/>
                <w:bottom w:val="none" w:sz="0" w:space="0" w:color="auto"/>
                <w:right w:val="none" w:sz="0" w:space="0" w:color="auto"/>
                <w:between w:val="none" w:sz="0" w:space="0" w:color="auto"/>
              </w:pBdr>
              <w:spacing w:line="240" w:lineRule="auto"/>
              <w:jc w:val="center"/>
              <w:rPr>
                <w:rFonts w:ascii="Times New Roman" w:eastAsia="Times New Roman" w:cs="Times New Roman" w:hAnsi="Times New Roman"/>
                <w:b/>
                <w:sz w:val="24"/>
                <w:szCs w:val="24"/>
              </w:rPr>
            </w:pPr>
            <w:r>
              <w:rPr>
                <w:rFonts w:ascii="Times New Roman" w:eastAsia="Times New Roman" w:cs="Times New Roman" w:hAnsi="Times New Roman"/>
                <w:b/>
                <w:sz w:val="24"/>
                <w:szCs w:val="24"/>
              </w:rPr>
              <w:t xml:space="preserve">Technological </w:t>
            </w:r>
          </w:p>
        </w:tc>
        <w:tc>
          <w:tcPr>
            <w:tcW w:w="3009" w:type="dxa"/>
            <w:shd w:val="clear" w:color="auto" w:fill="auto"/>
          </w:tcPr>
          <w:p>
            <w:pPr>
              <w:pStyle w:val="33"/>
              <w:widowControl w:val="0"/>
              <w:numPr>
                <w:ilvl w:val="0"/>
                <w:numId w:val="6"/>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The technological infrastructure is significantly strong for this UK country</w:t>
            </w:r>
          </w:p>
          <w:p>
            <w:pPr>
              <w:pStyle w:val="33"/>
              <w:widowControl w:val="0"/>
              <w:numPr>
                <w:ilvl w:val="0"/>
                <w:numId w:val="6"/>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Technology advancement and development available at a huge level in this country </w:t>
            </w:r>
          </w:p>
          <w:p>
            <w:pPr>
              <w:pStyle w:val="33"/>
              <w:widowControl w:val="0"/>
              <w:numPr>
                <w:ilvl w:val="0"/>
                <w:numId w:val="6"/>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A huge rate of innovation includes this IHG organization's more progressive</w:t>
            </w:r>
          </w:p>
          <w:p>
            <w:pPr>
              <w:pStyle w:val="33"/>
              <w:widowControl w:val="0"/>
              <w:numPr>
                <w:ilvl w:val="0"/>
                <w:numId w:val="6"/>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"Terms of technological advancement" includes competitive advantages for enhancing the business operation and cycle of IHG</w:t>
            </w:r>
          </w:p>
          <w:p>
            <w:pPr>
              <w:pStyle w:val="33"/>
              <w:widowControl w:val="0"/>
              <w:numPr>
                <w:ilvl w:val="0"/>
                <w:numId w:val="6"/>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High-speed internet penetration is primarily used for social and personal lives depending on professional responsibilities</w:t>
            </w:r>
          </w:p>
          <w:p>
            <w:pPr>
              <w:pStyle w:val="33"/>
              <w:widowControl w:val="0"/>
              <w:numPr>
                <w:ilvl w:val="0"/>
                <w:numId w:val="6"/>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In the UK there a huge portion of youth used the internet, which helps this organization to increase its business through social platforms</w:t>
            </w:r>
          </w:p>
          <w:p>
            <w:pPr>
              <w:pStyle w:val="33"/>
              <w:widowControl w:val="0"/>
              <w:numPr>
                <w:ilvl w:val="0"/>
                <w:numId w:val="6"/>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IHG hotel starts its requirements process through social media and that highlights its trends, additionally, its community respects the social media</w:t>
            </w:r>
          </w:p>
        </w:tc>
        <w:tc>
          <w:tcPr>
            <w:tcW w:w="3009" w:type="dxa"/>
            <w:shd w:val="clear" w:color="auto" w:fill="auto"/>
          </w:tcPr>
          <w:p>
            <w:pPr>
              <w:pStyle w:val="33"/>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Positive</w:t>
            </w:r>
          </w:p>
        </w:tc>
      </w:tr>
      <w:tr>
        <w:tc>
          <w:tcPr>
            <w:tcW w:w="3009" w:type="dxa"/>
            <w:shd w:val="clear" w:color="auto" w:fill="auto"/>
          </w:tcPr>
          <w:p>
            <w:pPr>
              <w:pStyle w:val="33"/>
              <w:widowControl w:val="0"/>
              <w:pBdr>
                <w:top w:val="none" w:sz="0" w:space="0" w:color="auto"/>
                <w:left w:val="none" w:sz="0" w:space="0" w:color="auto"/>
                <w:bottom w:val="none" w:sz="0" w:space="0" w:color="auto"/>
                <w:right w:val="none" w:sz="0" w:space="0" w:color="auto"/>
                <w:between w:val="none" w:sz="0" w:space="0" w:color="auto"/>
              </w:pBdr>
              <w:spacing w:line="240" w:lineRule="auto"/>
              <w:jc w:val="center"/>
              <w:rPr>
                <w:rFonts w:ascii="Times New Roman" w:eastAsia="Times New Roman" w:cs="Times New Roman" w:hAnsi="Times New Roman"/>
                <w:b/>
                <w:sz w:val="24"/>
                <w:szCs w:val="24"/>
              </w:rPr>
            </w:pPr>
            <w:r>
              <w:rPr>
                <w:rFonts w:ascii="Times New Roman" w:eastAsia="Times New Roman" w:cs="Times New Roman" w:hAnsi="Times New Roman"/>
                <w:b/>
                <w:sz w:val="24"/>
                <w:szCs w:val="24"/>
              </w:rPr>
              <w:t>Economic</w:t>
            </w:r>
          </w:p>
        </w:tc>
        <w:tc>
          <w:tcPr>
            <w:tcW w:w="3009" w:type="dxa"/>
            <w:shd w:val="clear" w:color="auto" w:fill="auto"/>
          </w:tcPr>
          <w:p>
            <w:pPr>
              <w:pStyle w:val="33"/>
              <w:widowControl w:val="0"/>
              <w:numPr>
                <w:ilvl w:val="0"/>
                <w:numId w:val="7"/>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The British economy in 2021 was around 2.2 trillion according to the British Pound and which is 5th world economy (statista.com, 2023)</w:t>
            </w:r>
          </w:p>
          <w:p>
            <w:pPr>
              <w:pStyle w:val="33"/>
              <w:widowControl w:val="0"/>
              <w:numPr>
                <w:ilvl w:val="0"/>
                <w:numId w:val="7"/>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The GDP rate of the UK industry increased is around 3.61% in 2022, and it shows the profitable level of this resort (statista.com, 2023)</w:t>
            </w:r>
          </w:p>
          <w:p>
            <w:pPr>
              <w:pStyle w:val="33"/>
              <w:widowControl w:val="0"/>
              <w:numPr>
                <w:ilvl w:val="0"/>
                <w:numId w:val="7"/>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The inflation rate is significantly required for the IHG hotel to develop its economic level</w:t>
            </w:r>
          </w:p>
          <w:p>
            <w:pPr>
              <w:pStyle w:val="33"/>
              <w:widowControl w:val="0"/>
              <w:numPr>
                <w:ilvl w:val="0"/>
                <w:numId w:val="7"/>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Based on the result, a financial level boost also helps to increase the income level of this company</w:t>
            </w:r>
          </w:p>
        </w:tc>
        <w:tc>
          <w:tcPr>
            <w:tcW w:w="3009" w:type="dxa"/>
            <w:shd w:val="clear" w:color="auto" w:fill="auto"/>
          </w:tcPr>
          <w:p>
            <w:pPr>
              <w:pStyle w:val="33"/>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Negative</w:t>
            </w:r>
          </w:p>
        </w:tc>
      </w:tr>
      <w:tr>
        <w:tc>
          <w:tcPr>
            <w:tcW w:w="3009" w:type="dxa"/>
            <w:shd w:val="clear" w:color="auto" w:fill="auto"/>
          </w:tcPr>
          <w:p>
            <w:pPr>
              <w:pStyle w:val="33"/>
              <w:widowControl w:val="0"/>
              <w:pBdr>
                <w:top w:val="none" w:sz="0" w:space="0" w:color="auto"/>
                <w:left w:val="none" w:sz="0" w:space="0" w:color="auto"/>
                <w:bottom w:val="none" w:sz="0" w:space="0" w:color="auto"/>
                <w:right w:val="none" w:sz="0" w:space="0" w:color="auto"/>
                <w:between w:val="none" w:sz="0" w:space="0" w:color="auto"/>
              </w:pBdr>
              <w:spacing w:line="240" w:lineRule="auto"/>
              <w:jc w:val="center"/>
              <w:rPr>
                <w:rFonts w:ascii="Times New Roman" w:eastAsia="Times New Roman" w:cs="Times New Roman" w:hAnsi="Times New Roman"/>
                <w:b/>
                <w:sz w:val="24"/>
                <w:szCs w:val="24"/>
              </w:rPr>
            </w:pPr>
            <w:r>
              <w:rPr>
                <w:rFonts w:ascii="Times New Roman" w:eastAsia="Times New Roman" w:cs="Times New Roman" w:hAnsi="Times New Roman"/>
                <w:b/>
                <w:sz w:val="24"/>
                <w:szCs w:val="24"/>
              </w:rPr>
              <w:t>Legal</w:t>
            </w:r>
          </w:p>
        </w:tc>
        <w:tc>
          <w:tcPr>
            <w:tcW w:w="3009" w:type="dxa"/>
            <w:shd w:val="clear" w:color="auto" w:fill="auto"/>
          </w:tcPr>
          <w:p>
            <w:pPr>
              <w:pStyle w:val="33"/>
              <w:widowControl w:val="0"/>
              <w:numPr>
                <w:ilvl w:val="0"/>
                <w:numId w:val="8"/>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In the UK country, there have strict regulations on employee safety and health policy</w:t>
            </w:r>
          </w:p>
          <w:p>
            <w:pPr>
              <w:pStyle w:val="33"/>
              <w:widowControl w:val="0"/>
              <w:numPr>
                <w:ilvl w:val="0"/>
                <w:numId w:val="8"/>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The health and safety policy not only adds the physical well-being, but it also involves mental well-being as well</w:t>
            </w:r>
          </w:p>
          <w:p>
            <w:pPr>
              <w:pStyle w:val="33"/>
              <w:widowControl w:val="0"/>
              <w:numPr>
                <w:ilvl w:val="0"/>
                <w:numId w:val="8"/>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The IHG resort supports health and safety policies this organization continuously improves all policies, which is very beneficial for this company</w:t>
            </w:r>
          </w:p>
        </w:tc>
        <w:tc>
          <w:tcPr>
            <w:tcW w:w="3009" w:type="dxa"/>
            <w:shd w:val="clear" w:color="auto" w:fill="auto"/>
          </w:tcPr>
          <w:p>
            <w:pPr>
              <w:pStyle w:val="33"/>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Positive</w:t>
            </w:r>
          </w:p>
        </w:tc>
      </w:tr>
    </w:tbl>
    <w:p>
      <w:pPr>
        <w:pStyle w:val="33"/>
        <w:spacing w:line="360" w:lineRule="auto"/>
        <w:jc w:val="center"/>
        <w:rPr>
          <w:rFonts w:ascii="Times New Roman" w:eastAsia="Times New Roman" w:cs="Times New Roman" w:hAnsi="Times New Roman"/>
          <w:b/>
          <w:sz w:val="24"/>
          <w:szCs w:val="24"/>
        </w:rPr>
      </w:pPr>
      <w:r>
        <w:rPr>
          <w:rFonts w:ascii="Times New Roman" w:eastAsia="Times New Roman" w:cs="Times New Roman" w:hAnsi="Times New Roman"/>
          <w:b/>
          <w:sz w:val="24"/>
          <w:szCs w:val="24"/>
        </w:rPr>
        <w:t xml:space="preserve">Table 1: PESTEL Analysis </w:t>
      </w:r>
    </w:p>
    <w:p>
      <w:pPr>
        <w:pStyle w:val="33"/>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t>(Sources: Self-Created)</w:t>
      </w:r>
    </w:p>
    <w:p>
      <w:pPr>
        <w:pStyle w:val="33"/>
        <w:spacing w:line="360" w:lineRule="auto"/>
        <w:jc w:val="both"/>
        <w:rPr>
          <w:rFonts w:ascii="Times New Roman" w:eastAsia="Times New Roman" w:cs="Times New Roman" w:hAnsi="Times New Roman"/>
          <w:b/>
          <w:sz w:val="24"/>
          <w:szCs w:val="24"/>
        </w:rPr>
      </w:pPr>
      <w:r>
        <w:rPr>
          <w:rFonts w:ascii="Times New Roman" w:eastAsia="Times New Roman" w:cs="Times New Roman" w:hAnsi="Times New Roman"/>
          <w:b/>
          <w:sz w:val="24"/>
          <w:szCs w:val="24"/>
        </w:rPr>
        <w:t xml:space="preserve">Analysis </w:t>
      </w:r>
    </w:p>
    <w:p>
      <w:pPr>
        <w:pStyle w:val="33"/>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The above PESTEL table has significantly addressed all 6 factors, which positively or negatively impact the UK industry, and also affect the selected organization.</w:t>
      </w:r>
    </w:p>
    <w:p>
      <w:pPr>
        <w:pStyle w:val="33"/>
        <w:spacing w:line="360" w:lineRule="auto"/>
        <w:jc w:val="both"/>
        <w:rPr>
          <w:rFonts w:ascii="Times New Roman" w:eastAsia="Times New Roman" w:cs="Times New Roman" w:hAnsi="Times New Roman"/>
          <w:b/>
          <w:sz w:val="24"/>
          <w:szCs w:val="24"/>
        </w:rPr>
      </w:pPr>
      <w:r>
        <w:rPr>
          <w:rFonts w:ascii="Times New Roman" w:eastAsia="Times New Roman" w:cs="Times New Roman" w:hAnsi="Times New Roman"/>
          <w:b/>
          <w:sz w:val="24"/>
          <w:szCs w:val="24"/>
        </w:rPr>
        <w:t xml:space="preserve">Political Factor </w:t>
      </w:r>
    </w:p>
    <w:p>
      <w:pPr>
        <w:pStyle w:val="33"/>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It describes the government's stability, which helps to expand the entire business internationally, and globally as well. Therefore, here also includes how all taxes impact the business growth section (Darling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 xml:space="preserve">2019). Moreover, tax policy helps to expand the overall business in an easy way, which positively affects for business development portion. </w:t>
      </w:r>
    </w:p>
    <w:p>
      <w:pPr>
        <w:pStyle w:val="33"/>
        <w:widowControl w:val="0"/>
        <w:spacing w:line="240" w:lineRule="auto"/>
        <w:jc w:val="both"/>
        <w:rPr>
          <w:rFonts w:ascii="Times New Roman" w:eastAsia="Times New Roman" w:cs="Times New Roman" w:hAnsi="Times New Roman"/>
          <w:sz w:val="24"/>
          <w:szCs w:val="24"/>
        </w:rPr>
      </w:pPr>
      <w:r>
        <w:rPr>
          <w:rFonts w:ascii="Times New Roman" w:eastAsia="Times New Roman" w:cs="Times New Roman" w:hAnsi="Times New Roman"/>
          <w:b/>
          <w:sz w:val="24"/>
          <w:szCs w:val="24"/>
        </w:rPr>
        <w:t>Environment Factor</w:t>
      </w:r>
    </w:p>
    <w:p>
      <w:pPr>
        <w:pStyle w:val="33"/>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This factor helps to address the impact of Green consumption, and as per result, it knows that green consumption helps to increase the business sustainability level. Additionally, this IHG regularly engaged with CSR activities that positively impact the business increase process (Ferlie and Ongaro, 2022). Environmental factor has been found that IHG resort has controlled through a hydro plant, which effectively helps to manufacture its all operations.</w:t>
      </w:r>
    </w:p>
    <w:p>
      <w:pPr>
        <w:pStyle w:val="33"/>
        <w:spacing w:line="360" w:lineRule="auto"/>
        <w:jc w:val="both"/>
        <w:rPr>
          <w:rFonts w:ascii="Times New Roman" w:eastAsia="Times New Roman" w:cs="Times New Roman" w:hAnsi="Times New Roman"/>
          <w:b/>
          <w:sz w:val="24"/>
          <w:szCs w:val="24"/>
        </w:rPr>
      </w:pPr>
      <w:r>
        <w:rPr>
          <w:rFonts w:ascii="Times New Roman" w:eastAsia="Times New Roman" w:cs="Times New Roman" w:hAnsi="Times New Roman"/>
          <w:b/>
          <w:sz w:val="24"/>
          <w:szCs w:val="24"/>
        </w:rPr>
        <w:t>Social Factor</w:t>
      </w:r>
    </w:p>
    <w:p>
      <w:pPr>
        <w:pStyle w:val="33"/>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This factor helps to know how this factor positively impacts an organization's cultural process, and this factor has clearly shown how it improves the brand ambassador in an effective way (Johnson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2020). Moreover, nowadays the IHG hotel uses social factors to encourage the young public and become a loyal consumer. Therefore, the IHG organization became so successful through its quality presentation.</w:t>
      </w:r>
    </w:p>
    <w:p>
      <w:pPr>
        <w:pStyle w:val="33"/>
        <w:spacing w:line="360" w:lineRule="auto"/>
        <w:jc w:val="both"/>
        <w:rPr>
          <w:rFonts w:ascii="Times New Roman" w:eastAsia="Times New Roman" w:cs="Times New Roman" w:hAnsi="Times New Roman"/>
          <w:b/>
          <w:sz w:val="24"/>
          <w:szCs w:val="24"/>
        </w:rPr>
      </w:pPr>
      <w:r>
        <w:rPr>
          <w:rFonts w:ascii="Times New Roman" w:eastAsia="Times New Roman" w:cs="Times New Roman" w:hAnsi="Times New Roman"/>
          <w:b/>
          <w:sz w:val="24"/>
          <w:szCs w:val="24"/>
        </w:rPr>
        <w:t>Technological Factor</w:t>
      </w:r>
    </w:p>
    <w:p>
      <w:pPr>
        <w:pStyle w:val="33"/>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technological factor in the entire UK market is highly strong, and their internet speed is also high, which positively impacts their business developing section as well. However, it found that in the UK market there a huge portion of youth used the internet for scrolling social platforms, which helps this organization to increase its business through social platforms. </w:t>
      </w:r>
    </w:p>
    <w:p>
      <w:pPr>
        <w:pStyle w:val="33"/>
        <w:spacing w:line="360" w:lineRule="auto"/>
        <w:jc w:val="both"/>
        <w:rPr>
          <w:rFonts w:ascii="Times New Roman" w:eastAsia="Times New Roman" w:cs="Times New Roman" w:hAnsi="Times New Roman"/>
          <w:b/>
          <w:sz w:val="24"/>
          <w:szCs w:val="24"/>
        </w:rPr>
      </w:pPr>
      <w:r>
        <w:rPr>
          <w:rFonts w:ascii="Times New Roman" w:eastAsia="Times New Roman" w:cs="Times New Roman" w:hAnsi="Times New Roman"/>
          <w:b/>
          <w:sz w:val="24"/>
          <w:szCs w:val="24"/>
        </w:rPr>
        <w:t>Economic Factor</w:t>
      </w:r>
    </w:p>
    <w:p>
      <w:pPr>
        <w:pStyle w:val="33"/>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PESTEL table analysis shows that the GDP rate of the UK country has increased by around 3.61% in 2022, which is significantly profitable for the organization (statista.com, 2023). On the other hand, this factor is also addressed in that a financial boost helps to increase the overall organization's profitability level as well, and that is a significant boost for this hotel's economic level as well.</w:t>
      </w:r>
    </w:p>
    <w:p>
      <w:pPr>
        <w:pStyle w:val="33"/>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lang w:val="en-IN" w:eastAsia="en-IN"/>
        </w:rPr>
        <w:drawing>
          <wp:inline distT="114300" distB="114300" distL="114300" distR="114300">
            <wp:extent cx="5731200" cy="3784599"/>
            <wp:effectExtent l="0" t="0" r="0" b="0"/>
            <wp:docPr id="10" name="图片 10"/>
            <wp:cNvGraphicFramePr>
              <a:graphicFrameLocks noChangeAspect="0"/>
            </wp:cNvGraphicFramePr>
            <a:graphic>
              <a:graphicData uri="http://schemas.openxmlformats.org/drawingml/2006/picture">
                <pic:pic>
                  <pic:nvPicPr>
                    <pic:cNvPr id="12" name="图片 12"/>
                    <pic:cNvPicPr/>
                  </pic:nvPicPr>
                  <pic:blipFill>
                    <a:blip r:embed="rId7"/>
                    <a:stretch>
                      <a:fillRect/>
                    </a:stretch>
                  </pic:blipFill>
                  <pic:spPr>
                    <a:xfrm rot="0">
                      <a:off x="0" y="0"/>
                      <a:ext cx="5731200" cy="3784599"/>
                    </a:xfrm>
                    <a:prstGeom prst="rect"/>
                    <a:noFill/>
                    <a:ln w="12700" cmpd="sng" cap="flat">
                      <a:noFill/>
                      <a:prstDash val="solid"/>
                      <a:miter/>
                    </a:ln>
                  </pic:spPr>
                </pic:pic>
              </a:graphicData>
            </a:graphic>
          </wp:inline>
        </w:drawing>
      </w:r>
    </w:p>
    <w:p>
      <w:pPr>
        <w:pStyle w:val="33"/>
        <w:spacing w:line="360" w:lineRule="auto"/>
        <w:jc w:val="center"/>
        <w:rPr>
          <w:rFonts w:ascii="Times New Roman" w:eastAsia="Times New Roman" w:cs="Times New Roman" w:hAnsi="Times New Roman"/>
          <w:b/>
          <w:sz w:val="24"/>
          <w:szCs w:val="24"/>
        </w:rPr>
      </w:pPr>
      <w:r>
        <w:rPr>
          <w:rFonts w:ascii="Times New Roman" w:eastAsia="Times New Roman" w:cs="Times New Roman" w:hAnsi="Times New Roman"/>
          <w:b/>
          <w:sz w:val="24"/>
          <w:szCs w:val="24"/>
        </w:rPr>
        <w:t>Figure 2: Growth rate of GDP in the UK</w:t>
      </w:r>
    </w:p>
    <w:p>
      <w:pPr>
        <w:pStyle w:val="33"/>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b/>
          <w:sz w:val="24"/>
          <w:szCs w:val="24"/>
        </w:rPr>
        <w:t>(</w:t>
      </w:r>
      <w:r>
        <w:rPr>
          <w:rFonts w:ascii="Times New Roman" w:eastAsia="Times New Roman" w:cs="Times New Roman" w:hAnsi="Times New Roman"/>
          <w:sz w:val="24"/>
          <w:szCs w:val="24"/>
        </w:rPr>
        <w:t>Source: Statista.Com, 2023)</w:t>
      </w:r>
    </w:p>
    <w:p>
      <w:pPr>
        <w:pStyle w:val="33"/>
        <w:spacing w:line="360" w:lineRule="auto"/>
        <w:jc w:val="both"/>
        <w:rPr>
          <w:rFonts w:ascii="Times New Roman" w:eastAsia="Times New Roman" w:cs="Times New Roman" w:hAnsi="Times New Roman"/>
          <w:b/>
          <w:sz w:val="24"/>
          <w:szCs w:val="24"/>
        </w:rPr>
      </w:pPr>
      <w:r>
        <w:rPr>
          <w:rFonts w:ascii="Times New Roman" w:eastAsia="Times New Roman" w:cs="Times New Roman" w:hAnsi="Times New Roman"/>
          <w:b/>
          <w:sz w:val="24"/>
          <w:szCs w:val="24"/>
        </w:rPr>
        <w:t>Legal Factor</w:t>
      </w:r>
    </w:p>
    <w:p>
      <w:pPr>
        <w:pStyle w:val="33"/>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Besides, in the UK market, their health and safety policy is more important according to other policies. Additionally, this policy includes physical well-being and mental well-being and which is beneficial for all employees, as well as, this resort is also more focused on this policy. </w:t>
      </w:r>
    </w:p>
    <w:p>
      <w:pPr>
        <w:spacing w:line="360" w:lineRule="auto"/>
        <w:jc w:val="both"/>
        <w:rPr>
          <w:rFonts w:cs="Times New Roman"/>
          <w:szCs w:val="24"/>
        </w:rPr>
      </w:pPr>
    </w:p>
    <w:p>
      <w:pPr>
        <w:spacing w:line="360" w:lineRule="auto"/>
        <w:jc w:val="both"/>
        <w:rPr>
          <w:rFonts w:cs="Times New Roman"/>
          <w:szCs w:val="24"/>
        </w:rPr>
      </w:pPr>
    </w:p>
    <w:p>
      <w:pPr>
        <w:pStyle w:val="1"/>
      </w:pPr>
      <w:bookmarkStart w:id="6" w:name="_Toc130320669"/>
      <w:r>
        <w:t>Micro-Environment Analysis</w:t>
      </w:r>
      <w:bookmarkEnd w:id="6"/>
    </w:p>
    <w:p>
      <w:pPr>
        <w:pStyle w:val="2"/>
      </w:pPr>
      <w:bookmarkStart w:id="7" w:name="_Toc130320670"/>
      <w:r>
        <w:t>Industry Life Cycle</w:t>
      </w:r>
      <w:bookmarkEnd w:id="7"/>
    </w:p>
    <w:p>
      <w:pPr>
        <w:pStyle w:val="33"/>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Life cycle mainly refers to the entire evolution of a specific industry according to its decline and growth. All life cycles are development, introduction, maturity, growth, and decline. Additionally, this model was frequently used by Michael Porter in 1980.</w:t>
      </w:r>
    </w:p>
    <w:p>
      <w:pPr>
        <w:pStyle w:val="33"/>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lang w:val="en-IN" w:eastAsia="en-IN"/>
        </w:rPr>
        <w:pict>
          <v:group type="#_x0000_t75" id="对象 13" o:spid="_x0000_s13" editas="canvas" coordorigin="1632,3908" coordsize="8640,5040" style="width:432.0pt;&#10;height:252.0pt;">
            <v:shape id="_x0000_s14" type="#_x0000_t75" style="position:absolute;left:1632;top:3908;width:8640;height:5040" filled="f" stroked="f" strokeweight="1.0pt">
              <v:stroke color="#000000"/>
            </v:shape>
            <v:oval type="#_x0000_t3" id="椭圆 15" o:spid="_x0000_s15" style="position:absolute;&#10;left:5190;&#10;top:3908;&#10;width:1525;&#10;height:1525;&#10;mso-wrap-style:square;" fillcolor="#C0514E" stroked="t" strokeweight="2.0pt">
              <v:textbox id="852" inset="2.54mm,1.27mm,2.54mm,1.27mm" o:insetmode="custom" style="layout-flow:horizontal;&#10;v-text-anchor:middle;">
                <w:txbxContent>
                  <w:p>
                    <w:pPr>
                      <w:jc w:val="center"/>
                      <w:rPr>
                        <w:color w:val="FFFFFF"/>
                      </w:rPr>
                    </w:pPr>
                    <w:r>
                      <w:rPr>
                        <w:color w:val="FFFFFF"/>
                      </w:rPr>
                      <w:t>Development</w:t>
                    </w:r>
                  </w:p>
                </w:txbxContent>
              </v:textbox>
              <v:stroke color="#FFFFFF"/>
            </v:oval>
            <v:shape type="#_x0000_t13" id="右箭头 16" o:spid="_x0000_s16" style="position:absolute;&#10;left:6674;&#10;top:5086;&#10;width:404;&#10;height:511;&#10;rotation:36.0;&#10;mso-wrap-style:square;" fillcolor="#C0514E" stroked="f" strokeweight="2.0pt">
              <v:textbox id="853" inset="0mm,0mm,0mm,0mm" o:insetmode="custom" style="layout-flow:horizontal;&#10;v-text-anchor:middle;">
                <w:txbxContent>
                  <w:p>
                    <w:pPr>
                      <w:jc w:val="center"/>
                      <w:rPr>
                        <w:color w:val="FFFFFF"/>
                        <w:sz w:val="16"/>
                      </w:rPr>
                    </w:pPr>
                  </w:p>
                </w:txbxContent>
              </v:textbox>
              <v:stroke color="#FFFFFF"/>
            </v:shape>
            <v:oval type="#_x0000_t3" id="椭圆 17" o:spid="_x0000_s17" style="position:absolute;&#10;left:7037;&#10;top:5250;&#10;width:1525;&#10;height:1525;&#10;mso-wrap-style:square;" fillcolor="#BF7851" stroked="t" strokeweight="2.0pt">
              <v:textbox id="854" inset="2.54mm,1.27mm,2.54mm,1.27mm" o:insetmode="custom" style="layout-flow:horizontal;&#10;v-text-anchor:middle;">
                <w:txbxContent>
                  <w:p>
                    <w:pPr>
                      <w:jc w:val="center"/>
                      <w:rPr>
                        <w:color w:val="FFFFFF"/>
                      </w:rPr>
                    </w:pPr>
                    <w:r>
                      <w:rPr>
                        <w:color w:val="FFFFFF"/>
                      </w:rPr>
                      <w:t>Introduction</w:t>
                    </w:r>
                  </w:p>
                </w:txbxContent>
              </v:textbox>
              <v:stroke color="#FFFFFF"/>
            </v:oval>
            <v:shape type="#_x0000_t13" id="右箭头 18" o:spid="_x0000_s18" style="position:absolute;&#10;left:7245;&#10;top:6843;&#10;width:404;&#10;height:511;&#10;rotation:108.0;&#10;mso-wrap-style:square;" fillcolor="#BF7851" stroked="f" strokeweight="2.0pt">
              <v:textbox id="855" inset="0mm,0mm,0mm,0mm" o:insetmode="custom" style="layout-flow:horizontal;&#10;v-text-anchor:middle;">
                <w:txbxContent>
                  <w:p>
                    <w:pPr>
                      <w:jc w:val="center"/>
                      <w:rPr>
                        <w:color w:val="FFFFFF"/>
                        <w:sz w:val="16"/>
                      </w:rPr>
                    </w:pPr>
                  </w:p>
                </w:txbxContent>
              </v:textbox>
              <v:stroke color="#FFFFFF"/>
            </v:shape>
            <v:oval type="#_x0000_t3" id="椭圆 19" o:spid="_x0000_s19" style="position:absolute;&#10;left:6331;&#10;top:7422;&#10;width:1525;&#10;height:1525;&#10;mso-wrap-style:square;" fillcolor="#BE9D54" stroked="t" strokeweight="2.0pt">
              <v:textbox id="856" inset="2.54mm,1.27mm,2.54mm,1.27mm" o:insetmode="custom" style="layout-flow:horizontal;&#10;v-text-anchor:middle;">
                <w:txbxContent>
                  <w:p>
                    <w:pPr>
                      <w:jc w:val="center"/>
                      <w:rPr>
                        <w:color w:val="FFFFFF"/>
                      </w:rPr>
                    </w:pPr>
                    <w:r>
                      <w:rPr>
                        <w:color w:val="FFFFFF"/>
                      </w:rPr>
                      <w:t>Growth</w:t>
                    </w:r>
                  </w:p>
                </w:txbxContent>
              </v:textbox>
              <v:stroke color="#FFFFFF"/>
            </v:oval>
            <v:shape type="#_x0000_t13" id="右箭头 20" o:spid="_x0000_s20" style="position:absolute;&#10;left:5750;&#10;top:7929;&#10;width:404;&#10;height:511;&#10;rotation:180.0;&#10;mso-wrap-style:square;" fillcolor="#BE9D54" stroked="f" strokeweight="2.0pt">
              <v:textbox id="857" inset="0mm,0mm,0mm,0mm" o:insetmode="custom" style="layout-flow:horizontal;&#10;v-text-anchor:middle;">
                <w:txbxContent>
                  <w:p>
                    <w:pPr>
                      <w:jc w:val="center"/>
                      <w:rPr>
                        <w:color w:val="FFFFFF"/>
                        <w:sz w:val="16"/>
                      </w:rPr>
                    </w:pPr>
                  </w:p>
                </w:txbxContent>
              </v:textbox>
              <v:stroke color="#FFFFFF"/>
            </v:shape>
            <v:oval type="#_x0000_t3" id="椭圆 21" o:spid="_x0000_s21" style="position:absolute;&#10;left:4048;&#10;top:7422;&#10;width:1525;&#10;height:1525;&#10;mso-wrap-style:square;" fillcolor="#C0BE58" stroked="t" strokeweight="2.0pt">
              <v:textbox id="858" inset="2.54mm,1.27mm,2.54mm,1.27mm" o:insetmode="custom" style="layout-flow:horizontal;&#10;v-text-anchor:middle;">
                <w:txbxContent>
                  <w:p>
                    <w:pPr>
                      <w:jc w:val="center"/>
                      <w:rPr>
                        <w:color w:val="FFFFFF"/>
                      </w:rPr>
                    </w:pPr>
                    <w:r>
                      <w:rPr>
                        <w:color w:val="FFFFFF"/>
                      </w:rPr>
                      <w:t>Maturity</w:t>
                    </w:r>
                  </w:p>
                </w:txbxContent>
              </v:textbox>
              <v:stroke color="#FFFFFF"/>
            </v:oval>
            <v:shape type="#_x0000_t13" id="右箭头 22" o:spid="_x0000_s22" style="position:absolute;&#10;left:4256;&#10;top:6843;&#10;width:404;&#10;height:511;&#10;rotation:252.0;&#10;mso-wrap-style:square;" fillcolor="#C0BE58" stroked="f" strokeweight="2.0pt">
              <v:textbox id="859" inset="0mm,0mm,0mm,0mm" o:insetmode="custom" style="layout-flow:horizontal;&#10;v-text-anchor:middle;">
                <w:txbxContent>
                  <w:p>
                    <w:pPr>
                      <w:jc w:val="center"/>
                      <w:rPr>
                        <w:color w:val="FFFFFF"/>
                        <w:sz w:val="16"/>
                      </w:rPr>
                    </w:pPr>
                  </w:p>
                </w:txbxContent>
              </v:textbox>
              <v:stroke color="#FFFFFF"/>
            </v:shape>
            <v:oval type="#_x0000_t3" id="椭圆 23" o:spid="_x0000_s23" style="position:absolute;&#10;left:3342;&#10;top:5250;&#10;width:1525;&#10;height:1525;&#10;mso-wrap-style:square;" fillcolor="#9DBB5B" stroked="t" strokeweight="2.0pt">
              <v:textbox id="860" inset="2.54mm,1.27mm,2.54mm,1.27mm" o:insetmode="custom" style="layout-flow:horizontal;&#10;v-text-anchor:middle;">
                <w:txbxContent>
                  <w:p>
                    <w:pPr>
                      <w:jc w:val="center"/>
                      <w:rPr>
                        <w:color w:val="FFFFFF"/>
                      </w:rPr>
                    </w:pPr>
                    <w:r>
                      <w:rPr>
                        <w:color w:val="FFFFFF"/>
                      </w:rPr>
                      <w:t>Decline</w:t>
                    </w:r>
                  </w:p>
                </w:txbxContent>
              </v:textbox>
              <v:stroke color="#FFFFFF"/>
            </v:oval>
            <v:shape type="#_x0000_t13" id="右箭头 24" o:spid="_x0000_s24" style="position:absolute;&#10;left:4827;&#10;top:5086;&#10;width:404;&#10;height:511;&#10;rotation:324.0;&#10;mso-wrap-style:square;" fillcolor="#9DBB5B" stroked="f" strokeweight="2.0pt">
              <v:textbox id="861" inset="0mm,0mm,0mm,0mm" o:insetmode="custom" style="layout-flow:horizontal;&#10;v-text-anchor:middle;">
                <w:txbxContent>
                  <w:p>
                    <w:pPr>
                      <w:jc w:val="center"/>
                      <w:rPr>
                        <w:color w:val="FFFFFF"/>
                        <w:sz w:val="16"/>
                      </w:rPr>
                    </w:pPr>
                  </w:p>
                </w:txbxContent>
              </v:textbox>
              <v:stroke color="#FFFFFF"/>
            </v:shape>
          </v:group>
        </w:pict>
      </w:r>
    </w:p>
    <w:p>
      <w:pPr>
        <w:pStyle w:val="33"/>
        <w:spacing w:line="360" w:lineRule="auto"/>
        <w:jc w:val="center"/>
        <w:rPr>
          <w:rFonts w:ascii="Times New Roman" w:eastAsia="Times New Roman" w:cs="Times New Roman" w:hAnsi="Times New Roman"/>
          <w:b/>
          <w:sz w:val="24"/>
          <w:szCs w:val="24"/>
        </w:rPr>
      </w:pPr>
      <w:r>
        <w:rPr>
          <w:rFonts w:ascii="Times New Roman" w:eastAsia="Times New Roman" w:cs="Times New Roman" w:hAnsi="Times New Roman"/>
          <w:b/>
          <w:sz w:val="24"/>
          <w:szCs w:val="24"/>
        </w:rPr>
        <w:t>Figure 3: Industry life cycle</w:t>
      </w:r>
    </w:p>
    <w:p>
      <w:pPr>
        <w:pStyle w:val="33"/>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t>(Source : Self- created)</w:t>
      </w:r>
    </w:p>
    <w:p>
      <w:pPr>
        <w:pStyle w:val="33"/>
        <w:spacing w:line="360" w:lineRule="auto"/>
        <w:jc w:val="both"/>
        <w:rPr>
          <w:rFonts w:ascii="Times New Roman" w:eastAsia="Times New Roman" w:cs="Times New Roman" w:hAnsi="Times New Roman"/>
          <w:b/>
          <w:sz w:val="24"/>
          <w:szCs w:val="24"/>
        </w:rPr>
      </w:pPr>
      <w:r>
        <w:rPr>
          <w:rFonts w:ascii="Times New Roman" w:eastAsia="Times New Roman" w:cs="Times New Roman" w:hAnsi="Times New Roman"/>
          <w:b/>
          <w:sz w:val="24"/>
          <w:szCs w:val="24"/>
        </w:rPr>
        <w:t>Development</w:t>
      </w:r>
    </w:p>
    <w:p>
      <w:pPr>
        <w:pStyle w:val="33"/>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The development management generally plans the complex between the organization and its overall environment section. The development portion helps to address all requirements of the organization and how it helps to develop its entire process to improve its profitability (Munna, 2021). Along with it, this phase monitors all different phases as well and is developed according to their requirement.</w:t>
      </w:r>
    </w:p>
    <w:p>
      <w:pPr>
        <w:pStyle w:val="33"/>
        <w:spacing w:line="360" w:lineRule="auto"/>
        <w:jc w:val="both"/>
        <w:rPr>
          <w:rFonts w:ascii="Times New Roman" w:eastAsia="Times New Roman" w:cs="Times New Roman" w:hAnsi="Times New Roman"/>
          <w:b/>
          <w:sz w:val="24"/>
          <w:szCs w:val="24"/>
        </w:rPr>
      </w:pPr>
      <w:r>
        <w:rPr>
          <w:rFonts w:ascii="Times New Roman" w:eastAsia="Times New Roman" w:cs="Times New Roman" w:hAnsi="Times New Roman"/>
          <w:b/>
          <w:sz w:val="24"/>
          <w:szCs w:val="24"/>
        </w:rPr>
        <w:t>Introduction</w:t>
      </w:r>
    </w:p>
    <w:p>
      <w:pPr>
        <w:pStyle w:val="33"/>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This introduction phase assists to identify the organization’s technological innovation, and the changing relationship between new consumers and relative costs. On the other hand, this phase characterizes the huge entry costs of IHG hotel, all strategic and technological uncertainty, all consumers who are using their all activities for the first time, and mainly subsidies of the organization. However, the IHG resort is required to implement some new strategies, which are beneficial for this organization's growth in the overall market of the UK.</w:t>
      </w:r>
    </w:p>
    <w:p>
      <w:pPr>
        <w:pStyle w:val="33"/>
        <w:spacing w:line="360" w:lineRule="auto"/>
        <w:jc w:val="both"/>
        <w:rPr>
          <w:rFonts w:ascii="Times New Roman" w:eastAsia="Times New Roman" w:cs="Times New Roman" w:hAnsi="Times New Roman"/>
          <w:b/>
          <w:sz w:val="24"/>
          <w:szCs w:val="24"/>
        </w:rPr>
      </w:pPr>
      <w:r>
        <w:rPr>
          <w:rFonts w:ascii="Times New Roman" w:eastAsia="Times New Roman" w:cs="Times New Roman" w:hAnsi="Times New Roman"/>
          <w:b/>
          <w:sz w:val="24"/>
          <w:szCs w:val="24"/>
        </w:rPr>
        <w:t>Growth</w:t>
      </w:r>
    </w:p>
    <w:p>
      <w:pPr>
        <w:pStyle w:val="33"/>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implication of new technological innovation, which emergence of a new business. Additionally, it also significantly helps to reduce the entire cost of all products and improve the quality, as well as, increasing the demand (Rana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 xml:space="preserve">2019). Moreover, all these things assist to develop the growth of the industry in the global and internal markets. Furthermore, in this phase industrial technology is addressed and improves its overall performance. Besides, the organization defends its recent share market and tries to expand its entire market as well. </w:t>
      </w:r>
    </w:p>
    <w:p>
      <w:pPr>
        <w:pStyle w:val="33"/>
        <w:spacing w:line="360" w:lineRule="auto"/>
        <w:jc w:val="both"/>
        <w:rPr>
          <w:rFonts w:ascii="Times New Roman" w:eastAsia="Times New Roman" w:cs="Times New Roman" w:hAnsi="Times New Roman"/>
          <w:b/>
          <w:sz w:val="24"/>
          <w:szCs w:val="24"/>
        </w:rPr>
      </w:pPr>
      <w:r>
        <w:rPr>
          <w:rFonts w:ascii="Times New Roman" w:eastAsia="Times New Roman" w:cs="Times New Roman" w:hAnsi="Times New Roman"/>
          <w:b/>
          <w:sz w:val="24"/>
          <w:szCs w:val="24"/>
        </w:rPr>
        <w:t>Maturity</w:t>
      </w:r>
    </w:p>
    <w:p>
      <w:pPr>
        <w:pStyle w:val="33"/>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As per this specific phase, it has been addressed that slower growth of an organization means that its market competition is too high, and additionally the managerial attention attacks of all competitors. This phase helps to find the profitability of the IHG organization and includes a generic cost leadership approach based on its requirements. The "cost leadership approach" helps to reduce the cost experience and promotes its cost advantages in the target market.</w:t>
      </w:r>
    </w:p>
    <w:p>
      <w:pPr>
        <w:pStyle w:val="33"/>
        <w:spacing w:line="360" w:lineRule="auto"/>
        <w:jc w:val="both"/>
        <w:rPr>
          <w:rFonts w:ascii="Times New Roman" w:eastAsia="Times New Roman" w:cs="Times New Roman" w:hAnsi="Times New Roman"/>
          <w:b/>
          <w:sz w:val="24"/>
          <w:szCs w:val="24"/>
        </w:rPr>
      </w:pPr>
      <w:r>
        <w:rPr>
          <w:rFonts w:ascii="Times New Roman" w:eastAsia="Times New Roman" w:cs="Times New Roman" w:hAnsi="Times New Roman"/>
          <w:b/>
          <w:sz w:val="24"/>
          <w:szCs w:val="24"/>
        </w:rPr>
        <w:t>Decline</w:t>
      </w:r>
    </w:p>
    <w:p>
      <w:pPr>
        <w:pStyle w:val="33"/>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This phase helps to recognize the industrial strategic analysis portion and recognized its overall profit margin as well. On the other hand, in this phase, the harvesting strategies reduce the investment of the business and improve its overall cash flow (Subramoniam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 xml:space="preserve">2021). The IHG Company mainly focused on harvesting strategies, which improves its leadership strategy, along with increasing its profitability level as well. Hence, based on these overall activities, it addressed that this phase helps to increase the profitability and reduce all competition in the target market as well. </w:t>
      </w:r>
    </w:p>
    <w:p>
      <w:pPr>
        <w:spacing w:line="360" w:lineRule="auto"/>
        <w:jc w:val="both"/>
        <w:rPr>
          <w:rFonts w:cs="Times New Roman"/>
          <w:szCs w:val="24"/>
        </w:rPr>
      </w:pPr>
    </w:p>
    <w:p>
      <w:pPr>
        <w:pStyle w:val="2"/>
      </w:pPr>
      <w:bookmarkStart w:id="8" w:name="_Toc130320671"/>
      <w:r>
        <w:t>Porter’s Industry Five Forces Analysis</w:t>
      </w:r>
      <w:bookmarkEnd w:id="8"/>
    </w:p>
    <w:p>
      <w:pPr>
        <w:spacing w:line="360" w:lineRule="auto"/>
        <w:jc w:val="both"/>
        <w:rPr>
          <w:rFonts w:eastAsia="Times New Roman" w:cs="Times New Roman"/>
          <w:szCs w:val="24"/>
        </w:rPr>
      </w:pPr>
    </w:p>
    <w:tbl>
      <w:tblPr>
        <w:jc w:val="left"/>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108" w:type="dxa"/>
          <w:bottom w:w="0" w:type="dxa"/>
          <w:right w:w="108" w:type="dxa"/>
        </w:tblCellMar>
      </w:tblPr>
      <w:tblGrid>
        <w:gridCol w:w="3120"/>
        <w:gridCol w:w="3120"/>
        <w:gridCol w:w="3120"/>
      </w:tblGrid>
      <w:tr>
        <w:tc>
          <w:tcPr>
            <w:tcW w:w="3120" w:type="dxa"/>
            <w:shd w:val="clear" w:color="auto" w:fill="auto"/>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pacing w:line="240" w:lineRule="auto"/>
              <w:jc w:val="center"/>
              <w:rPr>
                <w:rFonts w:eastAsia="Times New Roman" w:cs="Times New Roman"/>
                <w:b/>
                <w:szCs w:val="24"/>
              </w:rPr>
            </w:pPr>
            <w:r>
              <w:rPr>
                <w:rFonts w:eastAsia="Times New Roman" w:cs="Times New Roman"/>
                <w:b/>
                <w:szCs w:val="24"/>
              </w:rPr>
              <w:t>Five Forces</w:t>
            </w:r>
          </w:p>
        </w:tc>
        <w:tc>
          <w:tcPr>
            <w:tcW w:w="3120" w:type="dxa"/>
            <w:shd w:val="clear" w:color="auto" w:fill="auto"/>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pacing w:line="240" w:lineRule="auto"/>
              <w:jc w:val="center"/>
              <w:rPr>
                <w:rFonts w:eastAsia="Times New Roman" w:cs="Times New Roman"/>
                <w:b/>
                <w:szCs w:val="24"/>
              </w:rPr>
            </w:pPr>
            <w:r>
              <w:rPr>
                <w:rFonts w:eastAsia="Times New Roman" w:cs="Times New Roman"/>
                <w:b/>
                <w:szCs w:val="24"/>
              </w:rPr>
              <w:t>Description</w:t>
            </w:r>
          </w:p>
        </w:tc>
        <w:tc>
          <w:tcPr>
            <w:tcW w:w="3120" w:type="dxa"/>
            <w:shd w:val="clear" w:color="auto" w:fill="auto"/>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pacing w:line="240" w:lineRule="auto"/>
              <w:jc w:val="center"/>
              <w:rPr>
                <w:rFonts w:eastAsia="Times New Roman" w:cs="Times New Roman"/>
                <w:b/>
                <w:szCs w:val="24"/>
              </w:rPr>
            </w:pPr>
            <w:r>
              <w:rPr>
                <w:rFonts w:eastAsia="Times New Roman" w:cs="Times New Roman"/>
                <w:b/>
                <w:szCs w:val="24"/>
              </w:rPr>
              <w:t>Impact</w:t>
            </w:r>
          </w:p>
        </w:tc>
      </w:tr>
      <w:tr>
        <w:tc>
          <w:tcPr>
            <w:tcW w:w="3120" w:type="dxa"/>
            <w:shd w:val="clear" w:color="auto" w:fill="auto"/>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pacing w:line="240" w:lineRule="auto"/>
              <w:jc w:val="center"/>
              <w:rPr>
                <w:rFonts w:eastAsia="Times New Roman" w:cs="Times New Roman"/>
                <w:b/>
                <w:szCs w:val="24"/>
              </w:rPr>
            </w:pPr>
            <w:r>
              <w:rPr>
                <w:rFonts w:eastAsia="Times New Roman" w:cs="Times New Roman"/>
                <w:b/>
                <w:szCs w:val="24"/>
              </w:rPr>
              <w:t>Supplier Po</w:t>
            </w:r>
          </w:p>
          <w:p>
            <w:pPr>
              <w:widowControl w:val="0"/>
              <w:pBdr>
                <w:top w:val="none" w:sz="0" w:space="0" w:color="auto"/>
                <w:left w:val="none" w:sz="0" w:space="0" w:color="auto"/>
                <w:bottom w:val="none" w:sz="0" w:space="0" w:color="auto"/>
                <w:right w:val="none" w:sz="0" w:space="0" w:color="auto"/>
                <w:between w:val="none" w:sz="0" w:space="0" w:color="auto"/>
              </w:pBdr>
              <w:spacing w:line="240" w:lineRule="auto"/>
              <w:jc w:val="center"/>
              <w:rPr>
                <w:rFonts w:eastAsia="Times New Roman" w:cs="Times New Roman"/>
                <w:b/>
                <w:szCs w:val="24"/>
              </w:rPr>
            </w:pPr>
            <w:r>
              <w:rPr>
                <w:rFonts w:eastAsia="Times New Roman" w:cs="Times New Roman"/>
                <w:b/>
                <w:szCs w:val="24"/>
              </w:rPr>
              <w:t>wear</w:t>
            </w:r>
          </w:p>
        </w:tc>
        <w:tc>
          <w:tcPr>
            <w:tcW w:w="3120" w:type="dxa"/>
            <w:shd w:val="clear" w:color="auto" w:fill="auto"/>
            <w:tcMar>
              <w:top w:w="100" w:type="dxa"/>
              <w:left w:w="100" w:type="dxa"/>
              <w:bottom w:w="100" w:type="dxa"/>
              <w:right w:w="100" w:type="dxa"/>
            </w:tcMar>
          </w:tcPr>
          <w:p>
            <w:pPr>
              <w:widowControl w:val="0"/>
              <w:numPr>
                <w:ilvl w:val="0"/>
                <w:numId w:val="9"/>
              </w:numPr>
              <w:pBdr>
                <w:top w:val="none" w:sz="0" w:space="0" w:color="auto"/>
                <w:left w:val="none" w:sz="0" w:space="0" w:color="auto"/>
                <w:bottom w:val="none" w:sz="0" w:space="0" w:color="auto"/>
                <w:right w:val="none" w:sz="0" w:space="0" w:color="auto"/>
                <w:between w:val="none" w:sz="0" w:space="0" w:color="auto"/>
              </w:pBdr>
              <w:spacing w:after="0" w:line="240" w:lineRule="auto"/>
              <w:rPr>
                <w:rFonts w:eastAsia="Times New Roman" w:cs="Times New Roman"/>
                <w:szCs w:val="24"/>
              </w:rPr>
            </w:pPr>
            <w:r>
              <w:rPr>
                <w:rFonts w:eastAsia="Times New Roman" w:cs="Times New Roman"/>
                <w:szCs w:val="24"/>
              </w:rPr>
              <w:t>Supply power helps to increase the prices of all suppliers, which increases the entire bargaining power</w:t>
            </w:r>
          </w:p>
          <w:p>
            <w:pPr>
              <w:widowControl w:val="0"/>
              <w:numPr>
                <w:ilvl w:val="0"/>
                <w:numId w:val="9"/>
              </w:numPr>
              <w:pBdr>
                <w:top w:val="none" w:sz="0" w:space="0" w:color="auto"/>
                <w:left w:val="none" w:sz="0" w:space="0" w:color="auto"/>
                <w:bottom w:val="none" w:sz="0" w:space="0" w:color="auto"/>
                <w:right w:val="none" w:sz="0" w:space="0" w:color="auto"/>
                <w:between w:val="none" w:sz="0" w:space="0" w:color="auto"/>
              </w:pBdr>
              <w:spacing w:after="0" w:line="240" w:lineRule="auto"/>
              <w:rPr>
                <w:rFonts w:eastAsia="Times New Roman" w:cs="Times New Roman"/>
                <w:szCs w:val="24"/>
              </w:rPr>
            </w:pPr>
            <w:r>
              <w:rPr>
                <w:rFonts w:eastAsia="Times New Roman" w:cs="Times New Roman"/>
                <w:szCs w:val="24"/>
              </w:rPr>
              <w:t xml:space="preserve">The providing </w:t>
            </w:r>
          </w:p>
          <w:p>
            <w:pPr>
              <w:widowControl w:val="0"/>
              <w:numPr>
                <w:ilvl w:val="0"/>
                <w:numId w:val="9"/>
              </w:numPr>
              <w:pBdr>
                <w:top w:val="none" w:sz="0" w:space="0" w:color="auto"/>
                <w:left w:val="none" w:sz="0" w:space="0" w:color="auto"/>
                <w:bottom w:val="none" w:sz="0" w:space="0" w:color="auto"/>
                <w:right w:val="none" w:sz="0" w:space="0" w:color="auto"/>
                <w:between w:val="none" w:sz="0" w:space="0" w:color="auto"/>
              </w:pBdr>
              <w:spacing w:after="0" w:line="240" w:lineRule="auto"/>
              <w:rPr>
                <w:rFonts w:eastAsia="Times New Roman" w:cs="Times New Roman"/>
                <w:szCs w:val="24"/>
              </w:rPr>
            </w:pPr>
            <w:r>
              <w:rPr>
                <w:rFonts w:eastAsia="Times New Roman" w:cs="Times New Roman"/>
                <w:szCs w:val="24"/>
              </w:rPr>
              <w:t xml:space="preserve">services potentially depend on the company’s supplier (Foris </w:t>
            </w:r>
            <w:r>
              <w:rPr>
                <w:rFonts w:eastAsia="Times New Roman" w:cs="Times New Roman"/>
                <w:i/>
                <w:szCs w:val="24"/>
              </w:rPr>
              <w:t xml:space="preserve">et al. </w:t>
            </w:r>
            <w:r>
              <w:rPr>
                <w:rFonts w:eastAsia="Times New Roman" w:cs="Times New Roman"/>
                <w:szCs w:val="24"/>
              </w:rPr>
              <w:t>2020)</w:t>
            </w:r>
          </w:p>
          <w:p>
            <w:pPr>
              <w:widowControl w:val="0"/>
              <w:numPr>
                <w:ilvl w:val="0"/>
                <w:numId w:val="9"/>
              </w:numPr>
              <w:pBdr>
                <w:top w:val="none" w:sz="0" w:space="0" w:color="auto"/>
                <w:left w:val="none" w:sz="0" w:space="0" w:color="auto"/>
                <w:bottom w:val="none" w:sz="0" w:space="0" w:color="auto"/>
                <w:right w:val="none" w:sz="0" w:space="0" w:color="auto"/>
                <w:between w:val="none" w:sz="0" w:space="0" w:color="auto"/>
              </w:pBdr>
              <w:spacing w:after="0" w:line="240" w:lineRule="auto"/>
              <w:rPr>
                <w:rFonts w:eastAsia="Times New Roman" w:cs="Times New Roman"/>
                <w:szCs w:val="24"/>
              </w:rPr>
            </w:pPr>
            <w:r>
              <w:rPr>
                <w:rFonts w:eastAsia="Times New Roman" w:cs="Times New Roman"/>
                <w:szCs w:val="24"/>
              </w:rPr>
              <w:t xml:space="preserve">Bargaining power affects the potential of IHG resorts to maintain its profit function, and it also reduces all threats </w:t>
            </w:r>
          </w:p>
          <w:p>
            <w:pPr>
              <w:widowControl w:val="0"/>
              <w:numPr>
                <w:ilvl w:val="0"/>
                <w:numId w:val="9"/>
              </w:numPr>
              <w:pBdr>
                <w:top w:val="none" w:sz="0" w:space="0" w:color="auto"/>
                <w:left w:val="none" w:sz="0" w:space="0" w:color="auto"/>
                <w:bottom w:val="none" w:sz="0" w:space="0" w:color="auto"/>
                <w:right w:val="none" w:sz="0" w:space="0" w:color="auto"/>
                <w:between w:val="none" w:sz="0" w:space="0" w:color="auto"/>
              </w:pBdr>
              <w:spacing w:after="0" w:line="240" w:lineRule="auto"/>
              <w:rPr>
                <w:rFonts w:eastAsia="Times New Roman" w:cs="Times New Roman"/>
                <w:szCs w:val="24"/>
              </w:rPr>
            </w:pPr>
            <w:r>
              <w:rPr>
                <w:rFonts w:eastAsia="Times New Roman" w:cs="Times New Roman"/>
                <w:szCs w:val="24"/>
              </w:rPr>
              <w:t>Strong bargaining power provides a positive impact on the overall organisation’s profit level and it extracts a massive price from IHG hotel</w:t>
            </w:r>
          </w:p>
        </w:tc>
        <w:tc>
          <w:tcPr>
            <w:tcW w:w="3120" w:type="dxa"/>
            <w:shd w:val="clear" w:color="auto" w:fill="auto"/>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pacing w:line="240" w:lineRule="auto"/>
              <w:rPr>
                <w:rFonts w:eastAsia="Times New Roman" w:cs="Times New Roman"/>
                <w:szCs w:val="24"/>
              </w:rPr>
            </w:pPr>
            <w:r>
              <w:rPr>
                <w:rFonts w:eastAsia="Times New Roman" w:cs="Times New Roman"/>
                <w:szCs w:val="24"/>
              </w:rPr>
              <w:t>High</w:t>
            </w:r>
          </w:p>
        </w:tc>
      </w:tr>
      <w:tr>
        <w:tc>
          <w:tcPr>
            <w:tcW w:w="3120" w:type="dxa"/>
            <w:shd w:val="clear" w:color="auto" w:fill="auto"/>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pacing w:line="240" w:lineRule="auto"/>
              <w:jc w:val="center"/>
              <w:rPr>
                <w:rFonts w:eastAsia="Times New Roman" w:cs="Times New Roman"/>
                <w:b/>
                <w:szCs w:val="24"/>
              </w:rPr>
            </w:pPr>
            <w:r>
              <w:rPr>
                <w:rFonts w:eastAsia="Times New Roman" w:cs="Times New Roman"/>
                <w:b/>
                <w:szCs w:val="24"/>
              </w:rPr>
              <w:t>Buyer Power</w:t>
            </w:r>
          </w:p>
        </w:tc>
        <w:tc>
          <w:tcPr>
            <w:tcW w:w="3120" w:type="dxa"/>
            <w:shd w:val="clear" w:color="auto" w:fill="auto"/>
            <w:tcMar>
              <w:top w:w="100" w:type="dxa"/>
              <w:left w:w="100" w:type="dxa"/>
              <w:bottom w:w="100" w:type="dxa"/>
              <w:right w:w="100" w:type="dxa"/>
            </w:tcMar>
          </w:tcPr>
          <w:p>
            <w:pPr>
              <w:widowControl w:val="0"/>
              <w:numPr>
                <w:ilvl w:val="0"/>
                <w:numId w:val="10"/>
              </w:numPr>
              <w:pBdr>
                <w:top w:val="none" w:sz="0" w:space="0" w:color="auto"/>
                <w:left w:val="none" w:sz="0" w:space="0" w:color="auto"/>
                <w:bottom w:val="none" w:sz="0" w:space="0" w:color="auto"/>
                <w:right w:val="none" w:sz="0" w:space="0" w:color="auto"/>
                <w:between w:val="none" w:sz="0" w:space="0" w:color="auto"/>
              </w:pBdr>
              <w:spacing w:after="0" w:line="240" w:lineRule="auto"/>
              <w:rPr>
                <w:rFonts w:eastAsia="Times New Roman" w:cs="Times New Roman"/>
                <w:szCs w:val="24"/>
              </w:rPr>
            </w:pPr>
            <w:r>
              <w:rPr>
                <w:rFonts w:eastAsia="Times New Roman" w:cs="Times New Roman"/>
                <w:szCs w:val="24"/>
              </w:rPr>
              <w:t>The strong bargaining power of  consumers can drive the entire price down with limited potential (Canhoto and Wei, 2021)</w:t>
            </w:r>
          </w:p>
          <w:p>
            <w:pPr>
              <w:widowControl w:val="0"/>
              <w:numPr>
                <w:ilvl w:val="0"/>
                <w:numId w:val="10"/>
              </w:numPr>
              <w:pBdr>
                <w:top w:val="none" w:sz="0" w:space="0" w:color="auto"/>
                <w:left w:val="none" w:sz="0" w:space="0" w:color="auto"/>
                <w:bottom w:val="none" w:sz="0" w:space="0" w:color="auto"/>
                <w:right w:val="none" w:sz="0" w:space="0" w:color="auto"/>
                <w:between w:val="none" w:sz="0" w:space="0" w:color="auto"/>
              </w:pBdr>
              <w:spacing w:after="0" w:line="240" w:lineRule="auto"/>
              <w:rPr>
                <w:rFonts w:eastAsia="Times New Roman" w:cs="Times New Roman"/>
                <w:szCs w:val="24"/>
              </w:rPr>
            </w:pPr>
            <w:r>
              <w:rPr>
                <w:rFonts w:eastAsia="Times New Roman" w:cs="Times New Roman"/>
                <w:szCs w:val="24"/>
              </w:rPr>
              <w:t>A large base of buyers includes advantages to the company to improve its production and sales process</w:t>
            </w:r>
          </w:p>
          <w:p>
            <w:pPr>
              <w:widowControl w:val="0"/>
              <w:numPr>
                <w:ilvl w:val="0"/>
                <w:numId w:val="10"/>
              </w:numPr>
              <w:pBdr>
                <w:top w:val="none" w:sz="0" w:space="0" w:color="auto"/>
                <w:left w:val="none" w:sz="0" w:space="0" w:color="auto"/>
                <w:bottom w:val="none" w:sz="0" w:space="0" w:color="auto"/>
                <w:right w:val="none" w:sz="0" w:space="0" w:color="auto"/>
                <w:between w:val="none" w:sz="0" w:space="0" w:color="auto"/>
              </w:pBdr>
              <w:spacing w:after="0" w:line="240" w:lineRule="auto"/>
              <w:rPr>
                <w:rFonts w:eastAsia="Times New Roman" w:cs="Times New Roman"/>
                <w:szCs w:val="24"/>
              </w:rPr>
            </w:pPr>
            <w:r>
              <w:rPr>
                <w:rFonts w:eastAsia="Times New Roman" w:cs="Times New Roman"/>
                <w:szCs w:val="24"/>
              </w:rPr>
              <w:t>This assists the hotel and resorts to earn overall sustainability profits</w:t>
            </w:r>
          </w:p>
          <w:p>
            <w:pPr>
              <w:widowControl w:val="0"/>
              <w:numPr>
                <w:ilvl w:val="0"/>
                <w:numId w:val="10"/>
              </w:numPr>
              <w:pBdr>
                <w:top w:val="none" w:sz="0" w:space="0" w:color="auto"/>
                <w:left w:val="none" w:sz="0" w:space="0" w:color="auto"/>
                <w:bottom w:val="none" w:sz="0" w:space="0" w:color="auto"/>
                <w:right w:val="none" w:sz="0" w:space="0" w:color="auto"/>
                <w:between w:val="none" w:sz="0" w:space="0" w:color="auto"/>
              </w:pBdr>
              <w:spacing w:after="0" w:line="240" w:lineRule="auto"/>
              <w:rPr>
                <w:rFonts w:eastAsia="Times New Roman" w:cs="Times New Roman"/>
                <w:szCs w:val="24"/>
              </w:rPr>
            </w:pPr>
            <w:r>
              <w:rPr>
                <w:rFonts w:eastAsia="Times New Roman" w:cs="Times New Roman"/>
                <w:szCs w:val="24"/>
              </w:rPr>
              <w:t>Buyers want to buy all offers at the lowest price, which puts pressure on the profitability level of IHG Hotels Group</w:t>
            </w:r>
          </w:p>
          <w:p>
            <w:pPr>
              <w:widowControl w:val="0"/>
              <w:numPr>
                <w:ilvl w:val="0"/>
                <w:numId w:val="10"/>
              </w:numPr>
              <w:pBdr>
                <w:top w:val="none" w:sz="0" w:space="0" w:color="auto"/>
                <w:left w:val="none" w:sz="0" w:space="0" w:color="auto"/>
                <w:bottom w:val="none" w:sz="0" w:space="0" w:color="auto"/>
                <w:right w:val="none" w:sz="0" w:space="0" w:color="auto"/>
                <w:between w:val="none" w:sz="0" w:space="0" w:color="auto"/>
              </w:pBdr>
              <w:spacing w:after="0" w:line="240" w:lineRule="auto"/>
              <w:rPr>
                <w:rFonts w:eastAsia="Times New Roman" w:cs="Times New Roman"/>
                <w:szCs w:val="24"/>
              </w:rPr>
            </w:pPr>
            <w:r>
              <w:rPr>
                <w:rFonts w:eastAsia="Times New Roman" w:cs="Times New Roman"/>
                <w:szCs w:val="24"/>
              </w:rPr>
              <w:t>Consumers with great bargaining powers have all types of the capability to better deals</w:t>
            </w:r>
          </w:p>
          <w:p>
            <w:pPr>
              <w:widowControl w:val="0"/>
              <w:numPr>
                <w:ilvl w:val="0"/>
                <w:numId w:val="10"/>
              </w:numPr>
              <w:pBdr>
                <w:top w:val="none" w:sz="0" w:space="0" w:color="auto"/>
                <w:left w:val="none" w:sz="0" w:space="0" w:color="auto"/>
                <w:bottom w:val="none" w:sz="0" w:space="0" w:color="auto"/>
                <w:right w:val="none" w:sz="0" w:space="0" w:color="auto"/>
                <w:between w:val="none" w:sz="0" w:space="0" w:color="auto"/>
              </w:pBdr>
              <w:spacing w:after="0" w:line="240" w:lineRule="auto"/>
              <w:rPr>
                <w:rFonts w:eastAsia="Times New Roman" w:cs="Times New Roman"/>
                <w:szCs w:val="24"/>
              </w:rPr>
            </w:pPr>
            <w:r>
              <w:rPr>
                <w:rFonts w:eastAsia="Times New Roman" w:cs="Times New Roman"/>
                <w:szCs w:val="24"/>
              </w:rPr>
              <w:t>Launching a new product can help to reduce the customer's bargaining power and limits the existing consumer's defection</w:t>
            </w:r>
          </w:p>
          <w:p>
            <w:pPr>
              <w:widowControl w:val="0"/>
              <w:pBdr>
                <w:top w:val="none" w:sz="0" w:space="0" w:color="auto"/>
                <w:left w:val="none" w:sz="0" w:space="0" w:color="auto"/>
                <w:bottom w:val="none" w:sz="0" w:space="0" w:color="auto"/>
                <w:right w:val="none" w:sz="0" w:space="0" w:color="auto"/>
                <w:between w:val="none" w:sz="0" w:space="0" w:color="auto"/>
              </w:pBdr>
              <w:spacing w:line="240" w:lineRule="auto"/>
              <w:ind w:left="720"/>
              <w:rPr>
                <w:rFonts w:eastAsia="Times New Roman" w:cs="Times New Roman"/>
                <w:szCs w:val="24"/>
              </w:rPr>
            </w:pPr>
          </w:p>
        </w:tc>
        <w:tc>
          <w:tcPr>
            <w:tcW w:w="3120" w:type="dxa"/>
            <w:shd w:val="clear" w:color="auto" w:fill="auto"/>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pacing w:line="240" w:lineRule="auto"/>
              <w:rPr>
                <w:rFonts w:eastAsia="Times New Roman" w:cs="Times New Roman"/>
                <w:szCs w:val="24"/>
              </w:rPr>
            </w:pPr>
            <w:r>
              <w:rPr>
                <w:rFonts w:eastAsia="Times New Roman" w:cs="Times New Roman"/>
                <w:szCs w:val="24"/>
              </w:rPr>
              <w:t>High</w:t>
            </w:r>
          </w:p>
        </w:tc>
      </w:tr>
      <w:tr>
        <w:tc>
          <w:tcPr>
            <w:tcW w:w="3120" w:type="dxa"/>
            <w:shd w:val="clear" w:color="auto" w:fill="auto"/>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pacing w:line="240" w:lineRule="auto"/>
              <w:jc w:val="center"/>
              <w:rPr>
                <w:rFonts w:eastAsia="Times New Roman" w:cs="Times New Roman"/>
                <w:b/>
                <w:szCs w:val="24"/>
              </w:rPr>
            </w:pPr>
            <w:r>
              <w:rPr>
                <w:rFonts w:eastAsia="Times New Roman" w:cs="Times New Roman"/>
                <w:b/>
                <w:szCs w:val="24"/>
              </w:rPr>
              <w:t>Competitive Rivalry</w:t>
            </w:r>
          </w:p>
        </w:tc>
        <w:tc>
          <w:tcPr>
            <w:tcW w:w="3120" w:type="dxa"/>
            <w:shd w:val="clear" w:color="auto" w:fill="auto"/>
            <w:tcMar>
              <w:top w:w="100" w:type="dxa"/>
              <w:left w:w="100" w:type="dxa"/>
              <w:bottom w:w="100" w:type="dxa"/>
              <w:right w:w="100" w:type="dxa"/>
            </w:tcMar>
          </w:tcPr>
          <w:p>
            <w:pPr>
              <w:widowControl w:val="0"/>
              <w:numPr>
                <w:ilvl w:val="0"/>
                <w:numId w:val="11"/>
              </w:numPr>
              <w:pBdr>
                <w:top w:val="none" w:sz="0" w:space="0" w:color="auto"/>
                <w:left w:val="none" w:sz="0" w:space="0" w:color="auto"/>
                <w:bottom w:val="none" w:sz="0" w:space="0" w:color="auto"/>
                <w:right w:val="none" w:sz="0" w:space="0" w:color="auto"/>
                <w:between w:val="none" w:sz="0" w:space="0" w:color="auto"/>
              </w:pBdr>
              <w:spacing w:after="0" w:line="240" w:lineRule="auto"/>
              <w:rPr>
                <w:rFonts w:eastAsia="Times New Roman" w:cs="Times New Roman"/>
                <w:szCs w:val="24"/>
              </w:rPr>
            </w:pPr>
            <w:r>
              <w:rPr>
                <w:rFonts w:eastAsia="Times New Roman" w:cs="Times New Roman"/>
                <w:szCs w:val="24"/>
              </w:rPr>
              <w:t xml:space="preserve">Creating a sustainable differentiation can reduce competitive rivalry (Rubio-Mozos </w:t>
            </w:r>
            <w:r>
              <w:rPr>
                <w:rFonts w:eastAsia="Times New Roman" w:cs="Times New Roman"/>
                <w:i/>
                <w:szCs w:val="24"/>
              </w:rPr>
              <w:t>et al.,</w:t>
            </w:r>
            <w:r>
              <w:rPr>
                <w:rFonts w:eastAsia="Times New Roman" w:cs="Times New Roman"/>
                <w:szCs w:val="24"/>
              </w:rPr>
              <w:t xml:space="preserve"> 2020)</w:t>
            </w:r>
          </w:p>
          <w:p>
            <w:pPr>
              <w:widowControl w:val="0"/>
              <w:numPr>
                <w:ilvl w:val="0"/>
                <w:numId w:val="11"/>
              </w:numPr>
              <w:pBdr>
                <w:top w:val="none" w:sz="0" w:space="0" w:color="auto"/>
                <w:left w:val="none" w:sz="0" w:space="0" w:color="auto"/>
                <w:bottom w:val="none" w:sz="0" w:space="0" w:color="auto"/>
                <w:right w:val="none" w:sz="0" w:space="0" w:color="auto"/>
                <w:between w:val="none" w:sz="0" w:space="0" w:color="auto"/>
              </w:pBdr>
              <w:spacing w:after="0" w:line="240" w:lineRule="auto"/>
              <w:rPr>
                <w:rFonts w:eastAsia="Times New Roman" w:cs="Times New Roman"/>
                <w:szCs w:val="24"/>
              </w:rPr>
            </w:pPr>
            <w:r>
              <w:rPr>
                <w:rFonts w:eastAsia="Times New Roman" w:cs="Times New Roman"/>
                <w:szCs w:val="24"/>
              </w:rPr>
              <w:t xml:space="preserve">Industry rivalry can decrease the industry profitability level as well </w:t>
            </w:r>
          </w:p>
          <w:p>
            <w:pPr>
              <w:widowControl w:val="0"/>
              <w:numPr>
                <w:ilvl w:val="0"/>
                <w:numId w:val="11"/>
              </w:numPr>
              <w:pBdr>
                <w:top w:val="none" w:sz="0" w:space="0" w:color="auto"/>
                <w:left w:val="none" w:sz="0" w:space="0" w:color="auto"/>
                <w:bottom w:val="none" w:sz="0" w:space="0" w:color="auto"/>
                <w:right w:val="none" w:sz="0" w:space="0" w:color="auto"/>
                <w:between w:val="none" w:sz="0" w:space="0" w:color="auto"/>
              </w:pBdr>
              <w:spacing w:after="0" w:line="240" w:lineRule="auto"/>
              <w:rPr>
                <w:rFonts w:eastAsia="Times New Roman" w:cs="Times New Roman"/>
                <w:szCs w:val="24"/>
              </w:rPr>
            </w:pPr>
            <w:r>
              <w:rPr>
                <w:rFonts w:eastAsia="Times New Roman" w:cs="Times New Roman"/>
                <w:szCs w:val="24"/>
              </w:rPr>
              <w:t>Competitor collaboration increases the entire market size, which is significantly beneficial for the organisation</w:t>
            </w:r>
          </w:p>
          <w:p>
            <w:pPr>
              <w:widowControl w:val="0"/>
              <w:numPr>
                <w:ilvl w:val="0"/>
                <w:numId w:val="11"/>
              </w:numPr>
              <w:pBdr>
                <w:top w:val="none" w:sz="0" w:space="0" w:color="auto"/>
                <w:left w:val="none" w:sz="0" w:space="0" w:color="auto"/>
                <w:bottom w:val="none" w:sz="0" w:space="0" w:color="auto"/>
                <w:right w:val="none" w:sz="0" w:space="0" w:color="auto"/>
                <w:between w:val="none" w:sz="0" w:space="0" w:color="auto"/>
              </w:pBdr>
              <w:spacing w:after="0" w:line="240" w:lineRule="auto"/>
              <w:rPr>
                <w:rFonts w:eastAsia="Times New Roman" w:cs="Times New Roman"/>
                <w:szCs w:val="24"/>
              </w:rPr>
            </w:pPr>
            <w:r>
              <w:rPr>
                <w:rFonts w:eastAsia="Times New Roman" w:cs="Times New Roman"/>
                <w:szCs w:val="24"/>
              </w:rPr>
              <w:t>Marriott, Belmond Ltd., Hyatt, and Hilton are competitors of the IHG hotels</w:t>
            </w:r>
          </w:p>
          <w:p>
            <w:pPr>
              <w:widowControl w:val="0"/>
              <w:numPr>
                <w:ilvl w:val="0"/>
                <w:numId w:val="11"/>
              </w:numPr>
              <w:pBdr>
                <w:top w:val="none" w:sz="0" w:space="0" w:color="auto"/>
                <w:left w:val="none" w:sz="0" w:space="0" w:color="auto"/>
                <w:bottom w:val="none" w:sz="0" w:space="0" w:color="auto"/>
                <w:right w:val="none" w:sz="0" w:space="0" w:color="auto"/>
                <w:between w:val="none" w:sz="0" w:space="0" w:color="auto"/>
              </w:pBdr>
              <w:spacing w:after="0" w:line="240" w:lineRule="auto"/>
              <w:rPr>
                <w:rFonts w:eastAsia="Times New Roman" w:cs="Times New Roman"/>
                <w:szCs w:val="24"/>
              </w:rPr>
            </w:pPr>
            <w:r>
              <w:rPr>
                <w:rFonts w:eastAsia="Times New Roman" w:cs="Times New Roman"/>
                <w:szCs w:val="24"/>
              </w:rPr>
              <w:t>Demographic market segmentation makes a difference to the IHG resorts and this market helps to increase the income profitability by targeting the entire UK market</w:t>
            </w:r>
          </w:p>
          <w:p>
            <w:pPr>
              <w:widowControl w:val="0"/>
              <w:numPr>
                <w:ilvl w:val="0"/>
                <w:numId w:val="11"/>
              </w:numPr>
              <w:pBdr>
                <w:top w:val="none" w:sz="0" w:space="0" w:color="auto"/>
                <w:left w:val="none" w:sz="0" w:space="0" w:color="auto"/>
                <w:bottom w:val="none" w:sz="0" w:space="0" w:color="auto"/>
                <w:right w:val="none" w:sz="0" w:space="0" w:color="auto"/>
                <w:between w:val="none" w:sz="0" w:space="0" w:color="auto"/>
              </w:pBdr>
              <w:spacing w:after="0" w:line="240" w:lineRule="auto"/>
              <w:rPr>
                <w:rFonts w:eastAsia="Times New Roman" w:cs="Times New Roman"/>
                <w:szCs w:val="24"/>
              </w:rPr>
            </w:pPr>
            <w:r>
              <w:rPr>
                <w:rFonts w:eastAsia="Times New Roman" w:cs="Times New Roman"/>
                <w:szCs w:val="24"/>
              </w:rPr>
              <w:t>Holidays packages of the IHG organisation are efficiently prestigious community, additionally, it also offers minimal services to the target market</w:t>
            </w:r>
          </w:p>
        </w:tc>
        <w:tc>
          <w:tcPr>
            <w:tcW w:w="3120" w:type="dxa"/>
            <w:shd w:val="clear" w:color="auto" w:fill="auto"/>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pacing w:line="240" w:lineRule="auto"/>
              <w:rPr>
                <w:rFonts w:eastAsia="Times New Roman" w:cs="Times New Roman"/>
                <w:szCs w:val="24"/>
              </w:rPr>
            </w:pPr>
            <w:r>
              <w:rPr>
                <w:rFonts w:eastAsia="Times New Roman" w:cs="Times New Roman"/>
                <w:szCs w:val="24"/>
              </w:rPr>
              <w:t>High</w:t>
            </w:r>
          </w:p>
        </w:tc>
      </w:tr>
      <w:tr>
        <w:tc>
          <w:tcPr>
            <w:tcW w:w="3120" w:type="dxa"/>
            <w:shd w:val="clear" w:color="auto" w:fill="auto"/>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pacing w:line="240" w:lineRule="auto"/>
              <w:jc w:val="center"/>
              <w:rPr>
                <w:rFonts w:eastAsia="Times New Roman" w:cs="Times New Roman"/>
                <w:b/>
                <w:szCs w:val="24"/>
              </w:rPr>
            </w:pPr>
            <w:r>
              <w:rPr>
                <w:rFonts w:eastAsia="Times New Roman" w:cs="Times New Roman"/>
                <w:b/>
                <w:szCs w:val="24"/>
              </w:rPr>
              <w:t>Substitution Threat</w:t>
            </w:r>
          </w:p>
        </w:tc>
        <w:tc>
          <w:tcPr>
            <w:tcW w:w="3120" w:type="dxa"/>
            <w:shd w:val="clear" w:color="auto" w:fill="auto"/>
            <w:tcMar>
              <w:top w:w="100" w:type="dxa"/>
              <w:left w:w="100" w:type="dxa"/>
              <w:bottom w:w="100" w:type="dxa"/>
              <w:right w:w="100" w:type="dxa"/>
            </w:tcMar>
          </w:tcPr>
          <w:p>
            <w:pPr>
              <w:widowControl w:val="0"/>
              <w:numPr>
                <w:ilvl w:val="0"/>
                <w:numId w:val="12"/>
              </w:numPr>
              <w:pBdr>
                <w:top w:val="none" w:sz="0" w:space="0" w:color="auto"/>
                <w:left w:val="none" w:sz="0" w:space="0" w:color="auto"/>
                <w:bottom w:val="none" w:sz="0" w:space="0" w:color="auto"/>
                <w:right w:val="none" w:sz="0" w:space="0" w:color="auto"/>
                <w:between w:val="none" w:sz="0" w:space="0" w:color="auto"/>
              </w:pBdr>
              <w:spacing w:after="0" w:line="240" w:lineRule="auto"/>
              <w:rPr>
                <w:rFonts w:eastAsia="Times New Roman" w:cs="Times New Roman"/>
                <w:szCs w:val="24"/>
              </w:rPr>
            </w:pPr>
            <w:r>
              <w:rPr>
                <w:rFonts w:eastAsia="Times New Roman" w:cs="Times New Roman"/>
                <w:szCs w:val="24"/>
              </w:rPr>
              <w:t xml:space="preserve">Organisation's profitability section suffers more, which launched a new service matched with a similar organisation </w:t>
            </w:r>
          </w:p>
          <w:p>
            <w:pPr>
              <w:widowControl w:val="0"/>
              <w:numPr>
                <w:ilvl w:val="0"/>
                <w:numId w:val="12"/>
              </w:numPr>
              <w:spacing w:after="0" w:line="240" w:lineRule="auto"/>
              <w:rPr>
                <w:rFonts w:eastAsia="Times New Roman" w:cs="Times New Roman"/>
                <w:szCs w:val="24"/>
              </w:rPr>
            </w:pPr>
            <w:r>
              <w:rPr>
                <w:rFonts w:eastAsia="Times New Roman" w:cs="Times New Roman"/>
                <w:szCs w:val="24"/>
              </w:rPr>
              <w:t>Marriott, Belmond Ltd., Hyatt, and Hilton are substitution threats of the IHG hotels</w:t>
            </w:r>
          </w:p>
          <w:p>
            <w:pPr>
              <w:widowControl w:val="0"/>
              <w:numPr>
                <w:ilvl w:val="0"/>
                <w:numId w:val="12"/>
              </w:numPr>
              <w:pBdr>
                <w:top w:val="none" w:sz="0" w:space="0" w:color="auto"/>
                <w:left w:val="none" w:sz="0" w:space="0" w:color="auto"/>
                <w:bottom w:val="none" w:sz="0" w:space="0" w:color="auto"/>
                <w:right w:val="none" w:sz="0" w:space="0" w:color="auto"/>
                <w:between w:val="none" w:sz="0" w:space="0" w:color="auto"/>
              </w:pBdr>
              <w:spacing w:after="0" w:line="240" w:lineRule="auto"/>
              <w:rPr>
                <w:rFonts w:eastAsia="Times New Roman" w:cs="Times New Roman"/>
                <w:szCs w:val="24"/>
              </w:rPr>
            </w:pPr>
            <w:r>
              <w:rPr>
                <w:rFonts w:eastAsia="Times New Roman" w:cs="Times New Roman"/>
                <w:szCs w:val="24"/>
              </w:rPr>
              <w:t xml:space="preserve"> To reduce the substitution threat, the IHG hotel is required to understand the needs of all consumers, additionally, this is more important rather than buying process (Vasileiou </w:t>
            </w:r>
            <w:r>
              <w:rPr>
                <w:rFonts w:eastAsia="Times New Roman" w:cs="Times New Roman"/>
                <w:i/>
                <w:szCs w:val="24"/>
              </w:rPr>
              <w:t xml:space="preserve">et al., </w:t>
            </w:r>
            <w:r>
              <w:rPr>
                <w:rFonts w:eastAsia="Times New Roman" w:cs="Times New Roman"/>
                <w:szCs w:val="24"/>
              </w:rPr>
              <w:t>2019)</w:t>
            </w:r>
          </w:p>
          <w:p>
            <w:pPr>
              <w:widowControl w:val="0"/>
              <w:numPr>
                <w:ilvl w:val="0"/>
                <w:numId w:val="12"/>
              </w:numPr>
              <w:pBdr>
                <w:top w:val="none" w:sz="0" w:space="0" w:color="auto"/>
                <w:left w:val="none" w:sz="0" w:space="0" w:color="auto"/>
                <w:bottom w:val="none" w:sz="0" w:space="0" w:color="auto"/>
                <w:right w:val="none" w:sz="0" w:space="0" w:color="auto"/>
                <w:between w:val="none" w:sz="0" w:space="0" w:color="auto"/>
              </w:pBdr>
              <w:spacing w:after="0" w:line="240" w:lineRule="auto"/>
              <w:rPr>
                <w:rFonts w:eastAsia="Times New Roman" w:cs="Times New Roman"/>
                <w:szCs w:val="24"/>
              </w:rPr>
            </w:pPr>
            <w:r>
              <w:rPr>
                <w:rFonts w:eastAsia="Times New Roman" w:cs="Times New Roman"/>
                <w:szCs w:val="24"/>
              </w:rPr>
              <w:t>Developing the switching cost of the organisation can reduce the tackle of this specific thread</w:t>
            </w:r>
          </w:p>
          <w:p>
            <w:pPr>
              <w:widowControl w:val="0"/>
              <w:numPr>
                <w:ilvl w:val="0"/>
                <w:numId w:val="12"/>
              </w:numPr>
              <w:pBdr>
                <w:top w:val="none" w:sz="0" w:space="0" w:color="auto"/>
                <w:left w:val="none" w:sz="0" w:space="0" w:color="auto"/>
                <w:bottom w:val="none" w:sz="0" w:space="0" w:color="auto"/>
                <w:right w:val="none" w:sz="0" w:space="0" w:color="auto"/>
                <w:between w:val="none" w:sz="0" w:space="0" w:color="auto"/>
              </w:pBdr>
              <w:spacing w:after="0" w:line="240" w:lineRule="auto"/>
              <w:rPr>
                <w:rFonts w:eastAsia="Times New Roman" w:cs="Times New Roman"/>
                <w:szCs w:val="24"/>
              </w:rPr>
            </w:pPr>
            <w:r>
              <w:rPr>
                <w:rFonts w:eastAsia="Times New Roman" w:cs="Times New Roman"/>
                <w:szCs w:val="24"/>
              </w:rPr>
              <w:t>The substitute rate is high when this hotel refers to a good value position, which is different from other industry</w:t>
            </w:r>
          </w:p>
          <w:p>
            <w:pPr>
              <w:widowControl w:val="0"/>
              <w:pBdr>
                <w:top w:val="none" w:sz="0" w:space="0" w:color="auto"/>
                <w:left w:val="none" w:sz="0" w:space="0" w:color="auto"/>
                <w:bottom w:val="none" w:sz="0" w:space="0" w:color="auto"/>
                <w:right w:val="none" w:sz="0" w:space="0" w:color="auto"/>
                <w:between w:val="none" w:sz="0" w:space="0" w:color="auto"/>
              </w:pBdr>
              <w:spacing w:line="240" w:lineRule="auto"/>
              <w:rPr>
                <w:rFonts w:eastAsia="Times New Roman" w:cs="Times New Roman"/>
                <w:szCs w:val="24"/>
              </w:rPr>
            </w:pPr>
          </w:p>
        </w:tc>
        <w:tc>
          <w:tcPr>
            <w:tcW w:w="3120" w:type="dxa"/>
            <w:shd w:val="clear" w:color="auto" w:fill="auto"/>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pacing w:line="240" w:lineRule="auto"/>
              <w:rPr>
                <w:rFonts w:eastAsia="Times New Roman" w:cs="Times New Roman"/>
                <w:szCs w:val="24"/>
              </w:rPr>
            </w:pPr>
            <w:r>
              <w:rPr>
                <w:rFonts w:eastAsia="Times New Roman" w:cs="Times New Roman"/>
                <w:szCs w:val="24"/>
              </w:rPr>
              <w:t>Moderate</w:t>
            </w:r>
          </w:p>
        </w:tc>
      </w:tr>
      <w:tr>
        <w:tc>
          <w:tcPr>
            <w:tcW w:w="3120" w:type="dxa"/>
            <w:shd w:val="clear" w:color="auto" w:fill="auto"/>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pacing w:line="240" w:lineRule="auto"/>
              <w:jc w:val="center"/>
              <w:rPr>
                <w:rFonts w:eastAsia="Times New Roman" w:cs="Times New Roman"/>
                <w:b/>
                <w:szCs w:val="24"/>
              </w:rPr>
            </w:pPr>
            <w:r>
              <w:rPr>
                <w:rFonts w:eastAsia="Times New Roman" w:cs="Times New Roman"/>
                <w:b/>
                <w:szCs w:val="24"/>
              </w:rPr>
              <w:t>New Entry Threat</w:t>
            </w:r>
          </w:p>
        </w:tc>
        <w:tc>
          <w:tcPr>
            <w:tcW w:w="3120" w:type="dxa"/>
            <w:shd w:val="clear" w:color="auto" w:fill="auto"/>
            <w:tcMar>
              <w:top w:w="100" w:type="dxa"/>
              <w:left w:w="100" w:type="dxa"/>
              <w:bottom w:w="100" w:type="dxa"/>
              <w:right w:w="100" w:type="dxa"/>
            </w:tcMar>
          </w:tcPr>
          <w:p>
            <w:pPr>
              <w:widowControl w:val="0"/>
              <w:numPr>
                <w:ilvl w:val="0"/>
                <w:numId w:val="13"/>
              </w:numPr>
              <w:pBdr>
                <w:top w:val="none" w:sz="0" w:space="0" w:color="auto"/>
                <w:left w:val="none" w:sz="0" w:space="0" w:color="auto"/>
                <w:bottom w:val="none" w:sz="0" w:space="0" w:color="auto"/>
                <w:right w:val="none" w:sz="0" w:space="0" w:color="auto"/>
                <w:between w:val="none" w:sz="0" w:space="0" w:color="auto"/>
              </w:pBdr>
              <w:spacing w:after="0" w:line="240" w:lineRule="auto"/>
              <w:rPr>
                <w:rFonts w:eastAsia="Times New Roman" w:cs="Times New Roman"/>
                <w:szCs w:val="24"/>
              </w:rPr>
            </w:pPr>
            <w:r>
              <w:rPr>
                <w:rFonts w:eastAsia="Times New Roman" w:cs="Times New Roman"/>
                <w:szCs w:val="24"/>
              </w:rPr>
              <w:t>These new entry threats can bring innovation that put pressure on IHG PLC's pricing strategy and reducing costs section</w:t>
            </w:r>
          </w:p>
          <w:p>
            <w:pPr>
              <w:widowControl w:val="0"/>
              <w:numPr>
                <w:ilvl w:val="0"/>
                <w:numId w:val="13"/>
              </w:numPr>
              <w:pBdr>
                <w:top w:val="none" w:sz="0" w:space="0" w:color="auto"/>
                <w:left w:val="none" w:sz="0" w:space="0" w:color="auto"/>
                <w:bottom w:val="none" w:sz="0" w:space="0" w:color="auto"/>
                <w:right w:val="none" w:sz="0" w:space="0" w:color="auto"/>
                <w:between w:val="none" w:sz="0" w:space="0" w:color="auto"/>
              </w:pBdr>
              <w:spacing w:after="0" w:line="240" w:lineRule="auto"/>
              <w:rPr>
                <w:rFonts w:eastAsia="Times New Roman" w:cs="Times New Roman"/>
                <w:szCs w:val="24"/>
              </w:rPr>
            </w:pPr>
            <w:r>
              <w:rPr>
                <w:rFonts w:eastAsia="Times New Roman" w:cs="Times New Roman"/>
                <w:szCs w:val="24"/>
              </w:rPr>
              <w:t>Innovative new products help to bring in new consumers and it increasing old consumers to buy their products</w:t>
            </w:r>
          </w:p>
          <w:p>
            <w:pPr>
              <w:widowControl w:val="0"/>
              <w:numPr>
                <w:ilvl w:val="0"/>
                <w:numId w:val="13"/>
              </w:numPr>
              <w:pBdr>
                <w:top w:val="none" w:sz="0" w:space="0" w:color="auto"/>
                <w:left w:val="none" w:sz="0" w:space="0" w:color="auto"/>
                <w:bottom w:val="none" w:sz="0" w:space="0" w:color="auto"/>
                <w:right w:val="none" w:sz="0" w:space="0" w:color="auto"/>
                <w:between w:val="none" w:sz="0" w:space="0" w:color="auto"/>
              </w:pBdr>
              <w:spacing w:after="0" w:line="240" w:lineRule="auto"/>
              <w:rPr>
                <w:rFonts w:eastAsia="Times New Roman" w:cs="Times New Roman"/>
                <w:szCs w:val="24"/>
              </w:rPr>
            </w:pPr>
            <w:r>
              <w:rPr>
                <w:rFonts w:eastAsia="Times New Roman" w:cs="Times New Roman"/>
                <w:szCs w:val="24"/>
              </w:rPr>
              <w:t>Creating new scale economies can solve the cost of all services</w:t>
            </w:r>
          </w:p>
          <w:p>
            <w:pPr>
              <w:widowControl w:val="0"/>
              <w:numPr>
                <w:ilvl w:val="0"/>
                <w:numId w:val="13"/>
              </w:numPr>
              <w:pBdr>
                <w:top w:val="none" w:sz="0" w:space="0" w:color="auto"/>
                <w:left w:val="none" w:sz="0" w:space="0" w:color="auto"/>
                <w:bottom w:val="none" w:sz="0" w:space="0" w:color="auto"/>
                <w:right w:val="none" w:sz="0" w:space="0" w:color="auto"/>
                <w:between w:val="none" w:sz="0" w:space="0" w:color="auto"/>
              </w:pBdr>
              <w:spacing w:after="0" w:line="240" w:lineRule="auto"/>
              <w:rPr>
                <w:rFonts w:eastAsia="Times New Roman" w:cs="Times New Roman"/>
                <w:szCs w:val="24"/>
              </w:rPr>
            </w:pPr>
            <w:r>
              <w:rPr>
                <w:rFonts w:eastAsia="Times New Roman" w:cs="Times New Roman"/>
                <w:szCs w:val="24"/>
              </w:rPr>
              <w:t>These threats help to reduce the extraordinary profits of the organisation and discourage all new players in this specific industry as well</w:t>
            </w:r>
          </w:p>
          <w:p>
            <w:pPr>
              <w:widowControl w:val="0"/>
              <w:numPr>
                <w:ilvl w:val="0"/>
                <w:numId w:val="13"/>
              </w:numPr>
              <w:pBdr>
                <w:top w:val="none" w:sz="0" w:space="0" w:color="auto"/>
                <w:left w:val="none" w:sz="0" w:space="0" w:color="auto"/>
                <w:bottom w:val="none" w:sz="0" w:space="0" w:color="auto"/>
                <w:right w:val="none" w:sz="0" w:space="0" w:color="auto"/>
                <w:between w:val="none" w:sz="0" w:space="0" w:color="auto"/>
              </w:pBdr>
              <w:spacing w:after="0" w:line="240" w:lineRule="auto"/>
              <w:rPr>
                <w:rFonts w:eastAsia="Times New Roman" w:cs="Times New Roman"/>
                <w:szCs w:val="24"/>
              </w:rPr>
            </w:pPr>
            <w:r>
              <w:rPr>
                <w:rFonts w:eastAsia="Times New Roman" w:cs="Times New Roman"/>
                <w:szCs w:val="24"/>
              </w:rPr>
              <w:t>Spending money and building capabilities helps to develop the organisation's new entrants (Seraphin and Yallop, 2020)</w:t>
            </w:r>
          </w:p>
          <w:p>
            <w:pPr>
              <w:widowControl w:val="0"/>
              <w:numPr>
                <w:ilvl w:val="0"/>
                <w:numId w:val="13"/>
              </w:numPr>
              <w:pBdr>
                <w:top w:val="none" w:sz="0" w:space="0" w:color="auto"/>
                <w:left w:val="none" w:sz="0" w:space="0" w:color="auto"/>
                <w:bottom w:val="none" w:sz="0" w:space="0" w:color="auto"/>
                <w:right w:val="none" w:sz="0" w:space="0" w:color="auto"/>
                <w:between w:val="none" w:sz="0" w:space="0" w:color="auto"/>
              </w:pBdr>
              <w:spacing w:after="0" w:line="240" w:lineRule="auto"/>
              <w:rPr>
                <w:rFonts w:eastAsia="Times New Roman" w:cs="Times New Roman"/>
                <w:szCs w:val="24"/>
              </w:rPr>
            </w:pPr>
            <w:r>
              <w:rPr>
                <w:rFonts w:eastAsia="Times New Roman" w:cs="Times New Roman"/>
                <w:szCs w:val="24"/>
              </w:rPr>
              <w:t>Strong new entrants help to earn the lowest profit by reducing all types of threats from all new consumers.</w:t>
            </w:r>
          </w:p>
        </w:tc>
        <w:tc>
          <w:tcPr>
            <w:tcW w:w="3120" w:type="dxa"/>
            <w:shd w:val="clear" w:color="auto" w:fill="auto"/>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pacing w:line="240" w:lineRule="auto"/>
              <w:rPr>
                <w:rFonts w:eastAsia="Times New Roman" w:cs="Times New Roman"/>
                <w:szCs w:val="24"/>
              </w:rPr>
            </w:pPr>
            <w:r>
              <w:rPr>
                <w:rFonts w:eastAsia="Times New Roman" w:cs="Times New Roman"/>
                <w:szCs w:val="24"/>
              </w:rPr>
              <w:t>High</w:t>
            </w:r>
          </w:p>
        </w:tc>
      </w:tr>
    </w:tbl>
    <w:p>
      <w:pPr>
        <w:spacing w:line="360" w:lineRule="auto"/>
        <w:jc w:val="center"/>
        <w:rPr>
          <w:rFonts w:eastAsia="Times New Roman" w:cs="Times New Roman"/>
          <w:szCs w:val="24"/>
        </w:rPr>
      </w:pPr>
    </w:p>
    <w:p>
      <w:pPr>
        <w:spacing w:line="360" w:lineRule="auto"/>
        <w:jc w:val="center"/>
        <w:rPr>
          <w:rFonts w:eastAsia="Times New Roman" w:cs="Times New Roman"/>
          <w:b/>
          <w:szCs w:val="24"/>
        </w:rPr>
      </w:pPr>
      <w:r>
        <w:rPr>
          <w:rFonts w:eastAsia="Times New Roman" w:cs="Times New Roman"/>
          <w:b/>
          <w:szCs w:val="24"/>
        </w:rPr>
        <w:t xml:space="preserve">Table 2: Porter’s Five Forces </w:t>
      </w:r>
    </w:p>
    <w:p>
      <w:pPr>
        <w:spacing w:line="360" w:lineRule="auto"/>
        <w:jc w:val="center"/>
        <w:rPr>
          <w:rFonts w:eastAsia="Times New Roman" w:cs="Times New Roman"/>
          <w:szCs w:val="24"/>
        </w:rPr>
      </w:pPr>
      <w:r>
        <w:rPr>
          <w:rFonts w:eastAsia="Times New Roman" w:cs="Times New Roman"/>
          <w:szCs w:val="24"/>
        </w:rPr>
        <w:t>(Source: Self-created)</w:t>
      </w:r>
    </w:p>
    <w:p>
      <w:pPr>
        <w:pStyle w:val="1"/>
      </w:pPr>
      <w:bookmarkStart w:id="9" w:name="_Toc130320672"/>
      <w:r>
        <w:t>Internal Analysis</w:t>
      </w:r>
      <w:bookmarkEnd w:id="9"/>
    </w:p>
    <w:p>
      <w:pPr>
        <w:pStyle w:val="2"/>
      </w:pPr>
      <w:bookmarkStart w:id="10" w:name="_Toc130320673"/>
      <w:r>
        <w:t>Strategic Resources and Capabilities</w:t>
      </w:r>
      <w:bookmarkEnd w:id="10"/>
    </w:p>
    <w:p>
      <w:pPr>
        <w:spacing w:line="360" w:lineRule="auto"/>
        <w:jc w:val="both"/>
        <w:rPr>
          <w:rFonts w:eastAsia="Times New Roman" w:cs="Times New Roman"/>
          <w:b/>
          <w:szCs w:val="24"/>
        </w:rPr>
      </w:pPr>
      <w:r>
        <w:rPr>
          <w:rFonts w:eastAsia="Times New Roman" w:cs="Times New Roman"/>
          <w:b/>
          <w:szCs w:val="24"/>
        </w:rPr>
        <w:t xml:space="preserve">Organisation’s Strategic Resources and Capabilities </w:t>
      </w:r>
    </w:p>
    <w:p>
      <w:pPr>
        <w:spacing w:line="360" w:lineRule="auto"/>
        <w:jc w:val="both"/>
        <w:rPr>
          <w:rFonts w:eastAsia="Times New Roman" w:cs="Times New Roman"/>
          <w:b/>
          <w:i/>
          <w:szCs w:val="24"/>
        </w:rPr>
      </w:pPr>
      <w:r>
        <w:rPr>
          <w:rFonts w:eastAsia="Times New Roman" w:cs="Times New Roman"/>
          <w:b/>
          <w:i/>
          <w:szCs w:val="24"/>
        </w:rPr>
        <w:t>Strategic Resources</w:t>
      </w:r>
    </w:p>
    <w:p>
      <w:pPr>
        <w:spacing w:line="360" w:lineRule="auto"/>
        <w:jc w:val="both"/>
        <w:rPr>
          <w:rFonts w:eastAsia="Times New Roman" w:cs="Times New Roman"/>
          <w:szCs w:val="24"/>
        </w:rPr>
      </w:pPr>
      <w:r>
        <w:rPr>
          <w:rFonts w:eastAsia="Times New Roman" w:cs="Times New Roman"/>
          <w:szCs w:val="24"/>
        </w:rPr>
        <w:t xml:space="preserve">As per this research, it has been seen that in 2020, IHG hotel involved all types of key elements, which helps to make its strategy strong based on its ability (Ihgplc.com, 2023). Along with it, it also helps to develop its future growth. However, the actual ambition of this organisation is to deliver industry-leading and high-quality rooms to all customers, which assists in enhancing their guests and improves its value market, and its market size is around 1.06tr USD (statista.com, 2023). Furthermore, disciplined execution drives the hotel's sustained growth based on profits and cash flow, which increases its business and shareholders' positions.  </w:t>
      </w:r>
    </w:p>
    <w:p>
      <w:pPr>
        <w:spacing w:line="360" w:lineRule="auto"/>
        <w:jc w:val="both"/>
        <w:rPr>
          <w:rFonts w:eastAsia="Times New Roman" w:cs="Times New Roman"/>
          <w:szCs w:val="24"/>
        </w:rPr>
      </w:pPr>
      <w:r>
        <w:rPr>
          <w:rFonts w:eastAsia="Times New Roman" w:cs="Times New Roman"/>
          <w:szCs w:val="24"/>
        </w:rPr>
        <w:t xml:space="preserve">The strategy resources of IHG hotel improve its priorities, purpose, and all behaviour and this organisation's strategies guide them. Moreover, stakeholder listing is one of the most important things for growth in the entire target market of IHG resorts. On the other hand, strategic resources involve some learned strategy that includes proper information on dealing with the Covid 19 pandemic (Rodríguez-Antón and Alonso-Almeida, 2020). Additionally, it includes proper planning that helps to recover all strategies on time. However, it involves the priorities that are the heart of this organisation's brand, and this is recognized by its sophistication. Strategic resources help to grow its responsibility, which takes care of its all employees, as well as, builds a positive difference to their planet and community. </w:t>
      </w:r>
    </w:p>
    <w:p>
      <w:pPr>
        <w:spacing w:line="360" w:lineRule="auto"/>
        <w:jc w:val="both"/>
        <w:rPr>
          <w:rFonts w:eastAsia="Times New Roman" w:cs="Times New Roman"/>
          <w:b/>
          <w:i/>
          <w:szCs w:val="24"/>
        </w:rPr>
      </w:pPr>
      <w:r>
        <w:rPr>
          <w:rFonts w:eastAsia="Times New Roman" w:cs="Times New Roman"/>
          <w:b/>
          <w:i/>
          <w:szCs w:val="24"/>
        </w:rPr>
        <w:t>Organisation’s capability</w:t>
      </w:r>
    </w:p>
    <w:p>
      <w:pPr>
        <w:spacing w:line="360" w:lineRule="auto"/>
        <w:jc w:val="both"/>
        <w:rPr>
          <w:rFonts w:eastAsia="Times New Roman" w:cs="Times New Roman"/>
          <w:szCs w:val="24"/>
        </w:rPr>
      </w:pPr>
      <w:r>
        <w:rPr>
          <w:rFonts w:eastAsia="Times New Roman" w:cs="Times New Roman"/>
          <w:szCs w:val="24"/>
        </w:rPr>
        <w:t xml:space="preserve">IHG hotel's strong behaviour helps to improve its marketing segments, as well as, also helps to move fast in the target market. On the other hand, its strong behaviour focused on the solutions to all challenges that improve its productivity level as well. As per the research result, it has been clearly addressed that this organisation takes care of all its staff and guests, which implements a positive effect on its business development section. Furthermore, their community always listen to their customer's requirement, which increases their capability and improves their business section as well. </w:t>
      </w:r>
    </w:p>
    <w:p>
      <w:pPr>
        <w:pStyle w:val="33"/>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Besides, the IHG hotel uses its expertise and scale that build a guest experience, which develops its business in the overall UK market. According to the research, this hotel involves some culture that attracts customers, which makes the best opportunities for the industry, as well as, it also positively impacts its business improvement section (Pappas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2021). Thus, this hotel used some effective KPIs that deliver good quality growth in the target market. The brand portfolio of this selected organisation has around 18 brands, which serve different types of services around the globe. As per the result, IHG hotel is known as one of highest largest resorts in the world, additionally, have around 885,000 guests quarter in one thousand countries. Hence, in 2021, it has around 13% of the gross margin revenue in the world based on the beverage and food of this resort (Ihgplc.com, 2023). This organisation has used science-led protocols, which can measure their provides services in IHG clean way.</w:t>
      </w:r>
    </w:p>
    <w:p>
      <w:pPr>
        <w:pStyle w:val="2"/>
      </w:pPr>
      <w:bookmarkStart w:id="11" w:name="_Toc130320674"/>
      <w:r>
        <w:t>Value Chain Analysis</w:t>
      </w:r>
      <w:bookmarkEnd w:id="11"/>
      <w:r>
        <w:tab/>
      </w:r>
    </w:p>
    <w:p>
      <w:pPr>
        <w:spacing w:line="360" w:lineRule="auto"/>
        <w:jc w:val="both"/>
      </w:pPr>
    </w:p>
    <w:p>
      <w:pPr>
        <w:pStyle w:val="3"/>
      </w:pPr>
      <w:bookmarkStart w:id="12" w:name="_Toc130320675"/>
      <w:r>
        <w:t>Primary Activities</w:t>
      </w:r>
      <w:bookmarkEnd w:id="12"/>
    </w:p>
    <w:p>
      <w:pPr>
        <w:spacing w:line="360" w:lineRule="auto"/>
        <w:jc w:val="both"/>
        <w:rPr>
          <w:rFonts w:eastAsia="Times New Roman" w:cs="Times New Roman"/>
          <w:szCs w:val="24"/>
        </w:rPr>
      </w:pPr>
      <w:r>
        <w:rPr>
          <w:rFonts w:eastAsia="Times New Roman" w:cs="Times New Roman"/>
          <w:szCs w:val="24"/>
        </w:rPr>
        <w:t>The "primary value chain activities" of this selected IHG organisation are involved with its selling and producing and target all consumers to increase its profitability as well. Moreover, these primary activities improve all activities and increase their profitability level as well.</w:t>
      </w:r>
    </w:p>
    <w:p>
      <w:pPr>
        <w:spacing w:line="360" w:lineRule="auto"/>
        <w:jc w:val="center"/>
        <w:rPr>
          <w:rFonts w:eastAsia="Times New Roman" w:cs="Times New Roman"/>
          <w:szCs w:val="24"/>
        </w:rPr>
      </w:pPr>
      <w:r>
        <w:rPr>
          <w:rFonts w:eastAsia="Times New Roman" w:cs="Times New Roman"/>
          <w:szCs w:val="24"/>
          <w:lang w:val="en-IN" w:eastAsia="en-IN"/>
        </w:rPr>
        <w:pict>
          <v:group type="#_x0000_t75" id="对象 25" o:spid="_x0000_s25" editas="canvas" coordorigin="1632,1440" coordsize="8640,5040" style="width:432.0pt;&#10;height:252.0pt;">
            <v:shape id="_x0000_s26" type="#_x0000_t75" style="position:absolute;left:1632;top:1440;width:8640;height:5040" filled="f" stroked="f" strokeweight="1.0pt">
              <v:stroke color="#000000"/>
            </v:shape>
            <v:rect type="#_x0000_t1" id="矩形 27" o:spid="_x0000_s27" style="position:absolute;&#10;left:1632;&#10;top:1883;&#10;width:8640;&#10;height:714;" fillcolor="#FFFFFF" stroked="t">
              <v:fill opacity="58982f"/>
              <v:stroke color="#C0514E"/>
            </v:rect>
            <v:shape type="#_x0000_t2" id="圆角矩形 28" o:spid="_x0000_s28" style="position:absolute;&#10;left:2064;&#10;top:1464;&#10;width:6047;&#10;height:836;" fillcolor="#9B2E2A" stroked="f" strokeweight="1.0pt">
              <v:fill color2="#CE3D39" colors="0 #9B2E2A;0.0 #CB3E3A;1 #CE3D39"/>
              <v:stroke color="#000000"/>
            </v:shape>
            <v:rect type="#_x0000_t1" id="矩形 29" o:spid="_x0000_s29" style="position:absolute;&#10;left:2105;&#10;top:1505;&#10;width:5966;&#10;height:755;&#10;mso-wrap-style:square;" filled="f" stroked="f" strokeweight="1.0pt">
              <v:textbox id="862" inset="4.032mm,0mm,4.032mm,0mm" o:insetmode="custom" style="layout-flow:horizontal;&#10;v-text-anchor:middle;">
                <w:txbxContent>
                  <w:p>
                    <w:pPr>
                      <w:jc w:val="left"/>
                    </w:pPr>
                    <w:r>
                      <w:rPr>
                        <w:rFonts w:ascii="Times New Roman" w:hAnsi="Times New Roman"/>
                        <w:b/>
                        <w:kern w:val="24"/>
                        <w:sz w:val="28"/>
                        <w:szCs w:val="28"/>
                      </w:rPr>
                      <w:t>Operation</w:t>
                    </w:r>
                  </w:p>
                </w:txbxContent>
              </v:textbox>
              <v:stroke color="#000000"/>
            </v:rect>
            <v:rect type="#_x0000_t1" id="矩形 30" o:spid="_x0000_s30" style="position:absolute;&#10;left:1632;&#10;top:3169;&#10;width:8640;&#10;height:714;" fillcolor="#FFFFFF" stroked="t">
              <v:fill opacity="58982f"/>
              <v:stroke color="#BF8351"/>
            </v:rect>
            <v:shape type="#_x0000_t2" id="圆角矩形 31" o:spid="_x0000_s31" style="position:absolute;&#10;left:2064;&#10;top:2750;&#10;width:6047;&#10;height:836;" fillcolor="#985E2D" stroked="f" strokeweight="1.0pt">
              <v:fill color2="#CC7C3B" colors="0 #985E2D;0.0 #C87D3D;1 #CC7C3B"/>
              <v:stroke color="#000000"/>
            </v:shape>
            <v:rect type="#_x0000_t1" id="矩形 32" o:spid="_x0000_s32" style="position:absolute;&#10;left:2105;&#10;top:2791;&#10;width:5966;&#10;height:755;&#10;mso-wrap-style:square;" filled="f" stroked="f" strokeweight="1.0pt">
              <v:textbox id="863" inset="4.032mm,0mm,4.032mm,0mm" o:insetmode="custom" style="layout-flow:horizontal;&#10;v-text-anchor:middle;">
                <w:txbxContent>
                  <w:p>
                    <w:pPr>
                      <w:jc w:val="left"/>
                    </w:pPr>
                    <w:r>
                      <w:rPr>
                        <w:rFonts w:ascii="Times New Roman" w:hAnsi="Times New Roman"/>
                        <w:b/>
                        <w:kern w:val="24"/>
                        <w:sz w:val="28"/>
                        <w:szCs w:val="28"/>
                      </w:rPr>
                      <w:t>complex interdependencies and inter-relationships</w:t>
                    </w:r>
                  </w:p>
                </w:txbxContent>
              </v:textbox>
              <v:stroke color="#000000"/>
            </v:rect>
            <v:rect type="#_x0000_t1" id="矩形 33" o:spid="_x0000_s33" style="position:absolute;&#10;left:1632;&#10;top:4454;&#10;width:8640;&#10;height:714;" fillcolor="#FFFFFF" stroked="t">
              <v:fill opacity="58982f"/>
              <v:stroke color="#BDB355"/>
            </v:rect>
            <v:shape type="#_x0000_t2" id="圆角矩形 34" o:spid="_x0000_s34" style="position:absolute;&#10;left:2064;&#10;top:4036;&#10;width:6047;&#10;height:836;" fillcolor="#978B2F" stroked="f" strokeweight="1.0pt">
              <v:fill color2="#C9BA3E" colors="0 #978B2F;0.0 #C5B740;1 #C9BA3E"/>
              <v:stroke color="#000000"/>
            </v:shape>
            <v:rect type="#_x0000_t1" id="矩形 35" o:spid="_x0000_s35" style="position:absolute;&#10;left:2105;&#10;top:4077;&#10;width:5966;&#10;height:755;&#10;mso-wrap-style:square;" filled="f" stroked="f" strokeweight="1.0pt">
              <v:textbox id="864" inset="4.032mm,0mm,4.032mm,0mm" o:insetmode="custom" style="layout-flow:horizontal;&#10;v-text-anchor:middle;">
                <w:txbxContent>
                  <w:p>
                    <w:pPr>
                      <w:jc w:val="left"/>
                    </w:pPr>
                    <w:r>
                      <w:rPr>
                        <w:rFonts w:ascii="Times New Roman" w:hAnsi="Times New Roman"/>
                        <w:b/>
                        <w:kern w:val="24"/>
                        <w:sz w:val="28"/>
                        <w:szCs w:val="28"/>
                      </w:rPr>
                      <w:t>Developed its materials, finances, and information</w:t>
                    </w:r>
                  </w:p>
                </w:txbxContent>
              </v:textbox>
              <v:stroke color="#000000"/>
            </v:rect>
            <v:rect type="#_x0000_t1" id="矩形 36" o:spid="_x0000_s36" style="position:absolute;&#10;left:1632;&#10;top:5740;&#10;width:8640;&#10;height:714;" fillcolor="#FFFFFF" stroked="t">
              <v:fill opacity="58982f"/>
              <v:stroke color="#9DBB5B"/>
            </v:rect>
            <v:shape type="#_x0000_t2" id="圆角矩形 37" o:spid="_x0000_s37" style="position:absolute;&#10;left:2064;&#10;top:5322;&#10;width:6047;&#10;height:836;" fillcolor="#759332" stroked="f" strokeweight="1.0pt">
              <v:fill color2="#9DC541" colors="0 #759332;0.0 #9BC243;1 #9DC541"/>
              <v:stroke color="#000000"/>
            </v:shape>
            <v:rect type="#_x0000_t1" id="矩形 38" o:spid="_x0000_s38" style="position:absolute;&#10;left:2105;&#10;top:5363;&#10;width:5966;&#10;height:755;&#10;mso-wrap-style:square;" filled="f" stroked="f" strokeweight="1.0pt">
              <v:textbox id="865" inset="4.032mm,0mm,4.032mm,0mm" o:insetmode="custom" style="layout-flow:horizontal;&#10;v-text-anchor:middle;">
                <w:txbxContent>
                  <w:p>
                    <w:pPr>
                      <w:jc w:val="left"/>
                    </w:pPr>
                    <w:r>
                      <w:rPr>
                        <w:rFonts w:ascii="Times New Roman" w:hAnsi="Times New Roman"/>
                        <w:b/>
                        <w:kern w:val="24"/>
                        <w:sz w:val="28"/>
                        <w:szCs w:val="28"/>
                      </w:rPr>
                      <w:t>Firm-specific strategies</w:t>
                    </w:r>
                  </w:p>
                </w:txbxContent>
              </v:textbox>
              <v:stroke color="#000000"/>
            </v:rect>
          </v:group>
        </w:pict>
      </w:r>
    </w:p>
    <w:p>
      <w:pPr>
        <w:spacing w:line="360" w:lineRule="auto"/>
        <w:jc w:val="center"/>
        <w:rPr>
          <w:rFonts w:eastAsia="Times New Roman" w:cs="Times New Roman"/>
          <w:b/>
          <w:szCs w:val="24"/>
        </w:rPr>
      </w:pPr>
      <w:r>
        <w:rPr>
          <w:rFonts w:eastAsia="Times New Roman" w:cs="Times New Roman"/>
          <w:b/>
          <w:szCs w:val="24"/>
        </w:rPr>
        <w:t>Figure 4: Value Chain Analysis</w:t>
      </w:r>
    </w:p>
    <w:p>
      <w:pPr>
        <w:spacing w:line="360" w:lineRule="auto"/>
        <w:jc w:val="center"/>
        <w:rPr>
          <w:rFonts w:eastAsia="Times New Roman" w:cs="Times New Roman"/>
          <w:szCs w:val="24"/>
        </w:rPr>
      </w:pPr>
      <w:r>
        <w:rPr>
          <w:rFonts w:eastAsia="Times New Roman" w:cs="Times New Roman"/>
          <w:szCs w:val="24"/>
        </w:rPr>
        <w:t>(Source: Self-Created)</w:t>
      </w:r>
    </w:p>
    <w:p>
      <w:pPr>
        <w:spacing w:line="360" w:lineRule="auto"/>
        <w:jc w:val="both"/>
        <w:rPr>
          <w:rFonts w:eastAsia="Times New Roman" w:cs="Times New Roman"/>
          <w:b/>
          <w:szCs w:val="24"/>
        </w:rPr>
      </w:pPr>
      <w:r>
        <w:rPr>
          <w:rFonts w:eastAsia="Times New Roman" w:cs="Times New Roman"/>
          <w:b/>
          <w:szCs w:val="24"/>
        </w:rPr>
        <w:t>Operation</w:t>
      </w:r>
    </w:p>
    <w:p>
      <w:pPr>
        <w:spacing w:line="360" w:lineRule="auto"/>
        <w:jc w:val="both"/>
        <w:rPr>
          <w:rFonts w:eastAsia="Times New Roman" w:cs="Times New Roman"/>
          <w:szCs w:val="24"/>
        </w:rPr>
      </w:pPr>
      <w:r>
        <w:rPr>
          <w:rFonts w:eastAsia="Times New Roman" w:cs="Times New Roman"/>
          <w:szCs w:val="24"/>
        </w:rPr>
        <w:t xml:space="preserve">The importance of this "primary value chain activities" is to analyse all activities of its raw material and ready its raw material process and launch in the target market. However, all using equipment maintenance and repair fall in this selected category. </w:t>
      </w:r>
    </w:p>
    <w:p>
      <w:pPr>
        <w:spacing w:line="360" w:lineRule="auto"/>
        <w:jc w:val="both"/>
        <w:rPr>
          <w:rFonts w:eastAsia="Times New Roman" w:cs="Times New Roman"/>
          <w:szCs w:val="24"/>
        </w:rPr>
      </w:pPr>
      <w:r>
        <w:rPr>
          <w:rFonts w:eastAsia="Times New Roman" w:cs="Times New Roman"/>
          <w:szCs w:val="24"/>
        </w:rPr>
        <w:t xml:space="preserve">“Value Chain Analysis” helps to identify all types of competitive advantages through its planning process, as well as, it also identified all possible sources. Additionally, “intercontinental hotels group” hotels have different activities that are on its relatedness to an extent (Khalifa, 2020). This approach significantly suggests all economic activities that increased its rent sources for improving its all activities. These activities also act as a barrier, which is the cause of the disadvantages for its competitors. </w:t>
      </w:r>
    </w:p>
    <w:p>
      <w:pPr>
        <w:spacing w:line="360" w:lineRule="auto"/>
        <w:jc w:val="both"/>
        <w:rPr>
          <w:rFonts w:eastAsia="Times New Roman" w:cs="Times New Roman"/>
          <w:b/>
          <w:szCs w:val="24"/>
        </w:rPr>
      </w:pPr>
      <w:r>
        <w:rPr>
          <w:rFonts w:eastAsia="Times New Roman" w:cs="Times New Roman"/>
          <w:b/>
          <w:szCs w:val="24"/>
        </w:rPr>
        <w:t>Identify complex interdependencies and inter-relationships</w:t>
      </w:r>
    </w:p>
    <w:p>
      <w:pPr>
        <w:spacing w:line="360" w:lineRule="auto"/>
        <w:jc w:val="both"/>
        <w:rPr>
          <w:rFonts w:eastAsia="Times New Roman" w:cs="Times New Roman"/>
          <w:szCs w:val="24"/>
        </w:rPr>
      </w:pPr>
      <w:r>
        <w:rPr>
          <w:rFonts w:eastAsia="Times New Roman" w:cs="Times New Roman"/>
          <w:szCs w:val="24"/>
        </w:rPr>
        <w:t xml:space="preserve">IHG resort can identify its external and internal linkages through its all value chain portion. Interrelationship linkages among all activities on its external linkages and companies unite with different firms. Moreover, these internships help these selected organisations to get benefits from joint optimization and coordination. </w:t>
      </w:r>
    </w:p>
    <w:p>
      <w:pPr>
        <w:spacing w:line="360" w:lineRule="auto"/>
        <w:jc w:val="both"/>
        <w:rPr>
          <w:rFonts w:eastAsia="Times New Roman" w:cs="Times New Roman"/>
          <w:b/>
          <w:szCs w:val="24"/>
        </w:rPr>
      </w:pPr>
      <w:r>
        <w:rPr>
          <w:rFonts w:eastAsia="Times New Roman" w:cs="Times New Roman"/>
          <w:b/>
          <w:szCs w:val="24"/>
        </w:rPr>
        <w:t>Developed its materials, finances, and information</w:t>
      </w:r>
    </w:p>
    <w:p>
      <w:pPr>
        <w:spacing w:line="360" w:lineRule="auto"/>
        <w:jc w:val="both"/>
        <w:rPr>
          <w:rFonts w:eastAsia="Times New Roman" w:cs="Times New Roman"/>
          <w:szCs w:val="24"/>
        </w:rPr>
      </w:pPr>
      <w:r>
        <w:rPr>
          <w:rFonts w:eastAsia="Times New Roman" w:cs="Times New Roman"/>
          <w:szCs w:val="24"/>
        </w:rPr>
        <w:t xml:space="preserve">The entire use of the Value Chain can enhance the product material, information flow, and finance activities in an efficient way. </w:t>
      </w:r>
    </w:p>
    <w:p>
      <w:pPr>
        <w:numPr>
          <w:ilvl w:val="0"/>
          <w:numId w:val="14"/>
        </w:numPr>
        <w:spacing w:after="0" w:line="360" w:lineRule="auto"/>
        <w:jc w:val="both"/>
        <w:rPr>
          <w:rFonts w:eastAsia="Times New Roman" w:cs="Times New Roman"/>
          <w:szCs w:val="24"/>
        </w:rPr>
      </w:pPr>
      <w:r>
        <w:rPr>
          <w:rFonts w:eastAsia="Times New Roman" w:cs="Times New Roman"/>
          <w:szCs w:val="24"/>
        </w:rPr>
        <w:t>The development of information flow can identify the organisation with all new opportunities, and additionally also reduces all external threads, which is beneficial for the entire hotel (MacKenzie and Gannon, 2019). The value chain evaluation can impact the company’s productivity and that is an important gap for the firm.</w:t>
      </w:r>
    </w:p>
    <w:p>
      <w:pPr>
        <w:numPr>
          <w:ilvl w:val="0"/>
          <w:numId w:val="14"/>
        </w:numPr>
        <w:spacing w:after="0" w:line="360" w:lineRule="auto"/>
        <w:jc w:val="both"/>
        <w:rPr>
          <w:rFonts w:eastAsia="Times New Roman" w:cs="Times New Roman"/>
          <w:szCs w:val="24"/>
        </w:rPr>
      </w:pPr>
      <w:r>
        <w:rPr>
          <w:rFonts w:eastAsia="Times New Roman" w:cs="Times New Roman"/>
          <w:szCs w:val="24"/>
        </w:rPr>
        <w:t xml:space="preserve"> Value chain implementation improves the IHG hotel product flow and material due to the development of sales forecasting, as well as, sales. As per research, the management of inventory also develops the tracking activities of the supply chain and also helps to reduce delays. </w:t>
      </w:r>
    </w:p>
    <w:p>
      <w:pPr>
        <w:numPr>
          <w:ilvl w:val="0"/>
          <w:numId w:val="14"/>
        </w:numPr>
        <w:spacing w:after="0" w:line="360" w:lineRule="auto"/>
        <w:jc w:val="both"/>
        <w:rPr>
          <w:rFonts w:eastAsia="Times New Roman" w:cs="Times New Roman"/>
          <w:szCs w:val="24"/>
        </w:rPr>
      </w:pPr>
      <w:r>
        <w:rPr>
          <w:rFonts w:eastAsia="Times New Roman" w:cs="Times New Roman"/>
          <w:szCs w:val="24"/>
        </w:rPr>
        <w:t xml:space="preserve">Therefore, all modern consumers involve the largest importance to the firm, and it collects quick response access with the related information. This analysis implementation highlights the information flow and bottlenecks remove, which are effective for this business growth. </w:t>
      </w:r>
    </w:p>
    <w:p>
      <w:pPr>
        <w:spacing w:line="360" w:lineRule="auto"/>
        <w:jc w:val="both"/>
        <w:rPr>
          <w:rFonts w:eastAsia="Times New Roman" w:cs="Times New Roman"/>
          <w:b/>
          <w:szCs w:val="24"/>
        </w:rPr>
      </w:pPr>
      <w:r>
        <w:rPr>
          <w:rFonts w:eastAsia="Times New Roman" w:cs="Times New Roman"/>
          <w:b/>
          <w:szCs w:val="24"/>
        </w:rPr>
        <w:t>Firm-specific strategies</w:t>
      </w:r>
    </w:p>
    <w:p>
      <w:pPr>
        <w:spacing w:line="360" w:lineRule="auto"/>
        <w:jc w:val="both"/>
        <w:rPr>
          <w:rFonts w:eastAsia="Times New Roman" w:cs="Times New Roman"/>
          <w:szCs w:val="24"/>
        </w:rPr>
      </w:pPr>
      <w:r>
        <w:rPr>
          <w:rFonts w:eastAsia="Times New Roman" w:cs="Times New Roman"/>
          <w:szCs w:val="24"/>
        </w:rPr>
        <w:t>This value chain primarily uses for the decision-making process and implements some competitive advantages that are beneficial for this business. Along with it, cost leadership helps to choose the correct competitive advantages, which is required for the company's cost structure.</w:t>
      </w:r>
    </w:p>
    <w:p>
      <w:pPr>
        <w:pStyle w:val="33"/>
        <w:spacing w:line="360" w:lineRule="auto"/>
        <w:jc w:val="both"/>
        <w:rPr>
          <w:rFonts w:ascii="Times New Roman" w:eastAsia="Times New Roman" w:cs="Times New Roman" w:hAnsi="Times New Roman"/>
          <w:sz w:val="24"/>
          <w:szCs w:val="24"/>
        </w:rPr>
      </w:pPr>
    </w:p>
    <w:p>
      <w:pPr>
        <w:pStyle w:val="3"/>
      </w:pPr>
      <w:bookmarkStart w:id="13" w:name="_Toc130320676"/>
      <w:r>
        <w:t>Secondary Activities</w:t>
      </w:r>
      <w:bookmarkEnd w:id="13"/>
    </w:p>
    <w:p>
      <w:pPr>
        <w:spacing w:line="360" w:lineRule="auto"/>
        <w:jc w:val="both"/>
        <w:rPr>
          <w:rFonts w:eastAsia="Times New Roman" w:cs="Times New Roman"/>
          <w:szCs w:val="24"/>
        </w:rPr>
      </w:pPr>
      <w:r>
        <w:rPr>
          <w:rFonts w:eastAsia="Times New Roman" w:cs="Times New Roman"/>
          <w:szCs w:val="24"/>
        </w:rPr>
        <w:t>This activity is also playing a crucial role in facilitating and coordinating the entire primary activities. Moreover, IHG PLC can include benefits from this specific analysis process and it supports all activities as well.</w:t>
      </w:r>
    </w:p>
    <w:p>
      <w:pPr>
        <w:tabs>
          <w:tab w:val="left" w:pos="3300"/>
        </w:tabs>
        <w:spacing w:line="360" w:lineRule="auto"/>
        <w:jc w:val="both"/>
        <w:rPr>
          <w:rFonts w:eastAsia="Times New Roman" w:cs="Times New Roman"/>
          <w:b/>
          <w:szCs w:val="24"/>
        </w:rPr>
      </w:pPr>
      <w:r>
        <w:rPr>
          <w:rFonts w:eastAsia="Times New Roman" w:cs="Times New Roman"/>
          <w:b/>
          <w:szCs w:val="24"/>
        </w:rPr>
        <w:t>Firm Infrastructure</w:t>
        <w:tab/>
      </w:r>
    </w:p>
    <w:p>
      <w:pPr>
        <w:spacing w:line="360" w:lineRule="auto"/>
        <w:jc w:val="both"/>
        <w:rPr>
          <w:rFonts w:eastAsia="Times New Roman" w:cs="Times New Roman"/>
          <w:szCs w:val="24"/>
        </w:rPr>
      </w:pPr>
      <w:r>
        <w:rPr>
          <w:rFonts w:eastAsia="Times New Roman" w:cs="Times New Roman"/>
          <w:szCs w:val="24"/>
        </w:rPr>
        <w:t xml:space="preserve">The firm infrastructure denotes all activities range, which is such as quality management, accounting, planning, strategic management, and planning. This activity helps to analyse the entire value chain of this whole activity and control this infrastructure activity as well (Alfaro </w:t>
      </w:r>
      <w:r>
        <w:rPr>
          <w:rFonts w:eastAsia="Times New Roman" w:cs="Times New Roman"/>
          <w:i/>
          <w:szCs w:val="24"/>
        </w:rPr>
        <w:t>et al.,</w:t>
      </w:r>
      <w:r>
        <w:rPr>
          <w:rFonts w:eastAsia="Times New Roman" w:cs="Times New Roman"/>
          <w:szCs w:val="24"/>
        </w:rPr>
        <w:t xml:space="preserve"> 2019). Apart from it, this infrastructure helps to strengthen all competitive positions in the UK market.</w:t>
      </w:r>
    </w:p>
    <w:p>
      <w:pPr>
        <w:spacing w:line="360" w:lineRule="auto"/>
        <w:jc w:val="both"/>
        <w:rPr>
          <w:rFonts w:eastAsia="Times New Roman" w:cs="Times New Roman"/>
          <w:b/>
          <w:szCs w:val="24"/>
        </w:rPr>
      </w:pPr>
      <w:r>
        <w:rPr>
          <w:rFonts w:eastAsia="Times New Roman" w:cs="Times New Roman"/>
          <w:b/>
          <w:szCs w:val="24"/>
        </w:rPr>
        <w:t>Technology development</w:t>
      </w:r>
    </w:p>
    <w:p>
      <w:pPr>
        <w:spacing w:line="360" w:lineRule="auto"/>
        <w:jc w:val="both"/>
        <w:rPr>
          <w:rFonts w:eastAsia="Times New Roman" w:cs="Times New Roman"/>
          <w:szCs w:val="24"/>
        </w:rPr>
      </w:pPr>
      <w:r>
        <w:rPr>
          <w:rFonts w:eastAsia="Times New Roman" w:cs="Times New Roman"/>
          <w:szCs w:val="24"/>
        </w:rPr>
        <w:t xml:space="preserve">Modern technology includes many types of advantages to the organisation, as well as, it also impacts its “value chain activities” as well. Additionally, this technology development includes distribution, marketing, human resources, and production activities, and addressed all required activities that are important for this business. </w:t>
      </w:r>
    </w:p>
    <w:p>
      <w:pPr>
        <w:spacing w:line="360" w:lineRule="auto"/>
        <w:jc w:val="both"/>
      </w:pPr>
    </w:p>
    <w:p>
      <w:pPr>
        <w:pStyle w:val="2"/>
      </w:pPr>
      <w:bookmarkStart w:id="14" w:name="_Toc130320677"/>
      <w:r>
        <w:t>VRIO Analysis of Distinctive Resources and Capabilities</w:t>
      </w:r>
      <w:bookmarkEnd w:id="14"/>
    </w:p>
    <w:p>
      <w:pPr>
        <w:spacing w:line="360" w:lineRule="auto"/>
        <w:jc w:val="center"/>
        <w:rPr>
          <w:rFonts w:eastAsia="Times New Roman" w:cs="Times New Roman"/>
          <w:szCs w:val="24"/>
        </w:rPr>
      </w:pPr>
    </w:p>
    <w:tbl>
      <w:tblPr>
        <w:jc w:val="cente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108" w:type="dxa"/>
          <w:bottom w:w="0" w:type="dxa"/>
          <w:right w:w="108" w:type="dxa"/>
        </w:tblCellMar>
      </w:tblPr>
      <w:tblGrid>
        <w:gridCol w:w="4680"/>
        <w:gridCol w:w="4680"/>
      </w:tblGrid>
      <w:tr>
        <w:tc>
          <w:tcPr>
            <w:tcW w:w="4680" w:type="dxa"/>
            <w:shd w:val="clear" w:color="auto" w:fill="auto"/>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pacing w:line="240" w:lineRule="auto"/>
              <w:jc w:val="center"/>
              <w:rPr>
                <w:rFonts w:eastAsia="Times New Roman" w:cs="Times New Roman"/>
                <w:b/>
                <w:szCs w:val="24"/>
              </w:rPr>
            </w:pPr>
            <w:r>
              <w:rPr>
                <w:rFonts w:eastAsia="Times New Roman" w:cs="Times New Roman"/>
                <w:b/>
                <w:szCs w:val="24"/>
              </w:rPr>
              <w:t>Valuable</w:t>
            </w:r>
          </w:p>
        </w:tc>
        <w:tc>
          <w:tcPr>
            <w:tcW w:w="4680" w:type="dxa"/>
            <w:shd w:val="clear" w:color="auto" w:fill="auto"/>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pacing w:line="240" w:lineRule="auto"/>
              <w:jc w:val="center"/>
              <w:rPr>
                <w:rFonts w:eastAsia="Times New Roman" w:cs="Times New Roman"/>
                <w:b/>
                <w:szCs w:val="24"/>
              </w:rPr>
            </w:pPr>
            <w:r>
              <w:rPr>
                <w:rFonts w:eastAsia="Times New Roman" w:cs="Times New Roman"/>
                <w:b/>
                <w:szCs w:val="24"/>
              </w:rPr>
              <w:t xml:space="preserve">Rare </w:t>
            </w:r>
          </w:p>
        </w:tc>
      </w:tr>
      <w:tr>
        <w:tc>
          <w:tcPr>
            <w:tcW w:w="4680" w:type="dxa"/>
            <w:shd w:val="clear" w:color="auto" w:fill="auto"/>
            <w:tcMar>
              <w:top w:w="100" w:type="dxa"/>
              <w:left w:w="100" w:type="dxa"/>
              <w:bottom w:w="100" w:type="dxa"/>
              <w:right w:w="100" w:type="dxa"/>
            </w:tcMar>
          </w:tcPr>
          <w:p>
            <w:pPr>
              <w:widowControl w:val="0"/>
              <w:numPr>
                <w:ilvl w:val="0"/>
                <w:numId w:val="15"/>
              </w:numPr>
              <w:pBdr>
                <w:top w:val="none" w:sz="0" w:space="0" w:color="auto"/>
                <w:left w:val="none" w:sz="0" w:space="0" w:color="auto"/>
                <w:bottom w:val="none" w:sz="0" w:space="0" w:color="auto"/>
                <w:right w:val="none" w:sz="0" w:space="0" w:color="auto"/>
                <w:between w:val="none" w:sz="0" w:space="0" w:color="auto"/>
              </w:pBdr>
              <w:spacing w:after="0" w:line="360" w:lineRule="auto"/>
              <w:rPr>
                <w:rFonts w:eastAsia="Times New Roman" w:cs="Times New Roman"/>
                <w:szCs w:val="24"/>
              </w:rPr>
            </w:pPr>
            <w:r>
              <w:rPr>
                <w:rFonts w:eastAsia="Times New Roman" w:cs="Times New Roman"/>
                <w:szCs w:val="24"/>
              </w:rPr>
              <w:t>The VRIO analysis addresses the economic resources of IHG Hotel are significantly valuable for this firm, and it increasing many types of external and internal opportunities (John-Eke and Eke 2020)</w:t>
            </w:r>
          </w:p>
          <w:p>
            <w:pPr>
              <w:widowControl w:val="0"/>
              <w:numPr>
                <w:ilvl w:val="0"/>
                <w:numId w:val="15"/>
              </w:numPr>
              <w:pBdr>
                <w:top w:val="none" w:sz="0" w:space="0" w:color="auto"/>
                <w:left w:val="none" w:sz="0" w:space="0" w:color="auto"/>
                <w:bottom w:val="none" w:sz="0" w:space="0" w:color="auto"/>
                <w:right w:val="none" w:sz="0" w:space="0" w:color="auto"/>
                <w:between w:val="none" w:sz="0" w:space="0" w:color="auto"/>
              </w:pBdr>
              <w:spacing w:after="0" w:line="360" w:lineRule="auto"/>
              <w:rPr>
                <w:rFonts w:eastAsia="Times New Roman" w:cs="Times New Roman"/>
                <w:szCs w:val="24"/>
              </w:rPr>
            </w:pPr>
            <w:r>
              <w:rPr>
                <w:rFonts w:eastAsia="Times New Roman" w:cs="Times New Roman"/>
                <w:szCs w:val="24"/>
              </w:rPr>
              <w:t>This firm's local all products are very much valuable and the perceived value is too high according to the customer's demand</w:t>
            </w:r>
          </w:p>
        </w:tc>
        <w:tc>
          <w:tcPr>
            <w:tcW w:w="4680" w:type="dxa"/>
            <w:shd w:val="clear" w:color="auto" w:fill="auto"/>
            <w:tcMar>
              <w:top w:w="100" w:type="dxa"/>
              <w:left w:w="100" w:type="dxa"/>
              <w:bottom w:w="100" w:type="dxa"/>
              <w:right w:w="100" w:type="dxa"/>
            </w:tcMar>
          </w:tcPr>
          <w:p>
            <w:pPr>
              <w:widowControl w:val="0"/>
              <w:numPr>
                <w:ilvl w:val="0"/>
                <w:numId w:val="16"/>
              </w:numPr>
              <w:pBdr>
                <w:top w:val="none" w:sz="0" w:space="0" w:color="auto"/>
                <w:left w:val="none" w:sz="0" w:space="0" w:color="auto"/>
                <w:bottom w:val="none" w:sz="0" w:space="0" w:color="auto"/>
                <w:right w:val="none" w:sz="0" w:space="0" w:color="auto"/>
                <w:between w:val="none" w:sz="0" w:space="0" w:color="auto"/>
              </w:pBdr>
              <w:spacing w:after="0" w:line="360" w:lineRule="auto"/>
              <w:rPr>
                <w:rFonts w:eastAsia="Times New Roman" w:cs="Times New Roman"/>
                <w:szCs w:val="24"/>
              </w:rPr>
            </w:pPr>
            <w:r>
              <w:rPr>
                <w:rFonts w:eastAsia="Times New Roman" w:cs="Times New Roman"/>
                <w:szCs w:val="24"/>
              </w:rPr>
              <w:t xml:space="preserve">All financial sources are rare that is analysed with this VIRO analysis, strong economic resources have only a few organisations (Johnson </w:t>
            </w:r>
            <w:r>
              <w:rPr>
                <w:rFonts w:eastAsia="Times New Roman" w:cs="Times New Roman"/>
                <w:i/>
                <w:szCs w:val="24"/>
              </w:rPr>
              <w:t xml:space="preserve">et al. </w:t>
            </w:r>
            <w:r>
              <w:rPr>
                <w:rFonts w:eastAsia="Times New Roman" w:cs="Times New Roman"/>
                <w:szCs w:val="24"/>
              </w:rPr>
              <w:t>2020)</w:t>
            </w:r>
          </w:p>
          <w:p>
            <w:pPr>
              <w:widowControl w:val="0"/>
              <w:numPr>
                <w:ilvl w:val="0"/>
                <w:numId w:val="16"/>
              </w:numPr>
              <w:pBdr>
                <w:top w:val="none" w:sz="0" w:space="0" w:color="auto"/>
                <w:left w:val="none" w:sz="0" w:space="0" w:color="auto"/>
                <w:bottom w:val="none" w:sz="0" w:space="0" w:color="auto"/>
                <w:right w:val="none" w:sz="0" w:space="0" w:color="auto"/>
                <w:between w:val="none" w:sz="0" w:space="0" w:color="auto"/>
              </w:pBdr>
              <w:spacing w:after="0" w:line="360" w:lineRule="auto"/>
              <w:rPr>
                <w:rFonts w:eastAsia="Times New Roman" w:cs="Times New Roman"/>
                <w:szCs w:val="24"/>
              </w:rPr>
            </w:pPr>
            <w:r>
              <w:rPr>
                <w:rFonts w:eastAsia="Times New Roman" w:cs="Times New Roman"/>
                <w:szCs w:val="24"/>
              </w:rPr>
              <w:t>The employees are known as a rare source in IHG firms, which is identified from this VRIO analysis. Additionally, their all employees high trained and which makes them very rare according to another</w:t>
            </w:r>
          </w:p>
        </w:tc>
      </w:tr>
      <w:tr>
        <w:tc>
          <w:tcPr>
            <w:tcW w:w="4680" w:type="dxa"/>
            <w:shd w:val="clear" w:color="auto" w:fill="auto"/>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pacing w:line="360" w:lineRule="auto"/>
              <w:jc w:val="center"/>
              <w:rPr>
                <w:rFonts w:eastAsia="Times New Roman" w:cs="Times New Roman"/>
                <w:b/>
                <w:szCs w:val="24"/>
              </w:rPr>
            </w:pPr>
            <w:r>
              <w:rPr>
                <w:rFonts w:eastAsia="Times New Roman" w:cs="Times New Roman"/>
                <w:b/>
                <w:szCs w:val="24"/>
              </w:rPr>
              <w:t>Imitable</w:t>
            </w:r>
          </w:p>
        </w:tc>
        <w:tc>
          <w:tcPr>
            <w:tcW w:w="4680" w:type="dxa"/>
            <w:shd w:val="clear" w:color="auto" w:fill="auto"/>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pacing w:line="360" w:lineRule="auto"/>
              <w:jc w:val="center"/>
              <w:rPr>
                <w:rFonts w:eastAsia="Times New Roman" w:cs="Times New Roman"/>
                <w:b/>
                <w:szCs w:val="24"/>
              </w:rPr>
            </w:pPr>
            <w:r>
              <w:rPr>
                <w:rFonts w:eastAsia="Times New Roman" w:cs="Times New Roman"/>
                <w:b/>
                <w:szCs w:val="24"/>
              </w:rPr>
              <w:t>Organisation</w:t>
            </w:r>
          </w:p>
        </w:tc>
      </w:tr>
      <w:tr>
        <w:tc>
          <w:tcPr>
            <w:tcW w:w="4680" w:type="dxa"/>
            <w:shd w:val="clear" w:color="auto" w:fill="auto"/>
            <w:tcMar>
              <w:top w:w="100" w:type="dxa"/>
              <w:left w:w="100" w:type="dxa"/>
              <w:bottom w:w="100" w:type="dxa"/>
              <w:right w:w="100" w:type="dxa"/>
            </w:tcMar>
          </w:tcPr>
          <w:p>
            <w:pPr>
              <w:widowControl w:val="0"/>
              <w:numPr>
                <w:ilvl w:val="0"/>
                <w:numId w:val="17"/>
              </w:numPr>
              <w:pBdr>
                <w:top w:val="none" w:sz="0" w:space="0" w:color="auto"/>
                <w:left w:val="none" w:sz="0" w:space="0" w:color="auto"/>
                <w:bottom w:val="none" w:sz="0" w:space="0" w:color="auto"/>
                <w:right w:val="none" w:sz="0" w:space="0" w:color="auto"/>
                <w:between w:val="none" w:sz="0" w:space="0" w:color="auto"/>
              </w:pBdr>
              <w:spacing w:after="0" w:line="360" w:lineRule="auto"/>
              <w:rPr>
                <w:rFonts w:eastAsia="Times New Roman" w:cs="Times New Roman"/>
                <w:szCs w:val="24"/>
              </w:rPr>
            </w:pPr>
            <w:r>
              <w:rPr>
                <w:rFonts w:eastAsia="Times New Roman" w:cs="Times New Roman"/>
                <w:szCs w:val="24"/>
              </w:rPr>
              <w:t xml:space="preserve">These all sources are acquired by the IHG PLC through its profitability over the year. Moreover, all new entrants required similar types of profits with long-term (Ntounis </w:t>
            </w:r>
            <w:r>
              <w:rPr>
                <w:rFonts w:eastAsia="Times New Roman" w:cs="Times New Roman"/>
                <w:i/>
                <w:szCs w:val="24"/>
              </w:rPr>
              <w:t>et al</w:t>
            </w:r>
            <w:r>
              <w:rPr>
                <w:rFonts w:eastAsia="Times New Roman" w:cs="Times New Roman"/>
                <w:szCs w:val="24"/>
              </w:rPr>
              <w:t>., 2022)</w:t>
            </w:r>
          </w:p>
          <w:p>
            <w:pPr>
              <w:widowControl w:val="0"/>
              <w:numPr>
                <w:ilvl w:val="0"/>
                <w:numId w:val="17"/>
              </w:numPr>
              <w:pBdr>
                <w:top w:val="none" w:sz="0" w:space="0" w:color="auto"/>
                <w:left w:val="none" w:sz="0" w:space="0" w:color="auto"/>
                <w:bottom w:val="none" w:sz="0" w:space="0" w:color="auto"/>
                <w:right w:val="none" w:sz="0" w:space="0" w:color="auto"/>
                <w:between w:val="none" w:sz="0" w:space="0" w:color="auto"/>
              </w:pBdr>
              <w:spacing w:after="0" w:line="360" w:lineRule="auto"/>
              <w:rPr>
                <w:rFonts w:eastAsia="Times New Roman" w:cs="Times New Roman"/>
                <w:szCs w:val="24"/>
              </w:rPr>
            </w:pPr>
            <w:r>
              <w:rPr>
                <w:rFonts w:eastAsia="Times New Roman" w:cs="Times New Roman"/>
                <w:szCs w:val="24"/>
              </w:rPr>
              <w:t>This company provides good compensation packages and a work environment, which includes growth opportunities as well</w:t>
            </w:r>
          </w:p>
        </w:tc>
        <w:tc>
          <w:tcPr>
            <w:tcW w:w="4680" w:type="dxa"/>
            <w:shd w:val="clear" w:color="auto" w:fill="auto"/>
            <w:tcMar>
              <w:top w:w="100" w:type="dxa"/>
              <w:left w:w="100" w:type="dxa"/>
              <w:bottom w:w="100" w:type="dxa"/>
              <w:right w:w="100" w:type="dxa"/>
            </w:tcMar>
          </w:tcPr>
          <w:p>
            <w:pPr>
              <w:widowControl w:val="0"/>
              <w:numPr>
                <w:ilvl w:val="0"/>
                <w:numId w:val="18"/>
              </w:numPr>
              <w:pBdr>
                <w:top w:val="none" w:sz="0" w:space="0" w:color="auto"/>
                <w:left w:val="none" w:sz="0" w:space="0" w:color="auto"/>
                <w:bottom w:val="none" w:sz="0" w:space="0" w:color="auto"/>
                <w:right w:val="none" w:sz="0" w:space="0" w:color="auto"/>
                <w:between w:val="none" w:sz="0" w:space="0" w:color="auto"/>
              </w:pBdr>
              <w:spacing w:after="0" w:line="360" w:lineRule="auto"/>
              <w:rPr>
                <w:rFonts w:eastAsia="Times New Roman" w:cs="Times New Roman"/>
                <w:szCs w:val="24"/>
              </w:rPr>
            </w:pPr>
            <w:r>
              <w:rPr>
                <w:rFonts w:eastAsia="Times New Roman" w:cs="Times New Roman"/>
                <w:szCs w:val="24"/>
              </w:rPr>
              <w:t>“ InterContinental Hotels Group PLC” organized a value capture, which is specially addressed from the VRIO analysis process, and it includes the entire capabilities of the organisation</w:t>
            </w:r>
          </w:p>
          <w:p>
            <w:pPr>
              <w:widowControl w:val="0"/>
              <w:numPr>
                <w:ilvl w:val="0"/>
                <w:numId w:val="18"/>
              </w:numPr>
              <w:pBdr>
                <w:top w:val="none" w:sz="0" w:space="0" w:color="auto"/>
                <w:left w:val="none" w:sz="0" w:space="0" w:color="auto"/>
                <w:bottom w:val="none" w:sz="0" w:space="0" w:color="auto"/>
                <w:right w:val="none" w:sz="0" w:space="0" w:color="auto"/>
                <w:between w:val="none" w:sz="0" w:space="0" w:color="auto"/>
              </w:pBdr>
              <w:spacing w:after="0" w:line="360" w:lineRule="auto"/>
              <w:rPr>
                <w:rFonts w:eastAsia="Times New Roman" w:cs="Times New Roman"/>
                <w:szCs w:val="24"/>
              </w:rPr>
            </w:pPr>
            <w:r>
              <w:rPr>
                <w:rFonts w:eastAsia="Times New Roman" w:cs="Times New Roman"/>
                <w:szCs w:val="24"/>
              </w:rPr>
              <w:t>All resources include many types of sustainability advantages for the IHG organisation (Ahmad and Scott, 2019)</w:t>
            </w:r>
          </w:p>
          <w:p>
            <w:pPr>
              <w:widowControl w:val="0"/>
              <w:numPr>
                <w:ilvl w:val="0"/>
                <w:numId w:val="18"/>
              </w:numPr>
              <w:pBdr>
                <w:top w:val="none" w:sz="0" w:space="0" w:color="auto"/>
                <w:left w:val="none" w:sz="0" w:space="0" w:color="auto"/>
                <w:bottom w:val="none" w:sz="0" w:space="0" w:color="auto"/>
                <w:right w:val="none" w:sz="0" w:space="0" w:color="auto"/>
                <w:between w:val="none" w:sz="0" w:space="0" w:color="auto"/>
              </w:pBdr>
              <w:spacing w:after="0" w:line="360" w:lineRule="auto"/>
              <w:rPr>
                <w:rFonts w:eastAsia="Times New Roman" w:cs="Times New Roman"/>
                <w:szCs w:val="24"/>
              </w:rPr>
            </w:pPr>
            <w:r>
              <w:rPr>
                <w:rFonts w:eastAsia="Times New Roman" w:cs="Times New Roman"/>
                <w:szCs w:val="24"/>
              </w:rPr>
              <w:t xml:space="preserve">IHG firm used a distribution network for reaching out to its all consumers by proving its services and finally, it found that it includes competitive advantages and opportunities for the organisation </w:t>
            </w:r>
          </w:p>
        </w:tc>
      </w:tr>
    </w:tbl>
    <w:p>
      <w:pPr>
        <w:spacing w:line="360" w:lineRule="auto"/>
        <w:jc w:val="center"/>
        <w:rPr>
          <w:rFonts w:eastAsia="Times New Roman" w:cs="Times New Roman"/>
          <w:szCs w:val="24"/>
        </w:rPr>
      </w:pPr>
    </w:p>
    <w:p>
      <w:pPr>
        <w:spacing w:line="360" w:lineRule="auto"/>
        <w:jc w:val="center"/>
        <w:rPr>
          <w:rFonts w:eastAsia="Times New Roman" w:cs="Times New Roman"/>
          <w:b/>
          <w:szCs w:val="24"/>
        </w:rPr>
      </w:pPr>
      <w:r>
        <w:rPr>
          <w:rFonts w:eastAsia="Times New Roman" w:cs="Times New Roman"/>
          <w:b/>
          <w:szCs w:val="24"/>
        </w:rPr>
        <w:t>Table 3: VRIO Analysis</w:t>
      </w:r>
    </w:p>
    <w:p>
      <w:pPr>
        <w:spacing w:line="360" w:lineRule="auto"/>
        <w:jc w:val="center"/>
        <w:rPr>
          <w:rFonts w:eastAsia="Times New Roman" w:cs="Times New Roman"/>
          <w:szCs w:val="24"/>
        </w:rPr>
      </w:pPr>
      <w:r>
        <w:rPr>
          <w:rFonts w:eastAsia="Times New Roman" w:cs="Times New Roman"/>
          <w:szCs w:val="24"/>
        </w:rPr>
        <w:t>(Source: Self Created)</w:t>
      </w:r>
    </w:p>
    <w:p>
      <w:pPr>
        <w:spacing w:line="360" w:lineRule="auto"/>
        <w:jc w:val="both"/>
        <w:rPr>
          <w:rFonts w:eastAsia="Times New Roman" w:cs="Times New Roman"/>
          <w:b/>
          <w:szCs w:val="24"/>
        </w:rPr>
      </w:pPr>
      <w:r>
        <w:rPr>
          <w:rFonts w:eastAsia="Times New Roman" w:cs="Times New Roman"/>
          <w:b/>
          <w:szCs w:val="24"/>
        </w:rPr>
        <w:t>Analysis</w:t>
      </w:r>
    </w:p>
    <w:p>
      <w:pPr>
        <w:spacing w:line="360" w:lineRule="auto"/>
        <w:jc w:val="both"/>
        <w:rPr>
          <w:rFonts w:eastAsia="Times New Roman" w:cs="Times New Roman"/>
          <w:szCs w:val="24"/>
        </w:rPr>
      </w:pPr>
      <w:r>
        <w:rPr>
          <w:rFonts w:eastAsia="Times New Roman" w:cs="Times New Roman"/>
          <w:szCs w:val="24"/>
        </w:rPr>
        <w:t xml:space="preserve">Based on this VRIO analysis, it has been addressed that the distribution network and financial sources involve many types of competitive opportunities. On the other hand, the cost structure of this firm involves some disadvantages, which also impact the growth section. However, development is known as a competitive disadvantage for this company (Seraphin and Ivanov 2020). This is identified that the organisation has around employing around 345,000 co-workers in more than 100 different countries (Ihgplc.com, 2023).  As per this topic, it has been addressed that the organisation includes some effective cultures, which mainly attract its all consumers. Along with it, this helps to increase the profits of its business in the UK target market. This organisation mainly understands the requirements of all consumers, which helps to improve its marketing values as well. </w:t>
      </w:r>
    </w:p>
    <w:p>
      <w:pPr>
        <w:spacing w:line="360" w:lineRule="auto"/>
        <w:jc w:val="both"/>
      </w:pPr>
      <w:r>
        <w:tab/>
      </w:r>
    </w:p>
    <w:p>
      <w:pPr>
        <w:pStyle w:val="2"/>
      </w:pPr>
      <w:bookmarkStart w:id="15" w:name="_Toc130320678"/>
      <w:r>
        <w:t>SWOT Analysis</w:t>
      </w:r>
      <w:bookmarkEnd w:id="15"/>
    </w:p>
    <w:tbl>
      <w:tblPr>
        <w:jc w:val="cente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108" w:type="dxa"/>
          <w:bottom w:w="0" w:type="dxa"/>
          <w:right w:w="108" w:type="dxa"/>
        </w:tblCellMar>
      </w:tblPr>
      <w:tblGrid>
        <w:gridCol w:w="4680"/>
        <w:gridCol w:w="4680"/>
      </w:tblGrid>
      <w:tr>
        <w:tc>
          <w:tcPr>
            <w:tcW w:w="4680" w:type="dxa"/>
            <w:shd w:val="clear" w:color="auto" w:fill="auto"/>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pacing w:line="240" w:lineRule="auto"/>
              <w:jc w:val="center"/>
              <w:rPr>
                <w:rFonts w:eastAsia="Times New Roman" w:cs="Times New Roman"/>
                <w:b/>
                <w:szCs w:val="24"/>
              </w:rPr>
            </w:pPr>
            <w:r>
              <w:rPr>
                <w:rFonts w:eastAsia="Times New Roman" w:cs="Times New Roman"/>
                <w:b/>
                <w:szCs w:val="24"/>
              </w:rPr>
              <w:t>Strengths</w:t>
            </w:r>
          </w:p>
        </w:tc>
        <w:tc>
          <w:tcPr>
            <w:tcW w:w="4680" w:type="dxa"/>
            <w:shd w:val="clear" w:color="auto" w:fill="auto"/>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pacing w:line="240" w:lineRule="auto"/>
              <w:jc w:val="center"/>
              <w:rPr>
                <w:rFonts w:eastAsia="Times New Roman" w:cs="Times New Roman"/>
                <w:b/>
                <w:szCs w:val="24"/>
              </w:rPr>
            </w:pPr>
            <w:r>
              <w:rPr>
                <w:rFonts w:eastAsia="Times New Roman" w:cs="Times New Roman"/>
                <w:b/>
                <w:szCs w:val="24"/>
              </w:rPr>
              <w:t>Weakness</w:t>
            </w:r>
          </w:p>
        </w:tc>
      </w:tr>
      <w:tr>
        <w:tc>
          <w:tcPr>
            <w:tcW w:w="4680" w:type="dxa"/>
            <w:shd w:val="clear" w:color="auto" w:fill="auto"/>
            <w:tcMar>
              <w:top w:w="100" w:type="dxa"/>
              <w:left w:w="100" w:type="dxa"/>
              <w:bottom w:w="100" w:type="dxa"/>
              <w:right w:w="100" w:type="dxa"/>
            </w:tcMar>
          </w:tcPr>
          <w:p>
            <w:pPr>
              <w:widowControl w:val="0"/>
              <w:numPr>
                <w:ilvl w:val="0"/>
                <w:numId w:val="19"/>
              </w:numPr>
              <w:pBdr>
                <w:top w:val="none" w:sz="0" w:space="0" w:color="auto"/>
                <w:left w:val="none" w:sz="0" w:space="0" w:color="auto"/>
                <w:bottom w:val="none" w:sz="0" w:space="0" w:color="auto"/>
                <w:right w:val="none" w:sz="0" w:space="0" w:color="auto"/>
                <w:between w:val="none" w:sz="0" w:space="0" w:color="auto"/>
              </w:pBdr>
              <w:spacing w:after="0" w:line="360" w:lineRule="auto"/>
              <w:rPr>
                <w:rFonts w:eastAsia="Times New Roman" w:cs="Times New Roman"/>
                <w:szCs w:val="24"/>
              </w:rPr>
            </w:pPr>
            <w:r>
              <w:rPr>
                <w:rFonts w:eastAsia="Times New Roman" w:cs="Times New Roman"/>
                <w:szCs w:val="24"/>
              </w:rPr>
              <w:t xml:space="preserve">Highly skilled and trained employees make this organisation successful in the international and external markets, and a good workplace also motivated all employees, which is effective for being successful in the UK’s target market (Fu </w:t>
            </w:r>
            <w:r>
              <w:rPr>
                <w:rFonts w:eastAsia="Times New Roman" w:cs="Times New Roman"/>
                <w:i/>
                <w:szCs w:val="24"/>
              </w:rPr>
              <w:t xml:space="preserve">et al., </w:t>
            </w:r>
            <w:r>
              <w:rPr>
                <w:rFonts w:eastAsia="Times New Roman" w:cs="Times New Roman"/>
                <w:szCs w:val="24"/>
              </w:rPr>
              <w:t>2021)</w:t>
            </w:r>
          </w:p>
          <w:p>
            <w:pPr>
              <w:widowControl w:val="0"/>
              <w:numPr>
                <w:ilvl w:val="0"/>
                <w:numId w:val="19"/>
              </w:numPr>
              <w:pBdr>
                <w:top w:val="none" w:sz="0" w:space="0" w:color="auto"/>
                <w:left w:val="none" w:sz="0" w:space="0" w:color="auto"/>
                <w:bottom w:val="none" w:sz="0" w:space="0" w:color="auto"/>
                <w:right w:val="none" w:sz="0" w:space="0" w:color="auto"/>
                <w:between w:val="none" w:sz="0" w:space="0" w:color="auto"/>
              </w:pBdr>
              <w:spacing w:after="0" w:line="360" w:lineRule="auto"/>
              <w:rPr>
                <w:rFonts w:eastAsia="Times New Roman" w:cs="Times New Roman"/>
                <w:szCs w:val="24"/>
              </w:rPr>
            </w:pPr>
            <w:r>
              <w:rPr>
                <w:rFonts w:eastAsia="Times New Roman" w:cs="Times New Roman"/>
                <w:szCs w:val="24"/>
              </w:rPr>
              <w:t xml:space="preserve">Market strategies are one of the most important strengths of this organisation, and this is effective for its providing services </w:t>
            </w:r>
          </w:p>
          <w:p>
            <w:pPr>
              <w:widowControl w:val="0"/>
              <w:numPr>
                <w:ilvl w:val="0"/>
                <w:numId w:val="19"/>
              </w:numPr>
              <w:pBdr>
                <w:top w:val="none" w:sz="0" w:space="0" w:color="auto"/>
                <w:left w:val="none" w:sz="0" w:space="0" w:color="auto"/>
                <w:bottom w:val="none" w:sz="0" w:space="0" w:color="auto"/>
                <w:right w:val="none" w:sz="0" w:space="0" w:color="auto"/>
                <w:between w:val="none" w:sz="0" w:space="0" w:color="auto"/>
              </w:pBdr>
              <w:spacing w:after="0" w:line="360" w:lineRule="auto"/>
              <w:rPr>
                <w:rFonts w:eastAsia="Times New Roman" w:cs="Times New Roman"/>
                <w:szCs w:val="24"/>
              </w:rPr>
            </w:pPr>
            <w:r>
              <w:rPr>
                <w:rFonts w:eastAsia="Times New Roman" w:cs="Times New Roman"/>
                <w:szCs w:val="24"/>
              </w:rPr>
              <w:t>A high rate of customer satisfaction function is also one of the best strength of this business, which also increase its business profitability in the overall market, additionally, this improves its marketing innovation</w:t>
            </w:r>
          </w:p>
        </w:tc>
        <w:tc>
          <w:tcPr>
            <w:tcW w:w="4680" w:type="dxa"/>
            <w:shd w:val="clear" w:color="auto" w:fill="auto"/>
            <w:tcMar>
              <w:top w:w="100" w:type="dxa"/>
              <w:left w:w="100" w:type="dxa"/>
              <w:bottom w:w="100" w:type="dxa"/>
              <w:right w:w="100" w:type="dxa"/>
            </w:tcMar>
          </w:tcPr>
          <w:p>
            <w:pPr>
              <w:widowControl w:val="0"/>
              <w:numPr>
                <w:ilvl w:val="0"/>
                <w:numId w:val="20"/>
              </w:numPr>
              <w:pBdr>
                <w:top w:val="none" w:sz="0" w:space="0" w:color="auto"/>
                <w:left w:val="none" w:sz="0" w:space="0" w:color="auto"/>
                <w:bottom w:val="none" w:sz="0" w:space="0" w:color="auto"/>
                <w:right w:val="none" w:sz="0" w:space="0" w:color="auto"/>
                <w:between w:val="none" w:sz="0" w:space="0" w:color="auto"/>
              </w:pBdr>
              <w:spacing w:after="0" w:line="360" w:lineRule="auto"/>
              <w:rPr>
                <w:rFonts w:eastAsia="Times New Roman" w:cs="Times New Roman"/>
                <w:szCs w:val="24"/>
              </w:rPr>
            </w:pPr>
            <w:r>
              <w:rPr>
                <w:rFonts w:eastAsia="Times New Roman" w:cs="Times New Roman"/>
                <w:szCs w:val="24"/>
              </w:rPr>
              <w:t>The net contribution and profitability ratio are a weakness for “InterContinental Hotels Group PLC”</w:t>
            </w:r>
          </w:p>
          <w:p>
            <w:pPr>
              <w:widowControl w:val="0"/>
              <w:numPr>
                <w:ilvl w:val="0"/>
                <w:numId w:val="20"/>
              </w:numPr>
              <w:pBdr>
                <w:top w:val="none" w:sz="0" w:space="0" w:color="auto"/>
                <w:left w:val="none" w:sz="0" w:space="0" w:color="auto"/>
                <w:bottom w:val="none" w:sz="0" w:space="0" w:color="auto"/>
                <w:right w:val="none" w:sz="0" w:space="0" w:color="auto"/>
                <w:between w:val="none" w:sz="0" w:space="0" w:color="auto"/>
              </w:pBdr>
              <w:spacing w:after="0" w:line="360" w:lineRule="auto"/>
              <w:rPr>
                <w:rFonts w:eastAsia="Times New Roman" w:cs="Times New Roman"/>
                <w:szCs w:val="24"/>
              </w:rPr>
            </w:pPr>
            <w:r>
              <w:rPr>
                <w:rFonts w:eastAsia="Times New Roman" w:cs="Times New Roman"/>
                <w:szCs w:val="24"/>
              </w:rPr>
              <w:t xml:space="preserve">Lack of proper economic planning is another weakness for this organisation, and developing its planning strategies helps to develop its financial growth as well (Del Chiappa </w:t>
            </w:r>
            <w:r>
              <w:rPr>
                <w:rFonts w:eastAsia="Times New Roman" w:cs="Times New Roman"/>
                <w:i/>
                <w:szCs w:val="24"/>
              </w:rPr>
              <w:t xml:space="preserve">et al.,, </w:t>
            </w:r>
            <w:r>
              <w:rPr>
                <w:rFonts w:eastAsia="Times New Roman" w:cs="Times New Roman"/>
                <w:szCs w:val="24"/>
              </w:rPr>
              <w:t>2021)</w:t>
            </w:r>
          </w:p>
          <w:p>
            <w:pPr>
              <w:widowControl w:val="0"/>
              <w:numPr>
                <w:ilvl w:val="0"/>
                <w:numId w:val="20"/>
              </w:numPr>
              <w:pBdr>
                <w:top w:val="none" w:sz="0" w:space="0" w:color="auto"/>
                <w:left w:val="none" w:sz="0" w:space="0" w:color="auto"/>
                <w:bottom w:val="none" w:sz="0" w:space="0" w:color="auto"/>
                <w:right w:val="none" w:sz="0" w:space="0" w:color="auto"/>
                <w:between w:val="none" w:sz="0" w:space="0" w:color="auto"/>
              </w:pBdr>
              <w:spacing w:after="0" w:line="360" w:lineRule="auto"/>
              <w:rPr>
                <w:rFonts w:eastAsia="Times New Roman" w:cs="Times New Roman"/>
                <w:szCs w:val="24"/>
              </w:rPr>
            </w:pPr>
            <w:r>
              <w:rPr>
                <w:rFonts w:eastAsia="Times New Roman" w:cs="Times New Roman"/>
                <w:szCs w:val="24"/>
              </w:rPr>
              <w:t>Moving other segments of products are makes challenges for this IHG hotel in its current culture</w:t>
            </w:r>
          </w:p>
          <w:p>
            <w:pPr>
              <w:widowControl w:val="0"/>
              <w:numPr>
                <w:ilvl w:val="0"/>
                <w:numId w:val="20"/>
              </w:numPr>
              <w:pBdr>
                <w:top w:val="none" w:sz="0" w:space="0" w:color="auto"/>
                <w:left w:val="none" w:sz="0" w:space="0" w:color="auto"/>
                <w:bottom w:val="none" w:sz="0" w:space="0" w:color="auto"/>
                <w:right w:val="none" w:sz="0" w:space="0" w:color="auto"/>
                <w:between w:val="none" w:sz="0" w:space="0" w:color="auto"/>
              </w:pBdr>
              <w:spacing w:after="0" w:line="360" w:lineRule="auto"/>
              <w:rPr>
                <w:rFonts w:eastAsia="Times New Roman" w:cs="Times New Roman"/>
                <w:szCs w:val="24"/>
              </w:rPr>
            </w:pPr>
            <w:r>
              <w:rPr>
                <w:rFonts w:eastAsia="Times New Roman" w:cs="Times New Roman"/>
                <w:szCs w:val="24"/>
              </w:rPr>
              <w:t>Firms selling proposition is not properly clear, which can build a shield to reduce the competitor's attacks in the announced market</w:t>
            </w:r>
          </w:p>
        </w:tc>
      </w:tr>
      <w:tr>
        <w:tc>
          <w:tcPr>
            <w:tcW w:w="4680" w:type="dxa"/>
            <w:shd w:val="clear" w:color="auto" w:fill="auto"/>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pacing w:line="360" w:lineRule="auto"/>
              <w:jc w:val="center"/>
              <w:rPr>
                <w:rFonts w:eastAsia="Times New Roman" w:cs="Times New Roman"/>
                <w:b/>
                <w:szCs w:val="24"/>
              </w:rPr>
            </w:pPr>
            <w:r>
              <w:rPr>
                <w:rFonts w:eastAsia="Times New Roman" w:cs="Times New Roman"/>
                <w:b/>
                <w:szCs w:val="24"/>
              </w:rPr>
              <w:t>Opportunities</w:t>
            </w:r>
          </w:p>
        </w:tc>
        <w:tc>
          <w:tcPr>
            <w:tcW w:w="4680" w:type="dxa"/>
            <w:shd w:val="clear" w:color="auto" w:fill="auto"/>
            <w:tcMar>
              <w:top w:w="100" w:type="dxa"/>
              <w:left w:w="100" w:type="dxa"/>
              <w:bottom w:w="100" w:type="dxa"/>
              <w:right w:w="100" w:type="dxa"/>
            </w:tcMar>
          </w:tcPr>
          <w:p>
            <w:pPr>
              <w:widowControl w:val="0"/>
              <w:pBdr>
                <w:top w:val="none" w:sz="0" w:space="0" w:color="auto"/>
                <w:left w:val="none" w:sz="0" w:space="0" w:color="auto"/>
                <w:bottom w:val="none" w:sz="0" w:space="0" w:color="auto"/>
                <w:right w:val="none" w:sz="0" w:space="0" w:color="auto"/>
                <w:between w:val="none" w:sz="0" w:space="0" w:color="auto"/>
              </w:pBdr>
              <w:spacing w:line="360" w:lineRule="auto"/>
              <w:jc w:val="center"/>
              <w:rPr>
                <w:rFonts w:eastAsia="Times New Roman" w:cs="Times New Roman"/>
                <w:b/>
                <w:szCs w:val="24"/>
              </w:rPr>
            </w:pPr>
            <w:r>
              <w:rPr>
                <w:rFonts w:eastAsia="Times New Roman" w:cs="Times New Roman"/>
                <w:b/>
                <w:szCs w:val="24"/>
              </w:rPr>
              <w:t>Threats</w:t>
            </w:r>
          </w:p>
        </w:tc>
      </w:tr>
      <w:tr>
        <w:tc>
          <w:tcPr>
            <w:tcW w:w="4680" w:type="dxa"/>
            <w:shd w:val="clear" w:color="auto" w:fill="auto"/>
            <w:tcMar>
              <w:top w:w="100" w:type="dxa"/>
              <w:left w:w="100" w:type="dxa"/>
              <w:bottom w:w="100" w:type="dxa"/>
              <w:right w:w="100" w:type="dxa"/>
            </w:tcMar>
          </w:tcPr>
          <w:p>
            <w:pPr>
              <w:widowControl w:val="0"/>
              <w:numPr>
                <w:ilvl w:val="0"/>
                <w:numId w:val="21"/>
              </w:numPr>
              <w:pBdr>
                <w:top w:val="none" w:sz="0" w:space="0" w:color="auto"/>
                <w:left w:val="none" w:sz="0" w:space="0" w:color="auto"/>
                <w:bottom w:val="none" w:sz="0" w:space="0" w:color="auto"/>
                <w:right w:val="none" w:sz="0" w:space="0" w:color="auto"/>
                <w:between w:val="none" w:sz="0" w:space="0" w:color="auto"/>
              </w:pBdr>
              <w:spacing w:after="0" w:line="360" w:lineRule="auto"/>
              <w:rPr>
                <w:rFonts w:eastAsia="Times New Roman" w:cs="Times New Roman"/>
                <w:szCs w:val="24"/>
              </w:rPr>
            </w:pPr>
            <w:r>
              <w:rPr>
                <w:rFonts w:eastAsia="Times New Roman" w:cs="Times New Roman"/>
                <w:szCs w:val="24"/>
              </w:rPr>
              <w:t>Market development can increase its business competitive advantages for IHG resorts, as well as, it also helps to develop its business profits</w:t>
            </w:r>
          </w:p>
          <w:p>
            <w:pPr>
              <w:widowControl w:val="0"/>
              <w:numPr>
                <w:ilvl w:val="0"/>
                <w:numId w:val="21"/>
              </w:numPr>
              <w:pBdr>
                <w:top w:val="none" w:sz="0" w:space="0" w:color="auto"/>
                <w:left w:val="none" w:sz="0" w:space="0" w:color="auto"/>
                <w:bottom w:val="none" w:sz="0" w:space="0" w:color="auto"/>
                <w:right w:val="none" w:sz="0" w:space="0" w:color="auto"/>
                <w:between w:val="none" w:sz="0" w:space="0" w:color="auto"/>
              </w:pBdr>
              <w:spacing w:after="0" w:line="360" w:lineRule="auto"/>
              <w:rPr>
                <w:rFonts w:eastAsia="Times New Roman" w:cs="Times New Roman"/>
                <w:szCs w:val="24"/>
              </w:rPr>
            </w:pPr>
            <w:r>
              <w:rPr>
                <w:rFonts w:eastAsia="Times New Roman" w:cs="Times New Roman"/>
                <w:szCs w:val="24"/>
              </w:rPr>
              <w:t xml:space="preserve">Decreasing the transportation cost also provides many types of opportunities to boost its profits section and also helps to gain customers loyalty (Ali </w:t>
            </w:r>
            <w:r>
              <w:rPr>
                <w:rFonts w:eastAsia="Times New Roman" w:cs="Times New Roman"/>
                <w:i/>
                <w:szCs w:val="24"/>
              </w:rPr>
              <w:t>et al.</w:t>
            </w:r>
            <w:r>
              <w:rPr>
                <w:rFonts w:eastAsia="Times New Roman" w:cs="Times New Roman"/>
                <w:szCs w:val="24"/>
              </w:rPr>
              <w:t xml:space="preserve"> 2020)</w:t>
            </w:r>
          </w:p>
          <w:p>
            <w:pPr>
              <w:widowControl w:val="0"/>
              <w:numPr>
                <w:ilvl w:val="0"/>
                <w:numId w:val="21"/>
              </w:numPr>
              <w:pBdr>
                <w:top w:val="none" w:sz="0" w:space="0" w:color="auto"/>
                <w:left w:val="none" w:sz="0" w:space="0" w:color="auto"/>
                <w:bottom w:val="none" w:sz="0" w:space="0" w:color="auto"/>
                <w:right w:val="none" w:sz="0" w:space="0" w:color="auto"/>
                <w:between w:val="none" w:sz="0" w:space="0" w:color="auto"/>
              </w:pBdr>
              <w:spacing w:after="0" w:line="360" w:lineRule="auto"/>
              <w:rPr>
                <w:rFonts w:eastAsia="Times New Roman" w:cs="Times New Roman"/>
                <w:szCs w:val="24"/>
              </w:rPr>
            </w:pPr>
            <w:r>
              <w:rPr>
                <w:rFonts w:eastAsia="Times New Roman" w:cs="Times New Roman"/>
                <w:szCs w:val="24"/>
              </w:rPr>
              <w:t>"Stable free cash flow" also helps to develop the firm's opportunities, and it also increases its technology development process, which implements new product segment</w:t>
            </w:r>
          </w:p>
          <w:p>
            <w:pPr>
              <w:widowControl w:val="0"/>
              <w:numPr>
                <w:ilvl w:val="0"/>
                <w:numId w:val="21"/>
              </w:numPr>
              <w:pBdr>
                <w:top w:val="none" w:sz="0" w:space="0" w:color="auto"/>
                <w:left w:val="none" w:sz="0" w:space="0" w:color="auto"/>
                <w:bottom w:val="none" w:sz="0" w:space="0" w:color="auto"/>
                <w:right w:val="none" w:sz="0" w:space="0" w:color="auto"/>
                <w:between w:val="none" w:sz="0" w:space="0" w:color="auto"/>
              </w:pBdr>
              <w:spacing w:after="0" w:line="360" w:lineRule="auto"/>
              <w:rPr>
                <w:rFonts w:eastAsia="Times New Roman" w:cs="Times New Roman"/>
                <w:szCs w:val="24"/>
              </w:rPr>
            </w:pPr>
            <w:r>
              <w:rPr>
                <w:rFonts w:eastAsia="Times New Roman" w:cs="Times New Roman"/>
                <w:szCs w:val="24"/>
              </w:rPr>
              <w:t>Stubby innovation rate also involves opportunities for its market stability and enables the lowest interest rate</w:t>
            </w:r>
          </w:p>
        </w:tc>
        <w:tc>
          <w:tcPr>
            <w:tcW w:w="4680" w:type="dxa"/>
            <w:shd w:val="clear" w:color="auto" w:fill="auto"/>
            <w:tcMar>
              <w:top w:w="100" w:type="dxa"/>
              <w:left w:w="100" w:type="dxa"/>
              <w:bottom w:w="100" w:type="dxa"/>
              <w:right w:w="100" w:type="dxa"/>
            </w:tcMar>
          </w:tcPr>
          <w:p>
            <w:pPr>
              <w:widowControl w:val="0"/>
              <w:numPr>
                <w:ilvl w:val="0"/>
                <w:numId w:val="22"/>
              </w:numPr>
              <w:pBdr>
                <w:top w:val="none" w:sz="0" w:space="0" w:color="auto"/>
                <w:left w:val="none" w:sz="0" w:space="0" w:color="auto"/>
                <w:bottom w:val="none" w:sz="0" w:space="0" w:color="auto"/>
                <w:right w:val="none" w:sz="0" w:space="0" w:color="auto"/>
                <w:between w:val="none" w:sz="0" w:space="0" w:color="auto"/>
              </w:pBdr>
              <w:spacing w:after="0" w:line="360" w:lineRule="auto"/>
              <w:rPr>
                <w:rFonts w:eastAsia="Times New Roman" w:cs="Times New Roman"/>
                <w:szCs w:val="24"/>
              </w:rPr>
            </w:pPr>
            <w:r>
              <w:rPr>
                <w:rFonts w:eastAsia="Times New Roman" w:cs="Times New Roman"/>
                <w:szCs w:val="24"/>
              </w:rPr>
              <w:t>Bringing raw materials increases the profitability and also involves a threat to this organisation</w:t>
            </w:r>
          </w:p>
          <w:p>
            <w:pPr>
              <w:widowControl w:val="0"/>
              <w:numPr>
                <w:ilvl w:val="0"/>
                <w:numId w:val="22"/>
              </w:numPr>
              <w:pBdr>
                <w:top w:val="none" w:sz="0" w:space="0" w:color="auto"/>
                <w:left w:val="none" w:sz="0" w:space="0" w:color="auto"/>
                <w:bottom w:val="none" w:sz="0" w:space="0" w:color="auto"/>
                <w:right w:val="none" w:sz="0" w:space="0" w:color="auto"/>
                <w:between w:val="none" w:sz="0" w:space="0" w:color="auto"/>
              </w:pBdr>
              <w:spacing w:after="0" w:line="360" w:lineRule="auto"/>
              <w:rPr>
                <w:rFonts w:eastAsia="Times New Roman" w:cs="Times New Roman"/>
                <w:szCs w:val="24"/>
              </w:rPr>
            </w:pPr>
            <w:r>
              <w:rPr>
                <w:rFonts w:eastAsia="Times New Roman" w:cs="Times New Roman"/>
                <w:szCs w:val="24"/>
              </w:rPr>
              <w:t xml:space="preserve">Storage skills also build threats for the IHG hotel and it impacts the organisation's marketing growth profitability level (Busher </w:t>
            </w:r>
            <w:r>
              <w:rPr>
                <w:rFonts w:eastAsia="Times New Roman" w:cs="Times New Roman"/>
                <w:i/>
                <w:szCs w:val="24"/>
              </w:rPr>
              <w:t xml:space="preserve">et al., </w:t>
            </w:r>
            <w:r>
              <w:rPr>
                <w:rFonts w:eastAsia="Times New Roman" w:cs="Times New Roman"/>
                <w:szCs w:val="24"/>
              </w:rPr>
              <w:t>2019)</w:t>
            </w:r>
          </w:p>
          <w:p>
            <w:pPr>
              <w:widowControl w:val="0"/>
              <w:numPr>
                <w:ilvl w:val="0"/>
                <w:numId w:val="22"/>
              </w:numPr>
              <w:pBdr>
                <w:top w:val="none" w:sz="0" w:space="0" w:color="auto"/>
                <w:left w:val="none" w:sz="0" w:space="0" w:color="auto"/>
                <w:bottom w:val="none" w:sz="0" w:space="0" w:color="auto"/>
                <w:right w:val="none" w:sz="0" w:space="0" w:color="auto"/>
                <w:between w:val="none" w:sz="0" w:space="0" w:color="auto"/>
              </w:pBdr>
              <w:spacing w:after="0" w:line="360" w:lineRule="auto"/>
              <w:rPr>
                <w:rFonts w:eastAsia="Times New Roman" w:cs="Times New Roman"/>
                <w:szCs w:val="24"/>
              </w:rPr>
            </w:pPr>
            <w:r>
              <w:rPr>
                <w:rFonts w:eastAsia="Times New Roman" w:cs="Times New Roman"/>
                <w:szCs w:val="24"/>
              </w:rPr>
              <w:t xml:space="preserve">Increasing the pay level builds pressure on the organisation to develop its profits section </w:t>
            </w:r>
          </w:p>
          <w:p>
            <w:pPr>
              <w:widowControl w:val="0"/>
              <w:numPr>
                <w:ilvl w:val="0"/>
                <w:numId w:val="22"/>
              </w:numPr>
              <w:pBdr>
                <w:top w:val="none" w:sz="0" w:space="0" w:color="auto"/>
                <w:left w:val="none" w:sz="0" w:space="0" w:color="auto"/>
                <w:bottom w:val="none" w:sz="0" w:space="0" w:color="auto"/>
                <w:right w:val="none" w:sz="0" w:space="0" w:color="auto"/>
                <w:between w:val="none" w:sz="0" w:space="0" w:color="auto"/>
              </w:pBdr>
              <w:spacing w:after="0" w:line="360" w:lineRule="auto"/>
              <w:rPr>
                <w:rFonts w:eastAsia="Times New Roman" w:cs="Times New Roman"/>
                <w:szCs w:val="24"/>
              </w:rPr>
            </w:pPr>
            <w:r>
              <w:rPr>
                <w:rFonts w:eastAsia="Times New Roman" w:cs="Times New Roman"/>
                <w:szCs w:val="24"/>
              </w:rPr>
              <w:t>Consumers buying behaviour change also impacts its supply chain section as well</w:t>
            </w:r>
          </w:p>
        </w:tc>
      </w:tr>
    </w:tbl>
    <w:p>
      <w:pPr>
        <w:spacing w:line="360" w:lineRule="auto"/>
        <w:jc w:val="center"/>
        <w:rPr>
          <w:rFonts w:eastAsia="Times New Roman" w:cs="Times New Roman"/>
          <w:szCs w:val="24"/>
        </w:rPr>
      </w:pPr>
    </w:p>
    <w:p>
      <w:pPr>
        <w:spacing w:line="360" w:lineRule="auto"/>
        <w:jc w:val="center"/>
        <w:rPr>
          <w:rFonts w:eastAsia="Times New Roman" w:cs="Times New Roman"/>
          <w:b/>
          <w:szCs w:val="24"/>
        </w:rPr>
      </w:pPr>
      <w:r>
        <w:rPr>
          <w:rFonts w:eastAsia="Times New Roman" w:cs="Times New Roman"/>
          <w:b/>
          <w:szCs w:val="24"/>
        </w:rPr>
        <w:t>Table 4: SWOT Analysis</w:t>
      </w:r>
    </w:p>
    <w:p>
      <w:pPr>
        <w:spacing w:line="360" w:lineRule="auto"/>
        <w:jc w:val="center"/>
        <w:rPr>
          <w:rFonts w:eastAsia="Times New Roman" w:cs="Times New Roman"/>
          <w:szCs w:val="24"/>
        </w:rPr>
      </w:pPr>
      <w:r>
        <w:rPr>
          <w:rFonts w:eastAsia="Times New Roman" w:cs="Times New Roman"/>
          <w:szCs w:val="24"/>
        </w:rPr>
        <w:t>(Source: Self-created)</w:t>
      </w:r>
    </w:p>
    <w:p/>
    <w:p/>
    <w:p/>
    <w:p>
      <w:pPr>
        <w:pStyle w:val="1"/>
      </w:pPr>
      <w:bookmarkStart w:id="16" w:name="_Toc130320679"/>
      <w:r>
        <w:t>Strategies to Sustain Competitive Advantage</w:t>
      </w:r>
      <w:bookmarkEnd w:id="16"/>
    </w:p>
    <w:p>
      <w:pPr>
        <w:spacing w:line="360" w:lineRule="auto"/>
        <w:jc w:val="both"/>
        <w:rPr>
          <w:rFonts w:eastAsia="Times New Roman" w:cs="Times New Roman"/>
          <w:b/>
          <w:szCs w:val="24"/>
        </w:rPr>
      </w:pPr>
      <w:r>
        <w:rPr>
          <w:rFonts w:eastAsia="Times New Roman" w:cs="Times New Roman"/>
          <w:b/>
          <w:szCs w:val="24"/>
        </w:rPr>
        <w:t xml:space="preserve">Competitive Advantages </w:t>
      </w:r>
    </w:p>
    <w:p>
      <w:pPr>
        <w:spacing w:line="360" w:lineRule="auto"/>
        <w:jc w:val="center"/>
        <w:rPr>
          <w:rFonts w:eastAsia="Times New Roman" w:cs="Times New Roman"/>
          <w:szCs w:val="24"/>
        </w:rPr>
      </w:pPr>
      <w:r>
        <w:rPr>
          <w:rFonts w:eastAsia="Times New Roman" w:cs="Times New Roman"/>
          <w:szCs w:val="24"/>
          <w:lang w:val="en-IN" w:eastAsia="en-IN"/>
        </w:rPr>
        <w:drawing>
          <wp:inline distT="114300" distB="114300" distL="114300" distR="114300">
            <wp:extent cx="1714500" cy="2790824"/>
            <wp:effectExtent l="0" t="0" r="0" b="0"/>
            <wp:docPr id="39" name="图片 39"/>
            <wp:cNvGraphicFramePr>
              <a:graphicFrameLocks noChangeAspect="0"/>
            </wp:cNvGraphicFramePr>
            <a:graphic>
              <a:graphicData uri="http://schemas.openxmlformats.org/drawingml/2006/picture">
                <pic:pic>
                  <pic:nvPicPr>
                    <pic:cNvPr id="41" name="图片 41"/>
                    <pic:cNvPicPr/>
                  </pic:nvPicPr>
                  <pic:blipFill>
                    <a:blip r:embed="rId8"/>
                    <a:stretch>
                      <a:fillRect/>
                    </a:stretch>
                  </pic:blipFill>
                  <pic:spPr>
                    <a:xfrm rot="0">
                      <a:off x="0" y="0"/>
                      <a:ext cx="1714500" cy="2790824"/>
                    </a:xfrm>
                    <a:prstGeom prst="rect"/>
                    <a:noFill/>
                    <a:ln w="12700" cmpd="sng" cap="flat">
                      <a:noFill/>
                      <a:prstDash val="solid"/>
                      <a:miter/>
                    </a:ln>
                  </pic:spPr>
                </pic:pic>
              </a:graphicData>
            </a:graphic>
          </wp:inline>
        </w:drawing>
      </w:r>
    </w:p>
    <w:p>
      <w:pPr>
        <w:spacing w:line="360" w:lineRule="auto"/>
        <w:jc w:val="center"/>
        <w:rPr>
          <w:rFonts w:eastAsia="Times New Roman" w:cs="Times New Roman"/>
          <w:b/>
          <w:szCs w:val="24"/>
        </w:rPr>
      </w:pPr>
      <w:r>
        <w:rPr>
          <w:rFonts w:eastAsia="Times New Roman" w:cs="Times New Roman"/>
          <w:b/>
          <w:szCs w:val="24"/>
        </w:rPr>
        <w:t>Figure 4: Strategic Model</w:t>
      </w:r>
    </w:p>
    <w:p>
      <w:pPr>
        <w:spacing w:line="360" w:lineRule="auto"/>
        <w:jc w:val="center"/>
        <w:rPr>
          <w:rFonts w:eastAsia="Times New Roman" w:cs="Times New Roman"/>
          <w:szCs w:val="24"/>
        </w:rPr>
      </w:pPr>
      <w:r>
        <w:rPr>
          <w:rFonts w:eastAsia="Times New Roman" w:cs="Times New Roman"/>
          <w:szCs w:val="24"/>
        </w:rPr>
        <w:t>(Source: Ihgplc.com, 2023)</w:t>
      </w:r>
    </w:p>
    <w:p>
      <w:pPr>
        <w:spacing w:line="360" w:lineRule="auto"/>
        <w:jc w:val="both"/>
        <w:rPr>
          <w:rFonts w:eastAsia="Times New Roman" w:cs="Times New Roman"/>
          <w:szCs w:val="24"/>
        </w:rPr>
      </w:pPr>
      <w:r>
        <w:rPr>
          <w:rFonts w:eastAsia="Times New Roman" w:cs="Times New Roman"/>
          <w:szCs w:val="24"/>
        </w:rPr>
        <w:t>This is crucial for “InterContinental Hotels Group PLC” its all competitive advantages activities, which are based on some rare sources. Based on research activities, this has been significantly addressed that delivered a high quality of services to its all consumers, which helps to improve its sustained growth in the long term. Moreover, this organisation has used a strategic model, which assists to build the scale, and also builds loyalty among its customers (Ihgplc.com, 2023). Along with this, this organisation generally targeted its market segments and portfolios, which plays an important role to develop the marketing growth portion. The study addressed that the strategic model is efficient for business success, and they also focused on the market based on this model. However, this model approach helps to build its shareholders and provides a high-quality service to the market which make sure its growth in the market.</w:t>
      </w:r>
    </w:p>
    <w:p>
      <w:pPr>
        <w:spacing w:line="360" w:lineRule="auto"/>
        <w:jc w:val="both"/>
        <w:rPr>
          <w:rFonts w:eastAsia="Times New Roman" w:cs="Times New Roman"/>
          <w:szCs w:val="24"/>
        </w:rPr>
      </w:pPr>
      <w:r>
        <w:rPr>
          <w:rFonts w:eastAsia="Times New Roman" w:cs="Times New Roman"/>
          <w:szCs w:val="24"/>
        </w:rPr>
        <w:t>Leveraging and building scale includes efficient advantages for this IHG hotel globally and nationally. On the other hand, the main element of the forms revolves around saving energy, reducing wastage, and decreasing water usage (Filimonau and Magklaropoulou, 2020). Additionally, all those things help to maintain its providing services, suppliers, products, and its logistics. Moreover, this strategic management helps to develop its sustainability in the international market, and all those includes many opportunities for its business. Marketing strategies deliver an effective culture, which effectively attracts all consumers and that is to build advantages for the IHG hotels. Additionally, it also improves its providing services as well in the overall UK market.</w:t>
      </w:r>
    </w:p>
    <w:p>
      <w:pPr>
        <w:pStyle w:val="1"/>
      </w:pPr>
      <w:bookmarkStart w:id="17" w:name="_Toc130320680"/>
      <w:r>
        <w:t>Growth Strategies</w:t>
      </w:r>
      <w:bookmarkEnd w:id="17"/>
    </w:p>
    <w:p>
      <w:pPr>
        <w:spacing w:line="360" w:lineRule="auto"/>
        <w:jc w:val="both"/>
        <w:rPr>
          <w:rFonts w:eastAsia="Times New Roman" w:cs="Times New Roman"/>
          <w:szCs w:val="24"/>
        </w:rPr>
      </w:pPr>
      <w:r>
        <w:rPr>
          <w:rFonts w:eastAsia="Times New Roman" w:cs="Times New Roman"/>
          <w:szCs w:val="24"/>
        </w:rPr>
        <w:t xml:space="preserve">The growth strategies of IHG firms are building a higher differentiated brand portfolio, as well as, it also helps to improve business growth segments in the market. Moreover, this IHG PLC resorts include some new strategies, which improve its brand portfolio and marketing experiences (Seraphin and Ivanov, 2020). The primary focus of the organisation is unlocking various ways, which helps to execute its all strategy that assists to develop its accelerated growth in the market. Furthermore, sustaining growth involves its profitability and its cash flow as well. </w:t>
      </w:r>
    </w:p>
    <w:p>
      <w:pPr>
        <w:spacing w:after="160" w:line="360" w:lineRule="auto"/>
      </w:pPr>
    </w:p>
    <w:p>
      <w:pPr>
        <w:pStyle w:val="1"/>
      </w:pPr>
      <w:bookmarkStart w:id="18" w:name="_Toc130320681"/>
      <w:r>
        <w:t>Green Strategy and CSR</w:t>
      </w:r>
      <w:bookmarkEnd w:id="18"/>
    </w:p>
    <w:p>
      <w:pPr>
        <w:spacing w:line="360" w:lineRule="auto"/>
        <w:jc w:val="both"/>
        <w:rPr>
          <w:rFonts w:eastAsia="Times New Roman" w:cs="Times New Roman"/>
          <w:b/>
          <w:szCs w:val="24"/>
        </w:rPr>
      </w:pPr>
      <w:r>
        <w:rPr>
          <w:rFonts w:eastAsia="Times New Roman" w:cs="Times New Roman"/>
          <w:b/>
          <w:szCs w:val="24"/>
        </w:rPr>
        <w:t>Green Strategy</w:t>
      </w:r>
    </w:p>
    <w:p>
      <w:pPr>
        <w:spacing w:line="360" w:lineRule="auto"/>
        <w:jc w:val="both"/>
        <w:rPr>
          <w:rFonts w:eastAsia="Times New Roman" w:cs="Times New Roman"/>
          <w:szCs w:val="24"/>
        </w:rPr>
      </w:pPr>
      <w:r>
        <w:rPr>
          <w:rFonts w:eastAsia="Times New Roman" w:cs="Times New Roman"/>
          <w:szCs w:val="24"/>
        </w:rPr>
        <w:t>Green strategy is innovative in all programs, and it allows organisations to design and run process and building activities, it develops hotel sustainability in the target market. Additionally, this strategy helps to improve its innovative sustainability system and increase its environment to measure all activities. A green strategy can help to reduce energy by around 25 per cent per year (Ihgplc.com, 2023). Finally, it helps to develop environmental sustainability, which manages and measures its effects on the entire environment.</w:t>
      </w:r>
    </w:p>
    <w:p>
      <w:pPr>
        <w:spacing w:line="360" w:lineRule="auto"/>
        <w:jc w:val="both"/>
        <w:rPr>
          <w:rFonts w:eastAsia="Times New Roman" w:cs="Times New Roman"/>
          <w:b/>
          <w:szCs w:val="24"/>
        </w:rPr>
      </w:pPr>
      <w:r>
        <w:rPr>
          <w:rFonts w:eastAsia="Times New Roman" w:cs="Times New Roman"/>
          <w:b/>
          <w:szCs w:val="24"/>
        </w:rPr>
        <w:t>CSR</w:t>
      </w:r>
    </w:p>
    <w:p>
      <w:pPr>
        <w:spacing w:line="360" w:lineRule="auto"/>
        <w:jc w:val="both"/>
        <w:rPr>
          <w:rFonts w:eastAsia="Times New Roman" w:cs="Times New Roman"/>
          <w:szCs w:val="24"/>
        </w:rPr>
      </w:pPr>
      <w:r>
        <w:rPr>
          <w:rFonts w:eastAsia="Times New Roman" w:cs="Times New Roman"/>
          <w:szCs w:val="24"/>
        </w:rPr>
        <w:t xml:space="preserve">The CSR function is activated in 2006 in the IHG organisation, and it helps to build a strong foundation, which supports its all activities (Ihgplc.com, 2023). On the other hand, this system mainly activates the entire measurement of all activities and it also monitors all progress of the IHG PLC organisation. This measurement process generally used some effective strategies, which can track all progress and it also tracks the overall operating system that is efficient for its growth portion (Filimonau and Magklaropoulou, 2020). Moreover, it also collaborates with all provided services to its process and builds strong function, which provides solutions to overcome all challenges. On the other hand, energy efficiency, community support, climate change, and carbon opportunities are addressed through these processes, additionally, all those things are beneficial for building priorities for these firms. </w:t>
      </w:r>
    </w:p>
    <w:p>
      <w:pPr>
        <w:pStyle w:val="33"/>
        <w:spacing w:line="360" w:lineRule="auto"/>
        <w:jc w:val="both"/>
        <w:rPr>
          <w:rFonts w:ascii="Times New Roman" w:eastAsia="Times New Roman" w:cs="Times New Roman" w:hAnsi="Times New Roman"/>
          <w:sz w:val="24"/>
          <w:szCs w:val="24"/>
        </w:rPr>
      </w:pPr>
    </w:p>
    <w:p>
      <w:pPr>
        <w:pStyle w:val="1"/>
      </w:pPr>
      <w:bookmarkStart w:id="19" w:name="_Toc130320682"/>
      <w:r>
        <w:t>Conclusion</w:t>
      </w:r>
      <w:bookmarkEnd w:id="19"/>
    </w:p>
    <w:p>
      <w:pPr>
        <w:pStyle w:val="33"/>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Based on the overall research on strategic management this is concluded that it here includes a piece of brief information, which is based on strategic management. This research mainly addressed the importance of strategic management in an organization, and how impacts the overall organization's development section as well. Moreover, this research includes the mission and objectives that implement the vision of IHG hotel in the entire UK target market. After that, it includes a proper analysis portion, that includes some effective factors, which positively and negatively impact the overall organization. Moreover, here also added some of the " life cycle model of an organization, and how it helps to develop the entire business as well. It has been informed the different ways of growing business in the market, as well as, also known all effective strategies that help to increase the profitability in the global market.</w:t>
      </w:r>
    </w:p>
    <w:p/>
    <w:p/>
    <w:p>
      <w:pPr>
        <w:pStyle w:val="1"/>
      </w:pPr>
      <w:bookmarkStart w:id="20" w:name="_Toc130320683"/>
      <w:r>
        <w:t>Recommendation</w:t>
      </w:r>
      <w:bookmarkEnd w:id="20"/>
      <w:r>
        <w:t xml:space="preserve"> </w:t>
      </w:r>
    </w:p>
    <w:p>
      <w:pPr>
        <w:spacing w:line="360" w:lineRule="auto"/>
        <w:jc w:val="both"/>
        <w:rPr>
          <w:rFonts w:cs="Times New Roman"/>
          <w:szCs w:val="24"/>
        </w:rPr>
      </w:pPr>
      <w:r>
        <w:rPr>
          <w:rFonts w:cs="Times New Roman"/>
          <w:szCs w:val="24"/>
        </w:rPr>
        <w:t xml:space="preserve">Based on the overall research study, it has been clearly highlighted that marketing strategies are very effective for developing the “IHG PLC hotel and resort”, and they also help to improve its entire activities in a very effective way. Additionally, these strategies help to improve its profitability level in its target market, which helps to improve its economic profit margin as well. However, this section includes a few effective recommendations that manually help to develop its economic profits and also identify all threats that make challenges for this IHG firm. </w:t>
      </w:r>
    </w:p>
    <w:p>
      <w:pPr>
        <w:spacing w:line="360" w:lineRule="auto"/>
      </w:pPr>
      <w:r>
        <w:rPr>
          <w:rFonts w:cs="Times New Roman"/>
          <w:szCs w:val="24"/>
        </w:rPr>
        <w:t>One of the most important things to focus on for this organisation on its consumer satisfaction process, and the main reason is that customer satisfaction can help to improve its market value. On the other hand, this hotel is required to implement some new culture in its services, which can attract all consumers and that help to develop its marketing revenue in the overall market of the UK, as well as, internationally. Improving the consumer's behaviour level also impacts its business developing section, the IHG hotel is required to improve the quality of its services, which also helps to develop its overall performance level and which is essential for improving its performance in the market. Furthermore, this organisation needs to focus on its transportation cost to boost the entire profitability and also help to gain customers' loyalty in the market of its target. Finally, all those activities' implementation helps to boost its performance in the global and internal market, and it helps to develop the business as well.</w:t>
      </w:r>
    </w:p>
    <w:p>
      <w:pPr>
        <w:rPr>
          <w:rFonts w:ascii="Arial" w:eastAsia="宋体" w:cs="Times New Roman" w:hAnsi="Arial"/>
          <w:b/>
          <w:bCs/>
          <w:color w:val="17365D"/>
          <w:szCs w:val="24"/>
          <w:lang w:eastAsia="ja-JP"/>
        </w:rPr>
      </w:pPr>
      <w:bookmarkStart w:id="21" w:name="_Toc130320684"/>
      <w:r>
        <w:br w:type="page"/>
      </w:r>
    </w:p>
    <w:p>
      <w:pPr>
        <w:pStyle w:val="1"/>
      </w:pPr>
      <w:r>
        <w:t>References</w:t>
      </w:r>
      <w:bookmarkEnd w:id="21"/>
      <w:r>
        <w:t xml:space="preserve"> </w:t>
      </w:r>
    </w:p>
    <w:p>
      <w:pPr>
        <w:spacing w:line="360" w:lineRule="auto"/>
        <w:jc w:val="both"/>
        <w:rPr>
          <w:rFonts w:eastAsia="Times New Roman" w:cs="Times New Roman"/>
          <w:szCs w:val="24"/>
        </w:rPr>
      </w:pPr>
      <w:r>
        <w:rPr>
          <w:rFonts w:eastAsia="Times New Roman" w:cs="Times New Roman"/>
          <w:szCs w:val="24"/>
        </w:rPr>
        <w:t>Ahmad, R. and Scott, N., 2019. Technology innovations towards reducing hospitality human resource costs in Langkawi, Malaysia. Tourism Review, 74(3), pp.547-562.</w:t>
      </w:r>
    </w:p>
    <w:p>
      <w:pPr>
        <w:spacing w:line="360" w:lineRule="auto"/>
        <w:jc w:val="both"/>
        <w:rPr>
          <w:rFonts w:eastAsia="Times New Roman" w:cs="Times New Roman"/>
          <w:szCs w:val="24"/>
        </w:rPr>
      </w:pPr>
      <w:r>
        <w:rPr>
          <w:rFonts w:eastAsia="Times New Roman" w:cs="Times New Roman"/>
          <w:szCs w:val="24"/>
        </w:rPr>
        <w:t>Alfaro, E., Yu, F., Rehman, N.U., Hysa, E. and Kabeya, P.K., 2019. Strategic management of innovation. In The Routledge companion to innovation management (pp. 107-168). Routledge.</w:t>
      </w:r>
    </w:p>
    <w:p>
      <w:pPr>
        <w:spacing w:line="360" w:lineRule="auto"/>
        <w:jc w:val="both"/>
        <w:rPr>
          <w:rFonts w:eastAsia="Times New Roman" w:cs="Times New Roman"/>
          <w:szCs w:val="24"/>
        </w:rPr>
      </w:pPr>
      <w:r>
        <w:rPr>
          <w:rFonts w:eastAsia="Times New Roman" w:cs="Times New Roman"/>
          <w:szCs w:val="24"/>
        </w:rPr>
        <w:t>Ali, S., Peters, L.D., Khan, I.U., Ali, W. and Saif, N., 2020. Organisational learning and hotel performance: the role of capabilities’ hierarchy. International Journal of Hospitality Management, 85, p.102349.</w:t>
      </w:r>
    </w:p>
    <w:p>
      <w:pPr>
        <w:pStyle w:val="33"/>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Ateljević, J., Kulović, D., Đoković, F. and Bavčić, M., 2023. Business Strategy and Competitive Advantage: A Reinterpretation of Michael Porter’s Work. Taylor &amp; Francis.</w:t>
      </w:r>
    </w:p>
    <w:p>
      <w:pPr>
        <w:pStyle w:val="33"/>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Bogers, M., Chesbrough, H., Heaton, S. and Teece, D.J., 2019. Strategic management of open innovation: A dynamic capabilities perspective. California Management Review, 62(1), pp.77-94.</w:t>
      </w:r>
    </w:p>
    <w:p>
      <w:pPr>
        <w:spacing w:line="360" w:lineRule="auto"/>
        <w:jc w:val="both"/>
        <w:rPr>
          <w:rFonts w:eastAsia="Times New Roman" w:cs="Times New Roman"/>
          <w:szCs w:val="24"/>
        </w:rPr>
      </w:pPr>
      <w:r>
        <w:rPr>
          <w:rFonts w:eastAsia="Times New Roman" w:cs="Times New Roman"/>
          <w:szCs w:val="24"/>
        </w:rPr>
        <w:t>Busher, J., Choudhury, T. and Thomas, P., 2019. The enactment of the counter-terrorism “Prevent duty” in British schools and colleges: Beyond reluctant accommodation or straightforward policy acceptance. Critical Studies on Terrorism, 12(3), pp.440-462.</w:t>
      </w:r>
    </w:p>
    <w:p>
      <w:pPr>
        <w:pStyle w:val="33"/>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Cabral, S., Mahoney, J.T., McGahan, A.M. and Potoski, M., 2019. Value creation and value appropriation in public and nonprofit organisations. Strategic Management Journal, 40(4), pp.465-475.</w:t>
      </w:r>
    </w:p>
    <w:p>
      <w:pPr>
        <w:spacing w:line="360" w:lineRule="auto"/>
        <w:jc w:val="both"/>
        <w:rPr>
          <w:rFonts w:eastAsia="Times New Roman" w:cs="Times New Roman"/>
          <w:szCs w:val="24"/>
        </w:rPr>
      </w:pPr>
      <w:r>
        <w:rPr>
          <w:rFonts w:eastAsia="Times New Roman" w:cs="Times New Roman"/>
          <w:szCs w:val="24"/>
        </w:rPr>
        <w:t>Canhoto, A.I. and Wei, L., 2021. Stakeholders of the world, unite!: Hospitality in the time of COVID-19. International Journal of Hospitality Management, 95, p.102922.</w:t>
      </w:r>
    </w:p>
    <w:p>
      <w:pPr>
        <w:pStyle w:val="33"/>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Darling, E.S., McClanahan, T.R., Maina, J., Gurney, G.G., Graham, N.A., Januchowski-Hartley, F., Cinner, J.E., Mora, C., Hicks, C.C., Maire, E. and Puotinen, M., 2019. Social–environmental drivers inform strategic management of coral reefs in the Anthropocene. Nature ecology &amp; evolution, 3(9), pp.1341-1350.</w:t>
      </w:r>
    </w:p>
    <w:p>
      <w:pPr>
        <w:spacing w:line="360" w:lineRule="auto"/>
        <w:jc w:val="both"/>
        <w:rPr>
          <w:rFonts w:eastAsia="Times New Roman" w:cs="Times New Roman"/>
          <w:szCs w:val="24"/>
        </w:rPr>
      </w:pPr>
      <w:r>
        <w:rPr>
          <w:rFonts w:eastAsia="Times New Roman" w:cs="Times New Roman"/>
          <w:szCs w:val="24"/>
        </w:rPr>
        <w:t>Del Chiappa, G., Bregoli, I. and Fotiadis, A.K., 2021. The impact of COVID-19 on Italian accommodation: A supply-perspective. Journal of Tourism, Heritage &amp; Services Marketing (JTHSM), 7(1), pp.13-22.</w:t>
      </w:r>
    </w:p>
    <w:p>
      <w:pPr>
        <w:pStyle w:val="33"/>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Ferlie, E. and Ongaro, E., 2022. Strategic management in public services organisations: Concepts, schools and contemporary issues. Routledge.</w:t>
      </w:r>
    </w:p>
    <w:p>
      <w:pPr>
        <w:spacing w:line="360" w:lineRule="auto"/>
        <w:jc w:val="both"/>
        <w:rPr>
          <w:rFonts w:eastAsia="Times New Roman" w:cs="Times New Roman"/>
          <w:szCs w:val="24"/>
        </w:rPr>
      </w:pPr>
      <w:r>
        <w:rPr>
          <w:rFonts w:eastAsia="Times New Roman" w:cs="Times New Roman"/>
          <w:szCs w:val="24"/>
        </w:rPr>
        <w:t>Filimonau, V. and Magklaropoulou, A., 2020. Exploring the viability of a new ‘pay-as-you-use’energy management model in budget hotels. International Journal of Hospitality Management, 89, p.102538.</w:t>
      </w:r>
    </w:p>
    <w:p>
      <w:pPr>
        <w:spacing w:line="360" w:lineRule="auto"/>
        <w:jc w:val="both"/>
        <w:rPr>
          <w:rFonts w:eastAsia="Times New Roman" w:cs="Times New Roman"/>
          <w:szCs w:val="24"/>
        </w:rPr>
      </w:pPr>
      <w:r>
        <w:rPr>
          <w:rFonts w:eastAsia="Times New Roman" w:cs="Times New Roman"/>
          <w:szCs w:val="24"/>
        </w:rPr>
        <w:t>Foris, D., Florescu, A., Foris, T. and Barabas, S., 2020. Improving the management of tourist destinations: A new approach to strategic management at the DMO level by integrating lean techniques. Sustainability, 12(23), p.10201.</w:t>
      </w:r>
    </w:p>
    <w:p>
      <w:pPr>
        <w:spacing w:line="360" w:lineRule="auto"/>
        <w:jc w:val="both"/>
        <w:rPr>
          <w:rFonts w:eastAsia="Times New Roman" w:cs="Times New Roman"/>
          <w:szCs w:val="24"/>
        </w:rPr>
      </w:pPr>
      <w:r>
        <w:rPr>
          <w:rFonts w:eastAsia="Times New Roman" w:cs="Times New Roman"/>
          <w:szCs w:val="24"/>
        </w:rPr>
        <w:t>Fu, S., Cheng, X., Bao, Y., Bilgihan, A. and Okumus, F., 2021. Staying in a hotel or peer-to-peer accommodation sharing? A discrete choice experiment with online reviews and discount strategies. Internet Research, 31(2), pp.654-676.</w:t>
      </w:r>
    </w:p>
    <w:p>
      <w:pPr>
        <w:spacing w:line="360" w:lineRule="auto"/>
        <w:jc w:val="both"/>
        <w:rPr>
          <w:rFonts w:eastAsia="Times New Roman" w:cs="Times New Roman"/>
          <w:szCs w:val="24"/>
        </w:rPr>
      </w:pPr>
      <w:r>
        <w:rPr>
          <w:rFonts w:eastAsia="Times New Roman" w:cs="Times New Roman"/>
          <w:szCs w:val="24"/>
        </w:rPr>
        <w:t>John-Eke, E.C. and Eke, J.K., 2020. Strategic planning and crisis management styles in organisations: A review of related literature. Journal of Strategic Management, 5(1), pp.36-46.</w:t>
      </w:r>
    </w:p>
    <w:p>
      <w:pPr>
        <w:pStyle w:val="33"/>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Johnson, G., Whittington, R., Regnér, P., Angwin, D. and Scholes, K., 2020. Exploring strategy. Pearson UK.</w:t>
      </w:r>
    </w:p>
    <w:p>
      <w:pPr>
        <w:spacing w:line="360" w:lineRule="auto"/>
        <w:jc w:val="both"/>
        <w:rPr>
          <w:rFonts w:eastAsia="Times New Roman" w:cs="Times New Roman"/>
          <w:szCs w:val="24"/>
        </w:rPr>
      </w:pPr>
      <w:r>
        <w:rPr>
          <w:rFonts w:eastAsia="Times New Roman" w:cs="Times New Roman"/>
          <w:szCs w:val="24"/>
        </w:rPr>
        <w:t>Johnson, G., Whittington, R., Regnér, P., Angwin, D. and Scholes, K., 2020. Exploring strategy. Pearson UK.</w:t>
      </w:r>
    </w:p>
    <w:p>
      <w:pPr>
        <w:spacing w:line="360" w:lineRule="auto"/>
        <w:jc w:val="both"/>
        <w:rPr>
          <w:rFonts w:eastAsia="Times New Roman" w:cs="Times New Roman"/>
          <w:szCs w:val="24"/>
        </w:rPr>
      </w:pPr>
      <w:r>
        <w:rPr>
          <w:rFonts w:eastAsia="Times New Roman" w:cs="Times New Roman"/>
          <w:szCs w:val="24"/>
        </w:rPr>
        <w:t>Khalifa, G.S., 2020. Factors affecting tourism organisation competitiveness: Implications for the Egyptian tourism industry. African Journal of Hospitality, Tourism and Leisure, 9(3), pp.116-130.</w:t>
      </w:r>
    </w:p>
    <w:p>
      <w:pPr>
        <w:spacing w:line="360" w:lineRule="auto"/>
        <w:jc w:val="both"/>
        <w:rPr>
          <w:rFonts w:eastAsia="Times New Roman" w:cs="Times New Roman"/>
          <w:szCs w:val="24"/>
        </w:rPr>
      </w:pPr>
      <w:r>
        <w:rPr>
          <w:rFonts w:eastAsia="Times New Roman" w:cs="Times New Roman"/>
          <w:szCs w:val="24"/>
        </w:rPr>
        <w:t>MacKenzie, N. and Gannon, M.J., 2019. Exploring the antecedents of sustainable tourism development. International Journal of Contemporary Hospitality Management, 31(6), pp.2411-2427.</w:t>
      </w:r>
    </w:p>
    <w:p>
      <w:pPr>
        <w:pStyle w:val="33"/>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Munna, A., 2021. Strategic Management, Leadership and Staff Motivation: Literature Review. International Education and Culture Studies, 1(1), pp.21-29.</w:t>
      </w:r>
    </w:p>
    <w:p>
      <w:pPr>
        <w:spacing w:line="360" w:lineRule="auto"/>
        <w:jc w:val="both"/>
        <w:rPr>
          <w:rFonts w:eastAsia="Times New Roman" w:cs="Times New Roman"/>
          <w:szCs w:val="24"/>
        </w:rPr>
      </w:pPr>
      <w:r>
        <w:rPr>
          <w:rFonts w:eastAsia="Times New Roman" w:cs="Times New Roman"/>
          <w:szCs w:val="24"/>
        </w:rPr>
        <w:t>Ntounis, N., Parker, C., Skinner, H., Steadman, C. and Warnaby, G., 2022. Tourism and Hospitality industry resilience during the Covid-19 pandemic: Evidence from England. Current Issues in Tourism, 25(1), pp.46-59.</w:t>
      </w:r>
    </w:p>
    <w:p>
      <w:pPr>
        <w:spacing w:line="360" w:lineRule="auto"/>
        <w:jc w:val="both"/>
        <w:rPr>
          <w:rFonts w:eastAsia="Times New Roman" w:cs="Times New Roman"/>
          <w:szCs w:val="24"/>
        </w:rPr>
      </w:pPr>
      <w:r>
        <w:rPr>
          <w:rFonts w:eastAsia="Times New Roman" w:cs="Times New Roman"/>
          <w:szCs w:val="24"/>
        </w:rPr>
        <w:t>Pappas, N., Caputo, A., Pellegrini, M.M., Marzi, G. and Michopoulou, E., 2021. The complexity of decision-making processes and IoT adoption in accommodation SMEs. Journal of Business Research, 131, pp.573-583.</w:t>
      </w:r>
    </w:p>
    <w:p>
      <w:pPr>
        <w:pStyle w:val="33"/>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Rana, N.P., Barnard, D.J., Baabdullah, A.M., Rees, D. and Roderick, S., 2019. Exploring barriers of m-commerce adoption in SMEs in the UK: Developing a framework using ISM. International Journal of Information Management, 44, pp.141-153.</w:t>
      </w:r>
    </w:p>
    <w:p>
      <w:pPr>
        <w:spacing w:line="360" w:lineRule="auto"/>
        <w:jc w:val="both"/>
        <w:rPr>
          <w:rFonts w:eastAsia="Times New Roman" w:cs="Times New Roman"/>
          <w:szCs w:val="24"/>
        </w:rPr>
      </w:pPr>
      <w:r>
        <w:rPr>
          <w:rFonts w:eastAsia="Times New Roman" w:cs="Times New Roman"/>
          <w:szCs w:val="24"/>
        </w:rPr>
        <w:t>Rodríguez-Antón, J.M. and Alonso-Almeida, M.D.M., 2020. COVID-19 impacts and recovery strategies: The case of the hospitality industry in Spain. Sustainability, 12(20), p.8599.</w:t>
      </w:r>
    </w:p>
    <w:p>
      <w:pPr>
        <w:spacing w:line="360" w:lineRule="auto"/>
        <w:jc w:val="both"/>
        <w:rPr>
          <w:rFonts w:eastAsia="Times New Roman" w:cs="Times New Roman"/>
          <w:szCs w:val="24"/>
        </w:rPr>
      </w:pPr>
      <w:r>
        <w:rPr>
          <w:rFonts w:eastAsia="Times New Roman" w:cs="Times New Roman"/>
          <w:szCs w:val="24"/>
        </w:rPr>
        <w:t>Rubio-Mozos, E., García-Muiña, F.E. and Fuentes-Moraleda, L., 2020. Sustainable strategic management model for hotel companies: A multi-stakeholder proposal to “walk the talk” toward SDGS. Sustainability, 12(20), p.8652.</w:t>
      </w:r>
    </w:p>
    <w:p>
      <w:pPr>
        <w:spacing w:line="360" w:lineRule="auto"/>
        <w:jc w:val="both"/>
        <w:rPr>
          <w:rFonts w:eastAsia="Times New Roman" w:cs="Times New Roman"/>
          <w:szCs w:val="24"/>
        </w:rPr>
      </w:pPr>
      <w:r>
        <w:rPr>
          <w:rFonts w:eastAsia="Times New Roman" w:cs="Times New Roman"/>
          <w:szCs w:val="24"/>
        </w:rPr>
        <w:t>Seraphin, H. and Ivanov, S., 2020. Overtourism: A revenue management perspective. Journal of Revenue and Pricing Management, 19, pp.146-150.</w:t>
      </w:r>
    </w:p>
    <w:p>
      <w:pPr>
        <w:spacing w:line="360" w:lineRule="auto"/>
        <w:jc w:val="both"/>
        <w:rPr>
          <w:rFonts w:eastAsia="Times New Roman" w:cs="Times New Roman"/>
          <w:szCs w:val="24"/>
        </w:rPr>
      </w:pPr>
      <w:r>
        <w:rPr>
          <w:rFonts w:eastAsia="Times New Roman" w:cs="Times New Roman"/>
          <w:szCs w:val="24"/>
        </w:rPr>
        <w:t>Seraphin, H. and Yallop, A., 2020. An analysis of children’s play in resort mini-clubs: potential strategic implications for the hospitality and tourism industry. World Leisure Journal, 62(2), pp.114-131.</w:t>
      </w:r>
    </w:p>
    <w:p>
      <w:pPr>
        <w:pStyle w:val="33"/>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Subramoniam, R., Sundin, E., Subramoniam, S. and Huisingh, D., 2021. Riding the digital product life cycle waves towards a circular economy. Sustainability, 13(16), p.8960.</w:t>
      </w:r>
    </w:p>
    <w:p>
      <w:pPr>
        <w:spacing w:line="360" w:lineRule="auto"/>
        <w:jc w:val="both"/>
        <w:rPr>
          <w:rFonts w:eastAsia="Times New Roman" w:cs="Times New Roman"/>
          <w:szCs w:val="24"/>
        </w:rPr>
      </w:pPr>
      <w:r>
        <w:rPr>
          <w:rFonts w:eastAsia="Times New Roman" w:cs="Times New Roman"/>
          <w:szCs w:val="24"/>
        </w:rPr>
        <w:t>Vasileiou, K., Barnett, J., Barreto, M., Vines, J., Atkinson, M., Long, K., Bakewell, L., Lawson, S. and Wilson, M., 2019. Coping with loneliness at university: A qualitative interview study with students in the UK. Mental Health &amp; Prevention, 13, pp.21-30.</w:t>
      </w:r>
    </w:p>
    <w:p>
      <w:pPr>
        <w:pStyle w:val="33"/>
        <w:spacing w:line="360" w:lineRule="auto"/>
        <w:jc w:val="both"/>
        <w:rPr>
          <w:rFonts w:ascii="Times New Roman" w:eastAsia="Times New Roman" w:cs="Times New Roman" w:hAnsi="Times New Roman"/>
          <w:sz w:val="24"/>
          <w:szCs w:val="24"/>
        </w:rPr>
      </w:pPr>
    </w:p>
    <w:p>
      <w:pPr>
        <w:pStyle w:val="33"/>
        <w:spacing w:line="360" w:lineRule="auto"/>
        <w:jc w:val="both"/>
        <w:rPr>
          <w:rFonts w:ascii="Times New Roman" w:eastAsia="Times New Roman" w:cs="Times New Roman" w:hAnsi="Times New Roman"/>
          <w:b/>
          <w:sz w:val="24"/>
          <w:szCs w:val="24"/>
        </w:rPr>
      </w:pPr>
      <w:r>
        <w:rPr>
          <w:rFonts w:ascii="Times New Roman" w:eastAsia="Times New Roman" w:cs="Times New Roman" w:hAnsi="Times New Roman"/>
          <w:b/>
          <w:sz w:val="24"/>
          <w:szCs w:val="24"/>
        </w:rPr>
        <w:t>Websites</w:t>
      </w:r>
    </w:p>
    <w:p>
      <w:pPr>
        <w:spacing w:line="360" w:lineRule="auto"/>
        <w:jc w:val="both"/>
        <w:rPr>
          <w:rFonts w:eastAsia="Times New Roman" w:cs="Times New Roman"/>
          <w:szCs w:val="24"/>
        </w:rPr>
      </w:pPr>
      <w:r>
        <w:rPr>
          <w:rFonts w:eastAsia="Times New Roman" w:cs="Times New Roman"/>
          <w:szCs w:val="24"/>
        </w:rPr>
        <w:t xml:space="preserve">Ihgplc.com, 2023, </w:t>
      </w:r>
      <w:r>
        <w:rPr>
          <w:rFonts w:eastAsia="Times New Roman" w:cs="Times New Roman"/>
          <w:i/>
          <w:szCs w:val="24"/>
        </w:rPr>
        <w:t xml:space="preserve"> “CORPORATE RESPONSIBILITY REPORT”</w:t>
      </w:r>
      <w:r>
        <w:rPr>
          <w:rFonts w:eastAsia="Times New Roman" w:cs="Times New Roman"/>
          <w:szCs w:val="24"/>
        </w:rPr>
        <w:t>. Accessed on: 11th March 2023. From: https://www.ihgplc.com/en/-/media/18CADA4624B24E9A9915DE5BB8504B23.ashx</w:t>
      </w:r>
    </w:p>
    <w:p>
      <w:pPr>
        <w:pStyle w:val="33"/>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Ihgplc.com, 2023, </w:t>
      </w:r>
      <w:r>
        <w:rPr>
          <w:rFonts w:ascii="Times New Roman" w:eastAsia="Times New Roman" w:cs="Times New Roman" w:hAnsi="Times New Roman"/>
          <w:i/>
          <w:sz w:val="24"/>
          <w:szCs w:val="24"/>
        </w:rPr>
        <w:t>“Our history”</w:t>
      </w:r>
      <w:r>
        <w:rPr>
          <w:rFonts w:ascii="Times New Roman" w:eastAsia="Times New Roman" w:cs="Times New Roman" w:hAnsi="Times New Roman"/>
          <w:sz w:val="24"/>
          <w:szCs w:val="24"/>
        </w:rPr>
        <w:t>.  Accessed on 10th March 2023. From: https://www.ihgplc.com/en/about-us/our-history</w:t>
      </w:r>
    </w:p>
    <w:p>
      <w:pPr>
        <w:spacing w:line="360" w:lineRule="auto"/>
        <w:jc w:val="both"/>
        <w:rPr>
          <w:rFonts w:eastAsia="Times New Roman" w:cs="Times New Roman"/>
          <w:szCs w:val="24"/>
        </w:rPr>
      </w:pPr>
      <w:r>
        <w:rPr>
          <w:rFonts w:eastAsia="Times New Roman" w:cs="Times New Roman"/>
          <w:szCs w:val="24"/>
        </w:rPr>
        <w:t>Ihgplc.com, 2023, “</w:t>
      </w:r>
      <w:r>
        <w:rPr>
          <w:rFonts w:eastAsia="Times New Roman" w:cs="Times New Roman"/>
          <w:i/>
          <w:szCs w:val="24"/>
        </w:rPr>
        <w:t xml:space="preserve">Our strategy for high-quality growth”. </w:t>
      </w:r>
      <w:r>
        <w:rPr>
          <w:rFonts w:eastAsia="Times New Roman" w:cs="Times New Roman"/>
          <w:szCs w:val="24"/>
        </w:rPr>
        <w:t>Accessed on: 11th March 2023. From: https://www.ihgplc.com/en/-/media/A2A04D08E267489893914E5E01279F56.ashx</w:t>
      </w:r>
    </w:p>
    <w:p>
      <w:pPr>
        <w:pStyle w:val="33"/>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Statista.Com, 2023, </w:t>
      </w:r>
      <w:r>
        <w:rPr>
          <w:rFonts w:ascii="Times New Roman" w:eastAsia="Times New Roman" w:cs="Times New Roman" w:hAnsi="Times New Roman"/>
          <w:i/>
          <w:sz w:val="24"/>
          <w:szCs w:val="24"/>
        </w:rPr>
        <w:t>“Income of the InterContinental Hotels Group (IHG) from 2007 to 2021”.</w:t>
      </w:r>
      <w:r>
        <w:rPr>
          <w:rFonts w:ascii="Times New Roman" w:eastAsia="Times New Roman" w:cs="Times New Roman" w:hAnsi="Times New Roman"/>
          <w:sz w:val="24"/>
          <w:szCs w:val="24"/>
        </w:rPr>
        <w:t xml:space="preserve"> Accessed on 10th March 2023. From: https://www.statista.com/statistics/223408/net-income-of-the-intercontinental-hotels-group/</w:t>
      </w:r>
    </w:p>
    <w:p>
      <w:pPr>
        <w:spacing w:line="360" w:lineRule="auto"/>
        <w:jc w:val="both"/>
        <w:rPr>
          <w:rFonts w:eastAsia="Times New Roman" w:cs="Times New Roman"/>
          <w:szCs w:val="24"/>
        </w:rPr>
      </w:pPr>
      <w:r>
        <w:rPr>
          <w:rFonts w:eastAsia="Times New Roman" w:cs="Times New Roman"/>
          <w:szCs w:val="24"/>
        </w:rPr>
        <w:t>Statista.com, 2023, “</w:t>
      </w:r>
      <w:r>
        <w:rPr>
          <w:rFonts w:eastAsia="Times New Roman" w:cs="Times New Roman"/>
          <w:i/>
          <w:szCs w:val="24"/>
        </w:rPr>
        <w:t>InterContinental Hotels Group - statistics &amp; facts”.</w:t>
      </w:r>
      <w:r>
        <w:rPr>
          <w:rFonts w:eastAsia="Times New Roman" w:cs="Times New Roman"/>
          <w:szCs w:val="24"/>
        </w:rPr>
        <w:t xml:space="preserve">  Accessed on: 11th March 2023. From: https://www.statista.com/topics/1905/intercontinental-hotels-group/#topicOverview</w:t>
      </w:r>
    </w:p>
    <w:p>
      <w:pPr>
        <w:pStyle w:val="33"/>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Statista.Com, 2023, </w:t>
      </w:r>
      <w:r>
        <w:rPr>
          <w:rFonts w:ascii="Times New Roman" w:eastAsia="Times New Roman" w:cs="Times New Roman" w:hAnsi="Times New Roman"/>
          <w:i/>
          <w:sz w:val="24"/>
          <w:szCs w:val="24"/>
        </w:rPr>
        <w:t>“The UK economy - Statistics &amp; Facts”.</w:t>
      </w:r>
      <w:r>
        <w:rPr>
          <w:rFonts w:ascii="Times New Roman" w:eastAsia="Times New Roman" w:cs="Times New Roman" w:hAnsi="Times New Roman"/>
          <w:sz w:val="24"/>
          <w:szCs w:val="24"/>
        </w:rPr>
        <w:t xml:space="preserve"> Accessed on 10th March 2023. From: https://www.statista.com/topics/6500/the-british-economy/#topicOverview</w:t>
      </w:r>
    </w:p>
    <w:p>
      <w:pPr>
        <w:pStyle w:val="33"/>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Statista.Com, 2023, </w:t>
      </w:r>
      <w:r>
        <w:rPr>
          <w:rFonts w:ascii="Times New Roman" w:eastAsia="Times New Roman" w:cs="Times New Roman" w:hAnsi="Times New Roman"/>
          <w:i/>
          <w:sz w:val="24"/>
          <w:szCs w:val="24"/>
        </w:rPr>
        <w:t>United Kingdom: Real gross domestic product (GDP) growth rate from 2017 to 2027”.</w:t>
      </w:r>
      <w:r>
        <w:rPr>
          <w:rFonts w:ascii="Times New Roman" w:eastAsia="Times New Roman" w:cs="Times New Roman" w:hAnsi="Times New Roman"/>
          <w:sz w:val="24"/>
          <w:szCs w:val="24"/>
        </w:rPr>
        <w:t xml:space="preserve"> Accessed on 10th March 2023. From: https://www.statista.com/statistics/263613/gross-domestic-product-gdp-growth-rate-in-the-united-kingdom/</w:t>
      </w:r>
    </w:p>
    <w:p>
      <w:pPr>
        <w:spacing w:line="360" w:lineRule="auto"/>
      </w:pPr>
    </w:p>
    <w:p>
      <w:pPr>
        <w:spacing w:line="360" w:lineRule="auto"/>
      </w:pPr>
    </w:p>
    <w:p>
      <w:pPr>
        <w:spacing w:line="360" w:lineRule="auto"/>
      </w:pPr>
    </w:p>
    <w:p>
      <w:pPr>
        <w:rPr>
          <w:lang w:eastAsia="ja-JP"/>
        </w:rPr>
      </w:pPr>
    </w:p>
    <w:p>
      <w:pPr>
        <w:rPr>
          <w:lang w:eastAsia="ja-JP"/>
        </w:rPr>
      </w:pPr>
    </w:p>
    <w:p>
      <w:pPr>
        <w:rPr>
          <w:rFonts w:cs="Times New Roman"/>
          <w:lang w:eastAsia="ja-JP"/>
        </w:rPr>
      </w:pPr>
    </w:p>
    <w:p>
      <w:pPr>
        <w:spacing w:line="360" w:lineRule="auto"/>
        <w:jc w:val="both"/>
        <w:rPr>
          <w:rFonts w:cs="Times New Roman"/>
          <w:szCs w:val="24"/>
        </w:rPr>
      </w:pPr>
    </w:p>
    <w:p>
      <w:pPr>
        <w:pStyle w:val="1"/>
      </w:pPr>
    </w:p>
    <w:p>
      <w:pPr>
        <w:pStyle w:val="1"/>
      </w:pPr>
    </w:p>
    <w:p>
      <w:pPr>
        <w:pStyle w:val="1"/>
      </w:pPr>
    </w:p>
    <w:p>
      <w:pPr>
        <w:rPr>
          <w:lang w:eastAsia="ja-JP"/>
        </w:rPr>
      </w:pPr>
    </w:p>
    <w:p>
      <w:pPr>
        <w:rPr>
          <w:rFonts w:cs="Times New Roman"/>
          <w:szCs w:val="24"/>
        </w:rPr>
      </w:pPr>
    </w:p>
    <w:p>
      <w:pPr>
        <w:rPr>
          <w:rFonts w:cs="Times New Roman"/>
          <w:szCs w:val="24"/>
        </w:rPr>
      </w:pPr>
    </w:p>
    <w:p>
      <w:pPr>
        <w:rPr>
          <w:rFonts w:cs="Times New Roman"/>
          <w:szCs w:val="24"/>
        </w:rPr>
      </w:pPr>
    </w:p>
    <w:sectPr>
      <w:headerReference w:type="default" r:id="rId2"/>
      <w:footerReference w:type="default" r:id="rId3"/>
      <w:pgSz w:w="11906" w:h="16838"/>
      <w:pgMar w:top="1440" w:right="1440" w:bottom="1440" w:left="1440" w:header="708" w:footer="708" w:gutter="0"/>
      <w:pgNumType w:start="0"/>
      <w:titlePg/>
      <w:docGrid w:linePitch="360" w:charSpace="0"/>
    </w:sectPr>
  </w:body>
</w:document>
</file>

<file path=word/fontTable.xml><?xml version="1.0" encoding="utf-8"?>
<w:fonts xmlns:w="http://schemas.openxmlformats.org/wordprocessingml/2006/main" xmlns:r="http://schemas.openxmlformats.org/officeDocument/2006/relationships">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Droid Sans">
    <w:panose1 w:val="00000000000000000000"/>
    <w:charset w:val="00"/>
    <w:family w:val="auto"/>
    <w:pitch w:val="variable"/>
    <w:sig w:usb0="00000000" w:usb1="00000000" w:usb2="00000000" w:usb3="00000000" w:csb0="00000000" w:csb1="00000000"/>
  </w:font>
  <w:font w:name="宋体">
    <w:panose1 w:val="00000000000000000000"/>
    <w:charset w:val="00"/>
    <w:family w:val="auto"/>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LinoLetter-Roman">
    <w:altName w:val="Cambria"/>
    <w:panose1 w:val="00000000000000000000"/>
    <w:charset w:val="00"/>
    <w:family w:val="roman"/>
    <w:pitch w:val="variable"/>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21"/>
      <w:pBdr>
        <w:top w:val="single" w:sz="4" w:space="1" w:color="D9D9D9"/>
      </w:pBdr>
      <w:tabs>
        <w:tab w:val="center" w:pos="4513"/>
        <w:tab w:val="right" w:pos="9026"/>
      </w:tabs>
      <w:jc w:val="right"/>
    </w:pPr>
    <w:r>
      <w:fldChar w:fldCharType="begin"/>
    </w:r>
    <w:r>
      <w:instrText xml:space="preserve"> PAGE   \* MERGEFORMAT </w:instrText>
    </w:r>
    <w:r>
      <w:fldChar w:fldCharType="separate"/>
    </w:r>
    <w:r>
      <w:t>5</w:t>
    </w:r>
    <w:r>
      <w:fldChar w:fldCharType="end"/>
    </w:r>
    <w:r>
      <w:t xml:space="preserve"> | </w:t>
    </w:r>
    <w:r>
      <w:rPr>
        <w:color w:val="7F7F7F"/>
        <w:spacing w:val="60"/>
      </w:rPr>
      <w:t>Page</w:t>
    </w:r>
  </w:p>
  <w:p>
    <w:pPr>
      <w:pStyle w:val="21"/>
      <w:tabs>
        <w:tab w:val="center" w:pos="4513"/>
        <w:tab w:val="right" w:pos="9026"/>
      </w:tabs>
    </w:pPr>
  </w:p>
</w:ftr>
</file>

<file path=word/header1.xml><?xml version="1.0" encoding="utf-8"?>
<w:hd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20"/>
      <w:tabs>
        <w:tab w:val="center" w:pos="4513"/>
        <w:tab w:val="right" w:pos="9026"/>
      </w:tabs>
    </w:pPr>
  </w:p>
  <w:p>
    <w:pPr>
      <w:pStyle w:val="20"/>
      <w:tabs>
        <w:tab w:val="center" w:pos="4513"/>
        <w:tab w:val="right" w:pos="9026"/>
      </w:tabs>
    </w:pPr>
  </w:p>
</w:hdr>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w:abstractNum w:abstractNumId="0">
    <w:nsid w:val="43AB8D8F"/>
    <w:multiLevelType w:val="hybridMultilevel"/>
    <w:tmpl w:val="00000000"/>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1">
    <w:nsid w:val="34C72E40"/>
    <w:multiLevelType w:val="hybridMultilevel"/>
    <w:tmpl w:val="00000000"/>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2">
    <w:nsid w:val="29EDB9D9"/>
    <w:multiLevelType w:val="hybridMultilevel"/>
    <w:tmpl w:val="00000000"/>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3">
    <w:nsid w:val="17CF373A"/>
    <w:multiLevelType w:val="hybridMultilevel"/>
    <w:tmpl w:val="00000000"/>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4">
    <w:nsid w:val="279146A2"/>
    <w:multiLevelType w:val="hybridMultilevel"/>
    <w:tmpl w:val="00000000"/>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5">
    <w:nsid w:val="51B21CEF"/>
    <w:multiLevelType w:val="hybridMultilevel"/>
    <w:tmpl w:val="00000000"/>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6">
    <w:nsid w:val="0B5DA6E6"/>
    <w:multiLevelType w:val="hybridMultilevel"/>
    <w:tmpl w:val="00000000"/>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7">
    <w:nsid w:val="1D7D154D"/>
    <w:multiLevelType w:val="hybridMultilevel"/>
    <w:tmpl w:val="00000000"/>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8">
    <w:nsid w:val="55F30DD8"/>
    <w:multiLevelType w:val="multilevel"/>
    <w:tmpl w:val="7800FF66"/>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9">
    <w:nsid w:val="3D4552E4"/>
    <w:multiLevelType w:val="multilevel"/>
    <w:tmpl w:val="669A9232"/>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10">
    <w:nsid w:val="75660907"/>
    <w:multiLevelType w:val="multilevel"/>
    <w:tmpl w:val="174C183C"/>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11">
    <w:nsid w:val="12445EAD"/>
    <w:multiLevelType w:val="multilevel"/>
    <w:tmpl w:val="B0C63DA8"/>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12">
    <w:nsid w:val="097D29CF"/>
    <w:multiLevelType w:val="multilevel"/>
    <w:tmpl w:val="4DA29DFC"/>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13">
    <w:nsid w:val="7BBC3E56"/>
    <w:multiLevelType w:val="multilevel"/>
    <w:tmpl w:val="4F8AE5C8"/>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14">
    <w:nsid w:val="68E5635D"/>
    <w:multiLevelType w:val="multilevel"/>
    <w:tmpl w:val="54A472E0"/>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15">
    <w:nsid w:val="224B5408"/>
    <w:multiLevelType w:val="multilevel"/>
    <w:tmpl w:val="F5F68D08"/>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16">
    <w:nsid w:val="5ACE51FC"/>
    <w:multiLevelType w:val="multilevel"/>
    <w:tmpl w:val="FDF64C8A"/>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17">
    <w:nsid w:val="53785E91"/>
    <w:multiLevelType w:val="multilevel"/>
    <w:tmpl w:val="67D25494"/>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18">
    <w:nsid w:val="416B784D"/>
    <w:multiLevelType w:val="multilevel"/>
    <w:tmpl w:val="086EDB36"/>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19">
    <w:nsid w:val="41883747"/>
    <w:multiLevelType w:val="multilevel"/>
    <w:tmpl w:val="9C0051EE"/>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20">
    <w:nsid w:val="103A2FD8"/>
    <w:multiLevelType w:val="multilevel"/>
    <w:tmpl w:val="3D3A233A"/>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21">
    <w:nsid w:val="77153083"/>
    <w:multiLevelType w:val="multilevel"/>
    <w:tmpl w:val="A954A2D4"/>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 w:numId="14">
    <w:abstractNumId w:val="13"/>
  </w:num>
  <w:num w:numId="15">
    <w:abstractNumId w:val="14"/>
  </w:num>
  <w:num w:numId="16">
    <w:abstractNumId w:val="15"/>
  </w:num>
  <w:num w:numId="17">
    <w:abstractNumId w:val="16"/>
  </w:num>
  <w:num w:numId="18">
    <w:abstractNumId w:val="17"/>
  </w:num>
  <w:num w:numId="19">
    <w:abstractNumId w:val="18"/>
  </w:num>
  <w:num w:numId="20">
    <w:abstractNumId w:val="19"/>
  </w:num>
  <w:num w:numId="21">
    <w:abstractNumId w:val="20"/>
  </w:num>
  <w:num w:numId="22">
    <w:abstractNumId w:val="21"/>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36"/>
  <w:bordersDoNotSurroundHeader/>
  <w:bordersDoNotSurroundFooter/>
  <w:defaultTabStop w:val="720"/>
  <w:drawingGridHorizontalSpacing w:val="120"/>
  <w:drawingGridVerticalSpacing w:val="163"/>
  <w:displayHorizontalDrawingGridEvery w:val="0"/>
  <w:displayVerticalDrawingGridEvery w:val="1"/>
  <w:compat>
    <w:spaceForUL/>
    <w:growAutofit/>
    <w:compatSetting w:name="compatibilityMode" w:uri="http://schemas.microsoft.com/office/word" w:val="14"/>
  </w:compat>
  <w:docVars>
    <w:docVar w:name="__Grammarly_42___1" w:val="H4sIAAAAAAAEAKtWcslP9kxRslIyNDYyNjI3NjMwNjUzMLUwMLFU0lEKTi0uzszPAykwMqwFAL3YQLctAAAA"/>
    <w:docVar w:name="__Grammarly_42____i" w:val="H4sIAAAAAAAEAKtWckksSQxILCpxzi/NK1GyMqwFAAEhoTITAAAA"/>
  </w:docVars>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after="200" w:line="276" w:lineRule="auto"/>
    </w:pPr>
    <w:rPr>
      <w:rFonts w:ascii="Times New Roman" w:eastAsia="Droid Sans" w:cs="Arial" w:hAnsi="Times New Roman"/>
      <w:sz w:val="24"/>
      <w:szCs w:val="22"/>
      <w:lang w:val="en-GB" w:eastAsia="en-US" w:bidi="ar-SA"/>
    </w:rPr>
  </w:style>
  <w:style w:type="paragraph" w:styleId="1">
    <w:name w:val="heading 1"/>
    <w:basedOn w:val="0"/>
    <w:autoRedefine/>
    <w:next w:val="0"/>
    <w:link w:val="1Char"/>
    <w:pPr>
      <w:keepNext/>
      <w:keepLines/>
      <w:spacing w:before="360" w:after="240"/>
      <w:jc w:val="both"/>
      <w:outlineLvl w:val="0"/>
    </w:pPr>
    <w:rPr>
      <w:rFonts w:ascii="Arial" w:eastAsia="宋体" w:cs="Times New Roman" w:hAnsi="Arial"/>
      <w:b/>
      <w:bCs/>
      <w:color w:val="17365D"/>
      <w:szCs w:val="24"/>
      <w:lang w:eastAsia="ja-JP"/>
    </w:rPr>
  </w:style>
  <w:style w:type="character" w:customStyle="1" w:styleId="1Char">
    <w:name w:val="heading 1 Char"/>
    <w:basedOn w:val="10"/>
    <w:link w:val="1"/>
    <w:autoRedefine/>
    <w:rPr>
      <w:rFonts w:ascii="Arial" w:eastAsia="宋体" w:cs="Times New Roman" w:hAnsi="Arial"/>
      <w:b/>
      <w:bCs/>
      <w:color w:val="17365D"/>
      <w:sz w:val="24"/>
      <w:szCs w:val="24"/>
      <w:lang w:val="en-GB" w:eastAsia="ja-JP" w:bidi="ar-SA"/>
    </w:rPr>
  </w:style>
  <w:style w:type="paragraph" w:styleId="2">
    <w:name w:val="heading 2"/>
    <w:basedOn w:val="0"/>
    <w:autoRedefine/>
    <w:next w:val="0"/>
    <w:pPr>
      <w:keepNext/>
      <w:keepLines/>
      <w:spacing w:before="40" w:after="0" w:line="360" w:lineRule="auto"/>
      <w:jc w:val="both"/>
      <w:outlineLvl w:val="1"/>
    </w:pPr>
    <w:rPr>
      <w:rFonts w:ascii="Arial" w:eastAsia="宋体" w:cs="Times New Roman" w:hAnsi="Arial"/>
      <w:b/>
      <w:color w:val="365F91"/>
      <w:szCs w:val="26"/>
      <w:lang w:eastAsia="ja-JP"/>
    </w:rPr>
  </w:style>
  <w:style w:type="paragraph" w:styleId="3">
    <w:name w:val="heading 3"/>
    <w:basedOn w:val="0"/>
    <w:autoRedefine/>
    <w:next w:val="0"/>
    <w:pPr>
      <w:keepNext/>
      <w:keepLines/>
      <w:spacing w:before="240" w:after="240"/>
      <w:jc w:val="both"/>
      <w:outlineLvl w:val="2"/>
    </w:pPr>
    <w:rPr>
      <w:rFonts w:ascii="Arial" w:eastAsia="宋体" w:cs="Times New Roman" w:hAnsi="Arial"/>
      <w:b/>
      <w:color w:val="244061"/>
      <w:szCs w:val="24"/>
    </w:rPr>
  </w:style>
  <w:style w:type="paragraph" w:styleId="4">
    <w:name w:val="heading 4"/>
    <w:basedOn w:val="0"/>
    <w:next w:val="0"/>
    <w:pPr>
      <w:keepNext/>
      <w:keepLines/>
      <w:spacing w:before="40" w:after="0"/>
      <w:outlineLvl w:val="3"/>
    </w:pPr>
    <w:rPr>
      <w:rFonts w:ascii="Arial" w:eastAsia="宋体" w:cs="Times New Roman" w:hAnsi="Arial"/>
      <w:b/>
      <w:iCs/>
      <w:color w:val="632423"/>
    </w:rPr>
  </w:style>
  <w:style w:type="character" w:default="1" w:styleId="10">
    <w:name w:val="Default Paragraph Font"/>
  </w:style>
  <w:style w:type="paragraph" w:customStyle="1" w:styleId="15">
    <w:name w:val="List Paragraph"/>
    <w:basedOn w:val="0"/>
    <w:pPr>
      <w:ind w:left="720"/>
      <w:contextualSpacing/>
    </w:pPr>
  </w:style>
  <w:style w:type="character" w:styleId="16">
    <w:name w:val="Hyperlink"/>
    <w:basedOn w:val="10"/>
    <w:rPr>
      <w:color w:val="0000FF"/>
      <w:u w:val="single"/>
    </w:rPr>
  </w:style>
  <w:style w:type="paragraph" w:styleId="17">
    <w:name w:val="Balloon Text"/>
    <w:basedOn w:val="0"/>
    <w:pPr>
      <w:spacing w:after="0" w:line="240" w:lineRule="auto"/>
    </w:pPr>
    <w:rPr>
      <w:rFonts w:ascii="Tahoma" w:cs="Tahoma" w:hAnsi="Tahoma"/>
      <w:sz w:val="16"/>
      <w:szCs w:val="16"/>
    </w:rPr>
  </w:style>
  <w:style w:type="paragraph" w:customStyle="1" w:styleId="18">
    <w:name w:val="Bibliography"/>
    <w:basedOn w:val="0"/>
    <w:next w:val="0"/>
  </w:style>
  <w:style w:type="paragraph" w:customStyle="1" w:styleId="19">
    <w:name w:val="No Spacing"/>
    <w:pPr>
      <w:spacing w:after="0" w:line="240" w:lineRule="auto"/>
    </w:pPr>
    <w:rPr>
      <w:rFonts w:ascii="Droid Sans" w:eastAsia="宋体" w:cs="Arial" w:hAnsi="Droid Sans"/>
      <w:sz w:val="22"/>
      <w:szCs w:val="22"/>
      <w:lang w:val="en-US" w:eastAsia="ja-JP" w:bidi="ar-SA"/>
    </w:rPr>
  </w:style>
  <w:style w:type="paragraph" w:styleId="20">
    <w:name w:val="header"/>
    <w:basedOn w:val="0"/>
    <w:pPr>
      <w:tabs>
        <w:tab w:val="center" w:pos="4513"/>
        <w:tab w:val="right" w:pos="9026"/>
      </w:tabs>
      <w:spacing w:after="0" w:line="240" w:lineRule="auto"/>
    </w:pPr>
  </w:style>
  <w:style w:type="paragraph" w:styleId="21">
    <w:name w:val="footer"/>
    <w:basedOn w:val="0"/>
    <w:pPr>
      <w:tabs>
        <w:tab w:val="center" w:pos="4513"/>
        <w:tab w:val="right" w:pos="9026"/>
      </w:tabs>
      <w:spacing w:after="0" w:line="240" w:lineRule="auto"/>
    </w:pPr>
  </w:style>
  <w:style w:type="paragraph" w:customStyle="1" w:styleId="22">
    <w:name w:val="TOC Heading"/>
    <w:basedOn w:val="1"/>
    <w:next w:val="0"/>
    <w:pPr>
      <w:spacing w:before="240" w:line="259" w:lineRule="auto"/>
      <w:outlineLvl w:val="9"/>
    </w:pPr>
    <w:rPr>
      <w:rFonts w:ascii="Droid Sans" w:hAnsi="Droid Sans"/>
      <w:b w:val="0"/>
      <w:bCs w:val="0"/>
      <w:color w:val="365F91"/>
      <w:sz w:val="32"/>
      <w:szCs w:val="32"/>
      <w:lang w:eastAsia="en-US"/>
    </w:rPr>
  </w:style>
  <w:style w:type="paragraph" w:styleId="23">
    <w:name w:val="toc 1"/>
    <w:basedOn w:val="0"/>
    <w:autoRedefine/>
    <w:next w:val="0"/>
    <w:pPr>
      <w:spacing w:after="100"/>
    </w:pPr>
  </w:style>
  <w:style w:type="paragraph" w:styleId="24">
    <w:name w:val="toc 2"/>
    <w:basedOn w:val="0"/>
    <w:autoRedefine/>
    <w:next w:val="0"/>
    <w:pPr>
      <w:spacing w:after="100"/>
      <w:ind w:left="220"/>
    </w:pPr>
  </w:style>
  <w:style w:type="character" w:customStyle="1" w:styleId="25">
    <w:name w:val="Unresolved Mention1"/>
    <w:basedOn w:val="10"/>
    <w:rPr>
      <w:color w:val="605E5C"/>
      <w:shd w:val="clear" w:color="auto" w:fill="E1DFDD"/>
    </w:rPr>
  </w:style>
  <w:style w:type="character" w:styleId="26">
    <w:name w:val="FollowedHyperlink"/>
    <w:basedOn w:val="10"/>
    <w:rPr>
      <w:color w:val="800080"/>
      <w:u w:val="single"/>
    </w:rPr>
  </w:style>
  <w:style w:type="character" w:customStyle="1" w:styleId="27">
    <w:name w:val="fontstyle01"/>
    <w:basedOn w:val="10"/>
    <w:rPr>
      <w:rFonts w:ascii="LinoLetter-Roman" w:hAnsi="LinoLetter-Roman"/>
      <w:b w:val="0"/>
      <w:bCs w:val="0"/>
      <w:i w:val="0"/>
      <w:iCs w:val="0"/>
      <w:color w:val="242021"/>
      <w:sz w:val="20"/>
      <w:szCs w:val="20"/>
    </w:rPr>
  </w:style>
  <w:style w:type="paragraph" w:styleId="28">
    <w:name w:val="toc 3"/>
    <w:basedOn w:val="0"/>
    <w:autoRedefine/>
    <w:next w:val="0"/>
    <w:pPr>
      <w:spacing w:after="100"/>
      <w:ind w:left="440"/>
    </w:pPr>
  </w:style>
  <w:style w:type="paragraph" w:styleId="29">
    <w:name w:val="toc 4"/>
    <w:basedOn w:val="0"/>
    <w:autoRedefine/>
    <w:next w:val="0"/>
    <w:pPr>
      <w:spacing w:after="100"/>
      <w:ind w:left="660"/>
    </w:pPr>
  </w:style>
  <w:style w:type="character" w:styleId="30">
    <w:name w:val="annotation reference"/>
    <w:basedOn w:val="10"/>
    <w:rPr>
      <w:sz w:val="16"/>
      <w:szCs w:val="16"/>
    </w:rPr>
  </w:style>
  <w:style w:type="paragraph" w:styleId="31">
    <w:name w:val="annotation text"/>
    <w:basedOn w:val="0"/>
    <w:pPr>
      <w:spacing w:line="240" w:lineRule="auto"/>
    </w:pPr>
    <w:rPr>
      <w:sz w:val="20"/>
      <w:szCs w:val="20"/>
    </w:rPr>
  </w:style>
  <w:style w:type="paragraph" w:styleId="32">
    <w:name w:val="annotation subject"/>
    <w:basedOn w:val="31"/>
    <w:next w:val="31"/>
    <w:rPr>
      <w:b/>
      <w:bCs/>
    </w:rPr>
  </w:style>
  <w:style w:type="paragraph" w:customStyle="1" w:styleId="33">
    <w:name w:val="Normal1"/>
    <w:pPr>
      <w:spacing w:after="0" w:line="276" w:lineRule="auto"/>
    </w:pPr>
    <w:rPr>
      <w:rFonts w:ascii="Arial" w:eastAsia="Arial" w:cs="Arial" w:hAnsi="Arial"/>
      <w:sz w:val="22"/>
      <w:szCs w:val="22"/>
      <w:lang w:val="en-GB" w:eastAsia="en-US" w:bidi="ar-SA"/>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header" Target="header1.xml"/><Relationship Id="rId3" Type="http://schemas.openxmlformats.org/officeDocument/2006/relationships/footer" Target="footer1.xml"/><Relationship Id="rId4" Type="http://schemas.openxmlformats.org/officeDocument/2006/relationships/image" Target="media/2.jpeg"/><Relationship Id="rId5" Type="http://schemas.openxmlformats.org/officeDocument/2006/relationships/image" Target="media/5.jpg"/><Relationship Id="rId6" Type="http://schemas.openxmlformats.org/officeDocument/2006/relationships/image" Target="media/8.png"/><Relationship Id="rId7" Type="http://schemas.openxmlformats.org/officeDocument/2006/relationships/image" Target="media/11.png"/><Relationship Id="rId8" Type="http://schemas.openxmlformats.org/officeDocument/2006/relationships/image" Target="media/40.png"/><Relationship Id="rId9" Type="http://schemas.openxmlformats.org/officeDocument/2006/relationships/styles" Target="styles.xml"/><Relationship Id="rId10" Type="http://schemas.openxmlformats.org/officeDocument/2006/relationships/numbering" Target="numbering.xml"/><Relationship Id="rId11" Type="http://schemas.openxmlformats.org/officeDocument/2006/relationships/fontTable" Target="fontTable.xml"/></Relationships>
</file>

<file path=docProps/app.xml><?xml version="1.0" encoding="utf-8"?>
<Properties xmlns="http://schemas.openxmlformats.org/officeDocument/2006/extended-properties">
  <Template>Normal.eit</Template>
  <TotalTime>24</TotalTime>
  <Application>Yozo_Office</Application>
  <Pages>37</Pages>
  <Words>6271</Words>
  <Characters>35993</Characters>
  <Lines>1085</Lines>
  <Paragraphs>301</Paragraphs>
  <CharactersWithSpaces>42007</CharactersWithSpaces>
</Properties>
</file>

<file path=docProps/core.xml><?xml version="1.0" encoding="utf-8"?>
<cp:coreProperties xmlns:cp="http://schemas.openxmlformats.org/package/2006/metadata/core-properties" xmlns:dc="http://purl.org/dc/elements/1.1/" xmlns:dcterms="http://purl.org/dc/terms/" xmlns:xsi="http://www.w3.org/2001/XMLSchema-instance">
  <dc:title>Marketing Management LCMB 7001</dc:title>
  <dc:subject>Marketing Management Report</dc:subject>
  <dc:creator>Nicole</dc:creator>
  <cp:lastModifiedBy>vivo user</cp:lastModifiedBy>
  <cp:revision>4</cp:revision>
  <cp:lastPrinted>2020-05-15T21:08:00Z</cp:lastPrinted>
  <dcterms:created xsi:type="dcterms:W3CDTF">2023-03-21T15:07:00Z</dcterms:created>
  <dcterms:modified xsi:type="dcterms:W3CDTF">2023-05-01T16:55:50Z</dcterms:modified>
</cp:coreProperties>
</file>