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8D0115" w14:textId="77777777" w:rsidR="00A82F0B" w:rsidRPr="00CB4855" w:rsidRDefault="00A82F0B" w:rsidP="00254922">
      <w:pPr>
        <w:spacing w:line="480" w:lineRule="auto"/>
        <w:rPr>
          <w:rFonts w:ascii="Arial" w:hAnsi="Arial" w:cs="Arial"/>
          <w:sz w:val="24"/>
          <w:szCs w:val="24"/>
        </w:rPr>
      </w:pPr>
    </w:p>
    <w:p w14:paraId="006F3DC0" w14:textId="696344CD" w:rsidR="00A82F0B" w:rsidRPr="00CB4855" w:rsidRDefault="00A82F0B" w:rsidP="00324AA7">
      <w:pPr>
        <w:pStyle w:val="ListParagraph"/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 xml:space="preserve">I acknowledge the use of google scholar (https://scholar.google.com/) between the dates of the </w:t>
      </w:r>
      <w:proofErr w:type="gramStart"/>
      <w:r w:rsidRPr="00CB4855">
        <w:rPr>
          <w:rFonts w:ascii="Arial" w:hAnsi="Arial" w:cs="Arial"/>
          <w:sz w:val="24"/>
          <w:szCs w:val="24"/>
        </w:rPr>
        <w:t>27</w:t>
      </w:r>
      <w:r w:rsidRPr="00CB4855">
        <w:rPr>
          <w:rFonts w:ascii="Arial" w:hAnsi="Arial" w:cs="Arial"/>
          <w:sz w:val="24"/>
          <w:szCs w:val="24"/>
        </w:rPr>
        <w:t>th</w:t>
      </w:r>
      <w:proofErr w:type="gramEnd"/>
      <w:r w:rsidRPr="00CB4855">
        <w:rPr>
          <w:rFonts w:ascii="Arial" w:hAnsi="Arial" w:cs="Arial"/>
          <w:sz w:val="24"/>
          <w:szCs w:val="24"/>
        </w:rPr>
        <w:t xml:space="preserve"> December 2024 to the </w:t>
      </w:r>
      <w:r w:rsidRPr="00CB4855">
        <w:rPr>
          <w:rFonts w:ascii="Arial" w:hAnsi="Arial" w:cs="Arial"/>
          <w:sz w:val="24"/>
          <w:szCs w:val="24"/>
        </w:rPr>
        <w:t>15</w:t>
      </w:r>
      <w:r w:rsidRPr="00CB4855">
        <w:rPr>
          <w:rFonts w:ascii="Arial" w:hAnsi="Arial" w:cs="Arial"/>
          <w:sz w:val="24"/>
          <w:szCs w:val="24"/>
          <w:vertAlign w:val="superscript"/>
        </w:rPr>
        <w:t>th</w:t>
      </w:r>
      <w:r w:rsidRPr="00CB4855">
        <w:rPr>
          <w:rFonts w:ascii="Arial" w:hAnsi="Arial" w:cs="Arial"/>
          <w:sz w:val="24"/>
          <w:szCs w:val="24"/>
        </w:rPr>
        <w:t xml:space="preserve"> of January 2025 to search for relevant papers for </w:t>
      </w:r>
      <w:r w:rsidRPr="00CB4855">
        <w:rPr>
          <w:rFonts w:ascii="Arial" w:hAnsi="Arial" w:cs="Arial"/>
          <w:sz w:val="24"/>
          <w:szCs w:val="24"/>
        </w:rPr>
        <w:t>case studies, theories,</w:t>
      </w:r>
      <w:r w:rsidR="00324AA7">
        <w:rPr>
          <w:rFonts w:ascii="Arial" w:hAnsi="Arial" w:cs="Arial"/>
          <w:sz w:val="24"/>
          <w:szCs w:val="24"/>
        </w:rPr>
        <w:t xml:space="preserve"> </w:t>
      </w:r>
      <w:r w:rsidRPr="00CB4855">
        <w:rPr>
          <w:rFonts w:ascii="Arial" w:hAnsi="Arial" w:cs="Arial"/>
          <w:sz w:val="24"/>
          <w:szCs w:val="24"/>
        </w:rPr>
        <w:t xml:space="preserve">interventions and </w:t>
      </w:r>
      <w:r w:rsidR="00865653">
        <w:rPr>
          <w:rFonts w:ascii="Arial" w:hAnsi="Arial" w:cs="Arial"/>
          <w:sz w:val="24"/>
          <w:szCs w:val="24"/>
        </w:rPr>
        <w:t>journals</w:t>
      </w:r>
      <w:r w:rsidRPr="00CB4855">
        <w:rPr>
          <w:rFonts w:ascii="Arial" w:hAnsi="Arial" w:cs="Arial"/>
          <w:sz w:val="24"/>
          <w:szCs w:val="24"/>
        </w:rPr>
        <w:t>. I confirm that I have not presented any AI generated materials as my own work. I confirm I have copies of my drafts, notes, and other resources I used before, and after the use of AI tools which I may be asked to provide in evidence.</w:t>
      </w:r>
    </w:p>
    <w:p w14:paraId="46A0AE4A" w14:textId="77777777" w:rsidR="00A82F0B" w:rsidRPr="00CB4855" w:rsidRDefault="00A82F0B" w:rsidP="00324AA7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1D4B27ED" w14:textId="37ECCFC4" w:rsidR="00A82F0B" w:rsidRPr="00CB4855" w:rsidRDefault="00A82F0B" w:rsidP="00324AA7">
      <w:pPr>
        <w:pStyle w:val="ListParagraph"/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 xml:space="preserve">I acknowledge the use of google (https://www.google.com/) between the dates of the </w:t>
      </w:r>
      <w:proofErr w:type="gramStart"/>
      <w:r w:rsidRPr="00CB4855">
        <w:rPr>
          <w:rFonts w:ascii="Arial" w:hAnsi="Arial" w:cs="Arial"/>
          <w:sz w:val="24"/>
          <w:szCs w:val="24"/>
        </w:rPr>
        <w:t>2</w:t>
      </w:r>
      <w:r w:rsidRPr="00CB4855">
        <w:rPr>
          <w:rFonts w:ascii="Arial" w:hAnsi="Arial" w:cs="Arial"/>
          <w:sz w:val="24"/>
          <w:szCs w:val="24"/>
        </w:rPr>
        <w:t>7</w:t>
      </w:r>
      <w:r w:rsidRPr="00CB4855">
        <w:rPr>
          <w:rFonts w:ascii="Arial" w:hAnsi="Arial" w:cs="Arial"/>
          <w:sz w:val="24"/>
          <w:szCs w:val="24"/>
          <w:vertAlign w:val="superscript"/>
        </w:rPr>
        <w:t>th</w:t>
      </w:r>
      <w:proofErr w:type="gramEnd"/>
      <w:r w:rsidRPr="00CB4855">
        <w:rPr>
          <w:rFonts w:ascii="Arial" w:hAnsi="Arial" w:cs="Arial"/>
          <w:sz w:val="24"/>
          <w:szCs w:val="24"/>
        </w:rPr>
        <w:t xml:space="preserve"> December 2024 to the </w:t>
      </w:r>
      <w:r w:rsidRPr="00CB4855">
        <w:rPr>
          <w:rFonts w:ascii="Arial" w:hAnsi="Arial" w:cs="Arial"/>
          <w:sz w:val="24"/>
          <w:szCs w:val="24"/>
        </w:rPr>
        <w:t>15</w:t>
      </w:r>
      <w:r w:rsidRPr="00CB4855">
        <w:rPr>
          <w:rFonts w:ascii="Arial" w:hAnsi="Arial" w:cs="Arial"/>
          <w:sz w:val="24"/>
          <w:szCs w:val="24"/>
          <w:vertAlign w:val="superscript"/>
        </w:rPr>
        <w:t>th</w:t>
      </w:r>
      <w:r w:rsidRPr="00CB4855">
        <w:rPr>
          <w:rFonts w:ascii="Arial" w:hAnsi="Arial" w:cs="Arial"/>
          <w:sz w:val="24"/>
          <w:szCs w:val="24"/>
        </w:rPr>
        <w:t xml:space="preserve"> of </w:t>
      </w:r>
      <w:r w:rsidRPr="00CB4855">
        <w:rPr>
          <w:rFonts w:ascii="Arial" w:hAnsi="Arial" w:cs="Arial"/>
          <w:sz w:val="24"/>
          <w:szCs w:val="24"/>
        </w:rPr>
        <w:t>January</w:t>
      </w:r>
      <w:r w:rsidRPr="00CB4855">
        <w:rPr>
          <w:rFonts w:ascii="Arial" w:hAnsi="Arial" w:cs="Arial"/>
          <w:sz w:val="24"/>
          <w:szCs w:val="24"/>
        </w:rPr>
        <w:t xml:space="preserve"> 202</w:t>
      </w:r>
      <w:r w:rsidRPr="00CB4855">
        <w:rPr>
          <w:rFonts w:ascii="Arial" w:hAnsi="Arial" w:cs="Arial"/>
          <w:sz w:val="24"/>
          <w:szCs w:val="24"/>
        </w:rPr>
        <w:t>5</w:t>
      </w:r>
      <w:r w:rsidRPr="00CB4855">
        <w:rPr>
          <w:rFonts w:ascii="Arial" w:hAnsi="Arial" w:cs="Arial"/>
          <w:sz w:val="24"/>
          <w:szCs w:val="24"/>
        </w:rPr>
        <w:t xml:space="preserve"> to search for relevant interventions and different </w:t>
      </w:r>
      <w:r w:rsidRPr="00CB4855">
        <w:rPr>
          <w:rFonts w:ascii="Arial" w:hAnsi="Arial" w:cs="Arial"/>
          <w:sz w:val="24"/>
          <w:szCs w:val="24"/>
        </w:rPr>
        <w:t>theories and case studies</w:t>
      </w:r>
      <w:r w:rsidRPr="00CB4855">
        <w:rPr>
          <w:rFonts w:ascii="Arial" w:hAnsi="Arial" w:cs="Arial"/>
          <w:sz w:val="24"/>
          <w:szCs w:val="24"/>
        </w:rPr>
        <w:t>. I confirm that I have not presented any AI generated materials as my own work. I confirm I have copies of my drafts, notes, and other resources I used before, and after the use of AI tools which I may be asked to provide in evidence.</w:t>
      </w:r>
    </w:p>
    <w:p w14:paraId="6B4982ED" w14:textId="77777777" w:rsidR="00A82F0B" w:rsidRPr="00CB4855" w:rsidRDefault="00A82F0B" w:rsidP="00254922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2D12F7F7" w14:textId="77777777" w:rsidR="00A82F0B" w:rsidRPr="00CB4855" w:rsidRDefault="00A82F0B" w:rsidP="00254922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0E4781FE" w14:textId="77777777" w:rsidR="00A82F0B" w:rsidRPr="00CB4855" w:rsidRDefault="00A82F0B" w:rsidP="00254922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46CAE1F4" w14:textId="77777777" w:rsidR="00A82F0B" w:rsidRPr="00CB4855" w:rsidRDefault="00A82F0B" w:rsidP="00254922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0F1C6103" w14:textId="77777777" w:rsidR="00A82F0B" w:rsidRPr="00CB4855" w:rsidRDefault="00A82F0B" w:rsidP="00254922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14BCE8F8" w14:textId="77777777" w:rsidR="00A82F0B" w:rsidRPr="00CB4855" w:rsidRDefault="00A82F0B" w:rsidP="00254922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3B155ECC" w14:textId="77777777" w:rsidR="00A82F0B" w:rsidRPr="00CB4855" w:rsidRDefault="00A82F0B" w:rsidP="00254922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2E3B61B0" w14:textId="77777777" w:rsidR="00A82F0B" w:rsidRPr="00CB4855" w:rsidRDefault="00A82F0B" w:rsidP="007F0171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48FD916D" w14:textId="5E561764" w:rsidR="00A82F0B" w:rsidRPr="00CB4855" w:rsidRDefault="00A82F0B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rFonts w:ascii="Arial" w:hAnsi="Arial" w:cs="Arial"/>
          <w:sz w:val="24"/>
          <w:szCs w:val="24"/>
          <w:u w:val="single"/>
        </w:rPr>
        <w:t>Bereavement presentation</w:t>
      </w:r>
    </w:p>
    <w:p w14:paraId="7E340B11" w14:textId="18D08B88" w:rsidR="00A82F0B" w:rsidRPr="00CB4855" w:rsidRDefault="00321C13" w:rsidP="00324AA7">
      <w:pPr>
        <w:pStyle w:val="ListParagraph"/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rFonts w:ascii="Arial" w:hAnsi="Arial" w:cs="Arial"/>
          <w:sz w:val="24"/>
          <w:szCs w:val="24"/>
          <w:u w:val="single"/>
        </w:rPr>
        <w:t>Introduction to presentation</w:t>
      </w:r>
    </w:p>
    <w:p w14:paraId="204388FE" w14:textId="1D4F071D" w:rsidR="00321C13" w:rsidRPr="00CB4855" w:rsidRDefault="00012497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noProof/>
        </w:rPr>
        <w:drawing>
          <wp:inline distT="0" distB="0" distL="0" distR="0" wp14:anchorId="7BD096DC" wp14:editId="029B70F9">
            <wp:extent cx="5731510" cy="3223895"/>
            <wp:effectExtent l="0" t="0" r="2540" b="0"/>
            <wp:docPr id="20816975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697572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1C818E" w14:textId="77777777" w:rsidR="00012497" w:rsidRPr="00CB4855" w:rsidRDefault="0001249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Read title and introduce self.</w:t>
      </w:r>
    </w:p>
    <w:p w14:paraId="106FDF98" w14:textId="4476CD16" w:rsidR="00012497" w:rsidRPr="00CB4855" w:rsidRDefault="00B72630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Slide 2: definition</w:t>
      </w:r>
    </w:p>
    <w:p w14:paraId="37C08A5D" w14:textId="6462F4CB" w:rsidR="00050AB6" w:rsidRPr="00CB4855" w:rsidRDefault="00050AB6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drawing>
          <wp:inline distT="0" distB="0" distL="0" distR="0" wp14:anchorId="43560934" wp14:editId="32CBE5D9">
            <wp:extent cx="5731510" cy="3223895"/>
            <wp:effectExtent l="0" t="0" r="2540" b="0"/>
            <wp:docPr id="9965386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538684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69A57" w14:textId="77777777" w:rsidR="00B72630" w:rsidRPr="002A1A91" w:rsidRDefault="00B7263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Definition of Bereavement: "The objective situation of having lost someone significant through death" (Stroebe et al., 2008, p. 4).</w:t>
      </w:r>
    </w:p>
    <w:p w14:paraId="3E7BAAD0" w14:textId="77777777" w:rsidR="00B72630" w:rsidRPr="002A1A91" w:rsidRDefault="00B7263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Bereavement refers to the actual event of losing someone significant, but the emotional and physical reactions follow after the loss.</w:t>
      </w:r>
    </w:p>
    <w:p w14:paraId="2954B1AD" w14:textId="77777777" w:rsidR="00B72630" w:rsidRPr="002A1A91" w:rsidRDefault="00B7263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Grieving Period Includes:</w:t>
      </w:r>
    </w:p>
    <w:p w14:paraId="3130F198" w14:textId="77777777" w:rsidR="00B72630" w:rsidRPr="002A1A91" w:rsidRDefault="00B7263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Sadness: Deep sorrow often felt immediately after loss.</w:t>
      </w:r>
    </w:p>
    <w:p w14:paraId="3DB13374" w14:textId="77777777" w:rsidR="00B72630" w:rsidRPr="002A1A91" w:rsidRDefault="00B7263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Grief: The emotional reaction to the loss, often lasting for months.</w:t>
      </w:r>
    </w:p>
    <w:p w14:paraId="520FBDCF" w14:textId="77777777" w:rsidR="00B72630" w:rsidRPr="002A1A91" w:rsidRDefault="00B7263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Mourning: The outward expression of grief, which can include rituals, behaviours, or social practices.</w:t>
      </w:r>
    </w:p>
    <w:p w14:paraId="40F191C7" w14:textId="77777777" w:rsidR="00B72630" w:rsidRPr="002A1A91" w:rsidRDefault="00B7263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Symptoms:</w:t>
      </w:r>
    </w:p>
    <w:p w14:paraId="0E72687F" w14:textId="77777777" w:rsidR="00B72630" w:rsidRPr="002A1A91" w:rsidRDefault="00B7263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Cognitive: Difficulty concentrating, forgetfulness.</w:t>
      </w:r>
    </w:p>
    <w:p w14:paraId="561F8483" w14:textId="77777777" w:rsidR="00B72630" w:rsidRPr="002A1A91" w:rsidRDefault="00B7263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Behavioural: Withdrawal, changes in routine.</w:t>
      </w:r>
    </w:p>
    <w:p w14:paraId="122B6E29" w14:textId="77777777" w:rsidR="00B72630" w:rsidRPr="002A1A91" w:rsidRDefault="00B7263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Emotional: Sadness, guilt, anger.</w:t>
      </w:r>
    </w:p>
    <w:p w14:paraId="272DC2D5" w14:textId="77777777" w:rsidR="00B72630" w:rsidRPr="00CB4855" w:rsidRDefault="00B7263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Physical: Sleep disturbances, headaches, fatigue.</w:t>
      </w:r>
    </w:p>
    <w:p w14:paraId="0032753D" w14:textId="77777777" w:rsidR="00050AB6" w:rsidRPr="00CB4855" w:rsidRDefault="00050AB6" w:rsidP="00254922">
      <w:pPr>
        <w:spacing w:line="480" w:lineRule="auto"/>
        <w:rPr>
          <w:rFonts w:ascii="Arial" w:hAnsi="Arial" w:cs="Arial"/>
          <w:sz w:val="24"/>
          <w:szCs w:val="24"/>
        </w:rPr>
      </w:pPr>
    </w:p>
    <w:p w14:paraId="607673FC" w14:textId="2E1DF20A" w:rsidR="00050AB6" w:rsidRPr="00CB4855" w:rsidRDefault="00050AB6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Slide 3: What we know</w:t>
      </w:r>
    </w:p>
    <w:p w14:paraId="6C799000" w14:textId="421212D2" w:rsidR="00050AB6" w:rsidRPr="00CB4855" w:rsidRDefault="006E73A6" w:rsidP="00254922">
      <w:pPr>
        <w:pStyle w:val="ListParagraph"/>
        <w:numPr>
          <w:ilvl w:val="0"/>
          <w:numId w:val="16"/>
        </w:numPr>
        <w:tabs>
          <w:tab w:val="left" w:pos="2160"/>
        </w:tabs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lastRenderedPageBreak/>
        <w:drawing>
          <wp:inline distT="0" distB="0" distL="0" distR="0" wp14:anchorId="4A68D04A" wp14:editId="63DA97DE">
            <wp:extent cx="5731510" cy="3223895"/>
            <wp:effectExtent l="0" t="0" r="2540" b="0"/>
            <wp:docPr id="14561498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149834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FA066" w14:textId="77777777" w:rsidR="00B72630" w:rsidRPr="00CB4855" w:rsidRDefault="00B72630" w:rsidP="00254922">
      <w:pPr>
        <w:spacing w:line="480" w:lineRule="auto"/>
        <w:rPr>
          <w:rFonts w:ascii="Arial" w:hAnsi="Arial" w:cs="Arial"/>
          <w:sz w:val="24"/>
          <w:szCs w:val="24"/>
        </w:rPr>
      </w:pPr>
    </w:p>
    <w:p w14:paraId="5B50FFCE" w14:textId="77777777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6-10% of children have experienced the death of a loved one (Kidman et al., 2021).</w:t>
      </w:r>
    </w:p>
    <w:p w14:paraId="4D727261" w14:textId="77777777" w:rsidR="00905490" w:rsidRPr="002A1A91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This statistic shows how common bereavement is in childhood, impacting a significant portion of the population.</w:t>
      </w:r>
    </w:p>
    <w:p w14:paraId="3A9AC656" w14:textId="77777777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Grief is a natural response, but it’s painful and tiring.</w:t>
      </w:r>
    </w:p>
    <w:p w14:paraId="5EB79593" w14:textId="77777777" w:rsidR="00905490" w:rsidRPr="002A1A91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Children may not fully understand the emotions they're experiencing, making grief especially complex.</w:t>
      </w:r>
    </w:p>
    <w:p w14:paraId="43F21B6B" w14:textId="77777777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 xml:space="preserve">Children grieve deeply like </w:t>
      </w:r>
      <w:proofErr w:type="gramStart"/>
      <w:r w:rsidRPr="002A1A91">
        <w:rPr>
          <w:rFonts w:ascii="Arial" w:hAnsi="Arial" w:cs="Arial"/>
          <w:sz w:val="24"/>
          <w:szCs w:val="24"/>
        </w:rPr>
        <w:t>adults, but</w:t>
      </w:r>
      <w:proofErr w:type="gramEnd"/>
      <w:r w:rsidRPr="002A1A91">
        <w:rPr>
          <w:rFonts w:ascii="Arial" w:hAnsi="Arial" w:cs="Arial"/>
          <w:sz w:val="24"/>
          <w:szCs w:val="24"/>
        </w:rPr>
        <w:t xml:space="preserve"> may show it differently.</w:t>
      </w:r>
    </w:p>
    <w:p w14:paraId="3A12AABE" w14:textId="77777777" w:rsidR="00905490" w:rsidRPr="002A1A91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Their emotions are just as intense but may manifest in different ways due to their developmental stage.</w:t>
      </w:r>
    </w:p>
    <w:p w14:paraId="792D10D0" w14:textId="77777777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Intense emotions: sadness, anger, confusion, guilt.</w:t>
      </w:r>
    </w:p>
    <w:p w14:paraId="50EAFAF1" w14:textId="77777777" w:rsidR="00905490" w:rsidRPr="002A1A91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Children may feel overwhelmed and unable to articulate their grief, leading to behavioural changes.</w:t>
      </w:r>
    </w:p>
    <w:p w14:paraId="61A9C14C" w14:textId="1C593A56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 xml:space="preserve">Physical symptoms: fatigue, </w:t>
      </w:r>
      <w:proofErr w:type="spellStart"/>
      <w:r w:rsidRPr="002A1A91">
        <w:rPr>
          <w:rFonts w:ascii="Arial" w:hAnsi="Arial" w:cs="Arial"/>
          <w:sz w:val="24"/>
          <w:szCs w:val="24"/>
        </w:rPr>
        <w:t>stomach</w:t>
      </w:r>
      <w:r w:rsidR="00D17132" w:rsidRPr="00CB4855">
        <w:rPr>
          <w:rFonts w:ascii="Arial" w:hAnsi="Arial" w:cs="Arial"/>
          <w:sz w:val="24"/>
          <w:szCs w:val="24"/>
        </w:rPr>
        <w:t>es</w:t>
      </w:r>
      <w:proofErr w:type="spellEnd"/>
      <w:r w:rsidRPr="002A1A91">
        <w:rPr>
          <w:rFonts w:ascii="Arial" w:hAnsi="Arial" w:cs="Arial"/>
          <w:sz w:val="24"/>
          <w:szCs w:val="24"/>
        </w:rPr>
        <w:t>, sleep disturbances.</w:t>
      </w:r>
    </w:p>
    <w:p w14:paraId="486960F8" w14:textId="77777777" w:rsidR="00905490" w:rsidRPr="002A1A91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Grief can take a physical toll on children, affecting their ability to function.</w:t>
      </w:r>
    </w:p>
    <w:p w14:paraId="0DB9D434" w14:textId="77777777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Grief can be complicated due to developmental stage and lack of coping mechanisms.</w:t>
      </w:r>
    </w:p>
    <w:p w14:paraId="2D0E74A8" w14:textId="77777777" w:rsidR="00905490" w:rsidRPr="002A1A91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Children don’t have the coping strategies adults develop over time, making grief harder for them to process.</w:t>
      </w:r>
    </w:p>
    <w:p w14:paraId="1E9E197D" w14:textId="77777777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Express grief differently: Behaviours like withdrawal, irritability, or aggression.</w:t>
      </w:r>
    </w:p>
    <w:p w14:paraId="32449CB0" w14:textId="77777777" w:rsidR="00905490" w:rsidRPr="002A1A91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Instead of talking about their feelings, children might express grief through their actions.</w:t>
      </w:r>
    </w:p>
    <w:p w14:paraId="0D3BE255" w14:textId="77777777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Long-term grieving process: Takes years to process (Weaver, 2019).</w:t>
      </w:r>
    </w:p>
    <w:p w14:paraId="4D669AEA" w14:textId="77777777" w:rsidR="00905490" w:rsidRPr="002A1A91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Grieving isn’t always something that gets resolved quickly, it may take years, especially without proper support.</w:t>
      </w:r>
    </w:p>
    <w:p w14:paraId="7451DA26" w14:textId="77777777" w:rsidR="00905490" w:rsidRPr="002A1A91" w:rsidRDefault="00905490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Impact on future development: Affects emotional and psychological growth (Burns et al., 2020).</w:t>
      </w:r>
    </w:p>
    <w:p w14:paraId="032AC72A" w14:textId="77777777" w:rsidR="00905490" w:rsidRPr="00CB4855" w:rsidRDefault="00905490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How children process grief can affect their future relationships, coping mechanisms, and mental health.</w:t>
      </w:r>
    </w:p>
    <w:p w14:paraId="2844E4C2" w14:textId="77777777" w:rsidR="00D17132" w:rsidRPr="00CB4855" w:rsidRDefault="00D17132" w:rsidP="00254922">
      <w:pPr>
        <w:spacing w:line="480" w:lineRule="auto"/>
        <w:rPr>
          <w:rFonts w:ascii="Arial" w:hAnsi="Arial" w:cs="Arial"/>
          <w:sz w:val="24"/>
          <w:szCs w:val="24"/>
        </w:rPr>
      </w:pPr>
    </w:p>
    <w:p w14:paraId="4626135C" w14:textId="78E2AB0C" w:rsidR="00D17132" w:rsidRPr="00CB4855" w:rsidRDefault="00D17132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 xml:space="preserve">Slide 4: What we know continued </w:t>
      </w:r>
    </w:p>
    <w:p w14:paraId="70AB02B4" w14:textId="24370608" w:rsidR="002D3177" w:rsidRPr="002A1A91" w:rsidRDefault="00A93C40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lastRenderedPageBreak/>
        <w:drawing>
          <wp:inline distT="0" distB="0" distL="0" distR="0" wp14:anchorId="4AC536B8" wp14:editId="4F096F07">
            <wp:extent cx="4145280" cy="1927860"/>
            <wp:effectExtent l="0" t="0" r="7620" b="0"/>
            <wp:docPr id="18312245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22453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0739" cy="1930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3A9C6" w14:textId="77777777" w:rsidR="002D3177" w:rsidRPr="002A1A91" w:rsidRDefault="002D3177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Uncomplicated Grief: Typical grieving process; children adjust over time with support.</w:t>
      </w:r>
    </w:p>
    <w:p w14:paraId="1AE510D6" w14:textId="77777777" w:rsidR="002D3177" w:rsidRPr="002A1A91" w:rsidRDefault="002D3177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This is the most common type of grief and can be worked through with the right support systems in place.</w:t>
      </w:r>
    </w:p>
    <w:p w14:paraId="60C3979D" w14:textId="77777777" w:rsidR="002D3177" w:rsidRPr="002A1A91" w:rsidRDefault="002D3177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Complicated Grief: Persistent and intense grief; may need professional intervention.</w:t>
      </w:r>
    </w:p>
    <w:p w14:paraId="4A9C52E0" w14:textId="77777777" w:rsidR="002D3177" w:rsidRPr="002A1A91" w:rsidRDefault="002D3177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If grief doesn’t lessen over time or the child becomes stuck in their grief, it could require professional support.</w:t>
      </w:r>
    </w:p>
    <w:p w14:paraId="6A244A57" w14:textId="77777777" w:rsidR="002D3177" w:rsidRPr="002A1A91" w:rsidRDefault="002D3177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Childhood Traumatic Grief: Loss through trauma or violence; may exhibit PTSD-like symptoms.</w:t>
      </w:r>
    </w:p>
    <w:p w14:paraId="0D44EC30" w14:textId="77777777" w:rsidR="002D3177" w:rsidRPr="002A1A91" w:rsidRDefault="002D3177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This type of grief happens after a sudden, violent, or traumatic death, and may cause long-lasting emotional trauma.</w:t>
      </w:r>
    </w:p>
    <w:p w14:paraId="2825953A" w14:textId="77777777" w:rsidR="002D3177" w:rsidRPr="002A1A91" w:rsidRDefault="002D3177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Children's understanding of death:</w:t>
      </w:r>
    </w:p>
    <w:p w14:paraId="44DA96DB" w14:textId="77777777" w:rsidR="002D3177" w:rsidRPr="002A1A91" w:rsidRDefault="002D3177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Age 9+: Death is personal, final, inevitable, and universal (Procaccia et al., 2018).</w:t>
      </w:r>
    </w:p>
    <w:p w14:paraId="10DA1FA9" w14:textId="77777777" w:rsidR="002D3177" w:rsidRPr="002A1A91" w:rsidRDefault="002D3177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Around age 9, children begin to understand the finality and inevitability of death.</w:t>
      </w:r>
    </w:p>
    <w:p w14:paraId="1AFD508B" w14:textId="77777777" w:rsidR="002D3177" w:rsidRPr="002A1A91" w:rsidRDefault="002D3177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Age 10-12: May see death as punishment, leading to guilt (Venkatesan, 2022).</w:t>
      </w:r>
    </w:p>
    <w:p w14:paraId="0307962D" w14:textId="77777777" w:rsidR="002D3177" w:rsidRPr="002A1A91" w:rsidRDefault="002D3177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Older children might struggle with feelings of guilt, believing they caused the death or that it was a form of punishment.</w:t>
      </w:r>
    </w:p>
    <w:p w14:paraId="5519003B" w14:textId="77777777" w:rsidR="002D3177" w:rsidRPr="002A1A91" w:rsidRDefault="002D3177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Developmental shifts in understanding affect their coping and emotional response.</w:t>
      </w:r>
    </w:p>
    <w:p w14:paraId="59280DEC" w14:textId="3F65F08A" w:rsidR="002D3177" w:rsidRPr="00CB4855" w:rsidRDefault="002D317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Slide 5:</w:t>
      </w:r>
      <w:r w:rsidR="00915431" w:rsidRPr="00CB4855">
        <w:rPr>
          <w:rFonts w:ascii="Arial" w:hAnsi="Arial" w:cs="Arial"/>
          <w:sz w:val="24"/>
          <w:szCs w:val="24"/>
        </w:rPr>
        <w:t xml:space="preserve"> theory 1</w:t>
      </w:r>
    </w:p>
    <w:p w14:paraId="082DEDF2" w14:textId="27AE2B88" w:rsidR="00915431" w:rsidRPr="00CB4855" w:rsidRDefault="00915431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drawing>
          <wp:inline distT="0" distB="0" distL="0" distR="0" wp14:anchorId="5FC8C809" wp14:editId="0E126E7B">
            <wp:extent cx="5608458" cy="3154680"/>
            <wp:effectExtent l="0" t="0" r="0" b="7620"/>
            <wp:docPr id="1449812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8120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8942" cy="3154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1C2C7" w14:textId="77777777" w:rsidR="00E611C6" w:rsidRPr="002A1A91" w:rsidRDefault="00E611C6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Five Stages of Grief (Kübler-Ross, 1969):</w:t>
      </w:r>
    </w:p>
    <w:p w14:paraId="3D09F461" w14:textId="77777777" w:rsidR="00E611C6" w:rsidRPr="002A1A91" w:rsidRDefault="00E611C6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Denial: Numbness or disbelief, struggling to accept the loss.</w:t>
      </w:r>
    </w:p>
    <w:p w14:paraId="41F10DE5" w14:textId="77777777" w:rsidR="00E611C6" w:rsidRPr="002A1A91" w:rsidRDefault="00E611C6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The initial reaction is shock, and they may avoid acknowledging the loss.</w:t>
      </w:r>
    </w:p>
    <w:p w14:paraId="57AEF02B" w14:textId="77777777" w:rsidR="00E611C6" w:rsidRPr="002A1A91" w:rsidRDefault="00E611C6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Anger: Frustration or rage, directed at others, self, or the deceased.</w:t>
      </w:r>
    </w:p>
    <w:p w14:paraId="6D4083A0" w14:textId="77777777" w:rsidR="00E611C6" w:rsidRPr="002A1A91" w:rsidRDefault="00E611C6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Children might feel angry about the loss and may not know how to express it appropriately.</w:t>
      </w:r>
    </w:p>
    <w:p w14:paraId="5F068171" w14:textId="77777777" w:rsidR="00E611C6" w:rsidRPr="002A1A91" w:rsidRDefault="00E611C6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Bargaining: Making deals to reverse or lessen the loss.</w:t>
      </w:r>
    </w:p>
    <w:p w14:paraId="17A0B0AF" w14:textId="77777777" w:rsidR="00E611C6" w:rsidRPr="002A1A91" w:rsidRDefault="00E611C6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They may mentally "bargain," asking for things to be different or wishing for the situation to be reversed.</w:t>
      </w:r>
    </w:p>
    <w:p w14:paraId="0AA6DAE1" w14:textId="77777777" w:rsidR="00E611C6" w:rsidRPr="002A1A91" w:rsidRDefault="00E611C6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Depression: Deep sadness, regret, and emotional exhaustion.</w:t>
      </w:r>
    </w:p>
    <w:p w14:paraId="3E27B125" w14:textId="77777777" w:rsidR="00E611C6" w:rsidRPr="002A1A91" w:rsidRDefault="00E611C6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This stage involves a period of intense sadness and mourning, sometimes leading to emotional exhaustion.</w:t>
      </w:r>
    </w:p>
    <w:p w14:paraId="13C3B641" w14:textId="77777777" w:rsidR="00E611C6" w:rsidRPr="002A1A91" w:rsidRDefault="00E611C6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Acceptance: Coming to terms with the loss, finding a way to move forward.</w:t>
      </w:r>
    </w:p>
    <w:p w14:paraId="56339EF9" w14:textId="77777777" w:rsidR="00E611C6" w:rsidRPr="002A1A91" w:rsidRDefault="00E611C6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Eventually, the child starts to accept the loss and learn how to continue with life without that person.</w:t>
      </w:r>
    </w:p>
    <w:p w14:paraId="15669B9D" w14:textId="77777777" w:rsidR="00E611C6" w:rsidRPr="002A1A91" w:rsidRDefault="00E611C6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Criticisms:</w:t>
      </w:r>
    </w:p>
    <w:p w14:paraId="1C6C91C1" w14:textId="77777777" w:rsidR="00E611C6" w:rsidRPr="002A1A91" w:rsidRDefault="00E611C6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The stages are too linear and simplistic.</w:t>
      </w:r>
    </w:p>
    <w:p w14:paraId="0C206A0A" w14:textId="77777777" w:rsidR="00E611C6" w:rsidRPr="002A1A91" w:rsidRDefault="00E611C6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Grief doesn’t always follow a predictable or linear path, and individuals can experience stages out of order or revisit stages.</w:t>
      </w:r>
    </w:p>
    <w:p w14:paraId="5290BBB4" w14:textId="77777777" w:rsidR="00E611C6" w:rsidRPr="002A1A91" w:rsidRDefault="00E611C6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Doesn’t account for extended grief: Grief can cycle and not follow a predictable order.</w:t>
      </w:r>
    </w:p>
    <w:p w14:paraId="157DB977" w14:textId="77777777" w:rsidR="00E611C6" w:rsidRPr="002A1A91" w:rsidRDefault="00E611C6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In real life, grief may not follow the stages in order, and some may experience grief in a cyclical manner.</w:t>
      </w:r>
    </w:p>
    <w:p w14:paraId="1340D23D" w14:textId="77777777" w:rsidR="00E611C6" w:rsidRPr="002A1A91" w:rsidRDefault="00E611C6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Helpful for structured understanding, but not always reflective of reality.</w:t>
      </w:r>
    </w:p>
    <w:p w14:paraId="3D6CC797" w14:textId="1EDE8B44" w:rsidR="00E611C6" w:rsidRPr="00CB4855" w:rsidRDefault="00E611C6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Slide 6: theory 2</w:t>
      </w:r>
    </w:p>
    <w:p w14:paraId="1A7940A3" w14:textId="02D1D886" w:rsidR="00E611C6" w:rsidRPr="00CB4855" w:rsidRDefault="00E611C6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lastRenderedPageBreak/>
        <w:drawing>
          <wp:inline distT="0" distB="0" distL="0" distR="0" wp14:anchorId="476C3F08" wp14:editId="05180B6A">
            <wp:extent cx="5731510" cy="3223895"/>
            <wp:effectExtent l="0" t="0" r="2540" b="0"/>
            <wp:docPr id="13465001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500156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1E206" w14:textId="77777777" w:rsidR="00BF2531" w:rsidRPr="002A1A91" w:rsidRDefault="00BF2531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Tasks of Mourning (Worden, 2009):</w:t>
      </w:r>
    </w:p>
    <w:p w14:paraId="1B88C052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Accept: Coming to terms with the reality of the loss.</w:t>
      </w:r>
    </w:p>
    <w:p w14:paraId="6846CFD8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This involves acknowledging the loss and the associated emotions.</w:t>
      </w:r>
    </w:p>
    <w:p w14:paraId="7FA08B4C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Experience: Actively processing the emotional pain.</w:t>
      </w:r>
    </w:p>
    <w:p w14:paraId="4D0CF026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The child must feel the grief and process the painful emotions involved.</w:t>
      </w:r>
    </w:p>
    <w:p w14:paraId="0465C04B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Adjust: Learning to live without the deceased.</w:t>
      </w:r>
    </w:p>
    <w:p w14:paraId="4E8EB298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This task involves adjusting one’s life to the absence of the person and finding new ways to cope.</w:t>
      </w:r>
    </w:p>
    <w:p w14:paraId="536657A5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Relocate: Forming a new enduring connection as one moves forward.</w:t>
      </w:r>
    </w:p>
    <w:p w14:paraId="183D3A66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Children learn to honour the memory of the deceased while also moving forward in life.</w:t>
      </w:r>
    </w:p>
    <w:p w14:paraId="7FF60C47" w14:textId="77777777" w:rsidR="00BF2531" w:rsidRPr="002A1A91" w:rsidRDefault="00BF2531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Research:</w:t>
      </w:r>
    </w:p>
    <w:p w14:paraId="1D420CF6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Clear framework for grief (</w:t>
      </w:r>
      <w:proofErr w:type="spellStart"/>
      <w:r w:rsidRPr="002A1A91">
        <w:rPr>
          <w:rFonts w:ascii="Arial" w:hAnsi="Arial" w:cs="Arial"/>
          <w:sz w:val="24"/>
          <w:szCs w:val="24"/>
        </w:rPr>
        <w:t>Malkinson</w:t>
      </w:r>
      <w:proofErr w:type="spellEnd"/>
      <w:r w:rsidRPr="002A1A91">
        <w:rPr>
          <w:rFonts w:ascii="Arial" w:hAnsi="Arial" w:cs="Arial"/>
          <w:sz w:val="24"/>
          <w:szCs w:val="24"/>
        </w:rPr>
        <w:t xml:space="preserve"> et al., 2023).</w:t>
      </w:r>
    </w:p>
    <w:p w14:paraId="09F7F4F0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Worden’s framework provides a clear, structured approach to understanding mourning.</w:t>
      </w:r>
    </w:p>
    <w:p w14:paraId="087C5E2D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Useful for supporting children (Aoun et al., 2021).</w:t>
      </w:r>
    </w:p>
    <w:p w14:paraId="2635A6A9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This model can be particularly useful for guiding children through grief, as it focuses on active mourning.</w:t>
      </w:r>
    </w:p>
    <w:p w14:paraId="734771B7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Encourages active grieving (Maciejewski et al., 2022).</w:t>
      </w:r>
    </w:p>
    <w:p w14:paraId="16E26EE5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Active grieving, where the child engages with their emotions, can help prevent complicated grief.</w:t>
      </w:r>
    </w:p>
    <w:p w14:paraId="07C512F3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Helps find meaning in loss (</w:t>
      </w:r>
      <w:proofErr w:type="spellStart"/>
      <w:r w:rsidRPr="002A1A91">
        <w:rPr>
          <w:rFonts w:ascii="Arial" w:hAnsi="Arial" w:cs="Arial"/>
          <w:sz w:val="24"/>
          <w:szCs w:val="24"/>
        </w:rPr>
        <w:t>Prigerson</w:t>
      </w:r>
      <w:proofErr w:type="spellEnd"/>
      <w:r w:rsidRPr="002A1A91">
        <w:rPr>
          <w:rFonts w:ascii="Arial" w:hAnsi="Arial" w:cs="Arial"/>
          <w:sz w:val="24"/>
          <w:szCs w:val="24"/>
        </w:rPr>
        <w:t xml:space="preserve"> et al., 2021).</w:t>
      </w:r>
    </w:p>
    <w:p w14:paraId="2E7499E5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Understanding and finding meaning in grief can help children adapt to the loss.</w:t>
      </w:r>
    </w:p>
    <w:p w14:paraId="4A40A0B6" w14:textId="77777777" w:rsidR="00BF2531" w:rsidRPr="002A1A91" w:rsidRDefault="00BF2531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Criticisms:</w:t>
      </w:r>
    </w:p>
    <w:p w14:paraId="2C623AA3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Non-linear grief (</w:t>
      </w:r>
      <w:proofErr w:type="spellStart"/>
      <w:r w:rsidRPr="002A1A91">
        <w:rPr>
          <w:rFonts w:ascii="Arial" w:hAnsi="Arial" w:cs="Arial"/>
          <w:sz w:val="24"/>
          <w:szCs w:val="24"/>
        </w:rPr>
        <w:t>Boelen</w:t>
      </w:r>
      <w:proofErr w:type="spellEnd"/>
      <w:r w:rsidRPr="002A1A91">
        <w:rPr>
          <w:rFonts w:ascii="Arial" w:hAnsi="Arial" w:cs="Arial"/>
          <w:sz w:val="24"/>
          <w:szCs w:val="24"/>
        </w:rPr>
        <w:t xml:space="preserve"> et al., 2021).</w:t>
      </w:r>
    </w:p>
    <w:p w14:paraId="4F7054DB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Grief is not always a straight path and can fluctuate over time.</w:t>
      </w:r>
    </w:p>
    <w:p w14:paraId="23744701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Doesn’t address comorbidities (Lundorff et al., 2020).</w:t>
      </w:r>
    </w:p>
    <w:p w14:paraId="3ED4A4FD" w14:textId="77777777" w:rsidR="00BF2531" w:rsidRPr="002A1A91" w:rsidRDefault="00BF2531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The model may not fully address other mental health challenges that children might face alongside grief.</w:t>
      </w:r>
    </w:p>
    <w:p w14:paraId="7ECA5D84" w14:textId="77777777" w:rsidR="00BF2531" w:rsidRPr="002A1A91" w:rsidRDefault="00BF2531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Cultural limitations (Neimeyer, 2020).</w:t>
      </w:r>
    </w:p>
    <w:p w14:paraId="06CA2D8B" w14:textId="34728877" w:rsidR="00BF2531" w:rsidRPr="00CB4855" w:rsidRDefault="00BF2531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lastRenderedPageBreak/>
        <w:t>Different cultures may experience and express grief differently, and this model may not apply universally</w:t>
      </w:r>
    </w:p>
    <w:p w14:paraId="5C2C4E16" w14:textId="354468DC" w:rsidR="00BF2531" w:rsidRPr="00CB4855" w:rsidRDefault="00BF2531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 xml:space="preserve">Slide 7: case study </w:t>
      </w:r>
    </w:p>
    <w:p w14:paraId="7FB23BA2" w14:textId="683802CB" w:rsidR="00BF2531" w:rsidRPr="00CB4855" w:rsidRDefault="00BF2531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drawing>
          <wp:inline distT="0" distB="0" distL="0" distR="0" wp14:anchorId="47D00AAD" wp14:editId="189D0DA4">
            <wp:extent cx="5731510" cy="3223895"/>
            <wp:effectExtent l="0" t="0" r="2540" b="0"/>
            <wp:docPr id="20177123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7712336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68B3B" w14:textId="2F174A61" w:rsidR="001575D7" w:rsidRPr="00CB4855" w:rsidRDefault="001575D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Slide 8 Case study 1:</w:t>
      </w:r>
    </w:p>
    <w:p w14:paraId="614773FC" w14:textId="7F04520F" w:rsidR="001575D7" w:rsidRPr="00CB4855" w:rsidRDefault="001575D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Use screen prompts</w:t>
      </w:r>
    </w:p>
    <w:p w14:paraId="18471E9E" w14:textId="4C69CB0F" w:rsidR="00017706" w:rsidRPr="00CB4855" w:rsidRDefault="00017706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drawing>
          <wp:inline distT="0" distB="0" distL="0" distR="0" wp14:anchorId="119FC99B" wp14:editId="5BF82E8F">
            <wp:extent cx="5731510" cy="3223895"/>
            <wp:effectExtent l="0" t="0" r="2540" b="0"/>
            <wp:docPr id="3258171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817114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45B9FF" w14:textId="77777777" w:rsidR="001575D7" w:rsidRPr="00CB4855" w:rsidRDefault="001575D7" w:rsidP="00254922">
      <w:pPr>
        <w:spacing w:line="480" w:lineRule="auto"/>
        <w:rPr>
          <w:rFonts w:ascii="Arial" w:hAnsi="Arial" w:cs="Arial"/>
          <w:sz w:val="24"/>
          <w:szCs w:val="24"/>
        </w:rPr>
      </w:pPr>
    </w:p>
    <w:p w14:paraId="76F72D1D" w14:textId="27A504B8" w:rsidR="001575D7" w:rsidRPr="00CB4855" w:rsidRDefault="001575D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lastRenderedPageBreak/>
        <w:t>Slide 9: case study 2</w:t>
      </w:r>
    </w:p>
    <w:p w14:paraId="67E41C72" w14:textId="33579E34" w:rsidR="001575D7" w:rsidRPr="00CB4855" w:rsidRDefault="001575D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Use screen prompts</w:t>
      </w:r>
    </w:p>
    <w:p w14:paraId="642F3111" w14:textId="6435F131" w:rsidR="001575D7" w:rsidRPr="00CB4855" w:rsidRDefault="00017706" w:rsidP="00865653">
      <w:pPr>
        <w:pStyle w:val="ListParagraph"/>
        <w:tabs>
          <w:tab w:val="left" w:pos="1848"/>
        </w:tabs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drawing>
          <wp:inline distT="0" distB="0" distL="0" distR="0" wp14:anchorId="0472E0BC" wp14:editId="0F812FBC">
            <wp:extent cx="5731510" cy="3223895"/>
            <wp:effectExtent l="0" t="0" r="2540" b="0"/>
            <wp:docPr id="15821459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145957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E36A2" w14:textId="4E1E75C5" w:rsidR="001575D7" w:rsidRPr="00CB4855" w:rsidRDefault="001575D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Slide 10: case study 3</w:t>
      </w:r>
    </w:p>
    <w:p w14:paraId="646C5ED8" w14:textId="6A10F40B" w:rsidR="001575D7" w:rsidRPr="00CB4855" w:rsidRDefault="001575D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Use screen prompts</w:t>
      </w:r>
    </w:p>
    <w:p w14:paraId="432D423C" w14:textId="01160EC8" w:rsidR="001575D7" w:rsidRPr="00CB4855" w:rsidRDefault="00E529EF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noProof/>
        </w:rPr>
        <w:drawing>
          <wp:inline distT="0" distB="0" distL="0" distR="0" wp14:anchorId="4641C774" wp14:editId="1F13076E">
            <wp:extent cx="5731510" cy="3223895"/>
            <wp:effectExtent l="0" t="0" r="2540" b="0"/>
            <wp:docPr id="18787020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702095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D2DE7" w14:textId="04189A49" w:rsidR="001575D7" w:rsidRPr="00CB4855" w:rsidRDefault="001575D7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CB4855">
        <w:rPr>
          <w:rFonts w:ascii="Arial" w:hAnsi="Arial" w:cs="Arial"/>
          <w:sz w:val="24"/>
          <w:szCs w:val="24"/>
        </w:rPr>
        <w:t>Slide 11: Lifelong impacts</w:t>
      </w:r>
    </w:p>
    <w:p w14:paraId="43479B45" w14:textId="475B302C" w:rsidR="00012497" w:rsidRPr="00865653" w:rsidRDefault="00E529EF" w:rsidP="00865653">
      <w:pPr>
        <w:spacing w:line="480" w:lineRule="auto"/>
        <w:ind w:left="360"/>
        <w:rPr>
          <w:rFonts w:ascii="Arial" w:hAnsi="Arial" w:cs="Arial"/>
          <w:sz w:val="24"/>
          <w:szCs w:val="24"/>
          <w:u w:val="single"/>
        </w:rPr>
      </w:pPr>
      <w:r w:rsidRPr="00CB4855">
        <w:rPr>
          <w:noProof/>
        </w:rPr>
        <w:lastRenderedPageBreak/>
        <w:drawing>
          <wp:inline distT="0" distB="0" distL="0" distR="0" wp14:anchorId="1053EC3E" wp14:editId="48B96DE8">
            <wp:extent cx="5731510" cy="3223895"/>
            <wp:effectExtent l="0" t="0" r="2540" b="0"/>
            <wp:docPr id="207186685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866855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378AA" w14:textId="77777777" w:rsidR="00B43D65" w:rsidRPr="002A1A91" w:rsidRDefault="00B43D65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Increased risk for mental health disorders:</w:t>
      </w:r>
    </w:p>
    <w:p w14:paraId="56C8D857" w14:textId="77777777" w:rsidR="00B43D65" w:rsidRPr="002A1A91" w:rsidRDefault="00B43D6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Depression, anxiety, PTSD, substance abuse.</w:t>
      </w:r>
    </w:p>
    <w:p w14:paraId="72205F7D" w14:textId="77777777" w:rsidR="00B43D65" w:rsidRPr="002A1A91" w:rsidRDefault="00B43D6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Children who do not receive support may develop long-term mental health problems.</w:t>
      </w:r>
    </w:p>
    <w:p w14:paraId="5EFC2F1A" w14:textId="77777777" w:rsidR="00B43D65" w:rsidRPr="002A1A91" w:rsidRDefault="00B43D6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Higher likelihood of psychological distress, insomnia, or addiction.</w:t>
      </w:r>
    </w:p>
    <w:p w14:paraId="0BA7D97B" w14:textId="77777777" w:rsidR="00B43D65" w:rsidRPr="002A1A91" w:rsidRDefault="00B43D6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Without intervention, children may struggle with ongoing distress and sleep disorders.</w:t>
      </w:r>
    </w:p>
    <w:p w14:paraId="414EFFC7" w14:textId="77777777" w:rsidR="00B43D65" w:rsidRPr="002A1A91" w:rsidRDefault="00B43D6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Potential link to diabetes type 1 (Virk et al., 2016).</w:t>
      </w:r>
    </w:p>
    <w:p w14:paraId="0EB742B2" w14:textId="77777777" w:rsidR="00B43D65" w:rsidRPr="002A1A91" w:rsidRDefault="00B43D6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Stress from grief can contribute to physical health problems, such as Type 1 diabetes.</w:t>
      </w:r>
    </w:p>
    <w:p w14:paraId="2786727E" w14:textId="77777777" w:rsidR="00B43D65" w:rsidRPr="002A1A91" w:rsidRDefault="00B43D65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Social implications:</w:t>
      </w:r>
    </w:p>
    <w:p w14:paraId="6BE31EB7" w14:textId="77777777" w:rsidR="00B43D65" w:rsidRPr="002A1A91" w:rsidRDefault="00B43D6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Risk of social isolation, exclusion, or relationship difficulties.</w:t>
      </w:r>
    </w:p>
    <w:p w14:paraId="031E559C" w14:textId="77777777" w:rsidR="00B43D65" w:rsidRPr="002A1A91" w:rsidRDefault="00B43D6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Without proper support, children may withdraw socially, leading to long-term challenges in relationships.</w:t>
      </w:r>
    </w:p>
    <w:p w14:paraId="3DC6F05A" w14:textId="77777777" w:rsidR="00B43D65" w:rsidRPr="002A1A91" w:rsidRDefault="00B43D6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Higher suicide rates in bereaved youth (McLaughlin et al., 2019).</w:t>
      </w:r>
    </w:p>
    <w:p w14:paraId="13FF8CC2" w14:textId="77777777" w:rsidR="00B43D65" w:rsidRPr="002A1A91" w:rsidRDefault="00B43D6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The emotional toll of bereavement can increase the risk of suicide in affected children.</w:t>
      </w:r>
    </w:p>
    <w:p w14:paraId="4DC7B3B6" w14:textId="77777777" w:rsidR="00B43D65" w:rsidRPr="002A1A91" w:rsidRDefault="00B43D65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Long-term consequences:</w:t>
      </w:r>
    </w:p>
    <w:p w14:paraId="014620AB" w14:textId="77777777" w:rsidR="00B43D65" w:rsidRPr="002A1A91" w:rsidRDefault="00B43D6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Emotional struggles persist into adulthood without intervention.</w:t>
      </w:r>
    </w:p>
    <w:p w14:paraId="7A5FE189" w14:textId="77777777" w:rsidR="00B43D65" w:rsidRPr="002A1A91" w:rsidRDefault="00B43D6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Unprocessed grief can lead to chronic issues in adulthood, affecting emotional stability and relationships.</w:t>
      </w:r>
    </w:p>
    <w:p w14:paraId="5CC50A3F" w14:textId="4B5C456C" w:rsidR="00E529EF" w:rsidRPr="00CB4855" w:rsidRDefault="00B43D65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rFonts w:ascii="Arial" w:hAnsi="Arial" w:cs="Arial"/>
          <w:sz w:val="24"/>
          <w:szCs w:val="24"/>
        </w:rPr>
        <w:t>Poor coping strategies lead to more severe mental health issues later in life</w:t>
      </w:r>
    </w:p>
    <w:p w14:paraId="0762A117" w14:textId="796EA2F2" w:rsidR="00E529EF" w:rsidRPr="00CB4855" w:rsidRDefault="00E529EF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rFonts w:ascii="Arial" w:hAnsi="Arial" w:cs="Arial"/>
          <w:sz w:val="24"/>
          <w:szCs w:val="24"/>
          <w:u w:val="single"/>
        </w:rPr>
        <w:t>Slide 12: intervention 1</w:t>
      </w:r>
    </w:p>
    <w:p w14:paraId="23231CF1" w14:textId="61282938" w:rsidR="0094119D" w:rsidRPr="00CB4855" w:rsidRDefault="0094119D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noProof/>
        </w:rPr>
        <w:drawing>
          <wp:inline distT="0" distB="0" distL="0" distR="0" wp14:anchorId="5CC22B93" wp14:editId="2F0469CD">
            <wp:extent cx="5731510" cy="3223895"/>
            <wp:effectExtent l="0" t="0" r="2540" b="0"/>
            <wp:docPr id="11576397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63971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A50B32" w14:textId="77777777" w:rsidR="006B08BD" w:rsidRPr="002A1A91" w:rsidRDefault="006B08BD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Grief Counselling:</w:t>
      </w:r>
    </w:p>
    <w:p w14:paraId="00AB3969" w14:textId="77777777" w:rsidR="006B08BD" w:rsidRPr="002A1A91" w:rsidRDefault="006B08BD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Helps children process loss.</w:t>
      </w:r>
    </w:p>
    <w:p w14:paraId="43C6261E" w14:textId="77777777" w:rsidR="006B08BD" w:rsidRPr="002A1A91" w:rsidRDefault="006B08BD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Grief counselling provides a safe space for children to express and process their feelings.</w:t>
      </w:r>
    </w:p>
    <w:p w14:paraId="23B136DA" w14:textId="77777777" w:rsidR="006B08BD" w:rsidRPr="002A1A91" w:rsidRDefault="006B08BD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Prevents grief from becoming complicated or prolonged.</w:t>
      </w:r>
    </w:p>
    <w:p w14:paraId="609201FD" w14:textId="77777777" w:rsidR="006B08BD" w:rsidRPr="002A1A91" w:rsidRDefault="006B08BD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Early intervention helps to prevent grief from becoming overwhelming or long-lasting.</w:t>
      </w:r>
    </w:p>
    <w:p w14:paraId="5C633AF9" w14:textId="77777777" w:rsidR="006B08BD" w:rsidRPr="002A1A91" w:rsidRDefault="006B08BD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Reduces risk of future emotional distress.</w:t>
      </w:r>
    </w:p>
    <w:p w14:paraId="65DA4A28" w14:textId="77777777" w:rsidR="006B08BD" w:rsidRPr="002A1A91" w:rsidRDefault="006B08BD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Counselling can help children develop coping mechanisms that will benefit them long-term.</w:t>
      </w:r>
    </w:p>
    <w:p w14:paraId="025BC95C" w14:textId="77777777" w:rsidR="006B08BD" w:rsidRPr="002A1A91" w:rsidRDefault="006B08BD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Challenges: Stigma and lack of access to resources.</w:t>
      </w:r>
    </w:p>
    <w:p w14:paraId="16488652" w14:textId="77777777" w:rsidR="006B08BD" w:rsidRPr="002A1A91" w:rsidRDefault="006B08BD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Barriers like stigma around seeking help can make it harder for children to access necessary support.</w:t>
      </w:r>
    </w:p>
    <w:p w14:paraId="2BE5C058" w14:textId="77777777" w:rsidR="00E529EF" w:rsidRPr="00CB4855" w:rsidRDefault="00E529EF" w:rsidP="00254922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254C10B2" w14:textId="55196FAA" w:rsidR="00E529EF" w:rsidRPr="00CB4855" w:rsidRDefault="00E529EF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rFonts w:ascii="Arial" w:hAnsi="Arial" w:cs="Arial"/>
          <w:sz w:val="24"/>
          <w:szCs w:val="24"/>
          <w:u w:val="single"/>
        </w:rPr>
        <w:t>Slide 13: intervention 2</w:t>
      </w:r>
    </w:p>
    <w:p w14:paraId="74C247AA" w14:textId="0CA053B1" w:rsidR="0094119D" w:rsidRPr="00CB4855" w:rsidRDefault="0094119D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noProof/>
        </w:rPr>
        <w:drawing>
          <wp:inline distT="0" distB="0" distL="0" distR="0" wp14:anchorId="7DB7777A" wp14:editId="17BE8196">
            <wp:extent cx="5731510" cy="3223895"/>
            <wp:effectExtent l="0" t="0" r="2540" b="0"/>
            <wp:docPr id="18590574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057407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33574" w14:textId="77777777" w:rsidR="003205B5" w:rsidRPr="002A1A91" w:rsidRDefault="003205B5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Social Support Networks:</w:t>
      </w:r>
    </w:p>
    <w:p w14:paraId="00067DF5" w14:textId="77777777" w:rsidR="003205B5" w:rsidRPr="002A1A91" w:rsidRDefault="003205B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Encourages open expression of grief.</w:t>
      </w:r>
    </w:p>
    <w:p w14:paraId="141AD92D" w14:textId="77777777" w:rsidR="003205B5" w:rsidRPr="002A1A91" w:rsidRDefault="003205B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Having strong social connections, including family and peers, allows children to express grief openly.</w:t>
      </w:r>
    </w:p>
    <w:p w14:paraId="650A5D87" w14:textId="77777777" w:rsidR="003205B5" w:rsidRPr="002A1A91" w:rsidRDefault="003205B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Reduces risk of social isolation and promotes healthy coping.</w:t>
      </w:r>
    </w:p>
    <w:p w14:paraId="59B2E4CB" w14:textId="77777777" w:rsidR="003205B5" w:rsidRPr="002A1A91" w:rsidRDefault="003205B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Feeling supported by others reduces the likelihood of isolation and helps children cope healthily.</w:t>
      </w:r>
    </w:p>
    <w:p w14:paraId="3F0024D3" w14:textId="77777777" w:rsidR="003205B5" w:rsidRPr="002A1A91" w:rsidRDefault="003205B5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Challenges: Family dysfunction, cultural barriers, and unavailability of support.</w:t>
      </w:r>
    </w:p>
    <w:p w14:paraId="03918DC5" w14:textId="77777777" w:rsidR="003205B5" w:rsidRPr="002A1A91" w:rsidRDefault="003205B5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Without functional family dynamics and supportive social structures, children may lack the resources they need.</w:t>
      </w:r>
    </w:p>
    <w:p w14:paraId="3A0FCB67" w14:textId="77777777" w:rsidR="0094119D" w:rsidRPr="00CB4855" w:rsidRDefault="0094119D" w:rsidP="00254922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59F1C63D" w14:textId="0C3EA830" w:rsidR="0094119D" w:rsidRPr="00CB4855" w:rsidRDefault="0094119D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rFonts w:ascii="Arial" w:hAnsi="Arial" w:cs="Arial"/>
          <w:sz w:val="24"/>
          <w:szCs w:val="24"/>
          <w:u w:val="single"/>
        </w:rPr>
        <w:t>Slide 14: challenges and consequences of inadequate support</w:t>
      </w:r>
    </w:p>
    <w:p w14:paraId="1AF79024" w14:textId="2FF8A4FC" w:rsidR="0094119D" w:rsidRPr="00CB4855" w:rsidRDefault="0094119D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noProof/>
        </w:rPr>
        <w:drawing>
          <wp:inline distT="0" distB="0" distL="0" distR="0" wp14:anchorId="70DE2D56" wp14:editId="1D5C5BFE">
            <wp:extent cx="5731510" cy="3223895"/>
            <wp:effectExtent l="0" t="0" r="2540" b="0"/>
            <wp:docPr id="5262305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230554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6FDF8C" w14:textId="77777777" w:rsidR="000E286A" w:rsidRPr="002A1A91" w:rsidRDefault="000E286A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Barriers to intervention:</w:t>
      </w:r>
    </w:p>
    <w:p w14:paraId="49DFFF2F" w14:textId="77777777" w:rsidR="000E286A" w:rsidRPr="002A1A91" w:rsidRDefault="000E286A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Children may lack the social maturity to process grief verbally.</w:t>
      </w:r>
    </w:p>
    <w:p w14:paraId="314D9B8C" w14:textId="77777777" w:rsidR="000E286A" w:rsidRPr="002A1A91" w:rsidRDefault="000E286A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Children may not have the skills to articulate their emotions, making it harder for them to seek help.</w:t>
      </w:r>
    </w:p>
    <w:p w14:paraId="09550BCD" w14:textId="77777777" w:rsidR="000E286A" w:rsidRPr="002A1A91" w:rsidRDefault="000E286A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Family dynamics and emotional availability can affect support.</w:t>
      </w:r>
    </w:p>
    <w:p w14:paraId="1EB264F5" w14:textId="77777777" w:rsidR="000E286A" w:rsidRPr="002A1A91" w:rsidRDefault="000E286A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If families are grieving or emotionally unavailable, children may struggle to get the support they need.</w:t>
      </w:r>
    </w:p>
    <w:p w14:paraId="3CD7C84C" w14:textId="77777777" w:rsidR="000E286A" w:rsidRPr="002A1A91" w:rsidRDefault="000E286A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Stigma around grief or mental health may prevent seeking help.</w:t>
      </w:r>
    </w:p>
    <w:p w14:paraId="3D2BD56A" w14:textId="77777777" w:rsidR="000E286A" w:rsidRPr="002A1A91" w:rsidRDefault="000E286A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Negative views around mental health can prevent children from getting the support they need.</w:t>
      </w:r>
    </w:p>
    <w:p w14:paraId="55A71A20" w14:textId="77777777" w:rsidR="000E286A" w:rsidRPr="002A1A91" w:rsidRDefault="000E286A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Cultural factors may discourage emotional expression.</w:t>
      </w:r>
    </w:p>
    <w:p w14:paraId="06A21692" w14:textId="77777777" w:rsidR="000E286A" w:rsidRPr="002A1A91" w:rsidRDefault="000E286A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Cultural expectations around grief may inhibit children from expressing their emotions openly.</w:t>
      </w:r>
    </w:p>
    <w:p w14:paraId="13488375" w14:textId="77777777" w:rsidR="000E286A" w:rsidRPr="002A1A91" w:rsidRDefault="000E286A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Consequences of failing interventions:</w:t>
      </w:r>
    </w:p>
    <w:p w14:paraId="5FE7DD9E" w14:textId="77777777" w:rsidR="000E286A" w:rsidRPr="002A1A91" w:rsidRDefault="000E286A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Lifelong emotional distress: Chronic anxiety, depression, PTSD.</w:t>
      </w:r>
    </w:p>
    <w:p w14:paraId="5D2DE67D" w14:textId="77777777" w:rsidR="000E286A" w:rsidRPr="002A1A91" w:rsidRDefault="000E286A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Without adequate support, grief can turn into long-term emotional distress.</w:t>
      </w:r>
    </w:p>
    <w:p w14:paraId="44F03F6C" w14:textId="77777777" w:rsidR="000E286A" w:rsidRPr="002A1A91" w:rsidRDefault="000E286A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Increased risk of substance abuse, self-harm, or suicide.</w:t>
      </w:r>
    </w:p>
    <w:p w14:paraId="4FBDEF4B" w14:textId="77777777" w:rsidR="000E286A" w:rsidRPr="002A1A91" w:rsidRDefault="000E286A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Unresolved grief can lead to harmful behaviours as the child grows older.</w:t>
      </w:r>
    </w:p>
    <w:p w14:paraId="44920103" w14:textId="77777777" w:rsidR="000E286A" w:rsidRPr="002A1A91" w:rsidRDefault="000E286A" w:rsidP="00254922">
      <w:pPr>
        <w:numPr>
          <w:ilvl w:val="1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Social isolation leading to relationship difficulties in adulthood.</w:t>
      </w:r>
    </w:p>
    <w:p w14:paraId="303DB817" w14:textId="77777777" w:rsidR="000E286A" w:rsidRPr="002A1A91" w:rsidRDefault="000E286A" w:rsidP="00254922">
      <w:pPr>
        <w:numPr>
          <w:ilvl w:val="2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lastRenderedPageBreak/>
        <w:t>Lack of support can result in isolation, impacting future relationships and mental health.</w:t>
      </w:r>
    </w:p>
    <w:p w14:paraId="64CD48EF" w14:textId="25F948F0" w:rsidR="0094119D" w:rsidRPr="00CB4855" w:rsidRDefault="0094119D" w:rsidP="00254922">
      <w:pPr>
        <w:tabs>
          <w:tab w:val="left" w:pos="2328"/>
        </w:tabs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6FD0DED2" w14:textId="06B94EF6" w:rsidR="0094119D" w:rsidRPr="00CB4855" w:rsidRDefault="0094119D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rFonts w:ascii="Arial" w:hAnsi="Arial" w:cs="Arial"/>
          <w:sz w:val="24"/>
          <w:szCs w:val="24"/>
          <w:u w:val="single"/>
        </w:rPr>
        <w:t>Slide 15: summary &amp; conclusion</w:t>
      </w:r>
    </w:p>
    <w:p w14:paraId="2054F620" w14:textId="69F11C9B" w:rsidR="0094119D" w:rsidRPr="00CB4855" w:rsidRDefault="00265B6B" w:rsidP="00865653">
      <w:pPr>
        <w:pStyle w:val="ListParagraph"/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noProof/>
        </w:rPr>
        <w:drawing>
          <wp:inline distT="0" distB="0" distL="0" distR="0" wp14:anchorId="61E366A9" wp14:editId="32893537">
            <wp:extent cx="5731510" cy="3223895"/>
            <wp:effectExtent l="0" t="0" r="2540" b="0"/>
            <wp:docPr id="7823180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318072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A59FF7" w14:textId="77777777" w:rsidR="00AA13B1" w:rsidRPr="002A1A91" w:rsidRDefault="00AA13B1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Grief in children is a natural yet complex response that is influenced by developmental stages, support systems, and coping strategies.</w:t>
      </w:r>
    </w:p>
    <w:p w14:paraId="49F67051" w14:textId="77777777" w:rsidR="00AA13B1" w:rsidRPr="002A1A91" w:rsidRDefault="00AA13B1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Theories like Kübler-Ross’s Five Stages of Grief and Worden’s Tasks of Mourning help structure our understanding of how children grieve, though they are not always linear or exhaustive.</w:t>
      </w:r>
    </w:p>
    <w:p w14:paraId="0E3FA600" w14:textId="77777777" w:rsidR="00AA13B1" w:rsidRPr="002A1A91" w:rsidRDefault="00AA13B1" w:rsidP="00254922">
      <w:pPr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</w:rPr>
      </w:pPr>
      <w:r w:rsidRPr="002A1A91">
        <w:rPr>
          <w:rFonts w:ascii="Arial" w:hAnsi="Arial" w:cs="Arial"/>
          <w:sz w:val="24"/>
          <w:szCs w:val="24"/>
        </w:rPr>
        <w:t>Early interventions such as grief counselling and strong support networks are essential to helping children process grief.</w:t>
      </w:r>
    </w:p>
    <w:p w14:paraId="18B8B933" w14:textId="3AD01362" w:rsidR="00AA13B1" w:rsidRPr="00564321" w:rsidRDefault="00AA13B1" w:rsidP="00254922">
      <w:pPr>
        <w:pStyle w:val="ListParagraph"/>
        <w:numPr>
          <w:ilvl w:val="0"/>
          <w:numId w:val="16"/>
        </w:num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CB4855">
        <w:rPr>
          <w:rFonts w:ascii="Arial" w:hAnsi="Arial" w:cs="Arial"/>
          <w:sz w:val="24"/>
          <w:szCs w:val="24"/>
        </w:rPr>
        <w:t>Without adequate intervention, children may carry unprocessed grief into adulthood, affecting their emotional well-being and quality of life</w:t>
      </w:r>
    </w:p>
    <w:p w14:paraId="2EECB967" w14:textId="79531485" w:rsidR="00564321" w:rsidRDefault="006712EF" w:rsidP="00254922">
      <w:pPr>
        <w:spacing w:line="480" w:lineRule="auto"/>
        <w:ind w:left="360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Last slides: References</w:t>
      </w:r>
    </w:p>
    <w:p w14:paraId="5CB63C94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lastRenderedPageBreak/>
        <w:t xml:space="preserve">Baker, J. E. (2022). Minimizing the impact of parental grief on children: Parent and family interventions. In </w:t>
      </w:r>
      <w:r w:rsidRPr="00406ACA">
        <w:rPr>
          <w:rFonts w:ascii="Arial" w:hAnsi="Arial" w:cs="Arial"/>
          <w:i/>
          <w:iCs/>
          <w:sz w:val="24"/>
          <w:szCs w:val="24"/>
        </w:rPr>
        <w:t>Death and trauma</w:t>
      </w:r>
      <w:r w:rsidRPr="00406ACA">
        <w:rPr>
          <w:rFonts w:ascii="Arial" w:hAnsi="Arial" w:cs="Arial"/>
          <w:sz w:val="24"/>
          <w:szCs w:val="24"/>
        </w:rPr>
        <w:t xml:space="preserve"> (pp. 139-157). Routledge</w:t>
      </w:r>
    </w:p>
    <w:p w14:paraId="563ED3FA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Aguirre, L. V. C., Jaramillo, A. K., Saucedo Victoria, T. E., &amp; Botero Carvajal, A. (2024). Mental health consequences of parental death and its prevalence in children: A systematic literature review. </w:t>
      </w:r>
      <w:proofErr w:type="spellStart"/>
      <w:r w:rsidRPr="00406ACA">
        <w:rPr>
          <w:rFonts w:ascii="Arial" w:hAnsi="Arial" w:cs="Arial"/>
          <w:i/>
          <w:iCs/>
          <w:sz w:val="24"/>
          <w:szCs w:val="24"/>
        </w:rPr>
        <w:t>Heliyon</w:t>
      </w:r>
      <w:proofErr w:type="spellEnd"/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10</w:t>
      </w:r>
      <w:r w:rsidRPr="00406ACA">
        <w:rPr>
          <w:rFonts w:ascii="Arial" w:hAnsi="Arial" w:cs="Arial"/>
          <w:sz w:val="24"/>
          <w:szCs w:val="24"/>
        </w:rPr>
        <w:t xml:space="preserve">(2), e24999. </w:t>
      </w:r>
      <w:hyperlink r:id="rId38" w:history="1">
        <w:r w:rsidRPr="00406ACA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https://doi.org/10.1016/j.heliyon.2024.e24999</w:t>
        </w:r>
      </w:hyperlink>
    </w:p>
    <w:p w14:paraId="43571255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Alvis, L., Zhang, N., &amp; Sandler, I.N. </w:t>
      </w:r>
      <w:r w:rsidRPr="00BC3F14">
        <w:rPr>
          <w:rFonts w:ascii="Arial" w:hAnsi="Arial" w:cs="Arial"/>
          <w:i/>
          <w:iCs/>
          <w:sz w:val="24"/>
          <w:szCs w:val="24"/>
        </w:rPr>
        <w:t>(2023).</w:t>
      </w:r>
      <w:r w:rsidRPr="00BC3F14">
        <w:rPr>
          <w:rFonts w:ascii="Arial" w:hAnsi="Arial" w:cs="Arial"/>
          <w:sz w:val="24"/>
          <w:szCs w:val="24"/>
        </w:rPr>
        <w:t> Developmental Manifestations of Grief in Children and Adolescents: Caregivers as Key Grief Facilitators. </w:t>
      </w:r>
      <w:proofErr w:type="spellStart"/>
      <w:r w:rsidRPr="00BC3F14">
        <w:rPr>
          <w:rFonts w:ascii="Arial" w:hAnsi="Arial" w:cs="Arial"/>
          <w:i/>
          <w:iCs/>
          <w:sz w:val="24"/>
          <w:szCs w:val="24"/>
        </w:rPr>
        <w:t>Journ</w:t>
      </w:r>
      <w:proofErr w:type="spellEnd"/>
      <w:r w:rsidRPr="00BC3F14">
        <w:rPr>
          <w:rFonts w:ascii="Arial" w:hAnsi="Arial" w:cs="Arial"/>
          <w:i/>
          <w:iCs/>
          <w:sz w:val="24"/>
          <w:szCs w:val="24"/>
        </w:rPr>
        <w:t xml:space="preserve"> Child Adol Trauma</w:t>
      </w:r>
      <w:r w:rsidRPr="00BC3F14">
        <w:rPr>
          <w:rFonts w:ascii="Arial" w:hAnsi="Arial" w:cs="Arial"/>
          <w:sz w:val="24"/>
          <w:szCs w:val="24"/>
        </w:rPr>
        <w:t xml:space="preserve"> 16, 447–457 (2023). </w:t>
      </w:r>
      <w:hyperlink r:id="rId39" w:history="1">
        <w:r w:rsidRPr="00BC3F14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https://doi.org/10.1007/s40653-021-00435-0</w:t>
        </w:r>
      </w:hyperlink>
      <w:r w:rsidRPr="00BC3F14">
        <w:rPr>
          <w:rFonts w:ascii="Arial" w:hAnsi="Arial" w:cs="Arial"/>
          <w:sz w:val="24"/>
          <w:szCs w:val="24"/>
        </w:rPr>
        <w:t xml:space="preserve"> </w:t>
      </w:r>
    </w:p>
    <w:p w14:paraId="7E673206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Alvis, L., Zhang, N., Sandler, I. N., &amp; Kaplow, J. B. (2022). Developmental Manifestations of Grief in Children and Adolescents: Caregivers as Key Grief Facilitators. </w:t>
      </w:r>
      <w:r w:rsidRPr="00BC3F14">
        <w:rPr>
          <w:rFonts w:ascii="Arial" w:hAnsi="Arial" w:cs="Arial"/>
          <w:i/>
          <w:iCs/>
          <w:sz w:val="24"/>
          <w:szCs w:val="24"/>
        </w:rPr>
        <w:t>Journal of child &amp; adolescent trauma</w:t>
      </w:r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16</w:t>
      </w:r>
      <w:r w:rsidRPr="00BC3F14">
        <w:rPr>
          <w:rFonts w:ascii="Arial" w:hAnsi="Arial" w:cs="Arial"/>
          <w:sz w:val="24"/>
          <w:szCs w:val="24"/>
        </w:rPr>
        <w:t xml:space="preserve">(2), 447–457. </w:t>
      </w:r>
      <w:hyperlink r:id="rId40" w:history="1">
        <w:r w:rsidRPr="00BC3F14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https://doi.org/10.1007/s40653-021-00435-0</w:t>
        </w:r>
      </w:hyperlink>
      <w:r w:rsidRPr="00BC3F14">
        <w:rPr>
          <w:rFonts w:ascii="Arial" w:hAnsi="Arial" w:cs="Arial"/>
          <w:sz w:val="24"/>
          <w:szCs w:val="24"/>
        </w:rPr>
        <w:t xml:space="preserve"> </w:t>
      </w:r>
    </w:p>
    <w:p w14:paraId="57F706A4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Aoun, S. M., Cafarella, P. A., Rumbold, B., Thomas, G., Hogden, A., Jiang, L., ... &amp; Kissane, D. W. (2021). Who cares for the bereaved? A national survey of family caregivers of people with motor neurone disease. </w:t>
      </w:r>
      <w:r w:rsidRPr="00BC3F14">
        <w:rPr>
          <w:rFonts w:ascii="Arial" w:hAnsi="Arial" w:cs="Arial"/>
          <w:i/>
          <w:iCs/>
          <w:sz w:val="24"/>
          <w:szCs w:val="24"/>
        </w:rPr>
        <w:t>Amyotrophic Lateral Sclerosis and Frontotemporal Degeneration</w:t>
      </w:r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22</w:t>
      </w:r>
      <w:r w:rsidRPr="00BC3F14">
        <w:rPr>
          <w:rFonts w:ascii="Arial" w:hAnsi="Arial" w:cs="Arial"/>
          <w:sz w:val="24"/>
          <w:szCs w:val="24"/>
        </w:rPr>
        <w:t>(1-2), 12-22.</w:t>
      </w:r>
    </w:p>
    <w:p w14:paraId="3AC6A229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Avis, K. A., Stroebe, M., &amp; Schut, H. (2021). Stages of Grief Portrayed on the Internet: A Systematic Analysis and Critical Appraisal. </w:t>
      </w:r>
      <w:r w:rsidRPr="00406ACA">
        <w:rPr>
          <w:rFonts w:ascii="Arial" w:hAnsi="Arial" w:cs="Arial"/>
          <w:i/>
          <w:iCs/>
          <w:sz w:val="24"/>
          <w:szCs w:val="24"/>
        </w:rPr>
        <w:t>Frontiers in psychology</w:t>
      </w:r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12</w:t>
      </w:r>
      <w:r w:rsidRPr="00406ACA">
        <w:rPr>
          <w:rFonts w:ascii="Arial" w:hAnsi="Arial" w:cs="Arial"/>
          <w:sz w:val="24"/>
          <w:szCs w:val="24"/>
        </w:rPr>
        <w:t xml:space="preserve">, 772696. </w:t>
      </w:r>
      <w:hyperlink r:id="rId41" w:history="1">
        <w:r w:rsidRPr="00406ACA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https://doi.org/10.3389/fpsyg.2021.772696</w:t>
        </w:r>
      </w:hyperlink>
      <w:r w:rsidRPr="00406ACA">
        <w:rPr>
          <w:rFonts w:ascii="Arial" w:hAnsi="Arial" w:cs="Arial"/>
          <w:sz w:val="24"/>
          <w:szCs w:val="24"/>
        </w:rPr>
        <w:t xml:space="preserve"> </w:t>
      </w:r>
    </w:p>
    <w:p w14:paraId="7147DDE7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Blueford, J. M., Thacker, N. E., &amp; Brott, P. E. (2021). Creating a system of care for early adolescents grieving a death-related loss. </w:t>
      </w:r>
      <w:r w:rsidRPr="00406ACA">
        <w:rPr>
          <w:rFonts w:ascii="Arial" w:hAnsi="Arial" w:cs="Arial"/>
          <w:i/>
          <w:iCs/>
          <w:sz w:val="24"/>
          <w:szCs w:val="24"/>
        </w:rPr>
        <w:t xml:space="preserve">Journal of Child and Adolescent </w:t>
      </w:r>
      <w:proofErr w:type="spellStart"/>
      <w:r w:rsidRPr="00406ACA">
        <w:rPr>
          <w:rFonts w:ascii="Arial" w:hAnsi="Arial" w:cs="Arial"/>
          <w:i/>
          <w:iCs/>
          <w:sz w:val="24"/>
          <w:szCs w:val="24"/>
        </w:rPr>
        <w:t>Counseling</w:t>
      </w:r>
      <w:proofErr w:type="spellEnd"/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7</w:t>
      </w:r>
      <w:r w:rsidRPr="00406ACA">
        <w:rPr>
          <w:rFonts w:ascii="Arial" w:hAnsi="Arial" w:cs="Arial"/>
          <w:sz w:val="24"/>
          <w:szCs w:val="24"/>
        </w:rPr>
        <w:t>(3), 207-220.</w:t>
      </w:r>
    </w:p>
    <w:p w14:paraId="6D18CD0B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lastRenderedPageBreak/>
        <w:t xml:space="preserve">Bolhuis, Koen &amp; Dice, A. &amp; Jansen, P. &amp; Tiemeier, H. &amp; </w:t>
      </w:r>
      <w:proofErr w:type="spellStart"/>
      <w:r w:rsidRPr="00406ACA">
        <w:rPr>
          <w:rFonts w:ascii="Arial" w:hAnsi="Arial" w:cs="Arial"/>
          <w:sz w:val="24"/>
          <w:szCs w:val="24"/>
        </w:rPr>
        <w:t>Denckla</w:t>
      </w:r>
      <w:proofErr w:type="spellEnd"/>
      <w:r w:rsidRPr="00406ACA">
        <w:rPr>
          <w:rFonts w:ascii="Arial" w:hAnsi="Arial" w:cs="Arial"/>
          <w:sz w:val="24"/>
          <w:szCs w:val="24"/>
        </w:rPr>
        <w:t xml:space="preserve">, Christy. (2024). Neurocognition and academic achievement among bereaved children in the Generation R Cohort. Scientific Reports. 14. </w:t>
      </w:r>
      <w:hyperlink r:id="rId42" w:history="1">
        <w:r w:rsidRPr="00406ACA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https://doi.org/10.1038/s41598-024-72178-5</w:t>
        </w:r>
      </w:hyperlink>
    </w:p>
    <w:p w14:paraId="6B7F0F03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Breen, L. J., Greene, D., Rees, C. S., Black, A., Cawthorne, M., &amp; Egan, S. J. (2023). A co-designed systematic review and meta-analysis of the efficacy of grief interventions for anxiety and depression in young people. </w:t>
      </w:r>
      <w:r w:rsidRPr="00406ACA">
        <w:rPr>
          <w:rFonts w:ascii="Arial" w:hAnsi="Arial" w:cs="Arial"/>
          <w:i/>
          <w:iCs/>
          <w:sz w:val="24"/>
          <w:szCs w:val="24"/>
        </w:rPr>
        <w:t>Journal of affective disorders</w:t>
      </w:r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335</w:t>
      </w:r>
      <w:r w:rsidRPr="00406ACA">
        <w:rPr>
          <w:rFonts w:ascii="Arial" w:hAnsi="Arial" w:cs="Arial"/>
          <w:sz w:val="24"/>
          <w:szCs w:val="24"/>
        </w:rPr>
        <w:t xml:space="preserve">, 289–297. </w:t>
      </w:r>
      <w:hyperlink r:id="rId43" w:history="1">
        <w:r w:rsidRPr="00406ACA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https://doi.org/10.1016/j.jad.2023.05.032</w:t>
        </w:r>
      </w:hyperlink>
      <w:r w:rsidRPr="00406ACA">
        <w:rPr>
          <w:rFonts w:ascii="Arial" w:hAnsi="Arial" w:cs="Arial"/>
          <w:sz w:val="24"/>
          <w:szCs w:val="24"/>
        </w:rPr>
        <w:t xml:space="preserve"> </w:t>
      </w:r>
    </w:p>
    <w:p w14:paraId="046FD536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Burns, M., Griese, B., King, S., &amp; Talmi, A. (2020). Childhood bereavement: Understanding prevalence and related adversity in the United States. American Journal of Orthopsychiatry, 90(4), 391-405</w:t>
      </w:r>
    </w:p>
    <w:p w14:paraId="51533A7A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Chater, A. M., Howlett, N., Shorter, G. W., Zakrzewski-Fruer, J. K., &amp; Williams, J. (2022). Reflections on Experiencing Parental Bereavement as a Young Person: A Retrospective Qualitative Study. </w:t>
      </w:r>
      <w:r w:rsidRPr="00BC3F14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19</w:t>
      </w:r>
      <w:r w:rsidRPr="00BC3F14">
        <w:rPr>
          <w:rFonts w:ascii="Arial" w:hAnsi="Arial" w:cs="Arial"/>
          <w:sz w:val="24"/>
          <w:szCs w:val="24"/>
        </w:rPr>
        <w:t>(4), 2083. https://doi.org/10.3390/ijerph19042083</w:t>
      </w:r>
    </w:p>
    <w:p w14:paraId="00F74D90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Corr, C. A. (1993). Coping with dying: Lessons that we should and should not learn from the work of Elisabeth Kübler-Ross. </w:t>
      </w:r>
      <w:r w:rsidRPr="00406ACA">
        <w:rPr>
          <w:rFonts w:ascii="Arial" w:hAnsi="Arial" w:cs="Arial"/>
          <w:i/>
          <w:iCs/>
          <w:sz w:val="24"/>
          <w:szCs w:val="24"/>
        </w:rPr>
        <w:t>Death studies</w:t>
      </w:r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17</w:t>
      </w:r>
      <w:r w:rsidRPr="00406ACA">
        <w:rPr>
          <w:rFonts w:ascii="Arial" w:hAnsi="Arial" w:cs="Arial"/>
          <w:sz w:val="24"/>
          <w:szCs w:val="24"/>
        </w:rPr>
        <w:t>(1), 69-83.</w:t>
      </w:r>
    </w:p>
    <w:p w14:paraId="2A674EBA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De Stefano, R., Muscatello, M. R. A., Bruno, A., Cedro, C., Mento, C., Zoccali, R. A., &amp; Pandolfo, G. (2021). Complicated grief: A systematic review of the last 20 years. </w:t>
      </w:r>
      <w:r w:rsidRPr="00406ACA">
        <w:rPr>
          <w:rFonts w:ascii="Arial" w:hAnsi="Arial" w:cs="Arial"/>
          <w:i/>
          <w:iCs/>
          <w:sz w:val="24"/>
          <w:szCs w:val="24"/>
        </w:rPr>
        <w:t>International Journal of Social Psychiatry</w:t>
      </w:r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67</w:t>
      </w:r>
      <w:r w:rsidRPr="00406ACA">
        <w:rPr>
          <w:rFonts w:ascii="Arial" w:hAnsi="Arial" w:cs="Arial"/>
          <w:sz w:val="24"/>
          <w:szCs w:val="24"/>
        </w:rPr>
        <w:t>(5), 492-499.</w:t>
      </w:r>
    </w:p>
    <w:p w14:paraId="5843FF00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 xml:space="preserve">Djelantik, A. M. J., Bui, E., O’Connor, M., Rosner, R., </w:t>
      </w:r>
      <w:proofErr w:type="spellStart"/>
      <w:r w:rsidRPr="00BC3F14">
        <w:rPr>
          <w:rFonts w:ascii="Arial" w:hAnsi="Arial" w:cs="Arial"/>
          <w:sz w:val="24"/>
          <w:szCs w:val="24"/>
        </w:rPr>
        <w:t>Robinaugh</w:t>
      </w:r>
      <w:proofErr w:type="spellEnd"/>
      <w:r w:rsidRPr="00BC3F14">
        <w:rPr>
          <w:rFonts w:ascii="Arial" w:hAnsi="Arial" w:cs="Arial"/>
          <w:sz w:val="24"/>
          <w:szCs w:val="24"/>
        </w:rPr>
        <w:t xml:space="preserve">, D. J., Simon, N. M., &amp; </w:t>
      </w:r>
      <w:proofErr w:type="spellStart"/>
      <w:r w:rsidRPr="00BC3F14">
        <w:rPr>
          <w:rFonts w:ascii="Arial" w:hAnsi="Arial" w:cs="Arial"/>
          <w:sz w:val="24"/>
          <w:szCs w:val="24"/>
        </w:rPr>
        <w:t>Boelen</w:t>
      </w:r>
      <w:proofErr w:type="spellEnd"/>
      <w:r w:rsidRPr="00BC3F14">
        <w:rPr>
          <w:rFonts w:ascii="Arial" w:hAnsi="Arial" w:cs="Arial"/>
          <w:sz w:val="24"/>
          <w:szCs w:val="24"/>
        </w:rPr>
        <w:t xml:space="preserve">, P. A. (2021). Traumatic grief research and care in the aftermath of </w:t>
      </w:r>
      <w:r w:rsidRPr="00BC3F14">
        <w:rPr>
          <w:rFonts w:ascii="Arial" w:hAnsi="Arial" w:cs="Arial"/>
          <w:sz w:val="24"/>
          <w:szCs w:val="24"/>
        </w:rPr>
        <w:lastRenderedPageBreak/>
        <w:t>the COVID-19 pandemic. </w:t>
      </w:r>
      <w:r w:rsidRPr="00BC3F14">
        <w:rPr>
          <w:rFonts w:ascii="Arial" w:hAnsi="Arial" w:cs="Arial"/>
          <w:i/>
          <w:iCs/>
          <w:sz w:val="24"/>
          <w:szCs w:val="24"/>
        </w:rPr>
        <w:t xml:space="preserve">European Journal of </w:t>
      </w:r>
      <w:proofErr w:type="spellStart"/>
      <w:r w:rsidRPr="00BC3F14">
        <w:rPr>
          <w:rFonts w:ascii="Arial" w:hAnsi="Arial" w:cs="Arial"/>
          <w:i/>
          <w:iCs/>
          <w:sz w:val="24"/>
          <w:szCs w:val="24"/>
        </w:rPr>
        <w:t>Psychotraumatology</w:t>
      </w:r>
      <w:proofErr w:type="spellEnd"/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12</w:t>
      </w:r>
      <w:r w:rsidRPr="00BC3F14">
        <w:rPr>
          <w:rFonts w:ascii="Arial" w:hAnsi="Arial" w:cs="Arial"/>
          <w:sz w:val="24"/>
          <w:szCs w:val="24"/>
        </w:rPr>
        <w:t>(1), 1957272.</w:t>
      </w:r>
    </w:p>
    <w:p w14:paraId="439A88A4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 xml:space="preserve">Farella Guzzo, M., &amp; Gobbi, G. (2023). Parental Death During Adolescence: A Review of the Literature. OMEGA - Journal of Death and Dying, 87(4), 1207-1237. </w:t>
      </w:r>
      <w:hyperlink r:id="rId44" w:history="1">
        <w:r w:rsidRPr="00406ACA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https://doi.org/10.1177/00302228211033661</w:t>
        </w:r>
      </w:hyperlink>
    </w:p>
    <w:p w14:paraId="1A78D173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 xml:space="preserve">Gerhardt, T., &amp; </w:t>
      </w:r>
      <w:proofErr w:type="spellStart"/>
      <w:r w:rsidRPr="00406ACA">
        <w:rPr>
          <w:rFonts w:ascii="Arial" w:hAnsi="Arial" w:cs="Arial"/>
          <w:sz w:val="24"/>
          <w:szCs w:val="24"/>
        </w:rPr>
        <w:t>Puchkov</w:t>
      </w:r>
      <w:proofErr w:type="spellEnd"/>
      <w:r w:rsidRPr="00406ACA">
        <w:rPr>
          <w:rFonts w:ascii="Arial" w:hAnsi="Arial" w:cs="Arial"/>
          <w:sz w:val="24"/>
          <w:szCs w:val="24"/>
        </w:rPr>
        <w:t>, R. (2023). Preparing for the Future: understanding collective grief through the lens of the Kubler-Ross crisis cycle. </w:t>
      </w:r>
      <w:r w:rsidRPr="00406ACA">
        <w:rPr>
          <w:rFonts w:ascii="Arial" w:hAnsi="Arial" w:cs="Arial"/>
          <w:i/>
          <w:iCs/>
          <w:sz w:val="24"/>
          <w:szCs w:val="24"/>
        </w:rPr>
        <w:t>Higher Education, Skills and Work-Based Learning</w:t>
      </w:r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13</w:t>
      </w:r>
      <w:r w:rsidRPr="00406ACA">
        <w:rPr>
          <w:rFonts w:ascii="Arial" w:hAnsi="Arial" w:cs="Arial"/>
          <w:sz w:val="24"/>
          <w:szCs w:val="24"/>
        </w:rPr>
        <w:t>(5), 983-1008.</w:t>
      </w:r>
    </w:p>
    <w:p w14:paraId="2807E266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Harrop, E., Goss, S., Longo, M., Seddon, K., Torrens-Burton, A., Sutton, E., &amp; Selman, L. E. (2022). Parental perspectives on the grief and support needs of children and young people bereaved during the COVID-19 pandemic: qualitative findings from a national survey. </w:t>
      </w:r>
      <w:r w:rsidRPr="00406ACA">
        <w:rPr>
          <w:rFonts w:ascii="Arial" w:hAnsi="Arial" w:cs="Arial"/>
          <w:i/>
          <w:iCs/>
          <w:sz w:val="24"/>
          <w:szCs w:val="24"/>
        </w:rPr>
        <w:t>BMC Palliative Care</w:t>
      </w:r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21</w:t>
      </w:r>
      <w:r w:rsidRPr="00406ACA">
        <w:rPr>
          <w:rFonts w:ascii="Arial" w:hAnsi="Arial" w:cs="Arial"/>
          <w:sz w:val="24"/>
          <w:szCs w:val="24"/>
        </w:rPr>
        <w:t>(1), 177</w:t>
      </w:r>
    </w:p>
    <w:p w14:paraId="518530AE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Hill, R. M., Kaplow, J. B., Oosterhoff, B., &amp; Layne, C. M. (2019). Understanding grief reactions, thwarted belongingness, and suicide ideation in bereaved adolescents: Toward a unifying theory. </w:t>
      </w:r>
      <w:r w:rsidRPr="00BC3F14">
        <w:rPr>
          <w:rFonts w:ascii="Arial" w:hAnsi="Arial" w:cs="Arial"/>
          <w:i/>
          <w:iCs/>
          <w:sz w:val="24"/>
          <w:szCs w:val="24"/>
        </w:rPr>
        <w:t>Journal of clinical psychology</w:t>
      </w:r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75</w:t>
      </w:r>
      <w:r w:rsidRPr="00BC3F14">
        <w:rPr>
          <w:rFonts w:ascii="Arial" w:hAnsi="Arial" w:cs="Arial"/>
          <w:sz w:val="24"/>
          <w:szCs w:val="24"/>
        </w:rPr>
        <w:t xml:space="preserve">(4), 780–793. </w:t>
      </w:r>
      <w:hyperlink r:id="rId45" w:history="1">
        <w:r w:rsidRPr="00BC3F14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https://doi.org/10.1002/jclp.22731</w:t>
        </w:r>
      </w:hyperlink>
      <w:r w:rsidRPr="00BC3F14">
        <w:rPr>
          <w:rFonts w:ascii="Arial" w:hAnsi="Arial" w:cs="Arial"/>
          <w:sz w:val="24"/>
          <w:szCs w:val="24"/>
        </w:rPr>
        <w:t xml:space="preserve"> </w:t>
      </w:r>
    </w:p>
    <w:p w14:paraId="7DA963F1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 xml:space="preserve">Kidman, R., Margolis, R., Smith-Greenaway, E., &amp; Verdery, A. M. (2021). Estimates and projections of COVID-19 and parental death in the US. JAMA </w:t>
      </w:r>
      <w:proofErr w:type="spellStart"/>
      <w:r w:rsidRPr="00406ACA">
        <w:rPr>
          <w:rFonts w:ascii="Arial" w:hAnsi="Arial" w:cs="Arial"/>
          <w:sz w:val="24"/>
          <w:szCs w:val="24"/>
        </w:rPr>
        <w:t>Pediatrics</w:t>
      </w:r>
      <w:proofErr w:type="spellEnd"/>
      <w:r w:rsidRPr="00406ACA">
        <w:rPr>
          <w:rFonts w:ascii="Arial" w:hAnsi="Arial" w:cs="Arial"/>
          <w:sz w:val="24"/>
          <w:szCs w:val="24"/>
        </w:rPr>
        <w:t>, 175(7), 745- 746.</w:t>
      </w:r>
    </w:p>
    <w:p w14:paraId="666C017F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 xml:space="preserve">Lansford, J. E., </w:t>
      </w:r>
      <w:proofErr w:type="spellStart"/>
      <w:r w:rsidRPr="00BC3F14">
        <w:rPr>
          <w:rFonts w:ascii="Arial" w:hAnsi="Arial" w:cs="Arial"/>
          <w:sz w:val="24"/>
          <w:szCs w:val="24"/>
        </w:rPr>
        <w:t>Goulter</w:t>
      </w:r>
      <w:proofErr w:type="spellEnd"/>
      <w:r w:rsidRPr="00BC3F14">
        <w:rPr>
          <w:rFonts w:ascii="Arial" w:hAnsi="Arial" w:cs="Arial"/>
          <w:sz w:val="24"/>
          <w:szCs w:val="24"/>
        </w:rPr>
        <w:t>, N., Godwin, J., Crowley, M., McMahon, R. J., Bates, J. E., Pettit, G. S., Greenberg, M., Lochman, J. E., &amp; Dodge, K. A. (2021). Development of individuals' own and perceptions of peers' substance use from early adolescence to adulthood. </w:t>
      </w:r>
      <w:r w:rsidRPr="00BC3F14">
        <w:rPr>
          <w:rFonts w:ascii="Arial" w:hAnsi="Arial" w:cs="Arial"/>
          <w:i/>
          <w:iCs/>
          <w:sz w:val="24"/>
          <w:szCs w:val="24"/>
        </w:rPr>
        <w:t xml:space="preserve">Addictive </w:t>
      </w:r>
      <w:proofErr w:type="spellStart"/>
      <w:r w:rsidRPr="00BC3F14">
        <w:rPr>
          <w:rFonts w:ascii="Arial" w:hAnsi="Arial" w:cs="Arial"/>
          <w:i/>
          <w:iCs/>
          <w:sz w:val="24"/>
          <w:szCs w:val="24"/>
        </w:rPr>
        <w:t>behaviors</w:t>
      </w:r>
      <w:proofErr w:type="spellEnd"/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120</w:t>
      </w:r>
      <w:r w:rsidRPr="00BC3F14">
        <w:rPr>
          <w:rFonts w:ascii="Arial" w:hAnsi="Arial" w:cs="Arial"/>
          <w:sz w:val="24"/>
          <w:szCs w:val="24"/>
        </w:rPr>
        <w:t xml:space="preserve">, 106958. </w:t>
      </w:r>
      <w:hyperlink r:id="rId46" w:history="1">
        <w:r w:rsidRPr="00BC3F14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https://doi.org/10.1016/j.addbeh.2021.106958</w:t>
        </w:r>
      </w:hyperlink>
    </w:p>
    <w:p w14:paraId="5882432C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lastRenderedPageBreak/>
        <w:t xml:space="preserve">Maciejewski, P. K., Falzarano, F. B., She, W. J., Lichtenthal, W. G., &amp; </w:t>
      </w:r>
      <w:proofErr w:type="spellStart"/>
      <w:r w:rsidRPr="00BC3F14">
        <w:rPr>
          <w:rFonts w:ascii="Arial" w:hAnsi="Arial" w:cs="Arial"/>
          <w:sz w:val="24"/>
          <w:szCs w:val="24"/>
        </w:rPr>
        <w:t>Prigerson</w:t>
      </w:r>
      <w:proofErr w:type="spellEnd"/>
      <w:r w:rsidRPr="00BC3F14">
        <w:rPr>
          <w:rFonts w:ascii="Arial" w:hAnsi="Arial" w:cs="Arial"/>
          <w:sz w:val="24"/>
          <w:szCs w:val="24"/>
        </w:rPr>
        <w:t>, H. G. (2022). A micro-sociological theory of adjustment to loss. </w:t>
      </w:r>
      <w:r w:rsidRPr="00BC3F14">
        <w:rPr>
          <w:rFonts w:ascii="Arial" w:hAnsi="Arial" w:cs="Arial"/>
          <w:i/>
          <w:iCs/>
          <w:sz w:val="24"/>
          <w:szCs w:val="24"/>
        </w:rPr>
        <w:t>Current Opinion in Psychology</w:t>
      </w:r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43</w:t>
      </w:r>
      <w:r w:rsidRPr="00BC3F14">
        <w:rPr>
          <w:rFonts w:ascii="Arial" w:hAnsi="Arial" w:cs="Arial"/>
          <w:sz w:val="24"/>
          <w:szCs w:val="24"/>
        </w:rPr>
        <w:t>, 96-101.</w:t>
      </w:r>
    </w:p>
    <w:p w14:paraId="1857C741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 xml:space="preserve">Mann, M., Kiseleva, M., Searchfield, L., </w:t>
      </w:r>
      <w:proofErr w:type="spellStart"/>
      <w:r w:rsidRPr="00406ACA">
        <w:rPr>
          <w:rFonts w:ascii="Arial" w:hAnsi="Arial" w:cs="Arial"/>
          <w:sz w:val="24"/>
          <w:szCs w:val="24"/>
        </w:rPr>
        <w:t>Mazzaschi</w:t>
      </w:r>
      <w:proofErr w:type="spellEnd"/>
      <w:r w:rsidRPr="00406ACA">
        <w:rPr>
          <w:rFonts w:ascii="Arial" w:hAnsi="Arial" w:cs="Arial"/>
          <w:sz w:val="24"/>
          <w:szCs w:val="24"/>
        </w:rPr>
        <w:t>, F., Jones, R., Lifford, K., ... &amp; Edwards, A. (2023). What are the most effective interventions to support children and young people bereaved by suicide in the family: a rapid review. </w:t>
      </w:r>
      <w:proofErr w:type="spellStart"/>
      <w:r w:rsidRPr="00406ACA">
        <w:rPr>
          <w:rFonts w:ascii="Arial" w:hAnsi="Arial" w:cs="Arial"/>
          <w:i/>
          <w:iCs/>
          <w:sz w:val="24"/>
          <w:szCs w:val="24"/>
        </w:rPr>
        <w:t>medRxiv</w:t>
      </w:r>
      <w:proofErr w:type="spellEnd"/>
      <w:r w:rsidRPr="00406ACA">
        <w:rPr>
          <w:rFonts w:ascii="Arial" w:hAnsi="Arial" w:cs="Arial"/>
          <w:sz w:val="24"/>
          <w:szCs w:val="24"/>
        </w:rPr>
        <w:t>, 2023-09.</w:t>
      </w:r>
    </w:p>
    <w:p w14:paraId="7A83BB09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 xml:space="preserve">McGachy, B. (2021). Dealing with bereaved children: a case study. </w:t>
      </w:r>
      <w:r w:rsidRPr="00BC3F14">
        <w:rPr>
          <w:rFonts w:ascii="Arial" w:hAnsi="Arial" w:cs="Arial"/>
          <w:i/>
          <w:iCs/>
          <w:sz w:val="24"/>
          <w:szCs w:val="24"/>
        </w:rPr>
        <w:t>British paramedic journal, 5(</w:t>
      </w:r>
      <w:r w:rsidRPr="00BC3F14">
        <w:rPr>
          <w:rFonts w:ascii="Arial" w:hAnsi="Arial" w:cs="Arial"/>
          <w:sz w:val="24"/>
          <w:szCs w:val="24"/>
        </w:rPr>
        <w:t xml:space="preserve">4), 54-58. </w:t>
      </w:r>
      <w:hyperlink r:id="rId47" w:history="1">
        <w:r w:rsidRPr="00BC3F14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https://doi.org/10.29045/1478726.2</w:t>
        </w:r>
      </w:hyperlink>
      <w:r w:rsidRPr="00BC3F14">
        <w:rPr>
          <w:rFonts w:ascii="Arial" w:hAnsi="Arial" w:cs="Arial"/>
          <w:sz w:val="24"/>
          <w:szCs w:val="24"/>
        </w:rPr>
        <w:t xml:space="preserve"> </w:t>
      </w:r>
    </w:p>
    <w:p w14:paraId="2AAB51D7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McLaughlin, C., Lytje, M., &amp; Holliday, C. (2019). Consequences of childhood bereavement in the context of the British school system. </w:t>
      </w:r>
      <w:r w:rsidRPr="00BC3F14">
        <w:rPr>
          <w:rFonts w:ascii="Arial" w:hAnsi="Arial" w:cs="Arial"/>
          <w:i/>
          <w:iCs/>
          <w:sz w:val="24"/>
          <w:szCs w:val="24"/>
        </w:rPr>
        <w:t>Faculty of Education, University of Cambridge</w:t>
      </w:r>
      <w:r w:rsidRPr="00BC3F14">
        <w:rPr>
          <w:rFonts w:ascii="Arial" w:hAnsi="Arial" w:cs="Arial"/>
          <w:sz w:val="24"/>
          <w:szCs w:val="24"/>
        </w:rPr>
        <w:t>.</w:t>
      </w:r>
    </w:p>
    <w:p w14:paraId="096F6B77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Nader, K. O. (2022). Childhood traumatic loss: The interaction of trauma and grief. In </w:t>
      </w:r>
      <w:r w:rsidRPr="00406ACA">
        <w:rPr>
          <w:rFonts w:ascii="Arial" w:hAnsi="Arial" w:cs="Arial"/>
          <w:i/>
          <w:iCs/>
          <w:sz w:val="24"/>
          <w:szCs w:val="24"/>
        </w:rPr>
        <w:t>Death and trauma</w:t>
      </w:r>
      <w:r w:rsidRPr="00406ACA">
        <w:rPr>
          <w:rFonts w:ascii="Arial" w:hAnsi="Arial" w:cs="Arial"/>
          <w:sz w:val="24"/>
          <w:szCs w:val="24"/>
        </w:rPr>
        <w:t xml:space="preserve"> (pp. 17-41). Routledge. </w:t>
      </w:r>
    </w:p>
    <w:p w14:paraId="127A7D37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Neimeyer, R. A. (2020). Living through loss: questions and answers about grief and bereavement.</w:t>
      </w:r>
    </w:p>
    <w:p w14:paraId="00225750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Oosterhoff, B., Kaplow, J. B., &amp; Layne, C. M. (2018). Links between bereavement due to sudden death and academic functioning: Results from a nationally representative sample of adolescents. </w:t>
      </w:r>
      <w:r w:rsidRPr="00BC3F14">
        <w:rPr>
          <w:rFonts w:ascii="Arial" w:hAnsi="Arial" w:cs="Arial"/>
          <w:i/>
          <w:iCs/>
          <w:sz w:val="24"/>
          <w:szCs w:val="24"/>
        </w:rPr>
        <w:t>School psychology quarterly : the official journal of the Division of School Psychology, American Psychological Association</w:t>
      </w:r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33</w:t>
      </w:r>
      <w:r w:rsidRPr="00BC3F14">
        <w:rPr>
          <w:rFonts w:ascii="Arial" w:hAnsi="Arial" w:cs="Arial"/>
          <w:sz w:val="24"/>
          <w:szCs w:val="24"/>
        </w:rPr>
        <w:t xml:space="preserve">(3), 372–380. </w:t>
      </w:r>
      <w:hyperlink r:id="rId48" w:history="1">
        <w:r w:rsidRPr="00BC3F14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https://doi.org/10.1037/spq0000254</w:t>
        </w:r>
      </w:hyperlink>
      <w:r w:rsidRPr="00BC3F14">
        <w:rPr>
          <w:rFonts w:ascii="Arial" w:hAnsi="Arial" w:cs="Arial"/>
          <w:sz w:val="24"/>
          <w:szCs w:val="24"/>
        </w:rPr>
        <w:t xml:space="preserve"> </w:t>
      </w:r>
    </w:p>
    <w:p w14:paraId="407C519C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BC3F14">
        <w:rPr>
          <w:rFonts w:ascii="Arial" w:hAnsi="Arial" w:cs="Arial"/>
          <w:sz w:val="24"/>
          <w:szCs w:val="24"/>
        </w:rPr>
        <w:lastRenderedPageBreak/>
        <w:t>Prigerson</w:t>
      </w:r>
      <w:proofErr w:type="spellEnd"/>
      <w:r w:rsidRPr="00BC3F14">
        <w:rPr>
          <w:rFonts w:ascii="Arial" w:hAnsi="Arial" w:cs="Arial"/>
          <w:sz w:val="24"/>
          <w:szCs w:val="24"/>
        </w:rPr>
        <w:t xml:space="preserve">, H. G., </w:t>
      </w:r>
      <w:proofErr w:type="spellStart"/>
      <w:r w:rsidRPr="00BC3F14">
        <w:rPr>
          <w:rFonts w:ascii="Arial" w:hAnsi="Arial" w:cs="Arial"/>
          <w:sz w:val="24"/>
          <w:szCs w:val="24"/>
        </w:rPr>
        <w:t>Kakarala</w:t>
      </w:r>
      <w:proofErr w:type="spellEnd"/>
      <w:r w:rsidRPr="00BC3F14">
        <w:rPr>
          <w:rFonts w:ascii="Arial" w:hAnsi="Arial" w:cs="Arial"/>
          <w:sz w:val="24"/>
          <w:szCs w:val="24"/>
        </w:rPr>
        <w:t>, S., Gang, J., &amp; Maciejewski, P. K. (2021). History and status of prolonged grief disorder as a psychiatric diagnosis. </w:t>
      </w:r>
      <w:r w:rsidRPr="00BC3F14">
        <w:rPr>
          <w:rFonts w:ascii="Arial" w:hAnsi="Arial" w:cs="Arial"/>
          <w:i/>
          <w:iCs/>
          <w:sz w:val="24"/>
          <w:szCs w:val="24"/>
        </w:rPr>
        <w:t>Annual review of clinical psychology</w:t>
      </w:r>
      <w:r w:rsidRPr="00BC3F14">
        <w:rPr>
          <w:rFonts w:ascii="Arial" w:hAnsi="Arial" w:cs="Arial"/>
          <w:sz w:val="24"/>
          <w:szCs w:val="24"/>
        </w:rPr>
        <w:t>, </w:t>
      </w:r>
      <w:r w:rsidRPr="00BC3F14">
        <w:rPr>
          <w:rFonts w:ascii="Arial" w:hAnsi="Arial" w:cs="Arial"/>
          <w:i/>
          <w:iCs/>
          <w:sz w:val="24"/>
          <w:szCs w:val="24"/>
        </w:rPr>
        <w:t>17</w:t>
      </w:r>
      <w:r w:rsidRPr="00BC3F14">
        <w:rPr>
          <w:rFonts w:ascii="Arial" w:hAnsi="Arial" w:cs="Arial"/>
          <w:sz w:val="24"/>
          <w:szCs w:val="24"/>
        </w:rPr>
        <w:t>(1), 109-126.</w:t>
      </w:r>
    </w:p>
    <w:p w14:paraId="7C539454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Procaccia, R., Neimeyer, R. A., Veronese, G., &amp; Castiglioni, M. (2018). Children's representations of death: The role of age and attachment style. TPM: Testing, Psychometrics, Methodology in Applied Psychology, 25(4).</w:t>
      </w:r>
    </w:p>
    <w:p w14:paraId="2D6E4DC2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RUBIN, S. S., &amp; MALKINSON, R. (2023). CHAPTER FIFTEEN NO-MAN’S LAND IN TRAUMATIC BEREAVEMENTS: MULTIPLE LENSES ON ASSESSMENT AND INTERVENTION. </w:t>
      </w:r>
      <w:r w:rsidRPr="00BC3F14">
        <w:rPr>
          <w:rFonts w:ascii="Arial" w:hAnsi="Arial" w:cs="Arial"/>
          <w:i/>
          <w:iCs/>
          <w:sz w:val="24"/>
          <w:szCs w:val="24"/>
        </w:rPr>
        <w:t>A Professional's Guide to Understanding Trauma and Loss</w:t>
      </w:r>
      <w:r w:rsidRPr="00BC3F14">
        <w:rPr>
          <w:rFonts w:ascii="Arial" w:hAnsi="Arial" w:cs="Arial"/>
          <w:sz w:val="24"/>
          <w:szCs w:val="24"/>
        </w:rPr>
        <w:t>, 273.</w:t>
      </w:r>
    </w:p>
    <w:p w14:paraId="7BA9CD09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Stroebe, M., Hansson, R., Schut, H., &amp; Stroebe, W. (2008). Bereavement research: Contemporary perspectives. In M. Stroebe, R. Hansson, H. Schut &amp; W. Stroebe (Eds.), Handbook of bereavement research and practice: Advances in theory and intervention (pp. 3–25). American Psychological Press.</w:t>
      </w:r>
    </w:p>
    <w:p w14:paraId="3C2BD000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 xml:space="preserve">Tang, R., Xie, T., Jiao, K., Xu, X., Zou, X., Qian, W., &amp; Wang, J. (2021). Grief reactions and grief </w:t>
      </w:r>
      <w:proofErr w:type="spellStart"/>
      <w:r w:rsidRPr="00406ACA">
        <w:rPr>
          <w:rFonts w:ascii="Arial" w:hAnsi="Arial" w:cs="Arial"/>
          <w:sz w:val="24"/>
          <w:szCs w:val="24"/>
        </w:rPr>
        <w:t>counseling</w:t>
      </w:r>
      <w:proofErr w:type="spellEnd"/>
      <w:r w:rsidRPr="00406ACA">
        <w:rPr>
          <w:rFonts w:ascii="Arial" w:hAnsi="Arial" w:cs="Arial"/>
          <w:sz w:val="24"/>
          <w:szCs w:val="24"/>
        </w:rPr>
        <w:t xml:space="preserve"> among bereaved Chinese individuals during COVID-19 pandemic: study protocol for a randomized controlled trial combined with a longitudinal study. </w:t>
      </w:r>
      <w:r w:rsidRPr="00406ACA">
        <w:rPr>
          <w:rFonts w:ascii="Arial" w:hAnsi="Arial" w:cs="Arial"/>
          <w:i/>
          <w:iCs/>
          <w:sz w:val="24"/>
          <w:szCs w:val="24"/>
        </w:rPr>
        <w:t>International Journal of Environmental Research and Public Health</w:t>
      </w:r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18</w:t>
      </w:r>
      <w:r w:rsidRPr="00406ACA">
        <w:rPr>
          <w:rFonts w:ascii="Arial" w:hAnsi="Arial" w:cs="Arial"/>
          <w:sz w:val="24"/>
          <w:szCs w:val="24"/>
        </w:rPr>
        <w:t>(17), 9061.</w:t>
      </w:r>
    </w:p>
    <w:p w14:paraId="77D7620B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Venkatesan, S. (2022). Loss, grief, bereavement, and mourning in children. </w:t>
      </w:r>
      <w:r w:rsidRPr="00406ACA">
        <w:rPr>
          <w:rFonts w:ascii="Arial" w:hAnsi="Arial" w:cs="Arial"/>
          <w:i/>
          <w:iCs/>
          <w:sz w:val="24"/>
          <w:szCs w:val="24"/>
        </w:rPr>
        <w:t>International Journal of Recent Scientific Research</w:t>
      </w:r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13</w:t>
      </w:r>
      <w:r w:rsidRPr="00406ACA">
        <w:rPr>
          <w:rFonts w:ascii="Arial" w:hAnsi="Arial" w:cs="Arial"/>
          <w:sz w:val="24"/>
          <w:szCs w:val="24"/>
        </w:rPr>
        <w:t>(3), 619-624.</w:t>
      </w:r>
    </w:p>
    <w:p w14:paraId="1CD93C3B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BC3F14">
        <w:rPr>
          <w:rFonts w:ascii="Arial" w:hAnsi="Arial" w:cs="Arial"/>
          <w:sz w:val="24"/>
          <w:szCs w:val="24"/>
        </w:rPr>
        <w:t>Virk, J., Ritz, B., Li, J., Obel, C., &amp; Olsen, J. (2016). Childhood bereavement and type 1 diabetes: A Danish national register study. Paediatric and Perinatal Epidemiology, 30(1), 86–92.</w:t>
      </w:r>
    </w:p>
    <w:p w14:paraId="54E85D34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lastRenderedPageBreak/>
        <w:t xml:space="preserve">Weaver, D. (2019). Parental mortality and outcomes among minor and adult children. Population Review, 58: 2. Doi:10.1353/prv.2019.0006 </w:t>
      </w:r>
    </w:p>
    <w:p w14:paraId="714C6F73" w14:textId="77777777" w:rsidR="00254922" w:rsidRPr="00BC3F14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BC3F14">
        <w:rPr>
          <w:rFonts w:ascii="Arial" w:hAnsi="Arial" w:cs="Arial"/>
          <w:sz w:val="24"/>
          <w:szCs w:val="24"/>
        </w:rPr>
        <w:t>Woffindin</w:t>
      </w:r>
      <w:proofErr w:type="spellEnd"/>
      <w:r w:rsidRPr="00BC3F14">
        <w:rPr>
          <w:rFonts w:ascii="Arial" w:hAnsi="Arial" w:cs="Arial"/>
          <w:sz w:val="24"/>
          <w:szCs w:val="24"/>
        </w:rPr>
        <w:t xml:space="preserve">, L. (2025). Case study: Child bereavement: Resilience, recovery, lessons. </w:t>
      </w:r>
      <w:r w:rsidRPr="00BC3F14">
        <w:rPr>
          <w:rFonts w:ascii="Arial" w:hAnsi="Arial" w:cs="Arial"/>
          <w:i/>
          <w:iCs/>
          <w:sz w:val="24"/>
          <w:szCs w:val="24"/>
        </w:rPr>
        <w:t>CPD Online College</w:t>
      </w:r>
      <w:r w:rsidRPr="00BC3F14">
        <w:rPr>
          <w:rFonts w:ascii="Arial" w:hAnsi="Arial" w:cs="Arial"/>
          <w:sz w:val="24"/>
          <w:szCs w:val="24"/>
        </w:rPr>
        <w:t xml:space="preserve">. </w:t>
      </w:r>
      <w:hyperlink r:id="rId49" w:history="1">
        <w:r w:rsidRPr="00BC3F14">
          <w:rPr>
            <w:rStyle w:val="Hyperlink"/>
            <w:rFonts w:ascii="Arial" w:hAnsi="Arial" w:cs="Arial"/>
            <w:color w:val="auto"/>
            <w:sz w:val="24"/>
            <w:szCs w:val="24"/>
          </w:rPr>
          <w:t>https://cpdonline.co.uk/knowledge-base/mental-health/resilience-recovery-child-bereavement/#further-reading</w:t>
        </w:r>
      </w:hyperlink>
    </w:p>
    <w:p w14:paraId="1C5C8DA2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>Worden, J. W. (2018). </w:t>
      </w:r>
      <w:r w:rsidRPr="00406ACA">
        <w:rPr>
          <w:rFonts w:ascii="Arial" w:hAnsi="Arial" w:cs="Arial"/>
          <w:i/>
          <w:iCs/>
          <w:sz w:val="24"/>
          <w:szCs w:val="24"/>
        </w:rPr>
        <w:t xml:space="preserve">Grief </w:t>
      </w:r>
      <w:proofErr w:type="spellStart"/>
      <w:r w:rsidRPr="00406ACA">
        <w:rPr>
          <w:rFonts w:ascii="Arial" w:hAnsi="Arial" w:cs="Arial"/>
          <w:i/>
          <w:iCs/>
          <w:sz w:val="24"/>
          <w:szCs w:val="24"/>
        </w:rPr>
        <w:t>counseling</w:t>
      </w:r>
      <w:proofErr w:type="spellEnd"/>
      <w:r w:rsidRPr="00406ACA">
        <w:rPr>
          <w:rFonts w:ascii="Arial" w:hAnsi="Arial" w:cs="Arial"/>
          <w:i/>
          <w:iCs/>
          <w:sz w:val="24"/>
          <w:szCs w:val="24"/>
        </w:rPr>
        <w:t xml:space="preserve"> and grief therapy: A handbook for the mental health practitioner</w:t>
      </w:r>
      <w:r w:rsidRPr="00406ACA">
        <w:rPr>
          <w:rFonts w:ascii="Arial" w:hAnsi="Arial" w:cs="Arial"/>
          <w:sz w:val="24"/>
          <w:szCs w:val="24"/>
        </w:rPr>
        <w:t>. springer publishing Company.</w:t>
      </w:r>
    </w:p>
    <w:p w14:paraId="25B24743" w14:textId="77777777" w:rsidR="00254922" w:rsidRPr="00406ACA" w:rsidRDefault="00254922" w:rsidP="00254922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406ACA">
        <w:rPr>
          <w:rFonts w:ascii="Arial" w:hAnsi="Arial" w:cs="Arial"/>
          <w:sz w:val="24"/>
          <w:szCs w:val="24"/>
        </w:rPr>
        <w:t xml:space="preserve">Zhao, S., Long, M., Diao, Y., Ma, H., Liu, M., Feng, Z., &amp; Wang, Y. (2021). Culture-related grief beliefs and social support influence depressive symptoms of </w:t>
      </w:r>
      <w:proofErr w:type="spellStart"/>
      <w:r w:rsidRPr="00406ACA">
        <w:rPr>
          <w:rFonts w:ascii="Arial" w:hAnsi="Arial" w:cs="Arial"/>
          <w:sz w:val="24"/>
          <w:szCs w:val="24"/>
        </w:rPr>
        <w:t>Shidu</w:t>
      </w:r>
      <w:proofErr w:type="spellEnd"/>
      <w:r w:rsidRPr="00406ACA">
        <w:rPr>
          <w:rFonts w:ascii="Arial" w:hAnsi="Arial" w:cs="Arial"/>
          <w:sz w:val="24"/>
          <w:szCs w:val="24"/>
        </w:rPr>
        <w:t xml:space="preserve"> parents in rural China. </w:t>
      </w:r>
      <w:r w:rsidRPr="00406ACA">
        <w:rPr>
          <w:rFonts w:ascii="Arial" w:hAnsi="Arial" w:cs="Arial"/>
          <w:i/>
          <w:iCs/>
          <w:sz w:val="24"/>
          <w:szCs w:val="24"/>
        </w:rPr>
        <w:t xml:space="preserve">European Journal of </w:t>
      </w:r>
      <w:proofErr w:type="spellStart"/>
      <w:r w:rsidRPr="00406ACA">
        <w:rPr>
          <w:rFonts w:ascii="Arial" w:hAnsi="Arial" w:cs="Arial"/>
          <w:i/>
          <w:iCs/>
          <w:sz w:val="24"/>
          <w:szCs w:val="24"/>
        </w:rPr>
        <w:t>Psychotraumatology</w:t>
      </w:r>
      <w:proofErr w:type="spellEnd"/>
      <w:r w:rsidRPr="00406ACA">
        <w:rPr>
          <w:rFonts w:ascii="Arial" w:hAnsi="Arial" w:cs="Arial"/>
          <w:sz w:val="24"/>
          <w:szCs w:val="24"/>
        </w:rPr>
        <w:t>, </w:t>
      </w:r>
      <w:r w:rsidRPr="00406ACA">
        <w:rPr>
          <w:rFonts w:ascii="Arial" w:hAnsi="Arial" w:cs="Arial"/>
          <w:i/>
          <w:iCs/>
          <w:sz w:val="24"/>
          <w:szCs w:val="24"/>
        </w:rPr>
        <w:t>12</w:t>
      </w:r>
      <w:r w:rsidRPr="00406ACA">
        <w:rPr>
          <w:rFonts w:ascii="Arial" w:hAnsi="Arial" w:cs="Arial"/>
          <w:sz w:val="24"/>
          <w:szCs w:val="24"/>
        </w:rPr>
        <w:t>(1), 1945748..</w:t>
      </w:r>
    </w:p>
    <w:p w14:paraId="43648CC9" w14:textId="77777777" w:rsidR="00000000" w:rsidRPr="00BC3F14" w:rsidRDefault="00000000" w:rsidP="00254922">
      <w:pPr>
        <w:spacing w:line="480" w:lineRule="auto"/>
        <w:ind w:left="720"/>
        <w:rPr>
          <w:rFonts w:ascii="Congenial Light" w:hAnsi="Congenial Light"/>
          <w:color w:val="156082" w:themeColor="accent1"/>
          <w:sz w:val="16"/>
          <w:szCs w:val="16"/>
        </w:rPr>
      </w:pPr>
    </w:p>
    <w:p w14:paraId="5D220D5F" w14:textId="77777777" w:rsidR="006712EF" w:rsidRDefault="006712EF" w:rsidP="00254922">
      <w:pPr>
        <w:spacing w:line="480" w:lineRule="auto"/>
        <w:ind w:left="360"/>
        <w:rPr>
          <w:rFonts w:ascii="Arial" w:hAnsi="Arial" w:cs="Arial"/>
          <w:sz w:val="24"/>
          <w:szCs w:val="24"/>
          <w:u w:val="single"/>
        </w:rPr>
      </w:pPr>
    </w:p>
    <w:p w14:paraId="57EF8D32" w14:textId="77777777" w:rsidR="006712EF" w:rsidRPr="00564321" w:rsidRDefault="006712EF" w:rsidP="00254922">
      <w:pPr>
        <w:spacing w:line="480" w:lineRule="auto"/>
        <w:ind w:left="360"/>
        <w:rPr>
          <w:rFonts w:ascii="Arial" w:hAnsi="Arial" w:cs="Arial"/>
          <w:sz w:val="24"/>
          <w:szCs w:val="24"/>
          <w:u w:val="single"/>
        </w:rPr>
      </w:pPr>
    </w:p>
    <w:sectPr w:rsidR="006712EF" w:rsidRPr="005643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genial Light">
    <w:charset w:val="00"/>
    <w:family w:val="auto"/>
    <w:pitch w:val="variable"/>
    <w:sig w:usb0="8000002F" w:usb1="1000205B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023FA"/>
    <w:multiLevelType w:val="multilevel"/>
    <w:tmpl w:val="E8DAA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4970A9"/>
    <w:multiLevelType w:val="multilevel"/>
    <w:tmpl w:val="A3326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9C14A1"/>
    <w:multiLevelType w:val="multilevel"/>
    <w:tmpl w:val="4B6279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1E33084"/>
    <w:multiLevelType w:val="multilevel"/>
    <w:tmpl w:val="E6281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D5609D"/>
    <w:multiLevelType w:val="hybridMultilevel"/>
    <w:tmpl w:val="872895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4838C2"/>
    <w:multiLevelType w:val="multilevel"/>
    <w:tmpl w:val="4B6279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E2F435B"/>
    <w:multiLevelType w:val="multilevel"/>
    <w:tmpl w:val="8B2488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41D7BFF"/>
    <w:multiLevelType w:val="hybridMultilevel"/>
    <w:tmpl w:val="8460EBD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080905"/>
    <w:multiLevelType w:val="hybridMultilevel"/>
    <w:tmpl w:val="810C1FD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1279B4"/>
    <w:multiLevelType w:val="multilevel"/>
    <w:tmpl w:val="9AFC21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48D2632"/>
    <w:multiLevelType w:val="multilevel"/>
    <w:tmpl w:val="EDC2BE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F92CEB"/>
    <w:multiLevelType w:val="multilevel"/>
    <w:tmpl w:val="D2943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EB838D9"/>
    <w:multiLevelType w:val="multilevel"/>
    <w:tmpl w:val="512A20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53182917">
    <w:abstractNumId w:val="3"/>
  </w:num>
  <w:num w:numId="2" w16cid:durableId="2059433523">
    <w:abstractNumId w:val="7"/>
  </w:num>
  <w:num w:numId="3" w16cid:durableId="849681929">
    <w:abstractNumId w:val="11"/>
  </w:num>
  <w:num w:numId="4" w16cid:durableId="1642154698">
    <w:abstractNumId w:val="8"/>
  </w:num>
  <w:num w:numId="5" w16cid:durableId="1996757767">
    <w:abstractNumId w:val="10"/>
  </w:num>
  <w:num w:numId="6" w16cid:durableId="121507077">
    <w:abstractNumId w:val="1"/>
  </w:num>
  <w:num w:numId="7" w16cid:durableId="1025136873">
    <w:abstractNumId w:val="1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8" w16cid:durableId="1858612700">
    <w:abstractNumId w:val="6"/>
  </w:num>
  <w:num w:numId="9" w16cid:durableId="265890723">
    <w:abstractNumId w:val="6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10" w16cid:durableId="276568844">
    <w:abstractNumId w:val="6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11" w16cid:durableId="1655455308">
    <w:abstractNumId w:val="12"/>
  </w:num>
  <w:num w:numId="12" w16cid:durableId="405568019">
    <w:abstractNumId w:val="2"/>
  </w:num>
  <w:num w:numId="13" w16cid:durableId="590703270">
    <w:abstractNumId w:val="5"/>
  </w:num>
  <w:num w:numId="14" w16cid:durableId="1947928291">
    <w:abstractNumId w:val="0"/>
  </w:num>
  <w:num w:numId="15" w16cid:durableId="1006633617">
    <w:abstractNumId w:val="9"/>
  </w:num>
  <w:num w:numId="16" w16cid:durableId="4359957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F0B"/>
    <w:rsid w:val="00012497"/>
    <w:rsid w:val="00017706"/>
    <w:rsid w:val="00050AB6"/>
    <w:rsid w:val="000E286A"/>
    <w:rsid w:val="001575D7"/>
    <w:rsid w:val="00205E4E"/>
    <w:rsid w:val="00254922"/>
    <w:rsid w:val="00265B6B"/>
    <w:rsid w:val="002D3177"/>
    <w:rsid w:val="003205B5"/>
    <w:rsid w:val="00321C13"/>
    <w:rsid w:val="00324AA7"/>
    <w:rsid w:val="00564321"/>
    <w:rsid w:val="006712EF"/>
    <w:rsid w:val="006B08BD"/>
    <w:rsid w:val="006E73A6"/>
    <w:rsid w:val="007F0171"/>
    <w:rsid w:val="00865653"/>
    <w:rsid w:val="008B025C"/>
    <w:rsid w:val="008D50A4"/>
    <w:rsid w:val="00905490"/>
    <w:rsid w:val="00915431"/>
    <w:rsid w:val="0094119D"/>
    <w:rsid w:val="00A82F0B"/>
    <w:rsid w:val="00A93C40"/>
    <w:rsid w:val="00AA13B1"/>
    <w:rsid w:val="00B43D65"/>
    <w:rsid w:val="00B72630"/>
    <w:rsid w:val="00BF2531"/>
    <w:rsid w:val="00C86182"/>
    <w:rsid w:val="00CB4855"/>
    <w:rsid w:val="00D17132"/>
    <w:rsid w:val="00E529EF"/>
    <w:rsid w:val="00E61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D127A4"/>
  <w15:chartTrackingRefBased/>
  <w15:docId w15:val="{487EA160-970F-401D-B402-D4C2119696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2F0B"/>
  </w:style>
  <w:style w:type="paragraph" w:styleId="Heading1">
    <w:name w:val="heading 1"/>
    <w:basedOn w:val="Normal"/>
    <w:next w:val="Normal"/>
    <w:link w:val="Heading1Char"/>
    <w:uiPriority w:val="9"/>
    <w:qFormat/>
    <w:rsid w:val="00A82F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2F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F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F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F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F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F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F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F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F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2F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F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F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F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F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F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F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F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F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F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F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F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F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F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F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F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F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F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F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54922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hyperlink" Target="https://doi.org/10.1007/s40653-021-00435-0" TargetMode="External"/><Relationship Id="rId21" Type="http://schemas.openxmlformats.org/officeDocument/2006/relationships/image" Target="media/image14.svg"/><Relationship Id="rId34" Type="http://schemas.openxmlformats.org/officeDocument/2006/relationships/image" Target="media/image27.png"/><Relationship Id="rId42" Type="http://schemas.openxmlformats.org/officeDocument/2006/relationships/hyperlink" Target="https://doi.org/10.1038/s41598-024-72178-5" TargetMode="External"/><Relationship Id="rId47" Type="http://schemas.openxmlformats.org/officeDocument/2006/relationships/hyperlink" Target="https://doi.org/10.29045/1478726.2" TargetMode="External"/><Relationship Id="rId50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9" Type="http://schemas.openxmlformats.org/officeDocument/2006/relationships/image" Target="media/image22.svg"/><Relationship Id="rId11" Type="http://schemas.openxmlformats.org/officeDocument/2006/relationships/image" Target="media/image4.sv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svg"/><Relationship Id="rId40" Type="http://schemas.openxmlformats.org/officeDocument/2006/relationships/hyperlink" Target="https://doi.org/10.1007/s40653-021-00435-0" TargetMode="External"/><Relationship Id="rId45" Type="http://schemas.openxmlformats.org/officeDocument/2006/relationships/hyperlink" Target="https://doi.org/10.1002/jclp.22731" TargetMode="External"/><Relationship Id="rId5" Type="http://schemas.openxmlformats.org/officeDocument/2006/relationships/styles" Target="styles.xml"/><Relationship Id="rId15" Type="http://schemas.openxmlformats.org/officeDocument/2006/relationships/image" Target="media/image8.svg"/><Relationship Id="rId23" Type="http://schemas.openxmlformats.org/officeDocument/2006/relationships/image" Target="media/image16.sv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hyperlink" Target="https://cpdonline.co.uk/knowledge-base/mental-health/resilience-recovery-child-bereavement/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svg"/><Relationship Id="rId31" Type="http://schemas.openxmlformats.org/officeDocument/2006/relationships/image" Target="media/image24.svg"/><Relationship Id="rId44" Type="http://schemas.openxmlformats.org/officeDocument/2006/relationships/hyperlink" Target="https://doi.org/10.1177/00302228211033661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svg"/><Relationship Id="rId30" Type="http://schemas.openxmlformats.org/officeDocument/2006/relationships/image" Target="media/image23.png"/><Relationship Id="rId35" Type="http://schemas.openxmlformats.org/officeDocument/2006/relationships/image" Target="media/image28.svg"/><Relationship Id="rId43" Type="http://schemas.openxmlformats.org/officeDocument/2006/relationships/hyperlink" Target="https://doi.org/10.1016/j.jad.2023.05.032" TargetMode="External"/><Relationship Id="rId48" Type="http://schemas.openxmlformats.org/officeDocument/2006/relationships/hyperlink" Target="https://doi.org/10.1037/spq0000254" TargetMode="External"/><Relationship Id="rId8" Type="http://schemas.openxmlformats.org/officeDocument/2006/relationships/image" Target="media/image1.png"/><Relationship Id="rId51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image" Target="media/image5.png"/><Relationship Id="rId17" Type="http://schemas.openxmlformats.org/officeDocument/2006/relationships/image" Target="media/image10.svg"/><Relationship Id="rId25" Type="http://schemas.openxmlformats.org/officeDocument/2006/relationships/image" Target="media/image18.svg"/><Relationship Id="rId33" Type="http://schemas.openxmlformats.org/officeDocument/2006/relationships/image" Target="media/image26.svg"/><Relationship Id="rId38" Type="http://schemas.openxmlformats.org/officeDocument/2006/relationships/hyperlink" Target="https://doi.org/10.1016/j.heliyon.2024.e24999" TargetMode="External"/><Relationship Id="rId46" Type="http://schemas.openxmlformats.org/officeDocument/2006/relationships/hyperlink" Target="https://doi.org/10.1016/j.addbeh.2021.106958" TargetMode="External"/><Relationship Id="rId20" Type="http://schemas.openxmlformats.org/officeDocument/2006/relationships/image" Target="media/image13.png"/><Relationship Id="rId41" Type="http://schemas.openxmlformats.org/officeDocument/2006/relationships/hyperlink" Target="https://doi.org/10.3389/fpsyg.2021.772696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6" ma:contentTypeDescription="Create a new document." ma:contentTypeScope="" ma:versionID="ec9a3938bd32933fb4e5dccad78a4795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cf7834119eee4685d6b9aa048246b779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Props1.xml><?xml version="1.0" encoding="utf-8"?>
<ds:datastoreItem xmlns:ds="http://schemas.openxmlformats.org/officeDocument/2006/customXml" ds:itemID="{3A5231B7-3377-49EF-98B9-24CFBC1564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C47BA26-DF86-403F-B438-4352C86B5BF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15D2B9-6BF5-4493-8C6D-03CA3F307F9E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24</Pages>
  <Words>3113</Words>
  <Characters>17747</Characters>
  <Application>Microsoft Office Word</Application>
  <DocSecurity>0</DocSecurity>
  <Lines>147</Lines>
  <Paragraphs>41</Paragraphs>
  <ScaleCrop>false</ScaleCrop>
  <Company/>
  <LinksUpToDate>false</LinksUpToDate>
  <CharactersWithSpaces>20819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Varallo (2100048)</dc:creator>
  <cp:keywords/>
  <dc:description/>
  <cp:lastModifiedBy>Claudia Varallo (2100048)</cp:lastModifiedBy>
  <cp:revision>30</cp:revision>
  <dcterms:created xsi:type="dcterms:W3CDTF">2025-01-16T17:52:00Z</dcterms:created>
  <dcterms:modified xsi:type="dcterms:W3CDTF">2025-01-16T18:16:00Z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