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DCEA6" w14:textId="22033FE9" w:rsidR="00AB2576" w:rsidRPr="001C1A39" w:rsidRDefault="00AB2576" w:rsidP="00201F6B">
      <w:pPr>
        <w:ind w:right="531"/>
        <w:jc w:val="both"/>
        <w:rPr>
          <w:rFonts w:asciiTheme="minorHAnsi" w:eastAsia="Calibri" w:hAnsiTheme="minorHAnsi" w:cstheme="minorHAnsi"/>
          <w:b/>
          <w:bCs/>
          <w:sz w:val="28"/>
          <w:szCs w:val="28"/>
        </w:rPr>
      </w:pPr>
      <w:r w:rsidRPr="001C1A39">
        <w:rPr>
          <w:rFonts w:asciiTheme="minorHAnsi" w:eastAsia="Calibri" w:hAnsiTheme="minorHAnsi" w:cstheme="minorHAnsi"/>
          <w:b/>
          <w:bCs/>
          <w:sz w:val="28"/>
          <w:szCs w:val="28"/>
        </w:rPr>
        <w:t>Candidate name: Rhys Powell</w:t>
      </w:r>
    </w:p>
    <w:p w14:paraId="2BDDC606" w14:textId="7B8DBE3A" w:rsidR="00AB2576" w:rsidRPr="001C1A39" w:rsidRDefault="00293478" w:rsidP="00201F6B">
      <w:pPr>
        <w:ind w:right="531"/>
        <w:jc w:val="both"/>
        <w:rPr>
          <w:rFonts w:asciiTheme="minorHAnsi" w:eastAsia="Calibri" w:hAnsiTheme="minorHAnsi" w:cstheme="minorHAnsi"/>
          <w:b/>
          <w:bCs/>
          <w:sz w:val="28"/>
          <w:szCs w:val="28"/>
        </w:rPr>
      </w:pPr>
      <w:r w:rsidRPr="001C1A39">
        <w:rPr>
          <w:rFonts w:asciiTheme="minorHAnsi" w:eastAsia="Calibri" w:hAnsiTheme="minorHAnsi" w:cstheme="minorHAnsi"/>
          <w:b/>
          <w:bCs/>
          <w:sz w:val="28"/>
          <w:szCs w:val="28"/>
        </w:rPr>
        <w:t xml:space="preserve">Student ID: </w:t>
      </w:r>
      <w:r w:rsidR="002E58F2" w:rsidRPr="001C1A39">
        <w:rPr>
          <w:rFonts w:asciiTheme="minorHAnsi" w:eastAsia="Calibri" w:hAnsiTheme="minorHAnsi" w:cstheme="minorHAnsi"/>
          <w:b/>
          <w:bCs/>
          <w:sz w:val="28"/>
          <w:szCs w:val="28"/>
        </w:rPr>
        <w:t>2117674</w:t>
      </w:r>
    </w:p>
    <w:p w14:paraId="513100AA" w14:textId="547F4921" w:rsidR="00293478" w:rsidRPr="001C1A39" w:rsidRDefault="00293478" w:rsidP="00293478">
      <w:pPr>
        <w:ind w:right="531"/>
        <w:rPr>
          <w:rFonts w:asciiTheme="minorHAnsi" w:eastAsia="Calibri" w:hAnsiTheme="minorHAnsi" w:cstheme="minorHAnsi"/>
          <w:b/>
          <w:bCs/>
          <w:sz w:val="28"/>
          <w:szCs w:val="28"/>
        </w:rPr>
      </w:pPr>
      <w:r w:rsidRPr="001C1A39">
        <w:rPr>
          <w:rFonts w:asciiTheme="minorHAnsi" w:eastAsia="Calibri" w:hAnsiTheme="minorHAnsi" w:cstheme="minorHAnsi"/>
          <w:b/>
          <w:bCs/>
          <w:sz w:val="28"/>
          <w:szCs w:val="28"/>
        </w:rPr>
        <w:t>Programme:</w:t>
      </w:r>
      <w:r w:rsidRPr="001C1A39">
        <w:rPr>
          <w:rFonts w:asciiTheme="minorHAnsi" w:eastAsia="Calibri" w:hAnsiTheme="minorHAnsi" w:cstheme="minorHAnsi"/>
          <w:b/>
          <w:bCs/>
          <w:sz w:val="28"/>
          <w:szCs w:val="28"/>
        </w:rPr>
        <w:t xml:space="preserve"> </w:t>
      </w:r>
      <w:r w:rsidRPr="001C1A39">
        <w:rPr>
          <w:rFonts w:asciiTheme="minorHAnsi" w:eastAsia="Calibri" w:hAnsiTheme="minorHAnsi" w:cstheme="minorHAnsi"/>
          <w:b/>
          <w:bCs/>
          <w:sz w:val="28"/>
          <w:szCs w:val="28"/>
        </w:rPr>
        <w:t xml:space="preserve">Graduate Diploma in Policing (GDIP) </w:t>
      </w:r>
    </w:p>
    <w:p w14:paraId="5FF3662D" w14:textId="069B57C5" w:rsidR="00293478" w:rsidRPr="001C1A39" w:rsidRDefault="00293478" w:rsidP="00293478">
      <w:pPr>
        <w:ind w:right="531"/>
        <w:rPr>
          <w:rFonts w:asciiTheme="minorHAnsi" w:eastAsia="Calibri" w:hAnsiTheme="minorHAnsi" w:cstheme="minorHAnsi"/>
          <w:b/>
          <w:bCs/>
          <w:sz w:val="28"/>
          <w:szCs w:val="28"/>
        </w:rPr>
      </w:pPr>
      <w:r w:rsidRPr="001C1A39">
        <w:rPr>
          <w:rFonts w:asciiTheme="minorHAnsi" w:eastAsia="Calibri" w:hAnsiTheme="minorHAnsi" w:cstheme="minorHAnsi"/>
          <w:b/>
          <w:bCs/>
          <w:sz w:val="28"/>
          <w:szCs w:val="28"/>
        </w:rPr>
        <w:t>Module:</w:t>
      </w:r>
      <w:r w:rsidRPr="001C1A39">
        <w:rPr>
          <w:rFonts w:asciiTheme="minorHAnsi" w:eastAsia="Calibri" w:hAnsiTheme="minorHAnsi" w:cstheme="minorHAnsi"/>
          <w:b/>
          <w:bCs/>
          <w:sz w:val="28"/>
          <w:szCs w:val="28"/>
        </w:rPr>
        <w:t xml:space="preserve"> </w:t>
      </w:r>
      <w:r w:rsidRPr="001C1A39">
        <w:rPr>
          <w:rFonts w:asciiTheme="minorHAnsi" w:eastAsia="Calibri" w:hAnsiTheme="minorHAnsi" w:cstheme="minorHAnsi"/>
          <w:b/>
          <w:bCs/>
          <w:sz w:val="28"/>
          <w:szCs w:val="28"/>
        </w:rPr>
        <w:t xml:space="preserve">Operational Policing Practice 3 </w:t>
      </w:r>
    </w:p>
    <w:p w14:paraId="671A6C65" w14:textId="54DF45E7" w:rsidR="00293478" w:rsidRPr="001C1A39" w:rsidRDefault="00293478" w:rsidP="00293478">
      <w:pPr>
        <w:ind w:right="531"/>
        <w:jc w:val="both"/>
        <w:rPr>
          <w:rFonts w:asciiTheme="minorHAnsi" w:eastAsia="Calibri" w:hAnsiTheme="minorHAnsi" w:cstheme="minorHAnsi"/>
          <w:b/>
          <w:bCs/>
          <w:sz w:val="28"/>
          <w:szCs w:val="28"/>
        </w:rPr>
      </w:pPr>
      <w:r w:rsidRPr="001C1A39">
        <w:rPr>
          <w:rFonts w:asciiTheme="minorHAnsi" w:eastAsia="Calibri" w:hAnsiTheme="minorHAnsi" w:cstheme="minorHAnsi"/>
          <w:b/>
          <w:bCs/>
          <w:sz w:val="28"/>
          <w:szCs w:val="28"/>
        </w:rPr>
        <w:t>Module code:</w:t>
      </w:r>
      <w:r w:rsidR="001C1A39">
        <w:rPr>
          <w:rFonts w:asciiTheme="minorHAnsi" w:eastAsia="Calibri" w:hAnsiTheme="minorHAnsi" w:cstheme="minorHAnsi"/>
          <w:b/>
          <w:bCs/>
          <w:sz w:val="28"/>
          <w:szCs w:val="28"/>
        </w:rPr>
        <w:t xml:space="preserve"> </w:t>
      </w:r>
      <w:r w:rsidRPr="001C1A39">
        <w:rPr>
          <w:rFonts w:asciiTheme="minorHAnsi" w:eastAsia="Calibri" w:hAnsiTheme="minorHAnsi" w:cstheme="minorHAnsi"/>
          <w:b/>
          <w:bCs/>
          <w:sz w:val="28"/>
          <w:szCs w:val="28"/>
        </w:rPr>
        <w:t>BMP6005D</w:t>
      </w:r>
    </w:p>
    <w:p w14:paraId="11152664" w14:textId="77777777" w:rsidR="00AB2576" w:rsidRPr="001C1A39" w:rsidRDefault="00AB2576" w:rsidP="00201F6B">
      <w:pPr>
        <w:ind w:right="531"/>
        <w:jc w:val="both"/>
        <w:rPr>
          <w:rFonts w:asciiTheme="minorHAnsi" w:eastAsia="Calibri" w:hAnsiTheme="minorHAnsi" w:cstheme="minorHAnsi"/>
          <w:b/>
          <w:bCs/>
          <w:sz w:val="22"/>
          <w:szCs w:val="22"/>
        </w:rPr>
      </w:pPr>
    </w:p>
    <w:p w14:paraId="18F751B8" w14:textId="77777777" w:rsidR="00E5391D" w:rsidRPr="001C1A39" w:rsidRDefault="00E5391D" w:rsidP="00201F6B">
      <w:pPr>
        <w:ind w:right="531"/>
        <w:jc w:val="both"/>
        <w:rPr>
          <w:rFonts w:asciiTheme="minorHAnsi" w:eastAsia="Calibri" w:hAnsiTheme="minorHAnsi" w:cstheme="minorHAnsi"/>
          <w:b/>
          <w:bCs/>
          <w:sz w:val="22"/>
          <w:szCs w:val="22"/>
        </w:rPr>
      </w:pPr>
    </w:p>
    <w:p w14:paraId="14679376" w14:textId="77777777" w:rsidR="00E5391D" w:rsidRPr="001C1A39" w:rsidRDefault="00E5391D" w:rsidP="00201F6B">
      <w:pPr>
        <w:ind w:right="531"/>
        <w:jc w:val="both"/>
        <w:rPr>
          <w:rFonts w:asciiTheme="minorHAnsi" w:eastAsia="Calibri" w:hAnsiTheme="minorHAnsi" w:cstheme="minorHAnsi"/>
          <w:b/>
          <w:bCs/>
          <w:sz w:val="22"/>
          <w:szCs w:val="22"/>
        </w:rPr>
      </w:pPr>
    </w:p>
    <w:p w14:paraId="732D3EDD" w14:textId="77777777" w:rsidR="00AB2576" w:rsidRPr="001C1A39" w:rsidRDefault="00AB2576" w:rsidP="00201F6B">
      <w:pPr>
        <w:ind w:right="531"/>
        <w:jc w:val="both"/>
        <w:rPr>
          <w:rFonts w:asciiTheme="minorHAnsi" w:eastAsia="Calibri" w:hAnsiTheme="minorHAnsi" w:cstheme="minorHAnsi"/>
          <w:b/>
          <w:bCs/>
          <w:sz w:val="22"/>
          <w:szCs w:val="22"/>
        </w:rPr>
      </w:pPr>
    </w:p>
    <w:p w14:paraId="6B2CE1C0" w14:textId="736E8D3C" w:rsidR="005B5DD4" w:rsidRPr="001C1A39" w:rsidRDefault="00394E0E" w:rsidP="00201F6B">
      <w:pPr>
        <w:ind w:right="531"/>
        <w:jc w:val="both"/>
        <w:rPr>
          <w:rFonts w:asciiTheme="minorHAnsi" w:eastAsia="Calibri" w:hAnsiTheme="minorHAnsi" w:cstheme="minorHAnsi"/>
          <w:b/>
          <w:bCs/>
          <w:sz w:val="22"/>
          <w:szCs w:val="22"/>
        </w:rPr>
      </w:pPr>
      <w:r w:rsidRPr="001C1A39">
        <w:rPr>
          <w:rFonts w:asciiTheme="minorHAnsi" w:eastAsia="Calibri" w:hAnsiTheme="minorHAnsi" w:cstheme="minorHAnsi"/>
          <w:b/>
          <w:bCs/>
          <w:sz w:val="22"/>
          <w:szCs w:val="22"/>
        </w:rPr>
        <w:t>Essay one:</w:t>
      </w:r>
    </w:p>
    <w:p w14:paraId="19170DFA" w14:textId="51314B91" w:rsidR="00394E0E" w:rsidRPr="001C1A39" w:rsidRDefault="00394E0E" w:rsidP="005B5DD4">
      <w:pPr>
        <w:spacing w:line="256" w:lineRule="auto"/>
        <w:ind w:right="531"/>
        <w:rPr>
          <w:rFonts w:asciiTheme="minorHAnsi" w:eastAsia="Calibri" w:hAnsiTheme="minorHAnsi" w:cstheme="minorHAnsi"/>
          <w:b/>
          <w:bCs/>
          <w:sz w:val="22"/>
          <w:szCs w:val="22"/>
        </w:rPr>
      </w:pPr>
      <w:r w:rsidRPr="001C1A39">
        <w:rPr>
          <w:rFonts w:asciiTheme="minorHAnsi" w:eastAsia="Calibri" w:hAnsiTheme="minorHAnsi" w:cstheme="minorHAnsi"/>
          <w:b/>
          <w:bCs/>
          <w:sz w:val="22"/>
          <w:szCs w:val="22"/>
          <w:u w:val="single"/>
        </w:rPr>
        <w:t>Evaluate</w:t>
      </w:r>
      <w:r w:rsidRPr="001C1A39">
        <w:rPr>
          <w:rFonts w:asciiTheme="minorHAnsi" w:eastAsia="Calibri" w:hAnsiTheme="minorHAnsi" w:cstheme="minorHAnsi"/>
          <w:b/>
          <w:bCs/>
          <w:sz w:val="22"/>
          <w:szCs w:val="22"/>
        </w:rPr>
        <w:t xml:space="preserve"> the effectiveness of crime prevention strategies (e.g. problem-oriented policing, predictive policing, intelligence-led policing, reactive policing) in relation to a specific type of crime of your own choosing. Your answer must be based on academic research, not personal experience.</w:t>
      </w:r>
    </w:p>
    <w:p w14:paraId="4FEDAABD" w14:textId="77777777" w:rsidR="005B5DD4" w:rsidRPr="001C1A39" w:rsidRDefault="005B5DD4" w:rsidP="005B5DD4">
      <w:pPr>
        <w:spacing w:line="256" w:lineRule="auto"/>
        <w:ind w:right="531"/>
        <w:rPr>
          <w:rFonts w:asciiTheme="minorHAnsi" w:eastAsia="Calibri" w:hAnsiTheme="minorHAnsi" w:cstheme="minorHAnsi"/>
          <w:b/>
          <w:bCs/>
          <w:sz w:val="22"/>
          <w:szCs w:val="22"/>
        </w:rPr>
      </w:pPr>
    </w:p>
    <w:p w14:paraId="7508D166" w14:textId="77777777" w:rsidR="00201F6B" w:rsidRPr="001C1A39" w:rsidRDefault="00201F6B" w:rsidP="005B5DD4">
      <w:pPr>
        <w:spacing w:line="256" w:lineRule="auto"/>
        <w:ind w:right="531"/>
        <w:rPr>
          <w:rFonts w:asciiTheme="minorHAnsi" w:eastAsia="Calibri" w:hAnsiTheme="minorHAnsi" w:cstheme="minorHAnsi"/>
          <w:sz w:val="22"/>
          <w:szCs w:val="22"/>
        </w:rPr>
      </w:pPr>
    </w:p>
    <w:p w14:paraId="5B7A29FE" w14:textId="77777777" w:rsidR="005B5DD4" w:rsidRPr="005B5DD4" w:rsidRDefault="005B5DD4" w:rsidP="005B5DD4">
      <w:pPr>
        <w:ind w:right="540"/>
        <w:rPr>
          <w:rFonts w:asciiTheme="minorHAnsi" w:hAnsiTheme="minorHAnsi" w:cstheme="minorHAnsi"/>
          <w:sz w:val="22"/>
          <w:szCs w:val="22"/>
        </w:rPr>
      </w:pPr>
      <w:r w:rsidRPr="005B5DD4">
        <w:rPr>
          <w:rFonts w:asciiTheme="minorHAnsi" w:hAnsiTheme="minorHAnsi" w:cstheme="minorHAnsi"/>
          <w:color w:val="000000"/>
          <w:sz w:val="22"/>
          <w:szCs w:val="22"/>
        </w:rPr>
        <w:t xml:space="preserve">Crime prevention has been defined by </w:t>
      </w:r>
      <w:proofErr w:type="spellStart"/>
      <w:r w:rsidRPr="005B5DD4">
        <w:rPr>
          <w:rFonts w:asciiTheme="minorHAnsi" w:hAnsiTheme="minorHAnsi" w:cstheme="minorHAnsi"/>
          <w:color w:val="000000"/>
          <w:sz w:val="22"/>
          <w:szCs w:val="22"/>
        </w:rPr>
        <w:t>Klieman</w:t>
      </w:r>
      <w:proofErr w:type="spellEnd"/>
      <w:r w:rsidRPr="005B5DD4">
        <w:rPr>
          <w:rFonts w:asciiTheme="minorHAnsi" w:hAnsiTheme="minorHAnsi" w:cstheme="minorHAnsi"/>
          <w:color w:val="000000"/>
          <w:sz w:val="22"/>
          <w:szCs w:val="22"/>
        </w:rPr>
        <w:t xml:space="preserve"> (2009) as a mindset shift away from building more prisons and incarcerating increasing numbers of prisoners to focussing on crime reduction. It is now well accepted that crime prevention should be the focus of all officers alongside crime detection. It has the potential of freeing up resources for more proactive work by reducing the number of crimes reported (Wood et al., 2022, pp.55–57). </w:t>
      </w:r>
    </w:p>
    <w:p w14:paraId="78A9E942" w14:textId="77777777" w:rsidR="005B5DD4" w:rsidRPr="005B5DD4" w:rsidRDefault="005B5DD4" w:rsidP="005B5DD4">
      <w:pPr>
        <w:rPr>
          <w:rFonts w:asciiTheme="minorHAnsi" w:hAnsiTheme="minorHAnsi" w:cstheme="minorHAnsi"/>
          <w:sz w:val="22"/>
          <w:szCs w:val="22"/>
        </w:rPr>
      </w:pPr>
    </w:p>
    <w:p w14:paraId="29669013" w14:textId="77777777" w:rsidR="005B5DD4" w:rsidRPr="005B5DD4" w:rsidRDefault="005B5DD4" w:rsidP="005B5DD4">
      <w:pPr>
        <w:ind w:right="540"/>
        <w:rPr>
          <w:rFonts w:asciiTheme="minorHAnsi" w:hAnsiTheme="minorHAnsi" w:cstheme="minorHAnsi"/>
          <w:sz w:val="22"/>
          <w:szCs w:val="22"/>
        </w:rPr>
      </w:pPr>
      <w:r w:rsidRPr="005B5DD4">
        <w:rPr>
          <w:rFonts w:asciiTheme="minorHAnsi" w:hAnsiTheme="minorHAnsi" w:cstheme="minorHAnsi"/>
          <w:color w:val="000000"/>
          <w:sz w:val="22"/>
          <w:szCs w:val="22"/>
        </w:rPr>
        <w:t>My focus in this essay is going to be evaluating the effectiveness of crime prevention strategies in tackling drug dealing within communities. This is something that I have seen from my personal experiences in policing but is also unfortunately an issue that has plagued police forces and governments across the world for decades. Despite numerous prevention strategies the threat of drug dealing and use in the UK continues to rise and the importance of curtailing the problem is highlighted by the stark statistic that “</w:t>
      </w:r>
      <w:r w:rsidRPr="005B5DD4">
        <w:rPr>
          <w:rFonts w:asciiTheme="minorHAnsi" w:hAnsiTheme="minorHAnsi" w:cstheme="minorHAnsi"/>
          <w:i/>
          <w:iCs/>
          <w:color w:val="000000"/>
          <w:sz w:val="22"/>
          <w:szCs w:val="22"/>
        </w:rPr>
        <w:t>heroin and crack cocaine addiction is linked to almost half of all acquisitive crime… drugs contribute to almost half of all homicides</w:t>
      </w:r>
      <w:r w:rsidRPr="005B5DD4">
        <w:rPr>
          <w:rFonts w:asciiTheme="minorHAnsi" w:hAnsiTheme="minorHAnsi" w:cstheme="minorHAnsi"/>
          <w:color w:val="000000"/>
          <w:sz w:val="22"/>
          <w:szCs w:val="22"/>
        </w:rPr>
        <w:t>” (Home Office, 2021). </w:t>
      </w:r>
    </w:p>
    <w:p w14:paraId="5EB1EF8F" w14:textId="77777777" w:rsidR="005B5DD4" w:rsidRPr="005B5DD4" w:rsidRDefault="005B5DD4" w:rsidP="005B5DD4">
      <w:pPr>
        <w:rPr>
          <w:rFonts w:asciiTheme="minorHAnsi" w:hAnsiTheme="minorHAnsi" w:cstheme="minorHAnsi"/>
          <w:sz w:val="22"/>
          <w:szCs w:val="22"/>
        </w:rPr>
      </w:pPr>
    </w:p>
    <w:p w14:paraId="6B4025CD" w14:textId="77777777" w:rsidR="005B5DD4" w:rsidRPr="005B5DD4" w:rsidRDefault="005B5DD4" w:rsidP="005B5DD4">
      <w:pPr>
        <w:rPr>
          <w:rFonts w:asciiTheme="minorHAnsi" w:hAnsiTheme="minorHAnsi" w:cstheme="minorHAnsi"/>
          <w:sz w:val="22"/>
          <w:szCs w:val="22"/>
        </w:rPr>
      </w:pPr>
      <w:r w:rsidRPr="005B5DD4">
        <w:rPr>
          <w:rFonts w:asciiTheme="minorHAnsi" w:hAnsiTheme="minorHAnsi" w:cstheme="minorHAnsi"/>
          <w:color w:val="000000"/>
          <w:sz w:val="22"/>
          <w:szCs w:val="22"/>
        </w:rPr>
        <w:t>An obvious crime prevention option available to the police when drug dealing becomes prevalent in a particular area is to focus their efforts on areas that generate the most demand, often termed ‘hot spot’ policing (College of Policing, 2021). Braga et al (2019) conducted a review of previous studies and concluded that hotspot policing is an effective crime prevention strategy. Interestingly they also found that the crime does not simply shift to a neighbouring area, such as a drug dealer finding a neighbouring market for their drugs, but is more broadly dispersed and overall crime is reduced. Johannes Knutsson’s  (2010, pp.239–256) put forward the idea of “snowball crimes”. Their research shows that targeting an open air drug market is effective in reducing overall crime rates as alongside the drug dealing there are a multitude of additional offences that can be stopped at source such as robberies, prostitution and assaults by drug purchasers. </w:t>
      </w:r>
    </w:p>
    <w:p w14:paraId="16F7160C" w14:textId="77777777" w:rsidR="005B5DD4" w:rsidRPr="005B5DD4" w:rsidRDefault="005B5DD4" w:rsidP="005B5DD4">
      <w:pPr>
        <w:rPr>
          <w:rFonts w:asciiTheme="minorHAnsi" w:hAnsiTheme="minorHAnsi" w:cstheme="minorHAnsi"/>
          <w:sz w:val="22"/>
          <w:szCs w:val="22"/>
        </w:rPr>
      </w:pPr>
    </w:p>
    <w:p w14:paraId="2015857B" w14:textId="1ED82A68" w:rsidR="005B5DD4" w:rsidRPr="005B5DD4" w:rsidRDefault="005B5DD4" w:rsidP="005B5DD4">
      <w:pPr>
        <w:rPr>
          <w:rFonts w:asciiTheme="minorHAnsi" w:hAnsiTheme="minorHAnsi" w:cstheme="minorHAnsi"/>
          <w:sz w:val="22"/>
          <w:szCs w:val="22"/>
        </w:rPr>
      </w:pPr>
      <w:r w:rsidRPr="005B5DD4">
        <w:rPr>
          <w:rFonts w:asciiTheme="minorHAnsi" w:hAnsiTheme="minorHAnsi" w:cstheme="minorHAnsi"/>
          <w:color w:val="000000"/>
          <w:sz w:val="22"/>
          <w:szCs w:val="22"/>
        </w:rPr>
        <w:t xml:space="preserve">However, the police cannot indefinitely maintain a presence in a ‘hot spot’ area and despite its apparent success as shown above more holistic approaches are needed to tackle drug offences. Problem oriented policing (POP) is a popular concept of crime prevention that was first devised by Goldstein (1979). It can encapsulate a broad spectrum of crime prevention solutions and focuses on a problem's root cause rather than simply reacting once a report has been made to the police (Wakefield and Fleming, 2009). It is a </w:t>
      </w:r>
      <w:r w:rsidR="000B340C" w:rsidRPr="001C1A39">
        <w:rPr>
          <w:rFonts w:asciiTheme="minorHAnsi" w:hAnsiTheme="minorHAnsi" w:cstheme="minorHAnsi"/>
          <w:color w:val="000000"/>
          <w:sz w:val="22"/>
          <w:szCs w:val="22"/>
        </w:rPr>
        <w:t>well-established</w:t>
      </w:r>
      <w:r w:rsidRPr="005B5DD4">
        <w:rPr>
          <w:rFonts w:asciiTheme="minorHAnsi" w:hAnsiTheme="minorHAnsi" w:cstheme="minorHAnsi"/>
          <w:color w:val="000000"/>
          <w:sz w:val="22"/>
          <w:szCs w:val="22"/>
        </w:rPr>
        <w:t xml:space="preserve"> part of policing and has been empirically shown to be an effective means of preventing crime (College of Policing, 2020). </w:t>
      </w:r>
    </w:p>
    <w:p w14:paraId="74AE7F38" w14:textId="77777777" w:rsidR="005B5DD4" w:rsidRPr="005B5DD4" w:rsidRDefault="005B5DD4" w:rsidP="005B5DD4">
      <w:pPr>
        <w:rPr>
          <w:rFonts w:asciiTheme="minorHAnsi" w:hAnsiTheme="minorHAnsi" w:cstheme="minorHAnsi"/>
          <w:sz w:val="22"/>
          <w:szCs w:val="22"/>
        </w:rPr>
      </w:pPr>
    </w:p>
    <w:p w14:paraId="655388BE" w14:textId="77777777" w:rsidR="005B5DD4" w:rsidRPr="005B5DD4" w:rsidRDefault="005B5DD4" w:rsidP="005B5DD4">
      <w:pPr>
        <w:rPr>
          <w:rFonts w:asciiTheme="minorHAnsi" w:hAnsiTheme="minorHAnsi" w:cstheme="minorHAnsi"/>
          <w:sz w:val="22"/>
          <w:szCs w:val="22"/>
        </w:rPr>
      </w:pPr>
      <w:r w:rsidRPr="005B5DD4">
        <w:rPr>
          <w:rFonts w:asciiTheme="minorHAnsi" w:hAnsiTheme="minorHAnsi" w:cstheme="minorHAnsi"/>
          <w:color w:val="000000"/>
          <w:sz w:val="22"/>
          <w:szCs w:val="22"/>
        </w:rPr>
        <w:lastRenderedPageBreak/>
        <w:t>Despite its overall efficacy as a concept when applied to the problem of drug dealing not all studies have shown convincing results. Australian research on the effectiveness of Operation Mantle in Adelaide found that despite using an intelligence led approach and engaging with the community to tackle the spiralling drug dealing problem none of the areas within Adelaide managed to make dramatic reductions during the six months the operation lasted. At best the areas in the study managed to only halt or minimise increases in crime rates that had been steadily increasing year upon year. The study showed almost no impact on drug related crimes such as robberies.   </w:t>
      </w:r>
    </w:p>
    <w:p w14:paraId="50B1D589" w14:textId="77777777" w:rsidR="005B5DD4" w:rsidRPr="005B5DD4" w:rsidRDefault="005B5DD4" w:rsidP="005B5DD4">
      <w:pPr>
        <w:rPr>
          <w:rFonts w:asciiTheme="minorHAnsi" w:hAnsiTheme="minorHAnsi" w:cstheme="minorHAnsi"/>
          <w:sz w:val="22"/>
          <w:szCs w:val="22"/>
        </w:rPr>
      </w:pPr>
    </w:p>
    <w:p w14:paraId="5159D3EB" w14:textId="77777777" w:rsidR="005B5DD4" w:rsidRPr="005B5DD4" w:rsidRDefault="005B5DD4" w:rsidP="005B5DD4">
      <w:pPr>
        <w:rPr>
          <w:rFonts w:asciiTheme="minorHAnsi" w:hAnsiTheme="minorHAnsi" w:cstheme="minorHAnsi"/>
          <w:sz w:val="22"/>
          <w:szCs w:val="22"/>
        </w:rPr>
      </w:pPr>
      <w:r w:rsidRPr="005B5DD4">
        <w:rPr>
          <w:rFonts w:asciiTheme="minorHAnsi" w:hAnsiTheme="minorHAnsi" w:cstheme="minorHAnsi"/>
          <w:color w:val="000000"/>
          <w:sz w:val="22"/>
          <w:szCs w:val="22"/>
        </w:rPr>
        <w:t>Similarly Zimring (2012) wrote a book on the dramatic reductions in New York City crime rates between 1990-2009, hailing the over 80% drop in crime rates as the largest ever recorded. Although he describes how a transformation in the polices attitude towards being able to change the environment his view is that the polices role in crime prevention only accounted for less than half of the total decline in crime.</w:t>
      </w:r>
    </w:p>
    <w:p w14:paraId="7E23AE77" w14:textId="77777777" w:rsidR="005B5DD4" w:rsidRPr="005B5DD4" w:rsidRDefault="005B5DD4" w:rsidP="005B5DD4">
      <w:pPr>
        <w:rPr>
          <w:rFonts w:asciiTheme="minorHAnsi" w:hAnsiTheme="minorHAnsi" w:cstheme="minorHAnsi"/>
          <w:sz w:val="22"/>
          <w:szCs w:val="22"/>
        </w:rPr>
      </w:pPr>
    </w:p>
    <w:p w14:paraId="39E9121A" w14:textId="77777777" w:rsidR="005B5DD4" w:rsidRPr="005B5DD4" w:rsidRDefault="005B5DD4" w:rsidP="005B5DD4">
      <w:pPr>
        <w:ind w:right="540"/>
        <w:rPr>
          <w:rFonts w:asciiTheme="minorHAnsi" w:hAnsiTheme="minorHAnsi" w:cstheme="minorHAnsi"/>
          <w:sz w:val="22"/>
          <w:szCs w:val="22"/>
        </w:rPr>
      </w:pPr>
      <w:r w:rsidRPr="005B5DD4">
        <w:rPr>
          <w:rFonts w:asciiTheme="minorHAnsi" w:hAnsiTheme="minorHAnsi" w:cstheme="minorHAnsi"/>
          <w:color w:val="000000"/>
          <w:sz w:val="22"/>
          <w:szCs w:val="22"/>
        </w:rPr>
        <w:t>There are however numerous studies that show problem orientated policing has been successful in tackling drug dealing. Mazerolle et al (2006) conducted a meta-analytical review of the best studies they deemed to have been previously conducted. They concluded that problem oriented policing was more successful than police only targeting hotspot areas. They concluded that involving the community and tailoring an approach to the specific problem in the area resulted in better outcomes. </w:t>
      </w:r>
    </w:p>
    <w:p w14:paraId="3D68477D" w14:textId="77777777" w:rsidR="005B5DD4" w:rsidRPr="005B5DD4" w:rsidRDefault="005B5DD4" w:rsidP="005B5DD4">
      <w:pPr>
        <w:rPr>
          <w:rFonts w:asciiTheme="minorHAnsi" w:hAnsiTheme="minorHAnsi" w:cstheme="minorHAnsi"/>
          <w:sz w:val="22"/>
          <w:szCs w:val="22"/>
        </w:rPr>
      </w:pPr>
    </w:p>
    <w:p w14:paraId="648B4A4B" w14:textId="77777777" w:rsidR="005B5DD4" w:rsidRPr="005B5DD4" w:rsidRDefault="005B5DD4" w:rsidP="005B5DD4">
      <w:pPr>
        <w:ind w:right="540"/>
        <w:rPr>
          <w:rFonts w:asciiTheme="minorHAnsi" w:hAnsiTheme="minorHAnsi" w:cstheme="minorHAnsi"/>
          <w:sz w:val="22"/>
          <w:szCs w:val="22"/>
        </w:rPr>
      </w:pPr>
      <w:r w:rsidRPr="005B5DD4">
        <w:rPr>
          <w:rFonts w:asciiTheme="minorHAnsi" w:hAnsiTheme="minorHAnsi" w:cstheme="minorHAnsi"/>
          <w:color w:val="000000"/>
          <w:sz w:val="22"/>
          <w:szCs w:val="22"/>
        </w:rPr>
        <w:t>Saunders et al (2016) found that in their research despite the police adopting a crime prevention approach tailored to the local community, and the community appreciating the increased police efforts to tackle drug dealing, their overall negative perception of the police did not shift. They deduced that such changes would be much slower but further research was needed in this area. </w:t>
      </w:r>
    </w:p>
    <w:p w14:paraId="4EAE0ED0" w14:textId="77777777" w:rsidR="005B5DD4" w:rsidRPr="005B5DD4" w:rsidRDefault="005B5DD4" w:rsidP="005B5DD4">
      <w:pPr>
        <w:rPr>
          <w:rFonts w:asciiTheme="minorHAnsi" w:hAnsiTheme="minorHAnsi" w:cstheme="minorHAnsi"/>
          <w:sz w:val="22"/>
          <w:szCs w:val="22"/>
        </w:rPr>
      </w:pPr>
    </w:p>
    <w:p w14:paraId="067B2D2A" w14:textId="65DFAB40" w:rsidR="005B5DD4" w:rsidRPr="005B5DD4" w:rsidRDefault="005B5DD4" w:rsidP="005B5DD4">
      <w:pPr>
        <w:rPr>
          <w:rFonts w:asciiTheme="minorHAnsi" w:hAnsiTheme="minorHAnsi" w:cstheme="minorHAnsi"/>
          <w:sz w:val="22"/>
          <w:szCs w:val="22"/>
        </w:rPr>
      </w:pPr>
      <w:r w:rsidRPr="005B5DD4">
        <w:rPr>
          <w:rFonts w:asciiTheme="minorHAnsi" w:hAnsiTheme="minorHAnsi" w:cstheme="minorHAnsi"/>
          <w:color w:val="000000"/>
          <w:sz w:val="22"/>
          <w:szCs w:val="22"/>
        </w:rPr>
        <w:t xml:space="preserve">If individuals are steered away from drug markets in the first place then the pool of potential buyers will be smaller. Braga et al (2018) found that there was sufficient evidence to show that deterrence strategies focussed on preventing individuals becoming involved in drug use generated “noteworthy crime reductions”, but these should be employed as part of a wider portfolio of measures. The work of Pierce et al (2017) supports that targeted interventions are useful in preventing individuals from further offending. They found that those that go on to become involved in drug related crime display higher levels of offending before their drug use and targeted intervention at this stage particularly on young offenders can help avoid these individuals becoming substance users/dealers. An alternative angle that has been researched are targeted interventions against prisoners whose crimes are linked to drug use. Australian research by </w:t>
      </w:r>
      <w:proofErr w:type="spellStart"/>
      <w:r w:rsidRPr="005B5DD4">
        <w:rPr>
          <w:rFonts w:asciiTheme="minorHAnsi" w:hAnsiTheme="minorHAnsi" w:cstheme="minorHAnsi"/>
          <w:color w:val="000000"/>
          <w:sz w:val="22"/>
          <w:szCs w:val="22"/>
        </w:rPr>
        <w:t>Gannoni</w:t>
      </w:r>
      <w:proofErr w:type="spellEnd"/>
      <w:r w:rsidRPr="005B5DD4">
        <w:rPr>
          <w:rFonts w:asciiTheme="minorHAnsi" w:hAnsiTheme="minorHAnsi" w:cstheme="minorHAnsi"/>
          <w:color w:val="000000"/>
          <w:sz w:val="22"/>
          <w:szCs w:val="22"/>
        </w:rPr>
        <w:t xml:space="preserve"> and </w:t>
      </w:r>
      <w:proofErr w:type="spellStart"/>
      <w:r w:rsidRPr="005B5DD4">
        <w:rPr>
          <w:rFonts w:asciiTheme="minorHAnsi" w:hAnsiTheme="minorHAnsi" w:cstheme="minorHAnsi"/>
          <w:color w:val="000000"/>
          <w:sz w:val="22"/>
          <w:szCs w:val="22"/>
        </w:rPr>
        <w:t>Goldsmid</w:t>
      </w:r>
      <w:proofErr w:type="spellEnd"/>
      <w:r w:rsidRPr="005B5DD4">
        <w:rPr>
          <w:rFonts w:asciiTheme="minorHAnsi" w:hAnsiTheme="minorHAnsi" w:cstheme="minorHAnsi"/>
          <w:color w:val="000000"/>
          <w:sz w:val="22"/>
          <w:szCs w:val="22"/>
        </w:rPr>
        <w:t xml:space="preserve"> (2017) found that a large proportion of drug-using detainees were open to seeking help</w:t>
      </w:r>
      <w:r w:rsidRPr="005B5DD4">
        <w:rPr>
          <w:rFonts w:asciiTheme="minorHAnsi" w:hAnsiTheme="minorHAnsi" w:cstheme="minorHAnsi"/>
          <w:color w:val="000000"/>
          <w:sz w:val="22"/>
          <w:szCs w:val="22"/>
          <w:u w:val="single"/>
        </w:rPr>
        <w:t xml:space="preserve"> </w:t>
      </w:r>
      <w:r w:rsidRPr="005B5DD4">
        <w:rPr>
          <w:rFonts w:asciiTheme="minorHAnsi" w:hAnsiTheme="minorHAnsi" w:cstheme="minorHAnsi"/>
          <w:color w:val="000000"/>
          <w:sz w:val="22"/>
          <w:szCs w:val="22"/>
        </w:rPr>
        <w:t>for their drug use whilst inside prison thereby potentially reducing drug-related crime upon their release. </w:t>
      </w:r>
    </w:p>
    <w:p w14:paraId="3E805171" w14:textId="77777777" w:rsidR="005B5DD4" w:rsidRPr="005B5DD4" w:rsidRDefault="005B5DD4" w:rsidP="005B5DD4">
      <w:pPr>
        <w:rPr>
          <w:rFonts w:asciiTheme="minorHAnsi" w:hAnsiTheme="minorHAnsi" w:cstheme="minorHAnsi"/>
          <w:sz w:val="22"/>
          <w:szCs w:val="22"/>
        </w:rPr>
      </w:pPr>
    </w:p>
    <w:p w14:paraId="5BC123D5" w14:textId="2EA7430E" w:rsidR="005B5DD4" w:rsidRPr="005B5DD4" w:rsidRDefault="005B5DD4" w:rsidP="005B5DD4">
      <w:pPr>
        <w:ind w:right="540"/>
        <w:rPr>
          <w:rFonts w:asciiTheme="minorHAnsi" w:hAnsiTheme="minorHAnsi" w:cstheme="minorHAnsi"/>
          <w:sz w:val="22"/>
          <w:szCs w:val="22"/>
        </w:rPr>
      </w:pPr>
      <w:r w:rsidRPr="005B5DD4">
        <w:rPr>
          <w:rFonts w:asciiTheme="minorHAnsi" w:hAnsiTheme="minorHAnsi" w:cstheme="minorHAnsi"/>
          <w:color w:val="000000"/>
          <w:sz w:val="22"/>
          <w:szCs w:val="22"/>
        </w:rPr>
        <w:t xml:space="preserve">Despite the mixed outcome from the research it became apparent from all of the studies that I have reviewed that the problem of drug dealing and drug use in a community cannot be solved alone by a simple </w:t>
      </w:r>
      <w:r w:rsidR="00046AF9" w:rsidRPr="001C1A39">
        <w:rPr>
          <w:rFonts w:asciiTheme="minorHAnsi" w:hAnsiTheme="minorHAnsi" w:cstheme="minorHAnsi"/>
          <w:color w:val="000000"/>
          <w:sz w:val="22"/>
          <w:szCs w:val="22"/>
        </w:rPr>
        <w:t>ready-made</w:t>
      </w:r>
      <w:r w:rsidRPr="005B5DD4">
        <w:rPr>
          <w:rFonts w:asciiTheme="minorHAnsi" w:hAnsiTheme="minorHAnsi" w:cstheme="minorHAnsi"/>
          <w:color w:val="000000"/>
          <w:sz w:val="22"/>
          <w:szCs w:val="22"/>
        </w:rPr>
        <w:t xml:space="preserve"> solution. As Zimring (2012) wrote in his book on the success in New York the success in crime reduction was a result of a range of measures rather than an individual ‘silver bullet’. In conclusion, for such a complex problem as drug dealing any police response that is looking to make lasting and significant improvements needs to tackle the problem from a variety of angles and involve multi-agency working.</w:t>
      </w:r>
    </w:p>
    <w:p w14:paraId="26E6F193" w14:textId="77777777" w:rsidR="005B5DD4" w:rsidRPr="001C1A39" w:rsidRDefault="005B5DD4" w:rsidP="005B5DD4">
      <w:pPr>
        <w:spacing w:line="256" w:lineRule="auto"/>
        <w:ind w:right="531"/>
        <w:rPr>
          <w:rFonts w:asciiTheme="minorHAnsi" w:hAnsiTheme="minorHAnsi" w:cstheme="minorHAnsi"/>
          <w:sz w:val="22"/>
          <w:szCs w:val="22"/>
        </w:rPr>
      </w:pPr>
    </w:p>
    <w:p w14:paraId="5842B7A9" w14:textId="77777777" w:rsidR="00394E0E" w:rsidRPr="001C1A39" w:rsidRDefault="00394E0E" w:rsidP="00394E0E">
      <w:pPr>
        <w:spacing w:line="256" w:lineRule="auto"/>
        <w:ind w:right="531"/>
        <w:rPr>
          <w:rFonts w:asciiTheme="minorHAnsi" w:hAnsiTheme="minorHAnsi" w:cstheme="minorHAnsi"/>
          <w:sz w:val="22"/>
          <w:szCs w:val="22"/>
        </w:rPr>
      </w:pPr>
    </w:p>
    <w:p w14:paraId="128CB92C" w14:textId="77777777" w:rsidR="00394E0E" w:rsidRPr="001C1A39" w:rsidRDefault="00394E0E" w:rsidP="00394E0E">
      <w:pPr>
        <w:spacing w:line="256" w:lineRule="auto"/>
        <w:ind w:right="531"/>
        <w:rPr>
          <w:rFonts w:asciiTheme="minorHAnsi" w:hAnsiTheme="minorHAnsi" w:cstheme="minorHAnsi"/>
          <w:sz w:val="22"/>
          <w:szCs w:val="22"/>
        </w:rPr>
      </w:pPr>
    </w:p>
    <w:p w14:paraId="4C754D58" w14:textId="77777777" w:rsidR="001C1A39" w:rsidRPr="001C1A39" w:rsidRDefault="005B5DD4" w:rsidP="001C1A39">
      <w:pPr>
        <w:spacing w:line="256" w:lineRule="auto"/>
        <w:ind w:right="531"/>
        <w:rPr>
          <w:rFonts w:asciiTheme="minorHAnsi" w:hAnsiTheme="minorHAnsi" w:cstheme="minorHAnsi"/>
          <w:sz w:val="22"/>
          <w:szCs w:val="22"/>
        </w:rPr>
      </w:pPr>
      <w:r w:rsidRPr="001C1A39">
        <w:rPr>
          <w:rFonts w:asciiTheme="minorHAnsi" w:hAnsiTheme="minorHAnsi" w:cstheme="minorHAnsi"/>
          <w:sz w:val="22"/>
          <w:szCs w:val="22"/>
          <w:u w:val="single"/>
        </w:rPr>
        <w:t>Word count</w:t>
      </w:r>
      <w:r w:rsidRPr="001C1A39">
        <w:rPr>
          <w:rFonts w:asciiTheme="minorHAnsi" w:hAnsiTheme="minorHAnsi" w:cstheme="minorHAnsi"/>
          <w:sz w:val="22"/>
          <w:szCs w:val="22"/>
        </w:rPr>
        <w:t xml:space="preserve">: </w:t>
      </w:r>
      <w:r w:rsidR="00046AF9" w:rsidRPr="001C1A39">
        <w:rPr>
          <w:rFonts w:asciiTheme="minorHAnsi" w:hAnsiTheme="minorHAnsi" w:cstheme="minorHAnsi"/>
          <w:sz w:val="22"/>
          <w:szCs w:val="22"/>
        </w:rPr>
        <w:t>1034</w:t>
      </w:r>
    </w:p>
    <w:p w14:paraId="3BA87A3E" w14:textId="63BC5E2A" w:rsidR="00394E0E" w:rsidRPr="001C1A39" w:rsidRDefault="00394E0E" w:rsidP="001C1A39">
      <w:pPr>
        <w:spacing w:line="256" w:lineRule="auto"/>
        <w:ind w:right="531"/>
        <w:rPr>
          <w:rFonts w:asciiTheme="minorHAnsi" w:hAnsiTheme="minorHAnsi" w:cstheme="minorHAnsi"/>
          <w:sz w:val="22"/>
          <w:szCs w:val="22"/>
        </w:rPr>
      </w:pPr>
      <w:r w:rsidRPr="001C1A39">
        <w:rPr>
          <w:rFonts w:asciiTheme="minorHAnsi" w:hAnsiTheme="minorHAnsi" w:cstheme="minorHAnsi"/>
          <w:b/>
          <w:bCs/>
          <w:sz w:val="22"/>
          <w:szCs w:val="22"/>
        </w:rPr>
        <w:lastRenderedPageBreak/>
        <w:t>Essay two:</w:t>
      </w:r>
    </w:p>
    <w:p w14:paraId="792E3298" w14:textId="77777777" w:rsidR="00394E0E" w:rsidRPr="001C1A39" w:rsidRDefault="00394E0E" w:rsidP="00201F6B">
      <w:pPr>
        <w:spacing w:line="256" w:lineRule="auto"/>
        <w:ind w:right="531"/>
        <w:rPr>
          <w:rFonts w:asciiTheme="minorHAnsi" w:eastAsia="Calibri" w:hAnsiTheme="minorHAnsi" w:cstheme="minorHAnsi"/>
          <w:b/>
          <w:bCs/>
          <w:sz w:val="22"/>
          <w:szCs w:val="22"/>
        </w:rPr>
      </w:pPr>
      <w:r w:rsidRPr="001C1A39">
        <w:rPr>
          <w:rFonts w:asciiTheme="minorHAnsi" w:eastAsia="Calibri" w:hAnsiTheme="minorHAnsi" w:cstheme="minorHAnsi"/>
          <w:b/>
          <w:bCs/>
          <w:sz w:val="22"/>
          <w:szCs w:val="22"/>
        </w:rPr>
        <w:t xml:space="preserve">Digital policing – </w:t>
      </w:r>
      <w:r w:rsidRPr="001C1A39">
        <w:rPr>
          <w:rFonts w:asciiTheme="minorHAnsi" w:eastAsia="Calibri" w:hAnsiTheme="minorHAnsi" w:cstheme="minorHAnsi"/>
          <w:b/>
          <w:bCs/>
          <w:sz w:val="22"/>
          <w:szCs w:val="22"/>
          <w:u w:val="single"/>
        </w:rPr>
        <w:t>assess</w:t>
      </w:r>
      <w:r w:rsidRPr="001C1A39">
        <w:rPr>
          <w:rFonts w:asciiTheme="minorHAnsi" w:eastAsia="Calibri" w:hAnsiTheme="minorHAnsi" w:cstheme="minorHAnsi"/>
          <w:b/>
          <w:bCs/>
          <w:sz w:val="22"/>
          <w:szCs w:val="22"/>
        </w:rPr>
        <w:t xml:space="preserve"> the role of specialist units in investigating cybercrime.</w:t>
      </w:r>
    </w:p>
    <w:p w14:paraId="7AE4CA8F" w14:textId="77777777" w:rsidR="00394E0E" w:rsidRPr="001C1A39" w:rsidRDefault="00394E0E" w:rsidP="00394E0E">
      <w:pPr>
        <w:ind w:left="567" w:right="531"/>
        <w:jc w:val="both"/>
        <w:rPr>
          <w:rFonts w:asciiTheme="minorHAnsi" w:hAnsiTheme="minorHAnsi" w:cstheme="minorHAnsi"/>
          <w:sz w:val="22"/>
          <w:szCs w:val="22"/>
        </w:rPr>
      </w:pPr>
    </w:p>
    <w:p w14:paraId="3E574687" w14:textId="77777777" w:rsidR="005B5DD4" w:rsidRPr="001C1A39" w:rsidRDefault="005B5DD4" w:rsidP="00394E0E">
      <w:pPr>
        <w:ind w:left="567" w:right="531"/>
        <w:jc w:val="both"/>
        <w:rPr>
          <w:rFonts w:asciiTheme="minorHAnsi" w:hAnsiTheme="minorHAnsi" w:cstheme="minorHAnsi"/>
          <w:sz w:val="22"/>
          <w:szCs w:val="22"/>
        </w:rPr>
      </w:pPr>
    </w:p>
    <w:p w14:paraId="449AA587" w14:textId="55D450F5" w:rsidR="005B5DD4" w:rsidRPr="001C1A39" w:rsidRDefault="005B5DD4" w:rsidP="005B5DD4">
      <w:pPr>
        <w:pStyle w:val="NormalWeb"/>
        <w:spacing w:before="0" w:beforeAutospacing="0" w:after="240" w:afterAutospacing="0"/>
        <w:rPr>
          <w:rFonts w:asciiTheme="minorHAnsi" w:hAnsiTheme="minorHAnsi" w:cstheme="minorHAnsi"/>
          <w:sz w:val="22"/>
          <w:szCs w:val="22"/>
        </w:rPr>
      </w:pPr>
      <w:r w:rsidRPr="001C1A39">
        <w:rPr>
          <w:rFonts w:asciiTheme="minorHAnsi" w:hAnsiTheme="minorHAnsi" w:cstheme="minorHAnsi"/>
          <w:color w:val="000000"/>
          <w:sz w:val="22"/>
          <w:szCs w:val="22"/>
        </w:rPr>
        <w:t>According to Cabinet Office (2011) cybercrime covers a broad range of activities and can be defined exploiting “</w:t>
      </w:r>
      <w:r w:rsidRPr="001C1A39">
        <w:rPr>
          <w:rFonts w:asciiTheme="minorHAnsi" w:hAnsiTheme="minorHAnsi" w:cstheme="minorHAnsi"/>
          <w:i/>
          <w:iCs/>
          <w:color w:val="000000"/>
          <w:sz w:val="22"/>
          <w:szCs w:val="22"/>
        </w:rPr>
        <w:t xml:space="preserve">vulnerabilities in the use of the internet and other electronic systems to illicitly access or attack information and services used by citizens, business and the Government” </w:t>
      </w:r>
      <w:r w:rsidRPr="001C1A39">
        <w:rPr>
          <w:rFonts w:asciiTheme="minorHAnsi" w:hAnsiTheme="minorHAnsi" w:cstheme="minorHAnsi"/>
          <w:color w:val="000000"/>
          <w:sz w:val="22"/>
          <w:szCs w:val="22"/>
        </w:rPr>
        <w:t>for financial gain.</w:t>
      </w:r>
      <w:r w:rsidRPr="001C1A39">
        <w:rPr>
          <w:rFonts w:asciiTheme="minorHAnsi" w:hAnsiTheme="minorHAnsi" w:cstheme="minorHAnsi"/>
          <w:i/>
          <w:iCs/>
          <w:color w:val="000000"/>
          <w:sz w:val="22"/>
          <w:szCs w:val="22"/>
        </w:rPr>
        <w:t xml:space="preserve"> </w:t>
      </w:r>
      <w:r w:rsidRPr="001C1A39">
        <w:rPr>
          <w:rFonts w:asciiTheme="minorHAnsi" w:hAnsiTheme="minorHAnsi" w:cstheme="minorHAnsi"/>
          <w:color w:val="000000"/>
          <w:sz w:val="22"/>
          <w:szCs w:val="22"/>
        </w:rPr>
        <w:t xml:space="preserve">The NCA (2019) states that the most common cyber threats include criminals hacking into social media and emails and distributed denial of service (DDOS) attacks against websites. A very recent example of a DDOS attack being against </w:t>
      </w:r>
      <w:r w:rsidR="00B914B9" w:rsidRPr="001C1A39">
        <w:rPr>
          <w:rFonts w:asciiTheme="minorHAnsi" w:hAnsiTheme="minorHAnsi" w:cstheme="minorHAnsi"/>
          <w:color w:val="000000"/>
          <w:sz w:val="22"/>
          <w:szCs w:val="22"/>
        </w:rPr>
        <w:t>pro-Russian</w:t>
      </w:r>
      <w:r w:rsidRPr="001C1A39">
        <w:rPr>
          <w:rFonts w:asciiTheme="minorHAnsi" w:hAnsiTheme="minorHAnsi" w:cstheme="minorHAnsi"/>
          <w:color w:val="000000"/>
          <w:sz w:val="22"/>
          <w:szCs w:val="22"/>
        </w:rPr>
        <w:t xml:space="preserve"> networks broadcasting a key speech by Putin (</w:t>
      </w:r>
      <w:proofErr w:type="spellStart"/>
      <w:r w:rsidRPr="001C1A39">
        <w:rPr>
          <w:rFonts w:asciiTheme="minorHAnsi" w:hAnsiTheme="minorHAnsi" w:cstheme="minorHAnsi"/>
          <w:color w:val="000000"/>
          <w:sz w:val="22"/>
          <w:szCs w:val="22"/>
        </w:rPr>
        <w:t>Schappert</w:t>
      </w:r>
      <w:proofErr w:type="spellEnd"/>
      <w:r w:rsidRPr="001C1A39">
        <w:rPr>
          <w:rFonts w:asciiTheme="minorHAnsi" w:hAnsiTheme="minorHAnsi" w:cstheme="minorHAnsi"/>
          <w:color w:val="000000"/>
          <w:sz w:val="22"/>
          <w:szCs w:val="22"/>
        </w:rPr>
        <w:t>, 2023). According to the research (Cabinet Office, 2011) the total cost of cybercrime to the UK economy is at least £27 billion per year. </w:t>
      </w:r>
    </w:p>
    <w:p w14:paraId="7BCD1876" w14:textId="414BB97A" w:rsidR="005B5DD4" w:rsidRPr="001C1A39" w:rsidRDefault="005B5DD4" w:rsidP="005B5DD4">
      <w:pPr>
        <w:pStyle w:val="NormalWeb"/>
        <w:spacing w:before="0" w:beforeAutospacing="0" w:after="240" w:afterAutospacing="0"/>
        <w:rPr>
          <w:rFonts w:asciiTheme="minorHAnsi" w:hAnsiTheme="minorHAnsi" w:cstheme="minorHAnsi"/>
          <w:sz w:val="22"/>
          <w:szCs w:val="22"/>
        </w:rPr>
      </w:pPr>
      <w:r w:rsidRPr="001C1A39">
        <w:rPr>
          <w:rFonts w:asciiTheme="minorHAnsi" w:hAnsiTheme="minorHAnsi" w:cstheme="minorHAnsi"/>
          <w:color w:val="000000"/>
          <w:sz w:val="22"/>
          <w:szCs w:val="22"/>
        </w:rPr>
        <w:t xml:space="preserve">The view of </w:t>
      </w:r>
      <w:proofErr w:type="spellStart"/>
      <w:r w:rsidRPr="001C1A39">
        <w:rPr>
          <w:rFonts w:asciiTheme="minorHAnsi" w:hAnsiTheme="minorHAnsi" w:cstheme="minorHAnsi"/>
          <w:color w:val="000000"/>
          <w:sz w:val="22"/>
          <w:szCs w:val="22"/>
        </w:rPr>
        <w:t>Burruss</w:t>
      </w:r>
      <w:proofErr w:type="spellEnd"/>
      <w:r w:rsidRPr="001C1A39">
        <w:rPr>
          <w:rFonts w:asciiTheme="minorHAnsi" w:hAnsiTheme="minorHAnsi" w:cstheme="minorHAnsi"/>
          <w:color w:val="000000"/>
          <w:sz w:val="22"/>
          <w:szCs w:val="22"/>
        </w:rPr>
        <w:t xml:space="preserve"> et al. (2019) is that despite many </w:t>
      </w:r>
      <w:proofErr w:type="spellStart"/>
      <w:r w:rsidRPr="001C1A39">
        <w:rPr>
          <w:rFonts w:asciiTheme="minorHAnsi" w:hAnsiTheme="minorHAnsi" w:cstheme="minorHAnsi"/>
          <w:color w:val="000000"/>
          <w:sz w:val="22"/>
          <w:szCs w:val="22"/>
        </w:rPr>
        <w:t>cyber crimes</w:t>
      </w:r>
      <w:proofErr w:type="spellEnd"/>
      <w:r w:rsidRPr="001C1A39">
        <w:rPr>
          <w:rFonts w:asciiTheme="minorHAnsi" w:hAnsiTheme="minorHAnsi" w:cstheme="minorHAnsi"/>
          <w:color w:val="000000"/>
          <w:sz w:val="22"/>
          <w:szCs w:val="22"/>
        </w:rPr>
        <w:t xml:space="preserve"> being perpetrated from outside the UK the burden has fallen very much on local police forces. This meant that local specialist units were created to help reduce the load on uniformed officers. In recent times the number of specialist officers has not always been high, in 2014 officers dealing with fraud and cyber enabled crime </w:t>
      </w:r>
      <w:r w:rsidR="00B914B9" w:rsidRPr="001C1A39">
        <w:rPr>
          <w:rFonts w:asciiTheme="minorHAnsi" w:hAnsiTheme="minorHAnsi" w:cstheme="minorHAnsi"/>
          <w:color w:val="000000"/>
          <w:sz w:val="22"/>
          <w:szCs w:val="22"/>
        </w:rPr>
        <w:t>totalled</w:t>
      </w:r>
      <w:r w:rsidRPr="001C1A39">
        <w:rPr>
          <w:rFonts w:asciiTheme="minorHAnsi" w:hAnsiTheme="minorHAnsi" w:cstheme="minorHAnsi"/>
          <w:color w:val="000000"/>
          <w:sz w:val="22"/>
          <w:szCs w:val="22"/>
        </w:rPr>
        <w:t xml:space="preserve"> approximately 0.27% of all police personnel (Loveday, 2017). There has however recently been an increase in centralised funding for cybercrime units and HMIC noted in a 2019 review (NPCC, 2019) that the overall service provided was good, but there was still room for improvement. </w:t>
      </w:r>
    </w:p>
    <w:p w14:paraId="063060B4" w14:textId="77777777" w:rsidR="005B5DD4" w:rsidRPr="001C1A39" w:rsidRDefault="005B5DD4" w:rsidP="005B5DD4">
      <w:pPr>
        <w:pStyle w:val="NormalWeb"/>
        <w:spacing w:before="0" w:beforeAutospacing="0" w:after="240" w:afterAutospacing="0"/>
        <w:rPr>
          <w:rFonts w:asciiTheme="minorHAnsi" w:hAnsiTheme="minorHAnsi" w:cstheme="minorHAnsi"/>
          <w:sz w:val="22"/>
          <w:szCs w:val="22"/>
        </w:rPr>
      </w:pPr>
      <w:r w:rsidRPr="001C1A39">
        <w:rPr>
          <w:rFonts w:asciiTheme="minorHAnsi" w:hAnsiTheme="minorHAnsi" w:cstheme="minorHAnsi"/>
          <w:color w:val="000000"/>
          <w:sz w:val="22"/>
          <w:szCs w:val="22"/>
        </w:rPr>
        <w:t xml:space="preserve">The organisation of specialist </w:t>
      </w:r>
      <w:proofErr w:type="spellStart"/>
      <w:r w:rsidRPr="001C1A39">
        <w:rPr>
          <w:rFonts w:asciiTheme="minorHAnsi" w:hAnsiTheme="minorHAnsi" w:cstheme="minorHAnsi"/>
          <w:color w:val="000000"/>
          <w:sz w:val="22"/>
          <w:szCs w:val="22"/>
        </w:rPr>
        <w:t>cyber crime</w:t>
      </w:r>
      <w:proofErr w:type="spellEnd"/>
      <w:r w:rsidRPr="001C1A39">
        <w:rPr>
          <w:rFonts w:asciiTheme="minorHAnsi" w:hAnsiTheme="minorHAnsi" w:cstheme="minorHAnsi"/>
          <w:color w:val="000000"/>
          <w:sz w:val="22"/>
          <w:szCs w:val="22"/>
        </w:rPr>
        <w:t xml:space="preserve"> units is more complex than each individual force working in silos. Alongside specialist units there are Regional Organised Crime Units (ROCU) that have a </w:t>
      </w:r>
      <w:proofErr w:type="spellStart"/>
      <w:r w:rsidRPr="001C1A39">
        <w:rPr>
          <w:rFonts w:asciiTheme="minorHAnsi" w:hAnsiTheme="minorHAnsi" w:cstheme="minorHAnsi"/>
          <w:color w:val="000000"/>
          <w:sz w:val="22"/>
          <w:szCs w:val="22"/>
        </w:rPr>
        <w:t>cyber crime</w:t>
      </w:r>
      <w:proofErr w:type="spellEnd"/>
      <w:r w:rsidRPr="001C1A39">
        <w:rPr>
          <w:rFonts w:asciiTheme="minorHAnsi" w:hAnsiTheme="minorHAnsi" w:cstheme="minorHAnsi"/>
          <w:color w:val="000000"/>
          <w:sz w:val="22"/>
          <w:szCs w:val="22"/>
        </w:rPr>
        <w:t xml:space="preserve"> department (</w:t>
      </w:r>
      <w:proofErr w:type="spellStart"/>
      <w:r w:rsidRPr="001C1A39">
        <w:rPr>
          <w:rFonts w:asciiTheme="minorHAnsi" w:hAnsiTheme="minorHAnsi" w:cstheme="minorHAnsi"/>
          <w:color w:val="000000"/>
          <w:sz w:val="22"/>
          <w:szCs w:val="22"/>
        </w:rPr>
        <w:t>Alisdair</w:t>
      </w:r>
      <w:proofErr w:type="spellEnd"/>
      <w:r w:rsidRPr="001C1A39">
        <w:rPr>
          <w:rFonts w:asciiTheme="minorHAnsi" w:hAnsiTheme="minorHAnsi" w:cstheme="minorHAnsi"/>
          <w:color w:val="000000"/>
          <w:sz w:val="22"/>
          <w:szCs w:val="22"/>
        </w:rPr>
        <w:t xml:space="preserve"> Gillespie, 2019, pp.309–329). The scale of the cyber threat has meant that national bodies have also been created to try and track and protect the UK against </w:t>
      </w:r>
      <w:proofErr w:type="spellStart"/>
      <w:r w:rsidRPr="001C1A39">
        <w:rPr>
          <w:rFonts w:asciiTheme="minorHAnsi" w:hAnsiTheme="minorHAnsi" w:cstheme="minorHAnsi"/>
          <w:color w:val="000000"/>
          <w:sz w:val="22"/>
          <w:szCs w:val="22"/>
        </w:rPr>
        <w:t>cyber attacks</w:t>
      </w:r>
      <w:proofErr w:type="spellEnd"/>
      <w:r w:rsidRPr="001C1A39">
        <w:rPr>
          <w:rFonts w:asciiTheme="minorHAnsi" w:hAnsiTheme="minorHAnsi" w:cstheme="minorHAnsi"/>
          <w:color w:val="000000"/>
          <w:sz w:val="22"/>
          <w:szCs w:val="22"/>
        </w:rPr>
        <w:t xml:space="preserve"> such as The National Cyber Security Centre (NCSC) established in 2016 (National Cyber Security Centre, 2022) and action fraud (Action Fraud, 2023). Internationally there are bodies operating such as the European Cybercrime Centre (EC3), Interpol and the Virtual Global Taskforce (</w:t>
      </w:r>
      <w:proofErr w:type="spellStart"/>
      <w:r w:rsidRPr="001C1A39">
        <w:rPr>
          <w:rFonts w:asciiTheme="minorHAnsi" w:hAnsiTheme="minorHAnsi" w:cstheme="minorHAnsi"/>
          <w:color w:val="000000"/>
          <w:sz w:val="22"/>
          <w:szCs w:val="22"/>
        </w:rPr>
        <w:t>Alisdair</w:t>
      </w:r>
      <w:proofErr w:type="spellEnd"/>
      <w:r w:rsidRPr="001C1A39">
        <w:rPr>
          <w:rFonts w:asciiTheme="minorHAnsi" w:hAnsiTheme="minorHAnsi" w:cstheme="minorHAnsi"/>
          <w:color w:val="000000"/>
          <w:sz w:val="22"/>
          <w:szCs w:val="22"/>
        </w:rPr>
        <w:t xml:space="preserve"> Gillespie, 2019, pp.317). The sheer complexity of the UK and international law enforcement framework means that specialist local units have a role to play in helping each force navigate the complexities of such investigations and having the requisite contacts and communication channels in place to pass enquiries on to the appropriate national or international body. Research by </w:t>
      </w:r>
      <w:proofErr w:type="spellStart"/>
      <w:r w:rsidRPr="001C1A39">
        <w:rPr>
          <w:rFonts w:asciiTheme="minorHAnsi" w:hAnsiTheme="minorHAnsi" w:cstheme="minorHAnsi"/>
          <w:color w:val="000000"/>
          <w:sz w:val="22"/>
          <w:szCs w:val="22"/>
        </w:rPr>
        <w:t>Lusthaud</w:t>
      </w:r>
      <w:proofErr w:type="spellEnd"/>
      <w:r w:rsidRPr="001C1A39">
        <w:rPr>
          <w:rFonts w:asciiTheme="minorHAnsi" w:hAnsiTheme="minorHAnsi" w:cstheme="minorHAnsi"/>
          <w:color w:val="000000"/>
          <w:sz w:val="22"/>
          <w:szCs w:val="22"/>
        </w:rPr>
        <w:t xml:space="preserve"> and Varese (2017) demonstrates this by looking at the specific threat posed by Romanian cyber gangs. The cross border nature of these offences, the knowledge required to identify the perpetrators and the need to cooperate with Romanian Police and the protracted nature of the investigation makes it unrealistic that non-specialist officers would be able to investigate such crimes to a high standard. </w:t>
      </w:r>
    </w:p>
    <w:p w14:paraId="08FA9A5B" w14:textId="52AC6EDA" w:rsidR="005B5DD4" w:rsidRPr="001C1A39" w:rsidRDefault="005B5DD4" w:rsidP="005B5DD4">
      <w:pPr>
        <w:pStyle w:val="NormalWeb"/>
        <w:spacing w:before="0" w:beforeAutospacing="0" w:after="240" w:afterAutospacing="0"/>
        <w:rPr>
          <w:rFonts w:asciiTheme="minorHAnsi" w:hAnsiTheme="minorHAnsi" w:cstheme="minorHAnsi"/>
          <w:sz w:val="22"/>
          <w:szCs w:val="22"/>
        </w:rPr>
      </w:pPr>
      <w:r w:rsidRPr="001C1A39">
        <w:rPr>
          <w:rFonts w:asciiTheme="minorHAnsi" w:hAnsiTheme="minorHAnsi" w:cstheme="minorHAnsi"/>
          <w:color w:val="000000"/>
          <w:sz w:val="22"/>
          <w:szCs w:val="22"/>
        </w:rPr>
        <w:t xml:space="preserve">Based on my experience the majority of crimes now also have some cyber or digital element to them such as harassment taking place via social media or information being stored on a phone seized from a suspect. Specialist cyber units will have enhanced training and digital awareness that makes them best placed to assist local </w:t>
      </w:r>
      <w:r w:rsidR="007B0B5F" w:rsidRPr="001C1A39">
        <w:rPr>
          <w:rFonts w:asciiTheme="minorHAnsi" w:hAnsiTheme="minorHAnsi" w:cstheme="minorHAnsi"/>
          <w:color w:val="000000"/>
          <w:sz w:val="22"/>
          <w:szCs w:val="22"/>
        </w:rPr>
        <w:t>officers. According</w:t>
      </w:r>
      <w:r w:rsidRPr="001C1A39">
        <w:rPr>
          <w:rFonts w:asciiTheme="minorHAnsi" w:hAnsiTheme="minorHAnsi" w:cstheme="minorHAnsi"/>
          <w:color w:val="000000"/>
          <w:sz w:val="22"/>
          <w:szCs w:val="22"/>
        </w:rPr>
        <w:t xml:space="preserve"> to Harkin et al. (2018) research into the role of cyber specialists in an Australian force showed that they spent a significant proportion of their time providing support and advice to other departments. Whilst this would inevitably increase the forces overall response to cybercrime, it also placed pressure on the specialist cyber teams having capacity to progress their own investigations. </w:t>
      </w:r>
    </w:p>
    <w:p w14:paraId="11005B0B" w14:textId="15A57914" w:rsidR="005B5DD4" w:rsidRPr="001C1A39" w:rsidRDefault="005B5DD4" w:rsidP="005B5DD4">
      <w:pPr>
        <w:pStyle w:val="NormalWeb"/>
        <w:spacing w:before="0" w:beforeAutospacing="0" w:after="240" w:afterAutospacing="0"/>
        <w:rPr>
          <w:rFonts w:asciiTheme="minorHAnsi" w:hAnsiTheme="minorHAnsi" w:cstheme="minorHAnsi"/>
          <w:sz w:val="22"/>
          <w:szCs w:val="22"/>
        </w:rPr>
      </w:pPr>
      <w:r w:rsidRPr="001C1A39">
        <w:rPr>
          <w:rFonts w:asciiTheme="minorHAnsi" w:hAnsiTheme="minorHAnsi" w:cstheme="minorHAnsi"/>
          <w:color w:val="000000"/>
          <w:sz w:val="22"/>
          <w:szCs w:val="22"/>
        </w:rPr>
        <w:t xml:space="preserve">Research by Tong and </w:t>
      </w:r>
      <w:proofErr w:type="spellStart"/>
      <w:r w:rsidRPr="001C1A39">
        <w:rPr>
          <w:rFonts w:asciiTheme="minorHAnsi" w:hAnsiTheme="minorHAnsi" w:cstheme="minorHAnsi"/>
          <w:color w:val="000000"/>
          <w:sz w:val="22"/>
          <w:szCs w:val="22"/>
        </w:rPr>
        <w:t>Caless</w:t>
      </w:r>
      <w:proofErr w:type="spellEnd"/>
      <w:r w:rsidRPr="001C1A39">
        <w:rPr>
          <w:rFonts w:asciiTheme="minorHAnsi" w:hAnsiTheme="minorHAnsi" w:cstheme="minorHAnsi"/>
          <w:color w:val="000000"/>
          <w:sz w:val="22"/>
          <w:szCs w:val="22"/>
        </w:rPr>
        <w:t xml:space="preserve"> (2017, pp.195–202) looking at the views of senior European Officers found that cybercrime was universally considered as an area of exponential growth and leaders considered it was a priority that “cyber-savvy” officers were recruited now to help future proof the force. Although specialist units will always have a part to play, response officers will still likely deal with the reports of initial response to reports of </w:t>
      </w:r>
      <w:r w:rsidR="007B0B5F" w:rsidRPr="001C1A39">
        <w:rPr>
          <w:rFonts w:asciiTheme="minorHAnsi" w:hAnsiTheme="minorHAnsi" w:cstheme="minorHAnsi"/>
          <w:color w:val="000000"/>
          <w:sz w:val="22"/>
          <w:szCs w:val="22"/>
        </w:rPr>
        <w:t>cyber-crimes</w:t>
      </w:r>
      <w:r w:rsidRPr="001C1A39">
        <w:rPr>
          <w:rFonts w:asciiTheme="minorHAnsi" w:hAnsiTheme="minorHAnsi" w:cstheme="minorHAnsi"/>
          <w:color w:val="000000"/>
          <w:sz w:val="22"/>
          <w:szCs w:val="22"/>
        </w:rPr>
        <w:t xml:space="preserve"> (Levi et al., 2016). It is for this reason </w:t>
      </w:r>
      <w:r w:rsidRPr="001C1A39">
        <w:rPr>
          <w:rFonts w:asciiTheme="minorHAnsi" w:hAnsiTheme="minorHAnsi" w:cstheme="minorHAnsi"/>
          <w:color w:val="000000"/>
          <w:sz w:val="22"/>
          <w:szCs w:val="22"/>
        </w:rPr>
        <w:lastRenderedPageBreak/>
        <w:t xml:space="preserve">researchers have looked at how prepared such officers are to deal with the changing face of crime. According to </w:t>
      </w:r>
      <w:proofErr w:type="spellStart"/>
      <w:r w:rsidRPr="001C1A39">
        <w:rPr>
          <w:rFonts w:asciiTheme="minorHAnsi" w:hAnsiTheme="minorHAnsi" w:cstheme="minorHAnsi"/>
          <w:color w:val="000000"/>
          <w:sz w:val="22"/>
          <w:szCs w:val="22"/>
        </w:rPr>
        <w:t>Burruss</w:t>
      </w:r>
      <w:proofErr w:type="spellEnd"/>
      <w:r w:rsidRPr="001C1A39">
        <w:rPr>
          <w:rFonts w:asciiTheme="minorHAnsi" w:hAnsiTheme="minorHAnsi" w:cstheme="minorHAnsi"/>
          <w:color w:val="000000"/>
          <w:sz w:val="22"/>
          <w:szCs w:val="22"/>
        </w:rPr>
        <w:t xml:space="preserve"> et al. (2019) only thirty nine percent of frontline officers felt confident in being able to deal with </w:t>
      </w:r>
      <w:r w:rsidR="007B0B5F" w:rsidRPr="001C1A39">
        <w:rPr>
          <w:rFonts w:asciiTheme="minorHAnsi" w:hAnsiTheme="minorHAnsi" w:cstheme="minorHAnsi"/>
          <w:color w:val="000000"/>
          <w:sz w:val="22"/>
          <w:szCs w:val="22"/>
        </w:rPr>
        <w:t>cyber-crime</w:t>
      </w:r>
      <w:r w:rsidRPr="001C1A39">
        <w:rPr>
          <w:rFonts w:asciiTheme="minorHAnsi" w:hAnsiTheme="minorHAnsi" w:cstheme="minorHAnsi"/>
          <w:color w:val="000000"/>
          <w:sz w:val="22"/>
          <w:szCs w:val="22"/>
        </w:rPr>
        <w:t xml:space="preserve"> with a disproportionate number of older officers stating they were unprepared. Potentially one of the reasons for this is that outside of specialist units research found the cyber awareness NCALT training for officers was of a poor standard (</w:t>
      </w:r>
      <w:proofErr w:type="spellStart"/>
      <w:r w:rsidRPr="001C1A39">
        <w:rPr>
          <w:rFonts w:asciiTheme="minorHAnsi" w:hAnsiTheme="minorHAnsi" w:cstheme="minorHAnsi"/>
          <w:color w:val="000000"/>
          <w:sz w:val="22"/>
          <w:szCs w:val="22"/>
        </w:rPr>
        <w:t>Hadlington</w:t>
      </w:r>
      <w:proofErr w:type="spellEnd"/>
      <w:r w:rsidRPr="001C1A39">
        <w:rPr>
          <w:rFonts w:asciiTheme="minorHAnsi" w:hAnsiTheme="minorHAnsi" w:cstheme="minorHAnsi"/>
          <w:color w:val="000000"/>
          <w:sz w:val="22"/>
          <w:szCs w:val="22"/>
        </w:rPr>
        <w:t xml:space="preserve"> et al., 2018). As concluded by Curtis and </w:t>
      </w:r>
      <w:proofErr w:type="spellStart"/>
      <w:r w:rsidRPr="001C1A39">
        <w:rPr>
          <w:rFonts w:asciiTheme="minorHAnsi" w:hAnsiTheme="minorHAnsi" w:cstheme="minorHAnsi"/>
          <w:color w:val="000000"/>
          <w:sz w:val="22"/>
          <w:szCs w:val="22"/>
        </w:rPr>
        <w:t>Oxburgh</w:t>
      </w:r>
      <w:proofErr w:type="spellEnd"/>
      <w:r w:rsidRPr="001C1A39">
        <w:rPr>
          <w:rFonts w:asciiTheme="minorHAnsi" w:hAnsiTheme="minorHAnsi" w:cstheme="minorHAnsi"/>
          <w:color w:val="000000"/>
          <w:sz w:val="22"/>
          <w:szCs w:val="22"/>
        </w:rPr>
        <w:t xml:space="preserve"> (2022) training officers sufficiently on the nature and impact of </w:t>
      </w:r>
      <w:r w:rsidR="007B0B5F" w:rsidRPr="001C1A39">
        <w:rPr>
          <w:rFonts w:asciiTheme="minorHAnsi" w:hAnsiTheme="minorHAnsi" w:cstheme="minorHAnsi"/>
          <w:color w:val="000000"/>
          <w:sz w:val="22"/>
          <w:szCs w:val="22"/>
        </w:rPr>
        <w:t>cyber-crime</w:t>
      </w:r>
      <w:r w:rsidRPr="001C1A39">
        <w:rPr>
          <w:rFonts w:asciiTheme="minorHAnsi" w:hAnsiTheme="minorHAnsi" w:cstheme="minorHAnsi"/>
          <w:color w:val="000000"/>
          <w:sz w:val="22"/>
          <w:szCs w:val="22"/>
        </w:rPr>
        <w:t xml:space="preserve"> significantly increased victim satisfaction and will help change the public's current perception that the police do not effectively respond to </w:t>
      </w:r>
      <w:r w:rsidR="007B0B5F" w:rsidRPr="001C1A39">
        <w:rPr>
          <w:rFonts w:asciiTheme="minorHAnsi" w:hAnsiTheme="minorHAnsi" w:cstheme="minorHAnsi"/>
          <w:color w:val="000000"/>
          <w:sz w:val="22"/>
          <w:szCs w:val="22"/>
        </w:rPr>
        <w:t>cyber-crime</w:t>
      </w:r>
      <w:r w:rsidRPr="001C1A39">
        <w:rPr>
          <w:rFonts w:asciiTheme="minorHAnsi" w:hAnsiTheme="minorHAnsi" w:cstheme="minorHAnsi"/>
          <w:color w:val="000000"/>
          <w:sz w:val="22"/>
          <w:szCs w:val="22"/>
        </w:rPr>
        <w:t>.  </w:t>
      </w:r>
    </w:p>
    <w:p w14:paraId="55B1817F" w14:textId="77777777" w:rsidR="005B5DD4" w:rsidRPr="001C1A39" w:rsidRDefault="005B5DD4" w:rsidP="005B5DD4">
      <w:pPr>
        <w:pStyle w:val="NormalWeb"/>
        <w:spacing w:before="0" w:beforeAutospacing="0" w:after="240" w:afterAutospacing="0"/>
        <w:rPr>
          <w:rFonts w:asciiTheme="minorHAnsi" w:hAnsiTheme="minorHAnsi" w:cstheme="minorHAnsi"/>
          <w:sz w:val="22"/>
          <w:szCs w:val="22"/>
        </w:rPr>
      </w:pPr>
      <w:r w:rsidRPr="001C1A39">
        <w:rPr>
          <w:rFonts w:asciiTheme="minorHAnsi" w:hAnsiTheme="minorHAnsi" w:cstheme="minorHAnsi"/>
          <w:color w:val="000000"/>
          <w:sz w:val="22"/>
          <w:szCs w:val="22"/>
        </w:rPr>
        <w:t>Whilst the specialist knowledge and training of cybersecurity units clearly has advantages the nature of the work presents a number of problems for police forces all across Europe. According to De Paoli et al. (2020) units face three main challenges: a lack of proper recording and statistics on the scale of cybercrime, a limited number of specialist trained officers and insufficient training for the majority of officers. This view is supported by Hyde et al. (2022) who estimate that the current crime levels would require an additional 30,000 officers across the UK to be suitably resourced.  </w:t>
      </w:r>
    </w:p>
    <w:p w14:paraId="15C1D070" w14:textId="77777777" w:rsidR="005B5DD4" w:rsidRPr="001C1A39" w:rsidRDefault="005B5DD4" w:rsidP="005B5DD4">
      <w:pPr>
        <w:pStyle w:val="NormalWeb"/>
        <w:spacing w:before="0" w:beforeAutospacing="0" w:after="240" w:afterAutospacing="0"/>
        <w:rPr>
          <w:rFonts w:asciiTheme="minorHAnsi" w:hAnsiTheme="minorHAnsi" w:cstheme="minorHAnsi"/>
          <w:sz w:val="22"/>
          <w:szCs w:val="22"/>
        </w:rPr>
      </w:pPr>
      <w:r w:rsidRPr="001C1A39">
        <w:rPr>
          <w:rFonts w:asciiTheme="minorHAnsi" w:hAnsiTheme="minorHAnsi" w:cstheme="minorHAnsi"/>
          <w:color w:val="000000"/>
          <w:sz w:val="22"/>
          <w:szCs w:val="22"/>
        </w:rPr>
        <w:t>In summary specialist units clearly have their uses and are in existence by forces across Europe, however the sheer scale of the problem and difficulty investigating such crimes means with the current resources there may need to be a shift away from reactive policing (Jones, 2007). The NCA’s cyber prevent campaign is an example of focussing resources on preventative measures and echoes the successful approach previously taken in terrorism prevention programs (Collier et al., 2021). This is one of the tactics currently used by South Wales Police who use their website to offer preventative support and advice to businesses and individuals who may become the victim of cybercrime (South Wales Police, 2023). </w:t>
      </w:r>
    </w:p>
    <w:p w14:paraId="7AB525E4" w14:textId="77777777" w:rsidR="005B5DD4" w:rsidRPr="001C1A39" w:rsidRDefault="005B5DD4" w:rsidP="00394E0E">
      <w:pPr>
        <w:ind w:left="567" w:right="531"/>
        <w:jc w:val="both"/>
        <w:rPr>
          <w:rFonts w:asciiTheme="minorHAnsi" w:hAnsiTheme="minorHAnsi" w:cstheme="minorHAnsi"/>
          <w:sz w:val="22"/>
          <w:szCs w:val="22"/>
        </w:rPr>
      </w:pPr>
    </w:p>
    <w:p w14:paraId="29C4C02C" w14:textId="77777777" w:rsidR="005B5DD4" w:rsidRPr="001C1A39" w:rsidRDefault="005B5DD4" w:rsidP="00394E0E">
      <w:pPr>
        <w:ind w:left="567" w:right="531"/>
        <w:jc w:val="both"/>
        <w:rPr>
          <w:rFonts w:asciiTheme="minorHAnsi" w:hAnsiTheme="minorHAnsi" w:cstheme="minorHAnsi"/>
          <w:sz w:val="22"/>
          <w:szCs w:val="22"/>
        </w:rPr>
      </w:pPr>
    </w:p>
    <w:p w14:paraId="21965951" w14:textId="3811FD06" w:rsidR="005B5DD4" w:rsidRPr="001C1A39" w:rsidRDefault="005B5DD4" w:rsidP="005B5DD4">
      <w:pPr>
        <w:ind w:right="531"/>
        <w:jc w:val="both"/>
        <w:rPr>
          <w:rFonts w:asciiTheme="minorHAnsi" w:hAnsiTheme="minorHAnsi" w:cstheme="minorHAnsi"/>
          <w:sz w:val="22"/>
          <w:szCs w:val="22"/>
        </w:rPr>
      </w:pPr>
      <w:r w:rsidRPr="001C1A39">
        <w:rPr>
          <w:rFonts w:asciiTheme="minorHAnsi" w:hAnsiTheme="minorHAnsi" w:cstheme="minorHAnsi"/>
          <w:sz w:val="22"/>
          <w:szCs w:val="22"/>
          <w:u w:val="single"/>
        </w:rPr>
        <w:t>Word count</w:t>
      </w:r>
      <w:r w:rsidRPr="001C1A39">
        <w:rPr>
          <w:rFonts w:asciiTheme="minorHAnsi" w:hAnsiTheme="minorHAnsi" w:cstheme="minorHAnsi"/>
          <w:sz w:val="22"/>
          <w:szCs w:val="22"/>
        </w:rPr>
        <w:t>: 98</w:t>
      </w:r>
      <w:r w:rsidR="007B0B5F" w:rsidRPr="001C1A39">
        <w:rPr>
          <w:rFonts w:asciiTheme="minorHAnsi" w:hAnsiTheme="minorHAnsi" w:cstheme="minorHAnsi"/>
          <w:sz w:val="22"/>
          <w:szCs w:val="22"/>
        </w:rPr>
        <w:t>0</w:t>
      </w:r>
    </w:p>
    <w:p w14:paraId="6C85A2E0" w14:textId="77777777" w:rsidR="005B5DD4" w:rsidRPr="001C1A39" w:rsidRDefault="005B5DD4" w:rsidP="00394E0E">
      <w:pPr>
        <w:ind w:left="567" w:right="531"/>
        <w:jc w:val="both"/>
        <w:rPr>
          <w:rFonts w:asciiTheme="minorHAnsi" w:hAnsiTheme="minorHAnsi" w:cstheme="minorHAnsi"/>
          <w:sz w:val="22"/>
          <w:szCs w:val="22"/>
        </w:rPr>
      </w:pPr>
    </w:p>
    <w:p w14:paraId="1E4273B9" w14:textId="77777777" w:rsidR="005B5DD4" w:rsidRPr="001C1A39" w:rsidRDefault="005B5DD4" w:rsidP="00394E0E">
      <w:pPr>
        <w:ind w:left="567" w:right="531"/>
        <w:jc w:val="both"/>
        <w:rPr>
          <w:rFonts w:asciiTheme="minorHAnsi" w:hAnsiTheme="minorHAnsi" w:cstheme="minorHAnsi"/>
          <w:sz w:val="22"/>
          <w:szCs w:val="22"/>
        </w:rPr>
      </w:pPr>
    </w:p>
    <w:p w14:paraId="1B77FE21" w14:textId="77777777" w:rsidR="005B5DD4" w:rsidRPr="001C1A39" w:rsidRDefault="005B5DD4" w:rsidP="00394E0E">
      <w:pPr>
        <w:ind w:left="567" w:right="531"/>
        <w:jc w:val="both"/>
        <w:rPr>
          <w:rFonts w:asciiTheme="minorHAnsi" w:hAnsiTheme="minorHAnsi" w:cstheme="minorHAnsi"/>
          <w:sz w:val="22"/>
          <w:szCs w:val="22"/>
        </w:rPr>
      </w:pPr>
    </w:p>
    <w:p w14:paraId="3CC7179B" w14:textId="77777777" w:rsidR="005B5DD4" w:rsidRPr="001C1A39" w:rsidRDefault="005B5DD4" w:rsidP="00394E0E">
      <w:pPr>
        <w:ind w:left="567" w:right="531"/>
        <w:jc w:val="both"/>
        <w:rPr>
          <w:rFonts w:asciiTheme="minorHAnsi" w:hAnsiTheme="minorHAnsi" w:cstheme="minorHAnsi"/>
          <w:sz w:val="22"/>
          <w:szCs w:val="22"/>
        </w:rPr>
      </w:pPr>
    </w:p>
    <w:p w14:paraId="2CBFF584" w14:textId="77777777" w:rsidR="005B5DD4" w:rsidRPr="001C1A39" w:rsidRDefault="005B5DD4" w:rsidP="00394E0E">
      <w:pPr>
        <w:ind w:left="567" w:right="531"/>
        <w:jc w:val="both"/>
        <w:rPr>
          <w:rFonts w:asciiTheme="minorHAnsi" w:hAnsiTheme="minorHAnsi" w:cstheme="minorHAnsi"/>
          <w:sz w:val="22"/>
          <w:szCs w:val="22"/>
        </w:rPr>
      </w:pPr>
    </w:p>
    <w:p w14:paraId="7230E6AD" w14:textId="77777777" w:rsidR="005B5DD4" w:rsidRPr="001C1A39" w:rsidRDefault="005B5DD4" w:rsidP="00394E0E">
      <w:pPr>
        <w:ind w:left="567" w:right="531"/>
        <w:jc w:val="both"/>
        <w:rPr>
          <w:rFonts w:asciiTheme="minorHAnsi" w:hAnsiTheme="minorHAnsi" w:cstheme="minorHAnsi"/>
          <w:sz w:val="22"/>
          <w:szCs w:val="22"/>
        </w:rPr>
      </w:pPr>
    </w:p>
    <w:p w14:paraId="19A509B7" w14:textId="77777777" w:rsidR="005B5DD4" w:rsidRPr="001C1A39" w:rsidRDefault="005B5DD4" w:rsidP="00394E0E">
      <w:pPr>
        <w:ind w:left="567" w:right="531"/>
        <w:jc w:val="both"/>
        <w:rPr>
          <w:rFonts w:asciiTheme="minorHAnsi" w:hAnsiTheme="minorHAnsi" w:cstheme="minorHAnsi"/>
          <w:sz w:val="22"/>
          <w:szCs w:val="22"/>
        </w:rPr>
      </w:pPr>
    </w:p>
    <w:p w14:paraId="224F51DF" w14:textId="77777777" w:rsidR="005B5DD4" w:rsidRPr="001C1A39" w:rsidRDefault="005B5DD4" w:rsidP="00394E0E">
      <w:pPr>
        <w:ind w:left="567" w:right="531"/>
        <w:jc w:val="both"/>
        <w:rPr>
          <w:rFonts w:asciiTheme="minorHAnsi" w:hAnsiTheme="minorHAnsi" w:cstheme="minorHAnsi"/>
          <w:sz w:val="22"/>
          <w:szCs w:val="22"/>
        </w:rPr>
      </w:pPr>
    </w:p>
    <w:p w14:paraId="43E62F5F" w14:textId="77777777" w:rsidR="005B5DD4" w:rsidRPr="001C1A39" w:rsidRDefault="005B5DD4" w:rsidP="00394E0E">
      <w:pPr>
        <w:ind w:left="567" w:right="531"/>
        <w:jc w:val="both"/>
        <w:rPr>
          <w:rFonts w:asciiTheme="minorHAnsi" w:hAnsiTheme="minorHAnsi" w:cstheme="minorHAnsi"/>
          <w:sz w:val="22"/>
          <w:szCs w:val="22"/>
        </w:rPr>
      </w:pPr>
    </w:p>
    <w:p w14:paraId="4B722A0E" w14:textId="77777777" w:rsidR="005B5DD4" w:rsidRPr="001C1A39" w:rsidRDefault="005B5DD4" w:rsidP="00394E0E">
      <w:pPr>
        <w:ind w:left="567" w:right="531"/>
        <w:jc w:val="both"/>
        <w:rPr>
          <w:rFonts w:asciiTheme="minorHAnsi" w:hAnsiTheme="minorHAnsi" w:cstheme="minorHAnsi"/>
          <w:sz w:val="22"/>
          <w:szCs w:val="22"/>
        </w:rPr>
      </w:pPr>
    </w:p>
    <w:p w14:paraId="04AAA8B4" w14:textId="77777777" w:rsidR="005B5DD4" w:rsidRPr="001C1A39" w:rsidRDefault="005B5DD4" w:rsidP="00394E0E">
      <w:pPr>
        <w:ind w:left="567" w:right="531"/>
        <w:jc w:val="both"/>
        <w:rPr>
          <w:rFonts w:asciiTheme="minorHAnsi" w:hAnsiTheme="minorHAnsi" w:cstheme="minorHAnsi"/>
          <w:sz w:val="22"/>
          <w:szCs w:val="22"/>
        </w:rPr>
      </w:pPr>
    </w:p>
    <w:p w14:paraId="5B1186BC" w14:textId="77777777" w:rsidR="005B5DD4" w:rsidRPr="001C1A39" w:rsidRDefault="005B5DD4" w:rsidP="00394E0E">
      <w:pPr>
        <w:ind w:left="567" w:right="531"/>
        <w:jc w:val="both"/>
        <w:rPr>
          <w:rFonts w:asciiTheme="minorHAnsi" w:hAnsiTheme="minorHAnsi" w:cstheme="minorHAnsi"/>
          <w:sz w:val="22"/>
          <w:szCs w:val="22"/>
        </w:rPr>
      </w:pPr>
    </w:p>
    <w:p w14:paraId="7C482078" w14:textId="77777777" w:rsidR="005B5DD4" w:rsidRPr="001C1A39" w:rsidRDefault="005B5DD4" w:rsidP="00394E0E">
      <w:pPr>
        <w:ind w:left="567" w:right="531"/>
        <w:jc w:val="both"/>
        <w:rPr>
          <w:rFonts w:asciiTheme="minorHAnsi" w:hAnsiTheme="minorHAnsi" w:cstheme="minorHAnsi"/>
          <w:sz w:val="22"/>
          <w:szCs w:val="22"/>
        </w:rPr>
      </w:pPr>
    </w:p>
    <w:p w14:paraId="3FBF5796" w14:textId="77777777" w:rsidR="005B5DD4" w:rsidRPr="001C1A39" w:rsidRDefault="005B5DD4" w:rsidP="00394E0E">
      <w:pPr>
        <w:ind w:left="567" w:right="531"/>
        <w:jc w:val="both"/>
        <w:rPr>
          <w:rFonts w:asciiTheme="minorHAnsi" w:hAnsiTheme="minorHAnsi" w:cstheme="minorHAnsi"/>
          <w:sz w:val="22"/>
          <w:szCs w:val="22"/>
        </w:rPr>
      </w:pPr>
    </w:p>
    <w:p w14:paraId="6D05F6C2" w14:textId="77777777" w:rsidR="005B5DD4" w:rsidRPr="001C1A39" w:rsidRDefault="005B5DD4" w:rsidP="00394E0E">
      <w:pPr>
        <w:ind w:left="567" w:right="531"/>
        <w:jc w:val="both"/>
        <w:rPr>
          <w:rFonts w:asciiTheme="minorHAnsi" w:hAnsiTheme="minorHAnsi" w:cstheme="minorHAnsi"/>
          <w:sz w:val="22"/>
          <w:szCs w:val="22"/>
        </w:rPr>
      </w:pPr>
    </w:p>
    <w:p w14:paraId="6831EEA3" w14:textId="77777777" w:rsidR="005B5DD4" w:rsidRPr="001C1A39" w:rsidRDefault="005B5DD4" w:rsidP="005B5DD4">
      <w:pPr>
        <w:ind w:right="531"/>
        <w:jc w:val="both"/>
        <w:rPr>
          <w:rFonts w:asciiTheme="minorHAnsi" w:hAnsiTheme="minorHAnsi" w:cstheme="minorHAnsi"/>
          <w:sz w:val="22"/>
          <w:szCs w:val="22"/>
        </w:rPr>
      </w:pPr>
    </w:p>
    <w:p w14:paraId="15D9ED93" w14:textId="77777777" w:rsidR="00201F6B" w:rsidRPr="001C1A39" w:rsidRDefault="00201F6B" w:rsidP="005B5DD4">
      <w:pPr>
        <w:ind w:right="531"/>
        <w:jc w:val="both"/>
        <w:rPr>
          <w:rFonts w:asciiTheme="minorHAnsi" w:hAnsiTheme="minorHAnsi" w:cstheme="minorHAnsi"/>
          <w:sz w:val="22"/>
          <w:szCs w:val="22"/>
        </w:rPr>
      </w:pPr>
    </w:p>
    <w:p w14:paraId="016D2305" w14:textId="77777777" w:rsidR="00201F6B" w:rsidRPr="001C1A39" w:rsidRDefault="00201F6B" w:rsidP="005B5DD4">
      <w:pPr>
        <w:ind w:right="531"/>
        <w:jc w:val="both"/>
        <w:rPr>
          <w:rFonts w:asciiTheme="minorHAnsi" w:hAnsiTheme="minorHAnsi" w:cstheme="minorHAnsi"/>
          <w:sz w:val="22"/>
          <w:szCs w:val="22"/>
        </w:rPr>
      </w:pPr>
    </w:p>
    <w:p w14:paraId="3E351E2B" w14:textId="77777777" w:rsidR="00201F6B" w:rsidRPr="001C1A39" w:rsidRDefault="00201F6B" w:rsidP="005B5DD4">
      <w:pPr>
        <w:ind w:right="531"/>
        <w:jc w:val="both"/>
        <w:rPr>
          <w:rFonts w:asciiTheme="minorHAnsi" w:hAnsiTheme="minorHAnsi" w:cstheme="minorHAnsi"/>
          <w:sz w:val="22"/>
          <w:szCs w:val="22"/>
        </w:rPr>
      </w:pPr>
    </w:p>
    <w:p w14:paraId="3D73E0AE" w14:textId="77777777" w:rsidR="00201F6B" w:rsidRPr="001C1A39" w:rsidRDefault="00201F6B" w:rsidP="005B5DD4">
      <w:pPr>
        <w:ind w:right="531"/>
        <w:jc w:val="both"/>
        <w:rPr>
          <w:rFonts w:asciiTheme="minorHAnsi" w:hAnsiTheme="minorHAnsi" w:cstheme="minorHAnsi"/>
          <w:sz w:val="22"/>
          <w:szCs w:val="22"/>
        </w:rPr>
      </w:pPr>
    </w:p>
    <w:p w14:paraId="42020BFC" w14:textId="77777777" w:rsidR="005B5DD4" w:rsidRPr="001C1A39" w:rsidRDefault="005B5DD4" w:rsidP="005B5DD4">
      <w:pPr>
        <w:ind w:right="531"/>
        <w:jc w:val="both"/>
        <w:rPr>
          <w:rFonts w:asciiTheme="minorHAnsi" w:hAnsiTheme="minorHAnsi" w:cstheme="minorHAnsi"/>
          <w:sz w:val="22"/>
          <w:szCs w:val="22"/>
        </w:rPr>
      </w:pPr>
    </w:p>
    <w:p w14:paraId="03315F84" w14:textId="77777777" w:rsidR="00201F6B" w:rsidRDefault="00201F6B" w:rsidP="00201F6B">
      <w:pPr>
        <w:spacing w:line="256" w:lineRule="auto"/>
        <w:ind w:right="531"/>
        <w:rPr>
          <w:rFonts w:asciiTheme="minorHAnsi" w:hAnsiTheme="minorHAnsi" w:cstheme="minorHAnsi"/>
          <w:sz w:val="22"/>
          <w:szCs w:val="22"/>
        </w:rPr>
      </w:pPr>
    </w:p>
    <w:p w14:paraId="7D4195C6" w14:textId="77777777" w:rsidR="001C1A39" w:rsidRDefault="001C1A39" w:rsidP="00201F6B">
      <w:pPr>
        <w:spacing w:line="256" w:lineRule="auto"/>
        <w:ind w:right="531"/>
        <w:rPr>
          <w:rFonts w:asciiTheme="minorHAnsi" w:hAnsiTheme="minorHAnsi" w:cstheme="minorHAnsi"/>
          <w:sz w:val="22"/>
          <w:szCs w:val="22"/>
        </w:rPr>
      </w:pPr>
    </w:p>
    <w:p w14:paraId="3A2CAA9E" w14:textId="77777777" w:rsidR="001C1A39" w:rsidRPr="001C1A39" w:rsidRDefault="001C1A39" w:rsidP="00201F6B">
      <w:pPr>
        <w:spacing w:line="256" w:lineRule="auto"/>
        <w:ind w:right="531"/>
        <w:rPr>
          <w:rFonts w:asciiTheme="minorHAnsi" w:hAnsiTheme="minorHAnsi" w:cstheme="minorHAnsi"/>
          <w:sz w:val="22"/>
          <w:szCs w:val="22"/>
        </w:rPr>
      </w:pPr>
    </w:p>
    <w:p w14:paraId="250F049E" w14:textId="6FCF6A64" w:rsidR="00394E0E" w:rsidRPr="001C1A39" w:rsidRDefault="00394E0E" w:rsidP="00201F6B">
      <w:pPr>
        <w:spacing w:line="256" w:lineRule="auto"/>
        <w:ind w:right="531"/>
        <w:rPr>
          <w:rFonts w:asciiTheme="minorHAnsi" w:hAnsiTheme="minorHAnsi" w:cstheme="minorHAnsi"/>
          <w:b/>
          <w:bCs/>
          <w:sz w:val="22"/>
          <w:szCs w:val="22"/>
        </w:rPr>
      </w:pPr>
      <w:r w:rsidRPr="001C1A39">
        <w:rPr>
          <w:rFonts w:asciiTheme="minorHAnsi" w:hAnsiTheme="minorHAnsi" w:cstheme="minorHAnsi"/>
          <w:b/>
          <w:bCs/>
          <w:sz w:val="22"/>
          <w:szCs w:val="22"/>
        </w:rPr>
        <w:lastRenderedPageBreak/>
        <w:t xml:space="preserve">Essay </w:t>
      </w:r>
      <w:r w:rsidR="005B5DD4" w:rsidRPr="001C1A39">
        <w:rPr>
          <w:rFonts w:asciiTheme="minorHAnsi" w:hAnsiTheme="minorHAnsi" w:cstheme="minorHAnsi"/>
          <w:b/>
          <w:bCs/>
          <w:sz w:val="22"/>
          <w:szCs w:val="22"/>
        </w:rPr>
        <w:t>three</w:t>
      </w:r>
      <w:r w:rsidRPr="001C1A39">
        <w:rPr>
          <w:rFonts w:asciiTheme="minorHAnsi" w:hAnsiTheme="minorHAnsi" w:cstheme="minorHAnsi"/>
          <w:b/>
          <w:bCs/>
          <w:sz w:val="22"/>
          <w:szCs w:val="22"/>
        </w:rPr>
        <w:t xml:space="preserve">: </w:t>
      </w:r>
    </w:p>
    <w:p w14:paraId="4C30DE77" w14:textId="77777777" w:rsidR="00394E0E" w:rsidRPr="001C1A39" w:rsidRDefault="00394E0E" w:rsidP="00201F6B">
      <w:pPr>
        <w:spacing w:line="256" w:lineRule="auto"/>
        <w:ind w:right="531"/>
        <w:rPr>
          <w:rFonts w:asciiTheme="minorHAnsi" w:eastAsia="Calibri" w:hAnsiTheme="minorHAnsi" w:cstheme="minorHAnsi"/>
          <w:b/>
          <w:bCs/>
          <w:sz w:val="22"/>
          <w:szCs w:val="22"/>
        </w:rPr>
      </w:pPr>
      <w:r w:rsidRPr="001C1A39">
        <w:rPr>
          <w:rFonts w:asciiTheme="minorHAnsi" w:eastAsia="Calibri" w:hAnsiTheme="minorHAnsi" w:cstheme="minorHAnsi"/>
          <w:b/>
          <w:bCs/>
          <w:sz w:val="22"/>
          <w:szCs w:val="22"/>
        </w:rPr>
        <w:t xml:space="preserve">What impact can personal bias have on investigations, and </w:t>
      </w:r>
      <w:r w:rsidRPr="001C1A39">
        <w:rPr>
          <w:rFonts w:asciiTheme="minorHAnsi" w:eastAsia="Calibri" w:hAnsiTheme="minorHAnsi" w:cstheme="minorHAnsi"/>
          <w:b/>
          <w:bCs/>
          <w:sz w:val="22"/>
          <w:szCs w:val="22"/>
          <w:u w:val="single"/>
        </w:rPr>
        <w:t>how effective</w:t>
      </w:r>
      <w:r w:rsidRPr="001C1A39">
        <w:rPr>
          <w:rFonts w:asciiTheme="minorHAnsi" w:eastAsia="Calibri" w:hAnsiTheme="minorHAnsi" w:cstheme="minorHAnsi"/>
          <w:b/>
          <w:bCs/>
          <w:sz w:val="22"/>
          <w:szCs w:val="22"/>
        </w:rPr>
        <w:t xml:space="preserve"> are the measures in place to prevent this? Your answer must be based on academic research rather than personal experience. </w:t>
      </w:r>
    </w:p>
    <w:p w14:paraId="1BCCC16B"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11149F30" w14:textId="77777777" w:rsidR="003C4CE7" w:rsidRPr="001C1A39" w:rsidRDefault="003C4CE7" w:rsidP="00394E0E">
      <w:pPr>
        <w:spacing w:line="256" w:lineRule="auto"/>
        <w:ind w:left="567" w:right="531"/>
        <w:rPr>
          <w:rFonts w:asciiTheme="minorHAnsi" w:eastAsia="Calibri" w:hAnsiTheme="minorHAnsi" w:cstheme="minorHAnsi"/>
          <w:sz w:val="22"/>
          <w:szCs w:val="22"/>
        </w:rPr>
      </w:pPr>
    </w:p>
    <w:p w14:paraId="328B9FCD" w14:textId="77777777" w:rsidR="003C4CE7" w:rsidRPr="003C4CE7" w:rsidRDefault="003C4CE7" w:rsidP="003C4CE7">
      <w:pPr>
        <w:rPr>
          <w:rFonts w:asciiTheme="minorHAnsi" w:hAnsiTheme="minorHAnsi" w:cstheme="minorHAnsi"/>
          <w:sz w:val="22"/>
          <w:szCs w:val="22"/>
        </w:rPr>
      </w:pPr>
      <w:r w:rsidRPr="003C4CE7">
        <w:rPr>
          <w:rFonts w:asciiTheme="minorHAnsi" w:hAnsiTheme="minorHAnsi" w:cstheme="minorHAnsi"/>
          <w:color w:val="000000"/>
          <w:sz w:val="22"/>
          <w:szCs w:val="22"/>
        </w:rPr>
        <w:t>Bias can be defined as “</w:t>
      </w:r>
      <w:r w:rsidRPr="003C4CE7">
        <w:rPr>
          <w:rFonts w:asciiTheme="minorHAnsi" w:hAnsiTheme="minorHAnsi" w:cstheme="minorHAnsi"/>
          <w:i/>
          <w:iCs/>
          <w:color w:val="000000"/>
          <w:sz w:val="22"/>
          <w:szCs w:val="22"/>
        </w:rPr>
        <w:t>a tendency to prefer one person or thing to another, and to favour that person or thing</w:t>
      </w:r>
      <w:r w:rsidRPr="003C4CE7">
        <w:rPr>
          <w:rFonts w:asciiTheme="minorHAnsi" w:hAnsiTheme="minorHAnsi" w:cstheme="minorHAnsi"/>
          <w:color w:val="000000"/>
          <w:sz w:val="22"/>
          <w:szCs w:val="22"/>
        </w:rPr>
        <w:t>” (Collins Dictionary, 2019). Bias has connotations of being a negative trait but it also has positive aspects. We have developed it throughout our evolution to allow us to simplify information and make quick decisions in harmful situations (Cherry, 2020). Bias can influence our decision making both at a conscious level e.g. prejudices that we know we hold against certain groups and unconscious e.g. past experiences or influence by the media that changes our perceptions over time (</w:t>
      </w:r>
      <w:proofErr w:type="spellStart"/>
      <w:r w:rsidRPr="003C4CE7">
        <w:rPr>
          <w:rFonts w:asciiTheme="minorHAnsi" w:hAnsiTheme="minorHAnsi" w:cstheme="minorHAnsi"/>
          <w:color w:val="000000"/>
          <w:sz w:val="22"/>
          <w:szCs w:val="22"/>
        </w:rPr>
        <w:t>Hunsinger</w:t>
      </w:r>
      <w:proofErr w:type="spellEnd"/>
      <w:r w:rsidRPr="003C4CE7">
        <w:rPr>
          <w:rFonts w:asciiTheme="minorHAnsi" w:hAnsiTheme="minorHAnsi" w:cstheme="minorHAnsi"/>
          <w:color w:val="000000"/>
          <w:sz w:val="22"/>
          <w:szCs w:val="22"/>
        </w:rPr>
        <w:t xml:space="preserve"> et al., 2019).</w:t>
      </w:r>
    </w:p>
    <w:p w14:paraId="317E44C1" w14:textId="77777777" w:rsidR="003C4CE7" w:rsidRPr="003C4CE7" w:rsidRDefault="003C4CE7" w:rsidP="003C4CE7">
      <w:pPr>
        <w:rPr>
          <w:rFonts w:asciiTheme="minorHAnsi" w:hAnsiTheme="minorHAnsi" w:cstheme="minorHAnsi"/>
          <w:sz w:val="22"/>
          <w:szCs w:val="22"/>
        </w:rPr>
      </w:pPr>
    </w:p>
    <w:p w14:paraId="54206C50" w14:textId="045EA92A" w:rsidR="003C4CE7" w:rsidRPr="003C4CE7" w:rsidRDefault="003C4CE7" w:rsidP="003C4CE7">
      <w:pPr>
        <w:rPr>
          <w:rFonts w:asciiTheme="minorHAnsi" w:hAnsiTheme="minorHAnsi" w:cstheme="minorHAnsi"/>
          <w:sz w:val="22"/>
          <w:szCs w:val="22"/>
        </w:rPr>
      </w:pPr>
      <w:r w:rsidRPr="003C4CE7">
        <w:rPr>
          <w:rFonts w:asciiTheme="minorHAnsi" w:hAnsiTheme="minorHAnsi" w:cstheme="minorHAnsi"/>
          <w:color w:val="000000"/>
          <w:sz w:val="22"/>
          <w:szCs w:val="22"/>
        </w:rPr>
        <w:t xml:space="preserve">The biggest impact bias can have on investigations is that if all of the investigation's focus is misdirected it can lead to a wrongful conviction. One of the most </w:t>
      </w:r>
      <w:r w:rsidR="008D76FC" w:rsidRPr="001C1A39">
        <w:rPr>
          <w:rFonts w:asciiTheme="minorHAnsi" w:hAnsiTheme="minorHAnsi" w:cstheme="minorHAnsi"/>
          <w:color w:val="000000"/>
          <w:sz w:val="22"/>
          <w:szCs w:val="22"/>
        </w:rPr>
        <w:t>well-known</w:t>
      </w:r>
      <w:r w:rsidRPr="003C4CE7">
        <w:rPr>
          <w:rFonts w:asciiTheme="minorHAnsi" w:hAnsiTheme="minorHAnsi" w:cstheme="minorHAnsi"/>
          <w:color w:val="000000"/>
          <w:sz w:val="22"/>
          <w:szCs w:val="22"/>
        </w:rPr>
        <w:t xml:space="preserve"> and disturbing cases was the hanging of Mahmoud </w:t>
      </w:r>
      <w:proofErr w:type="spellStart"/>
      <w:r w:rsidRPr="003C4CE7">
        <w:rPr>
          <w:rFonts w:asciiTheme="minorHAnsi" w:hAnsiTheme="minorHAnsi" w:cstheme="minorHAnsi"/>
          <w:color w:val="000000"/>
          <w:sz w:val="22"/>
          <w:szCs w:val="22"/>
        </w:rPr>
        <w:t>Mattan</w:t>
      </w:r>
      <w:proofErr w:type="spellEnd"/>
      <w:r w:rsidRPr="003C4CE7">
        <w:rPr>
          <w:rFonts w:asciiTheme="minorHAnsi" w:hAnsiTheme="minorHAnsi" w:cstheme="minorHAnsi"/>
          <w:color w:val="000000"/>
          <w:sz w:val="22"/>
          <w:szCs w:val="22"/>
        </w:rPr>
        <w:t xml:space="preserve"> in Cardiff in 1952. His conviction was due to officers ignoring numerous pieces of evidence that pointed towards another suspect after </w:t>
      </w:r>
      <w:proofErr w:type="spellStart"/>
      <w:r w:rsidRPr="003C4CE7">
        <w:rPr>
          <w:rFonts w:asciiTheme="minorHAnsi" w:hAnsiTheme="minorHAnsi" w:cstheme="minorHAnsi"/>
          <w:color w:val="000000"/>
          <w:sz w:val="22"/>
          <w:szCs w:val="22"/>
        </w:rPr>
        <w:t>Mattan</w:t>
      </w:r>
      <w:proofErr w:type="spellEnd"/>
      <w:r w:rsidRPr="003C4CE7">
        <w:rPr>
          <w:rFonts w:asciiTheme="minorHAnsi" w:hAnsiTheme="minorHAnsi" w:cstheme="minorHAnsi"/>
          <w:color w:val="000000"/>
          <w:sz w:val="22"/>
          <w:szCs w:val="22"/>
        </w:rPr>
        <w:t xml:space="preserve"> had been arrested and failing to disclose crucial undermining evidence at trial (Smith, 2018). However, at some point in any investigation, particularly a murder investigation, officers must establish a theory of how the crime has happened. The “investigation shifts from figuring out what happened to proving it” (O’Brien, 2009). </w:t>
      </w:r>
    </w:p>
    <w:p w14:paraId="7AE82ED9" w14:textId="77777777" w:rsidR="003C4CE7" w:rsidRPr="003C4CE7" w:rsidRDefault="003C4CE7" w:rsidP="003C4CE7">
      <w:pPr>
        <w:rPr>
          <w:rFonts w:asciiTheme="minorHAnsi" w:hAnsiTheme="minorHAnsi" w:cstheme="minorHAnsi"/>
          <w:sz w:val="22"/>
          <w:szCs w:val="22"/>
        </w:rPr>
      </w:pPr>
    </w:p>
    <w:p w14:paraId="385A295A" w14:textId="77777777" w:rsidR="003C4CE7" w:rsidRPr="003C4CE7" w:rsidRDefault="003C4CE7" w:rsidP="003C4CE7">
      <w:pPr>
        <w:rPr>
          <w:rFonts w:asciiTheme="minorHAnsi" w:hAnsiTheme="minorHAnsi" w:cstheme="minorHAnsi"/>
          <w:sz w:val="22"/>
          <w:szCs w:val="22"/>
        </w:rPr>
      </w:pPr>
      <w:r w:rsidRPr="003C4CE7">
        <w:rPr>
          <w:rFonts w:asciiTheme="minorHAnsi" w:hAnsiTheme="minorHAnsi" w:cstheme="minorHAnsi"/>
          <w:color w:val="000000"/>
          <w:sz w:val="22"/>
          <w:szCs w:val="22"/>
        </w:rPr>
        <w:t xml:space="preserve">The focus of the research that I have reviewed on bias in investigations focuses on unconscious cognitive bias, often referred to as ‘tunnel vision’ where investigators only focus on one suspect or explanation (Salet and Terpstra, 2013). The ‘tunnel vision’ theory has been studied and proven to exist. Studies have shown that investigators are less likely than ordinary members of the public to be perceptive to exonerating information pointing away from a suspect (Ask and </w:t>
      </w:r>
      <w:proofErr w:type="spellStart"/>
      <w:r w:rsidRPr="003C4CE7">
        <w:rPr>
          <w:rFonts w:asciiTheme="minorHAnsi" w:hAnsiTheme="minorHAnsi" w:cstheme="minorHAnsi"/>
          <w:color w:val="000000"/>
          <w:sz w:val="22"/>
          <w:szCs w:val="22"/>
        </w:rPr>
        <w:t>Granhag</w:t>
      </w:r>
      <w:proofErr w:type="spellEnd"/>
      <w:r w:rsidRPr="003C4CE7">
        <w:rPr>
          <w:rFonts w:asciiTheme="minorHAnsi" w:hAnsiTheme="minorHAnsi" w:cstheme="minorHAnsi"/>
          <w:color w:val="000000"/>
          <w:sz w:val="22"/>
          <w:szCs w:val="22"/>
        </w:rPr>
        <w:t>, 2005).</w:t>
      </w:r>
    </w:p>
    <w:p w14:paraId="75F13889" w14:textId="77777777" w:rsidR="003C4CE7" w:rsidRPr="003C4CE7" w:rsidRDefault="003C4CE7" w:rsidP="003C4CE7">
      <w:pPr>
        <w:rPr>
          <w:rFonts w:asciiTheme="minorHAnsi" w:hAnsiTheme="minorHAnsi" w:cstheme="minorHAnsi"/>
          <w:sz w:val="22"/>
          <w:szCs w:val="22"/>
        </w:rPr>
      </w:pPr>
    </w:p>
    <w:p w14:paraId="4212CD9D" w14:textId="77777777" w:rsidR="003C4CE7" w:rsidRPr="003C4CE7" w:rsidRDefault="003C4CE7" w:rsidP="003C4CE7">
      <w:pPr>
        <w:rPr>
          <w:rFonts w:asciiTheme="minorHAnsi" w:hAnsiTheme="minorHAnsi" w:cstheme="minorHAnsi"/>
          <w:sz w:val="22"/>
          <w:szCs w:val="22"/>
        </w:rPr>
      </w:pPr>
      <w:r w:rsidRPr="003C4CE7">
        <w:rPr>
          <w:rFonts w:asciiTheme="minorHAnsi" w:hAnsiTheme="minorHAnsi" w:cstheme="minorHAnsi"/>
          <w:color w:val="000000"/>
          <w:sz w:val="22"/>
          <w:szCs w:val="22"/>
        </w:rPr>
        <w:t>Researchers have tried to test the impact of bias throughout different stages of the investigation and have shown its impact can be far reaching. Multiple studies have shown that investigator bias by interviewing officers can unfairly impact the format and outcome of an interview. One study showed that the more background information an interviewer had on a suspect the more of a role bias plays in the interview and interviewers reach judgements on a suspect's guilt before they are interviewed (</w:t>
      </w:r>
      <w:proofErr w:type="spellStart"/>
      <w:r w:rsidRPr="003C4CE7">
        <w:rPr>
          <w:rFonts w:asciiTheme="minorHAnsi" w:hAnsiTheme="minorHAnsi" w:cstheme="minorHAnsi"/>
          <w:color w:val="000000"/>
          <w:sz w:val="22"/>
          <w:szCs w:val="22"/>
        </w:rPr>
        <w:t>Sumampouw</w:t>
      </w:r>
      <w:proofErr w:type="spellEnd"/>
      <w:r w:rsidRPr="003C4CE7">
        <w:rPr>
          <w:rFonts w:asciiTheme="minorHAnsi" w:hAnsiTheme="minorHAnsi" w:cstheme="minorHAnsi"/>
          <w:color w:val="000000"/>
          <w:sz w:val="22"/>
          <w:szCs w:val="22"/>
        </w:rPr>
        <w:t xml:space="preserve"> et al., 2021). Another study showed that investigator bias increases the risk of them exerting additional pressure on a suspect, thereby increasing the risk of eliciting a false confession (</w:t>
      </w:r>
      <w:proofErr w:type="spellStart"/>
      <w:r w:rsidRPr="003C4CE7">
        <w:rPr>
          <w:rFonts w:asciiTheme="minorHAnsi" w:hAnsiTheme="minorHAnsi" w:cstheme="minorHAnsi"/>
          <w:color w:val="000000"/>
          <w:sz w:val="22"/>
          <w:szCs w:val="22"/>
        </w:rPr>
        <w:t>Narchet</w:t>
      </w:r>
      <w:proofErr w:type="spellEnd"/>
      <w:r w:rsidRPr="003C4CE7">
        <w:rPr>
          <w:rFonts w:asciiTheme="minorHAnsi" w:hAnsiTheme="minorHAnsi" w:cstheme="minorHAnsi"/>
          <w:color w:val="000000"/>
          <w:sz w:val="22"/>
          <w:szCs w:val="22"/>
        </w:rPr>
        <w:t xml:space="preserve"> et al., 2011). Research has also shown that an assumption of guilt by an investigator can result in them not fully reviewing all of the information disclosed to the suspect for accuracy and focussing on disclosing information that incriminates the suspect </w:t>
      </w:r>
      <w:r w:rsidRPr="003C4CE7">
        <w:rPr>
          <w:rFonts w:asciiTheme="minorHAnsi" w:hAnsiTheme="minorHAnsi" w:cstheme="minorHAnsi"/>
          <w:color w:val="333333"/>
          <w:sz w:val="22"/>
          <w:szCs w:val="22"/>
          <w:shd w:val="clear" w:color="auto" w:fill="FCFCFC"/>
        </w:rPr>
        <w:t>(Beek et al., 2021). Taken together these studies show the importance of investigators keeping an open mind at the early stages of an investigation. This is a key concept that is integral to the rules on disclosure, with a duty placed on investigators to gather and record evidence that points towards or away from the suspect (Braverman, 2022). </w:t>
      </w:r>
    </w:p>
    <w:p w14:paraId="6666E4F6" w14:textId="77777777" w:rsidR="003C4CE7" w:rsidRPr="003C4CE7" w:rsidRDefault="003C4CE7" w:rsidP="003C4CE7">
      <w:pPr>
        <w:rPr>
          <w:rFonts w:asciiTheme="minorHAnsi" w:hAnsiTheme="minorHAnsi" w:cstheme="minorHAnsi"/>
          <w:sz w:val="22"/>
          <w:szCs w:val="22"/>
        </w:rPr>
      </w:pPr>
    </w:p>
    <w:p w14:paraId="146AA4E9" w14:textId="77777777" w:rsidR="003C4CE7" w:rsidRPr="003C4CE7" w:rsidRDefault="003C4CE7" w:rsidP="003C4CE7">
      <w:pPr>
        <w:rPr>
          <w:rFonts w:asciiTheme="minorHAnsi" w:hAnsiTheme="minorHAnsi" w:cstheme="minorHAnsi"/>
          <w:sz w:val="22"/>
          <w:szCs w:val="22"/>
        </w:rPr>
      </w:pPr>
      <w:r w:rsidRPr="003C4CE7">
        <w:rPr>
          <w:rFonts w:asciiTheme="minorHAnsi" w:hAnsiTheme="minorHAnsi" w:cstheme="minorHAnsi"/>
          <w:color w:val="000000"/>
          <w:sz w:val="22"/>
          <w:szCs w:val="22"/>
        </w:rPr>
        <w:t xml:space="preserve">Investigators need to be aware that any bias they display can impact other stakeholders in the investigation. Research has shown that the decisions of forensic pathologists can be influenced by non-medical information about the child's race and carers </w:t>
      </w:r>
      <w:r w:rsidRPr="003C4CE7">
        <w:rPr>
          <w:rFonts w:asciiTheme="minorHAnsi" w:hAnsiTheme="minorHAnsi" w:cstheme="minorHAnsi"/>
          <w:color w:val="000000"/>
          <w:sz w:val="22"/>
          <w:szCs w:val="22"/>
          <w:shd w:val="clear" w:color="auto" w:fill="FFFFFF"/>
        </w:rPr>
        <w:t>(</w:t>
      </w:r>
      <w:proofErr w:type="spellStart"/>
      <w:r w:rsidRPr="003C4CE7">
        <w:rPr>
          <w:rFonts w:asciiTheme="minorHAnsi" w:hAnsiTheme="minorHAnsi" w:cstheme="minorHAnsi"/>
          <w:color w:val="000000"/>
          <w:sz w:val="22"/>
          <w:szCs w:val="22"/>
          <w:shd w:val="clear" w:color="auto" w:fill="FFFFFF"/>
        </w:rPr>
        <w:t>Dror</w:t>
      </w:r>
      <w:proofErr w:type="spellEnd"/>
      <w:r w:rsidRPr="003C4CE7">
        <w:rPr>
          <w:rFonts w:asciiTheme="minorHAnsi" w:hAnsiTheme="minorHAnsi" w:cstheme="minorHAnsi"/>
          <w:color w:val="000000"/>
          <w:sz w:val="22"/>
          <w:szCs w:val="22"/>
          <w:shd w:val="clear" w:color="auto" w:fill="FFFFFF"/>
        </w:rPr>
        <w:t xml:space="preserve"> et al., 2021). Likewise fingerprint experts have been shown to change their opinion on whether fingerprint matched when presented with new evidence suggesting a match would be highly unlikely </w:t>
      </w:r>
      <w:r w:rsidRPr="003C4CE7">
        <w:rPr>
          <w:rFonts w:asciiTheme="minorHAnsi" w:hAnsiTheme="minorHAnsi" w:cstheme="minorHAnsi"/>
          <w:color w:val="000000"/>
          <w:sz w:val="22"/>
          <w:szCs w:val="22"/>
        </w:rPr>
        <w:t>(Ask et al., 2008). </w:t>
      </w:r>
    </w:p>
    <w:p w14:paraId="5A453591" w14:textId="77777777" w:rsidR="003C4CE7" w:rsidRPr="003C4CE7" w:rsidRDefault="003C4CE7" w:rsidP="003C4CE7">
      <w:pPr>
        <w:rPr>
          <w:rFonts w:asciiTheme="minorHAnsi" w:hAnsiTheme="minorHAnsi" w:cstheme="minorHAnsi"/>
          <w:sz w:val="22"/>
          <w:szCs w:val="22"/>
        </w:rPr>
      </w:pPr>
    </w:p>
    <w:p w14:paraId="2C24DAFC" w14:textId="77777777" w:rsidR="003C4CE7" w:rsidRPr="003C4CE7" w:rsidRDefault="003C4CE7" w:rsidP="003C4CE7">
      <w:pPr>
        <w:rPr>
          <w:rFonts w:asciiTheme="minorHAnsi" w:hAnsiTheme="minorHAnsi" w:cstheme="minorHAnsi"/>
          <w:sz w:val="22"/>
          <w:szCs w:val="22"/>
        </w:rPr>
      </w:pPr>
      <w:r w:rsidRPr="003C4CE7">
        <w:rPr>
          <w:rFonts w:asciiTheme="minorHAnsi" w:hAnsiTheme="minorHAnsi" w:cstheme="minorHAnsi"/>
          <w:color w:val="000000"/>
          <w:sz w:val="22"/>
          <w:szCs w:val="22"/>
          <w:shd w:val="clear" w:color="auto" w:fill="FFFFFF"/>
        </w:rPr>
        <w:lastRenderedPageBreak/>
        <w:t>As explored above due to the impact that bias can have on investigations there are measures in place to help counteract bias. However despite a large number of studies showing the impacts of bias some have been critical there is less research regarding the effectiveness of control measures (</w:t>
      </w:r>
      <w:proofErr w:type="spellStart"/>
      <w:r w:rsidRPr="003C4CE7">
        <w:rPr>
          <w:rFonts w:asciiTheme="minorHAnsi" w:hAnsiTheme="minorHAnsi" w:cstheme="minorHAnsi"/>
          <w:color w:val="000000"/>
          <w:sz w:val="22"/>
          <w:szCs w:val="22"/>
          <w:shd w:val="clear" w:color="auto" w:fill="FFFFFF"/>
        </w:rPr>
        <w:t>Meterko</w:t>
      </w:r>
      <w:proofErr w:type="spellEnd"/>
      <w:r w:rsidRPr="003C4CE7">
        <w:rPr>
          <w:rFonts w:asciiTheme="minorHAnsi" w:hAnsiTheme="minorHAnsi" w:cstheme="minorHAnsi"/>
          <w:color w:val="000000"/>
          <w:sz w:val="22"/>
          <w:szCs w:val="22"/>
          <w:shd w:val="clear" w:color="auto" w:fill="FFFFFF"/>
        </w:rPr>
        <w:t>, 2021).</w:t>
      </w:r>
    </w:p>
    <w:p w14:paraId="1CF1D130" w14:textId="77777777" w:rsidR="003C4CE7" w:rsidRPr="003C4CE7" w:rsidRDefault="003C4CE7" w:rsidP="003C4CE7">
      <w:pPr>
        <w:rPr>
          <w:rFonts w:asciiTheme="minorHAnsi" w:hAnsiTheme="minorHAnsi" w:cstheme="minorHAnsi"/>
          <w:sz w:val="22"/>
          <w:szCs w:val="22"/>
        </w:rPr>
      </w:pPr>
    </w:p>
    <w:p w14:paraId="03F2D789" w14:textId="2AB596A7" w:rsidR="003C4CE7" w:rsidRPr="003C4CE7" w:rsidRDefault="003C4CE7" w:rsidP="003C4CE7">
      <w:pPr>
        <w:rPr>
          <w:rFonts w:asciiTheme="minorHAnsi" w:hAnsiTheme="minorHAnsi" w:cstheme="minorHAnsi"/>
          <w:sz w:val="22"/>
          <w:szCs w:val="22"/>
        </w:rPr>
      </w:pPr>
      <w:r w:rsidRPr="003C4CE7">
        <w:rPr>
          <w:rFonts w:asciiTheme="minorHAnsi" w:hAnsiTheme="minorHAnsi" w:cstheme="minorHAnsi"/>
          <w:color w:val="000000"/>
          <w:sz w:val="22"/>
          <w:szCs w:val="22"/>
          <w:shd w:val="clear" w:color="auto" w:fill="FFFFFF"/>
        </w:rPr>
        <w:t xml:space="preserve">One theory has been trialled in the Netherlands as a result of a wrongful conviction is the use of contrarians, </w:t>
      </w:r>
      <w:r w:rsidR="008D76FC" w:rsidRPr="001C1A39">
        <w:rPr>
          <w:rFonts w:asciiTheme="minorHAnsi" w:hAnsiTheme="minorHAnsi" w:cstheme="minorHAnsi"/>
          <w:color w:val="000000"/>
          <w:sz w:val="22"/>
          <w:szCs w:val="22"/>
          <w:shd w:val="clear" w:color="auto" w:fill="FFFFFF"/>
        </w:rPr>
        <w:t>non-police</w:t>
      </w:r>
      <w:r w:rsidRPr="003C4CE7">
        <w:rPr>
          <w:rFonts w:asciiTheme="minorHAnsi" w:hAnsiTheme="minorHAnsi" w:cstheme="minorHAnsi"/>
          <w:color w:val="000000"/>
          <w:sz w:val="22"/>
          <w:szCs w:val="22"/>
          <w:shd w:val="clear" w:color="auto" w:fill="FFFFFF"/>
        </w:rPr>
        <w:t xml:space="preserve"> employees who were proposed as a way of challenging police thinking and offering an alternative viewpoint. A review of this implementation showed that it had an effect on investigations but did not change the outcome of any investigation (Salet and Terpstra, 2013). </w:t>
      </w:r>
    </w:p>
    <w:p w14:paraId="164365FC" w14:textId="77777777" w:rsidR="003C4CE7" w:rsidRPr="003C4CE7" w:rsidRDefault="003C4CE7" w:rsidP="003C4CE7">
      <w:pPr>
        <w:rPr>
          <w:rFonts w:asciiTheme="minorHAnsi" w:hAnsiTheme="minorHAnsi" w:cstheme="minorHAnsi"/>
          <w:sz w:val="22"/>
          <w:szCs w:val="22"/>
        </w:rPr>
      </w:pPr>
    </w:p>
    <w:p w14:paraId="32AC2567" w14:textId="77777777" w:rsidR="003C4CE7" w:rsidRPr="003C4CE7" w:rsidRDefault="003C4CE7" w:rsidP="003C4CE7">
      <w:pPr>
        <w:rPr>
          <w:rFonts w:asciiTheme="minorHAnsi" w:hAnsiTheme="minorHAnsi" w:cstheme="minorHAnsi"/>
          <w:sz w:val="22"/>
          <w:szCs w:val="22"/>
        </w:rPr>
      </w:pPr>
      <w:r w:rsidRPr="003C4CE7">
        <w:rPr>
          <w:rFonts w:asciiTheme="minorHAnsi" w:hAnsiTheme="minorHAnsi" w:cstheme="minorHAnsi"/>
          <w:color w:val="000000"/>
          <w:sz w:val="22"/>
          <w:szCs w:val="22"/>
          <w:shd w:val="clear" w:color="auto" w:fill="FFFFFF"/>
        </w:rPr>
        <w:t xml:space="preserve">There are a number of checks and balances already built into the UK system to try and reduce the impact of bias. As mentioned above, the disclosure rules place a duty on investigators to record and retain any information that may undermine the prosecution case or assist the defence and to investigate all reasonable lines of enquiry </w:t>
      </w:r>
      <w:r w:rsidRPr="003C4CE7">
        <w:rPr>
          <w:rFonts w:asciiTheme="minorHAnsi" w:hAnsiTheme="minorHAnsi" w:cstheme="minorHAnsi"/>
          <w:color w:val="333333"/>
          <w:sz w:val="22"/>
          <w:szCs w:val="22"/>
          <w:shd w:val="clear" w:color="auto" w:fill="FCFCFC"/>
        </w:rPr>
        <w:t>(Braverman, 2022).</w:t>
      </w:r>
      <w:r w:rsidRPr="003C4CE7">
        <w:rPr>
          <w:rFonts w:asciiTheme="minorHAnsi" w:hAnsiTheme="minorHAnsi" w:cstheme="minorHAnsi"/>
          <w:color w:val="000000"/>
          <w:sz w:val="22"/>
          <w:szCs w:val="22"/>
          <w:shd w:val="clear" w:color="auto" w:fill="FFFFFF"/>
        </w:rPr>
        <w:t xml:space="preserve">. A failure to comply with this duty can lead to a trial collapsing. The multi-stage review process in place for major crime investigations also means that others outside of the officer in the case and potentially other forces have to review the progress of an investigation and consider potential lines of enquiry and policy decisions (NPCC Homicide Working Group, 2021). The impact of officers who are distanced from the investigation reviewing it lessens the likelihood of them being influenced by ‘tunnel vision’. The implementation of proper training for officers also has a role to play in raising awareness for bias. One examples of this principle in investigations training is the ABC principle (College of Policing, 2019), meaning each piece of evidence and witness account should be challenged for accuracy and investigators should not jump to conclusions. A study showing the impact of a one day officer training course on </w:t>
      </w:r>
      <w:proofErr w:type="spellStart"/>
      <w:r w:rsidRPr="003C4CE7">
        <w:rPr>
          <w:rFonts w:asciiTheme="minorHAnsi" w:hAnsiTheme="minorHAnsi" w:cstheme="minorHAnsi"/>
          <w:color w:val="000000"/>
          <w:sz w:val="22"/>
          <w:szCs w:val="22"/>
          <w:shd w:val="clear" w:color="auto" w:fill="FFFFFF"/>
        </w:rPr>
        <w:t>bias’</w:t>
      </w:r>
      <w:proofErr w:type="spellEnd"/>
      <w:r w:rsidRPr="003C4CE7">
        <w:rPr>
          <w:rFonts w:asciiTheme="minorHAnsi" w:hAnsiTheme="minorHAnsi" w:cstheme="minorHAnsi"/>
          <w:color w:val="000000"/>
          <w:sz w:val="22"/>
          <w:szCs w:val="22"/>
          <w:shd w:val="clear" w:color="auto" w:fill="FFFFFF"/>
        </w:rPr>
        <w:t xml:space="preserve"> in stop and searches found that when properly implemented and supported by other measures such as supervisor reviews training can increase officer awareness and reduce bias (Miller et al., 2020). </w:t>
      </w:r>
    </w:p>
    <w:p w14:paraId="1123A462" w14:textId="77777777" w:rsidR="003C4CE7" w:rsidRPr="003C4CE7" w:rsidRDefault="003C4CE7" w:rsidP="003C4CE7">
      <w:pPr>
        <w:rPr>
          <w:rFonts w:asciiTheme="minorHAnsi" w:hAnsiTheme="minorHAnsi" w:cstheme="minorHAnsi"/>
          <w:sz w:val="22"/>
          <w:szCs w:val="22"/>
        </w:rPr>
      </w:pPr>
    </w:p>
    <w:p w14:paraId="1F65ED6A" w14:textId="77777777" w:rsidR="003C4CE7" w:rsidRPr="003C4CE7" w:rsidRDefault="003C4CE7" w:rsidP="003C4CE7">
      <w:pPr>
        <w:rPr>
          <w:rFonts w:asciiTheme="minorHAnsi" w:hAnsiTheme="minorHAnsi" w:cstheme="minorHAnsi"/>
          <w:sz w:val="22"/>
          <w:szCs w:val="22"/>
        </w:rPr>
      </w:pPr>
      <w:r w:rsidRPr="003C4CE7">
        <w:rPr>
          <w:rFonts w:asciiTheme="minorHAnsi" w:hAnsiTheme="minorHAnsi" w:cstheme="minorHAnsi"/>
          <w:color w:val="000000"/>
          <w:sz w:val="22"/>
          <w:szCs w:val="22"/>
          <w:shd w:val="clear" w:color="auto" w:fill="FFFFFF"/>
        </w:rPr>
        <w:t>Other studies have also proposed new but as yet untested tools to reduce bias. One study suggested that investigators select relevant sources of evidence and rate the strength of each alongside the different proposed explanations for the crime (</w:t>
      </w:r>
      <w:proofErr w:type="spellStart"/>
      <w:r w:rsidRPr="003C4CE7">
        <w:rPr>
          <w:rFonts w:asciiTheme="minorHAnsi" w:hAnsiTheme="minorHAnsi" w:cstheme="minorHAnsi"/>
          <w:color w:val="000000"/>
          <w:sz w:val="22"/>
          <w:szCs w:val="22"/>
          <w:shd w:val="clear" w:color="auto" w:fill="FFFFFF"/>
        </w:rPr>
        <w:t>Rassin</w:t>
      </w:r>
      <w:proofErr w:type="spellEnd"/>
      <w:r w:rsidRPr="003C4CE7">
        <w:rPr>
          <w:rFonts w:asciiTheme="minorHAnsi" w:hAnsiTheme="minorHAnsi" w:cstheme="minorHAnsi"/>
          <w:color w:val="000000"/>
          <w:sz w:val="22"/>
          <w:szCs w:val="22"/>
          <w:shd w:val="clear" w:color="auto" w:fill="FFFFFF"/>
        </w:rPr>
        <w:t xml:space="preserve">, 2018). </w:t>
      </w:r>
      <w:proofErr w:type="spellStart"/>
      <w:r w:rsidRPr="003C4CE7">
        <w:rPr>
          <w:rFonts w:asciiTheme="minorHAnsi" w:hAnsiTheme="minorHAnsi" w:cstheme="minorHAnsi"/>
          <w:color w:val="000000"/>
          <w:sz w:val="22"/>
          <w:szCs w:val="22"/>
          <w:shd w:val="clear" w:color="auto" w:fill="FFFFFF"/>
        </w:rPr>
        <w:t>Rassin</w:t>
      </w:r>
      <w:proofErr w:type="spellEnd"/>
      <w:r w:rsidRPr="003C4CE7">
        <w:rPr>
          <w:rFonts w:asciiTheme="minorHAnsi" w:hAnsiTheme="minorHAnsi" w:cstheme="minorHAnsi"/>
          <w:color w:val="000000"/>
          <w:sz w:val="22"/>
          <w:szCs w:val="22"/>
          <w:shd w:val="clear" w:color="auto" w:fill="FFFFFF"/>
        </w:rPr>
        <w:t xml:space="preserve"> suggests that the physical act of writing the different scenarios down and assessing each piece of evidence forces the investigator to reflect on alternative explanations. Similarly O’Brien (2009) suggests that simply getting investigators to discuss evidence both for and against their hypothesis helps to reduce the effects of tunnel vision. </w:t>
      </w:r>
    </w:p>
    <w:p w14:paraId="2451BC9F" w14:textId="77777777" w:rsidR="003C4CE7" w:rsidRPr="003C4CE7" w:rsidRDefault="003C4CE7" w:rsidP="003C4CE7">
      <w:pPr>
        <w:spacing w:after="240"/>
        <w:rPr>
          <w:rFonts w:asciiTheme="minorHAnsi" w:hAnsiTheme="minorHAnsi" w:cstheme="minorHAnsi"/>
          <w:sz w:val="22"/>
          <w:szCs w:val="22"/>
        </w:rPr>
      </w:pPr>
    </w:p>
    <w:p w14:paraId="6EBDF3AE" w14:textId="2912AE6B" w:rsidR="003C4CE7" w:rsidRPr="003C4CE7" w:rsidRDefault="003C4CE7" w:rsidP="003C4CE7">
      <w:pPr>
        <w:shd w:val="clear" w:color="auto" w:fill="FFFFFF"/>
        <w:rPr>
          <w:rFonts w:asciiTheme="minorHAnsi" w:hAnsiTheme="minorHAnsi" w:cstheme="minorHAnsi"/>
          <w:sz w:val="22"/>
          <w:szCs w:val="22"/>
        </w:rPr>
      </w:pPr>
      <w:r w:rsidRPr="001C1A39">
        <w:rPr>
          <w:rFonts w:asciiTheme="minorHAnsi" w:hAnsiTheme="minorHAnsi" w:cstheme="minorHAnsi"/>
          <w:sz w:val="22"/>
          <w:szCs w:val="22"/>
          <w:u w:val="single"/>
        </w:rPr>
        <w:t>Word count</w:t>
      </w:r>
      <w:r w:rsidRPr="001C1A39">
        <w:rPr>
          <w:rFonts w:asciiTheme="minorHAnsi" w:hAnsiTheme="minorHAnsi" w:cstheme="minorHAnsi"/>
          <w:sz w:val="22"/>
          <w:szCs w:val="22"/>
        </w:rPr>
        <w:t xml:space="preserve">: </w:t>
      </w:r>
      <w:r w:rsidR="001C1A39" w:rsidRPr="001C1A39">
        <w:rPr>
          <w:rFonts w:asciiTheme="minorHAnsi" w:hAnsiTheme="minorHAnsi" w:cstheme="minorHAnsi"/>
          <w:sz w:val="22"/>
          <w:szCs w:val="22"/>
        </w:rPr>
        <w:t>1014</w:t>
      </w:r>
    </w:p>
    <w:p w14:paraId="083A44D6" w14:textId="77777777" w:rsidR="003C4CE7" w:rsidRPr="003C4CE7" w:rsidRDefault="003C4CE7" w:rsidP="003C4CE7">
      <w:pPr>
        <w:shd w:val="clear" w:color="auto" w:fill="FFFFFF"/>
        <w:spacing w:after="240"/>
        <w:rPr>
          <w:rFonts w:asciiTheme="minorHAnsi" w:hAnsiTheme="minorHAnsi" w:cstheme="minorHAnsi"/>
          <w:sz w:val="22"/>
          <w:szCs w:val="22"/>
        </w:rPr>
      </w:pPr>
    </w:p>
    <w:p w14:paraId="0BAA02C2" w14:textId="6E175B40" w:rsidR="00394E0E" w:rsidRPr="001C1A39" w:rsidRDefault="00394E0E" w:rsidP="00394E0E">
      <w:pPr>
        <w:spacing w:line="256" w:lineRule="auto"/>
        <w:ind w:left="567" w:right="531"/>
        <w:rPr>
          <w:rFonts w:asciiTheme="minorHAnsi" w:eastAsia="Calibri" w:hAnsiTheme="minorHAnsi" w:cstheme="minorHAnsi"/>
          <w:sz w:val="22"/>
          <w:szCs w:val="22"/>
        </w:rPr>
      </w:pPr>
      <w:r w:rsidRPr="001C1A39">
        <w:rPr>
          <w:rFonts w:asciiTheme="minorHAnsi" w:eastAsia="Calibri" w:hAnsiTheme="minorHAnsi" w:cstheme="minorHAnsi"/>
          <w:sz w:val="22"/>
          <w:szCs w:val="22"/>
        </w:rPr>
        <w:t xml:space="preserve"> </w:t>
      </w:r>
    </w:p>
    <w:p w14:paraId="7829077B"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7BE4C47C"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0A9B299F"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5CD34271"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797A28CA"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4C405F9F"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2F4DF00F"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680AF753"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4A20488D"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43CABBBB"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77B7D850" w14:textId="77777777" w:rsidR="005B5DD4" w:rsidRPr="001C1A39" w:rsidRDefault="005B5DD4" w:rsidP="00394E0E">
      <w:pPr>
        <w:spacing w:line="256" w:lineRule="auto"/>
        <w:ind w:left="567" w:right="531"/>
        <w:rPr>
          <w:rFonts w:asciiTheme="minorHAnsi" w:eastAsia="Calibri" w:hAnsiTheme="minorHAnsi" w:cstheme="minorHAnsi"/>
          <w:sz w:val="22"/>
          <w:szCs w:val="22"/>
        </w:rPr>
      </w:pPr>
    </w:p>
    <w:p w14:paraId="7C1B54EE" w14:textId="77777777" w:rsidR="00201F6B" w:rsidRPr="001C1A39" w:rsidRDefault="00201F6B" w:rsidP="003C4CE7">
      <w:pPr>
        <w:spacing w:line="256" w:lineRule="auto"/>
        <w:ind w:right="531"/>
        <w:rPr>
          <w:rFonts w:asciiTheme="minorHAnsi" w:eastAsia="Calibri" w:hAnsiTheme="minorHAnsi" w:cstheme="minorHAnsi"/>
          <w:sz w:val="22"/>
          <w:szCs w:val="22"/>
        </w:rPr>
      </w:pPr>
    </w:p>
    <w:p w14:paraId="5643E8CE" w14:textId="4B250BE0" w:rsidR="00394E0E" w:rsidRPr="001C1A39" w:rsidRDefault="00394E0E" w:rsidP="003C4CE7">
      <w:pPr>
        <w:spacing w:line="256" w:lineRule="auto"/>
        <w:ind w:right="531"/>
        <w:rPr>
          <w:rFonts w:asciiTheme="minorHAnsi" w:hAnsiTheme="minorHAnsi" w:cstheme="minorHAnsi"/>
          <w:sz w:val="22"/>
          <w:szCs w:val="22"/>
        </w:rPr>
      </w:pPr>
      <w:r w:rsidRPr="001C1A39">
        <w:rPr>
          <w:rFonts w:asciiTheme="minorHAnsi" w:eastAsia="Calibri" w:hAnsiTheme="minorHAnsi" w:cstheme="minorHAnsi"/>
          <w:b/>
          <w:bCs/>
          <w:sz w:val="22"/>
          <w:szCs w:val="22"/>
        </w:rPr>
        <w:lastRenderedPageBreak/>
        <w:t>Essay f</w:t>
      </w:r>
      <w:r w:rsidR="005B5DD4" w:rsidRPr="001C1A39">
        <w:rPr>
          <w:rFonts w:asciiTheme="minorHAnsi" w:eastAsia="Calibri" w:hAnsiTheme="minorHAnsi" w:cstheme="minorHAnsi"/>
          <w:b/>
          <w:bCs/>
          <w:sz w:val="22"/>
          <w:szCs w:val="22"/>
        </w:rPr>
        <w:t>our</w:t>
      </w:r>
      <w:r w:rsidRPr="001C1A39">
        <w:rPr>
          <w:rFonts w:asciiTheme="minorHAnsi" w:eastAsia="Calibri" w:hAnsiTheme="minorHAnsi" w:cstheme="minorHAnsi"/>
          <w:b/>
          <w:bCs/>
          <w:sz w:val="22"/>
          <w:szCs w:val="22"/>
        </w:rPr>
        <w:t xml:space="preserve">: </w:t>
      </w:r>
    </w:p>
    <w:p w14:paraId="0646FC68" w14:textId="77777777" w:rsidR="00394E0E" w:rsidRPr="001C1A39" w:rsidRDefault="00394E0E" w:rsidP="003C4CE7">
      <w:pPr>
        <w:spacing w:line="256" w:lineRule="auto"/>
        <w:ind w:right="531"/>
        <w:rPr>
          <w:rFonts w:asciiTheme="minorHAnsi" w:eastAsia="Calibri" w:hAnsiTheme="minorHAnsi" w:cstheme="minorHAnsi"/>
          <w:b/>
          <w:bCs/>
          <w:sz w:val="22"/>
          <w:szCs w:val="22"/>
        </w:rPr>
      </w:pPr>
      <w:r w:rsidRPr="001C1A39">
        <w:rPr>
          <w:rFonts w:asciiTheme="minorHAnsi" w:eastAsia="Calibri" w:hAnsiTheme="minorHAnsi" w:cstheme="minorHAnsi"/>
          <w:b/>
          <w:bCs/>
          <w:sz w:val="22"/>
          <w:szCs w:val="22"/>
        </w:rPr>
        <w:t xml:space="preserve">What characteristics or factors increase the risk of exploitation by Serious or Organised Crime Gangs? Your answer should </w:t>
      </w:r>
      <w:r w:rsidRPr="001C1A39">
        <w:rPr>
          <w:rFonts w:asciiTheme="minorHAnsi" w:eastAsia="Calibri" w:hAnsiTheme="minorHAnsi" w:cstheme="minorHAnsi"/>
          <w:b/>
          <w:bCs/>
          <w:sz w:val="22"/>
          <w:szCs w:val="22"/>
          <w:u w:val="single"/>
        </w:rPr>
        <w:t>examine</w:t>
      </w:r>
      <w:r w:rsidRPr="001C1A39">
        <w:rPr>
          <w:rFonts w:asciiTheme="minorHAnsi" w:eastAsia="Calibri" w:hAnsiTheme="minorHAnsi" w:cstheme="minorHAnsi"/>
          <w:b/>
          <w:bCs/>
          <w:sz w:val="22"/>
          <w:szCs w:val="22"/>
        </w:rPr>
        <w:t xml:space="preserve"> both the psychological and socio-economic characteristics of victims of exploitation.</w:t>
      </w:r>
    </w:p>
    <w:p w14:paraId="7F4E8BF5" w14:textId="77777777" w:rsidR="003C4CE7" w:rsidRPr="001C1A39" w:rsidRDefault="003C4CE7" w:rsidP="003C4CE7">
      <w:pPr>
        <w:spacing w:line="256" w:lineRule="auto"/>
        <w:ind w:right="531"/>
        <w:rPr>
          <w:rFonts w:asciiTheme="minorHAnsi" w:eastAsia="Calibri" w:hAnsiTheme="minorHAnsi" w:cstheme="minorHAnsi"/>
          <w:sz w:val="22"/>
          <w:szCs w:val="22"/>
        </w:rPr>
      </w:pPr>
    </w:p>
    <w:p w14:paraId="0558CCD4" w14:textId="77777777" w:rsidR="003C4CE7" w:rsidRPr="001C1A39" w:rsidRDefault="003C4CE7" w:rsidP="003C4CE7">
      <w:pPr>
        <w:spacing w:line="256" w:lineRule="auto"/>
        <w:ind w:right="531"/>
        <w:rPr>
          <w:rFonts w:asciiTheme="minorHAnsi" w:eastAsia="Calibri" w:hAnsiTheme="minorHAnsi" w:cstheme="minorHAnsi"/>
          <w:sz w:val="22"/>
          <w:szCs w:val="22"/>
        </w:rPr>
      </w:pPr>
    </w:p>
    <w:p w14:paraId="0BC9FC29" w14:textId="77777777" w:rsidR="003C4CE7" w:rsidRPr="001C1A39" w:rsidRDefault="003C4CE7" w:rsidP="003C4CE7">
      <w:pPr>
        <w:spacing w:line="256" w:lineRule="auto"/>
        <w:ind w:right="531"/>
        <w:rPr>
          <w:rFonts w:asciiTheme="minorHAnsi" w:eastAsia="Calibri" w:hAnsiTheme="minorHAnsi" w:cstheme="minorHAnsi"/>
          <w:sz w:val="22"/>
          <w:szCs w:val="22"/>
        </w:rPr>
      </w:pPr>
    </w:p>
    <w:p w14:paraId="72EE1CB6" w14:textId="77777777" w:rsidR="00201F6B" w:rsidRPr="00201F6B" w:rsidRDefault="00201F6B" w:rsidP="00201F6B">
      <w:pPr>
        <w:rPr>
          <w:rFonts w:asciiTheme="minorHAnsi" w:hAnsiTheme="minorHAnsi" w:cstheme="minorHAnsi"/>
          <w:sz w:val="22"/>
          <w:szCs w:val="22"/>
        </w:rPr>
      </w:pPr>
      <w:r w:rsidRPr="00201F6B">
        <w:rPr>
          <w:rFonts w:asciiTheme="minorHAnsi" w:hAnsiTheme="minorHAnsi" w:cstheme="minorHAnsi"/>
          <w:color w:val="000000"/>
          <w:sz w:val="22"/>
          <w:szCs w:val="22"/>
        </w:rPr>
        <w:t xml:space="preserve">Exploitation can be defined as “the use of something in order to get an advantage from it” </w:t>
      </w:r>
      <w:r w:rsidRPr="00201F6B">
        <w:rPr>
          <w:rFonts w:asciiTheme="minorHAnsi" w:hAnsiTheme="minorHAnsi" w:cstheme="minorHAnsi"/>
          <w:b/>
          <w:bCs/>
          <w:color w:val="000000"/>
          <w:sz w:val="22"/>
          <w:szCs w:val="22"/>
        </w:rPr>
        <w:t xml:space="preserve">(Cambridge Dictionary, 2019). </w:t>
      </w:r>
      <w:r w:rsidRPr="00201F6B">
        <w:rPr>
          <w:rFonts w:asciiTheme="minorHAnsi" w:hAnsiTheme="minorHAnsi" w:cstheme="minorHAnsi"/>
          <w:color w:val="000000"/>
          <w:sz w:val="22"/>
          <w:szCs w:val="22"/>
        </w:rPr>
        <w:t xml:space="preserve">Gangs typically target individuals who are vulnerable and prey on their vulnerability for the benefit of the gang, for example acting as a drug runner </w:t>
      </w:r>
      <w:r w:rsidRPr="00201F6B">
        <w:rPr>
          <w:rFonts w:asciiTheme="minorHAnsi" w:hAnsiTheme="minorHAnsi" w:cstheme="minorHAnsi"/>
          <w:b/>
          <w:bCs/>
          <w:color w:val="000000"/>
          <w:sz w:val="22"/>
          <w:szCs w:val="22"/>
        </w:rPr>
        <w:t>(National Crime Agency, 2018)</w:t>
      </w:r>
      <w:r w:rsidRPr="00201F6B">
        <w:rPr>
          <w:rFonts w:asciiTheme="minorHAnsi" w:hAnsiTheme="minorHAnsi" w:cstheme="minorHAnsi"/>
          <w:color w:val="000000"/>
          <w:sz w:val="22"/>
          <w:szCs w:val="22"/>
        </w:rPr>
        <w:t xml:space="preserve">. There has recently been a greater media and police focus in the last few years on tackling organised crime gangs who have moved from their traditional large city bases and established what have been dubbed ‘county lines’ in more rural areas and towns </w:t>
      </w:r>
      <w:r w:rsidRPr="00201F6B">
        <w:rPr>
          <w:rFonts w:asciiTheme="minorHAnsi" w:hAnsiTheme="minorHAnsi" w:cstheme="minorHAnsi"/>
          <w:b/>
          <w:bCs/>
          <w:color w:val="000000"/>
          <w:sz w:val="22"/>
          <w:szCs w:val="22"/>
        </w:rPr>
        <w:t>(Youth Justice Legal Centre, 2021)</w:t>
      </w:r>
      <w:r w:rsidRPr="00201F6B">
        <w:rPr>
          <w:rFonts w:asciiTheme="minorHAnsi" w:hAnsiTheme="minorHAnsi" w:cstheme="minorHAnsi"/>
          <w:color w:val="000000"/>
          <w:sz w:val="22"/>
          <w:szCs w:val="22"/>
        </w:rPr>
        <w:t>. Because it is such a relevant area this essay will focus on the risk factors that lead to both children and vulnerable adults (particularly drug users) being exploited by county lines gangs. </w:t>
      </w:r>
    </w:p>
    <w:p w14:paraId="33D075B1" w14:textId="77777777" w:rsidR="00201F6B" w:rsidRPr="00201F6B" w:rsidRDefault="00201F6B" w:rsidP="00201F6B">
      <w:pPr>
        <w:rPr>
          <w:rFonts w:asciiTheme="minorHAnsi" w:hAnsiTheme="minorHAnsi" w:cstheme="minorHAnsi"/>
          <w:sz w:val="22"/>
          <w:szCs w:val="22"/>
        </w:rPr>
      </w:pPr>
    </w:p>
    <w:p w14:paraId="5F3FDFA4" w14:textId="77777777" w:rsidR="00201F6B" w:rsidRPr="00201F6B" w:rsidRDefault="00201F6B" w:rsidP="00201F6B">
      <w:pPr>
        <w:rPr>
          <w:rFonts w:asciiTheme="minorHAnsi" w:hAnsiTheme="minorHAnsi" w:cstheme="minorHAnsi"/>
          <w:sz w:val="22"/>
          <w:szCs w:val="22"/>
        </w:rPr>
      </w:pPr>
      <w:r w:rsidRPr="00201F6B">
        <w:rPr>
          <w:rFonts w:asciiTheme="minorHAnsi" w:hAnsiTheme="minorHAnsi" w:cstheme="minorHAnsi"/>
          <w:color w:val="000000"/>
          <w:sz w:val="22"/>
          <w:szCs w:val="22"/>
        </w:rPr>
        <w:t xml:space="preserve">The problem in relation to children is not a theoretical risk, the </w:t>
      </w:r>
      <w:r w:rsidRPr="00201F6B">
        <w:rPr>
          <w:rFonts w:asciiTheme="minorHAnsi" w:hAnsiTheme="minorHAnsi" w:cstheme="minorHAnsi"/>
          <w:b/>
          <w:bCs/>
          <w:color w:val="000000"/>
          <w:sz w:val="22"/>
          <w:szCs w:val="22"/>
        </w:rPr>
        <w:t>Commission on Young Lives (2021)</w:t>
      </w:r>
      <w:r w:rsidRPr="00201F6B">
        <w:rPr>
          <w:rFonts w:asciiTheme="minorHAnsi" w:hAnsiTheme="minorHAnsi" w:cstheme="minorHAnsi"/>
          <w:color w:val="000000"/>
          <w:sz w:val="22"/>
          <w:szCs w:val="22"/>
        </w:rPr>
        <w:t xml:space="preserve"> found that social services had identified 12,730 children as currently being at risk of exploitation by gangs. There isn’t one specific factor that makes children more vulnerable to exploitation. Work by </w:t>
      </w:r>
      <w:r w:rsidRPr="00201F6B">
        <w:rPr>
          <w:rFonts w:asciiTheme="minorHAnsi" w:hAnsiTheme="minorHAnsi" w:cstheme="minorHAnsi"/>
          <w:b/>
          <w:bCs/>
          <w:color w:val="000000"/>
          <w:sz w:val="22"/>
          <w:szCs w:val="22"/>
        </w:rPr>
        <w:t>Youth.Gov (2019)</w:t>
      </w:r>
      <w:r w:rsidRPr="00201F6B">
        <w:rPr>
          <w:rFonts w:asciiTheme="minorHAnsi" w:hAnsiTheme="minorHAnsi" w:cstheme="minorHAnsi"/>
          <w:color w:val="000000"/>
          <w:sz w:val="22"/>
          <w:szCs w:val="22"/>
        </w:rPr>
        <w:t xml:space="preserve"> uses the terms protective and risk factors to differentiate between influences that may lead to children becoming involved with gangs or steer them away from such a path. Protective factors could include attentive parental monitoring and reducing absenteeism from school. One of the most significant risk factors for children could be </w:t>
      </w:r>
      <w:proofErr w:type="spellStart"/>
      <w:r w:rsidRPr="00201F6B">
        <w:rPr>
          <w:rFonts w:asciiTheme="minorHAnsi" w:hAnsiTheme="minorHAnsi" w:cstheme="minorHAnsi"/>
          <w:color w:val="000000"/>
          <w:sz w:val="22"/>
          <w:szCs w:val="22"/>
        </w:rPr>
        <w:t>mairjuana</w:t>
      </w:r>
      <w:proofErr w:type="spellEnd"/>
      <w:r w:rsidRPr="00201F6B">
        <w:rPr>
          <w:rFonts w:asciiTheme="minorHAnsi" w:hAnsiTheme="minorHAnsi" w:cstheme="minorHAnsi"/>
          <w:color w:val="000000"/>
          <w:sz w:val="22"/>
          <w:szCs w:val="22"/>
        </w:rPr>
        <w:t xml:space="preserve"> use with this acting as a gateway drug and increasing the likelihood of children coming into contact with gang members </w:t>
      </w:r>
      <w:r w:rsidRPr="00201F6B">
        <w:rPr>
          <w:rFonts w:asciiTheme="minorHAnsi" w:hAnsiTheme="minorHAnsi" w:cstheme="minorHAnsi"/>
          <w:b/>
          <w:bCs/>
          <w:color w:val="000000"/>
          <w:sz w:val="22"/>
          <w:szCs w:val="22"/>
        </w:rPr>
        <w:t>(Waddell, 2015). </w:t>
      </w:r>
    </w:p>
    <w:p w14:paraId="30737656" w14:textId="77777777" w:rsidR="00201F6B" w:rsidRPr="00201F6B" w:rsidRDefault="00201F6B" w:rsidP="00201F6B">
      <w:pPr>
        <w:rPr>
          <w:rFonts w:asciiTheme="minorHAnsi" w:hAnsiTheme="minorHAnsi" w:cstheme="minorHAnsi"/>
          <w:sz w:val="22"/>
          <w:szCs w:val="22"/>
        </w:rPr>
      </w:pPr>
      <w:r w:rsidRPr="00201F6B">
        <w:rPr>
          <w:rFonts w:asciiTheme="minorHAnsi" w:hAnsiTheme="minorHAnsi" w:cstheme="minorHAnsi"/>
          <w:color w:val="000000"/>
          <w:sz w:val="22"/>
          <w:szCs w:val="22"/>
        </w:rPr>
        <w:t> </w:t>
      </w:r>
    </w:p>
    <w:p w14:paraId="588FA053" w14:textId="77777777" w:rsidR="00201F6B" w:rsidRPr="00201F6B" w:rsidRDefault="00201F6B" w:rsidP="00201F6B">
      <w:pPr>
        <w:rPr>
          <w:rFonts w:asciiTheme="minorHAnsi" w:hAnsiTheme="minorHAnsi" w:cstheme="minorHAnsi"/>
          <w:sz w:val="22"/>
          <w:szCs w:val="22"/>
        </w:rPr>
      </w:pPr>
      <w:r w:rsidRPr="00201F6B">
        <w:rPr>
          <w:rFonts w:asciiTheme="minorHAnsi" w:hAnsiTheme="minorHAnsi" w:cstheme="minorHAnsi"/>
          <w:color w:val="000000"/>
          <w:sz w:val="22"/>
          <w:szCs w:val="22"/>
        </w:rPr>
        <w:t xml:space="preserve">One of the major risk factors for children joining gangs is the theory that gangs are a product of social deprivation and act as an “alternative means to achieve status and success when the legitimate opportunities system is closed to them” </w:t>
      </w:r>
      <w:r w:rsidRPr="00201F6B">
        <w:rPr>
          <w:rFonts w:asciiTheme="minorHAnsi" w:hAnsiTheme="minorHAnsi" w:cstheme="minorHAnsi"/>
          <w:b/>
          <w:bCs/>
          <w:color w:val="000000"/>
          <w:sz w:val="22"/>
          <w:szCs w:val="22"/>
        </w:rPr>
        <w:t>(Fisher et al., 2008)</w:t>
      </w:r>
      <w:r w:rsidRPr="00201F6B">
        <w:rPr>
          <w:rFonts w:asciiTheme="minorHAnsi" w:hAnsiTheme="minorHAnsi" w:cstheme="minorHAnsi"/>
          <w:color w:val="000000"/>
          <w:sz w:val="22"/>
          <w:szCs w:val="22"/>
        </w:rPr>
        <w:t xml:space="preserve">. The </w:t>
      </w:r>
      <w:r w:rsidRPr="00201F6B">
        <w:rPr>
          <w:rFonts w:asciiTheme="minorHAnsi" w:hAnsiTheme="minorHAnsi" w:cstheme="minorHAnsi"/>
          <w:b/>
          <w:bCs/>
          <w:color w:val="000000"/>
          <w:sz w:val="22"/>
          <w:szCs w:val="22"/>
        </w:rPr>
        <w:t>NSPCC (2023)</w:t>
      </w:r>
      <w:r w:rsidRPr="00201F6B">
        <w:rPr>
          <w:rFonts w:asciiTheme="minorHAnsi" w:hAnsiTheme="minorHAnsi" w:cstheme="minorHAnsi"/>
          <w:color w:val="000000"/>
          <w:sz w:val="22"/>
          <w:szCs w:val="22"/>
        </w:rPr>
        <w:t xml:space="preserve"> supports this theory by listing the prospect of money and rewards a gang can potentially offer as one of the main reasons why children join gangs. Focussing on specific problem areas in Kent has shown that gangs deliberately target less affluent areas of the county and disproportionately recruit out of area children who have been placed in social care </w:t>
      </w:r>
      <w:r w:rsidRPr="00201F6B">
        <w:rPr>
          <w:rFonts w:asciiTheme="minorHAnsi" w:hAnsiTheme="minorHAnsi" w:cstheme="minorHAnsi"/>
          <w:b/>
          <w:bCs/>
          <w:color w:val="000000"/>
          <w:sz w:val="22"/>
          <w:szCs w:val="22"/>
        </w:rPr>
        <w:t>(</w:t>
      </w:r>
      <w:proofErr w:type="spellStart"/>
      <w:r w:rsidRPr="00201F6B">
        <w:rPr>
          <w:rFonts w:asciiTheme="minorHAnsi" w:hAnsiTheme="minorHAnsi" w:cstheme="minorHAnsi"/>
          <w:b/>
          <w:bCs/>
          <w:color w:val="000000"/>
          <w:sz w:val="22"/>
          <w:szCs w:val="22"/>
        </w:rPr>
        <w:t>Santry</w:t>
      </w:r>
      <w:proofErr w:type="spellEnd"/>
      <w:r w:rsidRPr="00201F6B">
        <w:rPr>
          <w:rFonts w:asciiTheme="minorHAnsi" w:hAnsiTheme="minorHAnsi" w:cstheme="minorHAnsi"/>
          <w:b/>
          <w:bCs/>
          <w:color w:val="000000"/>
          <w:sz w:val="22"/>
          <w:szCs w:val="22"/>
        </w:rPr>
        <w:t xml:space="preserve">, 2018 and </w:t>
      </w:r>
      <w:proofErr w:type="spellStart"/>
      <w:r w:rsidRPr="00201F6B">
        <w:rPr>
          <w:rFonts w:asciiTheme="minorHAnsi" w:hAnsiTheme="minorHAnsi" w:cstheme="minorHAnsi"/>
          <w:b/>
          <w:bCs/>
          <w:color w:val="000000"/>
          <w:sz w:val="22"/>
          <w:szCs w:val="22"/>
        </w:rPr>
        <w:t>Santry</w:t>
      </w:r>
      <w:proofErr w:type="spellEnd"/>
      <w:r w:rsidRPr="00201F6B">
        <w:rPr>
          <w:rFonts w:asciiTheme="minorHAnsi" w:hAnsiTheme="minorHAnsi" w:cstheme="minorHAnsi"/>
          <w:b/>
          <w:bCs/>
          <w:color w:val="000000"/>
          <w:sz w:val="22"/>
          <w:szCs w:val="22"/>
        </w:rPr>
        <w:t>, 2018a). </w:t>
      </w:r>
    </w:p>
    <w:p w14:paraId="19067D40" w14:textId="77777777" w:rsidR="00201F6B" w:rsidRPr="00201F6B" w:rsidRDefault="00201F6B" w:rsidP="00201F6B">
      <w:pPr>
        <w:rPr>
          <w:rFonts w:asciiTheme="minorHAnsi" w:hAnsiTheme="minorHAnsi" w:cstheme="minorHAnsi"/>
          <w:sz w:val="22"/>
          <w:szCs w:val="22"/>
        </w:rPr>
      </w:pPr>
    </w:p>
    <w:p w14:paraId="28FFC5B6" w14:textId="77777777" w:rsidR="00201F6B" w:rsidRPr="00201F6B" w:rsidRDefault="00201F6B" w:rsidP="00201F6B">
      <w:pPr>
        <w:shd w:val="clear" w:color="auto" w:fill="FFFFFF"/>
        <w:rPr>
          <w:rFonts w:asciiTheme="minorHAnsi" w:hAnsiTheme="minorHAnsi" w:cstheme="minorHAnsi"/>
          <w:sz w:val="22"/>
          <w:szCs w:val="22"/>
        </w:rPr>
      </w:pPr>
      <w:r w:rsidRPr="00201F6B">
        <w:rPr>
          <w:rFonts w:asciiTheme="minorHAnsi" w:hAnsiTheme="minorHAnsi" w:cstheme="minorHAnsi"/>
          <w:color w:val="000000"/>
          <w:sz w:val="22"/>
          <w:szCs w:val="22"/>
        </w:rPr>
        <w:t xml:space="preserve">Previous psychological harm to a child's </w:t>
      </w:r>
      <w:proofErr w:type="spellStart"/>
      <w:r w:rsidRPr="00201F6B">
        <w:rPr>
          <w:rFonts w:asciiTheme="minorHAnsi" w:hAnsiTheme="minorHAnsi" w:cstheme="minorHAnsi"/>
          <w:color w:val="000000"/>
          <w:sz w:val="22"/>
          <w:szCs w:val="22"/>
        </w:rPr>
        <w:t>well being</w:t>
      </w:r>
      <w:proofErr w:type="spellEnd"/>
      <w:r w:rsidRPr="00201F6B">
        <w:rPr>
          <w:rFonts w:asciiTheme="minorHAnsi" w:hAnsiTheme="minorHAnsi" w:cstheme="minorHAnsi"/>
          <w:color w:val="000000"/>
          <w:sz w:val="22"/>
          <w:szCs w:val="22"/>
        </w:rPr>
        <w:t xml:space="preserve"> is also a risk indicator for exploitation. </w:t>
      </w:r>
      <w:r w:rsidRPr="00201F6B">
        <w:rPr>
          <w:rFonts w:asciiTheme="minorHAnsi" w:hAnsiTheme="minorHAnsi" w:cstheme="minorHAnsi"/>
          <w:b/>
          <w:bCs/>
          <w:color w:val="000000"/>
          <w:sz w:val="22"/>
          <w:szCs w:val="22"/>
        </w:rPr>
        <w:t xml:space="preserve">North and South of Tyne Safeguarding Children Partnership (2022) </w:t>
      </w:r>
      <w:r w:rsidRPr="00201F6B">
        <w:rPr>
          <w:rFonts w:asciiTheme="minorHAnsi" w:hAnsiTheme="minorHAnsi" w:cstheme="minorHAnsi"/>
          <w:color w:val="000000"/>
          <w:sz w:val="22"/>
          <w:szCs w:val="22"/>
        </w:rPr>
        <w:t>list violence within the family and mental health problems as risk factors. Although there are obvious inherent risks to joining a gang a child's unstable home life is likely to make the friendship and structure a gangs provides as an appealing aspect. </w:t>
      </w:r>
    </w:p>
    <w:p w14:paraId="77509933" w14:textId="77777777" w:rsidR="00201F6B" w:rsidRPr="00201F6B" w:rsidRDefault="00201F6B" w:rsidP="00201F6B">
      <w:pPr>
        <w:rPr>
          <w:rFonts w:asciiTheme="minorHAnsi" w:hAnsiTheme="minorHAnsi" w:cstheme="minorHAnsi"/>
          <w:sz w:val="22"/>
          <w:szCs w:val="22"/>
        </w:rPr>
      </w:pPr>
      <w:r w:rsidRPr="00201F6B">
        <w:rPr>
          <w:rFonts w:asciiTheme="minorHAnsi" w:hAnsiTheme="minorHAnsi" w:cstheme="minorHAnsi"/>
          <w:color w:val="000000"/>
          <w:sz w:val="22"/>
          <w:szCs w:val="22"/>
        </w:rPr>
        <w:t xml:space="preserve">The potential appeal of joining a criminal gang however is not purely limited to socio-economic factors. Children without a number of risk factors may still join a gang based on the allure or ‘glamour’ of the gang itself </w:t>
      </w:r>
      <w:r w:rsidRPr="00201F6B">
        <w:rPr>
          <w:rFonts w:asciiTheme="minorHAnsi" w:hAnsiTheme="minorHAnsi" w:cstheme="minorHAnsi"/>
          <w:b/>
          <w:bCs/>
          <w:color w:val="000000"/>
          <w:sz w:val="22"/>
          <w:szCs w:val="22"/>
        </w:rPr>
        <w:t>(Baird, 2017)</w:t>
      </w:r>
      <w:r w:rsidRPr="00201F6B">
        <w:rPr>
          <w:rFonts w:asciiTheme="minorHAnsi" w:hAnsiTheme="minorHAnsi" w:cstheme="minorHAnsi"/>
          <w:color w:val="000000"/>
          <w:sz w:val="22"/>
          <w:szCs w:val="22"/>
        </w:rPr>
        <w:t>. Baird studied the Medellin cartel in Columbia and found that many young men join the gang fuelled by the desire to be the “</w:t>
      </w:r>
      <w:proofErr w:type="spellStart"/>
      <w:r w:rsidRPr="00201F6B">
        <w:rPr>
          <w:rFonts w:asciiTheme="minorHAnsi" w:hAnsiTheme="minorHAnsi" w:cstheme="minorHAnsi"/>
          <w:color w:val="000000"/>
          <w:sz w:val="22"/>
          <w:szCs w:val="22"/>
        </w:rPr>
        <w:t>baddest</w:t>
      </w:r>
      <w:proofErr w:type="spellEnd"/>
      <w:r w:rsidRPr="00201F6B">
        <w:rPr>
          <w:rFonts w:asciiTheme="minorHAnsi" w:hAnsiTheme="minorHAnsi" w:cstheme="minorHAnsi"/>
          <w:color w:val="000000"/>
          <w:sz w:val="22"/>
          <w:szCs w:val="22"/>
        </w:rPr>
        <w:t>” and emulate the legendary status and lifestyle of current gang leaders. </w:t>
      </w:r>
    </w:p>
    <w:p w14:paraId="6A1241AB" w14:textId="77777777" w:rsidR="00201F6B" w:rsidRPr="00201F6B" w:rsidRDefault="00201F6B" w:rsidP="00201F6B">
      <w:pPr>
        <w:rPr>
          <w:rFonts w:asciiTheme="minorHAnsi" w:hAnsiTheme="minorHAnsi" w:cstheme="minorHAnsi"/>
          <w:sz w:val="22"/>
          <w:szCs w:val="22"/>
        </w:rPr>
      </w:pPr>
      <w:r w:rsidRPr="00201F6B">
        <w:rPr>
          <w:rFonts w:asciiTheme="minorHAnsi" w:hAnsiTheme="minorHAnsi" w:cstheme="minorHAnsi"/>
          <w:color w:val="000000"/>
          <w:sz w:val="22"/>
          <w:szCs w:val="22"/>
        </w:rPr>
        <w:t xml:space="preserve">Adults as well as children are recruited by organised criminal gangs and their lifestyle or personal characteristics can make them more susceptible to recruitment. A relatively recent form of criminal exploitation that has come to the public's attention is ‘cuckooing’. This is when organised crime gangs take over an individual's home allowing them to use it as a place to store and deal drugs from </w:t>
      </w:r>
      <w:r w:rsidRPr="00201F6B">
        <w:rPr>
          <w:rFonts w:asciiTheme="minorHAnsi" w:hAnsiTheme="minorHAnsi" w:cstheme="minorHAnsi"/>
          <w:b/>
          <w:bCs/>
          <w:color w:val="000000"/>
          <w:sz w:val="22"/>
          <w:szCs w:val="22"/>
        </w:rPr>
        <w:t>(Cotterill, 2022)</w:t>
      </w:r>
      <w:r w:rsidRPr="00201F6B">
        <w:rPr>
          <w:rFonts w:asciiTheme="minorHAnsi" w:hAnsiTheme="minorHAnsi" w:cstheme="minorHAnsi"/>
          <w:color w:val="000000"/>
          <w:sz w:val="22"/>
          <w:szCs w:val="22"/>
        </w:rPr>
        <w:t>.</w:t>
      </w:r>
    </w:p>
    <w:p w14:paraId="596E3EF8" w14:textId="77777777" w:rsidR="00201F6B" w:rsidRPr="00201F6B" w:rsidRDefault="00201F6B" w:rsidP="00201F6B">
      <w:pPr>
        <w:rPr>
          <w:rFonts w:asciiTheme="minorHAnsi" w:hAnsiTheme="minorHAnsi" w:cstheme="minorHAnsi"/>
          <w:sz w:val="22"/>
          <w:szCs w:val="22"/>
        </w:rPr>
      </w:pPr>
    </w:p>
    <w:p w14:paraId="7572A7FA" w14:textId="77777777" w:rsidR="00201F6B" w:rsidRPr="00201F6B" w:rsidRDefault="00201F6B" w:rsidP="00201F6B">
      <w:pPr>
        <w:rPr>
          <w:rFonts w:asciiTheme="minorHAnsi" w:hAnsiTheme="minorHAnsi" w:cstheme="minorHAnsi"/>
          <w:sz w:val="22"/>
          <w:szCs w:val="22"/>
        </w:rPr>
      </w:pPr>
      <w:r w:rsidRPr="00201F6B">
        <w:rPr>
          <w:rFonts w:asciiTheme="minorHAnsi" w:hAnsiTheme="minorHAnsi" w:cstheme="minorHAnsi"/>
          <w:color w:val="000000"/>
          <w:sz w:val="22"/>
          <w:szCs w:val="22"/>
        </w:rPr>
        <w:lastRenderedPageBreak/>
        <w:t xml:space="preserve">Research by </w:t>
      </w:r>
      <w:proofErr w:type="spellStart"/>
      <w:r w:rsidRPr="00201F6B">
        <w:rPr>
          <w:rFonts w:asciiTheme="minorHAnsi" w:hAnsiTheme="minorHAnsi" w:cstheme="minorHAnsi"/>
          <w:b/>
          <w:bCs/>
          <w:color w:val="000000"/>
          <w:sz w:val="22"/>
          <w:szCs w:val="22"/>
        </w:rPr>
        <w:t>Coomber</w:t>
      </w:r>
      <w:proofErr w:type="spellEnd"/>
      <w:r w:rsidRPr="00201F6B">
        <w:rPr>
          <w:rFonts w:asciiTheme="minorHAnsi" w:hAnsiTheme="minorHAnsi" w:cstheme="minorHAnsi"/>
          <w:b/>
          <w:bCs/>
          <w:color w:val="000000"/>
          <w:sz w:val="22"/>
          <w:szCs w:val="22"/>
        </w:rPr>
        <w:t xml:space="preserve"> and Moyle (2017)</w:t>
      </w:r>
      <w:r w:rsidRPr="00201F6B">
        <w:rPr>
          <w:rFonts w:asciiTheme="minorHAnsi" w:hAnsiTheme="minorHAnsi" w:cstheme="minorHAnsi"/>
          <w:color w:val="000000"/>
          <w:sz w:val="22"/>
          <w:szCs w:val="22"/>
        </w:rPr>
        <w:t xml:space="preserve"> found that those most at risk of being targeted are drug-using adults who are already reliant on a local dealer to supply their drugs. This is likely due to the gangs already having access to such individuals and their drug reliance making them easier to entice and control. </w:t>
      </w:r>
      <w:r w:rsidRPr="00201F6B">
        <w:rPr>
          <w:rFonts w:asciiTheme="minorHAnsi" w:hAnsiTheme="minorHAnsi" w:cstheme="minorHAnsi"/>
          <w:b/>
          <w:bCs/>
          <w:color w:val="000000"/>
          <w:sz w:val="22"/>
          <w:szCs w:val="22"/>
        </w:rPr>
        <w:t>Spicer (2021)</w:t>
      </w:r>
      <w:r w:rsidRPr="00201F6B">
        <w:rPr>
          <w:rFonts w:asciiTheme="minorHAnsi" w:hAnsiTheme="minorHAnsi" w:cstheme="minorHAnsi"/>
          <w:color w:val="000000"/>
          <w:sz w:val="22"/>
          <w:szCs w:val="22"/>
        </w:rPr>
        <w:t xml:space="preserve"> looked at the methods police forces used to track down potential victims of cuckooing and found that the most effective tactic was by visiting known class A drug users within the community allowing officers to either identify gang members or safeguard those at risk who had not yet been exploited. </w:t>
      </w:r>
    </w:p>
    <w:p w14:paraId="4AA313A3" w14:textId="77777777" w:rsidR="00201F6B" w:rsidRPr="00201F6B" w:rsidRDefault="00201F6B" w:rsidP="00201F6B">
      <w:pPr>
        <w:rPr>
          <w:rFonts w:asciiTheme="minorHAnsi" w:hAnsiTheme="minorHAnsi" w:cstheme="minorHAnsi"/>
          <w:sz w:val="22"/>
          <w:szCs w:val="22"/>
        </w:rPr>
      </w:pPr>
    </w:p>
    <w:p w14:paraId="6D352AC1" w14:textId="77777777" w:rsidR="00201F6B" w:rsidRPr="00201F6B" w:rsidRDefault="00201F6B" w:rsidP="00201F6B">
      <w:pPr>
        <w:rPr>
          <w:rFonts w:asciiTheme="minorHAnsi" w:hAnsiTheme="minorHAnsi" w:cstheme="minorHAnsi"/>
          <w:sz w:val="22"/>
          <w:szCs w:val="22"/>
        </w:rPr>
      </w:pPr>
      <w:r w:rsidRPr="00201F6B">
        <w:rPr>
          <w:rFonts w:asciiTheme="minorHAnsi" w:hAnsiTheme="minorHAnsi" w:cstheme="minorHAnsi"/>
          <w:color w:val="000000"/>
          <w:sz w:val="22"/>
          <w:szCs w:val="22"/>
        </w:rPr>
        <w:t xml:space="preserve">The exploitation employed by gangs often comes in the form of threats of violence and the use or display of weapons </w:t>
      </w:r>
      <w:r w:rsidRPr="00201F6B">
        <w:rPr>
          <w:rFonts w:asciiTheme="minorHAnsi" w:hAnsiTheme="minorHAnsi" w:cstheme="minorHAnsi"/>
          <w:b/>
          <w:bCs/>
          <w:color w:val="000000"/>
          <w:sz w:val="22"/>
          <w:szCs w:val="22"/>
        </w:rPr>
        <w:t>(Spicer et al., 2019)</w:t>
      </w:r>
      <w:r w:rsidRPr="00201F6B">
        <w:rPr>
          <w:rFonts w:asciiTheme="minorHAnsi" w:hAnsiTheme="minorHAnsi" w:cstheme="minorHAnsi"/>
          <w:color w:val="000000"/>
          <w:sz w:val="22"/>
          <w:szCs w:val="22"/>
        </w:rPr>
        <w:t xml:space="preserve">. Spicer’s work found that such violent threats often led to a cuckooing victim wishing to end the cuckooing relationship however if they made these feelings known to the criminal gang their risk of harm seriously increased. The exploitation could however be more subtle. The concept of ‘coupling’ is when male gang members enter into a relationship with a vulnerable female </w:t>
      </w:r>
      <w:r w:rsidRPr="00201F6B">
        <w:rPr>
          <w:rFonts w:asciiTheme="minorHAnsi" w:hAnsiTheme="minorHAnsi" w:cstheme="minorHAnsi"/>
          <w:b/>
          <w:bCs/>
          <w:color w:val="000000"/>
          <w:sz w:val="22"/>
          <w:szCs w:val="22"/>
        </w:rPr>
        <w:t>(Robinson et al., 2018).</w:t>
      </w:r>
      <w:r w:rsidRPr="00201F6B">
        <w:rPr>
          <w:rFonts w:asciiTheme="minorHAnsi" w:hAnsiTheme="minorHAnsi" w:cstheme="minorHAnsi"/>
          <w:color w:val="000000"/>
          <w:sz w:val="22"/>
          <w:szCs w:val="22"/>
        </w:rPr>
        <w:t xml:space="preserve"> The female is then sexually groomed allowing the gang member access to their property which is used to store drugs. The females targeted are often those with mental health problems or single parents. Disabled people living in a community are also at risk of exploitation due to them usually have their own home and mobility restrictions making them easy targets </w:t>
      </w:r>
      <w:r w:rsidRPr="00201F6B">
        <w:rPr>
          <w:rFonts w:asciiTheme="minorHAnsi" w:hAnsiTheme="minorHAnsi" w:cstheme="minorHAnsi"/>
          <w:b/>
          <w:bCs/>
          <w:color w:val="000000"/>
          <w:sz w:val="22"/>
          <w:szCs w:val="22"/>
        </w:rPr>
        <w:t>(Macdonald et al., 2022).</w:t>
      </w:r>
    </w:p>
    <w:p w14:paraId="2BB62673" w14:textId="77777777" w:rsidR="00201F6B" w:rsidRPr="00201F6B" w:rsidRDefault="00201F6B" w:rsidP="00201F6B">
      <w:pPr>
        <w:rPr>
          <w:rFonts w:asciiTheme="minorHAnsi" w:hAnsiTheme="minorHAnsi" w:cstheme="minorHAnsi"/>
          <w:sz w:val="22"/>
          <w:szCs w:val="22"/>
        </w:rPr>
      </w:pPr>
    </w:p>
    <w:p w14:paraId="05EDD8D5" w14:textId="77777777" w:rsidR="00201F6B" w:rsidRPr="00201F6B" w:rsidRDefault="00201F6B" w:rsidP="00201F6B">
      <w:pPr>
        <w:rPr>
          <w:rFonts w:asciiTheme="minorHAnsi" w:hAnsiTheme="minorHAnsi" w:cstheme="minorHAnsi"/>
          <w:sz w:val="22"/>
          <w:szCs w:val="22"/>
        </w:rPr>
      </w:pPr>
      <w:r w:rsidRPr="00201F6B">
        <w:rPr>
          <w:rFonts w:asciiTheme="minorHAnsi" w:hAnsiTheme="minorHAnsi" w:cstheme="minorHAnsi"/>
          <w:color w:val="000000"/>
          <w:sz w:val="22"/>
          <w:szCs w:val="22"/>
        </w:rPr>
        <w:t xml:space="preserve">Statistical work by the National Crime Agency </w:t>
      </w:r>
      <w:r w:rsidRPr="00201F6B">
        <w:rPr>
          <w:rFonts w:asciiTheme="minorHAnsi" w:hAnsiTheme="minorHAnsi" w:cstheme="minorHAnsi"/>
          <w:b/>
          <w:bCs/>
          <w:color w:val="000000"/>
          <w:sz w:val="22"/>
          <w:szCs w:val="22"/>
        </w:rPr>
        <w:t>(National Crime Agency, 2017)</w:t>
      </w:r>
      <w:r w:rsidRPr="00201F6B">
        <w:rPr>
          <w:rFonts w:asciiTheme="minorHAnsi" w:hAnsiTheme="minorHAnsi" w:cstheme="minorHAnsi"/>
          <w:color w:val="000000"/>
          <w:sz w:val="22"/>
          <w:szCs w:val="22"/>
        </w:rPr>
        <w:t xml:space="preserve"> reviewing data provided by UK Police Forces shows that those at greatest risk of exploitation are drug users, followed by individuals with mental health problems and finally those with disabilities. The research further noted that almost all those who had been exploited were unemployed and on state benefits further suggest that socio-economic factors pose are a major factors in determining who is exploited.  </w:t>
      </w:r>
    </w:p>
    <w:p w14:paraId="2380ACD9" w14:textId="77777777" w:rsidR="003C4CE7" w:rsidRPr="001C1A39" w:rsidRDefault="003C4CE7" w:rsidP="003C4CE7">
      <w:pPr>
        <w:spacing w:line="256" w:lineRule="auto"/>
        <w:ind w:right="531"/>
        <w:rPr>
          <w:rFonts w:asciiTheme="minorHAnsi" w:eastAsia="Calibri" w:hAnsiTheme="minorHAnsi" w:cstheme="minorHAnsi"/>
          <w:sz w:val="22"/>
          <w:szCs w:val="22"/>
        </w:rPr>
      </w:pPr>
    </w:p>
    <w:p w14:paraId="463A1B6E" w14:textId="77777777" w:rsidR="003C4CE7" w:rsidRPr="001C1A39" w:rsidRDefault="003C4CE7" w:rsidP="003C4CE7">
      <w:pPr>
        <w:spacing w:line="256" w:lineRule="auto"/>
        <w:ind w:right="531"/>
        <w:rPr>
          <w:rFonts w:asciiTheme="minorHAnsi" w:eastAsia="Calibri" w:hAnsiTheme="minorHAnsi" w:cstheme="minorHAnsi"/>
          <w:sz w:val="22"/>
          <w:szCs w:val="22"/>
        </w:rPr>
      </w:pPr>
    </w:p>
    <w:p w14:paraId="7F167199" w14:textId="77777777" w:rsidR="003C4CE7" w:rsidRPr="001C1A39" w:rsidRDefault="003C4CE7" w:rsidP="003C4CE7">
      <w:pPr>
        <w:spacing w:line="256" w:lineRule="auto"/>
        <w:ind w:right="531"/>
        <w:rPr>
          <w:rFonts w:asciiTheme="minorHAnsi" w:eastAsia="Calibri" w:hAnsiTheme="minorHAnsi" w:cstheme="minorHAnsi"/>
          <w:sz w:val="22"/>
          <w:szCs w:val="22"/>
        </w:rPr>
      </w:pPr>
    </w:p>
    <w:p w14:paraId="75832F98" w14:textId="7C0C5548" w:rsidR="003C4CE7" w:rsidRPr="003C4CE7" w:rsidRDefault="003C4CE7" w:rsidP="003C4CE7">
      <w:pPr>
        <w:shd w:val="clear" w:color="auto" w:fill="FFFFFF"/>
        <w:rPr>
          <w:rFonts w:asciiTheme="minorHAnsi" w:hAnsiTheme="minorHAnsi" w:cstheme="minorHAnsi"/>
          <w:sz w:val="22"/>
          <w:szCs w:val="22"/>
        </w:rPr>
      </w:pPr>
      <w:r w:rsidRPr="001C1A39">
        <w:rPr>
          <w:rFonts w:asciiTheme="minorHAnsi" w:hAnsiTheme="minorHAnsi" w:cstheme="minorHAnsi"/>
          <w:sz w:val="22"/>
          <w:szCs w:val="22"/>
          <w:u w:val="single"/>
        </w:rPr>
        <w:t>Word count</w:t>
      </w:r>
      <w:r w:rsidRPr="001C1A39">
        <w:rPr>
          <w:rFonts w:asciiTheme="minorHAnsi" w:hAnsiTheme="minorHAnsi" w:cstheme="minorHAnsi"/>
          <w:sz w:val="22"/>
          <w:szCs w:val="22"/>
        </w:rPr>
        <w:t xml:space="preserve">: </w:t>
      </w:r>
      <w:r w:rsidR="001C1A39" w:rsidRPr="001C1A39">
        <w:rPr>
          <w:rFonts w:asciiTheme="minorHAnsi" w:hAnsiTheme="minorHAnsi" w:cstheme="minorHAnsi"/>
          <w:sz w:val="22"/>
          <w:szCs w:val="22"/>
        </w:rPr>
        <w:t>906</w:t>
      </w:r>
    </w:p>
    <w:p w14:paraId="72F67F6B" w14:textId="77777777" w:rsidR="003C4CE7" w:rsidRPr="001C1A39" w:rsidRDefault="003C4CE7" w:rsidP="003C4CE7">
      <w:pPr>
        <w:spacing w:line="256" w:lineRule="auto"/>
        <w:ind w:right="531"/>
        <w:rPr>
          <w:rFonts w:asciiTheme="minorHAnsi" w:eastAsia="Calibri" w:hAnsiTheme="minorHAnsi" w:cstheme="minorHAnsi"/>
          <w:sz w:val="22"/>
          <w:szCs w:val="22"/>
        </w:rPr>
      </w:pPr>
    </w:p>
    <w:p w14:paraId="7FA805DE" w14:textId="77777777" w:rsidR="00FA2942" w:rsidRPr="001C1A39" w:rsidRDefault="001C1A39">
      <w:pPr>
        <w:rPr>
          <w:rFonts w:asciiTheme="minorHAnsi" w:hAnsiTheme="minorHAnsi" w:cstheme="minorHAnsi"/>
          <w:sz w:val="22"/>
          <w:szCs w:val="22"/>
        </w:rPr>
      </w:pPr>
    </w:p>
    <w:p w14:paraId="3EF93224" w14:textId="77777777" w:rsidR="00ED14F7" w:rsidRPr="001C1A39" w:rsidRDefault="00ED14F7">
      <w:pPr>
        <w:rPr>
          <w:rFonts w:asciiTheme="minorHAnsi" w:hAnsiTheme="minorHAnsi" w:cstheme="minorHAnsi"/>
          <w:sz w:val="22"/>
          <w:szCs w:val="22"/>
        </w:rPr>
      </w:pPr>
    </w:p>
    <w:p w14:paraId="601559BD" w14:textId="77777777" w:rsidR="00ED14F7" w:rsidRPr="001C1A39" w:rsidRDefault="00ED14F7">
      <w:pPr>
        <w:rPr>
          <w:rFonts w:asciiTheme="minorHAnsi" w:hAnsiTheme="minorHAnsi" w:cstheme="minorHAnsi"/>
          <w:sz w:val="22"/>
          <w:szCs w:val="22"/>
        </w:rPr>
      </w:pPr>
    </w:p>
    <w:p w14:paraId="30E3D3DD" w14:textId="77777777" w:rsidR="00ED14F7" w:rsidRPr="001C1A39" w:rsidRDefault="00ED14F7">
      <w:pPr>
        <w:rPr>
          <w:rFonts w:asciiTheme="minorHAnsi" w:hAnsiTheme="minorHAnsi" w:cstheme="minorHAnsi"/>
          <w:sz w:val="22"/>
          <w:szCs w:val="22"/>
        </w:rPr>
      </w:pPr>
    </w:p>
    <w:p w14:paraId="4BF251B3" w14:textId="77777777" w:rsidR="00ED14F7" w:rsidRPr="001C1A39" w:rsidRDefault="00ED14F7">
      <w:pPr>
        <w:rPr>
          <w:rFonts w:asciiTheme="minorHAnsi" w:hAnsiTheme="minorHAnsi" w:cstheme="minorHAnsi"/>
          <w:sz w:val="22"/>
          <w:szCs w:val="22"/>
        </w:rPr>
      </w:pPr>
    </w:p>
    <w:p w14:paraId="5250A9C4" w14:textId="77777777" w:rsidR="00ED14F7" w:rsidRPr="001C1A39" w:rsidRDefault="00ED14F7">
      <w:pPr>
        <w:rPr>
          <w:rFonts w:asciiTheme="minorHAnsi" w:hAnsiTheme="minorHAnsi" w:cstheme="minorHAnsi"/>
          <w:sz w:val="22"/>
          <w:szCs w:val="22"/>
        </w:rPr>
      </w:pPr>
    </w:p>
    <w:p w14:paraId="06F9EF60" w14:textId="77777777" w:rsidR="00ED14F7" w:rsidRPr="001C1A39" w:rsidRDefault="00ED14F7">
      <w:pPr>
        <w:rPr>
          <w:rFonts w:asciiTheme="minorHAnsi" w:hAnsiTheme="minorHAnsi" w:cstheme="minorHAnsi"/>
          <w:sz w:val="22"/>
          <w:szCs w:val="22"/>
        </w:rPr>
      </w:pPr>
    </w:p>
    <w:p w14:paraId="47331268" w14:textId="77777777" w:rsidR="00ED14F7" w:rsidRPr="001C1A39" w:rsidRDefault="00ED14F7">
      <w:pPr>
        <w:rPr>
          <w:rFonts w:asciiTheme="minorHAnsi" w:hAnsiTheme="minorHAnsi" w:cstheme="minorHAnsi"/>
          <w:sz w:val="22"/>
          <w:szCs w:val="22"/>
        </w:rPr>
      </w:pPr>
    </w:p>
    <w:p w14:paraId="3502E9B2" w14:textId="77777777" w:rsidR="00ED14F7" w:rsidRPr="001C1A39" w:rsidRDefault="00ED14F7">
      <w:pPr>
        <w:rPr>
          <w:rFonts w:asciiTheme="minorHAnsi" w:hAnsiTheme="minorHAnsi" w:cstheme="minorHAnsi"/>
          <w:sz w:val="22"/>
          <w:szCs w:val="22"/>
        </w:rPr>
      </w:pPr>
    </w:p>
    <w:p w14:paraId="70BF5BC7" w14:textId="77777777" w:rsidR="00ED14F7" w:rsidRPr="001C1A39" w:rsidRDefault="00ED14F7">
      <w:pPr>
        <w:rPr>
          <w:rFonts w:asciiTheme="minorHAnsi" w:hAnsiTheme="minorHAnsi" w:cstheme="minorHAnsi"/>
          <w:sz w:val="22"/>
          <w:szCs w:val="22"/>
        </w:rPr>
      </w:pPr>
    </w:p>
    <w:p w14:paraId="0333FA53" w14:textId="77777777" w:rsidR="00ED14F7" w:rsidRPr="001C1A39" w:rsidRDefault="00ED14F7">
      <w:pPr>
        <w:rPr>
          <w:rFonts w:asciiTheme="minorHAnsi" w:hAnsiTheme="minorHAnsi" w:cstheme="minorHAnsi"/>
          <w:sz w:val="22"/>
          <w:szCs w:val="22"/>
        </w:rPr>
      </w:pPr>
    </w:p>
    <w:p w14:paraId="15954D4A" w14:textId="77777777" w:rsidR="00ED14F7" w:rsidRPr="001C1A39" w:rsidRDefault="00ED14F7">
      <w:pPr>
        <w:rPr>
          <w:rFonts w:asciiTheme="minorHAnsi" w:hAnsiTheme="minorHAnsi" w:cstheme="minorHAnsi"/>
          <w:sz w:val="22"/>
          <w:szCs w:val="22"/>
        </w:rPr>
      </w:pPr>
    </w:p>
    <w:p w14:paraId="1B76DEF5" w14:textId="77777777" w:rsidR="00ED14F7" w:rsidRPr="001C1A39" w:rsidRDefault="00ED14F7">
      <w:pPr>
        <w:rPr>
          <w:rFonts w:asciiTheme="minorHAnsi" w:hAnsiTheme="minorHAnsi" w:cstheme="minorHAnsi"/>
          <w:sz w:val="22"/>
          <w:szCs w:val="22"/>
        </w:rPr>
      </w:pPr>
    </w:p>
    <w:p w14:paraId="468D4A68" w14:textId="77777777" w:rsidR="00ED14F7" w:rsidRPr="001C1A39" w:rsidRDefault="00ED14F7">
      <w:pPr>
        <w:rPr>
          <w:rFonts w:asciiTheme="minorHAnsi" w:hAnsiTheme="minorHAnsi" w:cstheme="minorHAnsi"/>
          <w:sz w:val="22"/>
          <w:szCs w:val="22"/>
        </w:rPr>
      </w:pPr>
    </w:p>
    <w:p w14:paraId="17C90F55" w14:textId="77777777" w:rsidR="00ED14F7" w:rsidRPr="001C1A39" w:rsidRDefault="00ED14F7">
      <w:pPr>
        <w:rPr>
          <w:rFonts w:asciiTheme="minorHAnsi" w:hAnsiTheme="minorHAnsi" w:cstheme="minorHAnsi"/>
          <w:sz w:val="22"/>
          <w:szCs w:val="22"/>
        </w:rPr>
      </w:pPr>
    </w:p>
    <w:p w14:paraId="0A439093" w14:textId="77777777" w:rsidR="00ED14F7" w:rsidRPr="001C1A39" w:rsidRDefault="00ED14F7">
      <w:pPr>
        <w:rPr>
          <w:rFonts w:asciiTheme="minorHAnsi" w:hAnsiTheme="minorHAnsi" w:cstheme="minorHAnsi"/>
          <w:sz w:val="22"/>
          <w:szCs w:val="22"/>
        </w:rPr>
      </w:pPr>
    </w:p>
    <w:p w14:paraId="013C8EF6" w14:textId="77777777" w:rsidR="00ED14F7" w:rsidRPr="001C1A39" w:rsidRDefault="00ED14F7">
      <w:pPr>
        <w:rPr>
          <w:rFonts w:asciiTheme="minorHAnsi" w:hAnsiTheme="minorHAnsi" w:cstheme="minorHAnsi"/>
          <w:sz w:val="22"/>
          <w:szCs w:val="22"/>
        </w:rPr>
      </w:pPr>
    </w:p>
    <w:p w14:paraId="78FB269A" w14:textId="77777777" w:rsidR="00ED14F7" w:rsidRPr="001C1A39" w:rsidRDefault="00ED14F7">
      <w:pPr>
        <w:rPr>
          <w:rFonts w:asciiTheme="minorHAnsi" w:hAnsiTheme="minorHAnsi" w:cstheme="minorHAnsi"/>
          <w:sz w:val="22"/>
          <w:szCs w:val="22"/>
        </w:rPr>
      </w:pPr>
    </w:p>
    <w:p w14:paraId="12E1FEFC" w14:textId="77777777" w:rsidR="00ED14F7" w:rsidRPr="001C1A39" w:rsidRDefault="00ED14F7">
      <w:pPr>
        <w:rPr>
          <w:rFonts w:asciiTheme="minorHAnsi" w:hAnsiTheme="minorHAnsi" w:cstheme="minorHAnsi"/>
          <w:sz w:val="22"/>
          <w:szCs w:val="22"/>
        </w:rPr>
      </w:pPr>
    </w:p>
    <w:p w14:paraId="2C16D1E8" w14:textId="77777777" w:rsidR="00ED14F7" w:rsidRPr="001C1A39" w:rsidRDefault="00ED14F7">
      <w:pPr>
        <w:rPr>
          <w:rFonts w:asciiTheme="minorHAnsi" w:hAnsiTheme="minorHAnsi" w:cstheme="minorHAnsi"/>
          <w:sz w:val="22"/>
          <w:szCs w:val="22"/>
        </w:rPr>
      </w:pPr>
    </w:p>
    <w:p w14:paraId="7A84DA33" w14:textId="77777777" w:rsidR="001C1A39" w:rsidRDefault="001C1A39" w:rsidP="00ED14F7">
      <w:pPr>
        <w:widowControl w:val="0"/>
        <w:autoSpaceDE w:val="0"/>
        <w:autoSpaceDN w:val="0"/>
        <w:adjustRightInd w:val="0"/>
        <w:spacing w:after="240" w:line="360" w:lineRule="auto"/>
        <w:rPr>
          <w:rFonts w:asciiTheme="minorHAnsi" w:hAnsiTheme="minorHAnsi" w:cstheme="minorHAnsi"/>
          <w:sz w:val="22"/>
          <w:szCs w:val="22"/>
        </w:rPr>
      </w:pPr>
    </w:p>
    <w:p w14:paraId="03B07AF1" w14:textId="4FE40AF3" w:rsidR="00ED14F7" w:rsidRPr="001C1A39" w:rsidRDefault="00ED14F7" w:rsidP="001C1A39">
      <w:pPr>
        <w:widowControl w:val="0"/>
        <w:autoSpaceDE w:val="0"/>
        <w:autoSpaceDN w:val="0"/>
        <w:adjustRightInd w:val="0"/>
        <w:spacing w:after="240" w:line="360" w:lineRule="auto"/>
        <w:jc w:val="center"/>
        <w:rPr>
          <w:rFonts w:asciiTheme="minorHAnsi" w:hAnsiTheme="minorHAnsi" w:cstheme="minorHAnsi"/>
          <w:b/>
          <w:bCs/>
          <w:sz w:val="32"/>
          <w:szCs w:val="32"/>
          <w:u w:val="single"/>
          <w:lang w:val="en-US"/>
        </w:rPr>
      </w:pPr>
      <w:r w:rsidRPr="001C1A39">
        <w:rPr>
          <w:rFonts w:asciiTheme="minorHAnsi" w:hAnsiTheme="minorHAnsi" w:cstheme="minorHAnsi"/>
          <w:b/>
          <w:bCs/>
          <w:sz w:val="32"/>
          <w:szCs w:val="32"/>
          <w:u w:val="single"/>
          <w:lang w:val="en-US"/>
        </w:rPr>
        <w:lastRenderedPageBreak/>
        <w:t>Bibliography</w:t>
      </w:r>
    </w:p>
    <w:p w14:paraId="246917F0"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Action Fraud (2023) </w:t>
      </w:r>
      <w:r w:rsidRPr="001C1A39">
        <w:rPr>
          <w:rFonts w:asciiTheme="minorHAnsi" w:hAnsiTheme="minorHAnsi" w:cstheme="minorHAnsi"/>
          <w:i/>
          <w:iCs/>
          <w:sz w:val="22"/>
          <w:szCs w:val="22"/>
          <w:lang w:val="en-US"/>
        </w:rPr>
        <w:t>What Is Action Fraud?</w:t>
      </w:r>
      <w:r w:rsidRPr="001C1A39">
        <w:rPr>
          <w:rFonts w:asciiTheme="minorHAnsi" w:hAnsiTheme="minorHAnsi" w:cstheme="minorHAnsi"/>
          <w:sz w:val="22"/>
          <w:szCs w:val="22"/>
          <w:lang w:val="en-US"/>
        </w:rPr>
        <w:t xml:space="preserve">. Available at: </w:t>
      </w:r>
      <w:hyperlink r:id="rId5" w:history="1">
        <w:r w:rsidRPr="001C1A39">
          <w:rPr>
            <w:rStyle w:val="Hyperlink"/>
            <w:rFonts w:asciiTheme="minorHAnsi" w:hAnsiTheme="minorHAnsi" w:cstheme="minorHAnsi"/>
            <w:sz w:val="22"/>
            <w:szCs w:val="22"/>
            <w:lang w:val="en-US"/>
          </w:rPr>
          <w:t>https://www.actionfraud.police.uk/what-is-action-fraud</w:t>
        </w:r>
      </w:hyperlink>
      <w:r w:rsidRPr="001C1A39">
        <w:rPr>
          <w:rFonts w:asciiTheme="minorHAnsi" w:hAnsiTheme="minorHAnsi" w:cstheme="minorHAnsi"/>
          <w:sz w:val="22"/>
          <w:szCs w:val="22"/>
          <w:lang w:val="en-US"/>
        </w:rPr>
        <w:t xml:space="preserve"> (Accessed: 23 February 2023).</w:t>
      </w:r>
    </w:p>
    <w:p w14:paraId="6EC8285A"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Alisdair</w:t>
      </w:r>
      <w:proofErr w:type="spellEnd"/>
      <w:r w:rsidRPr="001C1A39">
        <w:rPr>
          <w:rFonts w:asciiTheme="minorHAnsi" w:hAnsiTheme="minorHAnsi" w:cstheme="minorHAnsi"/>
          <w:sz w:val="22"/>
          <w:szCs w:val="22"/>
          <w:lang w:val="en-US"/>
        </w:rPr>
        <w:t xml:space="preserve"> Gillespie (2019) </w:t>
      </w:r>
      <w:r w:rsidRPr="001C1A39">
        <w:rPr>
          <w:rFonts w:asciiTheme="minorHAnsi" w:hAnsiTheme="minorHAnsi" w:cstheme="minorHAnsi"/>
          <w:i/>
          <w:iCs/>
          <w:sz w:val="22"/>
          <w:szCs w:val="22"/>
          <w:lang w:val="en-US"/>
        </w:rPr>
        <w:t>Cybercrime : key issues and debates</w:t>
      </w:r>
      <w:r w:rsidRPr="001C1A39">
        <w:rPr>
          <w:rFonts w:asciiTheme="minorHAnsi" w:hAnsiTheme="minorHAnsi" w:cstheme="minorHAnsi"/>
          <w:sz w:val="22"/>
          <w:szCs w:val="22"/>
          <w:lang w:val="en-US"/>
        </w:rPr>
        <w:t xml:space="preserve">. London ; New York: Routledge., pp. 309–329. Available at: </w:t>
      </w:r>
      <w:hyperlink r:id="rId6" w:history="1">
        <w:r w:rsidRPr="001C1A39">
          <w:rPr>
            <w:rStyle w:val="Hyperlink"/>
            <w:rFonts w:asciiTheme="minorHAnsi" w:hAnsiTheme="minorHAnsi" w:cstheme="minorHAnsi"/>
            <w:sz w:val="22"/>
            <w:szCs w:val="22"/>
            <w:lang w:val="en-US"/>
          </w:rPr>
          <w:t>https://www.taylorfrancis.com/books/mono/10.4324/9781351010283/cybercrime-alisdair-gillespie</w:t>
        </w:r>
      </w:hyperlink>
      <w:r w:rsidRPr="001C1A39">
        <w:rPr>
          <w:rFonts w:asciiTheme="minorHAnsi" w:hAnsiTheme="minorHAnsi" w:cstheme="minorHAnsi"/>
          <w:sz w:val="22"/>
          <w:szCs w:val="22"/>
          <w:lang w:val="en-US"/>
        </w:rPr>
        <w:t xml:space="preserve"> (Accessed: 21 February 2023).</w:t>
      </w:r>
    </w:p>
    <w:p w14:paraId="0FC1008E"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Ask, K. and </w:t>
      </w:r>
      <w:proofErr w:type="spellStart"/>
      <w:r w:rsidRPr="001C1A39">
        <w:rPr>
          <w:rFonts w:asciiTheme="minorHAnsi" w:hAnsiTheme="minorHAnsi" w:cstheme="minorHAnsi"/>
          <w:sz w:val="22"/>
          <w:szCs w:val="22"/>
          <w:lang w:val="en-US"/>
        </w:rPr>
        <w:t>Granhag</w:t>
      </w:r>
      <w:proofErr w:type="spellEnd"/>
      <w:r w:rsidRPr="001C1A39">
        <w:rPr>
          <w:rFonts w:asciiTheme="minorHAnsi" w:hAnsiTheme="minorHAnsi" w:cstheme="minorHAnsi"/>
          <w:sz w:val="22"/>
          <w:szCs w:val="22"/>
          <w:lang w:val="en-US"/>
        </w:rPr>
        <w:t xml:space="preserve">, P.A. (2005) ‘Motivational sources of confirmation bias in criminal investigations: the need for cognitive closure’. </w:t>
      </w:r>
      <w:r w:rsidRPr="001C1A39">
        <w:rPr>
          <w:rFonts w:asciiTheme="minorHAnsi" w:hAnsiTheme="minorHAnsi" w:cstheme="minorHAnsi"/>
          <w:i/>
          <w:iCs/>
          <w:sz w:val="22"/>
          <w:szCs w:val="22"/>
          <w:lang w:val="en-US"/>
        </w:rPr>
        <w:t>Journal of Investigative Psychology and Offender Profiling</w:t>
      </w:r>
      <w:r w:rsidRPr="001C1A39">
        <w:rPr>
          <w:rFonts w:asciiTheme="minorHAnsi" w:hAnsiTheme="minorHAnsi" w:cstheme="minorHAnsi"/>
          <w:sz w:val="22"/>
          <w:szCs w:val="22"/>
          <w:lang w:val="en-US"/>
        </w:rPr>
        <w:t xml:space="preserve"> 2(1), pp. 43–63. Available at: </w:t>
      </w:r>
      <w:hyperlink r:id="rId7" w:history="1">
        <w:r w:rsidRPr="001C1A39">
          <w:rPr>
            <w:rStyle w:val="Hyperlink"/>
            <w:rFonts w:asciiTheme="minorHAnsi" w:hAnsiTheme="minorHAnsi" w:cstheme="minorHAnsi"/>
            <w:sz w:val="22"/>
            <w:szCs w:val="22"/>
            <w:lang w:val="en-US"/>
          </w:rPr>
          <w:t>https://onlinelibrary-wiley-com.ezproxy.uwtsd.ac.uk/doi/pdf/10.1002/jip.19</w:t>
        </w:r>
      </w:hyperlink>
      <w:r w:rsidRPr="001C1A39">
        <w:rPr>
          <w:rFonts w:asciiTheme="minorHAnsi" w:hAnsiTheme="minorHAnsi" w:cstheme="minorHAnsi"/>
          <w:sz w:val="22"/>
          <w:szCs w:val="22"/>
          <w:lang w:val="en-US"/>
        </w:rPr>
        <w:t xml:space="preserve"> (Accessed: 26 January 2023).</w:t>
      </w:r>
    </w:p>
    <w:p w14:paraId="7A3F04CD"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Ask, K., </w:t>
      </w:r>
      <w:proofErr w:type="spellStart"/>
      <w:r w:rsidRPr="001C1A39">
        <w:rPr>
          <w:rFonts w:asciiTheme="minorHAnsi" w:hAnsiTheme="minorHAnsi" w:cstheme="minorHAnsi"/>
          <w:sz w:val="22"/>
          <w:szCs w:val="22"/>
          <w:lang w:val="en-US"/>
        </w:rPr>
        <w:t>Rebelius</w:t>
      </w:r>
      <w:proofErr w:type="spellEnd"/>
      <w:r w:rsidRPr="001C1A39">
        <w:rPr>
          <w:rFonts w:asciiTheme="minorHAnsi" w:hAnsiTheme="minorHAnsi" w:cstheme="minorHAnsi"/>
          <w:sz w:val="22"/>
          <w:szCs w:val="22"/>
          <w:lang w:val="en-US"/>
        </w:rPr>
        <w:t xml:space="preserve">, A. and </w:t>
      </w:r>
      <w:proofErr w:type="spellStart"/>
      <w:r w:rsidRPr="001C1A39">
        <w:rPr>
          <w:rFonts w:asciiTheme="minorHAnsi" w:hAnsiTheme="minorHAnsi" w:cstheme="minorHAnsi"/>
          <w:sz w:val="22"/>
          <w:szCs w:val="22"/>
          <w:lang w:val="en-US"/>
        </w:rPr>
        <w:t>Granhag</w:t>
      </w:r>
      <w:proofErr w:type="spellEnd"/>
      <w:r w:rsidRPr="001C1A39">
        <w:rPr>
          <w:rFonts w:asciiTheme="minorHAnsi" w:hAnsiTheme="minorHAnsi" w:cstheme="minorHAnsi"/>
          <w:sz w:val="22"/>
          <w:szCs w:val="22"/>
          <w:lang w:val="en-US"/>
        </w:rPr>
        <w:t xml:space="preserve">, P.A. (2008) ‘The “elasticity” of criminal evidence: a moderator of investigator bias’. </w:t>
      </w:r>
      <w:r w:rsidRPr="001C1A39">
        <w:rPr>
          <w:rFonts w:asciiTheme="minorHAnsi" w:hAnsiTheme="minorHAnsi" w:cstheme="minorHAnsi"/>
          <w:i/>
          <w:iCs/>
          <w:sz w:val="22"/>
          <w:szCs w:val="22"/>
          <w:lang w:val="en-US"/>
        </w:rPr>
        <w:t>Applied Cognitive Psychology</w:t>
      </w:r>
      <w:r w:rsidRPr="001C1A39">
        <w:rPr>
          <w:rFonts w:asciiTheme="minorHAnsi" w:hAnsiTheme="minorHAnsi" w:cstheme="minorHAnsi"/>
          <w:sz w:val="22"/>
          <w:szCs w:val="22"/>
          <w:lang w:val="en-US"/>
        </w:rPr>
        <w:t xml:space="preserve"> 22(9), pp. 1245–1259. Available at: </w:t>
      </w:r>
      <w:hyperlink r:id="rId8" w:history="1">
        <w:r w:rsidRPr="001C1A39">
          <w:rPr>
            <w:rStyle w:val="Hyperlink"/>
            <w:rFonts w:asciiTheme="minorHAnsi" w:hAnsiTheme="minorHAnsi" w:cstheme="minorHAnsi"/>
            <w:sz w:val="22"/>
            <w:szCs w:val="22"/>
            <w:lang w:val="en-US"/>
          </w:rPr>
          <w:t>https://onlinelibrary-wiley-com.ezproxy.uwtsd.ac.uk/doi/pdf/10.1002/acp.1432</w:t>
        </w:r>
      </w:hyperlink>
      <w:r w:rsidRPr="001C1A39">
        <w:rPr>
          <w:rFonts w:asciiTheme="minorHAnsi" w:hAnsiTheme="minorHAnsi" w:cstheme="minorHAnsi"/>
          <w:sz w:val="22"/>
          <w:szCs w:val="22"/>
          <w:lang w:val="en-US"/>
        </w:rPr>
        <w:t xml:space="preserve"> (Accessed: 27 January 2023).</w:t>
      </w:r>
    </w:p>
    <w:p w14:paraId="5EA815AC"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BAIRD, A. (2017) ‘Becoming the “</w:t>
      </w:r>
      <w:proofErr w:type="spellStart"/>
      <w:r w:rsidRPr="001C1A39">
        <w:rPr>
          <w:rFonts w:asciiTheme="minorHAnsi" w:hAnsiTheme="minorHAnsi" w:cstheme="minorHAnsi"/>
          <w:sz w:val="22"/>
          <w:szCs w:val="22"/>
          <w:lang w:val="en-US"/>
        </w:rPr>
        <w:t>Baddest</w:t>
      </w:r>
      <w:proofErr w:type="spellEnd"/>
      <w:r w:rsidRPr="001C1A39">
        <w:rPr>
          <w:rFonts w:asciiTheme="minorHAnsi" w:hAnsiTheme="minorHAnsi" w:cstheme="minorHAnsi"/>
          <w:sz w:val="22"/>
          <w:szCs w:val="22"/>
          <w:lang w:val="en-US"/>
        </w:rPr>
        <w:t xml:space="preserve">”: Masculine Trajectories of Gang Violence in Medellín’. </w:t>
      </w:r>
      <w:r w:rsidRPr="001C1A39">
        <w:rPr>
          <w:rFonts w:asciiTheme="minorHAnsi" w:hAnsiTheme="minorHAnsi" w:cstheme="minorHAnsi"/>
          <w:i/>
          <w:iCs/>
          <w:sz w:val="22"/>
          <w:szCs w:val="22"/>
          <w:lang w:val="en-US"/>
        </w:rPr>
        <w:t>Journal of Latin American Studies</w:t>
      </w:r>
      <w:r w:rsidRPr="001C1A39">
        <w:rPr>
          <w:rFonts w:asciiTheme="minorHAnsi" w:hAnsiTheme="minorHAnsi" w:cstheme="minorHAnsi"/>
          <w:sz w:val="22"/>
          <w:szCs w:val="22"/>
          <w:lang w:val="en-US"/>
        </w:rPr>
        <w:t xml:space="preserve"> 50(1), pp. 183–210. Available at: </w:t>
      </w:r>
      <w:hyperlink r:id="rId9" w:history="1">
        <w:r w:rsidRPr="001C1A39">
          <w:rPr>
            <w:rStyle w:val="Hyperlink"/>
            <w:rFonts w:asciiTheme="minorHAnsi" w:hAnsiTheme="minorHAnsi" w:cstheme="minorHAnsi"/>
            <w:sz w:val="22"/>
            <w:szCs w:val="22"/>
            <w:lang w:val="en-US"/>
          </w:rPr>
          <w:t>https://www.cambridge.org/core/journals/journal-of-latin-american-studies/article/becoming-the-baddest-masculine-trajectories-of-gang-violence-in-medellin/E69F4DD0C1B43AAD77E5377D1BBF41A4</w:t>
        </w:r>
      </w:hyperlink>
      <w:r w:rsidRPr="001C1A39">
        <w:rPr>
          <w:rFonts w:asciiTheme="minorHAnsi" w:hAnsiTheme="minorHAnsi" w:cstheme="minorHAnsi"/>
          <w:sz w:val="22"/>
          <w:szCs w:val="22"/>
          <w:lang w:val="en-US"/>
        </w:rPr>
        <w:t xml:space="preserve"> (Accessed: 12 December 2019).</w:t>
      </w:r>
    </w:p>
    <w:p w14:paraId="71544238"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Beek, M. van, Bull, R. and Chen, M. (2021) ‘When the Evidence Is Incorrect: an Exploration of What Happens When Interviewers Unwittingly Present Inaccurate Information in Interviews with Suspects’. </w:t>
      </w:r>
      <w:r w:rsidRPr="001C1A39">
        <w:rPr>
          <w:rFonts w:asciiTheme="minorHAnsi" w:hAnsiTheme="minorHAnsi" w:cstheme="minorHAnsi"/>
          <w:i/>
          <w:iCs/>
          <w:sz w:val="22"/>
          <w:szCs w:val="22"/>
          <w:lang w:val="en-US"/>
        </w:rPr>
        <w:t>Journal of Police and Criminal Psychology</w:t>
      </w:r>
      <w:r w:rsidRPr="001C1A39">
        <w:rPr>
          <w:rFonts w:asciiTheme="minorHAnsi" w:hAnsiTheme="minorHAnsi" w:cstheme="minorHAnsi"/>
          <w:sz w:val="22"/>
          <w:szCs w:val="22"/>
          <w:lang w:val="en-US"/>
        </w:rPr>
        <w:t xml:space="preserve"> 36, pp. 769–782. Available at: </w:t>
      </w:r>
      <w:hyperlink r:id="rId10" w:anchor="citeas" w:history="1">
        <w:r w:rsidRPr="001C1A39">
          <w:rPr>
            <w:rStyle w:val="Hyperlink"/>
            <w:rFonts w:asciiTheme="minorHAnsi" w:hAnsiTheme="minorHAnsi" w:cstheme="minorHAnsi"/>
            <w:sz w:val="22"/>
            <w:szCs w:val="22"/>
            <w:lang w:val="en-US"/>
          </w:rPr>
          <w:t>https://link.springer.com/article/10.1007/s11896-021-09494-3#citeas</w:t>
        </w:r>
      </w:hyperlink>
      <w:r w:rsidRPr="001C1A39">
        <w:rPr>
          <w:rFonts w:asciiTheme="minorHAnsi" w:hAnsiTheme="minorHAnsi" w:cstheme="minorHAnsi"/>
          <w:sz w:val="22"/>
          <w:szCs w:val="22"/>
          <w:lang w:val="en-US"/>
        </w:rPr>
        <w:t xml:space="preserve"> (Accessed: 26 January 2023).</w:t>
      </w:r>
    </w:p>
    <w:p w14:paraId="487D5D46"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Braga, A.A., </w:t>
      </w:r>
      <w:proofErr w:type="spellStart"/>
      <w:r w:rsidRPr="001C1A39">
        <w:rPr>
          <w:rFonts w:asciiTheme="minorHAnsi" w:hAnsiTheme="minorHAnsi" w:cstheme="minorHAnsi"/>
          <w:sz w:val="22"/>
          <w:szCs w:val="22"/>
          <w:lang w:val="en-US"/>
        </w:rPr>
        <w:t>Turchan</w:t>
      </w:r>
      <w:proofErr w:type="spellEnd"/>
      <w:r w:rsidRPr="001C1A39">
        <w:rPr>
          <w:rFonts w:asciiTheme="minorHAnsi" w:hAnsiTheme="minorHAnsi" w:cstheme="minorHAnsi"/>
          <w:sz w:val="22"/>
          <w:szCs w:val="22"/>
          <w:lang w:val="en-US"/>
        </w:rPr>
        <w:t xml:space="preserve">, B., </w:t>
      </w:r>
      <w:proofErr w:type="spellStart"/>
      <w:r w:rsidRPr="001C1A39">
        <w:rPr>
          <w:rFonts w:asciiTheme="minorHAnsi" w:hAnsiTheme="minorHAnsi" w:cstheme="minorHAnsi"/>
          <w:sz w:val="22"/>
          <w:szCs w:val="22"/>
          <w:lang w:val="en-US"/>
        </w:rPr>
        <w:t>Papachristos</w:t>
      </w:r>
      <w:proofErr w:type="spellEnd"/>
      <w:r w:rsidRPr="001C1A39">
        <w:rPr>
          <w:rFonts w:asciiTheme="minorHAnsi" w:hAnsiTheme="minorHAnsi" w:cstheme="minorHAnsi"/>
          <w:sz w:val="22"/>
          <w:szCs w:val="22"/>
          <w:lang w:val="en-US"/>
        </w:rPr>
        <w:t xml:space="preserve">, A.V. and Hureau, D.M. (2019) ‘Hot spots policing of small geographic areas effects on crime’. </w:t>
      </w:r>
      <w:r w:rsidRPr="001C1A39">
        <w:rPr>
          <w:rFonts w:asciiTheme="minorHAnsi" w:hAnsiTheme="minorHAnsi" w:cstheme="minorHAnsi"/>
          <w:i/>
          <w:iCs/>
          <w:sz w:val="22"/>
          <w:szCs w:val="22"/>
          <w:lang w:val="en-US"/>
        </w:rPr>
        <w:t>Campbell Systematic Reviews</w:t>
      </w:r>
      <w:r w:rsidRPr="001C1A39">
        <w:rPr>
          <w:rFonts w:asciiTheme="minorHAnsi" w:hAnsiTheme="minorHAnsi" w:cstheme="minorHAnsi"/>
          <w:sz w:val="22"/>
          <w:szCs w:val="22"/>
          <w:lang w:val="en-US"/>
        </w:rPr>
        <w:t xml:space="preserve"> 15(3). Available at: </w:t>
      </w:r>
      <w:hyperlink r:id="rId11" w:history="1">
        <w:r w:rsidRPr="001C1A39">
          <w:rPr>
            <w:rStyle w:val="Hyperlink"/>
            <w:rFonts w:asciiTheme="minorHAnsi" w:hAnsiTheme="minorHAnsi" w:cstheme="minorHAnsi"/>
            <w:sz w:val="22"/>
            <w:szCs w:val="22"/>
            <w:lang w:val="en-US"/>
          </w:rPr>
          <w:t>https://onlinelibrary.wiley.com/doi/full/10.1002/cl2.1046</w:t>
        </w:r>
      </w:hyperlink>
      <w:r w:rsidRPr="001C1A39">
        <w:rPr>
          <w:rFonts w:asciiTheme="minorHAnsi" w:hAnsiTheme="minorHAnsi" w:cstheme="minorHAnsi"/>
          <w:sz w:val="22"/>
          <w:szCs w:val="22"/>
          <w:lang w:val="en-US"/>
        </w:rPr>
        <w:t xml:space="preserve"> (Accessed: 15 January 2023).</w:t>
      </w:r>
    </w:p>
    <w:p w14:paraId="0C7014E2"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Braga, A.A., Weisburd, D. and </w:t>
      </w:r>
      <w:proofErr w:type="spellStart"/>
      <w:r w:rsidRPr="001C1A39">
        <w:rPr>
          <w:rFonts w:asciiTheme="minorHAnsi" w:hAnsiTheme="minorHAnsi" w:cstheme="minorHAnsi"/>
          <w:sz w:val="22"/>
          <w:szCs w:val="22"/>
          <w:lang w:val="en-US"/>
        </w:rPr>
        <w:t>Turchan</w:t>
      </w:r>
      <w:proofErr w:type="spellEnd"/>
      <w:r w:rsidRPr="001C1A39">
        <w:rPr>
          <w:rFonts w:asciiTheme="minorHAnsi" w:hAnsiTheme="minorHAnsi" w:cstheme="minorHAnsi"/>
          <w:sz w:val="22"/>
          <w:szCs w:val="22"/>
          <w:lang w:val="en-US"/>
        </w:rPr>
        <w:t xml:space="preserve">, B. (2018) ‘Focused Deterrence Strategies and Crime Control’. </w:t>
      </w:r>
      <w:r w:rsidRPr="001C1A39">
        <w:rPr>
          <w:rFonts w:asciiTheme="minorHAnsi" w:hAnsiTheme="minorHAnsi" w:cstheme="minorHAnsi"/>
          <w:i/>
          <w:iCs/>
          <w:sz w:val="22"/>
          <w:szCs w:val="22"/>
          <w:lang w:val="en-US"/>
        </w:rPr>
        <w:t>Criminology &amp; Public Policy</w:t>
      </w:r>
      <w:r w:rsidRPr="001C1A39">
        <w:rPr>
          <w:rFonts w:asciiTheme="minorHAnsi" w:hAnsiTheme="minorHAnsi" w:cstheme="minorHAnsi"/>
          <w:sz w:val="22"/>
          <w:szCs w:val="22"/>
          <w:lang w:val="en-US"/>
        </w:rPr>
        <w:t xml:space="preserve"> 17(1), pp. 205–250. Available at: </w:t>
      </w:r>
      <w:hyperlink r:id="rId12" w:history="1">
        <w:r w:rsidRPr="001C1A39">
          <w:rPr>
            <w:rStyle w:val="Hyperlink"/>
            <w:rFonts w:asciiTheme="minorHAnsi" w:hAnsiTheme="minorHAnsi" w:cstheme="minorHAnsi"/>
            <w:sz w:val="22"/>
            <w:szCs w:val="22"/>
            <w:lang w:val="en-US"/>
          </w:rPr>
          <w:t>https://onlinelibrary-wiley-</w:t>
        </w:r>
        <w:r w:rsidRPr="001C1A39">
          <w:rPr>
            <w:rStyle w:val="Hyperlink"/>
            <w:rFonts w:asciiTheme="minorHAnsi" w:hAnsiTheme="minorHAnsi" w:cstheme="minorHAnsi"/>
            <w:sz w:val="22"/>
            <w:szCs w:val="22"/>
            <w:lang w:val="en-US"/>
          </w:rPr>
          <w:lastRenderedPageBreak/>
          <w:t>com.ezproxy.uwtsd.ac.uk/doi/full/10.1111/1745-9133.12353</w:t>
        </w:r>
      </w:hyperlink>
      <w:r w:rsidRPr="001C1A39">
        <w:rPr>
          <w:rFonts w:asciiTheme="minorHAnsi" w:hAnsiTheme="minorHAnsi" w:cstheme="minorHAnsi"/>
          <w:sz w:val="22"/>
          <w:szCs w:val="22"/>
          <w:lang w:val="en-US"/>
        </w:rPr>
        <w:t xml:space="preserve"> (Accessed: 15 January 2023).</w:t>
      </w:r>
    </w:p>
    <w:p w14:paraId="42DDDC65"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Braverman, S. (2022) </w:t>
      </w:r>
      <w:r w:rsidRPr="001C1A39">
        <w:rPr>
          <w:rFonts w:asciiTheme="minorHAnsi" w:hAnsiTheme="minorHAnsi" w:cstheme="minorHAnsi"/>
          <w:i/>
          <w:iCs/>
          <w:sz w:val="22"/>
          <w:szCs w:val="22"/>
          <w:lang w:val="en-US"/>
        </w:rPr>
        <w:t>Attorney General’s Guidelines on Disclosure 2022</w:t>
      </w:r>
      <w:r w:rsidRPr="001C1A39">
        <w:rPr>
          <w:rFonts w:asciiTheme="minorHAnsi" w:hAnsiTheme="minorHAnsi" w:cstheme="minorHAnsi"/>
          <w:sz w:val="22"/>
          <w:szCs w:val="22"/>
          <w:lang w:val="en-US"/>
        </w:rPr>
        <w:t xml:space="preserve">., p. 7. Available at: </w:t>
      </w:r>
      <w:hyperlink r:id="rId13" w:history="1">
        <w:r w:rsidRPr="001C1A39">
          <w:rPr>
            <w:rStyle w:val="Hyperlink"/>
            <w:rFonts w:asciiTheme="minorHAnsi" w:hAnsiTheme="minorHAnsi" w:cstheme="minorHAnsi"/>
            <w:sz w:val="22"/>
            <w:szCs w:val="22"/>
            <w:lang w:val="en-US"/>
          </w:rPr>
          <w:t>https://assets.publishing.service.gov.uk/government/uploads/system/uploads/attachment_data/file/1078194/AG_Guidelines_2022_Revision_Publication_Copy.pdf</w:t>
        </w:r>
      </w:hyperlink>
      <w:r w:rsidRPr="001C1A39">
        <w:rPr>
          <w:rFonts w:asciiTheme="minorHAnsi" w:hAnsiTheme="minorHAnsi" w:cstheme="minorHAnsi"/>
          <w:sz w:val="22"/>
          <w:szCs w:val="22"/>
          <w:lang w:val="en-US"/>
        </w:rPr>
        <w:t xml:space="preserve"> (Accessed: 27 January 2023).</w:t>
      </w:r>
    </w:p>
    <w:p w14:paraId="545CF4AB"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Burruss</w:t>
      </w:r>
      <w:proofErr w:type="spellEnd"/>
      <w:r w:rsidRPr="001C1A39">
        <w:rPr>
          <w:rFonts w:asciiTheme="minorHAnsi" w:hAnsiTheme="minorHAnsi" w:cstheme="minorHAnsi"/>
          <w:sz w:val="22"/>
          <w:szCs w:val="22"/>
          <w:lang w:val="en-US"/>
        </w:rPr>
        <w:t xml:space="preserve">, G., Howell, C.J., Bossler, A. and Holt, T.J. (2019) ‘Self-perceptions of English and Welsh Constables and Sergeants Preparedness for Online Crime’. </w:t>
      </w:r>
      <w:r w:rsidRPr="001C1A39">
        <w:rPr>
          <w:rFonts w:asciiTheme="minorHAnsi" w:hAnsiTheme="minorHAnsi" w:cstheme="minorHAnsi"/>
          <w:i/>
          <w:iCs/>
          <w:sz w:val="22"/>
          <w:szCs w:val="22"/>
          <w:lang w:val="en-US"/>
        </w:rPr>
        <w:t>Policing: an International Journal</w:t>
      </w:r>
      <w:r w:rsidRPr="001C1A39">
        <w:rPr>
          <w:rFonts w:asciiTheme="minorHAnsi" w:hAnsiTheme="minorHAnsi" w:cstheme="minorHAnsi"/>
          <w:sz w:val="22"/>
          <w:szCs w:val="22"/>
          <w:lang w:val="en-US"/>
        </w:rPr>
        <w:t xml:space="preserve"> 43(1), pp. 105–119. Available at: </w:t>
      </w:r>
      <w:hyperlink r:id="rId14" w:history="1">
        <w:r w:rsidRPr="001C1A39">
          <w:rPr>
            <w:rStyle w:val="Hyperlink"/>
            <w:rFonts w:asciiTheme="minorHAnsi" w:hAnsiTheme="minorHAnsi" w:cstheme="minorHAnsi"/>
            <w:sz w:val="22"/>
            <w:szCs w:val="22"/>
            <w:lang w:val="en-US"/>
          </w:rPr>
          <w:t>https://www.proquest.com/docview/2533104096/abstract/9113DB6093DE44D9PQ/1?accountid=130472</w:t>
        </w:r>
      </w:hyperlink>
      <w:r w:rsidRPr="001C1A39">
        <w:rPr>
          <w:rFonts w:asciiTheme="minorHAnsi" w:hAnsiTheme="minorHAnsi" w:cstheme="minorHAnsi"/>
          <w:sz w:val="22"/>
          <w:szCs w:val="22"/>
          <w:lang w:val="en-US"/>
        </w:rPr>
        <w:t xml:space="preserve"> (Accessed: 21 February 2023).</w:t>
      </w:r>
    </w:p>
    <w:p w14:paraId="0D232621"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Cabinet Office (2011) </w:t>
      </w:r>
      <w:r w:rsidRPr="001C1A39">
        <w:rPr>
          <w:rFonts w:asciiTheme="minorHAnsi" w:hAnsiTheme="minorHAnsi" w:cstheme="minorHAnsi"/>
          <w:i/>
          <w:iCs/>
          <w:sz w:val="22"/>
          <w:szCs w:val="22"/>
          <w:lang w:val="en-US"/>
        </w:rPr>
        <w:t>The Cost of Cyber Crime</w:t>
      </w:r>
      <w:r w:rsidRPr="001C1A39">
        <w:rPr>
          <w:rFonts w:asciiTheme="minorHAnsi" w:hAnsiTheme="minorHAnsi" w:cstheme="minorHAnsi"/>
          <w:sz w:val="22"/>
          <w:szCs w:val="22"/>
          <w:lang w:val="en-US"/>
        </w:rPr>
        <w:t xml:space="preserve">. Available at: </w:t>
      </w:r>
      <w:hyperlink r:id="rId15" w:history="1">
        <w:r w:rsidRPr="001C1A39">
          <w:rPr>
            <w:rStyle w:val="Hyperlink"/>
            <w:rFonts w:asciiTheme="minorHAnsi" w:hAnsiTheme="minorHAnsi" w:cstheme="minorHAnsi"/>
            <w:sz w:val="22"/>
            <w:szCs w:val="22"/>
            <w:lang w:val="en-US"/>
          </w:rPr>
          <w:t>https://www.gov.uk/government/publications/the-cost-of-cyber-crime-joint-government-and-industry-report</w:t>
        </w:r>
      </w:hyperlink>
      <w:r w:rsidRPr="001C1A39">
        <w:rPr>
          <w:rFonts w:asciiTheme="minorHAnsi" w:hAnsiTheme="minorHAnsi" w:cstheme="minorHAnsi"/>
          <w:sz w:val="22"/>
          <w:szCs w:val="22"/>
          <w:lang w:val="en-US"/>
        </w:rPr>
        <w:t xml:space="preserve"> (Accessed: 21 February 2023).</w:t>
      </w:r>
    </w:p>
    <w:p w14:paraId="187A89F2"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Cambridge Dictionary (2019) </w:t>
      </w:r>
      <w:r w:rsidRPr="001C1A39">
        <w:rPr>
          <w:rFonts w:asciiTheme="minorHAnsi" w:hAnsiTheme="minorHAnsi" w:cstheme="minorHAnsi"/>
          <w:i/>
          <w:iCs/>
          <w:sz w:val="22"/>
          <w:szCs w:val="22"/>
          <w:lang w:val="en-US"/>
        </w:rPr>
        <w:t>EXPLOITATION | meaning in the Cambridge English Dictionary</w:t>
      </w:r>
      <w:r w:rsidRPr="001C1A39">
        <w:rPr>
          <w:rFonts w:asciiTheme="minorHAnsi" w:hAnsiTheme="minorHAnsi" w:cstheme="minorHAnsi"/>
          <w:sz w:val="22"/>
          <w:szCs w:val="22"/>
          <w:lang w:val="en-US"/>
        </w:rPr>
        <w:t xml:space="preserve">. Available at: </w:t>
      </w:r>
      <w:hyperlink r:id="rId16" w:history="1">
        <w:r w:rsidRPr="001C1A39">
          <w:rPr>
            <w:rStyle w:val="Hyperlink"/>
            <w:rFonts w:asciiTheme="minorHAnsi" w:hAnsiTheme="minorHAnsi" w:cstheme="minorHAnsi"/>
            <w:sz w:val="22"/>
            <w:szCs w:val="22"/>
            <w:lang w:val="en-US"/>
          </w:rPr>
          <w:t>https://dictionary.cambridge.org/dictionary/english/exploitation</w:t>
        </w:r>
      </w:hyperlink>
      <w:r w:rsidRPr="001C1A39">
        <w:rPr>
          <w:rFonts w:asciiTheme="minorHAnsi" w:hAnsiTheme="minorHAnsi" w:cstheme="minorHAnsi"/>
          <w:sz w:val="22"/>
          <w:szCs w:val="22"/>
          <w:lang w:val="en-US"/>
        </w:rPr>
        <w:t xml:space="preserve"> (Accessed: 17 January 2023).</w:t>
      </w:r>
    </w:p>
    <w:p w14:paraId="300AC71B"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Charman</w:t>
      </w:r>
      <w:proofErr w:type="spellEnd"/>
      <w:r w:rsidRPr="001C1A39">
        <w:rPr>
          <w:rFonts w:asciiTheme="minorHAnsi" w:hAnsiTheme="minorHAnsi" w:cstheme="minorHAnsi"/>
          <w:sz w:val="22"/>
          <w:szCs w:val="22"/>
          <w:lang w:val="en-US"/>
        </w:rPr>
        <w:t xml:space="preserve">, S.D., </w:t>
      </w:r>
      <w:proofErr w:type="spellStart"/>
      <w:r w:rsidRPr="001C1A39">
        <w:rPr>
          <w:rFonts w:asciiTheme="minorHAnsi" w:hAnsiTheme="minorHAnsi" w:cstheme="minorHAnsi"/>
          <w:sz w:val="22"/>
          <w:szCs w:val="22"/>
          <w:lang w:val="en-US"/>
        </w:rPr>
        <w:t>Kavetski</w:t>
      </w:r>
      <w:proofErr w:type="spellEnd"/>
      <w:r w:rsidRPr="001C1A39">
        <w:rPr>
          <w:rFonts w:asciiTheme="minorHAnsi" w:hAnsiTheme="minorHAnsi" w:cstheme="minorHAnsi"/>
          <w:sz w:val="22"/>
          <w:szCs w:val="22"/>
          <w:lang w:val="en-US"/>
        </w:rPr>
        <w:t xml:space="preserve">, M. and Mueller, D.H. (2017) ‘Cognitive Bias in the Legal System: Police Officers Evaluate Ambiguous Evidence in a Belief-Consistent Manner’. </w:t>
      </w:r>
      <w:r w:rsidRPr="001C1A39">
        <w:rPr>
          <w:rFonts w:asciiTheme="minorHAnsi" w:hAnsiTheme="minorHAnsi" w:cstheme="minorHAnsi"/>
          <w:i/>
          <w:iCs/>
          <w:sz w:val="22"/>
          <w:szCs w:val="22"/>
          <w:lang w:val="en-US"/>
        </w:rPr>
        <w:t>Journal of Applied Research in Memory and Cognition</w:t>
      </w:r>
      <w:r w:rsidRPr="001C1A39">
        <w:rPr>
          <w:rFonts w:asciiTheme="minorHAnsi" w:hAnsiTheme="minorHAnsi" w:cstheme="minorHAnsi"/>
          <w:sz w:val="22"/>
          <w:szCs w:val="22"/>
          <w:lang w:val="en-US"/>
        </w:rPr>
        <w:t xml:space="preserve"> 6(2), pp. 193–202. Available at: </w:t>
      </w:r>
      <w:hyperlink r:id="rId17" w:history="1">
        <w:r w:rsidRPr="001C1A39">
          <w:rPr>
            <w:rStyle w:val="Hyperlink"/>
            <w:rFonts w:asciiTheme="minorHAnsi" w:hAnsiTheme="minorHAnsi" w:cstheme="minorHAnsi"/>
            <w:sz w:val="22"/>
            <w:szCs w:val="22"/>
            <w:lang w:val="en-US"/>
          </w:rPr>
          <w:t>https://web-s-ebscohost-com.ezproxy.uwtsd.ac.uk/ehost/pdfviewer/pdfviewer?vid=0&amp;sid=d534ec05-12e4-47f7-b4a4-36a203557e4d%40redis</w:t>
        </w:r>
      </w:hyperlink>
      <w:r w:rsidRPr="001C1A39">
        <w:rPr>
          <w:rFonts w:asciiTheme="minorHAnsi" w:hAnsiTheme="minorHAnsi" w:cstheme="minorHAnsi"/>
          <w:sz w:val="22"/>
          <w:szCs w:val="22"/>
          <w:lang w:val="en-US"/>
        </w:rPr>
        <w:t xml:space="preserve"> (Accessed: 27 January 2023).</w:t>
      </w:r>
    </w:p>
    <w:p w14:paraId="28852782"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Cherry, K. (2020) </w:t>
      </w:r>
      <w:r w:rsidRPr="001C1A39">
        <w:rPr>
          <w:rFonts w:asciiTheme="minorHAnsi" w:hAnsiTheme="minorHAnsi" w:cstheme="minorHAnsi"/>
          <w:i/>
          <w:iCs/>
          <w:sz w:val="22"/>
          <w:szCs w:val="22"/>
          <w:lang w:val="en-US"/>
        </w:rPr>
        <w:t>How cognitive biases influence how you think and act</w:t>
      </w:r>
      <w:r w:rsidRPr="001C1A39">
        <w:rPr>
          <w:rFonts w:asciiTheme="minorHAnsi" w:hAnsiTheme="minorHAnsi" w:cstheme="minorHAnsi"/>
          <w:sz w:val="22"/>
          <w:szCs w:val="22"/>
          <w:lang w:val="en-US"/>
        </w:rPr>
        <w:t xml:space="preserve">. Available at: </w:t>
      </w:r>
      <w:hyperlink r:id="rId18" w:history="1">
        <w:r w:rsidRPr="001C1A39">
          <w:rPr>
            <w:rStyle w:val="Hyperlink"/>
            <w:rFonts w:asciiTheme="minorHAnsi" w:hAnsiTheme="minorHAnsi" w:cstheme="minorHAnsi"/>
            <w:sz w:val="22"/>
            <w:szCs w:val="22"/>
            <w:lang w:val="en-US"/>
          </w:rPr>
          <w:t>https://www.verywellmind.com/what-is-a-cognitive-bias-2794963</w:t>
        </w:r>
      </w:hyperlink>
      <w:r w:rsidRPr="001C1A39">
        <w:rPr>
          <w:rFonts w:asciiTheme="minorHAnsi" w:hAnsiTheme="minorHAnsi" w:cstheme="minorHAnsi"/>
          <w:sz w:val="22"/>
          <w:szCs w:val="22"/>
          <w:lang w:val="en-US"/>
        </w:rPr>
        <w:t xml:space="preserve"> (Accessed: 26 January 2023).</w:t>
      </w:r>
    </w:p>
    <w:p w14:paraId="174971C2"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Clancy, P. (2016) </w:t>
      </w:r>
      <w:r w:rsidRPr="001C1A39">
        <w:rPr>
          <w:rFonts w:asciiTheme="minorHAnsi" w:hAnsiTheme="minorHAnsi" w:cstheme="minorHAnsi"/>
          <w:i/>
          <w:iCs/>
          <w:sz w:val="22"/>
          <w:szCs w:val="22"/>
          <w:lang w:val="en-US"/>
        </w:rPr>
        <w:t>Spotlight on community policing: The benefits of social media</w:t>
      </w:r>
      <w:r w:rsidRPr="001C1A39">
        <w:rPr>
          <w:rFonts w:asciiTheme="minorHAnsi" w:hAnsiTheme="minorHAnsi" w:cstheme="minorHAnsi"/>
          <w:sz w:val="22"/>
          <w:szCs w:val="22"/>
          <w:lang w:val="en-US"/>
        </w:rPr>
        <w:t xml:space="preserve">. Law Enforcement Technology., pp. 36–37. Available at: </w:t>
      </w:r>
      <w:hyperlink r:id="rId19" w:history="1">
        <w:r w:rsidRPr="001C1A39">
          <w:rPr>
            <w:rStyle w:val="Hyperlink"/>
            <w:rFonts w:asciiTheme="minorHAnsi" w:hAnsiTheme="minorHAnsi" w:cstheme="minorHAnsi"/>
            <w:sz w:val="22"/>
            <w:szCs w:val="22"/>
            <w:lang w:val="en-US"/>
          </w:rPr>
          <w:t>https://www.proquest.com/docview/1833125671/fulltext/5AF9C729D2854298PQ/1?accountid=130472</w:t>
        </w:r>
      </w:hyperlink>
      <w:r w:rsidRPr="001C1A39">
        <w:rPr>
          <w:rFonts w:asciiTheme="minorHAnsi" w:hAnsiTheme="minorHAnsi" w:cstheme="minorHAnsi"/>
          <w:sz w:val="22"/>
          <w:szCs w:val="22"/>
          <w:lang w:val="en-US"/>
        </w:rPr>
        <w:t xml:space="preserve"> (Accessed: 16 January 2023).</w:t>
      </w:r>
    </w:p>
    <w:p w14:paraId="779DD68C"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College of Policing (2019) </w:t>
      </w:r>
      <w:r w:rsidRPr="001C1A39">
        <w:rPr>
          <w:rFonts w:asciiTheme="minorHAnsi" w:hAnsiTheme="minorHAnsi" w:cstheme="minorHAnsi"/>
          <w:i/>
          <w:iCs/>
          <w:sz w:val="22"/>
          <w:szCs w:val="22"/>
          <w:lang w:val="en-US"/>
        </w:rPr>
        <w:t>Practice advice: Dealing with sudden unexpected death</w:t>
      </w:r>
      <w:r w:rsidRPr="001C1A39">
        <w:rPr>
          <w:rFonts w:asciiTheme="minorHAnsi" w:hAnsiTheme="minorHAnsi" w:cstheme="minorHAnsi"/>
          <w:sz w:val="22"/>
          <w:szCs w:val="22"/>
          <w:lang w:val="en-US"/>
        </w:rPr>
        <w:t xml:space="preserve">. </w:t>
      </w:r>
      <w:proofErr w:type="spellStart"/>
      <w:r w:rsidRPr="001C1A39">
        <w:rPr>
          <w:rFonts w:asciiTheme="minorHAnsi" w:hAnsiTheme="minorHAnsi" w:cstheme="minorHAnsi"/>
          <w:sz w:val="22"/>
          <w:szCs w:val="22"/>
          <w:lang w:val="en-US"/>
        </w:rPr>
        <w:t>Collge</w:t>
      </w:r>
      <w:proofErr w:type="spellEnd"/>
      <w:r w:rsidRPr="001C1A39">
        <w:rPr>
          <w:rFonts w:asciiTheme="minorHAnsi" w:hAnsiTheme="minorHAnsi" w:cstheme="minorHAnsi"/>
          <w:sz w:val="22"/>
          <w:szCs w:val="22"/>
          <w:lang w:val="en-US"/>
        </w:rPr>
        <w:t xml:space="preserve"> of Policing. Available at: </w:t>
      </w:r>
      <w:hyperlink r:id="rId20" w:history="1">
        <w:r w:rsidRPr="001C1A39">
          <w:rPr>
            <w:rStyle w:val="Hyperlink"/>
            <w:rFonts w:asciiTheme="minorHAnsi" w:hAnsiTheme="minorHAnsi" w:cstheme="minorHAnsi"/>
            <w:sz w:val="22"/>
            <w:szCs w:val="22"/>
            <w:lang w:val="en-US"/>
          </w:rPr>
          <w:t>https://library.college.police.uk/docs/appref/Dealing-with-sudden-unexpected-death-(COP)-v1.0.pdf</w:t>
        </w:r>
      </w:hyperlink>
      <w:r w:rsidRPr="001C1A39">
        <w:rPr>
          <w:rFonts w:asciiTheme="minorHAnsi" w:hAnsiTheme="minorHAnsi" w:cstheme="minorHAnsi"/>
          <w:sz w:val="22"/>
          <w:szCs w:val="22"/>
          <w:lang w:val="en-US"/>
        </w:rPr>
        <w:t xml:space="preserve"> (Accessed: 27 January 2023).</w:t>
      </w:r>
    </w:p>
    <w:p w14:paraId="7D3CA61A"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lastRenderedPageBreak/>
        <w:t xml:space="preserve">College of Policing (2020) </w:t>
      </w:r>
      <w:r w:rsidRPr="001C1A39">
        <w:rPr>
          <w:rFonts w:asciiTheme="minorHAnsi" w:hAnsiTheme="minorHAnsi" w:cstheme="minorHAnsi"/>
          <w:i/>
          <w:iCs/>
          <w:sz w:val="22"/>
          <w:szCs w:val="22"/>
          <w:lang w:val="en-US"/>
        </w:rPr>
        <w:t>Problem-oriented policing</w:t>
      </w:r>
      <w:r w:rsidRPr="001C1A39">
        <w:rPr>
          <w:rFonts w:asciiTheme="minorHAnsi" w:hAnsiTheme="minorHAnsi" w:cstheme="minorHAnsi"/>
          <w:sz w:val="22"/>
          <w:szCs w:val="22"/>
          <w:lang w:val="en-US"/>
        </w:rPr>
        <w:t xml:space="preserve">. Available at: </w:t>
      </w:r>
      <w:hyperlink r:id="rId21" w:history="1">
        <w:r w:rsidRPr="001C1A39">
          <w:rPr>
            <w:rStyle w:val="Hyperlink"/>
            <w:rFonts w:asciiTheme="minorHAnsi" w:hAnsiTheme="minorHAnsi" w:cstheme="minorHAnsi"/>
            <w:sz w:val="22"/>
            <w:szCs w:val="22"/>
            <w:lang w:val="en-US"/>
          </w:rPr>
          <w:t>https://www.college.police.uk/research/crime-reduction-toolkit/problem-oriented-policing</w:t>
        </w:r>
      </w:hyperlink>
      <w:r w:rsidRPr="001C1A39">
        <w:rPr>
          <w:rFonts w:asciiTheme="minorHAnsi" w:hAnsiTheme="minorHAnsi" w:cstheme="minorHAnsi"/>
          <w:sz w:val="22"/>
          <w:szCs w:val="22"/>
          <w:lang w:val="en-US"/>
        </w:rPr>
        <w:t xml:space="preserve"> (Accessed: 14 January 2023).</w:t>
      </w:r>
    </w:p>
    <w:p w14:paraId="1ABD2D5B"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College of Policing (2021) </w:t>
      </w:r>
      <w:r w:rsidRPr="001C1A39">
        <w:rPr>
          <w:rFonts w:asciiTheme="minorHAnsi" w:hAnsiTheme="minorHAnsi" w:cstheme="minorHAnsi"/>
          <w:i/>
          <w:iCs/>
          <w:sz w:val="22"/>
          <w:szCs w:val="22"/>
          <w:lang w:val="en-US"/>
        </w:rPr>
        <w:t>Targeted approaches to crime and disorder reduction</w:t>
      </w:r>
      <w:r w:rsidRPr="001C1A39">
        <w:rPr>
          <w:rFonts w:asciiTheme="minorHAnsi" w:hAnsiTheme="minorHAnsi" w:cstheme="minorHAnsi"/>
          <w:sz w:val="22"/>
          <w:szCs w:val="22"/>
          <w:lang w:val="en-US"/>
        </w:rPr>
        <w:t xml:space="preserve">. Available at: </w:t>
      </w:r>
      <w:hyperlink r:id="rId22" w:history="1">
        <w:r w:rsidRPr="001C1A39">
          <w:rPr>
            <w:rStyle w:val="Hyperlink"/>
            <w:rFonts w:asciiTheme="minorHAnsi" w:hAnsiTheme="minorHAnsi" w:cstheme="minorHAnsi"/>
            <w:sz w:val="22"/>
            <w:szCs w:val="22"/>
            <w:lang w:val="en-US"/>
          </w:rPr>
          <w:t>https://www.college.police.uk/research/what-works-policing-reduce-crime/targeted-approaches</w:t>
        </w:r>
      </w:hyperlink>
      <w:r w:rsidRPr="001C1A39">
        <w:rPr>
          <w:rFonts w:asciiTheme="minorHAnsi" w:hAnsiTheme="minorHAnsi" w:cstheme="minorHAnsi"/>
          <w:sz w:val="22"/>
          <w:szCs w:val="22"/>
          <w:lang w:val="en-US"/>
        </w:rPr>
        <w:t xml:space="preserve"> (Accessed: 15 January 2023).</w:t>
      </w:r>
    </w:p>
    <w:p w14:paraId="6681C3EA"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Collier, B., Thomas, D.R., Clayton, R., Hutchings, A. and Chua, Y.T. (2021) ‘Influence, infrastructure, and Recentering Cybercrime policing: Evaluating Emerging Approaches to Online Law Enforcement through a Market for Cybercrime Services’. </w:t>
      </w:r>
      <w:r w:rsidRPr="001C1A39">
        <w:rPr>
          <w:rFonts w:asciiTheme="minorHAnsi" w:hAnsiTheme="minorHAnsi" w:cstheme="minorHAnsi"/>
          <w:i/>
          <w:iCs/>
          <w:sz w:val="22"/>
          <w:szCs w:val="22"/>
          <w:lang w:val="en-US"/>
        </w:rPr>
        <w:t>Policing and Society</w:t>
      </w:r>
      <w:r w:rsidRPr="001C1A39">
        <w:rPr>
          <w:rFonts w:asciiTheme="minorHAnsi" w:hAnsiTheme="minorHAnsi" w:cstheme="minorHAnsi"/>
          <w:sz w:val="22"/>
          <w:szCs w:val="22"/>
          <w:lang w:val="en-US"/>
        </w:rPr>
        <w:t xml:space="preserve"> 32(1), pp. 1–22. Available at: </w:t>
      </w:r>
      <w:hyperlink r:id="rId23" w:history="1">
        <w:r w:rsidRPr="001C1A39">
          <w:rPr>
            <w:rStyle w:val="Hyperlink"/>
            <w:rFonts w:asciiTheme="minorHAnsi" w:hAnsiTheme="minorHAnsi" w:cstheme="minorHAnsi"/>
            <w:sz w:val="22"/>
            <w:szCs w:val="22"/>
            <w:lang w:val="en-US"/>
          </w:rPr>
          <w:t>https://www-tandfonline-com.ezproxy.uwtsd.ac.uk/doi/full/10.1080/10439463.2021.1883608</w:t>
        </w:r>
      </w:hyperlink>
      <w:r w:rsidRPr="001C1A39">
        <w:rPr>
          <w:rFonts w:asciiTheme="minorHAnsi" w:hAnsiTheme="minorHAnsi" w:cstheme="minorHAnsi"/>
          <w:sz w:val="22"/>
          <w:szCs w:val="22"/>
          <w:lang w:val="en-US"/>
        </w:rPr>
        <w:t xml:space="preserve"> (Accessed: 21 February 2023).</w:t>
      </w:r>
    </w:p>
    <w:p w14:paraId="1B45C944"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Collins Dictionary (2019) </w:t>
      </w:r>
      <w:r w:rsidRPr="001C1A39">
        <w:rPr>
          <w:rFonts w:asciiTheme="minorHAnsi" w:hAnsiTheme="minorHAnsi" w:cstheme="minorHAnsi"/>
          <w:i/>
          <w:iCs/>
          <w:sz w:val="22"/>
          <w:szCs w:val="22"/>
          <w:lang w:val="en-US"/>
        </w:rPr>
        <w:t>Bias definition and meaning | Collins English Dictionary</w:t>
      </w:r>
      <w:r w:rsidRPr="001C1A39">
        <w:rPr>
          <w:rFonts w:asciiTheme="minorHAnsi" w:hAnsiTheme="minorHAnsi" w:cstheme="minorHAnsi"/>
          <w:sz w:val="22"/>
          <w:szCs w:val="22"/>
          <w:lang w:val="en-US"/>
        </w:rPr>
        <w:t xml:space="preserve">. Available at: </w:t>
      </w:r>
      <w:hyperlink r:id="rId24" w:history="1">
        <w:r w:rsidRPr="001C1A39">
          <w:rPr>
            <w:rStyle w:val="Hyperlink"/>
            <w:rFonts w:asciiTheme="minorHAnsi" w:hAnsiTheme="minorHAnsi" w:cstheme="minorHAnsi"/>
            <w:sz w:val="22"/>
            <w:szCs w:val="22"/>
            <w:lang w:val="en-US"/>
          </w:rPr>
          <w:t>https://www.collinsdictionary.com/dictionary/english/bias</w:t>
        </w:r>
      </w:hyperlink>
      <w:r w:rsidRPr="001C1A39">
        <w:rPr>
          <w:rFonts w:asciiTheme="minorHAnsi" w:hAnsiTheme="minorHAnsi" w:cstheme="minorHAnsi"/>
          <w:sz w:val="22"/>
          <w:szCs w:val="22"/>
          <w:lang w:val="en-US"/>
        </w:rPr>
        <w:t xml:space="preserve"> (Accessed: 26 January 2023).</w:t>
      </w:r>
    </w:p>
    <w:p w14:paraId="5F4706B3"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Commission on Young Lives (2021) </w:t>
      </w:r>
      <w:r w:rsidRPr="001C1A39">
        <w:rPr>
          <w:rFonts w:asciiTheme="minorHAnsi" w:hAnsiTheme="minorHAnsi" w:cstheme="minorHAnsi"/>
          <w:i/>
          <w:iCs/>
          <w:sz w:val="22"/>
          <w:szCs w:val="22"/>
          <w:lang w:val="en-US"/>
        </w:rPr>
        <w:t>New figures reveal 12,720 children in England were identified by social services as being at risk of criminal exploitation by gangs in 2020/21</w:t>
      </w:r>
      <w:r w:rsidRPr="001C1A39">
        <w:rPr>
          <w:rFonts w:asciiTheme="minorHAnsi" w:hAnsiTheme="minorHAnsi" w:cstheme="minorHAnsi"/>
          <w:sz w:val="22"/>
          <w:szCs w:val="22"/>
          <w:lang w:val="en-US"/>
        </w:rPr>
        <w:t xml:space="preserve">. Available at: </w:t>
      </w:r>
      <w:hyperlink r:id="rId25" w:history="1">
        <w:r w:rsidRPr="001C1A39">
          <w:rPr>
            <w:rStyle w:val="Hyperlink"/>
            <w:rFonts w:asciiTheme="minorHAnsi" w:hAnsiTheme="minorHAnsi" w:cstheme="minorHAnsi"/>
            <w:sz w:val="22"/>
            <w:szCs w:val="22"/>
            <w:lang w:val="en-US"/>
          </w:rPr>
          <w:t>https://thecommissiononyounglives.co.uk/new-figures-reveal-12720-children-in-england-were-identified-by-social-services-as-being-at-risk-of-criminal-exploitation-by-gangs-in-2020-21/</w:t>
        </w:r>
      </w:hyperlink>
      <w:r w:rsidRPr="001C1A39">
        <w:rPr>
          <w:rFonts w:asciiTheme="minorHAnsi" w:hAnsiTheme="minorHAnsi" w:cstheme="minorHAnsi"/>
          <w:sz w:val="22"/>
          <w:szCs w:val="22"/>
          <w:lang w:val="en-US"/>
        </w:rPr>
        <w:t xml:space="preserve"> (Accessed: 17 January 2023).</w:t>
      </w:r>
    </w:p>
    <w:p w14:paraId="42D8E86E"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Coomber</w:t>
      </w:r>
      <w:proofErr w:type="spellEnd"/>
      <w:r w:rsidRPr="001C1A39">
        <w:rPr>
          <w:rFonts w:asciiTheme="minorHAnsi" w:hAnsiTheme="minorHAnsi" w:cstheme="minorHAnsi"/>
          <w:sz w:val="22"/>
          <w:szCs w:val="22"/>
          <w:lang w:val="en-US"/>
        </w:rPr>
        <w:t xml:space="preserve">, R. and Moyle, L. (2017) ‘The Changing Shape of Street-Level Heroin and Crack Supply in England: Commuting, Holidaying and Cuckooing Drug Dealers Across “County Lines”’. </w:t>
      </w:r>
      <w:r w:rsidRPr="001C1A39">
        <w:rPr>
          <w:rFonts w:asciiTheme="minorHAnsi" w:hAnsiTheme="minorHAnsi" w:cstheme="minorHAnsi"/>
          <w:i/>
          <w:iCs/>
          <w:sz w:val="22"/>
          <w:szCs w:val="22"/>
          <w:lang w:val="en-US"/>
        </w:rPr>
        <w:t>The British Journal of Criminology</w:t>
      </w:r>
      <w:r w:rsidRPr="001C1A39">
        <w:rPr>
          <w:rFonts w:asciiTheme="minorHAnsi" w:hAnsiTheme="minorHAnsi" w:cstheme="minorHAnsi"/>
          <w:sz w:val="22"/>
          <w:szCs w:val="22"/>
          <w:lang w:val="en-US"/>
        </w:rPr>
        <w:t xml:space="preserve"> 58(6), pp. 1323–1342. Available at: </w:t>
      </w:r>
      <w:hyperlink r:id="rId26" w:history="1">
        <w:r w:rsidRPr="001C1A39">
          <w:rPr>
            <w:rStyle w:val="Hyperlink"/>
            <w:rFonts w:asciiTheme="minorHAnsi" w:hAnsiTheme="minorHAnsi" w:cstheme="minorHAnsi"/>
            <w:sz w:val="22"/>
            <w:szCs w:val="22"/>
            <w:lang w:val="en-US"/>
          </w:rPr>
          <w:t>https://academic.oup.com/bjc/article/58/6/1323/4668676</w:t>
        </w:r>
      </w:hyperlink>
      <w:r w:rsidRPr="001C1A39">
        <w:rPr>
          <w:rFonts w:asciiTheme="minorHAnsi" w:hAnsiTheme="minorHAnsi" w:cstheme="minorHAnsi"/>
          <w:sz w:val="22"/>
          <w:szCs w:val="22"/>
          <w:lang w:val="en-US"/>
        </w:rPr>
        <w:t xml:space="preserve"> (Accessed: 17 January 2023).</w:t>
      </w:r>
    </w:p>
    <w:p w14:paraId="165990EA"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Cotterill, B. (2022) </w:t>
      </w:r>
      <w:r w:rsidRPr="001C1A39">
        <w:rPr>
          <w:rFonts w:asciiTheme="minorHAnsi" w:hAnsiTheme="minorHAnsi" w:cstheme="minorHAnsi"/>
          <w:i/>
          <w:iCs/>
          <w:sz w:val="22"/>
          <w:szCs w:val="22"/>
          <w:lang w:val="en-US"/>
        </w:rPr>
        <w:t>‘Cuckooing’ victim reveals how drug dealers took over her flat</w:t>
      </w:r>
      <w:r w:rsidRPr="001C1A39">
        <w:rPr>
          <w:rFonts w:asciiTheme="minorHAnsi" w:hAnsiTheme="minorHAnsi" w:cstheme="minorHAnsi"/>
          <w:sz w:val="22"/>
          <w:szCs w:val="22"/>
          <w:lang w:val="en-US"/>
        </w:rPr>
        <w:t xml:space="preserve">. Available at: </w:t>
      </w:r>
      <w:hyperlink r:id="rId27" w:history="1">
        <w:r w:rsidRPr="001C1A39">
          <w:rPr>
            <w:rStyle w:val="Hyperlink"/>
            <w:rFonts w:asciiTheme="minorHAnsi" w:hAnsiTheme="minorHAnsi" w:cstheme="minorHAnsi"/>
            <w:sz w:val="22"/>
            <w:szCs w:val="22"/>
            <w:lang w:val="en-US"/>
          </w:rPr>
          <w:t>https://news.sky.com/story/i-thought-they-were-being-kind-cuckooing-victim-reveals-how-drug-dealers-took-over-her-flat-12580191</w:t>
        </w:r>
      </w:hyperlink>
      <w:r w:rsidRPr="001C1A39">
        <w:rPr>
          <w:rFonts w:asciiTheme="minorHAnsi" w:hAnsiTheme="minorHAnsi" w:cstheme="minorHAnsi"/>
          <w:sz w:val="22"/>
          <w:szCs w:val="22"/>
          <w:lang w:val="en-US"/>
        </w:rPr>
        <w:t xml:space="preserve"> (Accessed: 28 September 2022).</w:t>
      </w:r>
    </w:p>
    <w:p w14:paraId="05192964"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Curtis, J. and </w:t>
      </w:r>
      <w:proofErr w:type="spellStart"/>
      <w:r w:rsidRPr="001C1A39">
        <w:rPr>
          <w:rFonts w:asciiTheme="minorHAnsi" w:hAnsiTheme="minorHAnsi" w:cstheme="minorHAnsi"/>
          <w:sz w:val="22"/>
          <w:szCs w:val="22"/>
          <w:lang w:val="en-US"/>
        </w:rPr>
        <w:t>Oxburgh</w:t>
      </w:r>
      <w:proofErr w:type="spellEnd"/>
      <w:r w:rsidRPr="001C1A39">
        <w:rPr>
          <w:rFonts w:asciiTheme="minorHAnsi" w:hAnsiTheme="minorHAnsi" w:cstheme="minorHAnsi"/>
          <w:sz w:val="22"/>
          <w:szCs w:val="22"/>
          <w:lang w:val="en-US"/>
        </w:rPr>
        <w:t xml:space="preserve">, G. (2022) ‘Understanding cybercrime in “real world” policing and law enforcement’. </w:t>
      </w:r>
      <w:r w:rsidRPr="001C1A39">
        <w:rPr>
          <w:rFonts w:asciiTheme="minorHAnsi" w:hAnsiTheme="minorHAnsi" w:cstheme="minorHAnsi"/>
          <w:i/>
          <w:iCs/>
          <w:sz w:val="22"/>
          <w:szCs w:val="22"/>
          <w:lang w:val="en-US"/>
        </w:rPr>
        <w:t>The Police Journal: Theory, Practice and Principles</w:t>
      </w:r>
      <w:r w:rsidRPr="001C1A39">
        <w:rPr>
          <w:rFonts w:asciiTheme="minorHAnsi" w:hAnsiTheme="minorHAnsi" w:cstheme="minorHAnsi"/>
          <w:sz w:val="22"/>
          <w:szCs w:val="22"/>
          <w:lang w:val="en-US"/>
        </w:rPr>
        <w:t xml:space="preserve"> , p. 0032258X2211075. Available at: </w:t>
      </w:r>
      <w:hyperlink r:id="rId28" w:history="1">
        <w:r w:rsidRPr="001C1A39">
          <w:rPr>
            <w:rStyle w:val="Hyperlink"/>
            <w:rFonts w:asciiTheme="minorHAnsi" w:hAnsiTheme="minorHAnsi" w:cstheme="minorHAnsi"/>
            <w:sz w:val="22"/>
            <w:szCs w:val="22"/>
            <w:lang w:val="en-US"/>
          </w:rPr>
          <w:t>https://journals.sagepub.com/doi/epub/10.1177/0032258X221107584</w:t>
        </w:r>
      </w:hyperlink>
      <w:r w:rsidRPr="001C1A39">
        <w:rPr>
          <w:rFonts w:asciiTheme="minorHAnsi" w:hAnsiTheme="minorHAnsi" w:cstheme="minorHAnsi"/>
          <w:sz w:val="22"/>
          <w:szCs w:val="22"/>
          <w:lang w:val="en-US"/>
        </w:rPr>
        <w:t xml:space="preserve"> (Accessed: 21 February 2023).</w:t>
      </w:r>
    </w:p>
    <w:p w14:paraId="3155A6A3"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da-DK"/>
        </w:rPr>
        <w:t xml:space="preserve">De </w:t>
      </w:r>
      <w:proofErr w:type="spellStart"/>
      <w:r w:rsidRPr="001C1A39">
        <w:rPr>
          <w:rFonts w:asciiTheme="minorHAnsi" w:hAnsiTheme="minorHAnsi" w:cstheme="minorHAnsi"/>
          <w:sz w:val="22"/>
          <w:szCs w:val="22"/>
          <w:lang w:val="da-DK"/>
        </w:rPr>
        <w:t>Paoli</w:t>
      </w:r>
      <w:proofErr w:type="spellEnd"/>
      <w:r w:rsidRPr="001C1A39">
        <w:rPr>
          <w:rFonts w:asciiTheme="minorHAnsi" w:hAnsiTheme="minorHAnsi" w:cstheme="minorHAnsi"/>
          <w:sz w:val="22"/>
          <w:szCs w:val="22"/>
          <w:lang w:val="da-DK"/>
        </w:rPr>
        <w:t xml:space="preserve">, S. et al. </w:t>
      </w:r>
      <w:r w:rsidRPr="001C1A39">
        <w:rPr>
          <w:rFonts w:asciiTheme="minorHAnsi" w:hAnsiTheme="minorHAnsi" w:cstheme="minorHAnsi"/>
          <w:sz w:val="22"/>
          <w:szCs w:val="22"/>
          <w:lang w:val="en-US"/>
        </w:rPr>
        <w:t xml:space="preserve">(2020) ‘A Qualitative Exploratory Study of the Knowledge, Forensic, and Legal </w:t>
      </w:r>
      <w:r w:rsidRPr="001C1A39">
        <w:rPr>
          <w:rFonts w:asciiTheme="minorHAnsi" w:hAnsiTheme="minorHAnsi" w:cstheme="minorHAnsi"/>
          <w:sz w:val="22"/>
          <w:szCs w:val="22"/>
          <w:lang w:val="en-US"/>
        </w:rPr>
        <w:lastRenderedPageBreak/>
        <w:t xml:space="preserve">Challenges from the Perspective of Police Cybercrime Specialists’. </w:t>
      </w:r>
      <w:r w:rsidRPr="001C1A39">
        <w:rPr>
          <w:rFonts w:asciiTheme="minorHAnsi" w:hAnsiTheme="minorHAnsi" w:cstheme="minorHAnsi"/>
          <w:i/>
          <w:iCs/>
          <w:sz w:val="22"/>
          <w:szCs w:val="22"/>
          <w:lang w:val="en-US"/>
        </w:rPr>
        <w:t>Policing: a Journal of Policy and Practice</w:t>
      </w:r>
      <w:r w:rsidRPr="001C1A39">
        <w:rPr>
          <w:rFonts w:asciiTheme="minorHAnsi" w:hAnsiTheme="minorHAnsi" w:cstheme="minorHAnsi"/>
          <w:sz w:val="22"/>
          <w:szCs w:val="22"/>
          <w:lang w:val="en-US"/>
        </w:rPr>
        <w:t xml:space="preserve"> 15(2). Available at: </w:t>
      </w:r>
      <w:hyperlink r:id="rId29" w:anchor="290169369" w:history="1">
        <w:r w:rsidRPr="001C1A39">
          <w:rPr>
            <w:rStyle w:val="Hyperlink"/>
            <w:rFonts w:asciiTheme="minorHAnsi" w:hAnsiTheme="minorHAnsi" w:cstheme="minorHAnsi"/>
            <w:sz w:val="22"/>
            <w:szCs w:val="22"/>
            <w:lang w:val="en-US"/>
          </w:rPr>
          <w:t>https://academic.oup.com/policing/article/15/2/1429/5878092?login=true#290169369</w:t>
        </w:r>
      </w:hyperlink>
      <w:r w:rsidRPr="001C1A39">
        <w:rPr>
          <w:rFonts w:asciiTheme="minorHAnsi" w:hAnsiTheme="minorHAnsi" w:cstheme="minorHAnsi"/>
          <w:sz w:val="22"/>
          <w:szCs w:val="22"/>
          <w:lang w:val="en-US"/>
        </w:rPr>
        <w:t xml:space="preserve"> (Accessed: 21 February 2023).</w:t>
      </w:r>
    </w:p>
    <w:p w14:paraId="3DE695BB"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Department For Children, Schools And Families and Home Office (2010) </w:t>
      </w:r>
      <w:proofErr w:type="spellStart"/>
      <w:r w:rsidRPr="001C1A39">
        <w:rPr>
          <w:rFonts w:asciiTheme="minorHAnsi" w:hAnsiTheme="minorHAnsi" w:cstheme="minorHAnsi"/>
          <w:i/>
          <w:iCs/>
          <w:sz w:val="22"/>
          <w:szCs w:val="22"/>
          <w:lang w:val="en-US"/>
        </w:rPr>
        <w:t>Safequarding</w:t>
      </w:r>
      <w:proofErr w:type="spellEnd"/>
      <w:r w:rsidRPr="001C1A39">
        <w:rPr>
          <w:rFonts w:asciiTheme="minorHAnsi" w:hAnsiTheme="minorHAnsi" w:cstheme="minorHAnsi"/>
          <w:i/>
          <w:iCs/>
          <w:sz w:val="22"/>
          <w:szCs w:val="22"/>
          <w:lang w:val="en-US"/>
        </w:rPr>
        <w:t xml:space="preserve"> children and young people who may be affected by gang activity.</w:t>
      </w:r>
      <w:r w:rsidRPr="001C1A39">
        <w:rPr>
          <w:rFonts w:asciiTheme="minorHAnsi" w:hAnsiTheme="minorHAnsi" w:cstheme="minorHAnsi"/>
          <w:sz w:val="22"/>
          <w:szCs w:val="22"/>
          <w:lang w:val="en-US"/>
        </w:rPr>
        <w:t xml:space="preserve"> Annesley: Department For Children, Schools And Families. Available at: </w:t>
      </w:r>
      <w:hyperlink r:id="rId30" w:history="1">
        <w:r w:rsidRPr="001C1A39">
          <w:rPr>
            <w:rStyle w:val="Hyperlink"/>
            <w:rFonts w:asciiTheme="minorHAnsi" w:hAnsiTheme="minorHAnsi" w:cstheme="minorHAnsi"/>
            <w:sz w:val="22"/>
            <w:szCs w:val="22"/>
            <w:lang w:val="en-US"/>
          </w:rPr>
          <w:t>https://assets.publishing.service.gov.uk/government/uploads/system/uploads/attachment_data/file/189392/DCSF-00064-2010.pdf.pdf</w:t>
        </w:r>
      </w:hyperlink>
      <w:r w:rsidRPr="001C1A39">
        <w:rPr>
          <w:rFonts w:asciiTheme="minorHAnsi" w:hAnsiTheme="minorHAnsi" w:cstheme="minorHAnsi"/>
          <w:sz w:val="22"/>
          <w:szCs w:val="22"/>
          <w:lang w:val="en-US"/>
        </w:rPr>
        <w:t xml:space="preserve"> (Accessed: 17 January 2023).</w:t>
      </w:r>
    </w:p>
    <w:p w14:paraId="520AEA98"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Dror</w:t>
      </w:r>
      <w:proofErr w:type="spellEnd"/>
      <w:r w:rsidRPr="001C1A39">
        <w:rPr>
          <w:rFonts w:asciiTheme="minorHAnsi" w:hAnsiTheme="minorHAnsi" w:cstheme="minorHAnsi"/>
          <w:sz w:val="22"/>
          <w:szCs w:val="22"/>
          <w:lang w:val="en-US"/>
        </w:rPr>
        <w:t xml:space="preserve">, I., Melinek, J., Arden, J.L., </w:t>
      </w:r>
      <w:proofErr w:type="spellStart"/>
      <w:r w:rsidRPr="001C1A39">
        <w:rPr>
          <w:rFonts w:asciiTheme="minorHAnsi" w:hAnsiTheme="minorHAnsi" w:cstheme="minorHAnsi"/>
          <w:sz w:val="22"/>
          <w:szCs w:val="22"/>
          <w:lang w:val="en-US"/>
        </w:rPr>
        <w:t>Kukucka</w:t>
      </w:r>
      <w:proofErr w:type="spellEnd"/>
      <w:r w:rsidRPr="001C1A39">
        <w:rPr>
          <w:rFonts w:asciiTheme="minorHAnsi" w:hAnsiTheme="minorHAnsi" w:cstheme="minorHAnsi"/>
          <w:sz w:val="22"/>
          <w:szCs w:val="22"/>
          <w:lang w:val="en-US"/>
        </w:rPr>
        <w:t xml:space="preserve">, J., Hawkins, S., Carter, J. and Atherton, D.S. (2021) ‘Cognitive bias in forensic pathology decisions’. </w:t>
      </w:r>
      <w:r w:rsidRPr="001C1A39">
        <w:rPr>
          <w:rFonts w:asciiTheme="minorHAnsi" w:hAnsiTheme="minorHAnsi" w:cstheme="minorHAnsi"/>
          <w:i/>
          <w:iCs/>
          <w:sz w:val="22"/>
          <w:szCs w:val="22"/>
          <w:lang w:val="en-US"/>
        </w:rPr>
        <w:t>Journal of Forensic Sciences</w:t>
      </w:r>
      <w:r w:rsidRPr="001C1A39">
        <w:rPr>
          <w:rFonts w:asciiTheme="minorHAnsi" w:hAnsiTheme="minorHAnsi" w:cstheme="minorHAnsi"/>
          <w:sz w:val="22"/>
          <w:szCs w:val="22"/>
          <w:lang w:val="en-US"/>
        </w:rPr>
        <w:t xml:space="preserve"> 66(5). Available at: </w:t>
      </w:r>
      <w:hyperlink r:id="rId31" w:anchor="citeas" w:history="1">
        <w:r w:rsidRPr="001C1A39">
          <w:rPr>
            <w:rStyle w:val="Hyperlink"/>
            <w:rFonts w:asciiTheme="minorHAnsi" w:hAnsiTheme="minorHAnsi" w:cstheme="minorHAnsi"/>
            <w:sz w:val="22"/>
            <w:szCs w:val="22"/>
            <w:lang w:val="en-US"/>
          </w:rPr>
          <w:t>https://link.springer.com/article/10.1007/s11896-021-09494-3#citeas</w:t>
        </w:r>
      </w:hyperlink>
      <w:r w:rsidRPr="001C1A39">
        <w:rPr>
          <w:rFonts w:asciiTheme="minorHAnsi" w:hAnsiTheme="minorHAnsi" w:cstheme="minorHAnsi"/>
          <w:sz w:val="22"/>
          <w:szCs w:val="22"/>
          <w:lang w:val="en-US"/>
        </w:rPr>
        <w:t xml:space="preserve"> (Accessed: 26 January 2023).</w:t>
      </w:r>
    </w:p>
    <w:p w14:paraId="07D6A3E3"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Fisher, H., Montgomery, P. and Gardner, F. (2008) ‘Opportunities provision for preventing youth gang involvement for children and young people (7-16)’. Fisher, H. (ed.). </w:t>
      </w:r>
      <w:r w:rsidRPr="001C1A39">
        <w:rPr>
          <w:rFonts w:asciiTheme="minorHAnsi" w:hAnsiTheme="minorHAnsi" w:cstheme="minorHAnsi"/>
          <w:i/>
          <w:iCs/>
          <w:sz w:val="22"/>
          <w:szCs w:val="22"/>
          <w:lang w:val="en-US"/>
        </w:rPr>
        <w:t>Cochrane Database of Systematic Reviews</w:t>
      </w:r>
      <w:r w:rsidRPr="001C1A39">
        <w:rPr>
          <w:rFonts w:asciiTheme="minorHAnsi" w:hAnsiTheme="minorHAnsi" w:cstheme="minorHAnsi"/>
          <w:sz w:val="22"/>
          <w:szCs w:val="22"/>
          <w:lang w:val="en-US"/>
        </w:rPr>
        <w:t xml:space="preserve"> , pp. 7–16. Available at: </w:t>
      </w:r>
      <w:hyperlink r:id="rId32" w:history="1">
        <w:r w:rsidRPr="001C1A39">
          <w:rPr>
            <w:rStyle w:val="Hyperlink"/>
            <w:rFonts w:asciiTheme="minorHAnsi" w:hAnsiTheme="minorHAnsi" w:cstheme="minorHAnsi"/>
            <w:sz w:val="22"/>
            <w:szCs w:val="22"/>
            <w:lang w:val="en-US"/>
          </w:rPr>
          <w:t>https://www.cochranelibrary.com/cdsr/doi/10.1002/14651858.CD007002.pub2/full</w:t>
        </w:r>
      </w:hyperlink>
      <w:r w:rsidRPr="001C1A39">
        <w:rPr>
          <w:rFonts w:asciiTheme="minorHAnsi" w:hAnsiTheme="minorHAnsi" w:cstheme="minorHAnsi"/>
          <w:sz w:val="22"/>
          <w:szCs w:val="22"/>
          <w:lang w:val="en-US"/>
        </w:rPr>
        <w:t xml:space="preserve"> (Accessed: 17 January 2023).</w:t>
      </w:r>
    </w:p>
    <w:p w14:paraId="5059E6B3"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Gannoni</w:t>
      </w:r>
      <w:proofErr w:type="spellEnd"/>
      <w:r w:rsidRPr="001C1A39">
        <w:rPr>
          <w:rFonts w:asciiTheme="minorHAnsi" w:hAnsiTheme="minorHAnsi" w:cstheme="minorHAnsi"/>
          <w:sz w:val="22"/>
          <w:szCs w:val="22"/>
          <w:lang w:val="en-US"/>
        </w:rPr>
        <w:t xml:space="preserve">, A. and </w:t>
      </w:r>
      <w:proofErr w:type="spellStart"/>
      <w:r w:rsidRPr="001C1A39">
        <w:rPr>
          <w:rFonts w:asciiTheme="minorHAnsi" w:hAnsiTheme="minorHAnsi" w:cstheme="minorHAnsi"/>
          <w:sz w:val="22"/>
          <w:szCs w:val="22"/>
          <w:lang w:val="en-US"/>
        </w:rPr>
        <w:t>Goldsmid</w:t>
      </w:r>
      <w:proofErr w:type="spellEnd"/>
      <w:r w:rsidRPr="001C1A39">
        <w:rPr>
          <w:rFonts w:asciiTheme="minorHAnsi" w:hAnsiTheme="minorHAnsi" w:cstheme="minorHAnsi"/>
          <w:sz w:val="22"/>
          <w:szCs w:val="22"/>
          <w:lang w:val="en-US"/>
        </w:rPr>
        <w:t xml:space="preserve">, S. (2017) </w:t>
      </w:r>
      <w:r w:rsidRPr="001C1A39">
        <w:rPr>
          <w:rFonts w:asciiTheme="minorHAnsi" w:hAnsiTheme="minorHAnsi" w:cstheme="minorHAnsi"/>
          <w:i/>
          <w:iCs/>
          <w:sz w:val="22"/>
          <w:szCs w:val="22"/>
          <w:lang w:val="en-US"/>
        </w:rPr>
        <w:t>Trends &amp; issues in crime and criminal justice Readiness to change drug use and help-seeking intentions of police detainees: Findings from the DUMA program</w:t>
      </w:r>
      <w:r w:rsidRPr="001C1A39">
        <w:rPr>
          <w:rFonts w:asciiTheme="minorHAnsi" w:hAnsiTheme="minorHAnsi" w:cstheme="minorHAnsi"/>
          <w:sz w:val="22"/>
          <w:szCs w:val="22"/>
          <w:lang w:val="en-US"/>
        </w:rPr>
        <w:t xml:space="preserve">., pp. 1–17. Available at: </w:t>
      </w:r>
      <w:hyperlink r:id="rId33" w:history="1">
        <w:r w:rsidRPr="001C1A39">
          <w:rPr>
            <w:rStyle w:val="Hyperlink"/>
            <w:rFonts w:asciiTheme="minorHAnsi" w:hAnsiTheme="minorHAnsi" w:cstheme="minorHAnsi"/>
            <w:sz w:val="22"/>
            <w:szCs w:val="22"/>
            <w:lang w:val="en-US"/>
          </w:rPr>
          <w:t>https://www.proquest.com/docview/1869006234/abstract/87C4C12E32574110PQ/1?accountid=130472#</w:t>
        </w:r>
      </w:hyperlink>
      <w:r w:rsidRPr="001C1A39">
        <w:rPr>
          <w:rFonts w:asciiTheme="minorHAnsi" w:hAnsiTheme="minorHAnsi" w:cstheme="minorHAnsi"/>
          <w:sz w:val="22"/>
          <w:szCs w:val="22"/>
          <w:lang w:val="en-US"/>
        </w:rPr>
        <w:t xml:space="preserve"> (Accessed: 16 January 2023).</w:t>
      </w:r>
    </w:p>
    <w:p w14:paraId="23F43373"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Gill, C., Weisburd, D., </w:t>
      </w:r>
      <w:proofErr w:type="spellStart"/>
      <w:r w:rsidRPr="001C1A39">
        <w:rPr>
          <w:rFonts w:asciiTheme="minorHAnsi" w:hAnsiTheme="minorHAnsi" w:cstheme="minorHAnsi"/>
          <w:sz w:val="22"/>
          <w:szCs w:val="22"/>
          <w:lang w:val="en-US"/>
        </w:rPr>
        <w:t>Telep</w:t>
      </w:r>
      <w:proofErr w:type="spellEnd"/>
      <w:r w:rsidRPr="001C1A39">
        <w:rPr>
          <w:rFonts w:asciiTheme="minorHAnsi" w:hAnsiTheme="minorHAnsi" w:cstheme="minorHAnsi"/>
          <w:sz w:val="22"/>
          <w:szCs w:val="22"/>
          <w:lang w:val="en-US"/>
        </w:rPr>
        <w:t xml:space="preserve">, C.W., Vitter, Z. and Bennett, T. (2014) ‘Community-oriented policing to reduce crime, disorder and fear and increase satisfaction and legitimacy among citizens: a systematic review’. </w:t>
      </w:r>
      <w:r w:rsidRPr="001C1A39">
        <w:rPr>
          <w:rFonts w:asciiTheme="minorHAnsi" w:hAnsiTheme="minorHAnsi" w:cstheme="minorHAnsi"/>
          <w:i/>
          <w:iCs/>
          <w:sz w:val="22"/>
          <w:szCs w:val="22"/>
          <w:lang w:val="en-US"/>
        </w:rPr>
        <w:t>Journal of Experimental Criminology</w:t>
      </w:r>
      <w:r w:rsidRPr="001C1A39">
        <w:rPr>
          <w:rFonts w:asciiTheme="minorHAnsi" w:hAnsiTheme="minorHAnsi" w:cstheme="minorHAnsi"/>
          <w:sz w:val="22"/>
          <w:szCs w:val="22"/>
          <w:lang w:val="en-US"/>
        </w:rPr>
        <w:t xml:space="preserve"> 10(4), pp. 399–428. Available at: </w:t>
      </w:r>
      <w:hyperlink r:id="rId34" w:history="1">
        <w:r w:rsidRPr="001C1A39">
          <w:rPr>
            <w:rStyle w:val="Hyperlink"/>
            <w:rFonts w:asciiTheme="minorHAnsi" w:hAnsiTheme="minorHAnsi" w:cstheme="minorHAnsi"/>
            <w:sz w:val="22"/>
            <w:szCs w:val="22"/>
            <w:lang w:val="en-US"/>
          </w:rPr>
          <w:t>https://link.springer.com/article/10.1007/s11292-014-9210-y</w:t>
        </w:r>
      </w:hyperlink>
      <w:r w:rsidRPr="001C1A39">
        <w:rPr>
          <w:rFonts w:asciiTheme="minorHAnsi" w:hAnsiTheme="minorHAnsi" w:cstheme="minorHAnsi"/>
          <w:sz w:val="22"/>
          <w:szCs w:val="22"/>
          <w:lang w:val="en-US"/>
        </w:rPr>
        <w:t xml:space="preserve"> (Accessed: 16 January 2023).</w:t>
      </w:r>
    </w:p>
    <w:p w14:paraId="6A66951F"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Hadlington</w:t>
      </w:r>
      <w:proofErr w:type="spellEnd"/>
      <w:r w:rsidRPr="001C1A39">
        <w:rPr>
          <w:rFonts w:asciiTheme="minorHAnsi" w:hAnsiTheme="minorHAnsi" w:cstheme="minorHAnsi"/>
          <w:sz w:val="22"/>
          <w:szCs w:val="22"/>
          <w:lang w:val="en-US"/>
        </w:rPr>
        <w:t xml:space="preserve">, L., Lumsden, K., Black, A. and </w:t>
      </w:r>
      <w:proofErr w:type="spellStart"/>
      <w:r w:rsidRPr="001C1A39">
        <w:rPr>
          <w:rFonts w:asciiTheme="minorHAnsi" w:hAnsiTheme="minorHAnsi" w:cstheme="minorHAnsi"/>
          <w:sz w:val="22"/>
          <w:szCs w:val="22"/>
          <w:lang w:val="en-US"/>
        </w:rPr>
        <w:t>Ferra</w:t>
      </w:r>
      <w:proofErr w:type="spellEnd"/>
      <w:r w:rsidRPr="001C1A39">
        <w:rPr>
          <w:rFonts w:asciiTheme="minorHAnsi" w:hAnsiTheme="minorHAnsi" w:cstheme="minorHAnsi"/>
          <w:sz w:val="22"/>
          <w:szCs w:val="22"/>
          <w:lang w:val="en-US"/>
        </w:rPr>
        <w:t xml:space="preserve">, F. (2018) ‘A Qualitative Exploration of Police Officers’ Experiences, Challenges, and Perceptions of Cybercrime’. </w:t>
      </w:r>
      <w:r w:rsidRPr="001C1A39">
        <w:rPr>
          <w:rFonts w:asciiTheme="minorHAnsi" w:hAnsiTheme="minorHAnsi" w:cstheme="minorHAnsi"/>
          <w:i/>
          <w:iCs/>
          <w:sz w:val="22"/>
          <w:szCs w:val="22"/>
          <w:lang w:val="en-US"/>
        </w:rPr>
        <w:t>Policing: a Journal of Policy and Practice</w:t>
      </w:r>
      <w:r w:rsidRPr="001C1A39">
        <w:rPr>
          <w:rFonts w:asciiTheme="minorHAnsi" w:hAnsiTheme="minorHAnsi" w:cstheme="minorHAnsi"/>
          <w:sz w:val="22"/>
          <w:szCs w:val="22"/>
          <w:lang w:val="en-US"/>
        </w:rPr>
        <w:t xml:space="preserve"> 15(1). Available at: </w:t>
      </w:r>
      <w:hyperlink r:id="rId35" w:history="1">
        <w:r w:rsidRPr="001C1A39">
          <w:rPr>
            <w:rStyle w:val="Hyperlink"/>
            <w:rFonts w:asciiTheme="minorHAnsi" w:hAnsiTheme="minorHAnsi" w:cstheme="minorHAnsi"/>
            <w:sz w:val="22"/>
            <w:szCs w:val="22"/>
            <w:lang w:val="en-US"/>
          </w:rPr>
          <w:t>https://academic.oup.com/policing/article/15/1/34/5233865?login=true</w:t>
        </w:r>
      </w:hyperlink>
      <w:r w:rsidRPr="001C1A39">
        <w:rPr>
          <w:rFonts w:asciiTheme="minorHAnsi" w:hAnsiTheme="minorHAnsi" w:cstheme="minorHAnsi"/>
          <w:sz w:val="22"/>
          <w:szCs w:val="22"/>
          <w:lang w:val="en-US"/>
        </w:rPr>
        <w:t xml:space="preserve"> (Accessed: 21 February 2023).</w:t>
      </w:r>
    </w:p>
    <w:p w14:paraId="7C73B800"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lastRenderedPageBreak/>
        <w:t xml:space="preserve">Harkin, D., Whelan, C. and Chang, L. (2018) ‘The Challenges Facing Specialist Police cyber-crime units: an Empirical Analysis’. </w:t>
      </w:r>
      <w:r w:rsidRPr="001C1A39">
        <w:rPr>
          <w:rFonts w:asciiTheme="minorHAnsi" w:hAnsiTheme="minorHAnsi" w:cstheme="minorHAnsi"/>
          <w:i/>
          <w:iCs/>
          <w:sz w:val="22"/>
          <w:szCs w:val="22"/>
          <w:lang w:val="en-US"/>
        </w:rPr>
        <w:t>Police Practice and Research</w:t>
      </w:r>
      <w:r w:rsidRPr="001C1A39">
        <w:rPr>
          <w:rFonts w:asciiTheme="minorHAnsi" w:hAnsiTheme="minorHAnsi" w:cstheme="minorHAnsi"/>
          <w:sz w:val="22"/>
          <w:szCs w:val="22"/>
          <w:lang w:val="en-US"/>
        </w:rPr>
        <w:t xml:space="preserve"> 19(6), pp. 519–536. Available at: </w:t>
      </w:r>
      <w:hyperlink r:id="rId36" w:history="1">
        <w:r w:rsidRPr="001C1A39">
          <w:rPr>
            <w:rStyle w:val="Hyperlink"/>
            <w:rFonts w:asciiTheme="minorHAnsi" w:hAnsiTheme="minorHAnsi" w:cstheme="minorHAnsi"/>
            <w:sz w:val="22"/>
            <w:szCs w:val="22"/>
            <w:lang w:val="en-US"/>
          </w:rPr>
          <w:t>https://www-tandfonline-com.ezproxy.uwtsd.ac.uk/doi/pdf/10.1080/15614263.2018.1507889?needAccess=true</w:t>
        </w:r>
      </w:hyperlink>
      <w:r w:rsidRPr="001C1A39">
        <w:rPr>
          <w:rFonts w:asciiTheme="minorHAnsi" w:hAnsiTheme="minorHAnsi" w:cstheme="minorHAnsi"/>
          <w:sz w:val="22"/>
          <w:szCs w:val="22"/>
          <w:lang w:val="en-US"/>
        </w:rPr>
        <w:t xml:space="preserve"> (Accessed: 21 February 2023).</w:t>
      </w:r>
    </w:p>
    <w:p w14:paraId="7E66CDDC"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Home Office (2021) </w:t>
      </w:r>
      <w:r w:rsidRPr="001C1A39">
        <w:rPr>
          <w:rFonts w:asciiTheme="minorHAnsi" w:hAnsiTheme="minorHAnsi" w:cstheme="minorHAnsi"/>
          <w:i/>
          <w:iCs/>
          <w:sz w:val="22"/>
          <w:szCs w:val="22"/>
          <w:lang w:val="en-US"/>
        </w:rPr>
        <w:t>From Harm to hope: a 10-year Drugs Plan to Cut Crime and save Lives</w:t>
      </w:r>
      <w:r w:rsidRPr="001C1A39">
        <w:rPr>
          <w:rFonts w:asciiTheme="minorHAnsi" w:hAnsiTheme="minorHAnsi" w:cstheme="minorHAnsi"/>
          <w:sz w:val="22"/>
          <w:szCs w:val="22"/>
          <w:lang w:val="en-US"/>
        </w:rPr>
        <w:t xml:space="preserve">. Available at: </w:t>
      </w:r>
      <w:hyperlink r:id="rId37" w:history="1">
        <w:r w:rsidRPr="001C1A39">
          <w:rPr>
            <w:rStyle w:val="Hyperlink"/>
            <w:rFonts w:asciiTheme="minorHAnsi" w:hAnsiTheme="minorHAnsi" w:cstheme="minorHAnsi"/>
            <w:sz w:val="22"/>
            <w:szCs w:val="22"/>
            <w:lang w:val="en-US"/>
          </w:rPr>
          <w:t>https://www.gov.uk/government/publications/from-harm-to-hope-a-10-year-drugs-plan-to-cut-crime-and-save-lives/from-harm-to-hope-a-10-year-drugs-plan-to-cut-crime-and-save-lives</w:t>
        </w:r>
      </w:hyperlink>
      <w:r w:rsidRPr="001C1A39">
        <w:rPr>
          <w:rFonts w:asciiTheme="minorHAnsi" w:hAnsiTheme="minorHAnsi" w:cstheme="minorHAnsi"/>
          <w:sz w:val="22"/>
          <w:szCs w:val="22"/>
          <w:lang w:val="en-US"/>
        </w:rPr>
        <w:t xml:space="preserve"> (Accessed: 14 January 2023).</w:t>
      </w:r>
    </w:p>
    <w:p w14:paraId="48F4667C"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Hunsinger</w:t>
      </w:r>
      <w:proofErr w:type="spellEnd"/>
      <w:r w:rsidRPr="001C1A39">
        <w:rPr>
          <w:rFonts w:asciiTheme="minorHAnsi" w:hAnsiTheme="minorHAnsi" w:cstheme="minorHAnsi"/>
          <w:sz w:val="22"/>
          <w:szCs w:val="22"/>
          <w:lang w:val="en-US"/>
        </w:rPr>
        <w:t xml:space="preserve">, M., Christopher, M. and Schmidt, A.M. (2019) ‘Mindfulness Training, Implicit Bias, and Force Response Decision-Making’. </w:t>
      </w:r>
      <w:r w:rsidRPr="001C1A39">
        <w:rPr>
          <w:rFonts w:asciiTheme="minorHAnsi" w:hAnsiTheme="minorHAnsi" w:cstheme="minorHAnsi"/>
          <w:i/>
          <w:iCs/>
          <w:sz w:val="22"/>
          <w:szCs w:val="22"/>
          <w:lang w:val="en-US"/>
        </w:rPr>
        <w:t>Mindfulness</w:t>
      </w:r>
      <w:r w:rsidRPr="001C1A39">
        <w:rPr>
          <w:rFonts w:asciiTheme="minorHAnsi" w:hAnsiTheme="minorHAnsi" w:cstheme="minorHAnsi"/>
          <w:sz w:val="22"/>
          <w:szCs w:val="22"/>
          <w:lang w:val="en-US"/>
        </w:rPr>
        <w:t xml:space="preserve"> 10(12), pp. 2555–2566. Available at: </w:t>
      </w:r>
      <w:hyperlink r:id="rId38" w:history="1">
        <w:r w:rsidRPr="001C1A39">
          <w:rPr>
            <w:rStyle w:val="Hyperlink"/>
            <w:rFonts w:asciiTheme="minorHAnsi" w:hAnsiTheme="minorHAnsi" w:cstheme="minorHAnsi"/>
            <w:sz w:val="22"/>
            <w:szCs w:val="22"/>
            <w:lang w:val="en-US"/>
          </w:rPr>
          <w:t>https://link-springer-com.ezproxy.uwtsd.ac.uk/content/pdf/10.1007/s12671-019-01213-8</w:t>
        </w:r>
      </w:hyperlink>
      <w:r w:rsidRPr="001C1A39">
        <w:rPr>
          <w:rFonts w:asciiTheme="minorHAnsi" w:hAnsiTheme="minorHAnsi" w:cstheme="minorHAnsi"/>
          <w:sz w:val="22"/>
          <w:szCs w:val="22"/>
          <w:lang w:val="en-US"/>
        </w:rPr>
        <w:t xml:space="preserve"> (Accessed: 1 December 2019).</w:t>
      </w:r>
    </w:p>
    <w:p w14:paraId="630C7CBC"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Hyde, R., Corfe, S. and Anderson-Samways, B. (2022) </w:t>
      </w:r>
      <w:r w:rsidRPr="001C1A39">
        <w:rPr>
          <w:rFonts w:asciiTheme="minorHAnsi" w:hAnsiTheme="minorHAnsi" w:cstheme="minorHAnsi"/>
          <w:i/>
          <w:iCs/>
          <w:sz w:val="22"/>
          <w:szCs w:val="22"/>
          <w:lang w:val="en-US"/>
        </w:rPr>
        <w:t>Fraud is now Britain’s dominant crime, but policing has failed to keep up</w:t>
      </w:r>
      <w:r w:rsidRPr="001C1A39">
        <w:rPr>
          <w:rFonts w:asciiTheme="minorHAnsi" w:hAnsiTheme="minorHAnsi" w:cstheme="minorHAnsi"/>
          <w:sz w:val="22"/>
          <w:szCs w:val="22"/>
          <w:lang w:val="en-US"/>
        </w:rPr>
        <w:t xml:space="preserve">. Available at: </w:t>
      </w:r>
      <w:hyperlink r:id="rId39" w:history="1">
        <w:r w:rsidRPr="001C1A39">
          <w:rPr>
            <w:rStyle w:val="Hyperlink"/>
            <w:rFonts w:asciiTheme="minorHAnsi" w:hAnsiTheme="minorHAnsi" w:cstheme="minorHAnsi"/>
            <w:sz w:val="22"/>
            <w:szCs w:val="22"/>
            <w:lang w:val="en-US"/>
          </w:rPr>
          <w:t>https://www.smf.co.uk/commentary_podcasts/fraud-is-britains-dominant-crime/</w:t>
        </w:r>
      </w:hyperlink>
      <w:r w:rsidRPr="001C1A39">
        <w:rPr>
          <w:rFonts w:asciiTheme="minorHAnsi" w:hAnsiTheme="minorHAnsi" w:cstheme="minorHAnsi"/>
          <w:sz w:val="22"/>
          <w:szCs w:val="22"/>
          <w:lang w:val="en-US"/>
        </w:rPr>
        <w:t xml:space="preserve"> (Accessed: 23 February 2023).</w:t>
      </w:r>
    </w:p>
    <w:p w14:paraId="711A2265"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Johannes Knutsson (2010) </w:t>
      </w:r>
      <w:r w:rsidRPr="001C1A39">
        <w:rPr>
          <w:rFonts w:asciiTheme="minorHAnsi" w:hAnsiTheme="minorHAnsi" w:cstheme="minorHAnsi"/>
          <w:i/>
          <w:iCs/>
          <w:sz w:val="22"/>
          <w:szCs w:val="22"/>
          <w:lang w:val="en-US"/>
        </w:rPr>
        <w:t>Problem-oriented policing : from innovation to mainstream</w:t>
      </w:r>
      <w:r w:rsidRPr="001C1A39">
        <w:rPr>
          <w:rFonts w:asciiTheme="minorHAnsi" w:hAnsiTheme="minorHAnsi" w:cstheme="minorHAnsi"/>
          <w:sz w:val="22"/>
          <w:szCs w:val="22"/>
          <w:lang w:val="en-US"/>
        </w:rPr>
        <w:t xml:space="preserve">. Boulder, Colo.: Lynne </w:t>
      </w:r>
      <w:proofErr w:type="spellStart"/>
      <w:r w:rsidRPr="001C1A39">
        <w:rPr>
          <w:rFonts w:asciiTheme="minorHAnsi" w:hAnsiTheme="minorHAnsi" w:cstheme="minorHAnsi"/>
          <w:sz w:val="22"/>
          <w:szCs w:val="22"/>
          <w:lang w:val="en-US"/>
        </w:rPr>
        <w:t>Rienner</w:t>
      </w:r>
      <w:proofErr w:type="spellEnd"/>
      <w:r w:rsidRPr="001C1A39">
        <w:rPr>
          <w:rFonts w:asciiTheme="minorHAnsi" w:hAnsiTheme="minorHAnsi" w:cstheme="minorHAnsi"/>
          <w:sz w:val="22"/>
          <w:szCs w:val="22"/>
          <w:lang w:val="en-US"/>
        </w:rPr>
        <w:t xml:space="preserve"> Pub., pp. 239–256.</w:t>
      </w:r>
    </w:p>
    <w:p w14:paraId="12A65E53"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Jones, B.R. (2007) ‘Comment: Virtual Neighborhood Watch: Open Source Software and Community Policing against Cybercrime.’ </w:t>
      </w:r>
      <w:r w:rsidRPr="001C1A39">
        <w:rPr>
          <w:rFonts w:asciiTheme="minorHAnsi" w:hAnsiTheme="minorHAnsi" w:cstheme="minorHAnsi"/>
          <w:i/>
          <w:iCs/>
          <w:sz w:val="22"/>
          <w:szCs w:val="22"/>
          <w:lang w:val="en-US"/>
        </w:rPr>
        <w:t>The Journal of Criminal Law &amp; Criminology</w:t>
      </w:r>
      <w:r w:rsidRPr="001C1A39">
        <w:rPr>
          <w:rFonts w:asciiTheme="minorHAnsi" w:hAnsiTheme="minorHAnsi" w:cstheme="minorHAnsi"/>
          <w:sz w:val="22"/>
          <w:szCs w:val="22"/>
          <w:lang w:val="en-US"/>
        </w:rPr>
        <w:t xml:space="preserve"> 97(2), pp. 601–629. Available at: </w:t>
      </w:r>
      <w:hyperlink r:id="rId40" w:history="1">
        <w:r w:rsidRPr="001C1A39">
          <w:rPr>
            <w:rStyle w:val="Hyperlink"/>
            <w:rFonts w:asciiTheme="minorHAnsi" w:hAnsiTheme="minorHAnsi" w:cstheme="minorHAnsi"/>
            <w:sz w:val="22"/>
            <w:szCs w:val="22"/>
            <w:lang w:val="en-US"/>
          </w:rPr>
          <w:t>https://www-jstor-org.ezproxy.uwtsd.ac.uk/stable/pdf/40042835</w:t>
        </w:r>
      </w:hyperlink>
      <w:r w:rsidRPr="001C1A39">
        <w:rPr>
          <w:rFonts w:asciiTheme="minorHAnsi" w:hAnsiTheme="minorHAnsi" w:cstheme="minorHAnsi"/>
          <w:sz w:val="22"/>
          <w:szCs w:val="22"/>
          <w:lang w:val="en-US"/>
        </w:rPr>
        <w:t xml:space="preserve"> (Accessed: 21 February 2023).</w:t>
      </w:r>
    </w:p>
    <w:p w14:paraId="137D63B5"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Kleiman, M. (2009) </w:t>
      </w:r>
      <w:r w:rsidRPr="001C1A39">
        <w:rPr>
          <w:rFonts w:asciiTheme="minorHAnsi" w:hAnsiTheme="minorHAnsi" w:cstheme="minorHAnsi"/>
          <w:i/>
          <w:iCs/>
          <w:sz w:val="22"/>
          <w:szCs w:val="22"/>
          <w:lang w:val="en-US"/>
        </w:rPr>
        <w:t>When brute force fails : how to have less crime and less punishment</w:t>
      </w:r>
      <w:r w:rsidRPr="001C1A39">
        <w:rPr>
          <w:rFonts w:asciiTheme="minorHAnsi" w:hAnsiTheme="minorHAnsi" w:cstheme="minorHAnsi"/>
          <w:sz w:val="22"/>
          <w:szCs w:val="22"/>
          <w:lang w:val="en-US"/>
        </w:rPr>
        <w:t>. Princeton ; Oxford: Princeton University Press.</w:t>
      </w:r>
    </w:p>
    <w:p w14:paraId="4C66CA27"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Leukfeldt</w:t>
      </w:r>
      <w:proofErr w:type="spellEnd"/>
      <w:r w:rsidRPr="001C1A39">
        <w:rPr>
          <w:rFonts w:asciiTheme="minorHAnsi" w:hAnsiTheme="minorHAnsi" w:cstheme="minorHAnsi"/>
          <w:sz w:val="22"/>
          <w:szCs w:val="22"/>
          <w:lang w:val="en-US"/>
        </w:rPr>
        <w:t xml:space="preserve">, E.R. and Holt, T.J. (2020) </w:t>
      </w:r>
      <w:r w:rsidRPr="001C1A39">
        <w:rPr>
          <w:rFonts w:asciiTheme="minorHAnsi" w:hAnsiTheme="minorHAnsi" w:cstheme="minorHAnsi"/>
          <w:i/>
          <w:iCs/>
          <w:sz w:val="22"/>
          <w:szCs w:val="22"/>
          <w:lang w:val="en-US"/>
        </w:rPr>
        <w:t>The human factor of cybercrime</w:t>
      </w:r>
      <w:r w:rsidRPr="001C1A39">
        <w:rPr>
          <w:rFonts w:asciiTheme="minorHAnsi" w:hAnsiTheme="minorHAnsi" w:cstheme="minorHAnsi"/>
          <w:sz w:val="22"/>
          <w:szCs w:val="22"/>
          <w:lang w:val="en-US"/>
        </w:rPr>
        <w:t>. Abingdon, Oxon ; New York, Ny: Routledge., pp. 339–355.</w:t>
      </w:r>
    </w:p>
    <w:p w14:paraId="1E662B3D"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Levi, M., Doig, A., </w:t>
      </w:r>
      <w:proofErr w:type="spellStart"/>
      <w:r w:rsidRPr="001C1A39">
        <w:rPr>
          <w:rFonts w:asciiTheme="minorHAnsi" w:hAnsiTheme="minorHAnsi" w:cstheme="minorHAnsi"/>
          <w:sz w:val="22"/>
          <w:szCs w:val="22"/>
          <w:lang w:val="en-US"/>
        </w:rPr>
        <w:t>Gundur</w:t>
      </w:r>
      <w:proofErr w:type="spellEnd"/>
      <w:r w:rsidRPr="001C1A39">
        <w:rPr>
          <w:rFonts w:asciiTheme="minorHAnsi" w:hAnsiTheme="minorHAnsi" w:cstheme="minorHAnsi"/>
          <w:sz w:val="22"/>
          <w:szCs w:val="22"/>
          <w:lang w:val="en-US"/>
        </w:rPr>
        <w:t>, R., Wall, D. and Williams, M. (2016) ‘</w:t>
      </w:r>
      <w:proofErr w:type="spellStart"/>
      <w:r w:rsidRPr="001C1A39">
        <w:rPr>
          <w:rFonts w:asciiTheme="minorHAnsi" w:hAnsiTheme="minorHAnsi" w:cstheme="minorHAnsi"/>
          <w:sz w:val="22"/>
          <w:szCs w:val="22"/>
          <w:lang w:val="en-US"/>
        </w:rPr>
        <w:t>Cyberfraud</w:t>
      </w:r>
      <w:proofErr w:type="spellEnd"/>
      <w:r w:rsidRPr="001C1A39">
        <w:rPr>
          <w:rFonts w:asciiTheme="minorHAnsi" w:hAnsiTheme="minorHAnsi" w:cstheme="minorHAnsi"/>
          <w:sz w:val="22"/>
          <w:szCs w:val="22"/>
          <w:lang w:val="en-US"/>
        </w:rPr>
        <w:t xml:space="preserve"> and the Implications for Effective risk-based responses: Themes from UK Research’. </w:t>
      </w:r>
      <w:r w:rsidRPr="001C1A39">
        <w:rPr>
          <w:rFonts w:asciiTheme="minorHAnsi" w:hAnsiTheme="minorHAnsi" w:cstheme="minorHAnsi"/>
          <w:i/>
          <w:iCs/>
          <w:sz w:val="22"/>
          <w:szCs w:val="22"/>
          <w:lang w:val="en-US"/>
        </w:rPr>
        <w:t>Crime, Law and Social Change</w:t>
      </w:r>
      <w:r w:rsidRPr="001C1A39">
        <w:rPr>
          <w:rFonts w:asciiTheme="minorHAnsi" w:hAnsiTheme="minorHAnsi" w:cstheme="minorHAnsi"/>
          <w:sz w:val="22"/>
          <w:szCs w:val="22"/>
          <w:lang w:val="en-US"/>
        </w:rPr>
        <w:t xml:space="preserve"> 67(1), pp. 77–96. Available at: </w:t>
      </w:r>
      <w:hyperlink r:id="rId41" w:anchor="citeas" w:history="1">
        <w:r w:rsidRPr="001C1A39">
          <w:rPr>
            <w:rStyle w:val="Hyperlink"/>
            <w:rFonts w:asciiTheme="minorHAnsi" w:hAnsiTheme="minorHAnsi" w:cstheme="minorHAnsi"/>
            <w:sz w:val="22"/>
            <w:szCs w:val="22"/>
            <w:lang w:val="en-US"/>
          </w:rPr>
          <w:t>https://link.springer.com/article/10.1007/s10611-016-9648-0#citeas</w:t>
        </w:r>
      </w:hyperlink>
      <w:r w:rsidRPr="001C1A39">
        <w:rPr>
          <w:rFonts w:asciiTheme="minorHAnsi" w:hAnsiTheme="minorHAnsi" w:cstheme="minorHAnsi"/>
          <w:sz w:val="22"/>
          <w:szCs w:val="22"/>
          <w:lang w:val="en-US"/>
        </w:rPr>
        <w:t xml:space="preserve"> (Accessed: 23 February 2023).</w:t>
      </w:r>
    </w:p>
    <w:p w14:paraId="50957A4F"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lastRenderedPageBreak/>
        <w:t xml:space="preserve">Loveday, B. (2017) ‘Still Plodding along? the Police Response to the Changing Profile of Crime in England and Wales’. </w:t>
      </w:r>
      <w:r w:rsidRPr="001C1A39">
        <w:rPr>
          <w:rFonts w:asciiTheme="minorHAnsi" w:hAnsiTheme="minorHAnsi" w:cstheme="minorHAnsi"/>
          <w:i/>
          <w:iCs/>
          <w:sz w:val="22"/>
          <w:szCs w:val="22"/>
          <w:lang w:val="en-US"/>
        </w:rPr>
        <w:t>International Journal of Police Science &amp; Management</w:t>
      </w:r>
      <w:r w:rsidRPr="001C1A39">
        <w:rPr>
          <w:rFonts w:asciiTheme="minorHAnsi" w:hAnsiTheme="minorHAnsi" w:cstheme="minorHAnsi"/>
          <w:sz w:val="22"/>
          <w:szCs w:val="22"/>
          <w:lang w:val="en-US"/>
        </w:rPr>
        <w:t xml:space="preserve"> 19(2), pp. 101–109. Available at: </w:t>
      </w:r>
      <w:hyperlink r:id="rId42" w:history="1">
        <w:r w:rsidRPr="001C1A39">
          <w:rPr>
            <w:rStyle w:val="Hyperlink"/>
            <w:rFonts w:asciiTheme="minorHAnsi" w:hAnsiTheme="minorHAnsi" w:cstheme="minorHAnsi"/>
            <w:sz w:val="22"/>
            <w:szCs w:val="22"/>
            <w:lang w:val="en-US"/>
          </w:rPr>
          <w:t>https://journals-sagepub-com.ezproxy.uwtsd.ac.uk/doi/epub/10.1177/1461355717699634</w:t>
        </w:r>
      </w:hyperlink>
      <w:r w:rsidRPr="001C1A39">
        <w:rPr>
          <w:rFonts w:asciiTheme="minorHAnsi" w:hAnsiTheme="minorHAnsi" w:cstheme="minorHAnsi"/>
          <w:sz w:val="22"/>
          <w:szCs w:val="22"/>
          <w:lang w:val="en-US"/>
        </w:rPr>
        <w:t xml:space="preserve"> (Accessed: 21 February 2023).</w:t>
      </w:r>
    </w:p>
    <w:p w14:paraId="1181F68E"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Lusthaus</w:t>
      </w:r>
      <w:proofErr w:type="spellEnd"/>
      <w:r w:rsidRPr="001C1A39">
        <w:rPr>
          <w:rFonts w:asciiTheme="minorHAnsi" w:hAnsiTheme="minorHAnsi" w:cstheme="minorHAnsi"/>
          <w:sz w:val="22"/>
          <w:szCs w:val="22"/>
          <w:lang w:val="en-US"/>
        </w:rPr>
        <w:t xml:space="preserve">, J. and Varese, F. (2017) ‘Offline and Local: the Hidden Face of Cybercrime’. </w:t>
      </w:r>
      <w:r w:rsidRPr="001C1A39">
        <w:rPr>
          <w:rFonts w:asciiTheme="minorHAnsi" w:hAnsiTheme="minorHAnsi" w:cstheme="minorHAnsi"/>
          <w:i/>
          <w:iCs/>
          <w:sz w:val="22"/>
          <w:szCs w:val="22"/>
          <w:lang w:val="en-US"/>
        </w:rPr>
        <w:t>Policing: a Journal of Policy and Practice</w:t>
      </w:r>
      <w:r w:rsidRPr="001C1A39">
        <w:rPr>
          <w:rFonts w:asciiTheme="minorHAnsi" w:hAnsiTheme="minorHAnsi" w:cstheme="minorHAnsi"/>
          <w:sz w:val="22"/>
          <w:szCs w:val="22"/>
          <w:lang w:val="en-US"/>
        </w:rPr>
        <w:t xml:space="preserve"> 15(1). Available at: </w:t>
      </w:r>
      <w:hyperlink r:id="rId43" w:history="1">
        <w:r w:rsidRPr="001C1A39">
          <w:rPr>
            <w:rStyle w:val="Hyperlink"/>
            <w:rFonts w:asciiTheme="minorHAnsi" w:hAnsiTheme="minorHAnsi" w:cstheme="minorHAnsi"/>
            <w:sz w:val="22"/>
            <w:szCs w:val="22"/>
            <w:lang w:val="en-US"/>
          </w:rPr>
          <w:t>https://academic.oup.com/policing/article/15/1/4/4055914?login=true</w:t>
        </w:r>
      </w:hyperlink>
      <w:r w:rsidRPr="001C1A39">
        <w:rPr>
          <w:rFonts w:asciiTheme="minorHAnsi" w:hAnsiTheme="minorHAnsi" w:cstheme="minorHAnsi"/>
          <w:sz w:val="22"/>
          <w:szCs w:val="22"/>
          <w:lang w:val="en-US"/>
        </w:rPr>
        <w:t xml:space="preserve"> (Accessed: 21 February 2023).</w:t>
      </w:r>
    </w:p>
    <w:p w14:paraId="41DC4E7F"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Macdonald, S.J., Donovan, C., Clayton, J. and Husband, M. (2022) ‘Becoming cuckooed: </w:t>
      </w:r>
      <w:proofErr w:type="spellStart"/>
      <w:r w:rsidRPr="001C1A39">
        <w:rPr>
          <w:rFonts w:asciiTheme="minorHAnsi" w:hAnsiTheme="minorHAnsi" w:cstheme="minorHAnsi"/>
          <w:sz w:val="22"/>
          <w:szCs w:val="22"/>
          <w:lang w:val="en-US"/>
        </w:rPr>
        <w:t>conceptualising</w:t>
      </w:r>
      <w:proofErr w:type="spellEnd"/>
      <w:r w:rsidRPr="001C1A39">
        <w:rPr>
          <w:rFonts w:asciiTheme="minorHAnsi" w:hAnsiTheme="minorHAnsi" w:cstheme="minorHAnsi"/>
          <w:sz w:val="22"/>
          <w:szCs w:val="22"/>
          <w:lang w:val="en-US"/>
        </w:rPr>
        <w:t xml:space="preserve"> the relationship between disability, home takeovers and criminal exploitation’. </w:t>
      </w:r>
      <w:r w:rsidRPr="001C1A39">
        <w:rPr>
          <w:rFonts w:asciiTheme="minorHAnsi" w:hAnsiTheme="minorHAnsi" w:cstheme="minorHAnsi"/>
          <w:i/>
          <w:iCs/>
          <w:sz w:val="22"/>
          <w:szCs w:val="22"/>
          <w:lang w:val="en-US"/>
        </w:rPr>
        <w:t>Disability &amp; Society</w:t>
      </w:r>
      <w:r w:rsidRPr="001C1A39">
        <w:rPr>
          <w:rFonts w:asciiTheme="minorHAnsi" w:hAnsiTheme="minorHAnsi" w:cstheme="minorHAnsi"/>
          <w:sz w:val="22"/>
          <w:szCs w:val="22"/>
          <w:lang w:val="en-US"/>
        </w:rPr>
        <w:t xml:space="preserve"> , pp. 1–21. Available at: </w:t>
      </w:r>
      <w:hyperlink r:id="rId44" w:history="1">
        <w:r w:rsidRPr="001C1A39">
          <w:rPr>
            <w:rStyle w:val="Hyperlink"/>
            <w:rFonts w:asciiTheme="minorHAnsi" w:hAnsiTheme="minorHAnsi" w:cstheme="minorHAnsi"/>
            <w:sz w:val="22"/>
            <w:szCs w:val="22"/>
            <w:lang w:val="en-US"/>
          </w:rPr>
          <w:t>https://www-tandfonline-com.ezproxy.uwtsd.ac.uk/doi/full/10.1080/09687599.2022.2071680</w:t>
        </w:r>
      </w:hyperlink>
      <w:r w:rsidRPr="001C1A39">
        <w:rPr>
          <w:rFonts w:asciiTheme="minorHAnsi" w:hAnsiTheme="minorHAnsi" w:cstheme="minorHAnsi"/>
          <w:sz w:val="22"/>
          <w:szCs w:val="22"/>
          <w:lang w:val="en-US"/>
        </w:rPr>
        <w:t xml:space="preserve"> (Accessed: 17 January 2023).</w:t>
      </w:r>
    </w:p>
    <w:p w14:paraId="3BBC3EB8"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Mazerolle, L., </w:t>
      </w:r>
      <w:proofErr w:type="spellStart"/>
      <w:r w:rsidRPr="001C1A39">
        <w:rPr>
          <w:rFonts w:asciiTheme="minorHAnsi" w:hAnsiTheme="minorHAnsi" w:cstheme="minorHAnsi"/>
          <w:sz w:val="22"/>
          <w:szCs w:val="22"/>
          <w:lang w:val="en-US"/>
        </w:rPr>
        <w:t>Soole</w:t>
      </w:r>
      <w:proofErr w:type="spellEnd"/>
      <w:r w:rsidRPr="001C1A39">
        <w:rPr>
          <w:rFonts w:asciiTheme="minorHAnsi" w:hAnsiTheme="minorHAnsi" w:cstheme="minorHAnsi"/>
          <w:sz w:val="22"/>
          <w:szCs w:val="22"/>
          <w:lang w:val="en-US"/>
        </w:rPr>
        <w:t xml:space="preserve">, D.W. and </w:t>
      </w:r>
      <w:proofErr w:type="spellStart"/>
      <w:r w:rsidRPr="001C1A39">
        <w:rPr>
          <w:rFonts w:asciiTheme="minorHAnsi" w:hAnsiTheme="minorHAnsi" w:cstheme="minorHAnsi"/>
          <w:sz w:val="22"/>
          <w:szCs w:val="22"/>
          <w:lang w:val="en-US"/>
        </w:rPr>
        <w:t>Rombouts</w:t>
      </w:r>
      <w:proofErr w:type="spellEnd"/>
      <w:r w:rsidRPr="001C1A39">
        <w:rPr>
          <w:rFonts w:asciiTheme="minorHAnsi" w:hAnsiTheme="minorHAnsi" w:cstheme="minorHAnsi"/>
          <w:sz w:val="22"/>
          <w:szCs w:val="22"/>
          <w:lang w:val="en-US"/>
        </w:rPr>
        <w:t>, S. (2006) ‘Street-level drug law enforcement: A meta-analytical review</w:t>
      </w:r>
      <w:r w:rsidRPr="001C1A39">
        <w:rPr>
          <w:rFonts w:ascii="Cambria Math" w:hAnsi="Cambria Math" w:cs="Cambria Math"/>
          <w:sz w:val="22"/>
          <w:szCs w:val="22"/>
          <w:lang w:val="en-US"/>
        </w:rPr>
        <w:t>⋆</w:t>
      </w:r>
      <w:r w:rsidRPr="001C1A39">
        <w:rPr>
          <w:rFonts w:asciiTheme="minorHAnsi" w:hAnsiTheme="minorHAnsi" w:cstheme="minorHAnsi"/>
          <w:sz w:val="22"/>
          <w:szCs w:val="22"/>
          <w:lang w:val="en-US"/>
        </w:rPr>
        <w:t xml:space="preserve">’. </w:t>
      </w:r>
      <w:r w:rsidRPr="001C1A39">
        <w:rPr>
          <w:rFonts w:asciiTheme="minorHAnsi" w:hAnsiTheme="minorHAnsi" w:cstheme="minorHAnsi"/>
          <w:i/>
          <w:iCs/>
          <w:sz w:val="22"/>
          <w:szCs w:val="22"/>
          <w:lang w:val="en-US"/>
        </w:rPr>
        <w:t>Journal of Experimental Criminology</w:t>
      </w:r>
      <w:r w:rsidRPr="001C1A39">
        <w:rPr>
          <w:rFonts w:asciiTheme="minorHAnsi" w:hAnsiTheme="minorHAnsi" w:cstheme="minorHAnsi"/>
          <w:sz w:val="22"/>
          <w:szCs w:val="22"/>
          <w:lang w:val="en-US"/>
        </w:rPr>
        <w:t xml:space="preserve"> 2(4), pp. 409–435. Available at: </w:t>
      </w:r>
      <w:hyperlink r:id="rId45" w:history="1">
        <w:r w:rsidRPr="001C1A39">
          <w:rPr>
            <w:rStyle w:val="Hyperlink"/>
            <w:rFonts w:asciiTheme="minorHAnsi" w:hAnsiTheme="minorHAnsi" w:cstheme="minorHAnsi"/>
            <w:sz w:val="22"/>
            <w:szCs w:val="22"/>
            <w:lang w:val="en-US"/>
          </w:rPr>
          <w:t>https://www.proquest.com/docview/821707874/fulltextPDF/1F27E9559AE1420APQ/1?accountid=130472</w:t>
        </w:r>
      </w:hyperlink>
      <w:r w:rsidRPr="001C1A39">
        <w:rPr>
          <w:rFonts w:asciiTheme="minorHAnsi" w:hAnsiTheme="minorHAnsi" w:cstheme="minorHAnsi"/>
          <w:sz w:val="22"/>
          <w:szCs w:val="22"/>
          <w:lang w:val="en-US"/>
        </w:rPr>
        <w:t xml:space="preserve"> (Accessed: 15 January 2023).</w:t>
      </w:r>
    </w:p>
    <w:p w14:paraId="3FBEF7DA"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McCarthy, M.M., Porter, L.E., </w:t>
      </w:r>
      <w:proofErr w:type="spellStart"/>
      <w:r w:rsidRPr="001C1A39">
        <w:rPr>
          <w:rFonts w:asciiTheme="minorHAnsi" w:hAnsiTheme="minorHAnsi" w:cstheme="minorHAnsi"/>
          <w:sz w:val="22"/>
          <w:szCs w:val="22"/>
          <w:lang w:val="en-US"/>
        </w:rPr>
        <w:t>Townsley</w:t>
      </w:r>
      <w:proofErr w:type="spellEnd"/>
      <w:r w:rsidRPr="001C1A39">
        <w:rPr>
          <w:rFonts w:asciiTheme="minorHAnsi" w:hAnsiTheme="minorHAnsi" w:cstheme="minorHAnsi"/>
          <w:sz w:val="22"/>
          <w:szCs w:val="22"/>
          <w:lang w:val="en-US"/>
        </w:rPr>
        <w:t xml:space="preserve">, M. and Alpert, G.P. (2019) ‘The effect of community-oriented policing on police use of force: does community matter?’ </w:t>
      </w:r>
      <w:r w:rsidRPr="001C1A39">
        <w:rPr>
          <w:rFonts w:asciiTheme="minorHAnsi" w:hAnsiTheme="minorHAnsi" w:cstheme="minorHAnsi"/>
          <w:i/>
          <w:iCs/>
          <w:sz w:val="22"/>
          <w:szCs w:val="22"/>
          <w:lang w:val="en-US"/>
        </w:rPr>
        <w:t>Policing: An International Journal</w:t>
      </w:r>
      <w:r w:rsidRPr="001C1A39">
        <w:rPr>
          <w:rFonts w:asciiTheme="minorHAnsi" w:hAnsiTheme="minorHAnsi" w:cstheme="minorHAnsi"/>
          <w:sz w:val="22"/>
          <w:szCs w:val="22"/>
          <w:lang w:val="en-US"/>
        </w:rPr>
        <w:t xml:space="preserve"> 42(4), pp. 556–570. Available at: </w:t>
      </w:r>
      <w:hyperlink r:id="rId46" w:history="1">
        <w:r w:rsidRPr="001C1A39">
          <w:rPr>
            <w:rStyle w:val="Hyperlink"/>
            <w:rFonts w:asciiTheme="minorHAnsi" w:hAnsiTheme="minorHAnsi" w:cstheme="minorHAnsi"/>
            <w:sz w:val="22"/>
            <w:szCs w:val="22"/>
            <w:lang w:val="en-US"/>
          </w:rPr>
          <w:t>https://www.proquest.com/docview/2261162077/33198243841B45C7PQ/10?accountid=130472</w:t>
        </w:r>
      </w:hyperlink>
      <w:r w:rsidRPr="001C1A39">
        <w:rPr>
          <w:rFonts w:asciiTheme="minorHAnsi" w:hAnsiTheme="minorHAnsi" w:cstheme="minorHAnsi"/>
          <w:sz w:val="22"/>
          <w:szCs w:val="22"/>
          <w:lang w:val="en-US"/>
        </w:rPr>
        <w:t xml:space="preserve"> (Accessed: 16 January 2023).</w:t>
      </w:r>
    </w:p>
    <w:p w14:paraId="1C374C53"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Meterko</w:t>
      </w:r>
      <w:proofErr w:type="spellEnd"/>
      <w:r w:rsidRPr="001C1A39">
        <w:rPr>
          <w:rFonts w:asciiTheme="minorHAnsi" w:hAnsiTheme="minorHAnsi" w:cstheme="minorHAnsi"/>
          <w:sz w:val="22"/>
          <w:szCs w:val="22"/>
          <w:lang w:val="en-US"/>
        </w:rPr>
        <w:t xml:space="preserve">, V. (2021) </w:t>
      </w:r>
      <w:r w:rsidRPr="001C1A39">
        <w:rPr>
          <w:rFonts w:asciiTheme="minorHAnsi" w:hAnsiTheme="minorHAnsi" w:cstheme="minorHAnsi"/>
          <w:i/>
          <w:iCs/>
          <w:sz w:val="22"/>
          <w:szCs w:val="22"/>
          <w:lang w:val="en-US"/>
        </w:rPr>
        <w:t>Cognitive Bias: What Is It and How Does It Contribute to Wrongful Conviction?</w:t>
      </w:r>
      <w:r w:rsidRPr="001C1A39">
        <w:rPr>
          <w:rFonts w:asciiTheme="minorHAnsi" w:hAnsiTheme="minorHAnsi" w:cstheme="minorHAnsi"/>
          <w:sz w:val="22"/>
          <w:szCs w:val="22"/>
          <w:lang w:val="en-US"/>
        </w:rPr>
        <w:t xml:space="preserve">. Available at: </w:t>
      </w:r>
      <w:hyperlink r:id="rId47" w:history="1">
        <w:r w:rsidRPr="001C1A39">
          <w:rPr>
            <w:rStyle w:val="Hyperlink"/>
            <w:rFonts w:asciiTheme="minorHAnsi" w:hAnsiTheme="minorHAnsi" w:cstheme="minorHAnsi"/>
            <w:sz w:val="22"/>
            <w:szCs w:val="22"/>
            <w:lang w:val="en-US"/>
          </w:rPr>
          <w:t>https://innocenceproject.org/what-is-cognitive-bias-how-it-contributes-to-wrongful-conviction/</w:t>
        </w:r>
      </w:hyperlink>
      <w:r w:rsidRPr="001C1A39">
        <w:rPr>
          <w:rFonts w:asciiTheme="minorHAnsi" w:hAnsiTheme="minorHAnsi" w:cstheme="minorHAnsi"/>
          <w:sz w:val="22"/>
          <w:szCs w:val="22"/>
          <w:lang w:val="en-US"/>
        </w:rPr>
        <w:t xml:space="preserve"> (Accessed: 27 January 2023).</w:t>
      </w:r>
    </w:p>
    <w:p w14:paraId="1077D5BC"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Miller, J., Quinton, P., </w:t>
      </w:r>
      <w:proofErr w:type="spellStart"/>
      <w:r w:rsidRPr="001C1A39">
        <w:rPr>
          <w:rFonts w:asciiTheme="minorHAnsi" w:hAnsiTheme="minorHAnsi" w:cstheme="minorHAnsi"/>
          <w:sz w:val="22"/>
          <w:szCs w:val="22"/>
          <w:lang w:val="en-US"/>
        </w:rPr>
        <w:t>Alexandrou</w:t>
      </w:r>
      <w:proofErr w:type="spellEnd"/>
      <w:r w:rsidRPr="001C1A39">
        <w:rPr>
          <w:rFonts w:asciiTheme="minorHAnsi" w:hAnsiTheme="minorHAnsi" w:cstheme="minorHAnsi"/>
          <w:sz w:val="22"/>
          <w:szCs w:val="22"/>
          <w:lang w:val="en-US"/>
        </w:rPr>
        <w:t xml:space="preserve">, B. and Packham, D. (2020) ‘Can police training reduce ethnic/racial disparities in stop and search? Evidence from a multisite UK trial’. </w:t>
      </w:r>
      <w:r w:rsidRPr="001C1A39">
        <w:rPr>
          <w:rFonts w:asciiTheme="minorHAnsi" w:hAnsiTheme="minorHAnsi" w:cstheme="minorHAnsi"/>
          <w:i/>
          <w:iCs/>
          <w:sz w:val="22"/>
          <w:szCs w:val="22"/>
          <w:lang w:val="en-US"/>
        </w:rPr>
        <w:t>Criminology &amp; Public Policy</w:t>
      </w:r>
      <w:r w:rsidRPr="001C1A39">
        <w:rPr>
          <w:rFonts w:asciiTheme="minorHAnsi" w:hAnsiTheme="minorHAnsi" w:cstheme="minorHAnsi"/>
          <w:sz w:val="22"/>
          <w:szCs w:val="22"/>
          <w:lang w:val="en-US"/>
        </w:rPr>
        <w:t xml:space="preserve"> 19(4). Available at: </w:t>
      </w:r>
      <w:hyperlink r:id="rId48" w:history="1">
        <w:r w:rsidRPr="001C1A39">
          <w:rPr>
            <w:rStyle w:val="Hyperlink"/>
            <w:rFonts w:asciiTheme="minorHAnsi" w:hAnsiTheme="minorHAnsi" w:cstheme="minorHAnsi"/>
            <w:sz w:val="22"/>
            <w:szCs w:val="22"/>
            <w:lang w:val="en-US"/>
          </w:rPr>
          <w:t>https://onlinelibrary-wiley-com.ezproxy.uwtsd.ac.uk/doi/full/10.1111/1745-9133.12524</w:t>
        </w:r>
      </w:hyperlink>
      <w:r w:rsidRPr="001C1A39">
        <w:rPr>
          <w:rFonts w:asciiTheme="minorHAnsi" w:hAnsiTheme="minorHAnsi" w:cstheme="minorHAnsi"/>
          <w:sz w:val="22"/>
          <w:szCs w:val="22"/>
          <w:lang w:val="en-US"/>
        </w:rPr>
        <w:t xml:space="preserve"> (Accessed: 27 January 2023).</w:t>
      </w:r>
    </w:p>
    <w:p w14:paraId="604F4F02"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Moyle, L. (2019) ‘Situating Vulnerability and Exploitation in Street-Level Drug Markets: Cuckooing, Commuting, and the “County Lines” Drug Supply Model’. </w:t>
      </w:r>
      <w:r w:rsidRPr="001C1A39">
        <w:rPr>
          <w:rFonts w:asciiTheme="minorHAnsi" w:hAnsiTheme="minorHAnsi" w:cstheme="minorHAnsi"/>
          <w:i/>
          <w:iCs/>
          <w:sz w:val="22"/>
          <w:szCs w:val="22"/>
          <w:lang w:val="en-US"/>
        </w:rPr>
        <w:t>Journal of Drug Issues</w:t>
      </w:r>
      <w:r w:rsidRPr="001C1A39">
        <w:rPr>
          <w:rFonts w:asciiTheme="minorHAnsi" w:hAnsiTheme="minorHAnsi" w:cstheme="minorHAnsi"/>
          <w:sz w:val="22"/>
          <w:szCs w:val="22"/>
          <w:lang w:val="en-US"/>
        </w:rPr>
        <w:t xml:space="preserve"> 49(4), pp. 739–755. </w:t>
      </w:r>
      <w:r w:rsidRPr="001C1A39">
        <w:rPr>
          <w:rFonts w:asciiTheme="minorHAnsi" w:hAnsiTheme="minorHAnsi" w:cstheme="minorHAnsi"/>
          <w:sz w:val="22"/>
          <w:szCs w:val="22"/>
          <w:lang w:val="en-US"/>
        </w:rPr>
        <w:lastRenderedPageBreak/>
        <w:t xml:space="preserve">Available at: </w:t>
      </w:r>
      <w:hyperlink r:id="rId49" w:history="1">
        <w:r w:rsidRPr="001C1A39">
          <w:rPr>
            <w:rStyle w:val="Hyperlink"/>
            <w:rFonts w:asciiTheme="minorHAnsi" w:hAnsiTheme="minorHAnsi" w:cstheme="minorHAnsi"/>
            <w:sz w:val="22"/>
            <w:szCs w:val="22"/>
            <w:lang w:val="en-US"/>
          </w:rPr>
          <w:t>https://journals-sagepub-com.ezproxy.uwtsd.ac.uk/doi/full/10.1177/0022042619861938</w:t>
        </w:r>
      </w:hyperlink>
      <w:r w:rsidRPr="001C1A39">
        <w:rPr>
          <w:rFonts w:asciiTheme="minorHAnsi" w:hAnsiTheme="minorHAnsi" w:cstheme="minorHAnsi"/>
          <w:sz w:val="22"/>
          <w:szCs w:val="22"/>
          <w:lang w:val="en-US"/>
        </w:rPr>
        <w:t xml:space="preserve"> (Accessed: 17 January 2023).</w:t>
      </w:r>
    </w:p>
    <w:p w14:paraId="5D96E507"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Nalla, M.K., </w:t>
      </w:r>
      <w:proofErr w:type="spellStart"/>
      <w:r w:rsidRPr="001C1A39">
        <w:rPr>
          <w:rFonts w:asciiTheme="minorHAnsi" w:hAnsiTheme="minorHAnsi" w:cstheme="minorHAnsi"/>
          <w:sz w:val="22"/>
          <w:szCs w:val="22"/>
          <w:lang w:val="en-US"/>
        </w:rPr>
        <w:t>Meško</w:t>
      </w:r>
      <w:proofErr w:type="spellEnd"/>
      <w:r w:rsidRPr="001C1A39">
        <w:rPr>
          <w:rFonts w:asciiTheme="minorHAnsi" w:hAnsiTheme="minorHAnsi" w:cstheme="minorHAnsi"/>
          <w:sz w:val="22"/>
          <w:szCs w:val="22"/>
          <w:lang w:val="en-US"/>
        </w:rPr>
        <w:t xml:space="preserve">, G. and </w:t>
      </w:r>
      <w:proofErr w:type="spellStart"/>
      <w:r w:rsidRPr="001C1A39">
        <w:rPr>
          <w:rFonts w:asciiTheme="minorHAnsi" w:hAnsiTheme="minorHAnsi" w:cstheme="minorHAnsi"/>
          <w:sz w:val="22"/>
          <w:szCs w:val="22"/>
          <w:lang w:val="en-US"/>
        </w:rPr>
        <w:t>Modic</w:t>
      </w:r>
      <w:proofErr w:type="spellEnd"/>
      <w:r w:rsidRPr="001C1A39">
        <w:rPr>
          <w:rFonts w:asciiTheme="minorHAnsi" w:hAnsiTheme="minorHAnsi" w:cstheme="minorHAnsi"/>
          <w:sz w:val="22"/>
          <w:szCs w:val="22"/>
          <w:lang w:val="en-US"/>
        </w:rPr>
        <w:t xml:space="preserve">, M. (2016) ‘Assessing police–community relationships: is there a gap in perceptions between police officers and residents?’ </w:t>
      </w:r>
      <w:r w:rsidRPr="001C1A39">
        <w:rPr>
          <w:rFonts w:asciiTheme="minorHAnsi" w:hAnsiTheme="minorHAnsi" w:cstheme="minorHAnsi"/>
          <w:i/>
          <w:iCs/>
          <w:sz w:val="22"/>
          <w:szCs w:val="22"/>
          <w:lang w:val="en-US"/>
        </w:rPr>
        <w:t>Policing and Society</w:t>
      </w:r>
      <w:r w:rsidRPr="001C1A39">
        <w:rPr>
          <w:rFonts w:asciiTheme="minorHAnsi" w:hAnsiTheme="minorHAnsi" w:cstheme="minorHAnsi"/>
          <w:sz w:val="22"/>
          <w:szCs w:val="22"/>
          <w:lang w:val="en-US"/>
        </w:rPr>
        <w:t xml:space="preserve"> 28(3), pp. 271–290. Available at: </w:t>
      </w:r>
      <w:hyperlink r:id="rId50" w:history="1">
        <w:r w:rsidRPr="001C1A39">
          <w:rPr>
            <w:rStyle w:val="Hyperlink"/>
            <w:rFonts w:asciiTheme="minorHAnsi" w:hAnsiTheme="minorHAnsi" w:cstheme="minorHAnsi"/>
            <w:sz w:val="22"/>
            <w:szCs w:val="22"/>
            <w:lang w:val="en-US"/>
          </w:rPr>
          <w:t>https://www.proquest.com/docview/2017946148/1782FB7D1CF04135PQ/3?accountid=130472</w:t>
        </w:r>
      </w:hyperlink>
      <w:r w:rsidRPr="001C1A39">
        <w:rPr>
          <w:rFonts w:asciiTheme="minorHAnsi" w:hAnsiTheme="minorHAnsi" w:cstheme="minorHAnsi"/>
          <w:sz w:val="22"/>
          <w:szCs w:val="22"/>
          <w:lang w:val="en-US"/>
        </w:rPr>
        <w:t xml:space="preserve"> (Accessed: 16 January 2023).</w:t>
      </w:r>
    </w:p>
    <w:p w14:paraId="00DD2D91"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Narchet</w:t>
      </w:r>
      <w:proofErr w:type="spellEnd"/>
      <w:r w:rsidRPr="001C1A39">
        <w:rPr>
          <w:rFonts w:asciiTheme="minorHAnsi" w:hAnsiTheme="minorHAnsi" w:cstheme="minorHAnsi"/>
          <w:sz w:val="22"/>
          <w:szCs w:val="22"/>
          <w:lang w:val="en-US"/>
        </w:rPr>
        <w:t xml:space="preserve">, F.M., Meissner, C.A. and </w:t>
      </w:r>
      <w:proofErr w:type="spellStart"/>
      <w:r w:rsidRPr="001C1A39">
        <w:rPr>
          <w:rFonts w:asciiTheme="minorHAnsi" w:hAnsiTheme="minorHAnsi" w:cstheme="minorHAnsi"/>
          <w:sz w:val="22"/>
          <w:szCs w:val="22"/>
          <w:lang w:val="en-US"/>
        </w:rPr>
        <w:t>Russano</w:t>
      </w:r>
      <w:proofErr w:type="spellEnd"/>
      <w:r w:rsidRPr="001C1A39">
        <w:rPr>
          <w:rFonts w:asciiTheme="minorHAnsi" w:hAnsiTheme="minorHAnsi" w:cstheme="minorHAnsi"/>
          <w:sz w:val="22"/>
          <w:szCs w:val="22"/>
          <w:lang w:val="en-US"/>
        </w:rPr>
        <w:t xml:space="preserve">, M.B. (2011) ‘Modeling the influence of investigator bias on the elicitation of true and false confessions.’ </w:t>
      </w:r>
      <w:r w:rsidRPr="001C1A39">
        <w:rPr>
          <w:rFonts w:asciiTheme="minorHAnsi" w:hAnsiTheme="minorHAnsi" w:cstheme="minorHAnsi"/>
          <w:i/>
          <w:iCs/>
          <w:sz w:val="22"/>
          <w:szCs w:val="22"/>
          <w:lang w:val="en-US"/>
        </w:rPr>
        <w:t>Law and Human Behavior</w:t>
      </w:r>
      <w:r w:rsidRPr="001C1A39">
        <w:rPr>
          <w:rFonts w:asciiTheme="minorHAnsi" w:hAnsiTheme="minorHAnsi" w:cstheme="minorHAnsi"/>
          <w:sz w:val="22"/>
          <w:szCs w:val="22"/>
          <w:lang w:val="en-US"/>
        </w:rPr>
        <w:t xml:space="preserve"> 35(6), pp. 452–465. Available at: </w:t>
      </w:r>
      <w:hyperlink r:id="rId51" w:history="1">
        <w:r w:rsidRPr="001C1A39">
          <w:rPr>
            <w:rStyle w:val="Hyperlink"/>
            <w:rFonts w:asciiTheme="minorHAnsi" w:hAnsiTheme="minorHAnsi" w:cstheme="minorHAnsi"/>
            <w:sz w:val="22"/>
            <w:szCs w:val="22"/>
            <w:lang w:val="en-US"/>
          </w:rPr>
          <w:t>https://www.proquest.com/docview/914688090?pq-origsite=primo&amp;parentSessionId=4YM%2BRdZ2Pkz%2FScDK6ZQsiT7aoKZvwHJSgsQGCG54v%2BA%3D</w:t>
        </w:r>
      </w:hyperlink>
      <w:r w:rsidRPr="001C1A39">
        <w:rPr>
          <w:rFonts w:asciiTheme="minorHAnsi" w:hAnsiTheme="minorHAnsi" w:cstheme="minorHAnsi"/>
          <w:sz w:val="22"/>
          <w:szCs w:val="22"/>
          <w:lang w:val="en-US"/>
        </w:rPr>
        <w:t xml:space="preserve"> (Accessed: 26 January 2023).</w:t>
      </w:r>
    </w:p>
    <w:p w14:paraId="4029B5FE"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National Crime Agency (2017) </w:t>
      </w:r>
      <w:r w:rsidRPr="001C1A39">
        <w:rPr>
          <w:rFonts w:asciiTheme="minorHAnsi" w:hAnsiTheme="minorHAnsi" w:cstheme="minorHAnsi"/>
          <w:i/>
          <w:iCs/>
          <w:sz w:val="22"/>
          <w:szCs w:val="22"/>
          <w:lang w:val="en-US"/>
        </w:rPr>
        <w:t>County Lines Violence, Exploitation &amp; Drug Supply 2017</w:t>
      </w:r>
      <w:r w:rsidRPr="001C1A39">
        <w:rPr>
          <w:rFonts w:asciiTheme="minorHAnsi" w:hAnsiTheme="minorHAnsi" w:cstheme="minorHAnsi"/>
          <w:sz w:val="22"/>
          <w:szCs w:val="22"/>
          <w:lang w:val="en-US"/>
        </w:rPr>
        <w:t xml:space="preserve">. NCA., p. 14. Available at: </w:t>
      </w:r>
      <w:hyperlink r:id="rId52" w:history="1">
        <w:r w:rsidRPr="001C1A39">
          <w:rPr>
            <w:rStyle w:val="Hyperlink"/>
            <w:rFonts w:asciiTheme="minorHAnsi" w:hAnsiTheme="minorHAnsi" w:cstheme="minorHAnsi"/>
            <w:sz w:val="22"/>
            <w:szCs w:val="22"/>
            <w:lang w:val="en-US"/>
          </w:rPr>
          <w:t>https://www.nationalcrimeagency.gov.uk/who-we-are/publications/234-county-lines-violen-ce-exploitation-drug-supply-2017/file</w:t>
        </w:r>
      </w:hyperlink>
      <w:r w:rsidRPr="001C1A39">
        <w:rPr>
          <w:rFonts w:asciiTheme="minorHAnsi" w:hAnsiTheme="minorHAnsi" w:cstheme="minorHAnsi"/>
          <w:sz w:val="22"/>
          <w:szCs w:val="22"/>
          <w:lang w:val="en-US"/>
        </w:rPr>
        <w:t xml:space="preserve"> (Accessed: 24 January 2023).</w:t>
      </w:r>
    </w:p>
    <w:p w14:paraId="1B37B276"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National Crime Agency (2018) </w:t>
      </w:r>
      <w:r w:rsidRPr="001C1A39">
        <w:rPr>
          <w:rFonts w:asciiTheme="minorHAnsi" w:hAnsiTheme="minorHAnsi" w:cstheme="minorHAnsi"/>
          <w:i/>
          <w:iCs/>
          <w:sz w:val="22"/>
          <w:szCs w:val="22"/>
          <w:lang w:val="en-US"/>
        </w:rPr>
        <w:t>County Lines - National Crime Agency</w:t>
      </w:r>
      <w:r w:rsidRPr="001C1A39">
        <w:rPr>
          <w:rFonts w:asciiTheme="minorHAnsi" w:hAnsiTheme="minorHAnsi" w:cstheme="minorHAnsi"/>
          <w:sz w:val="22"/>
          <w:szCs w:val="22"/>
          <w:lang w:val="en-US"/>
        </w:rPr>
        <w:t xml:space="preserve">. Available at: </w:t>
      </w:r>
      <w:hyperlink r:id="rId53" w:history="1">
        <w:r w:rsidRPr="001C1A39">
          <w:rPr>
            <w:rStyle w:val="Hyperlink"/>
            <w:rFonts w:asciiTheme="minorHAnsi" w:hAnsiTheme="minorHAnsi" w:cstheme="minorHAnsi"/>
            <w:sz w:val="22"/>
            <w:szCs w:val="22"/>
            <w:lang w:val="en-US"/>
          </w:rPr>
          <w:t>https://www.nationalcrimeagency.gov.uk/what-we-do/crime-threats/drug-trafficking/county-lines</w:t>
        </w:r>
      </w:hyperlink>
      <w:r w:rsidRPr="001C1A39">
        <w:rPr>
          <w:rFonts w:asciiTheme="minorHAnsi" w:hAnsiTheme="minorHAnsi" w:cstheme="minorHAnsi"/>
          <w:sz w:val="22"/>
          <w:szCs w:val="22"/>
          <w:lang w:val="en-US"/>
        </w:rPr>
        <w:t xml:space="preserve"> (Accessed: 17 January 2023).</w:t>
      </w:r>
    </w:p>
    <w:p w14:paraId="42C607FF"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National Cyber Security Centre (2022) </w:t>
      </w:r>
      <w:r w:rsidRPr="001C1A39">
        <w:rPr>
          <w:rFonts w:asciiTheme="minorHAnsi" w:hAnsiTheme="minorHAnsi" w:cstheme="minorHAnsi"/>
          <w:i/>
          <w:iCs/>
          <w:sz w:val="22"/>
          <w:szCs w:val="22"/>
          <w:lang w:val="en-US"/>
        </w:rPr>
        <w:t>NCSC Annual Review 2022</w:t>
      </w:r>
      <w:r w:rsidRPr="001C1A39">
        <w:rPr>
          <w:rFonts w:asciiTheme="minorHAnsi" w:hAnsiTheme="minorHAnsi" w:cstheme="minorHAnsi"/>
          <w:sz w:val="22"/>
          <w:szCs w:val="22"/>
          <w:lang w:val="en-US"/>
        </w:rPr>
        <w:t xml:space="preserve">. Available at: </w:t>
      </w:r>
      <w:hyperlink r:id="rId54" w:history="1">
        <w:r w:rsidRPr="001C1A39">
          <w:rPr>
            <w:rStyle w:val="Hyperlink"/>
            <w:rFonts w:asciiTheme="minorHAnsi" w:hAnsiTheme="minorHAnsi" w:cstheme="minorHAnsi"/>
            <w:sz w:val="22"/>
            <w:szCs w:val="22"/>
            <w:lang w:val="en-US"/>
          </w:rPr>
          <w:t>https://www.ncsc.gov.uk/collection/annual-review-2022</w:t>
        </w:r>
      </w:hyperlink>
      <w:r w:rsidRPr="001C1A39">
        <w:rPr>
          <w:rFonts w:asciiTheme="minorHAnsi" w:hAnsiTheme="minorHAnsi" w:cstheme="minorHAnsi"/>
          <w:sz w:val="22"/>
          <w:szCs w:val="22"/>
          <w:lang w:val="en-US"/>
        </w:rPr>
        <w:t xml:space="preserve"> (Accessed: 21 February 2023).</w:t>
      </w:r>
    </w:p>
    <w:p w14:paraId="422DA524"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pt-PT"/>
        </w:rPr>
        <w:t xml:space="preserve">NCA (2019) </w:t>
      </w:r>
      <w:r w:rsidRPr="001C1A39">
        <w:rPr>
          <w:rFonts w:asciiTheme="minorHAnsi" w:hAnsiTheme="minorHAnsi" w:cstheme="minorHAnsi"/>
          <w:i/>
          <w:iCs/>
          <w:sz w:val="22"/>
          <w:szCs w:val="22"/>
          <w:lang w:val="pt-PT"/>
        </w:rPr>
        <w:t xml:space="preserve">Cyber crime - </w:t>
      </w:r>
      <w:proofErr w:type="spellStart"/>
      <w:r w:rsidRPr="001C1A39">
        <w:rPr>
          <w:rFonts w:asciiTheme="minorHAnsi" w:hAnsiTheme="minorHAnsi" w:cstheme="minorHAnsi"/>
          <w:i/>
          <w:iCs/>
          <w:sz w:val="22"/>
          <w:szCs w:val="22"/>
          <w:lang w:val="pt-PT"/>
        </w:rPr>
        <w:t>National</w:t>
      </w:r>
      <w:proofErr w:type="spellEnd"/>
      <w:r w:rsidRPr="001C1A39">
        <w:rPr>
          <w:rFonts w:asciiTheme="minorHAnsi" w:hAnsiTheme="minorHAnsi" w:cstheme="minorHAnsi"/>
          <w:i/>
          <w:iCs/>
          <w:sz w:val="22"/>
          <w:szCs w:val="22"/>
          <w:lang w:val="pt-PT"/>
        </w:rPr>
        <w:t xml:space="preserve"> Crime </w:t>
      </w:r>
      <w:proofErr w:type="spellStart"/>
      <w:r w:rsidRPr="001C1A39">
        <w:rPr>
          <w:rFonts w:asciiTheme="minorHAnsi" w:hAnsiTheme="minorHAnsi" w:cstheme="minorHAnsi"/>
          <w:i/>
          <w:iCs/>
          <w:sz w:val="22"/>
          <w:szCs w:val="22"/>
          <w:lang w:val="pt-PT"/>
        </w:rPr>
        <w:t>Agency</w:t>
      </w:r>
      <w:proofErr w:type="spellEnd"/>
      <w:r w:rsidRPr="001C1A39">
        <w:rPr>
          <w:rFonts w:asciiTheme="minorHAnsi" w:hAnsiTheme="minorHAnsi" w:cstheme="minorHAnsi"/>
          <w:sz w:val="22"/>
          <w:szCs w:val="22"/>
          <w:lang w:val="pt-PT"/>
        </w:rPr>
        <w:t xml:space="preserve">. </w:t>
      </w:r>
      <w:r w:rsidRPr="001C1A39">
        <w:rPr>
          <w:rFonts w:asciiTheme="minorHAnsi" w:hAnsiTheme="minorHAnsi" w:cstheme="minorHAnsi"/>
          <w:sz w:val="22"/>
          <w:szCs w:val="22"/>
          <w:lang w:val="en-US"/>
        </w:rPr>
        <w:t xml:space="preserve">Available at: </w:t>
      </w:r>
      <w:hyperlink r:id="rId55" w:history="1">
        <w:r w:rsidRPr="001C1A39">
          <w:rPr>
            <w:rStyle w:val="Hyperlink"/>
            <w:rFonts w:asciiTheme="minorHAnsi" w:hAnsiTheme="minorHAnsi" w:cstheme="minorHAnsi"/>
            <w:sz w:val="22"/>
            <w:szCs w:val="22"/>
            <w:lang w:val="en-US"/>
          </w:rPr>
          <w:t>https://nationalcrimeagency.gov.uk/what-we-do/crime-threats/cyber-crime</w:t>
        </w:r>
      </w:hyperlink>
      <w:r w:rsidRPr="001C1A39">
        <w:rPr>
          <w:rFonts w:asciiTheme="minorHAnsi" w:hAnsiTheme="minorHAnsi" w:cstheme="minorHAnsi"/>
          <w:sz w:val="22"/>
          <w:szCs w:val="22"/>
          <w:lang w:val="en-US"/>
        </w:rPr>
        <w:t xml:space="preserve"> (Accessed: 21 February 2023).</w:t>
      </w:r>
    </w:p>
    <w:p w14:paraId="6C25384F"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North and South of Tyne Safeguarding Children Partnership (2022) </w:t>
      </w:r>
      <w:r w:rsidRPr="001C1A39">
        <w:rPr>
          <w:rFonts w:asciiTheme="minorHAnsi" w:hAnsiTheme="minorHAnsi" w:cstheme="minorHAnsi"/>
          <w:i/>
          <w:iCs/>
          <w:sz w:val="22"/>
          <w:szCs w:val="22"/>
          <w:lang w:val="en-US"/>
        </w:rPr>
        <w:t>Gang Activity, Youth Violence and Criminal Exploitation Affecting Children</w:t>
      </w:r>
      <w:r w:rsidRPr="001C1A39">
        <w:rPr>
          <w:rFonts w:asciiTheme="minorHAnsi" w:hAnsiTheme="minorHAnsi" w:cstheme="minorHAnsi"/>
          <w:sz w:val="22"/>
          <w:szCs w:val="22"/>
          <w:lang w:val="en-US"/>
        </w:rPr>
        <w:t xml:space="preserve">. Available at: </w:t>
      </w:r>
      <w:hyperlink r:id="rId56" w:history="1">
        <w:r w:rsidRPr="001C1A39">
          <w:rPr>
            <w:rStyle w:val="Hyperlink"/>
            <w:rFonts w:asciiTheme="minorHAnsi" w:hAnsiTheme="minorHAnsi" w:cstheme="minorHAnsi"/>
            <w:sz w:val="22"/>
            <w:szCs w:val="22"/>
            <w:lang w:val="en-US"/>
          </w:rPr>
          <w:t>https://www.proceduresonline.com/nesubregion/p_ch_affected_gang_act.html</w:t>
        </w:r>
      </w:hyperlink>
      <w:r w:rsidRPr="001C1A39">
        <w:rPr>
          <w:rFonts w:asciiTheme="minorHAnsi" w:hAnsiTheme="minorHAnsi" w:cstheme="minorHAnsi"/>
          <w:sz w:val="22"/>
          <w:szCs w:val="22"/>
          <w:lang w:val="en-US"/>
        </w:rPr>
        <w:t xml:space="preserve"> (Accessed: 17 January 2023).</w:t>
      </w:r>
    </w:p>
    <w:p w14:paraId="6AEE0D8E"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NPCC (2019) </w:t>
      </w:r>
      <w:r w:rsidRPr="001C1A39">
        <w:rPr>
          <w:rFonts w:asciiTheme="minorHAnsi" w:hAnsiTheme="minorHAnsi" w:cstheme="minorHAnsi"/>
          <w:i/>
          <w:iCs/>
          <w:sz w:val="22"/>
          <w:szCs w:val="22"/>
          <w:lang w:val="en-US"/>
        </w:rPr>
        <w:t>Good response to tackling cyber-dependent crime across law enforcement</w:t>
      </w:r>
      <w:r w:rsidRPr="001C1A39">
        <w:rPr>
          <w:rFonts w:asciiTheme="minorHAnsi" w:hAnsiTheme="minorHAnsi" w:cstheme="minorHAnsi"/>
          <w:sz w:val="22"/>
          <w:szCs w:val="22"/>
          <w:lang w:val="en-US"/>
        </w:rPr>
        <w:t xml:space="preserve">. Available at: </w:t>
      </w:r>
      <w:hyperlink r:id="rId57" w:history="1">
        <w:r w:rsidRPr="001C1A39">
          <w:rPr>
            <w:rStyle w:val="Hyperlink"/>
            <w:rFonts w:asciiTheme="minorHAnsi" w:hAnsiTheme="minorHAnsi" w:cstheme="minorHAnsi"/>
            <w:sz w:val="22"/>
            <w:szCs w:val="22"/>
            <w:lang w:val="en-US"/>
          </w:rPr>
          <w:t>https://news.npcc.police.uk/releases/good-response-to-tackling-cyber-dependent-crime-across-law-enforcement</w:t>
        </w:r>
      </w:hyperlink>
      <w:r w:rsidRPr="001C1A39">
        <w:rPr>
          <w:rFonts w:asciiTheme="minorHAnsi" w:hAnsiTheme="minorHAnsi" w:cstheme="minorHAnsi"/>
          <w:sz w:val="22"/>
          <w:szCs w:val="22"/>
          <w:lang w:val="en-US"/>
        </w:rPr>
        <w:t xml:space="preserve"> (Accessed: 21 February 2023).</w:t>
      </w:r>
    </w:p>
    <w:p w14:paraId="498AFF4A"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lastRenderedPageBreak/>
        <w:t xml:space="preserve">NPCC Homicide Working Group (2021) </w:t>
      </w:r>
      <w:r w:rsidRPr="001C1A39">
        <w:rPr>
          <w:rFonts w:asciiTheme="minorHAnsi" w:hAnsiTheme="minorHAnsi" w:cstheme="minorHAnsi"/>
          <w:i/>
          <w:iCs/>
          <w:sz w:val="22"/>
          <w:szCs w:val="22"/>
          <w:lang w:val="en-US"/>
        </w:rPr>
        <w:t>Major Crime Investigation Manual 2021</w:t>
      </w:r>
      <w:r w:rsidRPr="001C1A39">
        <w:rPr>
          <w:rFonts w:asciiTheme="minorHAnsi" w:hAnsiTheme="minorHAnsi" w:cstheme="minorHAnsi"/>
          <w:sz w:val="22"/>
          <w:szCs w:val="22"/>
          <w:lang w:val="en-US"/>
        </w:rPr>
        <w:t xml:space="preserve">. NPCC., pp. 142–153. Available at: </w:t>
      </w:r>
      <w:hyperlink r:id="rId58" w:history="1">
        <w:r w:rsidRPr="001C1A39">
          <w:rPr>
            <w:rStyle w:val="Hyperlink"/>
            <w:rFonts w:asciiTheme="minorHAnsi" w:hAnsiTheme="minorHAnsi" w:cstheme="minorHAnsi"/>
            <w:sz w:val="22"/>
            <w:szCs w:val="22"/>
            <w:lang w:val="en-US"/>
          </w:rPr>
          <w:t>https://library.college.police.uk/docs/NPCC/Major-Crime-Investigation-Manual-Nov-2021.pdf</w:t>
        </w:r>
      </w:hyperlink>
      <w:r w:rsidRPr="001C1A39">
        <w:rPr>
          <w:rFonts w:asciiTheme="minorHAnsi" w:hAnsiTheme="minorHAnsi" w:cstheme="minorHAnsi"/>
          <w:sz w:val="22"/>
          <w:szCs w:val="22"/>
          <w:lang w:val="en-US"/>
        </w:rPr>
        <w:t xml:space="preserve"> (Accessed: 27 January 2023).</w:t>
      </w:r>
    </w:p>
    <w:p w14:paraId="747099B7"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NSPCC (2023) </w:t>
      </w:r>
      <w:r w:rsidRPr="001C1A39">
        <w:rPr>
          <w:rFonts w:asciiTheme="minorHAnsi" w:hAnsiTheme="minorHAnsi" w:cstheme="minorHAnsi"/>
          <w:i/>
          <w:iCs/>
          <w:sz w:val="22"/>
          <w:szCs w:val="22"/>
          <w:lang w:val="en-US"/>
        </w:rPr>
        <w:t>Criminal exploitation and gangs</w:t>
      </w:r>
      <w:r w:rsidRPr="001C1A39">
        <w:rPr>
          <w:rFonts w:asciiTheme="minorHAnsi" w:hAnsiTheme="minorHAnsi" w:cstheme="minorHAnsi"/>
          <w:sz w:val="22"/>
          <w:szCs w:val="22"/>
          <w:lang w:val="en-US"/>
        </w:rPr>
        <w:t xml:space="preserve">. Available at: </w:t>
      </w:r>
      <w:hyperlink r:id="rId59" w:anchor="recruited" w:history="1">
        <w:r w:rsidRPr="001C1A39">
          <w:rPr>
            <w:rStyle w:val="Hyperlink"/>
            <w:rFonts w:asciiTheme="minorHAnsi" w:hAnsiTheme="minorHAnsi" w:cstheme="minorHAnsi"/>
            <w:sz w:val="22"/>
            <w:szCs w:val="22"/>
            <w:lang w:val="en-US"/>
          </w:rPr>
          <w:t>https://www.nspcc.org.uk/what-is-child-abuse/types-of-abuse/gangs-criminal-exploitation/#recruited</w:t>
        </w:r>
      </w:hyperlink>
      <w:r w:rsidRPr="001C1A39">
        <w:rPr>
          <w:rFonts w:asciiTheme="minorHAnsi" w:hAnsiTheme="minorHAnsi" w:cstheme="minorHAnsi"/>
          <w:sz w:val="22"/>
          <w:szCs w:val="22"/>
          <w:lang w:val="en-US"/>
        </w:rPr>
        <w:t xml:space="preserve"> (Accessed: 17 January 2023).</w:t>
      </w:r>
    </w:p>
    <w:p w14:paraId="1EC5E789"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O’Brien, B. (2009) ‘Prime suspect: An examination of factors that aggravate and counteract confirmation bias in criminal investigations.’ </w:t>
      </w:r>
      <w:r w:rsidRPr="001C1A39">
        <w:rPr>
          <w:rFonts w:asciiTheme="minorHAnsi" w:hAnsiTheme="minorHAnsi" w:cstheme="minorHAnsi"/>
          <w:i/>
          <w:iCs/>
          <w:sz w:val="22"/>
          <w:szCs w:val="22"/>
          <w:lang w:val="en-US"/>
        </w:rPr>
        <w:t>Psychology, Public Policy, and Law</w:t>
      </w:r>
      <w:r w:rsidRPr="001C1A39">
        <w:rPr>
          <w:rFonts w:asciiTheme="minorHAnsi" w:hAnsiTheme="minorHAnsi" w:cstheme="minorHAnsi"/>
          <w:sz w:val="22"/>
          <w:szCs w:val="22"/>
          <w:lang w:val="en-US"/>
        </w:rPr>
        <w:t xml:space="preserve"> 15(4), pp. 315–334. Available at: </w:t>
      </w:r>
      <w:hyperlink r:id="rId60" w:history="1">
        <w:r w:rsidRPr="001C1A39">
          <w:rPr>
            <w:rStyle w:val="Hyperlink"/>
            <w:rFonts w:asciiTheme="minorHAnsi" w:hAnsiTheme="minorHAnsi" w:cstheme="minorHAnsi"/>
            <w:sz w:val="22"/>
            <w:szCs w:val="22"/>
            <w:lang w:val="en-US"/>
          </w:rPr>
          <w:t>https://web-s-ebscohost-com.ezproxy.uwtsd.ac.uk/ehost/pdfviewer/pdfviewer?vid=0&amp;sid=85cfd206-7c0a-481f-8215-ba1fcc600e29%40redis</w:t>
        </w:r>
      </w:hyperlink>
      <w:r w:rsidRPr="001C1A39">
        <w:rPr>
          <w:rFonts w:asciiTheme="minorHAnsi" w:hAnsiTheme="minorHAnsi" w:cstheme="minorHAnsi"/>
          <w:sz w:val="22"/>
          <w:szCs w:val="22"/>
          <w:lang w:val="en-US"/>
        </w:rPr>
        <w:t xml:space="preserve"> (Accessed: 26 January 2023).</w:t>
      </w:r>
    </w:p>
    <w:p w14:paraId="29503588"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Pierce, M., Hayhurst, K., Bird, S.M., Hickman, M., Seddon, T., Dunn, G. and Millar, T. (2017) ‘Insights into the link between drug use and criminality: Lifetime offending of criminally-active opiate users’. </w:t>
      </w:r>
      <w:r w:rsidRPr="001C1A39">
        <w:rPr>
          <w:rFonts w:asciiTheme="minorHAnsi" w:hAnsiTheme="minorHAnsi" w:cstheme="minorHAnsi"/>
          <w:i/>
          <w:iCs/>
          <w:sz w:val="22"/>
          <w:szCs w:val="22"/>
          <w:lang w:val="en-US"/>
        </w:rPr>
        <w:t>Drug and Alcohol Dependence</w:t>
      </w:r>
      <w:r w:rsidRPr="001C1A39">
        <w:rPr>
          <w:rFonts w:asciiTheme="minorHAnsi" w:hAnsiTheme="minorHAnsi" w:cstheme="minorHAnsi"/>
          <w:sz w:val="22"/>
          <w:szCs w:val="22"/>
          <w:lang w:val="en-US"/>
        </w:rPr>
        <w:t xml:space="preserve"> 179(179), pp. 309–316. Available at: </w:t>
      </w:r>
      <w:hyperlink r:id="rId61" w:anchor="bib0075" w:history="1">
        <w:r w:rsidRPr="001C1A39">
          <w:rPr>
            <w:rStyle w:val="Hyperlink"/>
            <w:rFonts w:asciiTheme="minorHAnsi" w:hAnsiTheme="minorHAnsi" w:cstheme="minorHAnsi"/>
            <w:sz w:val="22"/>
            <w:szCs w:val="22"/>
            <w:lang w:val="en-US"/>
          </w:rPr>
          <w:t>https://www.ncbi.nlm.nih.gov/pmc/articles/PMC5608072/#bib0075</w:t>
        </w:r>
      </w:hyperlink>
      <w:r w:rsidRPr="001C1A39">
        <w:rPr>
          <w:rFonts w:asciiTheme="minorHAnsi" w:hAnsiTheme="minorHAnsi" w:cstheme="minorHAnsi"/>
          <w:sz w:val="22"/>
          <w:szCs w:val="22"/>
          <w:lang w:val="en-US"/>
        </w:rPr>
        <w:t xml:space="preserve"> (Accessed: 15 January 2023).</w:t>
      </w:r>
    </w:p>
    <w:p w14:paraId="0522762E"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Rassin</w:t>
      </w:r>
      <w:proofErr w:type="spellEnd"/>
      <w:r w:rsidRPr="001C1A39">
        <w:rPr>
          <w:rFonts w:asciiTheme="minorHAnsi" w:hAnsiTheme="minorHAnsi" w:cstheme="minorHAnsi"/>
          <w:sz w:val="22"/>
          <w:szCs w:val="22"/>
          <w:lang w:val="en-US"/>
        </w:rPr>
        <w:t xml:space="preserve">, E. (2018) ‘Reducing tunnel vision with a pen-and-paper tool for the weighting of criminal evidence’. </w:t>
      </w:r>
      <w:r w:rsidRPr="001C1A39">
        <w:rPr>
          <w:rFonts w:asciiTheme="minorHAnsi" w:hAnsiTheme="minorHAnsi" w:cstheme="minorHAnsi"/>
          <w:i/>
          <w:iCs/>
          <w:sz w:val="22"/>
          <w:szCs w:val="22"/>
          <w:lang w:val="en-US"/>
        </w:rPr>
        <w:t>Journal of Investigative Psychology and Offender Profiling</w:t>
      </w:r>
      <w:r w:rsidRPr="001C1A39">
        <w:rPr>
          <w:rFonts w:asciiTheme="minorHAnsi" w:hAnsiTheme="minorHAnsi" w:cstheme="minorHAnsi"/>
          <w:sz w:val="22"/>
          <w:szCs w:val="22"/>
          <w:lang w:val="en-US"/>
        </w:rPr>
        <w:t xml:space="preserve"> 15(2), pp. 227–233. Available at: </w:t>
      </w:r>
      <w:hyperlink r:id="rId62" w:history="1">
        <w:r w:rsidRPr="001C1A39">
          <w:rPr>
            <w:rStyle w:val="Hyperlink"/>
            <w:rFonts w:asciiTheme="minorHAnsi" w:hAnsiTheme="minorHAnsi" w:cstheme="minorHAnsi"/>
            <w:sz w:val="22"/>
            <w:szCs w:val="22"/>
            <w:lang w:val="en-US"/>
          </w:rPr>
          <w:t>https://onlinelibrary-wiley-com.ezproxy.uwtsd.ac.uk/doi/full/10.1002/jip.1504</w:t>
        </w:r>
      </w:hyperlink>
      <w:r w:rsidRPr="001C1A39">
        <w:rPr>
          <w:rFonts w:asciiTheme="minorHAnsi" w:hAnsiTheme="minorHAnsi" w:cstheme="minorHAnsi"/>
          <w:sz w:val="22"/>
          <w:szCs w:val="22"/>
          <w:lang w:val="en-US"/>
        </w:rPr>
        <w:t xml:space="preserve"> (Accessed: 27 January 2023).</w:t>
      </w:r>
    </w:p>
    <w:p w14:paraId="161C7909"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Robinson, G., McLean, R. and </w:t>
      </w:r>
      <w:proofErr w:type="spellStart"/>
      <w:r w:rsidRPr="001C1A39">
        <w:rPr>
          <w:rFonts w:asciiTheme="minorHAnsi" w:hAnsiTheme="minorHAnsi" w:cstheme="minorHAnsi"/>
          <w:sz w:val="22"/>
          <w:szCs w:val="22"/>
          <w:lang w:val="en-US"/>
        </w:rPr>
        <w:t>Densley</w:t>
      </w:r>
      <w:proofErr w:type="spellEnd"/>
      <w:r w:rsidRPr="001C1A39">
        <w:rPr>
          <w:rFonts w:asciiTheme="minorHAnsi" w:hAnsiTheme="minorHAnsi" w:cstheme="minorHAnsi"/>
          <w:sz w:val="22"/>
          <w:szCs w:val="22"/>
          <w:lang w:val="en-US"/>
        </w:rPr>
        <w:t xml:space="preserve">, J. (2018) ‘Working County Lines: Child Criminal Exploitation and Illicit Drug Dealing in Glasgow and Merseyside’. </w:t>
      </w:r>
      <w:r w:rsidRPr="001C1A39">
        <w:rPr>
          <w:rFonts w:asciiTheme="minorHAnsi" w:hAnsiTheme="minorHAnsi" w:cstheme="minorHAnsi"/>
          <w:i/>
          <w:iCs/>
          <w:sz w:val="22"/>
          <w:szCs w:val="22"/>
          <w:lang w:val="en-US"/>
        </w:rPr>
        <w:t>International Journal of Offender Therapy and Comparative Criminology</w:t>
      </w:r>
      <w:r w:rsidRPr="001C1A39">
        <w:rPr>
          <w:rFonts w:asciiTheme="minorHAnsi" w:hAnsiTheme="minorHAnsi" w:cstheme="minorHAnsi"/>
          <w:sz w:val="22"/>
          <w:szCs w:val="22"/>
          <w:lang w:val="en-US"/>
        </w:rPr>
        <w:t xml:space="preserve"> 63(5), pp. 694–711. Available at: </w:t>
      </w:r>
      <w:hyperlink r:id="rId63" w:history="1">
        <w:r w:rsidRPr="001C1A39">
          <w:rPr>
            <w:rStyle w:val="Hyperlink"/>
            <w:rFonts w:asciiTheme="minorHAnsi" w:hAnsiTheme="minorHAnsi" w:cstheme="minorHAnsi"/>
            <w:sz w:val="22"/>
            <w:szCs w:val="22"/>
            <w:lang w:val="en-US"/>
          </w:rPr>
          <w:t>https://journals-sagepub-com.ezproxy.uwtsd.ac.uk/doi/full/10.1177/0306624X18806742</w:t>
        </w:r>
      </w:hyperlink>
      <w:r w:rsidRPr="001C1A39">
        <w:rPr>
          <w:rFonts w:asciiTheme="minorHAnsi" w:hAnsiTheme="minorHAnsi" w:cstheme="minorHAnsi"/>
          <w:sz w:val="22"/>
          <w:szCs w:val="22"/>
          <w:lang w:val="en-US"/>
        </w:rPr>
        <w:t xml:space="preserve"> (Accessed: 17 January 2023).</w:t>
      </w:r>
    </w:p>
    <w:p w14:paraId="5D5C1C32"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Salet, R. and Terpstra, J. (2013) ‘Critical Review in Criminal Investigation: Evaluation of a Measure to Prevent Tunnel Vision’. </w:t>
      </w:r>
      <w:r w:rsidRPr="001C1A39">
        <w:rPr>
          <w:rFonts w:asciiTheme="minorHAnsi" w:hAnsiTheme="minorHAnsi" w:cstheme="minorHAnsi"/>
          <w:i/>
          <w:iCs/>
          <w:sz w:val="22"/>
          <w:szCs w:val="22"/>
          <w:lang w:val="en-US"/>
        </w:rPr>
        <w:t>Policing</w:t>
      </w:r>
      <w:r w:rsidRPr="001C1A39">
        <w:rPr>
          <w:rFonts w:asciiTheme="minorHAnsi" w:hAnsiTheme="minorHAnsi" w:cstheme="minorHAnsi"/>
          <w:sz w:val="22"/>
          <w:szCs w:val="22"/>
          <w:lang w:val="en-US"/>
        </w:rPr>
        <w:t xml:space="preserve"> 8(1), pp. 43–50. Available at: </w:t>
      </w:r>
      <w:hyperlink r:id="rId64" w:history="1">
        <w:r w:rsidRPr="001C1A39">
          <w:rPr>
            <w:rStyle w:val="Hyperlink"/>
            <w:rFonts w:asciiTheme="minorHAnsi" w:hAnsiTheme="minorHAnsi" w:cstheme="minorHAnsi"/>
            <w:sz w:val="22"/>
            <w:szCs w:val="22"/>
            <w:lang w:val="en-US"/>
          </w:rPr>
          <w:t>https://www.semanticscholar.org/paper/Critical-Review-in-Criminal-Investigation%3A-of-a-to-Salet-Terpstra/c613f591dae43129abe3f17ad01bfd834cb5fcf6</w:t>
        </w:r>
      </w:hyperlink>
      <w:r w:rsidRPr="001C1A39">
        <w:rPr>
          <w:rFonts w:asciiTheme="minorHAnsi" w:hAnsiTheme="minorHAnsi" w:cstheme="minorHAnsi"/>
          <w:sz w:val="22"/>
          <w:szCs w:val="22"/>
          <w:lang w:val="en-US"/>
        </w:rPr>
        <w:t xml:space="preserve"> (Accessed: 26 January 2023).</w:t>
      </w:r>
    </w:p>
    <w:p w14:paraId="31B28068"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Santry</w:t>
      </w:r>
      <w:proofErr w:type="spellEnd"/>
      <w:r w:rsidRPr="001C1A39">
        <w:rPr>
          <w:rFonts w:asciiTheme="minorHAnsi" w:hAnsiTheme="minorHAnsi" w:cstheme="minorHAnsi"/>
          <w:sz w:val="22"/>
          <w:szCs w:val="22"/>
          <w:lang w:val="en-US"/>
        </w:rPr>
        <w:t xml:space="preserve"> , C. (2018) ‘Gangs, drugs, and academies: a battle over our most vulnerable young people’. </w:t>
      </w:r>
      <w:r w:rsidRPr="001C1A39">
        <w:rPr>
          <w:rFonts w:asciiTheme="minorHAnsi" w:hAnsiTheme="minorHAnsi" w:cstheme="minorHAnsi"/>
          <w:i/>
          <w:iCs/>
          <w:sz w:val="22"/>
          <w:szCs w:val="22"/>
          <w:lang w:val="en-US"/>
        </w:rPr>
        <w:t>The Times Educational Supplement</w:t>
      </w:r>
      <w:r w:rsidRPr="001C1A39">
        <w:rPr>
          <w:rFonts w:asciiTheme="minorHAnsi" w:hAnsiTheme="minorHAnsi" w:cstheme="minorHAnsi"/>
          <w:sz w:val="22"/>
          <w:szCs w:val="22"/>
          <w:lang w:val="en-US"/>
        </w:rPr>
        <w:t xml:space="preserve"> (5312). Available at: </w:t>
      </w:r>
      <w:hyperlink r:id="rId65" w:history="1">
        <w:r w:rsidRPr="001C1A39">
          <w:rPr>
            <w:rStyle w:val="Hyperlink"/>
            <w:rFonts w:asciiTheme="minorHAnsi" w:hAnsiTheme="minorHAnsi" w:cstheme="minorHAnsi"/>
            <w:sz w:val="22"/>
            <w:szCs w:val="22"/>
            <w:lang w:val="en-US"/>
          </w:rPr>
          <w:t>https://www.proquest.com/docview/2091250481/abstract/6051249D4A894AC9PQ/1?accountid=130472</w:t>
        </w:r>
      </w:hyperlink>
      <w:r w:rsidRPr="001C1A39">
        <w:rPr>
          <w:rFonts w:asciiTheme="minorHAnsi" w:hAnsiTheme="minorHAnsi" w:cstheme="minorHAnsi"/>
          <w:sz w:val="22"/>
          <w:szCs w:val="22"/>
          <w:lang w:val="en-US"/>
        </w:rPr>
        <w:t xml:space="preserve"> (Accessed: 17 January 2023).</w:t>
      </w:r>
    </w:p>
    <w:p w14:paraId="27F4F23F"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lastRenderedPageBreak/>
        <w:t>Santry</w:t>
      </w:r>
      <w:proofErr w:type="spellEnd"/>
      <w:r w:rsidRPr="001C1A39">
        <w:rPr>
          <w:rFonts w:asciiTheme="minorHAnsi" w:hAnsiTheme="minorHAnsi" w:cstheme="minorHAnsi"/>
          <w:sz w:val="22"/>
          <w:szCs w:val="22"/>
          <w:lang w:val="en-US"/>
        </w:rPr>
        <w:t xml:space="preserve">, C. (2018) </w:t>
      </w:r>
      <w:r w:rsidRPr="001C1A39">
        <w:rPr>
          <w:rFonts w:asciiTheme="minorHAnsi" w:hAnsiTheme="minorHAnsi" w:cstheme="minorHAnsi"/>
          <w:i/>
          <w:iCs/>
          <w:sz w:val="22"/>
          <w:szCs w:val="22"/>
          <w:lang w:val="en-US"/>
        </w:rPr>
        <w:t>How much of a threat are ‘county lines’ gangs?</w:t>
      </w:r>
      <w:r w:rsidRPr="001C1A39">
        <w:rPr>
          <w:rFonts w:asciiTheme="minorHAnsi" w:hAnsiTheme="minorHAnsi" w:cstheme="minorHAnsi"/>
          <w:sz w:val="22"/>
          <w:szCs w:val="22"/>
          <w:lang w:val="en-US"/>
        </w:rPr>
        <w:t xml:space="preserve"> The Times Educational Supplement. Available at: </w:t>
      </w:r>
      <w:hyperlink r:id="rId66" w:history="1">
        <w:r w:rsidRPr="001C1A39">
          <w:rPr>
            <w:rStyle w:val="Hyperlink"/>
            <w:rFonts w:asciiTheme="minorHAnsi" w:hAnsiTheme="minorHAnsi" w:cstheme="minorHAnsi"/>
            <w:sz w:val="22"/>
            <w:szCs w:val="22"/>
            <w:lang w:val="en-US"/>
          </w:rPr>
          <w:t>https://www.proquest.com/docview/2088315654/abstract/904DF65252EF46A2PQ/1?accountid=130472</w:t>
        </w:r>
      </w:hyperlink>
      <w:r w:rsidRPr="001C1A39">
        <w:rPr>
          <w:rFonts w:asciiTheme="minorHAnsi" w:hAnsiTheme="minorHAnsi" w:cstheme="minorHAnsi"/>
          <w:sz w:val="22"/>
          <w:szCs w:val="22"/>
          <w:lang w:val="en-US"/>
        </w:rPr>
        <w:t xml:space="preserve"> (Accessed: 17 January 2023).</w:t>
      </w:r>
    </w:p>
    <w:p w14:paraId="7AFE13E7"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Saunders, J., Ober, A., Barnes-</w:t>
      </w:r>
      <w:proofErr w:type="spellStart"/>
      <w:r w:rsidRPr="001C1A39">
        <w:rPr>
          <w:rFonts w:asciiTheme="minorHAnsi" w:hAnsiTheme="minorHAnsi" w:cstheme="minorHAnsi"/>
          <w:sz w:val="22"/>
          <w:szCs w:val="22"/>
          <w:lang w:val="en-US"/>
        </w:rPr>
        <w:t>Proby</w:t>
      </w:r>
      <w:proofErr w:type="spellEnd"/>
      <w:r w:rsidRPr="001C1A39">
        <w:rPr>
          <w:rFonts w:asciiTheme="minorHAnsi" w:hAnsiTheme="minorHAnsi" w:cstheme="minorHAnsi"/>
          <w:sz w:val="22"/>
          <w:szCs w:val="22"/>
          <w:lang w:val="en-US"/>
        </w:rPr>
        <w:t xml:space="preserve">, D. and Brunson, R.K. (2016) ‘Police legitimacy and disrupting overt drug markets’. </w:t>
      </w:r>
      <w:r w:rsidRPr="001C1A39">
        <w:rPr>
          <w:rFonts w:asciiTheme="minorHAnsi" w:hAnsiTheme="minorHAnsi" w:cstheme="minorHAnsi"/>
          <w:i/>
          <w:iCs/>
          <w:sz w:val="22"/>
          <w:szCs w:val="22"/>
          <w:lang w:val="en-US"/>
        </w:rPr>
        <w:t>Policing: An International Journal of Police Strategies &amp; Management</w:t>
      </w:r>
      <w:r w:rsidRPr="001C1A39">
        <w:rPr>
          <w:rFonts w:asciiTheme="minorHAnsi" w:hAnsiTheme="minorHAnsi" w:cstheme="minorHAnsi"/>
          <w:sz w:val="22"/>
          <w:szCs w:val="22"/>
          <w:lang w:val="en-US"/>
        </w:rPr>
        <w:t xml:space="preserve"> 39(4), pp. 667–679. Available at: </w:t>
      </w:r>
      <w:hyperlink r:id="rId67" w:history="1">
        <w:r w:rsidRPr="001C1A39">
          <w:rPr>
            <w:rStyle w:val="Hyperlink"/>
            <w:rFonts w:asciiTheme="minorHAnsi" w:hAnsiTheme="minorHAnsi" w:cstheme="minorHAnsi"/>
            <w:sz w:val="22"/>
            <w:szCs w:val="22"/>
            <w:lang w:val="en-US"/>
          </w:rPr>
          <w:t>https://www.proquest.com/docview/1844295079?accountid=130472&amp;parentSessionId=v7hEmxKQmjR8kaNxEVSK%2F%2FZzO2nCwqK61JCDEAM2z1E%3D&amp;pq-origsite=primo</w:t>
        </w:r>
      </w:hyperlink>
      <w:r w:rsidRPr="001C1A39">
        <w:rPr>
          <w:rFonts w:asciiTheme="minorHAnsi" w:hAnsiTheme="minorHAnsi" w:cstheme="minorHAnsi"/>
          <w:sz w:val="22"/>
          <w:szCs w:val="22"/>
          <w:lang w:val="en-US"/>
        </w:rPr>
        <w:t xml:space="preserve"> (Accessed: 15 January 2023).</w:t>
      </w:r>
    </w:p>
    <w:p w14:paraId="004E8DE4"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Schappert</w:t>
      </w:r>
      <w:proofErr w:type="spellEnd"/>
      <w:r w:rsidRPr="001C1A39">
        <w:rPr>
          <w:rFonts w:asciiTheme="minorHAnsi" w:hAnsiTheme="minorHAnsi" w:cstheme="minorHAnsi"/>
          <w:sz w:val="22"/>
          <w:szCs w:val="22"/>
          <w:lang w:val="en-US"/>
        </w:rPr>
        <w:t xml:space="preserve">, S. (2023) </w:t>
      </w:r>
      <w:r w:rsidRPr="001C1A39">
        <w:rPr>
          <w:rFonts w:asciiTheme="minorHAnsi" w:hAnsiTheme="minorHAnsi" w:cstheme="minorHAnsi"/>
          <w:i/>
          <w:iCs/>
          <w:sz w:val="22"/>
          <w:szCs w:val="22"/>
          <w:lang w:val="en-US"/>
        </w:rPr>
        <w:t>Putin Silenced by Pro-Ukrainian Hackers during DDoS Attack on Russian Media</w:t>
      </w:r>
      <w:r w:rsidRPr="001C1A39">
        <w:rPr>
          <w:rFonts w:asciiTheme="minorHAnsi" w:hAnsiTheme="minorHAnsi" w:cstheme="minorHAnsi"/>
          <w:sz w:val="22"/>
          <w:szCs w:val="22"/>
          <w:lang w:val="en-US"/>
        </w:rPr>
        <w:t xml:space="preserve">. Available at: </w:t>
      </w:r>
      <w:hyperlink r:id="rId68" w:history="1">
        <w:r w:rsidRPr="001C1A39">
          <w:rPr>
            <w:rStyle w:val="Hyperlink"/>
            <w:rFonts w:asciiTheme="minorHAnsi" w:hAnsiTheme="minorHAnsi" w:cstheme="minorHAnsi"/>
            <w:sz w:val="22"/>
            <w:szCs w:val="22"/>
            <w:lang w:val="en-US"/>
          </w:rPr>
          <w:t>https://cybernews.com/news/putin-pro-ukraine-hackers-ddos-attack-russian-media/</w:t>
        </w:r>
      </w:hyperlink>
      <w:r w:rsidRPr="001C1A39">
        <w:rPr>
          <w:rFonts w:asciiTheme="minorHAnsi" w:hAnsiTheme="minorHAnsi" w:cstheme="minorHAnsi"/>
          <w:sz w:val="22"/>
          <w:szCs w:val="22"/>
          <w:lang w:val="en-US"/>
        </w:rPr>
        <w:t xml:space="preserve"> (Accessed: 23 February 2023).</w:t>
      </w:r>
    </w:p>
    <w:p w14:paraId="60A618CD"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Smith, N. (2018) </w:t>
      </w:r>
      <w:r w:rsidRPr="001C1A39">
        <w:rPr>
          <w:rFonts w:asciiTheme="minorHAnsi" w:hAnsiTheme="minorHAnsi" w:cstheme="minorHAnsi"/>
          <w:i/>
          <w:iCs/>
          <w:sz w:val="22"/>
          <w:szCs w:val="22"/>
          <w:lang w:val="en-US"/>
        </w:rPr>
        <w:t xml:space="preserve">Killed by injustice: the legacy of Mahmoud </w:t>
      </w:r>
      <w:proofErr w:type="spellStart"/>
      <w:r w:rsidRPr="001C1A39">
        <w:rPr>
          <w:rFonts w:asciiTheme="minorHAnsi" w:hAnsiTheme="minorHAnsi" w:cstheme="minorHAnsi"/>
          <w:i/>
          <w:iCs/>
          <w:sz w:val="22"/>
          <w:szCs w:val="22"/>
          <w:lang w:val="en-US"/>
        </w:rPr>
        <w:t>Mattan</w:t>
      </w:r>
      <w:proofErr w:type="spellEnd"/>
      <w:r w:rsidRPr="001C1A39">
        <w:rPr>
          <w:rFonts w:asciiTheme="minorHAnsi" w:hAnsiTheme="minorHAnsi" w:cstheme="minorHAnsi"/>
          <w:i/>
          <w:iCs/>
          <w:sz w:val="22"/>
          <w:szCs w:val="22"/>
          <w:lang w:val="en-US"/>
        </w:rPr>
        <w:t xml:space="preserve"> – The Justice Gap</w:t>
      </w:r>
      <w:r w:rsidRPr="001C1A39">
        <w:rPr>
          <w:rFonts w:asciiTheme="minorHAnsi" w:hAnsiTheme="minorHAnsi" w:cstheme="minorHAnsi"/>
          <w:sz w:val="22"/>
          <w:szCs w:val="22"/>
          <w:lang w:val="en-US"/>
        </w:rPr>
        <w:t xml:space="preserve">. Available at: </w:t>
      </w:r>
      <w:hyperlink r:id="rId69" w:history="1">
        <w:r w:rsidRPr="001C1A39">
          <w:rPr>
            <w:rStyle w:val="Hyperlink"/>
            <w:rFonts w:asciiTheme="minorHAnsi" w:hAnsiTheme="minorHAnsi" w:cstheme="minorHAnsi"/>
            <w:sz w:val="22"/>
            <w:szCs w:val="22"/>
            <w:lang w:val="en-US"/>
          </w:rPr>
          <w:t>https://www.thejusticegap.com/killed-by-injustice-the-legacy-of-mahmoud-mattan/</w:t>
        </w:r>
      </w:hyperlink>
      <w:r w:rsidRPr="001C1A39">
        <w:rPr>
          <w:rFonts w:asciiTheme="minorHAnsi" w:hAnsiTheme="minorHAnsi" w:cstheme="minorHAnsi"/>
          <w:sz w:val="22"/>
          <w:szCs w:val="22"/>
          <w:lang w:val="en-US"/>
        </w:rPr>
        <w:t>.</w:t>
      </w:r>
    </w:p>
    <w:p w14:paraId="5F125A6C"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South Wales Police (2023) </w:t>
      </w:r>
      <w:r w:rsidRPr="001C1A39">
        <w:rPr>
          <w:rFonts w:asciiTheme="minorHAnsi" w:hAnsiTheme="minorHAnsi" w:cstheme="minorHAnsi"/>
          <w:i/>
          <w:iCs/>
          <w:sz w:val="22"/>
          <w:szCs w:val="22"/>
          <w:lang w:val="en-US"/>
        </w:rPr>
        <w:t>Cyber Crime</w:t>
      </w:r>
      <w:r w:rsidRPr="001C1A39">
        <w:rPr>
          <w:rFonts w:asciiTheme="minorHAnsi" w:hAnsiTheme="minorHAnsi" w:cstheme="minorHAnsi"/>
          <w:sz w:val="22"/>
          <w:szCs w:val="22"/>
          <w:lang w:val="en-US"/>
        </w:rPr>
        <w:t xml:space="preserve">. Available at: </w:t>
      </w:r>
      <w:hyperlink r:id="rId70" w:history="1">
        <w:r w:rsidRPr="001C1A39">
          <w:rPr>
            <w:rStyle w:val="Hyperlink"/>
            <w:rFonts w:asciiTheme="minorHAnsi" w:hAnsiTheme="minorHAnsi" w:cstheme="minorHAnsi"/>
            <w:sz w:val="22"/>
            <w:szCs w:val="22"/>
            <w:lang w:val="en-US"/>
          </w:rPr>
          <w:t>https://www.south-wales.police.uk/advice/advice-and-information/fa/fraud/online-fraud/cyber-crime-fraud/</w:t>
        </w:r>
      </w:hyperlink>
      <w:r w:rsidRPr="001C1A39">
        <w:rPr>
          <w:rFonts w:asciiTheme="minorHAnsi" w:hAnsiTheme="minorHAnsi" w:cstheme="minorHAnsi"/>
          <w:sz w:val="22"/>
          <w:szCs w:val="22"/>
          <w:lang w:val="en-US"/>
        </w:rPr>
        <w:t xml:space="preserve"> (Accessed: 23 February 2023).</w:t>
      </w:r>
    </w:p>
    <w:p w14:paraId="5E23C350"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Spicer, J. (2021) ‘The policing of cuckooing in “County Lines” drug dealing: An ethnographic study of an amplification spiral’. </w:t>
      </w:r>
      <w:r w:rsidRPr="001C1A39">
        <w:rPr>
          <w:rFonts w:asciiTheme="minorHAnsi" w:hAnsiTheme="minorHAnsi" w:cstheme="minorHAnsi"/>
          <w:i/>
          <w:iCs/>
          <w:sz w:val="22"/>
          <w:szCs w:val="22"/>
          <w:lang w:val="en-US"/>
        </w:rPr>
        <w:t>British Journal Of Criminology</w:t>
      </w:r>
      <w:r w:rsidRPr="001C1A39">
        <w:rPr>
          <w:rFonts w:asciiTheme="minorHAnsi" w:hAnsiTheme="minorHAnsi" w:cstheme="minorHAnsi"/>
          <w:sz w:val="22"/>
          <w:szCs w:val="22"/>
          <w:lang w:val="en-US"/>
        </w:rPr>
        <w:t xml:space="preserve"> 61(5), pp. 1390–1406. Available at: </w:t>
      </w:r>
      <w:hyperlink r:id="rId71" w:history="1">
        <w:r w:rsidRPr="001C1A39">
          <w:rPr>
            <w:rStyle w:val="Hyperlink"/>
            <w:rFonts w:asciiTheme="minorHAnsi" w:hAnsiTheme="minorHAnsi" w:cstheme="minorHAnsi"/>
            <w:sz w:val="22"/>
            <w:szCs w:val="22"/>
            <w:lang w:val="en-US"/>
          </w:rPr>
          <w:t>https://academic.oup.com/bjc/article/61/5/1390/6217393?login=true</w:t>
        </w:r>
      </w:hyperlink>
      <w:r w:rsidRPr="001C1A39">
        <w:rPr>
          <w:rFonts w:asciiTheme="minorHAnsi" w:hAnsiTheme="minorHAnsi" w:cstheme="minorHAnsi"/>
          <w:sz w:val="22"/>
          <w:szCs w:val="22"/>
          <w:lang w:val="en-US"/>
        </w:rPr>
        <w:t xml:space="preserve"> (Accessed: 17 January 2023).</w:t>
      </w:r>
    </w:p>
    <w:p w14:paraId="1D08CB5A"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Spicer, J., Moyle, L. and </w:t>
      </w:r>
      <w:proofErr w:type="spellStart"/>
      <w:r w:rsidRPr="001C1A39">
        <w:rPr>
          <w:rFonts w:asciiTheme="minorHAnsi" w:hAnsiTheme="minorHAnsi" w:cstheme="minorHAnsi"/>
          <w:sz w:val="22"/>
          <w:szCs w:val="22"/>
          <w:lang w:val="en-US"/>
        </w:rPr>
        <w:t>Coomber</w:t>
      </w:r>
      <w:proofErr w:type="spellEnd"/>
      <w:r w:rsidRPr="001C1A39">
        <w:rPr>
          <w:rFonts w:asciiTheme="minorHAnsi" w:hAnsiTheme="minorHAnsi" w:cstheme="minorHAnsi"/>
          <w:sz w:val="22"/>
          <w:szCs w:val="22"/>
          <w:lang w:val="en-US"/>
        </w:rPr>
        <w:t xml:space="preserve">, R. (2019) ‘The variable and evolving nature of “cuckooing” as a form of criminal exploitation in street level drug markets’. </w:t>
      </w:r>
      <w:r w:rsidRPr="001C1A39">
        <w:rPr>
          <w:rFonts w:asciiTheme="minorHAnsi" w:hAnsiTheme="minorHAnsi" w:cstheme="minorHAnsi"/>
          <w:i/>
          <w:iCs/>
          <w:sz w:val="22"/>
          <w:szCs w:val="22"/>
          <w:lang w:val="en-US"/>
        </w:rPr>
        <w:t>Trends in Organized Crime</w:t>
      </w:r>
      <w:r w:rsidRPr="001C1A39">
        <w:rPr>
          <w:rFonts w:asciiTheme="minorHAnsi" w:hAnsiTheme="minorHAnsi" w:cstheme="minorHAnsi"/>
          <w:sz w:val="22"/>
          <w:szCs w:val="22"/>
          <w:lang w:val="en-US"/>
        </w:rPr>
        <w:t xml:space="preserve"> 23, pp. 301–323. Available at: </w:t>
      </w:r>
      <w:hyperlink r:id="rId72" w:anchor="citeas" w:history="1">
        <w:r w:rsidRPr="001C1A39">
          <w:rPr>
            <w:rStyle w:val="Hyperlink"/>
            <w:rFonts w:asciiTheme="minorHAnsi" w:hAnsiTheme="minorHAnsi" w:cstheme="minorHAnsi"/>
            <w:sz w:val="22"/>
            <w:szCs w:val="22"/>
            <w:lang w:val="en-US"/>
          </w:rPr>
          <w:t>https://link.springer.com/article/10.1007/s12117-019-09368-5#citeas</w:t>
        </w:r>
      </w:hyperlink>
      <w:r w:rsidRPr="001C1A39">
        <w:rPr>
          <w:rFonts w:asciiTheme="minorHAnsi" w:hAnsiTheme="minorHAnsi" w:cstheme="minorHAnsi"/>
          <w:sz w:val="22"/>
          <w:szCs w:val="22"/>
          <w:lang w:val="en-US"/>
        </w:rPr>
        <w:t xml:space="preserve"> (Accessed: 17 January 2023).</w:t>
      </w:r>
    </w:p>
    <w:p w14:paraId="756DF5C3"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Stripe, N. (2022) </w:t>
      </w:r>
      <w:proofErr w:type="spellStart"/>
      <w:r w:rsidRPr="001C1A39">
        <w:rPr>
          <w:rFonts w:asciiTheme="minorHAnsi" w:hAnsiTheme="minorHAnsi" w:cstheme="minorHAnsi"/>
          <w:i/>
          <w:iCs/>
          <w:sz w:val="22"/>
          <w:szCs w:val="22"/>
          <w:lang w:val="en-US"/>
        </w:rPr>
        <w:t>Victimisation</w:t>
      </w:r>
      <w:proofErr w:type="spellEnd"/>
      <w:r w:rsidRPr="001C1A39">
        <w:rPr>
          <w:rFonts w:asciiTheme="minorHAnsi" w:hAnsiTheme="minorHAnsi" w:cstheme="minorHAnsi"/>
          <w:i/>
          <w:iCs/>
          <w:sz w:val="22"/>
          <w:szCs w:val="22"/>
          <w:lang w:val="en-US"/>
        </w:rPr>
        <w:t xml:space="preserve"> and its relationship to drug misuse, common mental disorder and well-being in England and Wales - Office for National Statistics</w:t>
      </w:r>
      <w:r w:rsidRPr="001C1A39">
        <w:rPr>
          <w:rFonts w:asciiTheme="minorHAnsi" w:hAnsiTheme="minorHAnsi" w:cstheme="minorHAnsi"/>
          <w:sz w:val="22"/>
          <w:szCs w:val="22"/>
          <w:lang w:val="en-US"/>
        </w:rPr>
        <w:t xml:space="preserve">. Available at: </w:t>
      </w:r>
      <w:hyperlink r:id="rId73" w:anchor="victimisation-and-its-relationship-to-drug-misuse-common-mental-disorder-and-personal-well-being" w:history="1">
        <w:r w:rsidRPr="001C1A39">
          <w:rPr>
            <w:rStyle w:val="Hyperlink"/>
            <w:rFonts w:asciiTheme="minorHAnsi" w:hAnsiTheme="minorHAnsi" w:cstheme="minorHAnsi"/>
            <w:sz w:val="22"/>
            <w:szCs w:val="22"/>
            <w:lang w:val="en-US"/>
          </w:rPr>
          <w:t>https://www.ons.gov.uk/peoplepopulationandcommunity/crimeandjustice/articles/victimisationanditsrelationshiptodrugmisusecommonmentalhealthdisorderandwellbeinginenglandandwales/yearendingmarch2021#victimisation-and-its-relationship-to-drug-misuse-common-mental-disorder-and-</w:t>
        </w:r>
        <w:r w:rsidRPr="001C1A39">
          <w:rPr>
            <w:rStyle w:val="Hyperlink"/>
            <w:rFonts w:asciiTheme="minorHAnsi" w:hAnsiTheme="minorHAnsi" w:cstheme="minorHAnsi"/>
            <w:sz w:val="22"/>
            <w:szCs w:val="22"/>
            <w:lang w:val="en-US"/>
          </w:rPr>
          <w:lastRenderedPageBreak/>
          <w:t>personal-well-being</w:t>
        </w:r>
      </w:hyperlink>
      <w:r w:rsidRPr="001C1A39">
        <w:rPr>
          <w:rFonts w:asciiTheme="minorHAnsi" w:hAnsiTheme="minorHAnsi" w:cstheme="minorHAnsi"/>
          <w:sz w:val="22"/>
          <w:szCs w:val="22"/>
          <w:lang w:val="en-US"/>
        </w:rPr>
        <w:t xml:space="preserve"> (Accessed: 14 January 2023).</w:t>
      </w:r>
    </w:p>
    <w:p w14:paraId="167A3147"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proofErr w:type="spellStart"/>
      <w:r w:rsidRPr="001C1A39">
        <w:rPr>
          <w:rFonts w:asciiTheme="minorHAnsi" w:hAnsiTheme="minorHAnsi" w:cstheme="minorHAnsi"/>
          <w:sz w:val="22"/>
          <w:szCs w:val="22"/>
          <w:lang w:val="en-US"/>
        </w:rPr>
        <w:t>Sumampouw</w:t>
      </w:r>
      <w:proofErr w:type="spellEnd"/>
      <w:r w:rsidRPr="001C1A39">
        <w:rPr>
          <w:rFonts w:asciiTheme="minorHAnsi" w:hAnsiTheme="minorHAnsi" w:cstheme="minorHAnsi"/>
          <w:sz w:val="22"/>
          <w:szCs w:val="22"/>
          <w:lang w:val="en-US"/>
        </w:rPr>
        <w:t xml:space="preserve">, N.E.J., de Ruiter, C. and </w:t>
      </w:r>
      <w:proofErr w:type="spellStart"/>
      <w:r w:rsidRPr="001C1A39">
        <w:rPr>
          <w:rFonts w:asciiTheme="minorHAnsi" w:hAnsiTheme="minorHAnsi" w:cstheme="minorHAnsi"/>
          <w:sz w:val="22"/>
          <w:szCs w:val="22"/>
          <w:lang w:val="en-US"/>
        </w:rPr>
        <w:t>Otgaar</w:t>
      </w:r>
      <w:proofErr w:type="spellEnd"/>
      <w:r w:rsidRPr="001C1A39">
        <w:rPr>
          <w:rFonts w:asciiTheme="minorHAnsi" w:hAnsiTheme="minorHAnsi" w:cstheme="minorHAnsi"/>
          <w:sz w:val="22"/>
          <w:szCs w:val="22"/>
          <w:lang w:val="en-US"/>
        </w:rPr>
        <w:t xml:space="preserve">, H. (2021) ‘Potential for police investigator bias: the impact of child sexual abuse victims’ background characteristics on perceived statement credibility, case outcome and quality of interview questions’. </w:t>
      </w:r>
      <w:r w:rsidRPr="001C1A39">
        <w:rPr>
          <w:rFonts w:asciiTheme="minorHAnsi" w:hAnsiTheme="minorHAnsi" w:cstheme="minorHAnsi"/>
          <w:i/>
          <w:iCs/>
          <w:sz w:val="22"/>
          <w:szCs w:val="22"/>
          <w:lang w:val="en-US"/>
        </w:rPr>
        <w:t>Police Practice and Research</w:t>
      </w:r>
      <w:r w:rsidRPr="001C1A39">
        <w:rPr>
          <w:rFonts w:asciiTheme="minorHAnsi" w:hAnsiTheme="minorHAnsi" w:cstheme="minorHAnsi"/>
          <w:sz w:val="22"/>
          <w:szCs w:val="22"/>
          <w:lang w:val="en-US"/>
        </w:rPr>
        <w:t xml:space="preserve"> 23(3), pp. 1–18. Available at: </w:t>
      </w:r>
      <w:hyperlink r:id="rId74" w:history="1">
        <w:r w:rsidRPr="001C1A39">
          <w:rPr>
            <w:rStyle w:val="Hyperlink"/>
            <w:rFonts w:asciiTheme="minorHAnsi" w:hAnsiTheme="minorHAnsi" w:cstheme="minorHAnsi"/>
            <w:sz w:val="22"/>
            <w:szCs w:val="22"/>
            <w:lang w:val="en-US"/>
          </w:rPr>
          <w:t>https://www-tandfonline-com.ezproxy.uwtsd.ac.uk/doi/citedby/10.1080/15614263.2021.1952872?scroll=top&amp;needAccess=true&amp;role=tab</w:t>
        </w:r>
      </w:hyperlink>
      <w:r w:rsidRPr="001C1A39">
        <w:rPr>
          <w:rFonts w:asciiTheme="minorHAnsi" w:hAnsiTheme="minorHAnsi" w:cstheme="minorHAnsi"/>
          <w:sz w:val="22"/>
          <w:szCs w:val="22"/>
          <w:lang w:val="en-US"/>
        </w:rPr>
        <w:t xml:space="preserve"> (Accessed: 26 January 2023).</w:t>
      </w:r>
    </w:p>
    <w:p w14:paraId="68C138F2"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Sunshine, J. and Tyler, T. (2003) ‘Moral Solidarity, Identification with the Community, and the Importance of Procedural Justice: The Police as Prototypical Representatives of a Group’s Moral Values’. </w:t>
      </w:r>
      <w:r w:rsidRPr="001C1A39">
        <w:rPr>
          <w:rFonts w:asciiTheme="minorHAnsi" w:hAnsiTheme="minorHAnsi" w:cstheme="minorHAnsi"/>
          <w:i/>
          <w:iCs/>
          <w:sz w:val="22"/>
          <w:szCs w:val="22"/>
          <w:lang w:val="en-US"/>
        </w:rPr>
        <w:t>Social Psychology Quarterly</w:t>
      </w:r>
      <w:r w:rsidRPr="001C1A39">
        <w:rPr>
          <w:rFonts w:asciiTheme="minorHAnsi" w:hAnsiTheme="minorHAnsi" w:cstheme="minorHAnsi"/>
          <w:sz w:val="22"/>
          <w:szCs w:val="22"/>
          <w:lang w:val="en-US"/>
        </w:rPr>
        <w:t xml:space="preserve"> 66(2), p. 153. Available at: </w:t>
      </w:r>
      <w:hyperlink r:id="rId75" w:history="1">
        <w:r w:rsidRPr="001C1A39">
          <w:rPr>
            <w:rStyle w:val="Hyperlink"/>
            <w:rFonts w:asciiTheme="minorHAnsi" w:hAnsiTheme="minorHAnsi" w:cstheme="minorHAnsi"/>
            <w:sz w:val="22"/>
            <w:szCs w:val="22"/>
            <w:lang w:val="en-US"/>
          </w:rPr>
          <w:t>https://www-jstor-org.ezproxy.uwtsd.ac.uk/stable/pdf/1519845</w:t>
        </w:r>
      </w:hyperlink>
      <w:r w:rsidRPr="001C1A39">
        <w:rPr>
          <w:rFonts w:asciiTheme="minorHAnsi" w:hAnsiTheme="minorHAnsi" w:cstheme="minorHAnsi"/>
          <w:sz w:val="22"/>
          <w:szCs w:val="22"/>
          <w:lang w:val="en-US"/>
        </w:rPr>
        <w:t xml:space="preserve"> (Accessed: 16 January 2023).</w:t>
      </w:r>
    </w:p>
    <w:p w14:paraId="57B2990B"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Tong, S. and </w:t>
      </w:r>
      <w:proofErr w:type="spellStart"/>
      <w:r w:rsidRPr="001C1A39">
        <w:rPr>
          <w:rFonts w:asciiTheme="minorHAnsi" w:hAnsiTheme="minorHAnsi" w:cstheme="minorHAnsi"/>
          <w:sz w:val="22"/>
          <w:szCs w:val="22"/>
          <w:lang w:val="en-US"/>
        </w:rPr>
        <w:t>Caless</w:t>
      </w:r>
      <w:proofErr w:type="spellEnd"/>
      <w:r w:rsidRPr="001C1A39">
        <w:rPr>
          <w:rFonts w:asciiTheme="minorHAnsi" w:hAnsiTheme="minorHAnsi" w:cstheme="minorHAnsi"/>
          <w:sz w:val="22"/>
          <w:szCs w:val="22"/>
          <w:lang w:val="en-US"/>
        </w:rPr>
        <w:t xml:space="preserve">, B. (2017) </w:t>
      </w:r>
      <w:r w:rsidRPr="001C1A39">
        <w:rPr>
          <w:rFonts w:asciiTheme="minorHAnsi" w:hAnsiTheme="minorHAnsi" w:cstheme="minorHAnsi"/>
          <w:i/>
          <w:iCs/>
          <w:sz w:val="22"/>
          <w:szCs w:val="22"/>
          <w:lang w:val="en-US"/>
        </w:rPr>
        <w:t>Leading Policing in Europe : an Empirical Study of Strategic Police Leadership</w:t>
      </w:r>
      <w:r w:rsidRPr="001C1A39">
        <w:rPr>
          <w:rFonts w:asciiTheme="minorHAnsi" w:hAnsiTheme="minorHAnsi" w:cstheme="minorHAnsi"/>
          <w:sz w:val="22"/>
          <w:szCs w:val="22"/>
          <w:lang w:val="en-US"/>
        </w:rPr>
        <w:t xml:space="preserve">. Bristol: Policy Press., pp. 195–202. Available at: </w:t>
      </w:r>
      <w:hyperlink r:id="rId76" w:history="1">
        <w:r w:rsidRPr="001C1A39">
          <w:rPr>
            <w:rStyle w:val="Hyperlink"/>
            <w:rFonts w:asciiTheme="minorHAnsi" w:hAnsiTheme="minorHAnsi" w:cstheme="minorHAnsi"/>
            <w:sz w:val="22"/>
            <w:szCs w:val="22"/>
            <w:lang w:val="en-US"/>
          </w:rPr>
          <w:t>https://www-jstor-org.ezproxy.uwtsd.ac.uk/stable/j.ctt1t89gvd</w:t>
        </w:r>
      </w:hyperlink>
      <w:r w:rsidRPr="001C1A39">
        <w:rPr>
          <w:rFonts w:asciiTheme="minorHAnsi" w:hAnsiTheme="minorHAnsi" w:cstheme="minorHAnsi"/>
          <w:sz w:val="22"/>
          <w:szCs w:val="22"/>
          <w:lang w:val="en-US"/>
        </w:rPr>
        <w:t xml:space="preserve"> (Accessed: 21 February 2023).</w:t>
      </w:r>
    </w:p>
    <w:p w14:paraId="79A621DF"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Waddell, S. (2015) </w:t>
      </w:r>
      <w:r w:rsidRPr="001C1A39">
        <w:rPr>
          <w:rFonts w:asciiTheme="minorHAnsi" w:hAnsiTheme="minorHAnsi" w:cstheme="minorHAnsi"/>
          <w:i/>
          <w:iCs/>
          <w:sz w:val="22"/>
          <w:szCs w:val="22"/>
          <w:lang w:val="en-US"/>
        </w:rPr>
        <w:t>Preventing gang and youth violence: spotting  signals of risk and supporting children and young people</w:t>
      </w:r>
      <w:r w:rsidRPr="001C1A39">
        <w:rPr>
          <w:rFonts w:asciiTheme="minorHAnsi" w:hAnsiTheme="minorHAnsi" w:cstheme="minorHAnsi"/>
          <w:sz w:val="22"/>
          <w:szCs w:val="22"/>
          <w:lang w:val="en-US"/>
        </w:rPr>
        <w:t xml:space="preserve">. Early Intervention Foundation . Available at: </w:t>
      </w:r>
      <w:hyperlink r:id="rId77" w:history="1">
        <w:r w:rsidRPr="001C1A39">
          <w:rPr>
            <w:rStyle w:val="Hyperlink"/>
            <w:rFonts w:asciiTheme="minorHAnsi" w:hAnsiTheme="minorHAnsi" w:cstheme="minorHAnsi"/>
            <w:sz w:val="22"/>
            <w:szCs w:val="22"/>
            <w:lang w:val="en-US"/>
          </w:rPr>
          <w:t>https://www.eif.org.uk/report/preventing-gang-and-youth-violence-spotting-signals-of-risk-and-supporting-children-and-young-people</w:t>
        </w:r>
      </w:hyperlink>
      <w:r w:rsidRPr="001C1A39">
        <w:rPr>
          <w:rFonts w:asciiTheme="minorHAnsi" w:hAnsiTheme="minorHAnsi" w:cstheme="minorHAnsi"/>
          <w:sz w:val="22"/>
          <w:szCs w:val="22"/>
          <w:lang w:val="en-US"/>
        </w:rPr>
        <w:t xml:space="preserve"> (Accessed: 17 January 2023).</w:t>
      </w:r>
    </w:p>
    <w:p w14:paraId="756E50E9"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Wakefield, A. and Fleming, J. (2009) </w:t>
      </w:r>
      <w:r w:rsidRPr="001C1A39">
        <w:rPr>
          <w:rFonts w:asciiTheme="minorHAnsi" w:hAnsiTheme="minorHAnsi" w:cstheme="minorHAnsi"/>
          <w:i/>
          <w:iCs/>
          <w:sz w:val="22"/>
          <w:szCs w:val="22"/>
          <w:lang w:val="en-US"/>
        </w:rPr>
        <w:t>Problem-Oriented Policing</w:t>
      </w:r>
      <w:r w:rsidRPr="001C1A39">
        <w:rPr>
          <w:rFonts w:asciiTheme="minorHAnsi" w:hAnsiTheme="minorHAnsi" w:cstheme="minorHAnsi"/>
          <w:sz w:val="22"/>
          <w:szCs w:val="22"/>
          <w:lang w:val="en-US"/>
        </w:rPr>
        <w:t xml:space="preserve">. Available at: </w:t>
      </w:r>
      <w:hyperlink r:id="rId78" w:history="1">
        <w:r w:rsidRPr="001C1A39">
          <w:rPr>
            <w:rStyle w:val="Hyperlink"/>
            <w:rFonts w:asciiTheme="minorHAnsi" w:hAnsiTheme="minorHAnsi" w:cstheme="minorHAnsi"/>
            <w:sz w:val="22"/>
            <w:szCs w:val="22"/>
            <w:lang w:val="en-US"/>
          </w:rPr>
          <w:t>https://sk.sagepub.com/reference/the-sage-dictionary-of-policing/n100.xml</w:t>
        </w:r>
      </w:hyperlink>
      <w:r w:rsidRPr="001C1A39">
        <w:rPr>
          <w:rFonts w:asciiTheme="minorHAnsi" w:hAnsiTheme="minorHAnsi" w:cstheme="minorHAnsi"/>
          <w:sz w:val="22"/>
          <w:szCs w:val="22"/>
          <w:lang w:val="en-US"/>
        </w:rPr>
        <w:t xml:space="preserve"> (Accessed: 14 January 2023).</w:t>
      </w:r>
    </w:p>
    <w:p w14:paraId="2422DFE0"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Weisburd, D., Farrington, D.P. and Gill, C. (2017) </w:t>
      </w:r>
      <w:r w:rsidRPr="001C1A39">
        <w:rPr>
          <w:rFonts w:asciiTheme="minorHAnsi" w:hAnsiTheme="minorHAnsi" w:cstheme="minorHAnsi"/>
          <w:i/>
          <w:iCs/>
          <w:sz w:val="22"/>
          <w:szCs w:val="22"/>
          <w:lang w:val="en-US"/>
        </w:rPr>
        <w:t>What works in crime prevention and rehabilitation : lessons from systematic reviews</w:t>
      </w:r>
      <w:r w:rsidRPr="001C1A39">
        <w:rPr>
          <w:rFonts w:asciiTheme="minorHAnsi" w:hAnsiTheme="minorHAnsi" w:cstheme="minorHAnsi"/>
          <w:sz w:val="22"/>
          <w:szCs w:val="22"/>
          <w:lang w:val="en-US"/>
        </w:rPr>
        <w:t xml:space="preserve">. New York: Springer., pp. 233–235. Available at: </w:t>
      </w:r>
      <w:hyperlink r:id="rId79" w:history="1">
        <w:r w:rsidRPr="001C1A39">
          <w:rPr>
            <w:rStyle w:val="Hyperlink"/>
            <w:rFonts w:asciiTheme="minorHAnsi" w:hAnsiTheme="minorHAnsi" w:cstheme="minorHAnsi"/>
            <w:sz w:val="22"/>
            <w:szCs w:val="22"/>
            <w:lang w:val="en-US"/>
          </w:rPr>
          <w:t>https://ebookcentral.proquest.com/lib/trinity/reader.action?docID=4505302</w:t>
        </w:r>
      </w:hyperlink>
      <w:r w:rsidRPr="001C1A39">
        <w:rPr>
          <w:rFonts w:asciiTheme="minorHAnsi" w:hAnsiTheme="minorHAnsi" w:cstheme="minorHAnsi"/>
          <w:sz w:val="22"/>
          <w:szCs w:val="22"/>
          <w:lang w:val="en-US"/>
        </w:rPr>
        <w:t xml:space="preserve"> (Accessed: 15 January 2023).</w:t>
      </w:r>
    </w:p>
    <w:p w14:paraId="68F35722"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White, P., Teece, M. and </w:t>
      </w:r>
      <w:proofErr w:type="spellStart"/>
      <w:r w:rsidRPr="001C1A39">
        <w:rPr>
          <w:rFonts w:asciiTheme="minorHAnsi" w:hAnsiTheme="minorHAnsi" w:cstheme="minorHAnsi"/>
          <w:sz w:val="22"/>
          <w:szCs w:val="22"/>
          <w:lang w:val="en-US"/>
        </w:rPr>
        <w:t>Kitto</w:t>
      </w:r>
      <w:proofErr w:type="spellEnd"/>
      <w:r w:rsidRPr="001C1A39">
        <w:rPr>
          <w:rFonts w:asciiTheme="minorHAnsi" w:hAnsiTheme="minorHAnsi" w:cstheme="minorHAnsi"/>
          <w:sz w:val="22"/>
          <w:szCs w:val="22"/>
          <w:lang w:val="en-US"/>
        </w:rPr>
        <w:t xml:space="preserve">, R. (2001) ‘Problem-Oriented Policing: Operation Mantle—A Case Study’. </w:t>
      </w:r>
      <w:r w:rsidRPr="001C1A39">
        <w:rPr>
          <w:rFonts w:asciiTheme="minorHAnsi" w:hAnsiTheme="minorHAnsi" w:cstheme="minorHAnsi"/>
          <w:i/>
          <w:iCs/>
          <w:sz w:val="22"/>
          <w:szCs w:val="22"/>
          <w:lang w:val="en-US"/>
        </w:rPr>
        <w:t>Trends &amp; issues in crime and criminal justice Trends &amp; issues in crime and criminal justice Canberra: Australian Institute of Criminology.</w:t>
      </w:r>
      <w:r w:rsidRPr="001C1A39">
        <w:rPr>
          <w:rFonts w:asciiTheme="minorHAnsi" w:hAnsiTheme="minorHAnsi" w:cstheme="minorHAnsi"/>
          <w:sz w:val="22"/>
          <w:szCs w:val="22"/>
          <w:lang w:val="en-US"/>
        </w:rPr>
        <w:t xml:space="preserve"> (190). Available at: </w:t>
      </w:r>
      <w:hyperlink r:id="rId80" w:history="1">
        <w:r w:rsidRPr="001C1A39">
          <w:rPr>
            <w:rStyle w:val="Hyperlink"/>
            <w:rFonts w:asciiTheme="minorHAnsi" w:hAnsiTheme="minorHAnsi" w:cstheme="minorHAnsi"/>
            <w:sz w:val="22"/>
            <w:szCs w:val="22"/>
            <w:lang w:val="en-US"/>
          </w:rPr>
          <w:t>https://www.aic.gov.au/sites/default/files/2020-05/tandi190.pdf</w:t>
        </w:r>
      </w:hyperlink>
      <w:r w:rsidRPr="001C1A39">
        <w:rPr>
          <w:rFonts w:asciiTheme="minorHAnsi" w:hAnsiTheme="minorHAnsi" w:cstheme="minorHAnsi"/>
          <w:sz w:val="22"/>
          <w:szCs w:val="22"/>
          <w:lang w:val="en-US"/>
        </w:rPr>
        <w:t xml:space="preserve"> (Accessed: 15 January 2023).</w:t>
      </w:r>
    </w:p>
    <w:p w14:paraId="5A62AD7C"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Wood, D., Bradshaw, S., Dickens, T., Parker-Mcleod, J., Simpson, F. and Weaver, G. (2022) </w:t>
      </w:r>
      <w:r w:rsidRPr="001C1A39">
        <w:rPr>
          <w:rFonts w:asciiTheme="minorHAnsi" w:hAnsiTheme="minorHAnsi" w:cstheme="minorHAnsi"/>
          <w:i/>
          <w:iCs/>
          <w:sz w:val="22"/>
          <w:szCs w:val="22"/>
          <w:lang w:val="en-US"/>
        </w:rPr>
        <w:lastRenderedPageBreak/>
        <w:t>Blackstone’s Handbook For Policing Students 2022</w:t>
      </w:r>
      <w:r w:rsidRPr="001C1A39">
        <w:rPr>
          <w:rFonts w:asciiTheme="minorHAnsi" w:hAnsiTheme="minorHAnsi" w:cstheme="minorHAnsi"/>
          <w:sz w:val="22"/>
          <w:szCs w:val="22"/>
          <w:lang w:val="en-US"/>
        </w:rPr>
        <w:t>. S.L.: Oxford Univ Press., pp. 55–57.</w:t>
      </w:r>
    </w:p>
    <w:p w14:paraId="16A64ABC"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Youth Justice Legal Centre (2021) </w:t>
      </w:r>
      <w:r w:rsidRPr="001C1A39">
        <w:rPr>
          <w:rFonts w:asciiTheme="minorHAnsi" w:hAnsiTheme="minorHAnsi" w:cstheme="minorHAnsi"/>
          <w:i/>
          <w:iCs/>
          <w:sz w:val="22"/>
          <w:szCs w:val="22"/>
          <w:lang w:val="en-US"/>
        </w:rPr>
        <w:t>Exploitation of children by ‘county lines’ gangs – children should be safeguarded not prosecuted</w:t>
      </w:r>
      <w:r w:rsidRPr="001C1A39">
        <w:rPr>
          <w:rFonts w:asciiTheme="minorHAnsi" w:hAnsiTheme="minorHAnsi" w:cstheme="minorHAnsi"/>
          <w:sz w:val="22"/>
          <w:szCs w:val="22"/>
          <w:lang w:val="en-US"/>
        </w:rPr>
        <w:t xml:space="preserve">. Available at: </w:t>
      </w:r>
      <w:hyperlink r:id="rId81" w:history="1">
        <w:r w:rsidRPr="001C1A39">
          <w:rPr>
            <w:rStyle w:val="Hyperlink"/>
            <w:rFonts w:asciiTheme="minorHAnsi" w:hAnsiTheme="minorHAnsi" w:cstheme="minorHAnsi"/>
            <w:sz w:val="22"/>
            <w:szCs w:val="22"/>
            <w:lang w:val="en-US"/>
          </w:rPr>
          <w:t>https://yjlc.uk/resources/legal-updates/exploitation-children-county-lines-gangs-children-should-be-safeguarded-not</w:t>
        </w:r>
      </w:hyperlink>
      <w:r w:rsidRPr="001C1A39">
        <w:rPr>
          <w:rFonts w:asciiTheme="minorHAnsi" w:hAnsiTheme="minorHAnsi" w:cstheme="minorHAnsi"/>
          <w:sz w:val="22"/>
          <w:szCs w:val="22"/>
          <w:lang w:val="en-US"/>
        </w:rPr>
        <w:t xml:space="preserve"> (Accessed: 17 January 2023).</w:t>
      </w:r>
    </w:p>
    <w:p w14:paraId="048DDC3A"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Youth.Gov (2019) </w:t>
      </w:r>
      <w:r w:rsidRPr="001C1A39">
        <w:rPr>
          <w:rFonts w:asciiTheme="minorHAnsi" w:hAnsiTheme="minorHAnsi" w:cstheme="minorHAnsi"/>
          <w:i/>
          <w:iCs/>
          <w:sz w:val="22"/>
          <w:szCs w:val="22"/>
          <w:lang w:val="en-US"/>
        </w:rPr>
        <w:t>Risk &amp; Protective Factors | Youth.gov</w:t>
      </w:r>
      <w:r w:rsidRPr="001C1A39">
        <w:rPr>
          <w:rFonts w:asciiTheme="minorHAnsi" w:hAnsiTheme="minorHAnsi" w:cstheme="minorHAnsi"/>
          <w:sz w:val="22"/>
          <w:szCs w:val="22"/>
          <w:lang w:val="en-US"/>
        </w:rPr>
        <w:t xml:space="preserve">. Available at: </w:t>
      </w:r>
      <w:hyperlink r:id="rId82" w:history="1">
        <w:r w:rsidRPr="001C1A39">
          <w:rPr>
            <w:rStyle w:val="Hyperlink"/>
            <w:rFonts w:asciiTheme="minorHAnsi" w:hAnsiTheme="minorHAnsi" w:cstheme="minorHAnsi"/>
            <w:sz w:val="22"/>
            <w:szCs w:val="22"/>
            <w:lang w:val="en-US"/>
          </w:rPr>
          <w:t>https://youth.gov/youth-topics/preventing-gang-involvement/risk-and-protective-factors</w:t>
        </w:r>
      </w:hyperlink>
      <w:r w:rsidRPr="001C1A39">
        <w:rPr>
          <w:rFonts w:asciiTheme="minorHAnsi" w:hAnsiTheme="minorHAnsi" w:cstheme="minorHAnsi"/>
          <w:sz w:val="22"/>
          <w:szCs w:val="22"/>
          <w:lang w:val="en-US"/>
        </w:rPr>
        <w:t xml:space="preserve"> (Accessed: 17 January 2023).</w:t>
      </w:r>
    </w:p>
    <w:p w14:paraId="51464CF3" w14:textId="77777777" w:rsidR="00ED14F7" w:rsidRPr="001C1A39" w:rsidRDefault="00ED14F7" w:rsidP="00ED14F7">
      <w:pPr>
        <w:widowControl w:val="0"/>
        <w:autoSpaceDE w:val="0"/>
        <w:autoSpaceDN w:val="0"/>
        <w:adjustRightInd w:val="0"/>
        <w:spacing w:after="240" w:line="360" w:lineRule="auto"/>
        <w:rPr>
          <w:rFonts w:asciiTheme="minorHAnsi" w:hAnsiTheme="minorHAnsi" w:cstheme="minorHAnsi"/>
          <w:sz w:val="22"/>
          <w:szCs w:val="22"/>
          <w:lang w:val="en-US"/>
        </w:rPr>
      </w:pPr>
      <w:r w:rsidRPr="001C1A39">
        <w:rPr>
          <w:rFonts w:asciiTheme="minorHAnsi" w:hAnsiTheme="minorHAnsi" w:cstheme="minorHAnsi"/>
          <w:sz w:val="22"/>
          <w:szCs w:val="22"/>
          <w:lang w:val="en-US"/>
        </w:rPr>
        <w:t xml:space="preserve">Zimring, F.E. (2012) </w:t>
      </w:r>
      <w:r w:rsidRPr="001C1A39">
        <w:rPr>
          <w:rFonts w:asciiTheme="minorHAnsi" w:hAnsiTheme="minorHAnsi" w:cstheme="minorHAnsi"/>
          <w:i/>
          <w:iCs/>
          <w:sz w:val="22"/>
          <w:szCs w:val="22"/>
          <w:lang w:val="en-US"/>
        </w:rPr>
        <w:t>The city that became safe : New York’s lessons for urban crime and its control</w:t>
      </w:r>
      <w:r w:rsidRPr="001C1A39">
        <w:rPr>
          <w:rFonts w:asciiTheme="minorHAnsi" w:hAnsiTheme="minorHAnsi" w:cstheme="minorHAnsi"/>
          <w:sz w:val="22"/>
          <w:szCs w:val="22"/>
          <w:lang w:val="en-US"/>
        </w:rPr>
        <w:t xml:space="preserve">. New York: Oxford University Press. Available at: </w:t>
      </w:r>
      <w:hyperlink r:id="rId83" w:history="1">
        <w:r w:rsidRPr="001C1A39">
          <w:rPr>
            <w:rStyle w:val="Hyperlink"/>
            <w:rFonts w:asciiTheme="minorHAnsi" w:hAnsiTheme="minorHAnsi" w:cstheme="minorHAnsi"/>
            <w:sz w:val="22"/>
            <w:szCs w:val="22"/>
            <w:lang w:val="en-US"/>
          </w:rPr>
          <w:t>https://academic.oup.com/book/4704</w:t>
        </w:r>
      </w:hyperlink>
      <w:r w:rsidRPr="001C1A39">
        <w:rPr>
          <w:rFonts w:asciiTheme="minorHAnsi" w:hAnsiTheme="minorHAnsi" w:cstheme="minorHAnsi"/>
          <w:sz w:val="22"/>
          <w:szCs w:val="22"/>
          <w:lang w:val="en-US"/>
        </w:rPr>
        <w:t xml:space="preserve"> (Accessed: 15 January 2023).</w:t>
      </w:r>
    </w:p>
    <w:p w14:paraId="3DDFDE18" w14:textId="77777777" w:rsidR="00ED14F7" w:rsidRPr="001C1A39" w:rsidRDefault="00ED14F7">
      <w:pPr>
        <w:rPr>
          <w:rFonts w:asciiTheme="minorHAnsi" w:hAnsiTheme="minorHAnsi" w:cstheme="minorHAnsi"/>
          <w:sz w:val="22"/>
          <w:szCs w:val="22"/>
          <w:lang w:val="en-US"/>
        </w:rPr>
      </w:pPr>
    </w:p>
    <w:sectPr w:rsidR="00ED14F7" w:rsidRPr="001C1A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num w:numId="1" w16cid:durableId="435633390">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E0E"/>
    <w:rsid w:val="00046AF9"/>
    <w:rsid w:val="000B340C"/>
    <w:rsid w:val="001579E4"/>
    <w:rsid w:val="001C1A39"/>
    <w:rsid w:val="00201F6B"/>
    <w:rsid w:val="002806F3"/>
    <w:rsid w:val="00293478"/>
    <w:rsid w:val="002E58F2"/>
    <w:rsid w:val="00394E0E"/>
    <w:rsid w:val="003C4CE7"/>
    <w:rsid w:val="005B5DD4"/>
    <w:rsid w:val="005C3D35"/>
    <w:rsid w:val="006E2A3B"/>
    <w:rsid w:val="007B0B5F"/>
    <w:rsid w:val="008D76FC"/>
    <w:rsid w:val="00A3023B"/>
    <w:rsid w:val="00AB2576"/>
    <w:rsid w:val="00B914B9"/>
    <w:rsid w:val="00E5391D"/>
    <w:rsid w:val="00ED14F7"/>
    <w:rsid w:val="00F37F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54DAA"/>
  <w15:chartTrackingRefBased/>
  <w15:docId w15:val="{22D121E2-9C16-4DE2-8E74-2ADE2E8B9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E0E"/>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E0E"/>
    <w:pPr>
      <w:ind w:left="720"/>
      <w:contextualSpacing/>
    </w:pPr>
  </w:style>
  <w:style w:type="paragraph" w:styleId="NormalWeb">
    <w:name w:val="Normal (Web)"/>
    <w:basedOn w:val="Normal"/>
    <w:uiPriority w:val="99"/>
    <w:semiHidden/>
    <w:unhideWhenUsed/>
    <w:rsid w:val="005B5DD4"/>
    <w:pPr>
      <w:spacing w:before="100" w:beforeAutospacing="1" w:after="100" w:afterAutospacing="1"/>
    </w:pPr>
    <w:rPr>
      <w:sz w:val="24"/>
      <w:szCs w:val="24"/>
    </w:rPr>
  </w:style>
  <w:style w:type="character" w:styleId="Hyperlink">
    <w:name w:val="Hyperlink"/>
    <w:basedOn w:val="DefaultParagraphFont"/>
    <w:uiPriority w:val="99"/>
    <w:semiHidden/>
    <w:unhideWhenUsed/>
    <w:rsid w:val="00ED14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53078">
      <w:bodyDiv w:val="1"/>
      <w:marLeft w:val="0"/>
      <w:marRight w:val="0"/>
      <w:marTop w:val="0"/>
      <w:marBottom w:val="0"/>
      <w:divBdr>
        <w:top w:val="none" w:sz="0" w:space="0" w:color="auto"/>
        <w:left w:val="none" w:sz="0" w:space="0" w:color="auto"/>
        <w:bottom w:val="none" w:sz="0" w:space="0" w:color="auto"/>
        <w:right w:val="none" w:sz="0" w:space="0" w:color="auto"/>
      </w:divBdr>
    </w:div>
    <w:div w:id="199052624">
      <w:bodyDiv w:val="1"/>
      <w:marLeft w:val="0"/>
      <w:marRight w:val="0"/>
      <w:marTop w:val="0"/>
      <w:marBottom w:val="0"/>
      <w:divBdr>
        <w:top w:val="none" w:sz="0" w:space="0" w:color="auto"/>
        <w:left w:val="none" w:sz="0" w:space="0" w:color="auto"/>
        <w:bottom w:val="none" w:sz="0" w:space="0" w:color="auto"/>
        <w:right w:val="none" w:sz="0" w:space="0" w:color="auto"/>
      </w:divBdr>
    </w:div>
    <w:div w:id="650870419">
      <w:bodyDiv w:val="1"/>
      <w:marLeft w:val="0"/>
      <w:marRight w:val="0"/>
      <w:marTop w:val="0"/>
      <w:marBottom w:val="0"/>
      <w:divBdr>
        <w:top w:val="none" w:sz="0" w:space="0" w:color="auto"/>
        <w:left w:val="none" w:sz="0" w:space="0" w:color="auto"/>
        <w:bottom w:val="none" w:sz="0" w:space="0" w:color="auto"/>
        <w:right w:val="none" w:sz="0" w:space="0" w:color="auto"/>
      </w:divBdr>
    </w:div>
    <w:div w:id="970473816">
      <w:bodyDiv w:val="1"/>
      <w:marLeft w:val="0"/>
      <w:marRight w:val="0"/>
      <w:marTop w:val="0"/>
      <w:marBottom w:val="0"/>
      <w:divBdr>
        <w:top w:val="none" w:sz="0" w:space="0" w:color="auto"/>
        <w:left w:val="none" w:sz="0" w:space="0" w:color="auto"/>
        <w:bottom w:val="none" w:sz="0" w:space="0" w:color="auto"/>
        <w:right w:val="none" w:sz="0" w:space="0" w:color="auto"/>
      </w:divBdr>
    </w:div>
    <w:div w:id="1846820689">
      <w:bodyDiv w:val="1"/>
      <w:marLeft w:val="0"/>
      <w:marRight w:val="0"/>
      <w:marTop w:val="0"/>
      <w:marBottom w:val="0"/>
      <w:divBdr>
        <w:top w:val="none" w:sz="0" w:space="0" w:color="auto"/>
        <w:left w:val="none" w:sz="0" w:space="0" w:color="auto"/>
        <w:bottom w:val="none" w:sz="0" w:space="0" w:color="auto"/>
        <w:right w:val="none" w:sz="0" w:space="0" w:color="auto"/>
      </w:divBdr>
    </w:div>
    <w:div w:id="1944192002">
      <w:bodyDiv w:val="1"/>
      <w:marLeft w:val="0"/>
      <w:marRight w:val="0"/>
      <w:marTop w:val="0"/>
      <w:marBottom w:val="0"/>
      <w:divBdr>
        <w:top w:val="none" w:sz="0" w:space="0" w:color="auto"/>
        <w:left w:val="none" w:sz="0" w:space="0" w:color="auto"/>
        <w:bottom w:val="none" w:sz="0" w:space="0" w:color="auto"/>
        <w:right w:val="none" w:sz="0" w:space="0" w:color="auto"/>
      </w:divBdr>
    </w:div>
    <w:div w:id="209790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cademic.oup.com/bjc/article/58/6/1323/4668676" TargetMode="External"/><Relationship Id="rId21" Type="http://schemas.openxmlformats.org/officeDocument/2006/relationships/hyperlink" Target="https://www.college.police.uk/research/crime-reduction-toolkit/problem-oriented-policing" TargetMode="External"/><Relationship Id="rId42" Type="http://schemas.openxmlformats.org/officeDocument/2006/relationships/hyperlink" Target="https://journals-sagepub-com.ezproxy.uwtsd.ac.uk/doi/epub/10.1177/1461355717699634" TargetMode="External"/><Relationship Id="rId47" Type="http://schemas.openxmlformats.org/officeDocument/2006/relationships/hyperlink" Target="https://innocenceproject.org/what-is-cognitive-bias-how-it-contributes-to-wrongful-conviction/" TargetMode="External"/><Relationship Id="rId63" Type="http://schemas.openxmlformats.org/officeDocument/2006/relationships/hyperlink" Target="https://journals-sagepub-com.ezproxy.uwtsd.ac.uk/doi/full/10.1177/0306624X18806742" TargetMode="External"/><Relationship Id="rId68" Type="http://schemas.openxmlformats.org/officeDocument/2006/relationships/hyperlink" Target="https://cybernews.com/news/putin-pro-ukraine-hackers-ddos-attack-russian-media/" TargetMode="External"/><Relationship Id="rId84" Type="http://schemas.openxmlformats.org/officeDocument/2006/relationships/fontTable" Target="fontTable.xml"/><Relationship Id="rId16" Type="http://schemas.openxmlformats.org/officeDocument/2006/relationships/hyperlink" Target="https://dictionary.cambridge.org/dictionary/english/exploitation" TargetMode="External"/><Relationship Id="rId11" Type="http://schemas.openxmlformats.org/officeDocument/2006/relationships/hyperlink" Target="https://onlinelibrary.wiley.com/doi/full/10.1002/cl2.1046" TargetMode="External"/><Relationship Id="rId32" Type="http://schemas.openxmlformats.org/officeDocument/2006/relationships/hyperlink" Target="https://www.cochranelibrary.com/cdsr/doi/10.1002/14651858.CD007002.pub2/full" TargetMode="External"/><Relationship Id="rId37" Type="http://schemas.openxmlformats.org/officeDocument/2006/relationships/hyperlink" Target="https://www.gov.uk/government/publications/from-harm-to-hope-a-10-year-drugs-plan-to-cut-crime-and-save-lives/from-harm-to-hope-a-10-year-drugs-plan-to-cut-crime-and-save-lives" TargetMode="External"/><Relationship Id="rId53" Type="http://schemas.openxmlformats.org/officeDocument/2006/relationships/hyperlink" Target="https://www.nationalcrimeagency.gov.uk/what-we-do/crime-threats/drug-trafficking/county-lines" TargetMode="External"/><Relationship Id="rId58" Type="http://schemas.openxmlformats.org/officeDocument/2006/relationships/hyperlink" Target="https://library.college.police.uk/docs/NPCC/Major-Crime-Investigation-Manual-Nov-2021.pdf" TargetMode="External"/><Relationship Id="rId74" Type="http://schemas.openxmlformats.org/officeDocument/2006/relationships/hyperlink" Target="https://www-tandfonline-com.ezproxy.uwtsd.ac.uk/doi/citedby/10.1080/15614263.2021.1952872?scroll=top&amp;needAccess=true&amp;role=tab" TargetMode="External"/><Relationship Id="rId79" Type="http://schemas.openxmlformats.org/officeDocument/2006/relationships/hyperlink" Target="https://ebookcentral.proquest.com/lib/trinity/reader.action?docID=4505302" TargetMode="External"/><Relationship Id="rId5" Type="http://schemas.openxmlformats.org/officeDocument/2006/relationships/hyperlink" Target="https://www.actionfraud.police.uk/what-is-action-fraud" TargetMode="External"/><Relationship Id="rId19" Type="http://schemas.openxmlformats.org/officeDocument/2006/relationships/hyperlink" Target="https://www.proquest.com/docview/1833125671/fulltext/5AF9C729D2854298PQ/1?accountid=130472" TargetMode="External"/><Relationship Id="rId14" Type="http://schemas.openxmlformats.org/officeDocument/2006/relationships/hyperlink" Target="https://www.proquest.com/docview/2533104096/abstract/9113DB6093DE44D9PQ/1?accountid=130472" TargetMode="External"/><Relationship Id="rId22" Type="http://schemas.openxmlformats.org/officeDocument/2006/relationships/hyperlink" Target="https://www.college.police.uk/research/what-works-policing-reduce-crime/targeted-approaches" TargetMode="External"/><Relationship Id="rId27" Type="http://schemas.openxmlformats.org/officeDocument/2006/relationships/hyperlink" Target="https://news.sky.com/story/i-thought-they-were-being-kind-cuckooing-victim-reveals-how-drug-dealers-took-over-her-flat-12580191" TargetMode="External"/><Relationship Id="rId30" Type="http://schemas.openxmlformats.org/officeDocument/2006/relationships/hyperlink" Target="https://assets.publishing.service.gov.uk/government/uploads/system/uploads/attachment_data/file/189392/DCSF-00064-2010.pdf.pdf" TargetMode="External"/><Relationship Id="rId35" Type="http://schemas.openxmlformats.org/officeDocument/2006/relationships/hyperlink" Target="https://academic.oup.com/policing/article/15/1/34/5233865?login=true" TargetMode="External"/><Relationship Id="rId43" Type="http://schemas.openxmlformats.org/officeDocument/2006/relationships/hyperlink" Target="https://academic.oup.com/policing/article/15/1/4/4055914?login=true" TargetMode="External"/><Relationship Id="rId48" Type="http://schemas.openxmlformats.org/officeDocument/2006/relationships/hyperlink" Target="https://onlinelibrary-wiley-com.ezproxy.uwtsd.ac.uk/doi/full/10.1111/1745-9133.12524" TargetMode="External"/><Relationship Id="rId56" Type="http://schemas.openxmlformats.org/officeDocument/2006/relationships/hyperlink" Target="https://www.proceduresonline.com/nesubregion/p_ch_affected_gang_act.html" TargetMode="External"/><Relationship Id="rId64" Type="http://schemas.openxmlformats.org/officeDocument/2006/relationships/hyperlink" Target="https://www.semanticscholar.org/paper/Critical-Review-in-Criminal-Investigation%3A-of-a-to-Salet-Terpstra/c613f591dae43129abe3f17ad01bfd834cb5fcf6" TargetMode="External"/><Relationship Id="rId69" Type="http://schemas.openxmlformats.org/officeDocument/2006/relationships/hyperlink" Target="https://www.thejusticegap.com/killed-by-injustice-the-legacy-of-mahmoud-mattan/" TargetMode="External"/><Relationship Id="rId77" Type="http://schemas.openxmlformats.org/officeDocument/2006/relationships/hyperlink" Target="https://www.eif.org.uk/report/preventing-gang-and-youth-violence-spotting-signals-of-risk-and-supporting-children-and-young-people" TargetMode="External"/><Relationship Id="rId8" Type="http://schemas.openxmlformats.org/officeDocument/2006/relationships/hyperlink" Target="https://onlinelibrary-wiley-com.ezproxy.uwtsd.ac.uk/doi/pdf/10.1002/acp.1432" TargetMode="External"/><Relationship Id="rId51" Type="http://schemas.openxmlformats.org/officeDocument/2006/relationships/hyperlink" Target="https://www.proquest.com/docview/914688090?pq-origsite=primo&amp;parentSessionId=4YM%2BRdZ2Pkz%2FScDK6ZQsiT7aoKZvwHJSgsQGCG54v%2BA%3D" TargetMode="External"/><Relationship Id="rId72" Type="http://schemas.openxmlformats.org/officeDocument/2006/relationships/hyperlink" Target="https://link.springer.com/article/10.1007/s12117-019-09368-5" TargetMode="External"/><Relationship Id="rId80" Type="http://schemas.openxmlformats.org/officeDocument/2006/relationships/hyperlink" Target="https://www.aic.gov.au/sites/default/files/2020-05/tandi190.pdf"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onlinelibrary-wiley-com.ezproxy.uwtsd.ac.uk/doi/full/10.1111/1745-9133.12353" TargetMode="External"/><Relationship Id="rId17" Type="http://schemas.openxmlformats.org/officeDocument/2006/relationships/hyperlink" Target="https://web-s-ebscohost-com.ezproxy.uwtsd.ac.uk/ehost/pdfviewer/pdfviewer?vid=0&amp;sid=d534ec05-12e4-47f7-b4a4-36a203557e4d%40redis" TargetMode="External"/><Relationship Id="rId25" Type="http://schemas.openxmlformats.org/officeDocument/2006/relationships/hyperlink" Target="https://thecommissiononyounglives.co.uk/new-figures-reveal-12720-children-in-england-were-identified-by-social-services-as-being-at-risk-of-criminal-exploitation-by-gangs-in-2020-21/" TargetMode="External"/><Relationship Id="rId33" Type="http://schemas.openxmlformats.org/officeDocument/2006/relationships/hyperlink" Target="https://www.proquest.com/docview/1869006234/abstract/87C4C12E32574110PQ/1?accountid=130472" TargetMode="External"/><Relationship Id="rId38" Type="http://schemas.openxmlformats.org/officeDocument/2006/relationships/hyperlink" Target="https://link-springer-com.ezproxy.uwtsd.ac.uk/content/pdf/10.1007/s12671-019-01213-8" TargetMode="External"/><Relationship Id="rId46" Type="http://schemas.openxmlformats.org/officeDocument/2006/relationships/hyperlink" Target="https://www.proquest.com/docview/2261162077/33198243841B45C7PQ/10?accountid=130472" TargetMode="External"/><Relationship Id="rId59" Type="http://schemas.openxmlformats.org/officeDocument/2006/relationships/hyperlink" Target="https://www.nspcc.org.uk/what-is-child-abuse/types-of-abuse/gangs-criminal-exploitation/" TargetMode="External"/><Relationship Id="rId67" Type="http://schemas.openxmlformats.org/officeDocument/2006/relationships/hyperlink" Target="https://www.proquest.com/docview/1844295079?accountid=130472&amp;parentSessionId=v7hEmxKQmjR8kaNxEVSK%2F%2FZzO2nCwqK61JCDEAM2z1E%3D&amp;pq-origsite=primo" TargetMode="External"/><Relationship Id="rId20" Type="http://schemas.openxmlformats.org/officeDocument/2006/relationships/hyperlink" Target="https://library.college.police.uk/docs/appref/Dealing-with-sudden-unexpected-death-(COP)-v1.0.pdf" TargetMode="External"/><Relationship Id="rId41" Type="http://schemas.openxmlformats.org/officeDocument/2006/relationships/hyperlink" Target="https://link.springer.com/article/10.1007/s10611-016-9648-0" TargetMode="External"/><Relationship Id="rId54" Type="http://schemas.openxmlformats.org/officeDocument/2006/relationships/hyperlink" Target="https://www.ncsc.gov.uk/collection/annual-review-2022" TargetMode="External"/><Relationship Id="rId62" Type="http://schemas.openxmlformats.org/officeDocument/2006/relationships/hyperlink" Target="https://onlinelibrary-wiley-com.ezproxy.uwtsd.ac.uk/doi/full/10.1002/jip.1504" TargetMode="External"/><Relationship Id="rId70" Type="http://schemas.openxmlformats.org/officeDocument/2006/relationships/hyperlink" Target="https://www.south-wales.police.uk/advice/advice-and-information/fa/fraud/online-fraud/cyber-crime-fraud/" TargetMode="External"/><Relationship Id="rId75" Type="http://schemas.openxmlformats.org/officeDocument/2006/relationships/hyperlink" Target="https://www-jstor-org.ezproxy.uwtsd.ac.uk/stable/pdf/1519845" TargetMode="External"/><Relationship Id="rId83" Type="http://schemas.openxmlformats.org/officeDocument/2006/relationships/hyperlink" Target="https://academic.oup.com/book/4704" TargetMode="External"/><Relationship Id="rId1" Type="http://schemas.openxmlformats.org/officeDocument/2006/relationships/numbering" Target="numbering.xml"/><Relationship Id="rId6" Type="http://schemas.openxmlformats.org/officeDocument/2006/relationships/hyperlink" Target="https://www.taylorfrancis.com/books/mono/10.4324/9781351010283/cybercrime-alisdair-gillespie" TargetMode="External"/><Relationship Id="rId15" Type="http://schemas.openxmlformats.org/officeDocument/2006/relationships/hyperlink" Target="https://www.gov.uk/government/publications/the-cost-of-cyber-crime-joint-government-and-industry-report" TargetMode="External"/><Relationship Id="rId23" Type="http://schemas.openxmlformats.org/officeDocument/2006/relationships/hyperlink" Target="https://www-tandfonline-com.ezproxy.uwtsd.ac.uk/doi/full/10.1080/10439463.2021.1883608" TargetMode="External"/><Relationship Id="rId28" Type="http://schemas.openxmlformats.org/officeDocument/2006/relationships/hyperlink" Target="https://journals.sagepub.com/doi/epub/10.1177/0032258X221107584" TargetMode="External"/><Relationship Id="rId36" Type="http://schemas.openxmlformats.org/officeDocument/2006/relationships/hyperlink" Target="https://www-tandfonline-com.ezproxy.uwtsd.ac.uk/doi/pdf/10.1080/15614263.2018.1507889?needAccess=true" TargetMode="External"/><Relationship Id="rId49" Type="http://schemas.openxmlformats.org/officeDocument/2006/relationships/hyperlink" Target="https://journals-sagepub-com.ezproxy.uwtsd.ac.uk/doi/full/10.1177/0022042619861938" TargetMode="External"/><Relationship Id="rId57" Type="http://schemas.openxmlformats.org/officeDocument/2006/relationships/hyperlink" Target="https://news.npcc.police.uk/releases/good-response-to-tackling-cyber-dependent-crime-across-law-enforcement" TargetMode="External"/><Relationship Id="rId10" Type="http://schemas.openxmlformats.org/officeDocument/2006/relationships/hyperlink" Target="https://link.springer.com/article/10.1007/s11896-021-09494-3" TargetMode="External"/><Relationship Id="rId31" Type="http://schemas.openxmlformats.org/officeDocument/2006/relationships/hyperlink" Target="https://link.springer.com/article/10.1007/s11896-021-09494-3" TargetMode="External"/><Relationship Id="rId44" Type="http://schemas.openxmlformats.org/officeDocument/2006/relationships/hyperlink" Target="https://www-tandfonline-com.ezproxy.uwtsd.ac.uk/doi/full/10.1080/09687599.2022.2071680" TargetMode="External"/><Relationship Id="rId52" Type="http://schemas.openxmlformats.org/officeDocument/2006/relationships/hyperlink" Target="https://www.nationalcrimeagency.gov.uk/who-we-are/publications/234-county-lines-violen-ce-exploitation-drug-supply-2017/file" TargetMode="External"/><Relationship Id="rId60" Type="http://schemas.openxmlformats.org/officeDocument/2006/relationships/hyperlink" Target="https://web-s-ebscohost-com.ezproxy.uwtsd.ac.uk/ehost/pdfviewer/pdfviewer?vid=0&amp;sid=85cfd206-7c0a-481f-8215-ba1fcc600e29%40redis" TargetMode="External"/><Relationship Id="rId65" Type="http://schemas.openxmlformats.org/officeDocument/2006/relationships/hyperlink" Target="https://www.proquest.com/docview/2091250481/abstract/6051249D4A894AC9PQ/1?accountid=130472" TargetMode="External"/><Relationship Id="rId73" Type="http://schemas.openxmlformats.org/officeDocument/2006/relationships/hyperlink" Target="https://www.ons.gov.uk/peoplepopulationandcommunity/crimeandjustice/articles/victimisationanditsrelationshiptodrugmisusecommonmentalhealthdisorderandwellbeinginenglandandwales/yearendingmarch2021" TargetMode="External"/><Relationship Id="rId78" Type="http://schemas.openxmlformats.org/officeDocument/2006/relationships/hyperlink" Target="https://sk.sagepub.com/reference/the-sage-dictionary-of-policing/n100.xml" TargetMode="External"/><Relationship Id="rId81" Type="http://schemas.openxmlformats.org/officeDocument/2006/relationships/hyperlink" Target="https://yjlc.uk/resources/legal-updates/exploitation-children-county-lines-gangs-children-should-be-safeguarded-not" TargetMode="External"/><Relationship Id="rId4" Type="http://schemas.openxmlformats.org/officeDocument/2006/relationships/webSettings" Target="webSettings.xml"/><Relationship Id="rId9" Type="http://schemas.openxmlformats.org/officeDocument/2006/relationships/hyperlink" Target="https://www.cambridge.org/core/journals/journal-of-latin-american-studies/article/becoming-the-baddest-masculine-trajectories-of-gang-violence-in-medellin/E69F4DD0C1B43AAD77E5377D1BBF41A4" TargetMode="External"/><Relationship Id="rId13" Type="http://schemas.openxmlformats.org/officeDocument/2006/relationships/hyperlink" Target="https://assets.publishing.service.gov.uk/government/uploads/system/uploads/attachment_data/file/1078194/AG_Guidelines_2022_Revision_Publication_Copy.pdf" TargetMode="External"/><Relationship Id="rId18" Type="http://schemas.openxmlformats.org/officeDocument/2006/relationships/hyperlink" Target="https://www.verywellmind.com/what-is-a-cognitive-bias-2794963" TargetMode="External"/><Relationship Id="rId39" Type="http://schemas.openxmlformats.org/officeDocument/2006/relationships/hyperlink" Target="https://www.smf.co.uk/commentary_podcasts/fraud-is-britains-dominant-crime/" TargetMode="External"/><Relationship Id="rId34" Type="http://schemas.openxmlformats.org/officeDocument/2006/relationships/hyperlink" Target="https://link.springer.com/article/10.1007/s11292-014-9210-y" TargetMode="External"/><Relationship Id="rId50" Type="http://schemas.openxmlformats.org/officeDocument/2006/relationships/hyperlink" Target="https://www.proquest.com/docview/2017946148/1782FB7D1CF04135PQ/3?accountid=130472" TargetMode="External"/><Relationship Id="rId55" Type="http://schemas.openxmlformats.org/officeDocument/2006/relationships/hyperlink" Target="https://nationalcrimeagency.gov.uk/what-we-do/crime-threats/cyber-crime" TargetMode="External"/><Relationship Id="rId76" Type="http://schemas.openxmlformats.org/officeDocument/2006/relationships/hyperlink" Target="https://www-jstor-org.ezproxy.uwtsd.ac.uk/stable/j.ctt1t89gvd" TargetMode="External"/><Relationship Id="rId7" Type="http://schemas.openxmlformats.org/officeDocument/2006/relationships/hyperlink" Target="https://onlinelibrary-wiley-com.ezproxy.uwtsd.ac.uk/doi/pdf/10.1002/jip.19" TargetMode="External"/><Relationship Id="rId71" Type="http://schemas.openxmlformats.org/officeDocument/2006/relationships/hyperlink" Target="https://academic.oup.com/bjc/article/61/5/1390/6217393?login=true" TargetMode="External"/><Relationship Id="rId2" Type="http://schemas.openxmlformats.org/officeDocument/2006/relationships/styles" Target="styles.xml"/><Relationship Id="rId29" Type="http://schemas.openxmlformats.org/officeDocument/2006/relationships/hyperlink" Target="https://academic.oup.com/policing/article/15/2/1429/5878092?login=true" TargetMode="External"/><Relationship Id="rId24" Type="http://schemas.openxmlformats.org/officeDocument/2006/relationships/hyperlink" Target="https://www.collinsdictionary.com/dictionary/english/bias" TargetMode="External"/><Relationship Id="rId40" Type="http://schemas.openxmlformats.org/officeDocument/2006/relationships/hyperlink" Target="https://www-jstor-org.ezproxy.uwtsd.ac.uk/stable/pdf/40042835" TargetMode="External"/><Relationship Id="rId45" Type="http://schemas.openxmlformats.org/officeDocument/2006/relationships/hyperlink" Target="https://www.proquest.com/docview/821707874/fulltextPDF/1F27E9559AE1420APQ/1?accountid=130472" TargetMode="External"/><Relationship Id="rId66" Type="http://schemas.openxmlformats.org/officeDocument/2006/relationships/hyperlink" Target="https://www.proquest.com/docview/2088315654/abstract/904DF65252EF46A2PQ/1?accountid=130472" TargetMode="External"/><Relationship Id="rId61" Type="http://schemas.openxmlformats.org/officeDocument/2006/relationships/hyperlink" Target="https://www.ncbi.nlm.nih.gov/pmc/articles/PMC5608072/" TargetMode="External"/><Relationship Id="rId82" Type="http://schemas.openxmlformats.org/officeDocument/2006/relationships/hyperlink" Target="https://youth.gov/youth-topics/preventing-gang-involvement/risk-and-protective-fac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8663</Words>
  <Characters>49384</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Jones</dc:creator>
  <cp:keywords/>
  <dc:description/>
  <cp:lastModifiedBy>Laurie Jones</cp:lastModifiedBy>
  <cp:revision>16</cp:revision>
  <dcterms:created xsi:type="dcterms:W3CDTF">2023-05-21T14:32:00Z</dcterms:created>
  <dcterms:modified xsi:type="dcterms:W3CDTF">2023-05-21T16:04:00Z</dcterms:modified>
</cp:coreProperties>
</file>