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183B684" wp14:paraId="664BDAD4" wp14:textId="0D29D531">
      <w:pPr>
        <w:rPr>
          <w:rFonts w:ascii="Arial" w:hAnsi="Arial" w:eastAsia="Arial" w:cs="Arial"/>
          <w:b w:val="0"/>
          <w:bCs w:val="0"/>
          <w:i w:val="0"/>
          <w:iCs w:val="0"/>
          <w:caps w:val="0"/>
          <w:smallCaps w:val="0"/>
          <w:noProof w:val="0"/>
          <w:color w:val="000000" w:themeColor="text1" w:themeTint="FF" w:themeShade="FF"/>
          <w:sz w:val="22"/>
          <w:szCs w:val="22"/>
          <w:lang w:val="en-GB"/>
        </w:rPr>
      </w:pPr>
      <w:r w:rsidRPr="0183B684" w:rsidR="4393D3D0">
        <w:rPr>
          <w:rFonts w:ascii="Arial" w:hAnsi="Arial" w:eastAsia="Arial" w:cs="Arial"/>
          <w:b w:val="1"/>
          <w:bCs w:val="1"/>
          <w:i w:val="0"/>
          <w:iCs w:val="0"/>
          <w:caps w:val="0"/>
          <w:smallCaps w:val="0"/>
          <w:noProof w:val="0"/>
          <w:color w:val="000000" w:themeColor="text1" w:themeTint="FF" w:themeShade="FF"/>
          <w:sz w:val="22"/>
          <w:szCs w:val="22"/>
          <w:lang w:val="en-GB"/>
        </w:rPr>
        <w:t>Student name:</w:t>
      </w:r>
      <w:r w:rsidRPr="0183B684" w:rsidR="4393D3D0">
        <w:rPr>
          <w:rFonts w:ascii="Arial" w:hAnsi="Arial" w:eastAsia="Arial" w:cs="Arial"/>
          <w:b w:val="0"/>
          <w:bCs w:val="0"/>
          <w:i w:val="0"/>
          <w:iCs w:val="0"/>
          <w:caps w:val="0"/>
          <w:smallCaps w:val="0"/>
          <w:noProof w:val="0"/>
          <w:color w:val="000000" w:themeColor="text1" w:themeTint="FF" w:themeShade="FF"/>
          <w:sz w:val="22"/>
          <w:szCs w:val="22"/>
          <w:lang w:val="en-GB"/>
        </w:rPr>
        <w:t xml:space="preserve"> Kieley Ann Kali</w:t>
      </w:r>
    </w:p>
    <w:p xmlns:wp14="http://schemas.microsoft.com/office/word/2010/wordml" w:rsidP="0183B684" wp14:paraId="183D1F25" wp14:textId="164E869E">
      <w:pPr>
        <w:rPr>
          <w:rFonts w:ascii="Arial" w:hAnsi="Arial" w:eastAsia="Arial" w:cs="Arial"/>
          <w:b w:val="0"/>
          <w:bCs w:val="0"/>
          <w:i w:val="0"/>
          <w:iCs w:val="0"/>
          <w:caps w:val="0"/>
          <w:smallCaps w:val="0"/>
          <w:noProof w:val="0"/>
          <w:color w:val="000000" w:themeColor="text1" w:themeTint="FF" w:themeShade="FF"/>
          <w:sz w:val="22"/>
          <w:szCs w:val="22"/>
          <w:lang w:val="en-GB"/>
        </w:rPr>
      </w:pPr>
      <w:r w:rsidRPr="0183B684" w:rsidR="4393D3D0">
        <w:rPr>
          <w:rFonts w:ascii="Arial" w:hAnsi="Arial" w:eastAsia="Arial" w:cs="Arial"/>
          <w:b w:val="1"/>
          <w:bCs w:val="1"/>
          <w:i w:val="0"/>
          <w:iCs w:val="0"/>
          <w:caps w:val="0"/>
          <w:smallCaps w:val="0"/>
          <w:noProof w:val="0"/>
          <w:color w:val="000000" w:themeColor="text1" w:themeTint="FF" w:themeShade="FF"/>
          <w:sz w:val="22"/>
          <w:szCs w:val="22"/>
          <w:lang w:val="en-GB"/>
        </w:rPr>
        <w:t>Student ID:</w:t>
      </w:r>
      <w:r w:rsidRPr="0183B684" w:rsidR="4393D3D0">
        <w:rPr>
          <w:rFonts w:ascii="Arial" w:hAnsi="Arial" w:eastAsia="Arial" w:cs="Arial"/>
          <w:b w:val="0"/>
          <w:bCs w:val="0"/>
          <w:i w:val="0"/>
          <w:iCs w:val="0"/>
          <w:caps w:val="0"/>
          <w:smallCaps w:val="0"/>
          <w:noProof w:val="0"/>
          <w:color w:val="000000" w:themeColor="text1" w:themeTint="FF" w:themeShade="FF"/>
          <w:sz w:val="22"/>
          <w:szCs w:val="22"/>
          <w:lang w:val="en-GB"/>
        </w:rPr>
        <w:t xml:space="preserve"> 2008020</w:t>
      </w:r>
    </w:p>
    <w:p xmlns:wp14="http://schemas.microsoft.com/office/word/2010/wordml" w:rsidP="0183B684" wp14:paraId="4C32CBFE" wp14:textId="02670F7C">
      <w:pPr>
        <w:rPr>
          <w:rFonts w:ascii="Arial" w:hAnsi="Arial" w:eastAsia="Arial" w:cs="Arial"/>
          <w:b w:val="0"/>
          <w:bCs w:val="0"/>
          <w:i w:val="0"/>
          <w:iCs w:val="0"/>
          <w:caps w:val="0"/>
          <w:smallCaps w:val="0"/>
          <w:noProof w:val="0"/>
          <w:color w:val="000000" w:themeColor="text1" w:themeTint="FF" w:themeShade="FF"/>
          <w:sz w:val="22"/>
          <w:szCs w:val="22"/>
          <w:lang w:val="en-GB"/>
        </w:rPr>
      </w:pPr>
      <w:r w:rsidRPr="0183B684" w:rsidR="4393D3D0">
        <w:rPr>
          <w:rFonts w:ascii="Arial" w:hAnsi="Arial" w:eastAsia="Arial" w:cs="Arial"/>
          <w:b w:val="1"/>
          <w:bCs w:val="1"/>
          <w:i w:val="0"/>
          <w:iCs w:val="0"/>
          <w:caps w:val="0"/>
          <w:smallCaps w:val="0"/>
          <w:noProof w:val="0"/>
          <w:color w:val="000000" w:themeColor="text1" w:themeTint="FF" w:themeShade="FF"/>
          <w:sz w:val="22"/>
          <w:szCs w:val="22"/>
          <w:lang w:val="en-GB"/>
        </w:rPr>
        <w:t xml:space="preserve">Module code and title: </w:t>
      </w:r>
      <w:r w:rsidRPr="0183B684" w:rsidR="4393D3D0">
        <w:rPr>
          <w:rFonts w:ascii="Arial" w:hAnsi="Arial" w:eastAsia="Arial" w:cs="Arial"/>
          <w:b w:val="0"/>
          <w:bCs w:val="0"/>
          <w:i w:val="0"/>
          <w:iCs w:val="0"/>
          <w:caps w:val="0"/>
          <w:smallCaps w:val="0"/>
          <w:noProof w:val="0"/>
          <w:color w:val="000000" w:themeColor="text1" w:themeTint="FF" w:themeShade="FF"/>
          <w:sz w:val="22"/>
          <w:szCs w:val="22"/>
          <w:lang w:val="en-GB"/>
        </w:rPr>
        <w:t>BMHP5016 Principles of Health and Social Care Practice</w:t>
      </w:r>
    </w:p>
    <w:p xmlns:wp14="http://schemas.microsoft.com/office/word/2010/wordml" w:rsidP="0183B684" wp14:paraId="0A34B5F7" wp14:textId="3FC7C207">
      <w:pPr>
        <w:rPr>
          <w:rFonts w:ascii="Arial" w:hAnsi="Arial" w:eastAsia="Arial" w:cs="Arial"/>
          <w:b w:val="0"/>
          <w:bCs w:val="0"/>
          <w:i w:val="0"/>
          <w:iCs w:val="0"/>
          <w:caps w:val="0"/>
          <w:smallCaps w:val="0"/>
          <w:noProof w:val="0"/>
          <w:color w:val="000000" w:themeColor="text1" w:themeTint="FF" w:themeShade="FF"/>
          <w:sz w:val="22"/>
          <w:szCs w:val="22"/>
          <w:lang w:val="en-GB"/>
        </w:rPr>
      </w:pPr>
      <w:r w:rsidRPr="0183B684" w:rsidR="4393D3D0">
        <w:rPr>
          <w:rFonts w:ascii="Arial" w:hAnsi="Arial" w:eastAsia="Arial" w:cs="Arial"/>
          <w:b w:val="1"/>
          <w:bCs w:val="1"/>
          <w:i w:val="0"/>
          <w:iCs w:val="0"/>
          <w:caps w:val="0"/>
          <w:smallCaps w:val="0"/>
          <w:noProof w:val="0"/>
          <w:color w:val="000000" w:themeColor="text1" w:themeTint="FF" w:themeShade="FF"/>
          <w:sz w:val="22"/>
          <w:szCs w:val="22"/>
          <w:lang w:val="en-GB"/>
        </w:rPr>
        <w:t>Lecturers name:</w:t>
      </w:r>
      <w:r w:rsidRPr="0183B684" w:rsidR="4393D3D0">
        <w:rPr>
          <w:rFonts w:ascii="Arial" w:hAnsi="Arial" w:eastAsia="Arial" w:cs="Arial"/>
          <w:b w:val="0"/>
          <w:bCs w:val="0"/>
          <w:i w:val="0"/>
          <w:iCs w:val="0"/>
          <w:caps w:val="0"/>
          <w:smallCaps w:val="0"/>
          <w:noProof w:val="0"/>
          <w:color w:val="000000" w:themeColor="text1" w:themeTint="FF" w:themeShade="FF"/>
          <w:sz w:val="22"/>
          <w:szCs w:val="22"/>
          <w:lang w:val="en-GB"/>
        </w:rPr>
        <w:t xml:space="preserve"> Azida </w:t>
      </w:r>
    </w:p>
    <w:p xmlns:wp14="http://schemas.microsoft.com/office/word/2010/wordml" w:rsidP="0183B684" wp14:paraId="5D24CF25" wp14:textId="3EB36ACA">
      <w:pPr>
        <w:rPr>
          <w:rFonts w:ascii="Arial" w:hAnsi="Arial" w:eastAsia="Arial" w:cs="Arial"/>
          <w:b w:val="0"/>
          <w:bCs w:val="0"/>
          <w:i w:val="0"/>
          <w:iCs w:val="0"/>
          <w:caps w:val="0"/>
          <w:smallCaps w:val="0"/>
          <w:noProof w:val="0"/>
          <w:color w:val="000000" w:themeColor="text1" w:themeTint="FF" w:themeShade="FF"/>
          <w:sz w:val="22"/>
          <w:szCs w:val="22"/>
          <w:lang w:val="en-GB"/>
        </w:rPr>
      </w:pPr>
      <w:r w:rsidRPr="0183B684" w:rsidR="4393D3D0">
        <w:rPr>
          <w:rFonts w:ascii="Arial" w:hAnsi="Arial" w:eastAsia="Arial" w:cs="Arial"/>
          <w:b w:val="1"/>
          <w:bCs w:val="1"/>
          <w:i w:val="0"/>
          <w:iCs w:val="0"/>
          <w:caps w:val="0"/>
          <w:smallCaps w:val="0"/>
          <w:noProof w:val="0"/>
          <w:color w:val="000000" w:themeColor="text1" w:themeTint="FF" w:themeShade="FF"/>
          <w:sz w:val="22"/>
          <w:szCs w:val="22"/>
          <w:lang w:val="en-GB"/>
        </w:rPr>
        <w:t>Assignment title:</w:t>
      </w:r>
      <w:r w:rsidRPr="0183B684" w:rsidR="4393D3D0">
        <w:rPr>
          <w:rFonts w:ascii="Arial" w:hAnsi="Arial" w:eastAsia="Arial" w:cs="Arial"/>
          <w:b w:val="0"/>
          <w:bCs w:val="0"/>
          <w:i w:val="0"/>
          <w:iCs w:val="0"/>
          <w:caps w:val="0"/>
          <w:smallCaps w:val="0"/>
          <w:noProof w:val="0"/>
          <w:color w:val="000000" w:themeColor="text1" w:themeTint="FF" w:themeShade="FF"/>
          <w:sz w:val="22"/>
          <w:szCs w:val="22"/>
          <w:lang w:val="en-GB"/>
        </w:rPr>
        <w:t xml:space="preserve"> Component 2 written report</w:t>
      </w:r>
    </w:p>
    <w:p xmlns:wp14="http://schemas.microsoft.com/office/word/2010/wordml" wp14:paraId="5E5787A5" wp14:textId="72A31ABE"/>
    <w:p w:rsidR="0183B684" w:rsidRDefault="0183B684" w14:paraId="668D9F87" w14:textId="52C14E86"/>
    <w:p w:rsidR="0183B684" w:rsidRDefault="0183B684" w14:paraId="1131025B" w14:textId="6B966410"/>
    <w:p w:rsidR="0183B684" w:rsidRDefault="0183B684" w14:paraId="0538F64C" w14:textId="3EF7B599"/>
    <w:p w:rsidR="0183B684" w:rsidRDefault="0183B684" w14:paraId="7DB2E3DC" w14:textId="6917C378"/>
    <w:p w:rsidR="0183B684" w:rsidRDefault="0183B684" w14:paraId="50B1E35B" w14:textId="553F6BFB"/>
    <w:p w:rsidR="0183B684" w:rsidRDefault="0183B684" w14:paraId="6ED540C0" w14:textId="23EB4257"/>
    <w:p w:rsidR="0183B684" w:rsidRDefault="0183B684" w14:paraId="01C5935B" w14:textId="0B5233D6"/>
    <w:p w:rsidR="0183B684" w:rsidRDefault="0183B684" w14:paraId="69DA79AD" w14:textId="5609E133"/>
    <w:p w:rsidR="0183B684" w:rsidRDefault="0183B684" w14:paraId="343CB31C" w14:textId="19A2AEA4"/>
    <w:p w:rsidR="0183B684" w:rsidRDefault="0183B684" w14:paraId="2919EC49" w14:textId="49913BD8"/>
    <w:p w:rsidR="0183B684" w:rsidRDefault="0183B684" w14:paraId="13034691" w14:textId="2B695E4F"/>
    <w:p w:rsidR="0183B684" w:rsidRDefault="0183B684" w14:paraId="4FAD0ED3" w14:textId="7116D8E6"/>
    <w:p w:rsidR="0183B684" w:rsidRDefault="0183B684" w14:paraId="3BCB81D3" w14:textId="43259B8C"/>
    <w:p w:rsidR="0183B684" w:rsidRDefault="0183B684" w14:paraId="3D4DEB5E" w14:textId="37164910"/>
    <w:p w:rsidR="0183B684" w:rsidRDefault="0183B684" w14:paraId="0DF6ABE9" w14:textId="0AD617C2"/>
    <w:p w:rsidR="0183B684" w:rsidRDefault="0183B684" w14:paraId="3E108218" w14:textId="19B3F6A9"/>
    <w:p w:rsidR="0183B684" w:rsidRDefault="0183B684" w14:paraId="29C06626" w14:textId="7F726271"/>
    <w:p w:rsidR="0183B684" w:rsidRDefault="0183B684" w14:paraId="27D7FFE6" w14:textId="165EBE6E"/>
    <w:p w:rsidR="0183B684" w:rsidRDefault="0183B684" w14:paraId="061AA330" w14:textId="025D2849"/>
    <w:p w:rsidR="0183B684" w:rsidRDefault="0183B684" w14:paraId="2FD98B35" w14:textId="2F3B9387"/>
    <w:p w:rsidR="0183B684" w:rsidRDefault="0183B684" w14:paraId="6EC90821" w14:textId="30BF6CAE"/>
    <w:p w:rsidR="0183B684" w:rsidRDefault="0183B684" w14:paraId="18176983" w14:textId="3189A18F"/>
    <w:p w:rsidR="4393D3D0" w:rsidRDefault="4393D3D0" w14:paraId="64900372" w14:textId="455940F3">
      <w:r w:rsidRPr="0183B684" w:rsidR="4393D3D0">
        <w:rPr>
          <w:rFonts w:ascii="Arial" w:hAnsi="Arial" w:eastAsia="Arial" w:cs="Arial"/>
          <w:b w:val="1"/>
          <w:bCs w:val="1"/>
          <w:i w:val="0"/>
          <w:iCs w:val="0"/>
          <w:caps w:val="0"/>
          <w:smallCaps w:val="0"/>
          <w:noProof w:val="0"/>
          <w:color w:val="000000" w:themeColor="text1" w:themeTint="FF" w:themeShade="FF"/>
          <w:sz w:val="22"/>
          <w:szCs w:val="22"/>
          <w:lang w:val="en-GB"/>
        </w:rPr>
        <w:t xml:space="preserve">Abstract </w:t>
      </w:r>
    </w:p>
    <w:p w:rsidR="4393D3D0" w:rsidP="0183B684" w:rsidRDefault="4393D3D0" w14:paraId="0B05F75B" w14:textId="7F2FFC3C">
      <w:pPr>
        <w:pStyle w:val="Normal"/>
      </w:pPr>
      <w:r w:rsidRPr="0183B684" w:rsidR="4393D3D0">
        <w:rPr>
          <w:rFonts w:ascii="Arial" w:hAnsi="Arial" w:eastAsia="Arial" w:cs="Arial"/>
          <w:noProof w:val="0"/>
          <w:sz w:val="22"/>
          <w:szCs w:val="22"/>
          <w:lang w:val="en-GB"/>
        </w:rPr>
        <w:t xml:space="preserve">This report evaluates the importance of person-centred care (PCC) and partnership working (PW) in UK health and social care. It examines how these approaches improve care quality, encourage shared decision-making and support positive health outcomes. The report defines person-centred care, evaluates its benefits and limitations, and critically analyses the Social Model of Health in comparison with the Medical Model. It also explores the ethical principles that underpin professional practice, the importance of partnership working and the legislation supporting these approaches. Examples from community healthcare, including GP practices and community nursing services, </w:t>
      </w:r>
      <w:r w:rsidRPr="0183B684" w:rsidR="4393D3D0">
        <w:rPr>
          <w:rFonts w:ascii="Arial" w:hAnsi="Arial" w:eastAsia="Arial" w:cs="Arial"/>
          <w:noProof w:val="0"/>
          <w:sz w:val="22"/>
          <w:szCs w:val="22"/>
          <w:lang w:val="en-GB"/>
        </w:rPr>
        <w:t>demonstrate</w:t>
      </w:r>
      <w:r w:rsidRPr="0183B684" w:rsidR="4393D3D0">
        <w:rPr>
          <w:rFonts w:ascii="Arial" w:hAnsi="Arial" w:eastAsia="Arial" w:cs="Arial"/>
          <w:noProof w:val="0"/>
          <w:sz w:val="22"/>
          <w:szCs w:val="22"/>
          <w:lang w:val="en-GB"/>
        </w:rPr>
        <w:t xml:space="preserve"> how PCC and partnership working are applied in practice. The report concludes that effective communication, multidisciplinary </w:t>
      </w:r>
      <w:r w:rsidRPr="0183B684" w:rsidR="4393D3D0">
        <w:rPr>
          <w:rFonts w:ascii="Arial" w:hAnsi="Arial" w:eastAsia="Arial" w:cs="Arial"/>
          <w:noProof w:val="0"/>
          <w:sz w:val="22"/>
          <w:szCs w:val="22"/>
          <w:lang w:val="en-GB"/>
        </w:rPr>
        <w:t>collaboration</w:t>
      </w:r>
      <w:r w:rsidRPr="0183B684" w:rsidR="4393D3D0">
        <w:rPr>
          <w:rFonts w:ascii="Arial" w:hAnsi="Arial" w:eastAsia="Arial" w:cs="Arial"/>
          <w:noProof w:val="0"/>
          <w:sz w:val="22"/>
          <w:szCs w:val="22"/>
          <w:lang w:val="en-GB"/>
        </w:rPr>
        <w:t xml:space="preserve"> and active patient involvement are essential for delivering safe, </w:t>
      </w:r>
      <w:r w:rsidRPr="0183B684" w:rsidR="4393D3D0">
        <w:rPr>
          <w:rFonts w:ascii="Arial" w:hAnsi="Arial" w:eastAsia="Arial" w:cs="Arial"/>
          <w:noProof w:val="0"/>
          <w:sz w:val="22"/>
          <w:szCs w:val="22"/>
          <w:lang w:val="en-GB"/>
        </w:rPr>
        <w:t>coordinated</w:t>
      </w:r>
      <w:r w:rsidRPr="0183B684" w:rsidR="4393D3D0">
        <w:rPr>
          <w:rFonts w:ascii="Arial" w:hAnsi="Arial" w:eastAsia="Arial" w:cs="Arial"/>
          <w:noProof w:val="0"/>
          <w:sz w:val="22"/>
          <w:szCs w:val="22"/>
          <w:lang w:val="en-GB"/>
        </w:rPr>
        <w:t xml:space="preserve"> and high-quality care. It recommends continued investment in workforce development, digital </w:t>
      </w:r>
      <w:r w:rsidRPr="0183B684" w:rsidR="4393D3D0">
        <w:rPr>
          <w:rFonts w:ascii="Arial" w:hAnsi="Arial" w:eastAsia="Arial" w:cs="Arial"/>
          <w:noProof w:val="0"/>
          <w:sz w:val="22"/>
          <w:szCs w:val="22"/>
          <w:lang w:val="en-GB"/>
        </w:rPr>
        <w:t>technology</w:t>
      </w:r>
      <w:r w:rsidRPr="0183B684" w:rsidR="4393D3D0">
        <w:rPr>
          <w:rFonts w:ascii="Arial" w:hAnsi="Arial" w:eastAsia="Arial" w:cs="Arial"/>
          <w:noProof w:val="0"/>
          <w:sz w:val="22"/>
          <w:szCs w:val="22"/>
          <w:lang w:val="en-GB"/>
        </w:rPr>
        <w:t xml:space="preserve"> and integrated services to strengthen person-centred care across the UK. </w:t>
      </w:r>
    </w:p>
    <w:p w:rsidR="4393D3D0" w:rsidP="0183B684" w:rsidRDefault="4393D3D0" w14:paraId="54D5971A" w14:textId="4A47D367">
      <w:pPr>
        <w:pStyle w:val="Normal"/>
        <w:rPr>
          <w:rFonts w:ascii="Arial" w:hAnsi="Arial" w:eastAsia="Arial" w:cs="Arial"/>
          <w:b w:val="1"/>
          <w:bCs w:val="1"/>
          <w:noProof w:val="0"/>
          <w:sz w:val="22"/>
          <w:szCs w:val="22"/>
          <w:lang w:val="en-GB"/>
        </w:rPr>
      </w:pPr>
      <w:r w:rsidRPr="0183B684" w:rsidR="4393D3D0">
        <w:rPr>
          <w:rFonts w:ascii="Arial" w:hAnsi="Arial" w:eastAsia="Arial" w:cs="Arial"/>
          <w:b w:val="1"/>
          <w:bCs w:val="1"/>
          <w:noProof w:val="0"/>
          <w:sz w:val="22"/>
          <w:szCs w:val="22"/>
          <w:lang w:val="en-GB"/>
        </w:rPr>
        <w:t xml:space="preserve">Introduction </w:t>
      </w:r>
    </w:p>
    <w:p w:rsidR="4393D3D0" w:rsidP="0183B684" w:rsidRDefault="4393D3D0" w14:paraId="59AFEA53" w14:textId="37EEB0A7">
      <w:pPr>
        <w:spacing w:before="240" w:beforeAutospacing="off" w:after="240" w:afterAutospacing="off"/>
      </w:pPr>
      <w:r w:rsidRPr="0183B684" w:rsidR="4393D3D0">
        <w:rPr>
          <w:rFonts w:ascii="Arial" w:hAnsi="Arial" w:eastAsia="Arial" w:cs="Arial"/>
          <w:noProof w:val="0"/>
          <w:sz w:val="22"/>
          <w:szCs w:val="22"/>
          <w:lang w:val="en-GB"/>
        </w:rPr>
        <w:t>Person-centred care (PCC) and partnership working (PW) are central to modern health and social care practice in the UK. They ensure individuals receive care that reflects their needs, preferences and values while encouraging professionals to work collaboratively to deliver safe, effective and coordinated services (Health and Care Professions Council, 2023).</w:t>
      </w:r>
    </w:p>
    <w:p w:rsidR="4393D3D0" w:rsidP="0183B684" w:rsidRDefault="4393D3D0" w14:paraId="418A54C5" w14:textId="607F055B">
      <w:pPr>
        <w:spacing w:before="240" w:beforeAutospacing="off" w:after="240" w:afterAutospacing="off"/>
      </w:pPr>
      <w:r w:rsidRPr="0183B684" w:rsidR="4393D3D0">
        <w:rPr>
          <w:rFonts w:ascii="Arial" w:hAnsi="Arial" w:eastAsia="Arial" w:cs="Arial"/>
          <w:noProof w:val="0"/>
          <w:sz w:val="22"/>
          <w:szCs w:val="22"/>
          <w:lang w:val="en-GB"/>
        </w:rPr>
        <w:t>This report evaluates the importance of PCC and partnership working within community healthcare settings. It defines person-centred care, examines its strengths and limitations, and analyses the Social Model of Health alongside the Medical Model. The report also discusses ethical principles, partnership working, and relevant UK legislation before making recommendations for improving practice. Community healthcare services, including GP practices and community nursing teams, are used throughout as examples because they rely on multidisciplinary working and active patient involvement to deliver holistic care (NHS England, 2024).</w:t>
      </w:r>
    </w:p>
    <w:p w:rsidR="4393D3D0" w:rsidP="0183B684" w:rsidRDefault="4393D3D0" w14:paraId="50EF88F4" w14:textId="37A0BD2D">
      <w:pPr>
        <w:pStyle w:val="Normal"/>
      </w:pPr>
      <w:r w:rsidRPr="0183B684" w:rsidR="4393D3D0">
        <w:rPr>
          <w:rFonts w:ascii="Arial" w:hAnsi="Arial" w:eastAsia="Arial" w:cs="Arial"/>
          <w:b w:val="1"/>
          <w:bCs w:val="1"/>
          <w:noProof w:val="0"/>
          <w:sz w:val="22"/>
          <w:szCs w:val="22"/>
          <w:lang w:val="en-GB"/>
        </w:rPr>
        <w:t xml:space="preserve">Definition of </w:t>
      </w:r>
      <w:r w:rsidRPr="0183B684" w:rsidR="4393D3D0">
        <w:rPr>
          <w:rFonts w:ascii="Arial" w:hAnsi="Arial" w:eastAsia="Arial" w:cs="Arial"/>
          <w:b w:val="1"/>
          <w:bCs w:val="1"/>
          <w:noProof w:val="0"/>
          <w:sz w:val="22"/>
          <w:szCs w:val="22"/>
          <w:lang w:val="en-GB"/>
        </w:rPr>
        <w:t>person-centred</w:t>
      </w:r>
      <w:r w:rsidRPr="0183B684" w:rsidR="4393D3D0">
        <w:rPr>
          <w:rFonts w:ascii="Arial" w:hAnsi="Arial" w:eastAsia="Arial" w:cs="Arial"/>
          <w:b w:val="1"/>
          <w:bCs w:val="1"/>
          <w:noProof w:val="0"/>
          <w:sz w:val="22"/>
          <w:szCs w:val="22"/>
          <w:lang w:val="en-GB"/>
        </w:rPr>
        <w:t xml:space="preserve"> care</w:t>
      </w:r>
    </w:p>
    <w:p w:rsidR="58654814" w:rsidP="0183B684" w:rsidRDefault="58654814" w14:paraId="03A42E26" w14:textId="418F226D">
      <w:pPr>
        <w:spacing w:before="240" w:beforeAutospacing="off" w:after="240" w:afterAutospacing="off"/>
      </w:pPr>
      <w:r w:rsidRPr="0183B684" w:rsidR="58654814">
        <w:rPr>
          <w:rFonts w:ascii="Arial" w:hAnsi="Arial" w:eastAsia="Arial" w:cs="Arial"/>
          <w:noProof w:val="0"/>
          <w:sz w:val="22"/>
          <w:szCs w:val="22"/>
          <w:lang w:val="en-GB"/>
        </w:rPr>
        <w:t>Person-centred care places individuals at the centre of decisions about their care by recognising their unique values, preferences, beliefs and goals. Rather than focusing only on illness, PCC encourages healthcare professionals to work with individuals to plan and manage care. The Health Foundation (2016) describes PCC as enabling people to have choice and control over their health, while NICE (2021) states that individuals should be treated with dignity, respect and compassion and actively involved in decisions affecting their care.</w:t>
      </w:r>
    </w:p>
    <w:p w:rsidR="58654814" w:rsidP="0183B684" w:rsidRDefault="58654814" w14:paraId="6C4B0972" w14:textId="1847F4D3">
      <w:pPr>
        <w:spacing w:before="240" w:beforeAutospacing="off" w:after="240" w:afterAutospacing="off"/>
      </w:pPr>
      <w:r w:rsidRPr="0183B684" w:rsidR="58654814">
        <w:rPr>
          <w:rFonts w:ascii="Arial" w:hAnsi="Arial" w:eastAsia="Arial" w:cs="Arial"/>
          <w:noProof w:val="0"/>
          <w:sz w:val="22"/>
          <w:szCs w:val="22"/>
          <w:lang w:val="en-GB"/>
        </w:rPr>
        <w:t xml:space="preserve">Within community healthcare, PCC is particularly important because professionals support people with long-term conditions, </w:t>
      </w:r>
      <w:r w:rsidRPr="0183B684" w:rsidR="58654814">
        <w:rPr>
          <w:rFonts w:ascii="Arial" w:hAnsi="Arial" w:eastAsia="Arial" w:cs="Arial"/>
          <w:noProof w:val="0"/>
          <w:sz w:val="22"/>
          <w:szCs w:val="22"/>
          <w:lang w:val="en-GB"/>
        </w:rPr>
        <w:t>disabilities</w:t>
      </w:r>
      <w:r w:rsidRPr="0183B684" w:rsidR="58654814">
        <w:rPr>
          <w:rFonts w:ascii="Arial" w:hAnsi="Arial" w:eastAsia="Arial" w:cs="Arial"/>
          <w:noProof w:val="0"/>
          <w:sz w:val="22"/>
          <w:szCs w:val="22"/>
          <w:lang w:val="en-GB"/>
        </w:rPr>
        <w:t xml:space="preserve"> and complex health needs. Care must therefore be tailored to </w:t>
      </w:r>
      <w:r w:rsidRPr="0183B684" w:rsidR="0938132B">
        <w:rPr>
          <w:rFonts w:ascii="Arial" w:hAnsi="Arial" w:eastAsia="Arial" w:cs="Arial"/>
          <w:noProof w:val="0"/>
          <w:sz w:val="22"/>
          <w:szCs w:val="22"/>
          <w:lang w:val="en-GB"/>
        </w:rPr>
        <w:t>everyone's</w:t>
      </w:r>
      <w:r w:rsidRPr="0183B684" w:rsidR="58654814">
        <w:rPr>
          <w:rFonts w:ascii="Arial" w:hAnsi="Arial" w:eastAsia="Arial" w:cs="Arial"/>
          <w:noProof w:val="0"/>
          <w:sz w:val="22"/>
          <w:szCs w:val="22"/>
          <w:lang w:val="en-GB"/>
        </w:rPr>
        <w:t xml:space="preserve"> circumstances. For example, when supporting an older adult with diabetes, a community nurse should consider medication management alongside lifestyle, family support, cultural </w:t>
      </w:r>
      <w:r w:rsidRPr="0183B684" w:rsidR="58654814">
        <w:rPr>
          <w:rFonts w:ascii="Arial" w:hAnsi="Arial" w:eastAsia="Arial" w:cs="Arial"/>
          <w:noProof w:val="0"/>
          <w:sz w:val="22"/>
          <w:szCs w:val="22"/>
          <w:lang w:val="en-GB"/>
        </w:rPr>
        <w:t>beliefs</w:t>
      </w:r>
      <w:r w:rsidRPr="0183B684" w:rsidR="58654814">
        <w:rPr>
          <w:rFonts w:ascii="Arial" w:hAnsi="Arial" w:eastAsia="Arial" w:cs="Arial"/>
          <w:noProof w:val="0"/>
          <w:sz w:val="22"/>
          <w:szCs w:val="22"/>
          <w:lang w:val="en-GB"/>
        </w:rPr>
        <w:t xml:space="preserve"> and the person's ability to self-manage their condition.</w:t>
      </w:r>
    </w:p>
    <w:p w:rsidR="58654814" w:rsidP="0183B684" w:rsidRDefault="58654814" w14:paraId="0EDDC995" w14:textId="7066667A">
      <w:pPr>
        <w:spacing w:before="240" w:beforeAutospacing="off" w:after="240" w:afterAutospacing="off"/>
      </w:pPr>
      <w:r w:rsidRPr="0183B684" w:rsidR="58654814">
        <w:rPr>
          <w:rFonts w:ascii="Arial" w:hAnsi="Arial" w:eastAsia="Arial" w:cs="Arial"/>
          <w:noProof w:val="0"/>
          <w:sz w:val="22"/>
          <w:szCs w:val="22"/>
          <w:lang w:val="en-GB"/>
        </w:rPr>
        <w:t>Person-centred care offers several benefits. Individuals who are involved in decision-making are more likely to understand their treatment, follow care plans and manage their health effectively. Research suggests PCC improves patient satisfaction, promotes independence, strengthens professional relationships and can reduce unnecessary hospital admissions (Health Foundation, 2016). In community settings, these outcomes contribute to better management of chronic conditions and improved quality of life.</w:t>
      </w:r>
    </w:p>
    <w:p w:rsidR="58654814" w:rsidP="0183B684" w:rsidRDefault="58654814" w14:paraId="614A9F7A" w14:textId="6D241B65">
      <w:pPr>
        <w:spacing w:before="240" w:beforeAutospacing="off" w:after="240" w:afterAutospacing="off"/>
      </w:pPr>
      <w:r w:rsidRPr="0183B684" w:rsidR="58654814">
        <w:rPr>
          <w:rFonts w:ascii="Arial" w:hAnsi="Arial" w:eastAsia="Arial" w:cs="Arial"/>
          <w:noProof w:val="0"/>
          <w:sz w:val="22"/>
          <w:szCs w:val="22"/>
          <w:lang w:val="en-GB"/>
        </w:rPr>
        <w:t>However, implementing PCC can be challenging. NHS workforce shortages, increasing demand and limited consultation time can restrict opportunities for shared decision-making (The King's Fund, 2022). Financial pressures may also limit access to community services, reducing personalised support.</w:t>
      </w:r>
    </w:p>
    <w:p w:rsidR="58654814" w:rsidP="0183B684" w:rsidRDefault="58654814" w14:paraId="1C1CD927" w14:textId="25088F96">
      <w:pPr>
        <w:spacing w:before="240" w:beforeAutospacing="off" w:after="240" w:afterAutospacing="off"/>
      </w:pPr>
      <w:r w:rsidRPr="0183B684" w:rsidR="58654814">
        <w:rPr>
          <w:rFonts w:ascii="Arial" w:hAnsi="Arial" w:eastAsia="Arial" w:cs="Arial"/>
          <w:noProof w:val="0"/>
          <w:sz w:val="22"/>
          <w:szCs w:val="22"/>
          <w:lang w:val="en-GB"/>
        </w:rPr>
        <w:t>Communication barriers, including language differences, cognitive impairment and limited health literacy, may further affect patient involvement. Healthcare professionals should adapt communication methods and use interpreters or accessible information where necessary to ensure equal participation.</w:t>
      </w:r>
      <w:r w:rsidRPr="0183B684" w:rsidR="226795C7">
        <w:rPr>
          <w:rFonts w:ascii="Arial" w:hAnsi="Arial" w:eastAsia="Arial" w:cs="Arial"/>
          <w:noProof w:val="0"/>
          <w:sz w:val="22"/>
          <w:szCs w:val="22"/>
          <w:lang w:val="en-GB"/>
        </w:rPr>
        <w:t xml:space="preserve"> </w:t>
      </w:r>
      <w:r w:rsidRPr="0183B684" w:rsidR="58654814">
        <w:rPr>
          <w:rFonts w:ascii="Arial" w:hAnsi="Arial" w:eastAsia="Arial" w:cs="Arial"/>
          <w:noProof w:val="0"/>
          <w:sz w:val="22"/>
          <w:szCs w:val="22"/>
          <w:lang w:val="en-GB"/>
        </w:rPr>
        <w:t xml:space="preserve">Overall, despite practical challenges, person-centred care </w:t>
      </w:r>
      <w:r w:rsidRPr="0183B684" w:rsidR="58654814">
        <w:rPr>
          <w:rFonts w:ascii="Arial" w:hAnsi="Arial" w:eastAsia="Arial" w:cs="Arial"/>
          <w:noProof w:val="0"/>
          <w:sz w:val="22"/>
          <w:szCs w:val="22"/>
          <w:lang w:val="en-GB"/>
        </w:rPr>
        <w:t>remains</w:t>
      </w:r>
      <w:r w:rsidRPr="0183B684" w:rsidR="58654814">
        <w:rPr>
          <w:rFonts w:ascii="Arial" w:hAnsi="Arial" w:eastAsia="Arial" w:cs="Arial"/>
          <w:noProof w:val="0"/>
          <w:sz w:val="22"/>
          <w:szCs w:val="22"/>
          <w:lang w:val="en-GB"/>
        </w:rPr>
        <w:t xml:space="preserve"> a key principle of high-quality health and social care because it improves patient experience, supports better health </w:t>
      </w:r>
      <w:r w:rsidRPr="0183B684" w:rsidR="58654814">
        <w:rPr>
          <w:rFonts w:ascii="Arial" w:hAnsi="Arial" w:eastAsia="Arial" w:cs="Arial"/>
          <w:noProof w:val="0"/>
          <w:sz w:val="22"/>
          <w:szCs w:val="22"/>
          <w:lang w:val="en-GB"/>
        </w:rPr>
        <w:t>outcomes</w:t>
      </w:r>
      <w:r w:rsidRPr="0183B684" w:rsidR="58654814">
        <w:rPr>
          <w:rFonts w:ascii="Arial" w:hAnsi="Arial" w:eastAsia="Arial" w:cs="Arial"/>
          <w:noProof w:val="0"/>
          <w:sz w:val="22"/>
          <w:szCs w:val="22"/>
          <w:lang w:val="en-GB"/>
        </w:rPr>
        <w:t xml:space="preserve"> and promotes individual independence.</w:t>
      </w:r>
    </w:p>
    <w:p w:rsidR="58654814" w:rsidP="0183B684" w:rsidRDefault="58654814" w14:paraId="72A7F05A" w14:textId="35B91B52">
      <w:pPr>
        <w:pStyle w:val="Normal"/>
      </w:pPr>
      <w:r w:rsidRPr="0183B684" w:rsidR="58654814">
        <w:rPr>
          <w:rFonts w:ascii="Arial" w:hAnsi="Arial" w:eastAsia="Arial" w:cs="Arial"/>
          <w:b w:val="1"/>
          <w:bCs w:val="1"/>
          <w:noProof w:val="0"/>
          <w:sz w:val="22"/>
          <w:szCs w:val="22"/>
          <w:lang w:val="en-GB"/>
        </w:rPr>
        <w:t xml:space="preserve">Theories underpinning </w:t>
      </w:r>
      <w:r w:rsidRPr="0183B684" w:rsidR="58654814">
        <w:rPr>
          <w:rFonts w:ascii="Arial" w:hAnsi="Arial" w:eastAsia="Arial" w:cs="Arial"/>
          <w:b w:val="1"/>
          <w:bCs w:val="1"/>
          <w:noProof w:val="0"/>
          <w:sz w:val="22"/>
          <w:szCs w:val="22"/>
          <w:lang w:val="en-GB"/>
        </w:rPr>
        <w:t>person centred</w:t>
      </w:r>
      <w:r w:rsidRPr="0183B684" w:rsidR="58654814">
        <w:rPr>
          <w:rFonts w:ascii="Arial" w:hAnsi="Arial" w:eastAsia="Arial" w:cs="Arial"/>
          <w:b w:val="1"/>
          <w:bCs w:val="1"/>
          <w:noProof w:val="0"/>
          <w:sz w:val="22"/>
          <w:szCs w:val="22"/>
          <w:lang w:val="en-GB"/>
        </w:rPr>
        <w:t xml:space="preserve"> care </w:t>
      </w:r>
    </w:p>
    <w:p w:rsidR="5AB1F2F5" w:rsidP="0183B684" w:rsidRDefault="5AB1F2F5" w14:paraId="38A4D490" w14:textId="1C8E9A41">
      <w:pPr>
        <w:spacing w:before="240" w:beforeAutospacing="off" w:after="240" w:afterAutospacing="off"/>
      </w:pPr>
      <w:r w:rsidRPr="0183B684" w:rsidR="5AB1F2F5">
        <w:rPr>
          <w:rFonts w:ascii="Arial" w:hAnsi="Arial" w:eastAsia="Arial" w:cs="Arial"/>
          <w:noProof w:val="0"/>
          <w:sz w:val="22"/>
          <w:szCs w:val="22"/>
          <w:lang w:val="en-GB"/>
        </w:rPr>
        <w:t>The Social Model of Health is widely recognised as the main theory underpinning person-centred care because it considers the broader factors influencing health rather than focusing solely on disease. These factors include housing, education, employment, income, relationships and access to healthcare (Naidoo and Wills, 2022). By recognising these influences, healthcare professionals adopt a holistic approach that supports personalised care and shared decision-making.</w:t>
      </w:r>
    </w:p>
    <w:p w:rsidR="5AB1F2F5" w:rsidP="0183B684" w:rsidRDefault="5AB1F2F5" w14:paraId="5427E3EC" w14:textId="2A64698C">
      <w:pPr>
        <w:spacing w:before="240" w:beforeAutospacing="off" w:after="240" w:afterAutospacing="off"/>
      </w:pPr>
      <w:r w:rsidRPr="0183B684" w:rsidR="5AB1F2F5">
        <w:rPr>
          <w:rFonts w:ascii="Arial" w:hAnsi="Arial" w:eastAsia="Arial" w:cs="Arial"/>
          <w:noProof w:val="0"/>
          <w:sz w:val="22"/>
          <w:szCs w:val="22"/>
          <w:lang w:val="en-GB"/>
        </w:rPr>
        <w:t>Bronfenbrenner's Ecological Model (1979) complements the Social Model by recognising that health is shaped by family, community and wider social environments. In community healthcare, professionals consider these influences when planning care, recognising that social support and living conditions may significantly affect a person's ability to manage illness.</w:t>
      </w:r>
    </w:p>
    <w:p w:rsidR="5AB1F2F5" w:rsidP="0183B684" w:rsidRDefault="5AB1F2F5" w14:paraId="4227346E" w14:textId="5A9036A3">
      <w:pPr>
        <w:spacing w:before="240" w:beforeAutospacing="off" w:after="240" w:afterAutospacing="off"/>
      </w:pPr>
      <w:r w:rsidRPr="0183B684" w:rsidR="5AB1F2F5">
        <w:rPr>
          <w:rFonts w:ascii="Arial" w:hAnsi="Arial" w:eastAsia="Arial" w:cs="Arial"/>
          <w:noProof w:val="0"/>
          <w:sz w:val="22"/>
          <w:szCs w:val="22"/>
          <w:lang w:val="en-GB"/>
        </w:rPr>
        <w:t>For example, when caring for an older adult with heart failure, a community nurse considers not only clinical symptoms but also whether the individual has appropriate housing, family support and access to local services. Addressing these wider factors improves the person's ability to manage their condition and maintain independence.</w:t>
      </w:r>
    </w:p>
    <w:p w:rsidR="5AB1F2F5" w:rsidP="0183B684" w:rsidRDefault="5AB1F2F5" w14:paraId="012D8CB2" w14:textId="52D4F6C1">
      <w:pPr>
        <w:spacing w:before="240" w:beforeAutospacing="off" w:after="240" w:afterAutospacing="off"/>
      </w:pPr>
      <w:r w:rsidRPr="0183B684" w:rsidR="5AB1F2F5">
        <w:rPr>
          <w:rFonts w:ascii="Arial" w:hAnsi="Arial" w:eastAsia="Arial" w:cs="Arial"/>
          <w:noProof w:val="0"/>
          <w:sz w:val="22"/>
          <w:szCs w:val="22"/>
          <w:lang w:val="en-GB"/>
        </w:rPr>
        <w:t>In contrast, the Medical Model focuses primarily on diagnosing and treating disease through medical intervention (Bury, 2021). This approach has contributed significantly to advances in healthcare and remains essential for diagnosing illness, prescribing treatment and managing acute conditions. However, critics argue that it may overlook psychological and social factors, limiting opportunities for personalised care and shared decision-making (Naidoo and Wills, 2022).</w:t>
      </w:r>
    </w:p>
    <w:p w:rsidR="5AB1F2F5" w:rsidP="0183B684" w:rsidRDefault="5AB1F2F5" w14:paraId="4179CB08" w14:textId="63DBD987">
      <w:pPr>
        <w:spacing w:before="240" w:beforeAutospacing="off" w:after="240" w:afterAutospacing="off"/>
      </w:pPr>
      <w:r w:rsidRPr="0183B684" w:rsidR="5AB1F2F5">
        <w:rPr>
          <w:rFonts w:ascii="Arial" w:hAnsi="Arial" w:eastAsia="Arial" w:cs="Arial"/>
          <w:noProof w:val="0"/>
          <w:sz w:val="22"/>
          <w:szCs w:val="22"/>
          <w:lang w:val="en-GB"/>
        </w:rPr>
        <w:t>In practice, community healthcare professionals often combine both approaches. A GP may diagnose hypertension and prescribe medication using the Medical Model while also discussing lifestyle changes, referring the patient to community support services and encouraging shared decision-making, reflecting the Social Model. Combining both models enables professionals to address medical needs while recognising the wider influences on health.</w:t>
      </w:r>
    </w:p>
    <w:p w:rsidR="5AB1F2F5" w:rsidP="0183B684" w:rsidRDefault="5AB1F2F5" w14:paraId="18699A80" w14:textId="4F239222">
      <w:pPr>
        <w:spacing w:before="240" w:beforeAutospacing="off" w:after="240" w:afterAutospacing="off"/>
      </w:pPr>
      <w:r w:rsidRPr="0183B684" w:rsidR="5AB1F2F5">
        <w:rPr>
          <w:rFonts w:ascii="Arial" w:hAnsi="Arial" w:eastAsia="Arial" w:cs="Arial"/>
          <w:noProof w:val="0"/>
          <w:sz w:val="22"/>
          <w:szCs w:val="22"/>
          <w:lang w:val="en-GB"/>
        </w:rPr>
        <w:t>Overall, the Social Model provides the strongest foundation for person-centred care because it promotes holistic practice and individual involvement. Nevertheless, integrating both models enables healthcare professionals to deliver comprehensive, evidence-based and person-centred care.</w:t>
      </w:r>
    </w:p>
    <w:p w:rsidR="5AB1F2F5" w:rsidP="0183B684" w:rsidRDefault="5AB1F2F5" w14:paraId="615ACEB6" w14:textId="3EAA3EC5">
      <w:pPr>
        <w:pStyle w:val="Normal"/>
      </w:pPr>
      <w:r w:rsidRPr="0183B684" w:rsidR="5AB1F2F5">
        <w:rPr>
          <w:rFonts w:ascii="Arial" w:hAnsi="Arial" w:eastAsia="Arial" w:cs="Arial"/>
          <w:b w:val="1"/>
          <w:bCs w:val="1"/>
          <w:noProof w:val="0"/>
          <w:sz w:val="22"/>
          <w:szCs w:val="22"/>
          <w:lang w:val="en-GB"/>
        </w:rPr>
        <w:t>Ethical principles in Health and Social Care</w:t>
      </w:r>
    </w:p>
    <w:p w:rsidR="5AB1F2F5" w:rsidP="0183B684" w:rsidRDefault="5AB1F2F5" w14:paraId="64A5BBEB" w14:textId="2665DE41">
      <w:pPr>
        <w:spacing w:before="240" w:beforeAutospacing="off" w:after="240" w:afterAutospacing="off"/>
      </w:pPr>
      <w:r w:rsidRPr="0183B684" w:rsidR="5AB1F2F5">
        <w:rPr>
          <w:rFonts w:ascii="Arial" w:hAnsi="Arial" w:eastAsia="Arial" w:cs="Arial"/>
          <w:noProof w:val="0"/>
          <w:sz w:val="22"/>
          <w:szCs w:val="22"/>
          <w:lang w:val="en-GB"/>
        </w:rPr>
        <w:t>Ethical principles underpin professional practice and support the delivery of safe, respectful and person-centred care. Beauchamp and Childress (2019) identify four key principles: autonomy, beneficence, non-maleficence and justice. Together, these principles help healthcare professionals make decisions that respect individuals' rights while promoting their wellbeing.</w:t>
      </w:r>
    </w:p>
    <w:p w:rsidR="5AB1F2F5" w:rsidP="0183B684" w:rsidRDefault="5AB1F2F5" w14:paraId="06A69C3E" w14:textId="0D1A3675">
      <w:pPr>
        <w:spacing w:before="240" w:beforeAutospacing="off" w:after="240" w:afterAutospacing="off"/>
      </w:pPr>
      <w:r w:rsidRPr="0183B684" w:rsidR="5AB1F2F5">
        <w:rPr>
          <w:rFonts w:ascii="Arial" w:hAnsi="Arial" w:eastAsia="Arial" w:cs="Arial"/>
          <w:noProof w:val="0"/>
          <w:sz w:val="22"/>
          <w:szCs w:val="22"/>
          <w:lang w:val="en-GB"/>
        </w:rPr>
        <w:t>Autonomy refers to an individual's right to make informed decisions about their own care. Healthcare professionals should provide clear information, discuss treatment options and support people to make choices that reflect their values. Beneficence requires professionals to act in the individual's best interests by providing care that improves health and wellbeing. Non-maleficence means avoiding unnecessary harm through safe, evidence-based practice, while justice ensures fair and equal access to services regardless of age, disability, ethnicity or socioeconomic background.</w:t>
      </w:r>
    </w:p>
    <w:p w:rsidR="5AB1F2F5" w:rsidP="0183B684" w:rsidRDefault="5AB1F2F5" w14:paraId="227D34D6" w14:textId="53FA53CD">
      <w:pPr>
        <w:spacing w:before="240" w:beforeAutospacing="off" w:after="240" w:afterAutospacing="off"/>
      </w:pPr>
      <w:r w:rsidRPr="0183B684" w:rsidR="5AB1F2F5">
        <w:rPr>
          <w:rFonts w:ascii="Arial" w:hAnsi="Arial" w:eastAsia="Arial" w:cs="Arial"/>
          <w:noProof w:val="0"/>
          <w:sz w:val="22"/>
          <w:szCs w:val="22"/>
          <w:lang w:val="en-GB"/>
        </w:rPr>
        <w:t>Ethical dilemmas may arise when these principles conflict. For example, a community nurse may support a patient who refuses medication despite understanding the associated risks. Respecting autonomy may conflict with beneficence, as professionals also have a duty to promote health. In such situations, effective communication, shared decision-making and multidisciplinary discussion help professionals balance competing ethical responsibilities while respecting the individual's legal rights (Nursing and Midwifery Council, 2018).</w:t>
      </w:r>
    </w:p>
    <w:p w:rsidR="5AB1F2F5" w:rsidP="0183B684" w:rsidRDefault="5AB1F2F5" w14:paraId="52D286B2" w14:textId="35E6D5C9">
      <w:pPr>
        <w:spacing w:before="240" w:beforeAutospacing="off" w:after="240" w:afterAutospacing="off"/>
      </w:pPr>
      <w:r w:rsidRPr="0183B684" w:rsidR="5AB1F2F5">
        <w:rPr>
          <w:rFonts w:ascii="Arial" w:hAnsi="Arial" w:eastAsia="Arial" w:cs="Arial"/>
          <w:noProof w:val="0"/>
          <w:sz w:val="22"/>
          <w:szCs w:val="22"/>
          <w:lang w:val="en-GB"/>
        </w:rPr>
        <w:t>Applying these principles consistently strengthens trust between healthcare professionals and patients and reinforces the principles of person-centred care.</w:t>
      </w:r>
    </w:p>
    <w:p w:rsidR="5AB1F2F5" w:rsidP="0183B684" w:rsidRDefault="5AB1F2F5" w14:paraId="4436A986" w14:textId="437EC809">
      <w:pPr>
        <w:spacing w:before="240" w:beforeAutospacing="off" w:after="240" w:afterAutospacing="off"/>
      </w:pPr>
      <w:r w:rsidRPr="0183B684" w:rsidR="5AB1F2F5">
        <w:rPr>
          <w:rFonts w:ascii="Arial" w:hAnsi="Arial" w:eastAsia="Arial" w:cs="Arial"/>
          <w:b w:val="1"/>
          <w:bCs w:val="1"/>
          <w:noProof w:val="0"/>
          <w:sz w:val="22"/>
          <w:szCs w:val="22"/>
          <w:lang w:val="en-GB"/>
        </w:rPr>
        <w:t xml:space="preserve">Partnership working in Health and Social Care </w:t>
      </w:r>
    </w:p>
    <w:p w:rsidR="44A77866" w:rsidP="0183B684" w:rsidRDefault="44A77866" w14:paraId="40479A99" w14:textId="47325A06">
      <w:pPr>
        <w:pStyle w:val="Normal"/>
        <w:spacing w:before="240" w:beforeAutospacing="off" w:after="240" w:afterAutospacing="off"/>
      </w:pPr>
      <w:r w:rsidRPr="0183B684" w:rsidR="44A77866">
        <w:rPr>
          <w:rFonts w:ascii="Arial" w:hAnsi="Arial" w:eastAsia="Arial" w:cs="Arial"/>
          <w:noProof w:val="0"/>
          <w:sz w:val="22"/>
          <w:szCs w:val="22"/>
          <w:lang w:val="en-GB"/>
        </w:rPr>
        <w:t xml:space="preserve">Partnership working involves health and social care professionals, organisations, service users and families working collaboratively to plan, deliver and evaluate care. Effective partnership working has become increasingly important following the introduction of Integrated Care Systems (ICSs), which aim to improve collaboration between NHS organisations, local </w:t>
      </w:r>
      <w:r w:rsidRPr="0183B684" w:rsidR="44A77866">
        <w:rPr>
          <w:rFonts w:ascii="Arial" w:hAnsi="Arial" w:eastAsia="Arial" w:cs="Arial"/>
          <w:noProof w:val="0"/>
          <w:sz w:val="22"/>
          <w:szCs w:val="22"/>
          <w:lang w:val="en-GB"/>
        </w:rPr>
        <w:t>authorities</w:t>
      </w:r>
      <w:r w:rsidRPr="0183B684" w:rsidR="44A77866">
        <w:rPr>
          <w:rFonts w:ascii="Arial" w:hAnsi="Arial" w:eastAsia="Arial" w:cs="Arial"/>
          <w:noProof w:val="0"/>
          <w:sz w:val="22"/>
          <w:szCs w:val="22"/>
          <w:lang w:val="en-GB"/>
        </w:rPr>
        <w:t xml:space="preserve"> and voluntary services (NHS England, 2022). The main benefit of partnership working is improved coordination of care. Professionals from different disciplines, including GPs, community nurses, pharmacists, physiotherapists and social workers, can share </w:t>
      </w:r>
      <w:r w:rsidRPr="0183B684" w:rsidR="44A77866">
        <w:rPr>
          <w:rFonts w:ascii="Arial" w:hAnsi="Arial" w:eastAsia="Arial" w:cs="Arial"/>
          <w:noProof w:val="0"/>
          <w:sz w:val="22"/>
          <w:szCs w:val="22"/>
          <w:lang w:val="en-GB"/>
        </w:rPr>
        <w:t>expertise</w:t>
      </w:r>
      <w:r w:rsidRPr="0183B684" w:rsidR="44A77866">
        <w:rPr>
          <w:rFonts w:ascii="Arial" w:hAnsi="Arial" w:eastAsia="Arial" w:cs="Arial"/>
          <w:noProof w:val="0"/>
          <w:sz w:val="22"/>
          <w:szCs w:val="22"/>
          <w:lang w:val="en-GB"/>
        </w:rPr>
        <w:t xml:space="preserve">, reduce duplication of </w:t>
      </w:r>
      <w:r w:rsidRPr="0183B684" w:rsidR="44A77866">
        <w:rPr>
          <w:rFonts w:ascii="Arial" w:hAnsi="Arial" w:eastAsia="Arial" w:cs="Arial"/>
          <w:noProof w:val="0"/>
          <w:sz w:val="22"/>
          <w:szCs w:val="22"/>
          <w:lang w:val="en-GB"/>
        </w:rPr>
        <w:t>services</w:t>
      </w:r>
      <w:r w:rsidRPr="0183B684" w:rsidR="44A77866">
        <w:rPr>
          <w:rFonts w:ascii="Arial" w:hAnsi="Arial" w:eastAsia="Arial" w:cs="Arial"/>
          <w:noProof w:val="0"/>
          <w:sz w:val="22"/>
          <w:szCs w:val="22"/>
          <w:lang w:val="en-GB"/>
        </w:rPr>
        <w:t xml:space="preserve"> and develop personalised care plans. This collaborative approach improves communication, supports continuity of </w:t>
      </w:r>
      <w:r w:rsidRPr="0183B684" w:rsidR="44A77866">
        <w:rPr>
          <w:rFonts w:ascii="Arial" w:hAnsi="Arial" w:eastAsia="Arial" w:cs="Arial"/>
          <w:noProof w:val="0"/>
          <w:sz w:val="22"/>
          <w:szCs w:val="22"/>
          <w:lang w:val="en-GB"/>
        </w:rPr>
        <w:t>care</w:t>
      </w:r>
      <w:r w:rsidRPr="0183B684" w:rsidR="44A77866">
        <w:rPr>
          <w:rFonts w:ascii="Arial" w:hAnsi="Arial" w:eastAsia="Arial" w:cs="Arial"/>
          <w:noProof w:val="0"/>
          <w:sz w:val="22"/>
          <w:szCs w:val="22"/>
          <w:lang w:val="en-GB"/>
        </w:rPr>
        <w:t xml:space="preserve"> and enables earlier intervention, resulting in improved health outcomes and greater patient satisfaction (The King's Fund, 2022).</w:t>
      </w:r>
    </w:p>
    <w:p w:rsidR="44A77866" w:rsidP="0183B684" w:rsidRDefault="44A77866" w14:paraId="6652E8ED" w14:textId="72CB56AC">
      <w:pPr>
        <w:pStyle w:val="Normal"/>
        <w:spacing w:before="240" w:beforeAutospacing="off" w:after="240" w:afterAutospacing="off"/>
      </w:pPr>
      <w:r w:rsidRPr="0183B684" w:rsidR="44A77866">
        <w:rPr>
          <w:rFonts w:ascii="Arial" w:hAnsi="Arial" w:eastAsia="Arial" w:cs="Arial"/>
          <w:noProof w:val="0"/>
          <w:sz w:val="22"/>
          <w:szCs w:val="22"/>
          <w:lang w:val="en-GB"/>
        </w:rPr>
        <w:t>However, partnership working also presents challenges. Poor communication, unclear professional responsibilities, difficulties with information sharing and workforce pressures may reduce service effectiveness (Glasby and Dickinson, 2021). Organisations may also have different priorities or limited resources, creating barriers to collaborative practice. Despite these challenges, partnership working remains essential because it enables professionals to provide coordinated, holistic and person-centred care that addresses individuals' physical, emotional and social needs.</w:t>
      </w:r>
    </w:p>
    <w:p w:rsidR="44A77866" w:rsidP="0183B684" w:rsidRDefault="44A77866" w14:paraId="11524B66" w14:textId="007600C3">
      <w:pPr>
        <w:pStyle w:val="Normal"/>
        <w:spacing w:before="240" w:beforeAutospacing="off" w:after="240" w:afterAutospacing="off"/>
      </w:pPr>
      <w:r w:rsidRPr="0183B684" w:rsidR="44A77866">
        <w:rPr>
          <w:rFonts w:ascii="Arial" w:hAnsi="Arial" w:eastAsia="Arial" w:cs="Arial"/>
          <w:b w:val="1"/>
          <w:bCs w:val="1"/>
          <w:noProof w:val="0"/>
          <w:sz w:val="22"/>
          <w:szCs w:val="22"/>
          <w:lang w:val="en-GB"/>
        </w:rPr>
        <w:t xml:space="preserve">Policy and Legislation </w:t>
      </w:r>
    </w:p>
    <w:p w:rsidR="44A77866" w:rsidP="0183B684" w:rsidRDefault="44A77866" w14:paraId="261E0149" w14:textId="0A8935C9">
      <w:pPr>
        <w:pStyle w:val="Normal"/>
        <w:spacing w:before="240" w:beforeAutospacing="off" w:after="240" w:afterAutospacing="off"/>
      </w:pPr>
      <w:r w:rsidRPr="0183B684" w:rsidR="44A77866">
        <w:rPr>
          <w:rFonts w:ascii="Arial" w:hAnsi="Arial" w:eastAsia="Arial" w:cs="Arial"/>
          <w:noProof w:val="0"/>
          <w:sz w:val="22"/>
          <w:szCs w:val="22"/>
          <w:lang w:val="en-GB"/>
        </w:rPr>
        <w:t>Person-centred care and partnership working are supported by several important UK laws and policies that promote integrated, high-quality healthcare</w:t>
      </w:r>
      <w:r w:rsidRPr="0183B684" w:rsidR="2541FB10">
        <w:rPr>
          <w:rFonts w:ascii="Arial" w:hAnsi="Arial" w:eastAsia="Arial" w:cs="Arial"/>
          <w:noProof w:val="0"/>
          <w:sz w:val="22"/>
          <w:szCs w:val="22"/>
          <w:lang w:val="en-GB"/>
        </w:rPr>
        <w:t>,</w:t>
      </w:r>
      <w:r w:rsidRPr="0183B684" w:rsidR="44A77866">
        <w:rPr>
          <w:rFonts w:ascii="Arial" w:hAnsi="Arial" w:eastAsia="Arial" w:cs="Arial"/>
          <w:noProof w:val="0"/>
          <w:sz w:val="22"/>
          <w:szCs w:val="22"/>
          <w:lang w:val="en-GB"/>
        </w:rPr>
        <w:t xml:space="preserve"> </w:t>
      </w:r>
      <w:r w:rsidRPr="0183B684" w:rsidR="44A77866">
        <w:rPr>
          <w:rFonts w:ascii="Arial" w:hAnsi="Arial" w:eastAsia="Arial" w:cs="Arial"/>
          <w:b w:val="1"/>
          <w:bCs w:val="1"/>
          <w:noProof w:val="0"/>
          <w:sz w:val="22"/>
          <w:szCs w:val="22"/>
          <w:lang w:val="en-GB"/>
        </w:rPr>
        <w:t>Health and Care Act 2022</w:t>
      </w:r>
      <w:r w:rsidRPr="0183B684" w:rsidR="44A77866">
        <w:rPr>
          <w:rFonts w:ascii="Arial" w:hAnsi="Arial" w:eastAsia="Arial" w:cs="Arial"/>
          <w:noProof w:val="0"/>
          <w:sz w:val="22"/>
          <w:szCs w:val="22"/>
          <w:lang w:val="en-GB"/>
        </w:rPr>
        <w:t xml:space="preserve"> strengthened collaborative working by placing Integrated Care Systems on a statutory footing, encouraging NHS organisations, local </w:t>
      </w:r>
      <w:r w:rsidRPr="0183B684" w:rsidR="44A77866">
        <w:rPr>
          <w:rFonts w:ascii="Arial" w:hAnsi="Arial" w:eastAsia="Arial" w:cs="Arial"/>
          <w:noProof w:val="0"/>
          <w:sz w:val="22"/>
          <w:szCs w:val="22"/>
          <w:lang w:val="en-GB"/>
        </w:rPr>
        <w:t>authorities</w:t>
      </w:r>
      <w:r w:rsidRPr="0183B684" w:rsidR="44A77866">
        <w:rPr>
          <w:rFonts w:ascii="Arial" w:hAnsi="Arial" w:eastAsia="Arial" w:cs="Arial"/>
          <w:noProof w:val="0"/>
          <w:sz w:val="22"/>
          <w:szCs w:val="22"/>
          <w:lang w:val="en-GB"/>
        </w:rPr>
        <w:t xml:space="preserve"> and voluntary services to work together to improve population health and reduce inequalities (Department of Health and Social Care, 2022).</w:t>
      </w:r>
      <w:r w:rsidRPr="0183B684" w:rsidR="44A77866">
        <w:rPr>
          <w:rFonts w:ascii="Arial" w:hAnsi="Arial" w:eastAsia="Arial" w:cs="Arial"/>
          <w:b w:val="1"/>
          <w:bCs w:val="1"/>
          <w:noProof w:val="0"/>
          <w:sz w:val="22"/>
          <w:szCs w:val="22"/>
          <w:lang w:val="en-GB"/>
        </w:rPr>
        <w:t xml:space="preserve"> </w:t>
      </w:r>
      <w:r w:rsidRPr="0183B684" w:rsidR="4293EEF3">
        <w:rPr>
          <w:rFonts w:ascii="Arial" w:hAnsi="Arial" w:eastAsia="Arial" w:cs="Arial"/>
          <w:noProof w:val="0"/>
          <w:sz w:val="22"/>
          <w:szCs w:val="22"/>
          <w:lang w:val="en-GB"/>
        </w:rPr>
        <w:t xml:space="preserve">The </w:t>
      </w:r>
      <w:r w:rsidRPr="0183B684" w:rsidR="4293EEF3">
        <w:rPr>
          <w:rFonts w:ascii="Arial" w:hAnsi="Arial" w:eastAsia="Arial" w:cs="Arial"/>
          <w:b w:val="1"/>
          <w:bCs w:val="1"/>
          <w:noProof w:val="0"/>
          <w:sz w:val="22"/>
          <w:szCs w:val="22"/>
          <w:lang w:val="en-GB"/>
        </w:rPr>
        <w:t>Care Act 2014</w:t>
      </w:r>
      <w:r w:rsidRPr="0183B684" w:rsidR="4293EEF3">
        <w:rPr>
          <w:rFonts w:ascii="Arial" w:hAnsi="Arial" w:eastAsia="Arial" w:cs="Arial"/>
          <w:noProof w:val="0"/>
          <w:sz w:val="22"/>
          <w:szCs w:val="22"/>
          <w:lang w:val="en-GB"/>
        </w:rPr>
        <w:t xml:space="preserve"> places wellbeing, </w:t>
      </w:r>
      <w:r w:rsidRPr="0183B684" w:rsidR="4293EEF3">
        <w:rPr>
          <w:rFonts w:ascii="Arial" w:hAnsi="Arial" w:eastAsia="Arial" w:cs="Arial"/>
          <w:noProof w:val="0"/>
          <w:sz w:val="22"/>
          <w:szCs w:val="22"/>
          <w:lang w:val="en-GB"/>
        </w:rPr>
        <w:t>independence</w:t>
      </w:r>
      <w:r w:rsidRPr="0183B684" w:rsidR="4293EEF3">
        <w:rPr>
          <w:rFonts w:ascii="Arial" w:hAnsi="Arial" w:eastAsia="Arial" w:cs="Arial"/>
          <w:noProof w:val="0"/>
          <w:sz w:val="22"/>
          <w:szCs w:val="22"/>
          <w:lang w:val="en-GB"/>
        </w:rPr>
        <w:t xml:space="preserve"> and choice at the centre of adult social care. It requires local authorities to involve individuals and carers in care planning, reflecting the principles of person-centred care. Similarly, the </w:t>
      </w:r>
      <w:r w:rsidRPr="0183B684" w:rsidR="4293EEF3">
        <w:rPr>
          <w:rFonts w:ascii="Arial" w:hAnsi="Arial" w:eastAsia="Arial" w:cs="Arial"/>
          <w:b w:val="1"/>
          <w:bCs w:val="1"/>
          <w:noProof w:val="0"/>
          <w:sz w:val="22"/>
          <w:szCs w:val="22"/>
          <w:lang w:val="en-GB"/>
        </w:rPr>
        <w:t>Health and Social Care Act 2012</w:t>
      </w:r>
      <w:r w:rsidRPr="0183B684" w:rsidR="4293EEF3">
        <w:rPr>
          <w:rFonts w:ascii="Arial" w:hAnsi="Arial" w:eastAsia="Arial" w:cs="Arial"/>
          <w:noProof w:val="0"/>
          <w:sz w:val="22"/>
          <w:szCs w:val="22"/>
          <w:lang w:val="en-GB"/>
        </w:rPr>
        <w:t xml:space="preserve"> promotes integrated care, patient </w:t>
      </w:r>
      <w:r w:rsidRPr="0183B684" w:rsidR="4293EEF3">
        <w:rPr>
          <w:rFonts w:ascii="Arial" w:hAnsi="Arial" w:eastAsia="Arial" w:cs="Arial"/>
          <w:noProof w:val="0"/>
          <w:sz w:val="22"/>
          <w:szCs w:val="22"/>
          <w:lang w:val="en-GB"/>
        </w:rPr>
        <w:t>involvement</w:t>
      </w:r>
      <w:r w:rsidRPr="0183B684" w:rsidR="4293EEF3">
        <w:rPr>
          <w:rFonts w:ascii="Arial" w:hAnsi="Arial" w:eastAsia="Arial" w:cs="Arial"/>
          <w:noProof w:val="0"/>
          <w:sz w:val="22"/>
          <w:szCs w:val="22"/>
          <w:lang w:val="en-GB"/>
        </w:rPr>
        <w:t xml:space="preserve"> and improved service quality by encouraging organisations to collaborate when planning and delivering services. Equality and human rights legislation also support person-centred practice. The </w:t>
      </w:r>
      <w:r w:rsidRPr="0183B684" w:rsidR="4293EEF3">
        <w:rPr>
          <w:rFonts w:ascii="Arial" w:hAnsi="Arial" w:eastAsia="Arial" w:cs="Arial"/>
          <w:b w:val="1"/>
          <w:bCs w:val="1"/>
          <w:noProof w:val="0"/>
          <w:sz w:val="22"/>
          <w:szCs w:val="22"/>
          <w:lang w:val="en-GB"/>
        </w:rPr>
        <w:t>Equality Act 2010</w:t>
      </w:r>
      <w:r w:rsidRPr="0183B684" w:rsidR="4293EEF3">
        <w:rPr>
          <w:rFonts w:ascii="Arial" w:hAnsi="Arial" w:eastAsia="Arial" w:cs="Arial"/>
          <w:noProof w:val="0"/>
          <w:sz w:val="22"/>
          <w:szCs w:val="22"/>
          <w:lang w:val="en-GB"/>
        </w:rPr>
        <w:t xml:space="preserve"> protects individuals from discrimination and promotes equal access to healthcare, while the </w:t>
      </w:r>
      <w:r w:rsidRPr="0183B684" w:rsidR="4293EEF3">
        <w:rPr>
          <w:rFonts w:ascii="Arial" w:hAnsi="Arial" w:eastAsia="Arial" w:cs="Arial"/>
          <w:b w:val="1"/>
          <w:bCs w:val="1"/>
          <w:noProof w:val="0"/>
          <w:sz w:val="22"/>
          <w:szCs w:val="22"/>
          <w:lang w:val="en-GB"/>
        </w:rPr>
        <w:t>Human Rights Act 1998</w:t>
      </w:r>
      <w:r w:rsidRPr="0183B684" w:rsidR="4293EEF3">
        <w:rPr>
          <w:rFonts w:ascii="Arial" w:hAnsi="Arial" w:eastAsia="Arial" w:cs="Arial"/>
          <w:noProof w:val="0"/>
          <w:sz w:val="22"/>
          <w:szCs w:val="22"/>
          <w:lang w:val="en-GB"/>
        </w:rPr>
        <w:t xml:space="preserve"> safeguards rights such as dignity, </w:t>
      </w:r>
      <w:r w:rsidRPr="0183B684" w:rsidR="4293EEF3">
        <w:rPr>
          <w:rFonts w:ascii="Arial" w:hAnsi="Arial" w:eastAsia="Arial" w:cs="Arial"/>
          <w:noProof w:val="0"/>
          <w:sz w:val="22"/>
          <w:szCs w:val="22"/>
          <w:lang w:val="en-GB"/>
        </w:rPr>
        <w:t>privacy</w:t>
      </w:r>
      <w:r w:rsidRPr="0183B684" w:rsidR="4293EEF3">
        <w:rPr>
          <w:rFonts w:ascii="Arial" w:hAnsi="Arial" w:eastAsia="Arial" w:cs="Arial"/>
          <w:noProof w:val="0"/>
          <w:sz w:val="22"/>
          <w:szCs w:val="22"/>
          <w:lang w:val="en-GB"/>
        </w:rPr>
        <w:t xml:space="preserve"> and respect. </w:t>
      </w:r>
    </w:p>
    <w:p w:rsidR="0AA3C3CB" w:rsidP="0183B684" w:rsidRDefault="0AA3C3CB" w14:paraId="50ED941B" w14:textId="7D7B0DB0">
      <w:pPr>
        <w:pStyle w:val="Normal"/>
        <w:spacing w:before="240" w:beforeAutospacing="off" w:after="240" w:afterAutospacing="off"/>
      </w:pPr>
      <w:r w:rsidRPr="0183B684" w:rsidR="0AA3C3CB">
        <w:rPr>
          <w:rFonts w:ascii="Arial" w:hAnsi="Arial" w:eastAsia="Arial" w:cs="Arial"/>
          <w:noProof w:val="0"/>
          <w:sz w:val="22"/>
          <w:szCs w:val="22"/>
          <w:lang w:val="en-GB"/>
        </w:rPr>
        <w:t>Although these legal frameworks provide strong support for person-centred care, implementation can be affected by financial pressures, workforce shortages and increasing demand for services. Nevertheless, they continue to provide an essential framework for safe, coordinated and equitable healthcare.</w:t>
      </w:r>
    </w:p>
    <w:p w:rsidR="0AA3C3CB" w:rsidP="0183B684" w:rsidRDefault="0AA3C3CB" w14:paraId="4D30E16B" w14:textId="35EDFED5">
      <w:pPr>
        <w:pStyle w:val="Normal"/>
        <w:spacing w:before="240" w:beforeAutospacing="off" w:after="240" w:afterAutospacing="off"/>
      </w:pPr>
      <w:r w:rsidRPr="0183B684" w:rsidR="0AA3C3CB">
        <w:rPr>
          <w:rFonts w:ascii="Arial" w:hAnsi="Arial" w:eastAsia="Arial" w:cs="Arial"/>
          <w:b w:val="1"/>
          <w:bCs w:val="1"/>
          <w:noProof w:val="0"/>
          <w:sz w:val="22"/>
          <w:szCs w:val="22"/>
          <w:lang w:val="en-GB"/>
        </w:rPr>
        <w:t>Recommendations</w:t>
      </w:r>
      <w:r w:rsidRPr="0183B684" w:rsidR="0AA3C3CB">
        <w:rPr>
          <w:rFonts w:ascii="Arial" w:hAnsi="Arial" w:eastAsia="Arial" w:cs="Arial"/>
          <w:b w:val="1"/>
          <w:bCs w:val="1"/>
          <w:noProof w:val="0"/>
          <w:sz w:val="22"/>
          <w:szCs w:val="22"/>
          <w:lang w:val="en-GB"/>
        </w:rPr>
        <w:t xml:space="preserve"> </w:t>
      </w:r>
    </w:p>
    <w:p w:rsidR="0AA3C3CB" w:rsidP="0183B684" w:rsidRDefault="0AA3C3CB" w14:paraId="24AB8981" w14:textId="6879A6BF">
      <w:pPr>
        <w:pStyle w:val="Normal"/>
        <w:spacing w:before="240" w:beforeAutospacing="off" w:after="240" w:afterAutospacing="off"/>
      </w:pPr>
      <w:r w:rsidRPr="0183B684" w:rsidR="0AA3C3CB">
        <w:rPr>
          <w:rFonts w:ascii="Arial" w:hAnsi="Arial" w:eastAsia="Arial" w:cs="Arial"/>
          <w:noProof w:val="0"/>
          <w:sz w:val="22"/>
          <w:szCs w:val="22"/>
          <w:lang w:val="en-GB"/>
        </w:rPr>
        <w:t xml:space="preserve">Several measures could strengthen person-centred care and partnership working within community healthcare. Firstly, continued investment in workforce development should ensure healthcare professionals receive regular training in communication, shared </w:t>
      </w:r>
      <w:r w:rsidRPr="0183B684" w:rsidR="0AA3C3CB">
        <w:rPr>
          <w:rFonts w:ascii="Arial" w:hAnsi="Arial" w:eastAsia="Arial" w:cs="Arial"/>
          <w:noProof w:val="0"/>
          <w:sz w:val="22"/>
          <w:szCs w:val="22"/>
          <w:lang w:val="en-GB"/>
        </w:rPr>
        <w:t>decision-making</w:t>
      </w:r>
      <w:r w:rsidRPr="0183B684" w:rsidR="0AA3C3CB">
        <w:rPr>
          <w:rFonts w:ascii="Arial" w:hAnsi="Arial" w:eastAsia="Arial" w:cs="Arial"/>
          <w:noProof w:val="0"/>
          <w:sz w:val="22"/>
          <w:szCs w:val="22"/>
          <w:lang w:val="en-GB"/>
        </w:rPr>
        <w:t xml:space="preserve"> and collaborative practice. This would improve consistency in person-centred care and strengthen multidisciplinary relationships. </w:t>
      </w:r>
      <w:r w:rsidRPr="0183B684" w:rsidR="0AA3C3CB">
        <w:rPr>
          <w:rFonts w:ascii="Arial" w:hAnsi="Arial" w:eastAsia="Arial" w:cs="Arial"/>
          <w:noProof w:val="0"/>
          <w:sz w:val="22"/>
          <w:szCs w:val="22"/>
          <w:lang w:val="en-GB"/>
        </w:rPr>
        <w:t xml:space="preserve">Secondly, wider use of shared electronic health records would improve communication between professionals, reduce delays and support safer, more coordinated care. Finally, healthcare organisations should increase opportunities for patients and carers to contribute to service planning through consultations and regular feedback. Involving service users in evaluating services helps ensure care </w:t>
      </w:r>
      <w:r w:rsidRPr="0183B684" w:rsidR="0AA3C3CB">
        <w:rPr>
          <w:rFonts w:ascii="Arial" w:hAnsi="Arial" w:eastAsia="Arial" w:cs="Arial"/>
          <w:noProof w:val="0"/>
          <w:sz w:val="22"/>
          <w:szCs w:val="22"/>
          <w:lang w:val="en-GB"/>
        </w:rPr>
        <w:t>remains</w:t>
      </w:r>
      <w:r w:rsidRPr="0183B684" w:rsidR="0AA3C3CB">
        <w:rPr>
          <w:rFonts w:ascii="Arial" w:hAnsi="Arial" w:eastAsia="Arial" w:cs="Arial"/>
          <w:noProof w:val="0"/>
          <w:sz w:val="22"/>
          <w:szCs w:val="22"/>
          <w:lang w:val="en-GB"/>
        </w:rPr>
        <w:t xml:space="preserve"> responsive to changing community needs. Although financial constraints and workforce shortages remain significant challenges, investment in professional development, digital technology and integrated services would improve the quality, safety and effectiveness of community healthcare.</w:t>
      </w:r>
    </w:p>
    <w:p w:rsidR="0AA3C3CB" w:rsidP="0183B684" w:rsidRDefault="0AA3C3CB" w14:paraId="174F05C0" w14:textId="6E10ED4E">
      <w:pPr>
        <w:pStyle w:val="Normal"/>
        <w:spacing w:before="240" w:beforeAutospacing="off" w:after="240" w:afterAutospacing="off"/>
        <w:rPr>
          <w:rFonts w:ascii="Arial" w:hAnsi="Arial" w:eastAsia="Arial" w:cs="Arial"/>
          <w:b w:val="1"/>
          <w:bCs w:val="1"/>
          <w:noProof w:val="0"/>
          <w:sz w:val="22"/>
          <w:szCs w:val="22"/>
          <w:lang w:val="en-GB"/>
        </w:rPr>
      </w:pPr>
      <w:r w:rsidRPr="0183B684" w:rsidR="0AA3C3CB">
        <w:rPr>
          <w:rFonts w:ascii="Arial" w:hAnsi="Arial" w:eastAsia="Arial" w:cs="Arial"/>
          <w:b w:val="1"/>
          <w:bCs w:val="1"/>
          <w:noProof w:val="0"/>
          <w:sz w:val="22"/>
          <w:szCs w:val="22"/>
          <w:lang w:val="en-GB"/>
        </w:rPr>
        <w:t xml:space="preserve">Conclusion </w:t>
      </w:r>
    </w:p>
    <w:p w:rsidR="0AA3C3CB" w:rsidP="0183B684" w:rsidRDefault="0AA3C3CB" w14:paraId="03F963BA" w14:textId="77E6E003">
      <w:pPr>
        <w:pStyle w:val="Normal"/>
        <w:spacing w:before="240" w:beforeAutospacing="off" w:after="240" w:afterAutospacing="off"/>
      </w:pPr>
      <w:r w:rsidRPr="0183B684" w:rsidR="0AA3C3CB">
        <w:rPr>
          <w:rFonts w:ascii="Arial" w:hAnsi="Arial" w:eastAsia="Arial" w:cs="Arial"/>
          <w:noProof w:val="0"/>
          <w:sz w:val="22"/>
          <w:szCs w:val="22"/>
          <w:lang w:val="en-GB"/>
        </w:rPr>
        <w:t xml:space="preserve">Person-centred care and partnership working are fundamental to delivering safe, </w:t>
      </w:r>
      <w:r w:rsidRPr="0183B684" w:rsidR="0AA3C3CB">
        <w:rPr>
          <w:rFonts w:ascii="Arial" w:hAnsi="Arial" w:eastAsia="Arial" w:cs="Arial"/>
          <w:noProof w:val="0"/>
          <w:sz w:val="22"/>
          <w:szCs w:val="22"/>
          <w:lang w:val="en-GB"/>
        </w:rPr>
        <w:t>effective</w:t>
      </w:r>
      <w:r w:rsidRPr="0183B684" w:rsidR="0AA3C3CB">
        <w:rPr>
          <w:rFonts w:ascii="Arial" w:hAnsi="Arial" w:eastAsia="Arial" w:cs="Arial"/>
          <w:noProof w:val="0"/>
          <w:sz w:val="22"/>
          <w:szCs w:val="22"/>
          <w:lang w:val="en-GB"/>
        </w:rPr>
        <w:t xml:space="preserve"> and high-quality health and social care. This report has </w:t>
      </w:r>
      <w:r w:rsidRPr="0183B684" w:rsidR="0AA3C3CB">
        <w:rPr>
          <w:rFonts w:ascii="Arial" w:hAnsi="Arial" w:eastAsia="Arial" w:cs="Arial"/>
          <w:noProof w:val="0"/>
          <w:sz w:val="22"/>
          <w:szCs w:val="22"/>
          <w:lang w:val="en-GB"/>
        </w:rPr>
        <w:t>demonstrated</w:t>
      </w:r>
      <w:r w:rsidRPr="0183B684" w:rsidR="0AA3C3CB">
        <w:rPr>
          <w:rFonts w:ascii="Arial" w:hAnsi="Arial" w:eastAsia="Arial" w:cs="Arial"/>
          <w:noProof w:val="0"/>
          <w:sz w:val="22"/>
          <w:szCs w:val="22"/>
          <w:lang w:val="en-GB"/>
        </w:rPr>
        <w:t xml:space="preserve"> that involving individuals in decisions, respecting their values and promoting multidisciplinary collaboration improves both patient experience and health outcomes. The Social Model of Health provides </w:t>
      </w:r>
      <w:r w:rsidRPr="0183B684" w:rsidR="0AA3C3CB">
        <w:rPr>
          <w:rFonts w:ascii="Arial" w:hAnsi="Arial" w:eastAsia="Arial" w:cs="Arial"/>
          <w:noProof w:val="0"/>
          <w:sz w:val="22"/>
          <w:szCs w:val="22"/>
          <w:lang w:val="en-GB"/>
        </w:rPr>
        <w:t>a strong foundation</w:t>
      </w:r>
      <w:r w:rsidRPr="0183B684" w:rsidR="0AA3C3CB">
        <w:rPr>
          <w:rFonts w:ascii="Arial" w:hAnsi="Arial" w:eastAsia="Arial" w:cs="Arial"/>
          <w:noProof w:val="0"/>
          <w:sz w:val="22"/>
          <w:szCs w:val="22"/>
          <w:lang w:val="en-GB"/>
        </w:rPr>
        <w:t xml:space="preserve"> for person-centred practice by recognising the wider factors influencing health, while the Medical Model </w:t>
      </w:r>
      <w:r w:rsidRPr="0183B684" w:rsidR="0AA3C3CB">
        <w:rPr>
          <w:rFonts w:ascii="Arial" w:hAnsi="Arial" w:eastAsia="Arial" w:cs="Arial"/>
          <w:noProof w:val="0"/>
          <w:sz w:val="22"/>
          <w:szCs w:val="22"/>
          <w:lang w:val="en-GB"/>
        </w:rPr>
        <w:t>remains</w:t>
      </w:r>
      <w:r w:rsidRPr="0183B684" w:rsidR="0AA3C3CB">
        <w:rPr>
          <w:rFonts w:ascii="Arial" w:hAnsi="Arial" w:eastAsia="Arial" w:cs="Arial"/>
          <w:noProof w:val="0"/>
          <w:sz w:val="22"/>
          <w:szCs w:val="22"/>
          <w:lang w:val="en-GB"/>
        </w:rPr>
        <w:t xml:space="preserve"> essential for </w:t>
      </w:r>
      <w:r w:rsidRPr="0183B684" w:rsidR="0AA3C3CB">
        <w:rPr>
          <w:rFonts w:ascii="Arial" w:hAnsi="Arial" w:eastAsia="Arial" w:cs="Arial"/>
          <w:noProof w:val="0"/>
          <w:sz w:val="22"/>
          <w:szCs w:val="22"/>
          <w:lang w:val="en-GB"/>
        </w:rPr>
        <w:t>accurate</w:t>
      </w:r>
      <w:r w:rsidRPr="0183B684" w:rsidR="0AA3C3CB">
        <w:rPr>
          <w:rFonts w:ascii="Arial" w:hAnsi="Arial" w:eastAsia="Arial" w:cs="Arial"/>
          <w:noProof w:val="0"/>
          <w:sz w:val="22"/>
          <w:szCs w:val="22"/>
          <w:lang w:val="en-GB"/>
        </w:rPr>
        <w:t xml:space="preserve"> diagnosis and evidence-based treatment. Ethical principles guide professionals in delivering safe and respectful care, and partnership working enables coordinated support that addresses individuals' physical, </w:t>
      </w:r>
      <w:r w:rsidRPr="0183B684" w:rsidR="0AA3C3CB">
        <w:rPr>
          <w:rFonts w:ascii="Arial" w:hAnsi="Arial" w:eastAsia="Arial" w:cs="Arial"/>
          <w:noProof w:val="0"/>
          <w:sz w:val="22"/>
          <w:szCs w:val="22"/>
          <w:lang w:val="en-GB"/>
        </w:rPr>
        <w:t>psychological</w:t>
      </w:r>
      <w:r w:rsidRPr="0183B684" w:rsidR="0AA3C3CB">
        <w:rPr>
          <w:rFonts w:ascii="Arial" w:hAnsi="Arial" w:eastAsia="Arial" w:cs="Arial"/>
          <w:noProof w:val="0"/>
          <w:sz w:val="22"/>
          <w:szCs w:val="22"/>
          <w:lang w:val="en-GB"/>
        </w:rPr>
        <w:t xml:space="preserve"> and social needs. Although challenges such as workforce shortages, communication barriers and increasing service demand continue to affect implementation, UK legislation provides a strong framework for integrated and person-centred care. Continued investment in staff development, collaborative working and digital innovation will further strengthen healthcare services and improve outcomes for individuals across the UK. </w:t>
      </w:r>
    </w:p>
    <w:p w:rsidR="0183B684" w:rsidP="0183B684" w:rsidRDefault="0183B684" w14:paraId="792669F5" w14:textId="61B1E34E">
      <w:pPr>
        <w:pStyle w:val="Normal"/>
        <w:spacing w:before="240" w:beforeAutospacing="off" w:after="240" w:afterAutospacing="off"/>
        <w:rPr>
          <w:rFonts w:ascii="Arial" w:hAnsi="Arial" w:eastAsia="Arial" w:cs="Arial"/>
          <w:noProof w:val="0"/>
          <w:sz w:val="22"/>
          <w:szCs w:val="22"/>
          <w:lang w:val="en-GB"/>
        </w:rPr>
      </w:pPr>
    </w:p>
    <w:p w:rsidR="0183B684" w:rsidP="0183B684" w:rsidRDefault="0183B684" w14:paraId="5B8F107F" w14:textId="3376DE7D">
      <w:pPr>
        <w:pStyle w:val="Normal"/>
        <w:spacing w:before="240" w:beforeAutospacing="off" w:after="240" w:afterAutospacing="off"/>
        <w:rPr>
          <w:rFonts w:ascii="Arial" w:hAnsi="Arial" w:eastAsia="Arial" w:cs="Arial"/>
          <w:noProof w:val="0"/>
          <w:sz w:val="22"/>
          <w:szCs w:val="22"/>
          <w:lang w:val="en-GB"/>
        </w:rPr>
      </w:pPr>
    </w:p>
    <w:p w:rsidR="0183B684" w:rsidP="0183B684" w:rsidRDefault="0183B684" w14:paraId="79184BF0" w14:textId="48D1FB47">
      <w:pPr>
        <w:pStyle w:val="Normal"/>
        <w:spacing w:before="240" w:beforeAutospacing="off" w:after="240" w:afterAutospacing="off"/>
        <w:rPr>
          <w:rFonts w:ascii="Arial" w:hAnsi="Arial" w:eastAsia="Arial" w:cs="Arial"/>
          <w:noProof w:val="0"/>
          <w:sz w:val="22"/>
          <w:szCs w:val="22"/>
          <w:lang w:val="en-GB"/>
        </w:rPr>
      </w:pPr>
    </w:p>
    <w:p w:rsidR="0183B684" w:rsidP="0183B684" w:rsidRDefault="0183B684" w14:paraId="3017FDAB" w14:textId="07CA1EEA">
      <w:pPr>
        <w:pStyle w:val="Normal"/>
        <w:spacing w:before="240" w:beforeAutospacing="off" w:after="240" w:afterAutospacing="off"/>
        <w:rPr>
          <w:rFonts w:ascii="Arial" w:hAnsi="Arial" w:eastAsia="Arial" w:cs="Arial"/>
          <w:noProof w:val="0"/>
          <w:sz w:val="22"/>
          <w:szCs w:val="22"/>
          <w:lang w:val="en-GB"/>
        </w:rPr>
      </w:pPr>
    </w:p>
    <w:p w:rsidR="0183B684" w:rsidP="0183B684" w:rsidRDefault="0183B684" w14:paraId="605FF81D" w14:textId="7EE636D0">
      <w:pPr>
        <w:pStyle w:val="Normal"/>
        <w:spacing w:before="240" w:beforeAutospacing="off" w:after="240" w:afterAutospacing="off"/>
        <w:rPr>
          <w:rFonts w:ascii="Arial" w:hAnsi="Arial" w:eastAsia="Arial" w:cs="Arial"/>
          <w:noProof w:val="0"/>
          <w:sz w:val="22"/>
          <w:szCs w:val="22"/>
          <w:lang w:val="en-GB"/>
        </w:rPr>
      </w:pPr>
    </w:p>
    <w:p w:rsidR="0183B684" w:rsidP="0183B684" w:rsidRDefault="0183B684" w14:paraId="39A5F365" w14:textId="631D3BD5">
      <w:pPr>
        <w:pStyle w:val="Normal"/>
        <w:spacing w:before="240" w:beforeAutospacing="off" w:after="240" w:afterAutospacing="off"/>
        <w:rPr>
          <w:rFonts w:ascii="Arial" w:hAnsi="Arial" w:eastAsia="Arial" w:cs="Arial"/>
          <w:noProof w:val="0"/>
          <w:sz w:val="22"/>
          <w:szCs w:val="22"/>
          <w:lang w:val="en-GB"/>
        </w:rPr>
      </w:pPr>
    </w:p>
    <w:p w:rsidR="0183B684" w:rsidP="0183B684" w:rsidRDefault="0183B684" w14:paraId="5730854F" w14:textId="4EA9D23E">
      <w:pPr>
        <w:pStyle w:val="Normal"/>
        <w:spacing w:before="240" w:beforeAutospacing="off" w:after="240" w:afterAutospacing="off"/>
        <w:rPr>
          <w:rFonts w:ascii="Arial" w:hAnsi="Arial" w:eastAsia="Arial" w:cs="Arial"/>
          <w:noProof w:val="0"/>
          <w:sz w:val="22"/>
          <w:szCs w:val="22"/>
          <w:lang w:val="en-GB"/>
        </w:rPr>
      </w:pPr>
    </w:p>
    <w:p w:rsidR="0183B684" w:rsidP="0183B684" w:rsidRDefault="0183B684" w14:paraId="5D68E55E" w14:textId="5CE655F0">
      <w:pPr>
        <w:pStyle w:val="Normal"/>
        <w:spacing w:before="240" w:beforeAutospacing="off" w:after="240" w:afterAutospacing="off"/>
        <w:rPr>
          <w:rFonts w:ascii="Arial" w:hAnsi="Arial" w:eastAsia="Arial" w:cs="Arial"/>
          <w:noProof w:val="0"/>
          <w:sz w:val="22"/>
          <w:szCs w:val="22"/>
          <w:lang w:val="en-GB"/>
        </w:rPr>
      </w:pPr>
    </w:p>
    <w:p w:rsidR="0183B684" w:rsidP="0183B684" w:rsidRDefault="0183B684" w14:paraId="7D69C6C4" w14:textId="2B672324">
      <w:pPr>
        <w:pStyle w:val="Normal"/>
        <w:spacing w:before="240" w:beforeAutospacing="off" w:after="240" w:afterAutospacing="off"/>
        <w:rPr>
          <w:rFonts w:ascii="Arial" w:hAnsi="Arial" w:eastAsia="Arial" w:cs="Arial"/>
          <w:noProof w:val="0"/>
          <w:sz w:val="22"/>
          <w:szCs w:val="22"/>
          <w:lang w:val="en-GB"/>
        </w:rPr>
      </w:pPr>
    </w:p>
    <w:p w:rsidR="0183B684" w:rsidP="0183B684" w:rsidRDefault="0183B684" w14:paraId="25961EA7" w14:textId="5CE91394">
      <w:pPr>
        <w:pStyle w:val="Normal"/>
        <w:spacing w:before="240" w:beforeAutospacing="off" w:after="240" w:afterAutospacing="off"/>
        <w:rPr>
          <w:rFonts w:ascii="Arial" w:hAnsi="Arial" w:eastAsia="Arial" w:cs="Arial"/>
          <w:noProof w:val="0"/>
          <w:sz w:val="22"/>
          <w:szCs w:val="22"/>
          <w:lang w:val="en-GB"/>
        </w:rPr>
      </w:pPr>
    </w:p>
    <w:p w:rsidR="0183B684" w:rsidP="0183B684" w:rsidRDefault="0183B684" w14:paraId="22ED9CA3" w14:textId="7889E8B3">
      <w:pPr>
        <w:pStyle w:val="Normal"/>
        <w:spacing w:before="240" w:beforeAutospacing="off" w:after="240" w:afterAutospacing="off"/>
        <w:rPr>
          <w:rFonts w:ascii="Arial" w:hAnsi="Arial" w:eastAsia="Arial" w:cs="Arial"/>
          <w:noProof w:val="0"/>
          <w:sz w:val="22"/>
          <w:szCs w:val="22"/>
          <w:lang w:val="en-GB"/>
        </w:rPr>
      </w:pPr>
    </w:p>
    <w:p w:rsidR="0183B684" w:rsidP="0183B684" w:rsidRDefault="0183B684" w14:paraId="6881883B" w14:textId="690B362F">
      <w:pPr>
        <w:pStyle w:val="Normal"/>
        <w:spacing w:before="240" w:beforeAutospacing="off" w:after="240" w:afterAutospacing="off"/>
        <w:rPr>
          <w:rFonts w:ascii="Arial" w:hAnsi="Arial" w:eastAsia="Arial" w:cs="Arial"/>
          <w:noProof w:val="0"/>
          <w:sz w:val="22"/>
          <w:szCs w:val="22"/>
          <w:lang w:val="en-GB"/>
        </w:rPr>
      </w:pPr>
    </w:p>
    <w:p w:rsidR="0183B684" w:rsidP="0183B684" w:rsidRDefault="0183B684" w14:paraId="509688CE" w14:textId="1151BEB9">
      <w:pPr>
        <w:pStyle w:val="Normal"/>
        <w:spacing w:before="240" w:beforeAutospacing="off" w:after="240" w:afterAutospacing="off"/>
        <w:rPr>
          <w:rFonts w:ascii="Arial" w:hAnsi="Arial" w:eastAsia="Arial" w:cs="Arial"/>
          <w:noProof w:val="0"/>
          <w:sz w:val="22"/>
          <w:szCs w:val="22"/>
          <w:lang w:val="en-GB"/>
        </w:rPr>
      </w:pPr>
    </w:p>
    <w:p w:rsidR="0183B684" w:rsidP="0183B684" w:rsidRDefault="0183B684" w14:paraId="4D129EB8" w14:textId="088D4299">
      <w:pPr>
        <w:pStyle w:val="Normal"/>
        <w:spacing w:before="240" w:beforeAutospacing="off" w:after="240" w:afterAutospacing="off"/>
        <w:rPr>
          <w:rFonts w:ascii="Arial" w:hAnsi="Arial" w:eastAsia="Arial" w:cs="Arial"/>
          <w:noProof w:val="0"/>
          <w:sz w:val="22"/>
          <w:szCs w:val="22"/>
          <w:lang w:val="en-GB"/>
        </w:rPr>
      </w:pPr>
    </w:p>
    <w:p w:rsidR="0183B684" w:rsidP="0183B684" w:rsidRDefault="0183B684" w14:paraId="064C5FC3" w14:textId="1AFDCB0E">
      <w:pPr>
        <w:pStyle w:val="Normal"/>
        <w:spacing w:before="240" w:beforeAutospacing="off" w:after="240" w:afterAutospacing="off"/>
        <w:rPr>
          <w:rFonts w:ascii="Arial" w:hAnsi="Arial" w:eastAsia="Arial" w:cs="Arial"/>
          <w:noProof w:val="0"/>
          <w:sz w:val="22"/>
          <w:szCs w:val="22"/>
          <w:lang w:val="en-GB"/>
        </w:rPr>
      </w:pPr>
    </w:p>
    <w:p w:rsidR="0183B684" w:rsidP="0183B684" w:rsidRDefault="0183B684" w14:paraId="1E86786A" w14:textId="734CF7E5">
      <w:pPr>
        <w:pStyle w:val="Normal"/>
        <w:spacing w:before="240" w:beforeAutospacing="off" w:after="240" w:afterAutospacing="off"/>
        <w:rPr>
          <w:rFonts w:ascii="Arial" w:hAnsi="Arial" w:eastAsia="Arial" w:cs="Arial"/>
          <w:noProof w:val="0"/>
          <w:sz w:val="22"/>
          <w:szCs w:val="22"/>
          <w:lang w:val="en-GB"/>
        </w:rPr>
      </w:pPr>
    </w:p>
    <w:p w:rsidR="0183B684" w:rsidP="0183B684" w:rsidRDefault="0183B684" w14:paraId="27CE61F1" w14:textId="5CC4E7AB">
      <w:pPr>
        <w:pStyle w:val="Normal"/>
        <w:spacing w:before="240" w:beforeAutospacing="off" w:after="240" w:afterAutospacing="off"/>
        <w:rPr>
          <w:rFonts w:ascii="Arial" w:hAnsi="Arial" w:eastAsia="Arial" w:cs="Arial"/>
          <w:noProof w:val="0"/>
          <w:sz w:val="22"/>
          <w:szCs w:val="22"/>
          <w:lang w:val="en-GB"/>
        </w:rPr>
      </w:pPr>
    </w:p>
    <w:p w:rsidR="3F3CA7EB" w:rsidP="0183B684" w:rsidRDefault="3F3CA7EB" w14:paraId="543293FF" w14:textId="0F0581B2">
      <w:pPr>
        <w:pStyle w:val="Normal"/>
        <w:spacing w:before="240" w:beforeAutospacing="off" w:after="240" w:afterAutospacing="off"/>
      </w:pPr>
      <w:r w:rsidRPr="0183B684" w:rsidR="3F3CA7EB">
        <w:rPr>
          <w:rFonts w:ascii="Arial" w:hAnsi="Arial" w:eastAsia="Arial" w:cs="Arial"/>
          <w:b w:val="1"/>
          <w:bCs w:val="1"/>
          <w:noProof w:val="0"/>
          <w:sz w:val="22"/>
          <w:szCs w:val="22"/>
          <w:lang w:val="en-GB"/>
        </w:rPr>
        <w:t xml:space="preserve">Reference list </w:t>
      </w:r>
    </w:p>
    <w:p w:rsidR="3F3CA7EB" w:rsidP="0183B684" w:rsidRDefault="3F3CA7EB" w14:paraId="17D3A75F" w14:textId="0C4A780B">
      <w:pPr>
        <w:pStyle w:val="ListParagraph"/>
        <w:numPr>
          <w:ilvl w:val="0"/>
          <w:numId w:val="1"/>
        </w:numPr>
        <w:spacing w:before="240" w:beforeAutospacing="off" w:after="240" w:afterAutospacing="off"/>
        <w:rPr>
          <w:rFonts w:ascii="Arial" w:hAnsi="Arial" w:eastAsia="Arial" w:cs="Arial"/>
          <w:noProof w:val="0"/>
          <w:sz w:val="22"/>
          <w:szCs w:val="22"/>
          <w:lang w:val="en-GB"/>
        </w:rPr>
      </w:pPr>
      <w:r w:rsidRPr="0183B684" w:rsidR="3F3CA7EB">
        <w:rPr>
          <w:rFonts w:ascii="Arial" w:hAnsi="Arial" w:eastAsia="Arial" w:cs="Arial"/>
          <w:noProof w:val="0"/>
          <w:sz w:val="22"/>
          <w:szCs w:val="22"/>
          <w:lang w:val="en-GB"/>
        </w:rPr>
        <w:t xml:space="preserve">Beauchamp, T.L. and Childress, J.F. (2019) </w:t>
      </w:r>
      <w:r w:rsidRPr="0183B684" w:rsidR="3F3CA7EB">
        <w:rPr>
          <w:rFonts w:ascii="Arial" w:hAnsi="Arial" w:eastAsia="Arial" w:cs="Arial"/>
          <w:i w:val="1"/>
          <w:iCs w:val="1"/>
          <w:noProof w:val="0"/>
          <w:sz w:val="22"/>
          <w:szCs w:val="22"/>
          <w:lang w:val="en-GB"/>
        </w:rPr>
        <w:t>Principles of Biomedical Ethics</w:t>
      </w:r>
      <w:r w:rsidRPr="0183B684" w:rsidR="3F3CA7EB">
        <w:rPr>
          <w:rFonts w:ascii="Arial" w:hAnsi="Arial" w:eastAsia="Arial" w:cs="Arial"/>
          <w:noProof w:val="0"/>
          <w:sz w:val="22"/>
          <w:szCs w:val="22"/>
          <w:lang w:val="en-GB"/>
        </w:rPr>
        <w:t>. 8th edn. New York: Oxford University Press.</w:t>
      </w:r>
    </w:p>
    <w:p w:rsidR="3F3CA7EB" w:rsidP="0183B684" w:rsidRDefault="3F3CA7EB" w14:paraId="59EE23C2" w14:textId="58996F5F">
      <w:pPr>
        <w:pStyle w:val="ListParagraph"/>
        <w:numPr>
          <w:ilvl w:val="0"/>
          <w:numId w:val="1"/>
        </w:numPr>
        <w:spacing w:before="240" w:beforeAutospacing="off" w:after="240" w:afterAutospacing="off"/>
        <w:rPr>
          <w:rFonts w:ascii="Arial" w:hAnsi="Arial" w:eastAsia="Arial" w:cs="Arial"/>
          <w:noProof w:val="0"/>
          <w:sz w:val="22"/>
          <w:szCs w:val="22"/>
          <w:lang w:val="en-GB"/>
        </w:rPr>
      </w:pPr>
      <w:r w:rsidRPr="0183B684" w:rsidR="3F3CA7EB">
        <w:rPr>
          <w:rFonts w:ascii="Arial" w:hAnsi="Arial" w:eastAsia="Arial" w:cs="Arial"/>
          <w:noProof w:val="0"/>
          <w:sz w:val="22"/>
          <w:szCs w:val="22"/>
          <w:lang w:val="en-GB"/>
        </w:rPr>
        <w:t xml:space="preserve">Bronfenbrenner, U. (1979) </w:t>
      </w:r>
      <w:r w:rsidRPr="0183B684" w:rsidR="3F3CA7EB">
        <w:rPr>
          <w:rFonts w:ascii="Arial" w:hAnsi="Arial" w:eastAsia="Arial" w:cs="Arial"/>
          <w:i w:val="1"/>
          <w:iCs w:val="1"/>
          <w:noProof w:val="0"/>
          <w:sz w:val="22"/>
          <w:szCs w:val="22"/>
          <w:lang w:val="en-GB"/>
        </w:rPr>
        <w:t>The Ecology of Human Development</w:t>
      </w:r>
      <w:r w:rsidRPr="0183B684" w:rsidR="3F3CA7EB">
        <w:rPr>
          <w:rFonts w:ascii="Arial" w:hAnsi="Arial" w:eastAsia="Arial" w:cs="Arial"/>
          <w:noProof w:val="0"/>
          <w:sz w:val="22"/>
          <w:szCs w:val="22"/>
          <w:lang w:val="en-GB"/>
        </w:rPr>
        <w:t>. Cambridge, MA: Harvard University Press.</w:t>
      </w:r>
    </w:p>
    <w:p w:rsidR="3F3CA7EB" w:rsidP="0183B684" w:rsidRDefault="3F3CA7EB" w14:paraId="1D01C0F7" w14:textId="79A6C786">
      <w:pPr>
        <w:pStyle w:val="ListParagraph"/>
        <w:numPr>
          <w:ilvl w:val="0"/>
          <w:numId w:val="1"/>
        </w:numPr>
        <w:spacing w:before="240" w:beforeAutospacing="off" w:after="240" w:afterAutospacing="off"/>
        <w:rPr>
          <w:rFonts w:ascii="Arial" w:hAnsi="Arial" w:eastAsia="Arial" w:cs="Arial"/>
          <w:noProof w:val="0"/>
          <w:sz w:val="22"/>
          <w:szCs w:val="22"/>
          <w:lang w:val="en-GB"/>
        </w:rPr>
      </w:pPr>
      <w:r w:rsidRPr="0183B684" w:rsidR="3F3CA7EB">
        <w:rPr>
          <w:rFonts w:ascii="Arial" w:hAnsi="Arial" w:eastAsia="Arial" w:cs="Arial"/>
          <w:noProof w:val="0"/>
          <w:sz w:val="22"/>
          <w:szCs w:val="22"/>
          <w:lang w:val="en-GB"/>
        </w:rPr>
        <w:t xml:space="preserve">Bury, M. (2021) </w:t>
      </w:r>
      <w:r w:rsidRPr="0183B684" w:rsidR="3F3CA7EB">
        <w:rPr>
          <w:rFonts w:ascii="Arial" w:hAnsi="Arial" w:eastAsia="Arial" w:cs="Arial"/>
          <w:i w:val="1"/>
          <w:iCs w:val="1"/>
          <w:noProof w:val="0"/>
          <w:sz w:val="22"/>
          <w:szCs w:val="22"/>
          <w:lang w:val="en-GB"/>
        </w:rPr>
        <w:t>Health and Illness in a Changing Society</w:t>
      </w:r>
      <w:r w:rsidRPr="0183B684" w:rsidR="3F3CA7EB">
        <w:rPr>
          <w:rFonts w:ascii="Arial" w:hAnsi="Arial" w:eastAsia="Arial" w:cs="Arial"/>
          <w:noProof w:val="0"/>
          <w:sz w:val="22"/>
          <w:szCs w:val="22"/>
          <w:lang w:val="en-GB"/>
        </w:rPr>
        <w:t>. London: Routledge.</w:t>
      </w:r>
    </w:p>
    <w:p w:rsidR="3F3CA7EB" w:rsidP="0183B684" w:rsidRDefault="3F3CA7EB" w14:paraId="7CF368B8" w14:textId="65C4E4EA">
      <w:pPr>
        <w:pStyle w:val="ListParagraph"/>
        <w:numPr>
          <w:ilvl w:val="0"/>
          <w:numId w:val="1"/>
        </w:numPr>
        <w:spacing w:before="240" w:beforeAutospacing="off" w:after="240" w:afterAutospacing="off"/>
        <w:rPr>
          <w:rFonts w:ascii="Arial" w:hAnsi="Arial" w:eastAsia="Arial" w:cs="Arial"/>
          <w:noProof w:val="0"/>
          <w:sz w:val="22"/>
          <w:szCs w:val="22"/>
          <w:lang w:val="en-GB"/>
        </w:rPr>
      </w:pPr>
      <w:r w:rsidRPr="0183B684" w:rsidR="3F3CA7EB">
        <w:rPr>
          <w:rFonts w:ascii="Arial" w:hAnsi="Arial" w:eastAsia="Arial" w:cs="Arial"/>
          <w:noProof w:val="0"/>
          <w:sz w:val="22"/>
          <w:szCs w:val="22"/>
          <w:lang w:val="en-GB"/>
        </w:rPr>
        <w:t>Care Act 2014. c.23. London: The Stationery Office.</w:t>
      </w:r>
    </w:p>
    <w:p w:rsidR="3F3CA7EB" w:rsidP="0183B684" w:rsidRDefault="3F3CA7EB" w14:paraId="1F4C3183" w14:textId="7A7D2E64">
      <w:pPr>
        <w:pStyle w:val="ListParagraph"/>
        <w:numPr>
          <w:ilvl w:val="0"/>
          <w:numId w:val="1"/>
        </w:numPr>
        <w:spacing w:before="240" w:beforeAutospacing="off" w:after="240" w:afterAutospacing="off"/>
        <w:rPr>
          <w:rFonts w:ascii="Arial" w:hAnsi="Arial" w:eastAsia="Arial" w:cs="Arial"/>
          <w:noProof w:val="0"/>
          <w:sz w:val="22"/>
          <w:szCs w:val="22"/>
          <w:lang w:val="en-GB"/>
        </w:rPr>
      </w:pPr>
      <w:r w:rsidRPr="0183B684" w:rsidR="3F3CA7EB">
        <w:rPr>
          <w:rFonts w:ascii="Arial" w:hAnsi="Arial" w:eastAsia="Arial" w:cs="Arial"/>
          <w:noProof w:val="0"/>
          <w:sz w:val="22"/>
          <w:szCs w:val="22"/>
          <w:lang w:val="en-GB"/>
        </w:rPr>
        <w:t xml:space="preserve">Department of Health and Social Care (2022) </w:t>
      </w:r>
      <w:r w:rsidRPr="0183B684" w:rsidR="3F3CA7EB">
        <w:rPr>
          <w:rFonts w:ascii="Arial" w:hAnsi="Arial" w:eastAsia="Arial" w:cs="Arial"/>
          <w:i w:val="1"/>
          <w:iCs w:val="1"/>
          <w:noProof w:val="0"/>
          <w:sz w:val="22"/>
          <w:szCs w:val="22"/>
          <w:lang w:val="en-GB"/>
        </w:rPr>
        <w:t>Health and Care Act 2022</w:t>
      </w:r>
      <w:r w:rsidRPr="0183B684" w:rsidR="3F3CA7EB">
        <w:rPr>
          <w:rFonts w:ascii="Arial" w:hAnsi="Arial" w:eastAsia="Arial" w:cs="Arial"/>
          <w:noProof w:val="0"/>
          <w:sz w:val="22"/>
          <w:szCs w:val="22"/>
          <w:lang w:val="en-GB"/>
        </w:rPr>
        <w:t>. London: DHSC.</w:t>
      </w:r>
    </w:p>
    <w:p w:rsidR="3F3CA7EB" w:rsidP="0183B684" w:rsidRDefault="3F3CA7EB" w14:paraId="686AEF82" w14:textId="3BDE73C7">
      <w:pPr>
        <w:pStyle w:val="ListParagraph"/>
        <w:numPr>
          <w:ilvl w:val="0"/>
          <w:numId w:val="1"/>
        </w:numPr>
        <w:spacing w:before="240" w:beforeAutospacing="off" w:after="240" w:afterAutospacing="off"/>
        <w:rPr>
          <w:rFonts w:ascii="Arial" w:hAnsi="Arial" w:eastAsia="Arial" w:cs="Arial"/>
          <w:noProof w:val="0"/>
          <w:sz w:val="22"/>
          <w:szCs w:val="22"/>
          <w:lang w:val="en-GB"/>
        </w:rPr>
      </w:pPr>
      <w:r w:rsidRPr="0183B684" w:rsidR="3F3CA7EB">
        <w:rPr>
          <w:rFonts w:ascii="Arial" w:hAnsi="Arial" w:eastAsia="Arial" w:cs="Arial"/>
          <w:noProof w:val="0"/>
          <w:sz w:val="22"/>
          <w:szCs w:val="22"/>
          <w:lang w:val="en-GB"/>
        </w:rPr>
        <w:t xml:space="preserve">Glasby, J. and Dickinson, H. (2021) </w:t>
      </w:r>
      <w:r w:rsidRPr="0183B684" w:rsidR="3F3CA7EB">
        <w:rPr>
          <w:rFonts w:ascii="Arial" w:hAnsi="Arial" w:eastAsia="Arial" w:cs="Arial"/>
          <w:i w:val="1"/>
          <w:iCs w:val="1"/>
          <w:noProof w:val="0"/>
          <w:sz w:val="22"/>
          <w:szCs w:val="22"/>
          <w:lang w:val="en-GB"/>
        </w:rPr>
        <w:t>Partnership Working in Health and Social Care</w:t>
      </w:r>
      <w:r w:rsidRPr="0183B684" w:rsidR="3F3CA7EB">
        <w:rPr>
          <w:rFonts w:ascii="Arial" w:hAnsi="Arial" w:eastAsia="Arial" w:cs="Arial"/>
          <w:noProof w:val="0"/>
          <w:sz w:val="22"/>
          <w:szCs w:val="22"/>
          <w:lang w:val="en-GB"/>
        </w:rPr>
        <w:t>. 2nd edn. Bristol: Policy Press.</w:t>
      </w:r>
    </w:p>
    <w:p w:rsidR="3F3CA7EB" w:rsidP="0183B684" w:rsidRDefault="3F3CA7EB" w14:paraId="4EDE90D7" w14:textId="55A46FF6">
      <w:pPr>
        <w:pStyle w:val="ListParagraph"/>
        <w:numPr>
          <w:ilvl w:val="0"/>
          <w:numId w:val="1"/>
        </w:numPr>
        <w:spacing w:before="240" w:beforeAutospacing="off" w:after="240" w:afterAutospacing="off"/>
        <w:rPr>
          <w:rFonts w:ascii="Arial" w:hAnsi="Arial" w:eastAsia="Arial" w:cs="Arial"/>
          <w:noProof w:val="0"/>
          <w:sz w:val="22"/>
          <w:szCs w:val="22"/>
          <w:lang w:val="en-GB"/>
        </w:rPr>
      </w:pPr>
      <w:r w:rsidRPr="0183B684" w:rsidR="3F3CA7EB">
        <w:rPr>
          <w:rFonts w:ascii="Arial" w:hAnsi="Arial" w:eastAsia="Arial" w:cs="Arial"/>
          <w:noProof w:val="0"/>
          <w:sz w:val="22"/>
          <w:szCs w:val="22"/>
          <w:lang w:val="en-GB"/>
        </w:rPr>
        <w:t xml:space="preserve">Health and Care Professions Council (2023) </w:t>
      </w:r>
      <w:r w:rsidRPr="0183B684" w:rsidR="3F3CA7EB">
        <w:rPr>
          <w:rFonts w:ascii="Arial" w:hAnsi="Arial" w:eastAsia="Arial" w:cs="Arial"/>
          <w:i w:val="1"/>
          <w:iCs w:val="1"/>
          <w:noProof w:val="0"/>
          <w:sz w:val="22"/>
          <w:szCs w:val="22"/>
          <w:lang w:val="en-GB"/>
        </w:rPr>
        <w:t>Standards of Proficiency</w:t>
      </w:r>
      <w:r w:rsidRPr="0183B684" w:rsidR="3F3CA7EB">
        <w:rPr>
          <w:rFonts w:ascii="Arial" w:hAnsi="Arial" w:eastAsia="Arial" w:cs="Arial"/>
          <w:noProof w:val="0"/>
          <w:sz w:val="22"/>
          <w:szCs w:val="22"/>
          <w:lang w:val="en-GB"/>
        </w:rPr>
        <w:t>. London: HCPC.</w:t>
      </w:r>
    </w:p>
    <w:p w:rsidR="3F3CA7EB" w:rsidP="0183B684" w:rsidRDefault="3F3CA7EB" w14:paraId="3C673D31" w14:textId="7DC006B1">
      <w:pPr>
        <w:pStyle w:val="ListParagraph"/>
        <w:numPr>
          <w:ilvl w:val="0"/>
          <w:numId w:val="1"/>
        </w:numPr>
        <w:spacing w:before="240" w:beforeAutospacing="off" w:after="240" w:afterAutospacing="off"/>
        <w:rPr>
          <w:rFonts w:ascii="Arial" w:hAnsi="Arial" w:eastAsia="Arial" w:cs="Arial"/>
          <w:noProof w:val="0"/>
          <w:sz w:val="22"/>
          <w:szCs w:val="22"/>
          <w:lang w:val="en-GB"/>
        </w:rPr>
      </w:pPr>
      <w:r w:rsidRPr="0183B684" w:rsidR="3F3CA7EB">
        <w:rPr>
          <w:rFonts w:ascii="Arial" w:hAnsi="Arial" w:eastAsia="Arial" w:cs="Arial"/>
          <w:noProof w:val="0"/>
          <w:sz w:val="22"/>
          <w:szCs w:val="22"/>
          <w:lang w:val="en-GB"/>
        </w:rPr>
        <w:t xml:space="preserve">Health Foundation (2016) </w:t>
      </w:r>
      <w:r w:rsidRPr="0183B684" w:rsidR="3F3CA7EB">
        <w:rPr>
          <w:rFonts w:ascii="Arial" w:hAnsi="Arial" w:eastAsia="Arial" w:cs="Arial"/>
          <w:i w:val="1"/>
          <w:iCs w:val="1"/>
          <w:noProof w:val="0"/>
          <w:sz w:val="22"/>
          <w:szCs w:val="22"/>
          <w:lang w:val="en-GB"/>
        </w:rPr>
        <w:t>Person-Centred Care Made Simple</w:t>
      </w:r>
      <w:r w:rsidRPr="0183B684" w:rsidR="3F3CA7EB">
        <w:rPr>
          <w:rFonts w:ascii="Arial" w:hAnsi="Arial" w:eastAsia="Arial" w:cs="Arial"/>
          <w:noProof w:val="0"/>
          <w:sz w:val="22"/>
          <w:szCs w:val="22"/>
          <w:lang w:val="en-GB"/>
        </w:rPr>
        <w:t>. London: The Health Foundation.</w:t>
      </w:r>
    </w:p>
    <w:p w:rsidR="3F3CA7EB" w:rsidP="0183B684" w:rsidRDefault="3F3CA7EB" w14:paraId="7D91D6DB" w14:textId="74B2D9BD">
      <w:pPr>
        <w:pStyle w:val="ListParagraph"/>
        <w:numPr>
          <w:ilvl w:val="0"/>
          <w:numId w:val="1"/>
        </w:numPr>
        <w:spacing w:before="240" w:beforeAutospacing="off" w:after="240" w:afterAutospacing="off"/>
        <w:rPr>
          <w:rFonts w:ascii="Arial" w:hAnsi="Arial" w:eastAsia="Arial" w:cs="Arial"/>
          <w:noProof w:val="0"/>
          <w:sz w:val="22"/>
          <w:szCs w:val="22"/>
          <w:lang w:val="en-GB"/>
        </w:rPr>
      </w:pPr>
      <w:r w:rsidRPr="0183B684" w:rsidR="3F3CA7EB">
        <w:rPr>
          <w:rFonts w:ascii="Arial" w:hAnsi="Arial" w:eastAsia="Arial" w:cs="Arial"/>
          <w:noProof w:val="0"/>
          <w:sz w:val="22"/>
          <w:szCs w:val="22"/>
          <w:lang w:val="en-GB"/>
        </w:rPr>
        <w:t xml:space="preserve">Naidoo, J. and Wills, J. (2022) </w:t>
      </w:r>
      <w:r w:rsidRPr="0183B684" w:rsidR="3F3CA7EB">
        <w:rPr>
          <w:rFonts w:ascii="Arial" w:hAnsi="Arial" w:eastAsia="Arial" w:cs="Arial"/>
          <w:i w:val="1"/>
          <w:iCs w:val="1"/>
          <w:noProof w:val="0"/>
          <w:sz w:val="22"/>
          <w:szCs w:val="22"/>
          <w:lang w:val="en-GB"/>
        </w:rPr>
        <w:t>Foundations for Health Promotion</w:t>
      </w:r>
      <w:r w:rsidRPr="0183B684" w:rsidR="3F3CA7EB">
        <w:rPr>
          <w:rFonts w:ascii="Arial" w:hAnsi="Arial" w:eastAsia="Arial" w:cs="Arial"/>
          <w:noProof w:val="0"/>
          <w:sz w:val="22"/>
          <w:szCs w:val="22"/>
          <w:lang w:val="en-GB"/>
        </w:rPr>
        <w:t>. 5th edn. London: Elsevier.</w:t>
      </w:r>
    </w:p>
    <w:p w:rsidR="3F3CA7EB" w:rsidP="0183B684" w:rsidRDefault="3F3CA7EB" w14:paraId="452D3D0A" w14:textId="76E848FC">
      <w:pPr>
        <w:pStyle w:val="ListParagraph"/>
        <w:numPr>
          <w:ilvl w:val="0"/>
          <w:numId w:val="1"/>
        </w:numPr>
        <w:spacing w:before="240" w:beforeAutospacing="off" w:after="240" w:afterAutospacing="off"/>
        <w:rPr>
          <w:rFonts w:ascii="Arial" w:hAnsi="Arial" w:eastAsia="Arial" w:cs="Arial"/>
          <w:noProof w:val="0"/>
          <w:sz w:val="22"/>
          <w:szCs w:val="22"/>
          <w:lang w:val="en-GB"/>
        </w:rPr>
      </w:pPr>
      <w:r w:rsidRPr="0183B684" w:rsidR="3F3CA7EB">
        <w:rPr>
          <w:rFonts w:ascii="Arial" w:hAnsi="Arial" w:eastAsia="Arial" w:cs="Arial"/>
          <w:noProof w:val="0"/>
          <w:sz w:val="22"/>
          <w:szCs w:val="22"/>
          <w:lang w:val="en-GB"/>
        </w:rPr>
        <w:t xml:space="preserve">National Institute for Health and Care Excellence (NICE) (2021) </w:t>
      </w:r>
      <w:r w:rsidRPr="0183B684" w:rsidR="3F3CA7EB">
        <w:rPr>
          <w:rFonts w:ascii="Arial" w:hAnsi="Arial" w:eastAsia="Arial" w:cs="Arial"/>
          <w:i w:val="1"/>
          <w:iCs w:val="1"/>
          <w:noProof w:val="0"/>
          <w:sz w:val="22"/>
          <w:szCs w:val="22"/>
          <w:lang w:val="en-GB"/>
        </w:rPr>
        <w:t>Shared Decision Making (NG197)</w:t>
      </w:r>
      <w:r w:rsidRPr="0183B684" w:rsidR="3F3CA7EB">
        <w:rPr>
          <w:rFonts w:ascii="Arial" w:hAnsi="Arial" w:eastAsia="Arial" w:cs="Arial"/>
          <w:noProof w:val="0"/>
          <w:sz w:val="22"/>
          <w:szCs w:val="22"/>
          <w:lang w:val="en-GB"/>
        </w:rPr>
        <w:t>. London: NICE.</w:t>
      </w:r>
    </w:p>
    <w:p w:rsidR="3F3CA7EB" w:rsidP="0183B684" w:rsidRDefault="3F3CA7EB" w14:paraId="63881461" w14:textId="14E747B1">
      <w:pPr>
        <w:pStyle w:val="ListParagraph"/>
        <w:numPr>
          <w:ilvl w:val="0"/>
          <w:numId w:val="1"/>
        </w:numPr>
        <w:spacing w:before="240" w:beforeAutospacing="off" w:after="240" w:afterAutospacing="off"/>
        <w:rPr>
          <w:rFonts w:ascii="Arial" w:hAnsi="Arial" w:eastAsia="Arial" w:cs="Arial"/>
          <w:noProof w:val="0"/>
          <w:sz w:val="22"/>
          <w:szCs w:val="22"/>
          <w:lang w:val="en-GB"/>
        </w:rPr>
      </w:pPr>
      <w:r w:rsidRPr="0183B684" w:rsidR="3F3CA7EB">
        <w:rPr>
          <w:rFonts w:ascii="Arial" w:hAnsi="Arial" w:eastAsia="Arial" w:cs="Arial"/>
          <w:noProof w:val="0"/>
          <w:sz w:val="22"/>
          <w:szCs w:val="22"/>
          <w:lang w:val="en-GB"/>
        </w:rPr>
        <w:t xml:space="preserve">NHS England (2022) </w:t>
      </w:r>
      <w:r w:rsidRPr="0183B684" w:rsidR="3F3CA7EB">
        <w:rPr>
          <w:rFonts w:ascii="Arial" w:hAnsi="Arial" w:eastAsia="Arial" w:cs="Arial"/>
          <w:i w:val="1"/>
          <w:iCs w:val="1"/>
          <w:noProof w:val="0"/>
          <w:sz w:val="22"/>
          <w:szCs w:val="22"/>
          <w:lang w:val="en-GB"/>
        </w:rPr>
        <w:t>Integrated Care Systems: Design Framework</w:t>
      </w:r>
      <w:r w:rsidRPr="0183B684" w:rsidR="3F3CA7EB">
        <w:rPr>
          <w:rFonts w:ascii="Arial" w:hAnsi="Arial" w:eastAsia="Arial" w:cs="Arial"/>
          <w:noProof w:val="0"/>
          <w:sz w:val="22"/>
          <w:szCs w:val="22"/>
          <w:lang w:val="en-GB"/>
        </w:rPr>
        <w:t>. London: NHS England.</w:t>
      </w:r>
    </w:p>
    <w:p w:rsidR="3F3CA7EB" w:rsidP="0183B684" w:rsidRDefault="3F3CA7EB" w14:paraId="4ED2ED99" w14:textId="5EB7A7AB">
      <w:pPr>
        <w:pStyle w:val="ListParagraph"/>
        <w:numPr>
          <w:ilvl w:val="0"/>
          <w:numId w:val="1"/>
        </w:numPr>
        <w:spacing w:before="240" w:beforeAutospacing="off" w:after="240" w:afterAutospacing="off"/>
        <w:rPr>
          <w:rFonts w:ascii="Arial" w:hAnsi="Arial" w:eastAsia="Arial" w:cs="Arial"/>
          <w:noProof w:val="0"/>
          <w:sz w:val="22"/>
          <w:szCs w:val="22"/>
          <w:lang w:val="en-GB"/>
        </w:rPr>
      </w:pPr>
      <w:r w:rsidRPr="0183B684" w:rsidR="3F3CA7EB">
        <w:rPr>
          <w:rFonts w:ascii="Arial" w:hAnsi="Arial" w:eastAsia="Arial" w:cs="Arial"/>
          <w:noProof w:val="0"/>
          <w:sz w:val="22"/>
          <w:szCs w:val="22"/>
          <w:lang w:val="en-GB"/>
        </w:rPr>
        <w:t xml:space="preserve">NHS England (2024) </w:t>
      </w:r>
      <w:r w:rsidRPr="0183B684" w:rsidR="3F3CA7EB">
        <w:rPr>
          <w:rFonts w:ascii="Arial" w:hAnsi="Arial" w:eastAsia="Arial" w:cs="Arial"/>
          <w:i w:val="1"/>
          <w:iCs w:val="1"/>
          <w:noProof w:val="0"/>
          <w:sz w:val="22"/>
          <w:szCs w:val="22"/>
          <w:lang w:val="en-GB"/>
        </w:rPr>
        <w:t>Community Health Services</w:t>
      </w:r>
      <w:r w:rsidRPr="0183B684" w:rsidR="3F3CA7EB">
        <w:rPr>
          <w:rFonts w:ascii="Arial" w:hAnsi="Arial" w:eastAsia="Arial" w:cs="Arial"/>
          <w:noProof w:val="0"/>
          <w:sz w:val="22"/>
          <w:szCs w:val="22"/>
          <w:lang w:val="en-GB"/>
        </w:rPr>
        <w:t>. London: NHS England.</w:t>
      </w:r>
    </w:p>
    <w:p w:rsidR="3F3CA7EB" w:rsidP="0183B684" w:rsidRDefault="3F3CA7EB" w14:paraId="73E4B642" w14:textId="329DCA7E">
      <w:pPr>
        <w:pStyle w:val="ListParagraph"/>
        <w:numPr>
          <w:ilvl w:val="0"/>
          <w:numId w:val="1"/>
        </w:numPr>
        <w:spacing w:before="240" w:beforeAutospacing="off" w:after="240" w:afterAutospacing="off"/>
        <w:rPr>
          <w:rFonts w:ascii="Arial" w:hAnsi="Arial" w:eastAsia="Arial" w:cs="Arial"/>
          <w:noProof w:val="0"/>
          <w:sz w:val="22"/>
          <w:szCs w:val="22"/>
          <w:lang w:val="en-GB"/>
        </w:rPr>
      </w:pPr>
      <w:r w:rsidRPr="0183B684" w:rsidR="3F3CA7EB">
        <w:rPr>
          <w:rFonts w:ascii="Arial" w:hAnsi="Arial" w:eastAsia="Arial" w:cs="Arial"/>
          <w:noProof w:val="0"/>
          <w:sz w:val="22"/>
          <w:szCs w:val="22"/>
          <w:lang w:val="en-GB"/>
        </w:rPr>
        <w:t xml:space="preserve">Nursing and Midwifery Council (2018) </w:t>
      </w:r>
      <w:r w:rsidRPr="0183B684" w:rsidR="3F3CA7EB">
        <w:rPr>
          <w:rFonts w:ascii="Arial" w:hAnsi="Arial" w:eastAsia="Arial" w:cs="Arial"/>
          <w:i w:val="1"/>
          <w:iCs w:val="1"/>
          <w:noProof w:val="0"/>
          <w:sz w:val="22"/>
          <w:szCs w:val="22"/>
          <w:lang w:val="en-GB"/>
        </w:rPr>
        <w:t>The Code: Professional Standards of Practice and Behaviour for Nurses, Midwives and Nursing Associates</w:t>
      </w:r>
      <w:r w:rsidRPr="0183B684" w:rsidR="3F3CA7EB">
        <w:rPr>
          <w:rFonts w:ascii="Arial" w:hAnsi="Arial" w:eastAsia="Arial" w:cs="Arial"/>
          <w:noProof w:val="0"/>
          <w:sz w:val="22"/>
          <w:szCs w:val="22"/>
          <w:lang w:val="en-GB"/>
        </w:rPr>
        <w:t>. London: NMC.</w:t>
      </w:r>
    </w:p>
    <w:p w:rsidR="3F3CA7EB" w:rsidP="0183B684" w:rsidRDefault="3F3CA7EB" w14:paraId="68673A2F" w14:textId="0EE40362">
      <w:pPr>
        <w:pStyle w:val="ListParagraph"/>
        <w:numPr>
          <w:ilvl w:val="0"/>
          <w:numId w:val="1"/>
        </w:numPr>
        <w:spacing w:before="240" w:beforeAutospacing="off" w:after="240" w:afterAutospacing="off"/>
        <w:rPr>
          <w:rFonts w:ascii="Arial" w:hAnsi="Arial" w:eastAsia="Arial" w:cs="Arial"/>
          <w:noProof w:val="0"/>
          <w:sz w:val="22"/>
          <w:szCs w:val="22"/>
          <w:lang w:val="en-GB"/>
        </w:rPr>
      </w:pPr>
      <w:r w:rsidRPr="0183B684" w:rsidR="3F3CA7EB">
        <w:rPr>
          <w:rFonts w:ascii="Arial" w:hAnsi="Arial" w:eastAsia="Arial" w:cs="Arial"/>
          <w:noProof w:val="0"/>
          <w:sz w:val="22"/>
          <w:szCs w:val="22"/>
          <w:lang w:val="en-GB"/>
        </w:rPr>
        <w:t xml:space="preserve">The King's Fund (2022) </w:t>
      </w:r>
      <w:r w:rsidRPr="0183B684" w:rsidR="3F3CA7EB">
        <w:rPr>
          <w:rFonts w:ascii="Arial" w:hAnsi="Arial" w:eastAsia="Arial" w:cs="Arial"/>
          <w:i w:val="1"/>
          <w:iCs w:val="1"/>
          <w:noProof w:val="0"/>
          <w:sz w:val="22"/>
          <w:szCs w:val="22"/>
          <w:lang w:val="en-GB"/>
        </w:rPr>
        <w:t>Person-Centred Care</w:t>
      </w:r>
      <w:r w:rsidRPr="0183B684" w:rsidR="3F3CA7EB">
        <w:rPr>
          <w:rFonts w:ascii="Arial" w:hAnsi="Arial" w:eastAsia="Arial" w:cs="Arial"/>
          <w:noProof w:val="0"/>
          <w:sz w:val="22"/>
          <w:szCs w:val="22"/>
          <w:lang w:val="en-GB"/>
        </w:rPr>
        <w:t>. London: The King's Fund.</w:t>
      </w:r>
    </w:p>
    <w:p w:rsidR="0183B684" w:rsidP="0183B684" w:rsidRDefault="0183B684" w14:paraId="1ECA87F9" w14:textId="57705DA9">
      <w:pPr>
        <w:spacing w:before="240" w:beforeAutospacing="off" w:after="240" w:afterAutospacing="off"/>
        <w:rPr>
          <w:rFonts w:ascii="Arial" w:hAnsi="Arial" w:eastAsia="Arial" w:cs="Arial"/>
          <w:noProof w:val="0"/>
          <w:sz w:val="22"/>
          <w:szCs w:val="22"/>
          <w:lang w:val="en-GB"/>
        </w:rPr>
      </w:pPr>
    </w:p>
    <w:p w:rsidR="0183B684" w:rsidP="0183B684" w:rsidRDefault="0183B684" w14:paraId="17D01D51" w14:textId="46373DD7">
      <w:pPr>
        <w:pStyle w:val="Normal"/>
        <w:spacing w:before="240" w:beforeAutospacing="off" w:after="240" w:afterAutospacing="off"/>
        <w:rPr>
          <w:rFonts w:ascii="Arial" w:hAnsi="Arial" w:eastAsia="Arial" w:cs="Arial"/>
          <w:b w:val="1"/>
          <w:bCs w:val="1"/>
          <w:noProof w:val="0"/>
          <w:sz w:val="22"/>
          <w:szCs w:val="22"/>
          <w:lang w:val="en-GB"/>
        </w:rPr>
      </w:pPr>
    </w:p>
    <w:p w:rsidR="0183B684" w:rsidP="0183B684" w:rsidRDefault="0183B684" w14:paraId="15AF5D19" w14:textId="1D2FFF2F">
      <w:pPr>
        <w:pStyle w:val="Normal"/>
        <w:spacing w:before="240" w:beforeAutospacing="off" w:after="240" w:afterAutospacing="off"/>
        <w:rPr>
          <w:rFonts w:ascii="Arial" w:hAnsi="Arial" w:eastAsia="Arial" w:cs="Arial"/>
          <w:b w:val="1"/>
          <w:bCs w:val="1"/>
          <w:noProof w:val="0"/>
          <w:sz w:val="22"/>
          <w:szCs w:val="22"/>
          <w:lang w:val="en-GB"/>
        </w:rPr>
      </w:pPr>
    </w:p>
    <w:p w:rsidR="0183B684" w:rsidP="0183B684" w:rsidRDefault="0183B684" w14:paraId="5DD38DF1" w14:textId="0084EE05">
      <w:pPr>
        <w:pStyle w:val="Normal"/>
        <w:rPr>
          <w:rFonts w:ascii="Arial" w:hAnsi="Arial" w:eastAsia="Arial" w:cs="Arial"/>
          <w:b w:val="1"/>
          <w:bCs w:val="1"/>
          <w:noProof w:val="0"/>
          <w:sz w:val="22"/>
          <w:szCs w:val="22"/>
          <w:lang w:val="en-GB"/>
        </w:rPr>
      </w:pPr>
    </w:p>
    <w:p w:rsidR="0183B684" w:rsidP="0183B684" w:rsidRDefault="0183B684" w14:paraId="1B749D26" w14:textId="242E3A17">
      <w:pPr>
        <w:pStyle w:val="Normal"/>
        <w:rPr>
          <w:rFonts w:ascii="Arial" w:hAnsi="Arial" w:eastAsia="Arial" w:cs="Arial"/>
          <w:b w:val="1"/>
          <w:bCs w:val="1"/>
          <w:noProof w:val="0"/>
          <w:sz w:val="22"/>
          <w:szCs w:val="22"/>
          <w:lang w:val="en-GB"/>
        </w:rPr>
      </w:pPr>
    </w:p>
    <w:p w:rsidR="0183B684" w:rsidP="0183B684" w:rsidRDefault="0183B684" w14:paraId="351302E4" w14:textId="14EADA26">
      <w:pPr>
        <w:pStyle w:val="Normal"/>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56c210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DB6EA2"/>
    <w:rsid w:val="0146C629"/>
    <w:rsid w:val="0183B684"/>
    <w:rsid w:val="0938132B"/>
    <w:rsid w:val="0AA3C3CB"/>
    <w:rsid w:val="0D3B664C"/>
    <w:rsid w:val="0DA29F17"/>
    <w:rsid w:val="113263E7"/>
    <w:rsid w:val="1A400C4D"/>
    <w:rsid w:val="1A761EAE"/>
    <w:rsid w:val="1A8F5940"/>
    <w:rsid w:val="1BF43B87"/>
    <w:rsid w:val="1D845BD1"/>
    <w:rsid w:val="1EC01143"/>
    <w:rsid w:val="1EE59ABF"/>
    <w:rsid w:val="20095A48"/>
    <w:rsid w:val="216F7EF0"/>
    <w:rsid w:val="226795C7"/>
    <w:rsid w:val="227DDED6"/>
    <w:rsid w:val="2541FB10"/>
    <w:rsid w:val="266415E5"/>
    <w:rsid w:val="27AC162E"/>
    <w:rsid w:val="286C5AAF"/>
    <w:rsid w:val="2B10035E"/>
    <w:rsid w:val="2C52FE75"/>
    <w:rsid w:val="2D69D14F"/>
    <w:rsid w:val="2F000FA0"/>
    <w:rsid w:val="3880C330"/>
    <w:rsid w:val="3F3CA7EB"/>
    <w:rsid w:val="3F6A0DD0"/>
    <w:rsid w:val="4293EEF3"/>
    <w:rsid w:val="42B4BF9D"/>
    <w:rsid w:val="42F50C59"/>
    <w:rsid w:val="4393D3D0"/>
    <w:rsid w:val="439FBA3E"/>
    <w:rsid w:val="441271E4"/>
    <w:rsid w:val="448CD8DB"/>
    <w:rsid w:val="44A77866"/>
    <w:rsid w:val="4847903E"/>
    <w:rsid w:val="51118CB4"/>
    <w:rsid w:val="54B9915B"/>
    <w:rsid w:val="57481CCC"/>
    <w:rsid w:val="575CDC60"/>
    <w:rsid w:val="58654814"/>
    <w:rsid w:val="5A824E23"/>
    <w:rsid w:val="5AB1F2F5"/>
    <w:rsid w:val="5ED0A158"/>
    <w:rsid w:val="61DBDE24"/>
    <w:rsid w:val="6C62C3EA"/>
    <w:rsid w:val="715165F8"/>
    <w:rsid w:val="71A5EEAF"/>
    <w:rsid w:val="7508A1D1"/>
    <w:rsid w:val="77794389"/>
    <w:rsid w:val="77B27FB0"/>
    <w:rsid w:val="78572895"/>
    <w:rsid w:val="78EA6663"/>
    <w:rsid w:val="79DB6EA2"/>
    <w:rsid w:val="7DA9A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4D931"/>
  <w15:chartTrackingRefBased/>
  <w15:docId w15:val="{7BC653FC-C641-42DC-905B-322B79C3A8E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0183B68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0183B68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70f71bef2314f0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Kieley Ann Kali (2008020)</dc:creator>
  <keywords/>
  <dc:description/>
  <lastModifiedBy>Kieley Ann Kali (2008020)</lastModifiedBy>
  <revision>2</revision>
  <dcterms:created xsi:type="dcterms:W3CDTF">2026-08-02T12:28:51.6184291Z</dcterms:created>
  <dcterms:modified xsi:type="dcterms:W3CDTF">2026-08-02T12:48:46.2770115Z</dcterms:modified>
</coreProperties>
</file>