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CC3CBD" w14:textId="77777777" w:rsidR="00F80060" w:rsidRPr="00CB5437" w:rsidRDefault="00F80060">
      <w:pPr>
        <w:spacing w:after="200" w:line="360" w:lineRule="auto"/>
        <w:jc w:val="center"/>
        <w:rPr>
          <w:rFonts w:ascii="Times New Roman" w:eastAsia="Times New Roman" w:hAnsi="Times New Roman" w:cs="Times New Roman"/>
          <w:b/>
          <w:sz w:val="24"/>
          <w:szCs w:val="24"/>
          <w:lang w:val="en-GB"/>
        </w:rPr>
      </w:pPr>
    </w:p>
    <w:p w14:paraId="4042DA61" w14:textId="77777777" w:rsidR="00F80060" w:rsidRPr="00CB5437" w:rsidRDefault="00F80060">
      <w:pPr>
        <w:spacing w:after="200" w:line="360" w:lineRule="auto"/>
        <w:jc w:val="center"/>
        <w:rPr>
          <w:rFonts w:ascii="Times New Roman" w:eastAsia="Times New Roman" w:hAnsi="Times New Roman" w:cs="Times New Roman"/>
          <w:b/>
          <w:sz w:val="24"/>
          <w:szCs w:val="24"/>
          <w:lang w:val="en-GB"/>
        </w:rPr>
      </w:pPr>
    </w:p>
    <w:p w14:paraId="5FC08C29" w14:textId="77777777" w:rsidR="00F80060" w:rsidRPr="00CB5437" w:rsidRDefault="00F80060">
      <w:pPr>
        <w:spacing w:after="200" w:line="360" w:lineRule="auto"/>
        <w:jc w:val="center"/>
        <w:rPr>
          <w:rFonts w:ascii="Times New Roman" w:eastAsia="Times New Roman" w:hAnsi="Times New Roman" w:cs="Times New Roman"/>
          <w:b/>
          <w:sz w:val="24"/>
          <w:szCs w:val="24"/>
          <w:lang w:val="en-GB"/>
        </w:rPr>
      </w:pPr>
    </w:p>
    <w:p w14:paraId="78CDE153" w14:textId="77777777" w:rsidR="00F80060" w:rsidRPr="00CB5437" w:rsidRDefault="00F80060">
      <w:pPr>
        <w:spacing w:after="200" w:line="360" w:lineRule="auto"/>
        <w:jc w:val="center"/>
        <w:rPr>
          <w:rFonts w:ascii="Times New Roman" w:eastAsia="Times New Roman" w:hAnsi="Times New Roman" w:cs="Times New Roman"/>
          <w:b/>
          <w:sz w:val="24"/>
          <w:szCs w:val="24"/>
          <w:lang w:val="en-GB"/>
        </w:rPr>
      </w:pPr>
    </w:p>
    <w:p w14:paraId="0D4A2497" w14:textId="77777777" w:rsidR="00F80060" w:rsidRPr="00CB5437" w:rsidRDefault="00F80060">
      <w:pPr>
        <w:spacing w:after="200" w:line="360" w:lineRule="auto"/>
        <w:jc w:val="center"/>
        <w:rPr>
          <w:rFonts w:ascii="Times New Roman" w:eastAsia="Times New Roman" w:hAnsi="Times New Roman" w:cs="Times New Roman"/>
          <w:b/>
          <w:sz w:val="24"/>
          <w:szCs w:val="24"/>
          <w:lang w:val="en-GB"/>
        </w:rPr>
      </w:pPr>
    </w:p>
    <w:p w14:paraId="706A7D02" w14:textId="77777777" w:rsidR="00F80060" w:rsidRPr="00CB5437" w:rsidRDefault="00F80060">
      <w:pPr>
        <w:spacing w:after="200" w:line="360" w:lineRule="auto"/>
        <w:jc w:val="center"/>
        <w:rPr>
          <w:rFonts w:ascii="Times New Roman" w:eastAsia="Times New Roman" w:hAnsi="Times New Roman" w:cs="Times New Roman"/>
          <w:b/>
          <w:sz w:val="24"/>
          <w:szCs w:val="24"/>
          <w:lang w:val="en-GB"/>
        </w:rPr>
      </w:pPr>
    </w:p>
    <w:p w14:paraId="404AB2DB" w14:textId="77777777" w:rsidR="00F80060" w:rsidRPr="00CB5437" w:rsidRDefault="008D2120">
      <w:pPr>
        <w:spacing w:after="200" w:line="360" w:lineRule="auto"/>
        <w:jc w:val="center"/>
        <w:rPr>
          <w:rFonts w:ascii="Times New Roman" w:eastAsia="Times New Roman" w:hAnsi="Times New Roman" w:cs="Times New Roman"/>
          <w:b/>
          <w:sz w:val="32"/>
          <w:szCs w:val="32"/>
          <w:lang w:val="en-GB"/>
        </w:rPr>
      </w:pPr>
      <w:r w:rsidRPr="00CB5437">
        <w:rPr>
          <w:rFonts w:ascii="Times New Roman" w:eastAsia="Times New Roman" w:hAnsi="Times New Roman" w:cs="Times New Roman"/>
          <w:b/>
          <w:sz w:val="32"/>
          <w:szCs w:val="32"/>
          <w:lang w:val="en-GB"/>
        </w:rPr>
        <w:t xml:space="preserve">Programme: MBA- Masters of Business Administration </w:t>
      </w:r>
    </w:p>
    <w:p w14:paraId="0CBC6297" w14:textId="77777777" w:rsidR="00F80060" w:rsidRPr="00CB5437" w:rsidRDefault="008D2120">
      <w:pPr>
        <w:spacing w:after="200" w:line="360" w:lineRule="auto"/>
        <w:jc w:val="center"/>
        <w:rPr>
          <w:rFonts w:ascii="Times New Roman" w:eastAsia="Times New Roman" w:hAnsi="Times New Roman" w:cs="Times New Roman"/>
          <w:b/>
          <w:sz w:val="32"/>
          <w:szCs w:val="32"/>
          <w:lang w:val="en-GB"/>
        </w:rPr>
      </w:pPr>
      <w:r w:rsidRPr="00CB5437">
        <w:rPr>
          <w:rFonts w:ascii="Times New Roman" w:eastAsia="Times New Roman" w:hAnsi="Times New Roman" w:cs="Times New Roman"/>
          <w:b/>
          <w:sz w:val="32"/>
          <w:szCs w:val="32"/>
          <w:lang w:val="en-GB"/>
        </w:rPr>
        <w:t xml:space="preserve">Module: Corporate Finance </w:t>
      </w:r>
    </w:p>
    <w:p w14:paraId="321EE4F7" w14:textId="77777777" w:rsidR="00F80060" w:rsidRPr="00CB5437" w:rsidRDefault="008D2120">
      <w:pPr>
        <w:spacing w:after="200" w:line="360" w:lineRule="auto"/>
        <w:jc w:val="center"/>
        <w:rPr>
          <w:rFonts w:ascii="Times New Roman" w:eastAsia="Times New Roman" w:hAnsi="Times New Roman" w:cs="Times New Roman"/>
          <w:b/>
          <w:sz w:val="32"/>
          <w:szCs w:val="32"/>
          <w:lang w:val="en-GB"/>
        </w:rPr>
      </w:pPr>
      <w:r w:rsidRPr="00CB5437">
        <w:rPr>
          <w:rFonts w:ascii="Times New Roman" w:eastAsia="Times New Roman" w:hAnsi="Times New Roman" w:cs="Times New Roman"/>
          <w:b/>
          <w:sz w:val="32"/>
          <w:szCs w:val="32"/>
          <w:lang w:val="en-GB"/>
        </w:rPr>
        <w:t xml:space="preserve">Module code: LCMB7005 </w:t>
      </w:r>
    </w:p>
    <w:p w14:paraId="6642B4B7" w14:textId="77777777" w:rsidR="00F80060" w:rsidRPr="00CB5437" w:rsidRDefault="008D2120">
      <w:pPr>
        <w:spacing w:after="200" w:line="360" w:lineRule="auto"/>
        <w:jc w:val="center"/>
        <w:rPr>
          <w:rFonts w:ascii="Times New Roman" w:eastAsia="Times New Roman" w:hAnsi="Times New Roman" w:cs="Times New Roman"/>
          <w:b/>
          <w:sz w:val="32"/>
          <w:szCs w:val="32"/>
          <w:lang w:val="en-GB"/>
        </w:rPr>
      </w:pPr>
      <w:r w:rsidRPr="00CB5437">
        <w:rPr>
          <w:rFonts w:ascii="Times New Roman" w:eastAsia="Times New Roman" w:hAnsi="Times New Roman" w:cs="Times New Roman"/>
          <w:b/>
          <w:sz w:val="32"/>
          <w:szCs w:val="32"/>
          <w:lang w:val="en-GB"/>
        </w:rPr>
        <w:t>Assignment Title: Corporate Finance</w:t>
      </w:r>
    </w:p>
    <w:p w14:paraId="281BBA48" w14:textId="77777777" w:rsidR="00F80060" w:rsidRPr="00CB5437" w:rsidRDefault="008D2120">
      <w:pPr>
        <w:spacing w:after="200" w:line="360" w:lineRule="auto"/>
        <w:jc w:val="both"/>
        <w:rPr>
          <w:rFonts w:ascii="Times New Roman" w:eastAsia="Times New Roman" w:hAnsi="Times New Roman" w:cs="Times New Roman"/>
          <w:b/>
          <w:sz w:val="24"/>
          <w:szCs w:val="24"/>
          <w:lang w:val="en-GB"/>
        </w:rPr>
      </w:pPr>
      <w:r w:rsidRPr="00CB5437">
        <w:rPr>
          <w:lang w:val="en-GB"/>
        </w:rPr>
        <w:br w:type="page"/>
      </w:r>
    </w:p>
    <w:p w14:paraId="4AC621EA" w14:textId="77777777" w:rsidR="00F80060" w:rsidRPr="00CB5437" w:rsidRDefault="008D2120">
      <w:pPr>
        <w:spacing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lastRenderedPageBreak/>
        <w:t>Executive Summary</w:t>
      </w:r>
    </w:p>
    <w:p w14:paraId="40DFE6B1" w14:textId="77777777" w:rsidR="006F0ADF" w:rsidRPr="00CB5437" w:rsidRDefault="008D2120"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Coca-Cola Company over the last five years made the right investments in line with its business strategies. The sales have been on the rise for 7% while the operating income has been boosted by 30% in the year 2023. Technological advancements in infrastructure and product development have increased operational capacity and consumer appeal. The case of the Bottling Investments Group strategy has been a success in some markets while it has experienced some setbacks in others. Despite some problems in the management of the debt and adaptation to the market, the overall policy of investments has been successfully preserving the dominant position of Coca-Cola.</w:t>
      </w:r>
      <w:r w:rsidR="006F0ADF" w:rsidRPr="00CB5437">
        <w:rPr>
          <w:rFonts w:ascii="Times New Roman" w:eastAsia="Times New Roman" w:hAnsi="Times New Roman" w:cs="Times New Roman"/>
          <w:sz w:val="24"/>
          <w:szCs w:val="24"/>
          <w:lang w:val="en-GB"/>
        </w:rPr>
        <w:t xml:space="preserve"> </w:t>
      </w:r>
      <w:r w:rsidR="006F0ADF" w:rsidRPr="00CB5437">
        <w:rPr>
          <w:rFonts w:ascii="Times New Roman" w:eastAsia="Times New Roman" w:hAnsi="Times New Roman" w:cs="Times New Roman"/>
          <w:sz w:val="24"/>
          <w:szCs w:val="24"/>
          <w:lang w:val="en-GB"/>
        </w:rPr>
        <w:t>The study uses ratio analysis in order to identify financial performance of the company focusing on liquidity and leverage aspects. With the help of financial ratios, it has been found that Coca Cola has higher liquidity because of which it is repaying investors with dues within the given time. However, leverage performance of the company is a matter of concern because of the presence of a high amount of debt capital within the capital structure. After comparing the performance of the company with PepsiCo, it has been found that Coca Cola has a better position.</w:t>
      </w:r>
    </w:p>
    <w:p w14:paraId="2E0FEBF8" w14:textId="68A1FC73" w:rsidR="00F80060" w:rsidRPr="00CB5437" w:rsidRDefault="008D2120">
      <w:pPr>
        <w:spacing w:after="200" w:line="360" w:lineRule="auto"/>
        <w:jc w:val="both"/>
        <w:rPr>
          <w:rFonts w:ascii="Times New Roman" w:eastAsia="Times New Roman" w:hAnsi="Times New Roman" w:cs="Times New Roman"/>
          <w:b/>
          <w:sz w:val="24"/>
          <w:szCs w:val="24"/>
          <w:lang w:val="en-GB"/>
        </w:rPr>
      </w:pPr>
      <w:r w:rsidRPr="00CB5437">
        <w:rPr>
          <w:lang w:val="en-GB"/>
        </w:rPr>
        <w:br w:type="page"/>
      </w:r>
    </w:p>
    <w:p w14:paraId="33DC5A64" w14:textId="77777777" w:rsidR="00F80060" w:rsidRPr="00CB5437" w:rsidRDefault="008D2120">
      <w:pPr>
        <w:spacing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lastRenderedPageBreak/>
        <w:t>Table of Contents</w:t>
      </w:r>
    </w:p>
    <w:sdt>
      <w:sdtPr>
        <w:rPr>
          <w:lang w:val="en-GB"/>
        </w:rPr>
        <w:id w:val="182258996"/>
        <w:docPartObj>
          <w:docPartGallery w:val="Table of Contents"/>
          <w:docPartUnique/>
        </w:docPartObj>
      </w:sdtPr>
      <w:sdtContent>
        <w:p w14:paraId="244ADA8B" w14:textId="33664F18" w:rsidR="00CB5437" w:rsidRPr="00CB5437" w:rsidRDefault="008D2120" w:rsidP="00CB5437">
          <w:pPr>
            <w:pStyle w:val="TOC1"/>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r w:rsidRPr="00CB5437">
            <w:rPr>
              <w:rFonts w:ascii="Times New Roman" w:hAnsi="Times New Roman" w:cs="Times New Roman"/>
              <w:sz w:val="24"/>
              <w:szCs w:val="24"/>
              <w:lang w:val="en-GB"/>
            </w:rPr>
            <w:fldChar w:fldCharType="begin"/>
          </w:r>
          <w:r w:rsidRPr="00CB5437">
            <w:rPr>
              <w:rFonts w:ascii="Times New Roman" w:hAnsi="Times New Roman" w:cs="Times New Roman"/>
              <w:sz w:val="24"/>
              <w:szCs w:val="24"/>
              <w:lang w:val="en-GB"/>
            </w:rPr>
            <w:instrText xml:space="preserve"> TOC \h \u \z \t "Heading 1,1,Heading 2,2,Heading 3,3,Heading 4,4,Heading 5,5,Heading 6,6,"</w:instrText>
          </w:r>
          <w:r w:rsidRPr="00CB5437">
            <w:rPr>
              <w:rFonts w:ascii="Times New Roman" w:hAnsi="Times New Roman" w:cs="Times New Roman"/>
              <w:sz w:val="24"/>
              <w:szCs w:val="24"/>
              <w:lang w:val="en-GB"/>
            </w:rPr>
            <w:fldChar w:fldCharType="separate"/>
          </w:r>
          <w:hyperlink w:anchor="_Toc173947671" w:history="1">
            <w:r w:rsidR="00CB5437" w:rsidRPr="00CB5437">
              <w:rPr>
                <w:rStyle w:val="Hyperlink"/>
                <w:rFonts w:asciiTheme="majorBidi" w:hAnsiTheme="majorBidi" w:cstheme="majorBidi"/>
                <w:noProof/>
                <w:sz w:val="24"/>
                <w:szCs w:val="24"/>
                <w:lang w:val="en-GB"/>
              </w:rPr>
              <w:t>Part a) Coco-Cola</w:t>
            </w:r>
            <w:r w:rsidR="00CB5437" w:rsidRPr="00CB5437">
              <w:rPr>
                <w:rFonts w:asciiTheme="majorBidi" w:hAnsiTheme="majorBidi" w:cstheme="majorBidi"/>
                <w:noProof/>
                <w:webHidden/>
                <w:sz w:val="24"/>
                <w:szCs w:val="24"/>
              </w:rPr>
              <w:tab/>
            </w:r>
            <w:r w:rsidR="00CB5437" w:rsidRPr="00CB5437">
              <w:rPr>
                <w:rFonts w:asciiTheme="majorBidi" w:hAnsiTheme="majorBidi" w:cstheme="majorBidi"/>
                <w:noProof/>
                <w:webHidden/>
                <w:sz w:val="24"/>
                <w:szCs w:val="24"/>
              </w:rPr>
              <w:fldChar w:fldCharType="begin"/>
            </w:r>
            <w:r w:rsidR="00CB5437" w:rsidRPr="00CB5437">
              <w:rPr>
                <w:rFonts w:asciiTheme="majorBidi" w:hAnsiTheme="majorBidi" w:cstheme="majorBidi"/>
                <w:noProof/>
                <w:webHidden/>
                <w:sz w:val="24"/>
                <w:szCs w:val="24"/>
              </w:rPr>
              <w:instrText xml:space="preserve"> PAGEREF _Toc173947671 \h </w:instrText>
            </w:r>
            <w:r w:rsidR="00CB5437" w:rsidRPr="00CB5437">
              <w:rPr>
                <w:rFonts w:asciiTheme="majorBidi" w:hAnsiTheme="majorBidi" w:cstheme="majorBidi"/>
                <w:noProof/>
                <w:webHidden/>
                <w:sz w:val="24"/>
                <w:szCs w:val="24"/>
              </w:rPr>
            </w:r>
            <w:r w:rsidR="00CB5437" w:rsidRPr="00CB5437">
              <w:rPr>
                <w:rFonts w:asciiTheme="majorBidi" w:hAnsiTheme="majorBidi" w:cstheme="majorBidi"/>
                <w:noProof/>
                <w:webHidden/>
                <w:sz w:val="24"/>
                <w:szCs w:val="24"/>
              </w:rPr>
              <w:fldChar w:fldCharType="separate"/>
            </w:r>
            <w:r w:rsidR="00CB5437" w:rsidRPr="00CB5437">
              <w:rPr>
                <w:rFonts w:asciiTheme="majorBidi" w:hAnsiTheme="majorBidi" w:cstheme="majorBidi"/>
                <w:noProof/>
                <w:webHidden/>
                <w:sz w:val="24"/>
                <w:szCs w:val="24"/>
              </w:rPr>
              <w:t>4</w:t>
            </w:r>
            <w:r w:rsidR="00CB5437" w:rsidRPr="00CB5437">
              <w:rPr>
                <w:rFonts w:asciiTheme="majorBidi" w:hAnsiTheme="majorBidi" w:cstheme="majorBidi"/>
                <w:noProof/>
                <w:webHidden/>
                <w:sz w:val="24"/>
                <w:szCs w:val="24"/>
              </w:rPr>
              <w:fldChar w:fldCharType="end"/>
            </w:r>
          </w:hyperlink>
        </w:p>
        <w:p w14:paraId="66AEBF4A" w14:textId="7DF3ED85"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72" w:history="1">
            <w:r w:rsidRPr="00CB5437">
              <w:rPr>
                <w:rStyle w:val="Hyperlink"/>
                <w:rFonts w:asciiTheme="majorBidi" w:hAnsiTheme="majorBidi" w:cstheme="majorBidi"/>
                <w:noProof/>
                <w:sz w:val="24"/>
                <w:szCs w:val="24"/>
                <w:lang w:val="en-GB"/>
              </w:rPr>
              <w:t>History</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_Toc173947672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4</w:t>
            </w:r>
            <w:r w:rsidRPr="00CB5437">
              <w:rPr>
                <w:rFonts w:asciiTheme="majorBidi" w:hAnsiTheme="majorBidi" w:cstheme="majorBidi"/>
                <w:noProof/>
                <w:webHidden/>
                <w:sz w:val="24"/>
                <w:szCs w:val="24"/>
              </w:rPr>
              <w:fldChar w:fldCharType="end"/>
            </w:r>
          </w:hyperlink>
        </w:p>
        <w:p w14:paraId="58ED6DF2" w14:textId="6EFF918E"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73" w:history="1">
            <w:r w:rsidRPr="00CB5437">
              <w:rPr>
                <w:rStyle w:val="Hyperlink"/>
                <w:rFonts w:asciiTheme="majorBidi" w:hAnsiTheme="majorBidi" w:cstheme="majorBidi"/>
                <w:noProof/>
                <w:sz w:val="24"/>
                <w:szCs w:val="24"/>
                <w:lang w:val="en-GB"/>
              </w:rPr>
              <w:t>Business Model</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_Toc173947673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4</w:t>
            </w:r>
            <w:r w:rsidRPr="00CB5437">
              <w:rPr>
                <w:rFonts w:asciiTheme="majorBidi" w:hAnsiTheme="majorBidi" w:cstheme="majorBidi"/>
                <w:noProof/>
                <w:webHidden/>
                <w:sz w:val="24"/>
                <w:szCs w:val="24"/>
              </w:rPr>
              <w:fldChar w:fldCharType="end"/>
            </w:r>
          </w:hyperlink>
        </w:p>
        <w:p w14:paraId="279FC49E" w14:textId="7117D1A0"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74" w:history="1">
            <w:r w:rsidRPr="00CB5437">
              <w:rPr>
                <w:rStyle w:val="Hyperlink"/>
                <w:rFonts w:asciiTheme="majorBidi" w:hAnsiTheme="majorBidi" w:cstheme="majorBidi"/>
                <w:noProof/>
                <w:sz w:val="24"/>
                <w:szCs w:val="24"/>
                <w:lang w:val="en-GB"/>
              </w:rPr>
              <w:t>Market Place and Competitor</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_Toc173947674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6</w:t>
            </w:r>
            <w:r w:rsidRPr="00CB5437">
              <w:rPr>
                <w:rFonts w:asciiTheme="majorBidi" w:hAnsiTheme="majorBidi" w:cstheme="majorBidi"/>
                <w:noProof/>
                <w:webHidden/>
                <w:sz w:val="24"/>
                <w:szCs w:val="24"/>
              </w:rPr>
              <w:fldChar w:fldCharType="end"/>
            </w:r>
          </w:hyperlink>
        </w:p>
        <w:p w14:paraId="3746A3DC" w14:textId="341A8612"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75" w:history="1">
            <w:r w:rsidRPr="00CB5437">
              <w:rPr>
                <w:rStyle w:val="Hyperlink"/>
                <w:rFonts w:asciiTheme="majorBidi" w:hAnsiTheme="majorBidi" w:cstheme="majorBidi"/>
                <w:noProof/>
                <w:sz w:val="24"/>
                <w:szCs w:val="24"/>
                <w:lang w:val="en-GB"/>
              </w:rPr>
              <w:t>Events over the Past Five Years</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_Toc173947675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8</w:t>
            </w:r>
            <w:r w:rsidRPr="00CB5437">
              <w:rPr>
                <w:rFonts w:asciiTheme="majorBidi" w:hAnsiTheme="majorBidi" w:cstheme="majorBidi"/>
                <w:noProof/>
                <w:webHidden/>
                <w:sz w:val="24"/>
                <w:szCs w:val="24"/>
              </w:rPr>
              <w:fldChar w:fldCharType="end"/>
            </w:r>
          </w:hyperlink>
        </w:p>
        <w:p w14:paraId="2C090D2F" w14:textId="504F30E2" w:rsidR="00CB5437" w:rsidRPr="00CB5437" w:rsidRDefault="00CB5437" w:rsidP="00CB5437">
          <w:pPr>
            <w:pStyle w:val="TOC1"/>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76" w:history="1">
            <w:r w:rsidRPr="00CB5437">
              <w:rPr>
                <w:rStyle w:val="Hyperlink"/>
                <w:rFonts w:asciiTheme="majorBidi" w:hAnsiTheme="majorBidi" w:cstheme="majorBidi"/>
                <w:noProof/>
                <w:sz w:val="24"/>
                <w:szCs w:val="24"/>
                <w:lang w:val="en-GB"/>
              </w:rPr>
              <w:t>Part b)</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_Toc173947676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8</w:t>
            </w:r>
            <w:r w:rsidRPr="00CB5437">
              <w:rPr>
                <w:rFonts w:asciiTheme="majorBidi" w:hAnsiTheme="majorBidi" w:cstheme="majorBidi"/>
                <w:noProof/>
                <w:webHidden/>
                <w:sz w:val="24"/>
                <w:szCs w:val="24"/>
              </w:rPr>
              <w:fldChar w:fldCharType="end"/>
            </w:r>
          </w:hyperlink>
        </w:p>
        <w:p w14:paraId="724B8AE1" w14:textId="7AFBE542"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77" w:history="1">
            <w:r w:rsidRPr="00CB5437">
              <w:rPr>
                <w:rStyle w:val="Hyperlink"/>
                <w:rFonts w:asciiTheme="majorBidi" w:hAnsiTheme="majorBidi" w:cstheme="majorBidi"/>
                <w:noProof/>
                <w:sz w:val="24"/>
                <w:szCs w:val="24"/>
                <w:lang w:val="en-GB"/>
              </w:rPr>
              <w:t>1. Corporation’s liquidity and leverage ratios for the past five years:</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_Toc173947677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8</w:t>
            </w:r>
            <w:r w:rsidRPr="00CB5437">
              <w:rPr>
                <w:rFonts w:asciiTheme="majorBidi" w:hAnsiTheme="majorBidi" w:cstheme="majorBidi"/>
                <w:noProof/>
                <w:webHidden/>
                <w:sz w:val="24"/>
                <w:szCs w:val="24"/>
              </w:rPr>
              <w:fldChar w:fldCharType="end"/>
            </w:r>
          </w:hyperlink>
        </w:p>
        <w:p w14:paraId="571BCC87" w14:textId="4586C2AD"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78" w:history="1">
            <w:r w:rsidRPr="00CB5437">
              <w:rPr>
                <w:rStyle w:val="Hyperlink"/>
                <w:rFonts w:asciiTheme="majorBidi" w:hAnsiTheme="majorBidi" w:cstheme="majorBidi"/>
                <w:noProof/>
                <w:sz w:val="24"/>
                <w:szCs w:val="24"/>
                <w:lang w:val="en-GB"/>
              </w:rPr>
              <w:t>2. Critical analysis of the corporation’s financial performance:</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_Toc173947678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10</w:t>
            </w:r>
            <w:r w:rsidRPr="00CB5437">
              <w:rPr>
                <w:rFonts w:asciiTheme="majorBidi" w:hAnsiTheme="majorBidi" w:cstheme="majorBidi"/>
                <w:noProof/>
                <w:webHidden/>
                <w:sz w:val="24"/>
                <w:szCs w:val="24"/>
              </w:rPr>
              <w:fldChar w:fldCharType="end"/>
            </w:r>
          </w:hyperlink>
        </w:p>
        <w:p w14:paraId="60823B5F" w14:textId="743B2419"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79" w:history="1">
            <w:r w:rsidRPr="00CB5437">
              <w:rPr>
                <w:rStyle w:val="Hyperlink"/>
                <w:rFonts w:asciiTheme="majorBidi" w:hAnsiTheme="majorBidi" w:cstheme="majorBidi"/>
                <w:noProof/>
                <w:sz w:val="24"/>
                <w:szCs w:val="24"/>
                <w:lang w:val="en-GB"/>
              </w:rPr>
              <w:t>3. Comparison of financial ratios with major competitor and comment:</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_Toc173947679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11</w:t>
            </w:r>
            <w:r w:rsidRPr="00CB5437">
              <w:rPr>
                <w:rFonts w:asciiTheme="majorBidi" w:hAnsiTheme="majorBidi" w:cstheme="majorBidi"/>
                <w:noProof/>
                <w:webHidden/>
                <w:sz w:val="24"/>
                <w:szCs w:val="24"/>
              </w:rPr>
              <w:fldChar w:fldCharType="end"/>
            </w:r>
          </w:hyperlink>
        </w:p>
        <w:p w14:paraId="7F2C8DAA" w14:textId="2B7CBA0A"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80" w:history="1">
            <w:r w:rsidRPr="00CB5437">
              <w:rPr>
                <w:rStyle w:val="Hyperlink"/>
                <w:rFonts w:asciiTheme="majorBidi" w:hAnsiTheme="majorBidi" w:cstheme="majorBidi"/>
                <w:noProof/>
                <w:sz w:val="24"/>
                <w:szCs w:val="24"/>
                <w:lang w:val="en-GB"/>
              </w:rPr>
              <w:t>4. Capital structure theory:</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_Toc173947680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14</w:t>
            </w:r>
            <w:r w:rsidRPr="00CB5437">
              <w:rPr>
                <w:rFonts w:asciiTheme="majorBidi" w:hAnsiTheme="majorBidi" w:cstheme="majorBidi"/>
                <w:noProof/>
                <w:webHidden/>
                <w:sz w:val="24"/>
                <w:szCs w:val="24"/>
              </w:rPr>
              <w:fldChar w:fldCharType="end"/>
            </w:r>
          </w:hyperlink>
        </w:p>
        <w:p w14:paraId="6B43B102" w14:textId="71B52364"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81" w:history="1">
            <w:r w:rsidRPr="00CB5437">
              <w:rPr>
                <w:rStyle w:val="Hyperlink"/>
                <w:rFonts w:asciiTheme="majorBidi" w:hAnsiTheme="majorBidi" w:cstheme="majorBidi"/>
                <w:noProof/>
                <w:sz w:val="24"/>
                <w:szCs w:val="24"/>
                <w:lang w:val="en-GB"/>
              </w:rPr>
              <w:t>5. Capital structure theory on the company:</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_Toc173947681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14</w:t>
            </w:r>
            <w:r w:rsidRPr="00CB5437">
              <w:rPr>
                <w:rFonts w:asciiTheme="majorBidi" w:hAnsiTheme="majorBidi" w:cstheme="majorBidi"/>
                <w:noProof/>
                <w:webHidden/>
                <w:sz w:val="24"/>
                <w:szCs w:val="24"/>
              </w:rPr>
              <w:fldChar w:fldCharType="end"/>
            </w:r>
          </w:hyperlink>
        </w:p>
        <w:p w14:paraId="1EEA9C7B" w14:textId="25EF8B01"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82" w:history="1">
            <w:r w:rsidRPr="00CB5437">
              <w:rPr>
                <w:rStyle w:val="Hyperlink"/>
                <w:rFonts w:asciiTheme="majorBidi" w:hAnsiTheme="majorBidi" w:cstheme="majorBidi"/>
                <w:noProof/>
                <w:sz w:val="24"/>
                <w:szCs w:val="24"/>
                <w:lang w:val="en-GB"/>
              </w:rPr>
              <w:t>6. Average annual share returns for the past five years:</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_Toc173947682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15</w:t>
            </w:r>
            <w:r w:rsidRPr="00CB5437">
              <w:rPr>
                <w:rFonts w:asciiTheme="majorBidi" w:hAnsiTheme="majorBidi" w:cstheme="majorBidi"/>
                <w:noProof/>
                <w:webHidden/>
                <w:sz w:val="24"/>
                <w:szCs w:val="24"/>
              </w:rPr>
              <w:fldChar w:fldCharType="end"/>
            </w:r>
          </w:hyperlink>
        </w:p>
        <w:p w14:paraId="2981CCD0" w14:textId="44CB5EB9" w:rsidR="00CB5437" w:rsidRPr="00CB5437" w:rsidRDefault="00CB5437" w:rsidP="00CB5437">
          <w:pPr>
            <w:pStyle w:val="TOC1"/>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83" w:history="1">
            <w:r w:rsidRPr="00CB5437">
              <w:rPr>
                <w:rStyle w:val="Hyperlink"/>
                <w:rFonts w:asciiTheme="majorBidi" w:hAnsiTheme="majorBidi" w:cstheme="majorBidi"/>
                <w:noProof/>
                <w:sz w:val="24"/>
                <w:szCs w:val="24"/>
                <w:lang w:val="en-GB"/>
              </w:rPr>
              <w:t>Part c) Company’s Largest Recent Investment Activities</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_Toc173947683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18</w:t>
            </w:r>
            <w:r w:rsidRPr="00CB5437">
              <w:rPr>
                <w:rFonts w:asciiTheme="majorBidi" w:hAnsiTheme="majorBidi" w:cstheme="majorBidi"/>
                <w:noProof/>
                <w:webHidden/>
                <w:sz w:val="24"/>
                <w:szCs w:val="24"/>
              </w:rPr>
              <w:fldChar w:fldCharType="end"/>
            </w:r>
          </w:hyperlink>
        </w:p>
        <w:p w14:paraId="739B0EE4" w14:textId="0925B46B"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84" w:history="1">
            <w:r w:rsidRPr="00CB5437">
              <w:rPr>
                <w:rStyle w:val="Hyperlink"/>
                <w:rFonts w:asciiTheme="majorBidi" w:hAnsiTheme="majorBidi" w:cstheme="majorBidi"/>
                <w:noProof/>
                <w:sz w:val="24"/>
                <w:szCs w:val="24"/>
                <w:lang w:val="en-GB"/>
              </w:rPr>
              <w:t>“Purpose(S), Aim, and Expected Outcomes of this Investment”</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_Toc173947684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18</w:t>
            </w:r>
            <w:r w:rsidRPr="00CB5437">
              <w:rPr>
                <w:rFonts w:asciiTheme="majorBidi" w:hAnsiTheme="majorBidi" w:cstheme="majorBidi"/>
                <w:noProof/>
                <w:webHidden/>
                <w:sz w:val="24"/>
                <w:szCs w:val="24"/>
              </w:rPr>
              <w:fldChar w:fldCharType="end"/>
            </w:r>
          </w:hyperlink>
        </w:p>
        <w:p w14:paraId="1E973E09" w14:textId="1A99003F"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85" w:history="1">
            <w:r w:rsidRPr="00CB5437">
              <w:rPr>
                <w:rStyle w:val="Hyperlink"/>
                <w:rFonts w:asciiTheme="majorBidi" w:hAnsiTheme="majorBidi" w:cstheme="majorBidi"/>
                <w:noProof/>
                <w:sz w:val="24"/>
                <w:szCs w:val="24"/>
                <w:lang w:val="en-GB"/>
              </w:rPr>
              <w:t>“Size of the Investment, and How, it is Financed”</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_Toc173947685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19</w:t>
            </w:r>
            <w:r w:rsidRPr="00CB5437">
              <w:rPr>
                <w:rFonts w:asciiTheme="majorBidi" w:hAnsiTheme="majorBidi" w:cstheme="majorBidi"/>
                <w:noProof/>
                <w:webHidden/>
                <w:sz w:val="24"/>
                <w:szCs w:val="24"/>
              </w:rPr>
              <w:fldChar w:fldCharType="end"/>
            </w:r>
          </w:hyperlink>
        </w:p>
        <w:p w14:paraId="2B33A6D4" w14:textId="6039B86E"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86" w:history="1">
            <w:r w:rsidRPr="00CB5437">
              <w:rPr>
                <w:rStyle w:val="Hyperlink"/>
                <w:rFonts w:asciiTheme="majorBidi" w:hAnsiTheme="majorBidi" w:cstheme="majorBidi"/>
                <w:noProof/>
                <w:sz w:val="24"/>
                <w:szCs w:val="24"/>
                <w:lang w:val="en-GB"/>
              </w:rPr>
              <w:t>“Feasibility of the Investment: Current Business”</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_Toc173947686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24</w:t>
            </w:r>
            <w:r w:rsidRPr="00CB5437">
              <w:rPr>
                <w:rFonts w:asciiTheme="majorBidi" w:hAnsiTheme="majorBidi" w:cstheme="majorBidi"/>
                <w:noProof/>
                <w:webHidden/>
                <w:sz w:val="24"/>
                <w:szCs w:val="24"/>
              </w:rPr>
              <w:fldChar w:fldCharType="end"/>
            </w:r>
          </w:hyperlink>
        </w:p>
        <w:p w14:paraId="7793D865" w14:textId="444571E3" w:rsidR="00CB5437" w:rsidRPr="00CB5437" w:rsidRDefault="00CB5437" w:rsidP="00CB5437">
          <w:pPr>
            <w:pStyle w:val="TOC2"/>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87" w:history="1">
            <w:r w:rsidRPr="00CB5437">
              <w:rPr>
                <w:rStyle w:val="Hyperlink"/>
                <w:rFonts w:asciiTheme="majorBidi" w:hAnsiTheme="majorBidi" w:cstheme="majorBidi"/>
                <w:noProof/>
                <w:sz w:val="24"/>
                <w:szCs w:val="24"/>
                <w:lang w:val="en-GB"/>
              </w:rPr>
              <w:t>“Current Outcome of the Investment”</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_Toc173947687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25</w:t>
            </w:r>
            <w:r w:rsidRPr="00CB5437">
              <w:rPr>
                <w:rFonts w:asciiTheme="majorBidi" w:hAnsiTheme="majorBidi" w:cstheme="majorBidi"/>
                <w:noProof/>
                <w:webHidden/>
                <w:sz w:val="24"/>
                <w:szCs w:val="24"/>
              </w:rPr>
              <w:fldChar w:fldCharType="end"/>
            </w:r>
          </w:hyperlink>
        </w:p>
        <w:p w14:paraId="7DE1A288" w14:textId="337B244D" w:rsidR="00CB5437" w:rsidRPr="00CB5437" w:rsidRDefault="00CB5437" w:rsidP="00CB5437">
          <w:pPr>
            <w:pStyle w:val="TOC1"/>
            <w:tabs>
              <w:tab w:val="right" w:leader="dot" w:pos="9350"/>
            </w:tabs>
            <w:spacing w:before="240" w:line="360" w:lineRule="auto"/>
            <w:jc w:val="both"/>
            <w:rPr>
              <w:rFonts w:asciiTheme="majorBidi" w:eastAsiaTheme="minorEastAsia" w:hAnsiTheme="majorBidi" w:cstheme="majorBidi"/>
              <w:noProof/>
              <w:kern w:val="2"/>
              <w:sz w:val="24"/>
              <w:szCs w:val="24"/>
              <w:lang w:val="en-IN" w:eastAsia="en-IN"/>
              <w14:ligatures w14:val="standardContextual"/>
            </w:rPr>
          </w:pPr>
          <w:hyperlink w:anchor="_Toc173947688" w:history="1">
            <w:r w:rsidRPr="00CB5437">
              <w:rPr>
                <w:rStyle w:val="Hyperlink"/>
                <w:rFonts w:asciiTheme="majorBidi" w:hAnsiTheme="majorBidi" w:cstheme="majorBidi"/>
                <w:noProof/>
                <w:sz w:val="24"/>
                <w:szCs w:val="24"/>
                <w:lang w:val="en-GB"/>
              </w:rPr>
              <w:t>Reference List</w:t>
            </w:r>
            <w:r w:rsidRPr="00CB5437">
              <w:rPr>
                <w:rFonts w:asciiTheme="majorBidi" w:hAnsiTheme="majorBidi" w:cstheme="majorBidi"/>
                <w:noProof/>
                <w:webHidden/>
                <w:sz w:val="24"/>
                <w:szCs w:val="24"/>
              </w:rPr>
              <w:tab/>
            </w:r>
            <w:r w:rsidRPr="00CB5437">
              <w:rPr>
                <w:rFonts w:asciiTheme="majorBidi" w:hAnsiTheme="majorBidi" w:cstheme="majorBidi"/>
                <w:noProof/>
                <w:webHidden/>
                <w:sz w:val="24"/>
                <w:szCs w:val="24"/>
              </w:rPr>
              <w:fldChar w:fldCharType="begin"/>
            </w:r>
            <w:r w:rsidRPr="00CB5437">
              <w:rPr>
                <w:rFonts w:asciiTheme="majorBidi" w:hAnsiTheme="majorBidi" w:cstheme="majorBidi"/>
                <w:noProof/>
                <w:webHidden/>
                <w:sz w:val="24"/>
                <w:szCs w:val="24"/>
              </w:rPr>
              <w:instrText xml:space="preserve"> PAGEREF _Toc173947688 \h </w:instrText>
            </w:r>
            <w:r w:rsidRPr="00CB5437">
              <w:rPr>
                <w:rFonts w:asciiTheme="majorBidi" w:hAnsiTheme="majorBidi" w:cstheme="majorBidi"/>
                <w:noProof/>
                <w:webHidden/>
                <w:sz w:val="24"/>
                <w:szCs w:val="24"/>
              </w:rPr>
            </w:r>
            <w:r w:rsidRPr="00CB5437">
              <w:rPr>
                <w:rFonts w:asciiTheme="majorBidi" w:hAnsiTheme="majorBidi" w:cstheme="majorBidi"/>
                <w:noProof/>
                <w:webHidden/>
                <w:sz w:val="24"/>
                <w:szCs w:val="24"/>
              </w:rPr>
              <w:fldChar w:fldCharType="separate"/>
            </w:r>
            <w:r w:rsidRPr="00CB5437">
              <w:rPr>
                <w:rFonts w:asciiTheme="majorBidi" w:hAnsiTheme="majorBidi" w:cstheme="majorBidi"/>
                <w:noProof/>
                <w:webHidden/>
                <w:sz w:val="24"/>
                <w:szCs w:val="24"/>
              </w:rPr>
              <w:t>28</w:t>
            </w:r>
            <w:r w:rsidRPr="00CB5437">
              <w:rPr>
                <w:rFonts w:asciiTheme="majorBidi" w:hAnsiTheme="majorBidi" w:cstheme="majorBidi"/>
                <w:noProof/>
                <w:webHidden/>
                <w:sz w:val="24"/>
                <w:szCs w:val="24"/>
              </w:rPr>
              <w:fldChar w:fldCharType="end"/>
            </w:r>
          </w:hyperlink>
        </w:p>
        <w:p w14:paraId="20E329FF" w14:textId="542547BF" w:rsidR="00F80060" w:rsidRPr="00CB5437" w:rsidRDefault="008D2120" w:rsidP="00C73A3A">
          <w:pPr>
            <w:widowControl w:val="0"/>
            <w:tabs>
              <w:tab w:val="right" w:leader="dot" w:pos="12000"/>
            </w:tabs>
            <w:spacing w:before="60" w:line="360" w:lineRule="auto"/>
            <w:ind w:left="360"/>
            <w:jc w:val="both"/>
            <w:rPr>
              <w:rFonts w:ascii="Times New Roman" w:eastAsia="Times New Roman" w:hAnsi="Times New Roman" w:cs="Times New Roman"/>
              <w:color w:val="000000"/>
              <w:sz w:val="24"/>
              <w:szCs w:val="24"/>
              <w:lang w:val="en-GB"/>
            </w:rPr>
          </w:pPr>
          <w:r w:rsidRPr="00CB5437">
            <w:rPr>
              <w:rFonts w:ascii="Times New Roman" w:hAnsi="Times New Roman" w:cs="Times New Roman"/>
              <w:sz w:val="24"/>
              <w:szCs w:val="24"/>
              <w:lang w:val="en-GB"/>
            </w:rPr>
            <w:fldChar w:fldCharType="end"/>
          </w:r>
        </w:p>
      </w:sdtContent>
    </w:sdt>
    <w:p w14:paraId="2051C470" w14:textId="77777777" w:rsidR="00F80060" w:rsidRPr="00CB5437" w:rsidRDefault="008D2120">
      <w:pPr>
        <w:pStyle w:val="Heading1"/>
        <w:spacing w:after="200"/>
        <w:rPr>
          <w:lang w:val="en-GB"/>
        </w:rPr>
      </w:pPr>
      <w:bookmarkStart w:id="0" w:name="_Toc173947671"/>
      <w:r w:rsidRPr="00CB5437">
        <w:rPr>
          <w:lang w:val="en-GB"/>
        </w:rPr>
        <w:lastRenderedPageBreak/>
        <w:t>Part a) Coco-Cola</w:t>
      </w:r>
      <w:bookmarkEnd w:id="0"/>
      <w:r w:rsidRPr="00CB5437">
        <w:rPr>
          <w:lang w:val="en-GB"/>
        </w:rPr>
        <w:t xml:space="preserve"> </w:t>
      </w:r>
    </w:p>
    <w:p w14:paraId="7BE9D074" w14:textId="77777777" w:rsidR="00F80060" w:rsidRPr="00CB5437" w:rsidRDefault="008D2120">
      <w:pPr>
        <w:pStyle w:val="Heading2"/>
        <w:spacing w:after="200"/>
        <w:rPr>
          <w:lang w:val="en-GB"/>
        </w:rPr>
      </w:pPr>
      <w:bookmarkStart w:id="1" w:name="_Toc173947672"/>
      <w:r w:rsidRPr="00CB5437">
        <w:rPr>
          <w:lang w:val="en-GB"/>
        </w:rPr>
        <w:t>History</w:t>
      </w:r>
      <w:bookmarkEnd w:id="1"/>
    </w:p>
    <w:p w14:paraId="53EEF530"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Coca-Cola was first produced in 1886 when </w:t>
      </w:r>
      <w:proofErr w:type="spellStart"/>
      <w:r w:rsidRPr="00CB5437">
        <w:rPr>
          <w:rFonts w:ascii="Times New Roman" w:eastAsia="Times New Roman" w:hAnsi="Times New Roman" w:cs="Times New Roman"/>
          <w:sz w:val="24"/>
          <w:szCs w:val="24"/>
          <w:lang w:val="en-GB"/>
        </w:rPr>
        <w:t>Dr.</w:t>
      </w:r>
      <w:proofErr w:type="spellEnd"/>
      <w:r w:rsidRPr="00CB5437">
        <w:rPr>
          <w:rFonts w:ascii="Times New Roman" w:eastAsia="Times New Roman" w:hAnsi="Times New Roman" w:cs="Times New Roman"/>
          <w:sz w:val="24"/>
          <w:szCs w:val="24"/>
          <w:lang w:val="en-GB"/>
        </w:rPr>
        <w:t xml:space="preserve"> John Pemberton devised the syrup in Atlanta, Georgia. </w:t>
      </w:r>
      <w:r w:rsidRPr="00CB5437">
        <w:rPr>
          <w:rFonts w:ascii="Times New Roman" w:eastAsia="Times New Roman" w:hAnsi="Times New Roman" w:cs="Times New Roman"/>
          <w:sz w:val="24"/>
          <w:szCs w:val="24"/>
          <w:highlight w:val="white"/>
          <w:lang w:val="en-GB"/>
        </w:rPr>
        <w:t>The historical data of Coco Cola, the adjusted close was 48.09, 49.28, 54.88, 60.70, 58.01, and 68.05 in the years 2019, 2020, 2021, 2022, 2023, and 2024 respectively (</w:t>
      </w:r>
      <w:proofErr w:type="spellStart"/>
      <w:proofErr w:type="gramStart"/>
      <w:r w:rsidRPr="00CB5437">
        <w:rPr>
          <w:rFonts w:ascii="Times New Roman" w:eastAsia="Times New Roman" w:hAnsi="Times New Roman" w:cs="Times New Roman"/>
          <w:sz w:val="24"/>
          <w:szCs w:val="24"/>
          <w:highlight w:val="white"/>
          <w:lang w:val="en-GB"/>
        </w:rPr>
        <w:t>finance.yahoo</w:t>
      </w:r>
      <w:proofErr w:type="spellEnd"/>
      <w:proofErr w:type="gramEnd"/>
      <w:r w:rsidRPr="00CB5437">
        <w:rPr>
          <w:rFonts w:ascii="Times New Roman" w:eastAsia="Times New Roman" w:hAnsi="Times New Roman" w:cs="Times New Roman"/>
          <w:sz w:val="24"/>
          <w:szCs w:val="24"/>
          <w:highlight w:val="white"/>
          <w:lang w:val="en-GB"/>
        </w:rPr>
        <w:t>, 2024).</w:t>
      </w:r>
      <w:r w:rsidRPr="00CB5437">
        <w:rPr>
          <w:rFonts w:ascii="Times New Roman" w:eastAsia="Times New Roman" w:hAnsi="Times New Roman" w:cs="Times New Roman"/>
          <w:sz w:val="24"/>
          <w:szCs w:val="24"/>
          <w:lang w:val="en-GB"/>
        </w:rPr>
        <w:t xml:space="preserve"> Over the years, Coca-Cola has been associated with advertisements, especially the classic ‘Hilltop’ commercial. The company has also supported environmental issues since 1917, which include water, women, and the environment (Coca-</w:t>
      </w:r>
      <w:proofErr w:type="spellStart"/>
      <w:r w:rsidRPr="00CB5437">
        <w:rPr>
          <w:rFonts w:ascii="Times New Roman" w:eastAsia="Times New Roman" w:hAnsi="Times New Roman" w:cs="Times New Roman"/>
          <w:sz w:val="24"/>
          <w:szCs w:val="24"/>
          <w:lang w:val="en-GB"/>
        </w:rPr>
        <w:t>colacompany</w:t>
      </w:r>
      <w:proofErr w:type="spellEnd"/>
      <w:r w:rsidRPr="00CB5437">
        <w:rPr>
          <w:rFonts w:ascii="Times New Roman" w:eastAsia="Times New Roman" w:hAnsi="Times New Roman" w:cs="Times New Roman"/>
          <w:sz w:val="24"/>
          <w:szCs w:val="24"/>
          <w:lang w:val="en-GB"/>
        </w:rPr>
        <w:t>, 2024). Coca-Cola is a company that has manufactured and sold beverages for more than 125 years and with its experience, it has changed from just a beverage company to a global company with ever-changing consumers’ tastes and needs.</w:t>
      </w:r>
    </w:p>
    <w:p w14:paraId="114126CE" w14:textId="77777777" w:rsidR="00F80060" w:rsidRPr="00CB5437" w:rsidRDefault="008D2120">
      <w:pPr>
        <w:pStyle w:val="Heading2"/>
        <w:spacing w:after="200"/>
        <w:rPr>
          <w:lang w:val="en-GB"/>
        </w:rPr>
      </w:pPr>
      <w:bookmarkStart w:id="2" w:name="_Toc173947673"/>
      <w:r w:rsidRPr="00CB5437">
        <w:rPr>
          <w:lang w:val="en-GB"/>
        </w:rPr>
        <w:t>Business Model</w:t>
      </w:r>
      <w:bookmarkEnd w:id="2"/>
    </w:p>
    <w:tbl>
      <w:tblPr>
        <w:tblStyle w:val="a"/>
        <w:tblW w:w="9225" w:type="dxa"/>
        <w:tblBorders>
          <w:top w:val="nil"/>
          <w:left w:val="nil"/>
          <w:bottom w:val="nil"/>
          <w:right w:val="nil"/>
          <w:insideH w:val="nil"/>
          <w:insideV w:val="nil"/>
        </w:tblBorders>
        <w:tblLayout w:type="fixed"/>
        <w:tblLook w:val="0600" w:firstRow="0" w:lastRow="0" w:firstColumn="0" w:lastColumn="0" w:noHBand="1" w:noVBand="1"/>
      </w:tblPr>
      <w:tblGrid>
        <w:gridCol w:w="1950"/>
        <w:gridCol w:w="1710"/>
        <w:gridCol w:w="1485"/>
        <w:gridCol w:w="1755"/>
        <w:gridCol w:w="2325"/>
      </w:tblGrid>
      <w:tr w:rsidR="00F80060" w:rsidRPr="00CB5437" w14:paraId="64FD2D95" w14:textId="77777777">
        <w:trPr>
          <w:trHeight w:val="4050"/>
        </w:trPr>
        <w:tc>
          <w:tcPr>
            <w:tcW w:w="1950" w:type="dxa"/>
            <w:vMerge w:val="restart"/>
            <w:tcBorders>
              <w:top w:val="single" w:sz="6" w:space="0" w:color="000000"/>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tcPr>
          <w:p w14:paraId="0B7A63B0"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Key Partners</w:t>
            </w:r>
          </w:p>
          <w:p w14:paraId="714F08E9" w14:textId="77777777" w:rsidR="00F80060" w:rsidRPr="00CB5437" w:rsidRDefault="008D2120">
            <w:pPr>
              <w:numPr>
                <w:ilvl w:val="0"/>
                <w:numId w:val="7"/>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Bottling</w:t>
            </w:r>
          </w:p>
          <w:p w14:paraId="0015D8C5" w14:textId="77777777" w:rsidR="00F80060" w:rsidRPr="00CB5437" w:rsidRDefault="008D2120">
            <w:pPr>
              <w:numPr>
                <w:ilvl w:val="0"/>
                <w:numId w:val="7"/>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Partners</w:t>
            </w:r>
          </w:p>
          <w:p w14:paraId="6129B66F" w14:textId="77777777" w:rsidR="00F80060" w:rsidRPr="00CB5437" w:rsidRDefault="008D2120">
            <w:pPr>
              <w:numPr>
                <w:ilvl w:val="0"/>
                <w:numId w:val="7"/>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Investor</w:t>
            </w:r>
          </w:p>
          <w:p w14:paraId="1848BB5C" w14:textId="77777777" w:rsidR="00F80060" w:rsidRPr="00CB5437" w:rsidRDefault="008D2120">
            <w:pPr>
              <w:numPr>
                <w:ilvl w:val="0"/>
                <w:numId w:val="7"/>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Retail</w:t>
            </w:r>
          </w:p>
          <w:p w14:paraId="39488347" w14:textId="77777777" w:rsidR="00F80060" w:rsidRPr="00CB5437" w:rsidRDefault="008D2120">
            <w:pPr>
              <w:numPr>
                <w:ilvl w:val="0"/>
                <w:numId w:val="7"/>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Food Service Partners</w:t>
            </w:r>
          </w:p>
          <w:p w14:paraId="2DE0FFE1" w14:textId="77777777" w:rsidR="00F80060" w:rsidRPr="00CB5437" w:rsidRDefault="008D2120">
            <w:pPr>
              <w:spacing w:before="24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
        </w:tc>
        <w:tc>
          <w:tcPr>
            <w:tcW w:w="1710" w:type="dxa"/>
            <w:tcBorders>
              <w:top w:val="single" w:sz="6" w:space="0" w:color="000000"/>
              <w:left w:val="nil"/>
              <w:bottom w:val="single" w:sz="6" w:space="0" w:color="000000"/>
              <w:right w:val="single" w:sz="6" w:space="0" w:color="000000"/>
            </w:tcBorders>
            <w:shd w:val="clear" w:color="auto" w:fill="FFFFFF"/>
            <w:tcMar>
              <w:top w:w="100" w:type="dxa"/>
              <w:left w:w="100" w:type="dxa"/>
              <w:bottom w:w="100" w:type="dxa"/>
              <w:right w:w="100" w:type="dxa"/>
            </w:tcMar>
          </w:tcPr>
          <w:p w14:paraId="2BC52059"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Key Activities</w:t>
            </w:r>
          </w:p>
          <w:p w14:paraId="4476C65B" w14:textId="77777777" w:rsidR="00F80060" w:rsidRPr="00CB5437" w:rsidRDefault="008D2120">
            <w:pPr>
              <w:numPr>
                <w:ilvl w:val="0"/>
                <w:numId w:val="4"/>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Beverage Production</w:t>
            </w:r>
          </w:p>
          <w:p w14:paraId="1BA46A9A" w14:textId="77777777" w:rsidR="00F80060" w:rsidRPr="00CB5437" w:rsidRDefault="008D2120">
            <w:pPr>
              <w:numPr>
                <w:ilvl w:val="0"/>
                <w:numId w:val="4"/>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Bottling</w:t>
            </w:r>
          </w:p>
          <w:p w14:paraId="0D9A4BBF" w14:textId="77777777" w:rsidR="00F80060" w:rsidRPr="00CB5437" w:rsidRDefault="008D2120">
            <w:pPr>
              <w:numPr>
                <w:ilvl w:val="0"/>
                <w:numId w:val="4"/>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Marketing</w:t>
            </w:r>
          </w:p>
          <w:p w14:paraId="7358A1E5" w14:textId="77777777" w:rsidR="00F80060" w:rsidRPr="00CB5437" w:rsidRDefault="008D2120">
            <w:pPr>
              <w:numPr>
                <w:ilvl w:val="0"/>
                <w:numId w:val="4"/>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Licensing</w:t>
            </w:r>
          </w:p>
          <w:p w14:paraId="2A47C148" w14:textId="77777777" w:rsidR="00F80060" w:rsidRPr="00CB5437" w:rsidRDefault="008D2120">
            <w:pPr>
              <w:numPr>
                <w:ilvl w:val="0"/>
                <w:numId w:val="4"/>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Investing</w:t>
            </w:r>
          </w:p>
          <w:p w14:paraId="1DCEC0FF" w14:textId="77777777" w:rsidR="00F80060" w:rsidRPr="00CB5437" w:rsidRDefault="008D2120">
            <w:pPr>
              <w:spacing w:before="24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lastRenderedPageBreak/>
              <w:t xml:space="preserve"> </w:t>
            </w:r>
          </w:p>
        </w:tc>
        <w:tc>
          <w:tcPr>
            <w:tcW w:w="1485" w:type="dxa"/>
            <w:vMerge w:val="restart"/>
            <w:tcBorders>
              <w:top w:val="single" w:sz="6" w:space="0" w:color="000000"/>
              <w:left w:val="nil"/>
              <w:bottom w:val="single" w:sz="6" w:space="0" w:color="000000"/>
              <w:right w:val="single" w:sz="6" w:space="0" w:color="000000"/>
            </w:tcBorders>
            <w:shd w:val="clear" w:color="auto" w:fill="FFFFFF"/>
            <w:tcMar>
              <w:top w:w="100" w:type="dxa"/>
              <w:left w:w="100" w:type="dxa"/>
              <w:bottom w:w="100" w:type="dxa"/>
              <w:right w:w="100" w:type="dxa"/>
            </w:tcMar>
          </w:tcPr>
          <w:p w14:paraId="1FCEC850"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lastRenderedPageBreak/>
              <w:t>Value Proposition</w:t>
            </w:r>
          </w:p>
          <w:p w14:paraId="5AE75816" w14:textId="77777777" w:rsidR="00F80060" w:rsidRPr="00CB5437" w:rsidRDefault="008D2120">
            <w:pPr>
              <w:numPr>
                <w:ilvl w:val="0"/>
                <w:numId w:val="9"/>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Refreshing Beverages</w:t>
            </w:r>
          </w:p>
          <w:p w14:paraId="782B3894" w14:textId="77777777" w:rsidR="00F80060" w:rsidRPr="00CB5437" w:rsidRDefault="008D2120">
            <w:pPr>
              <w:numPr>
                <w:ilvl w:val="0"/>
                <w:numId w:val="9"/>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Brand Recognition</w:t>
            </w:r>
          </w:p>
          <w:p w14:paraId="2D2677E2" w14:textId="77777777" w:rsidR="00F80060" w:rsidRPr="00CB5437" w:rsidRDefault="008D2120">
            <w:pPr>
              <w:numPr>
                <w:ilvl w:val="0"/>
                <w:numId w:val="9"/>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Exclusive </w:t>
            </w:r>
            <w:r w:rsidRPr="00CB5437">
              <w:rPr>
                <w:rFonts w:ascii="Times New Roman" w:eastAsia="Times New Roman" w:hAnsi="Times New Roman" w:cs="Times New Roman"/>
                <w:sz w:val="24"/>
                <w:szCs w:val="24"/>
                <w:lang w:val="en-GB"/>
              </w:rPr>
              <w:lastRenderedPageBreak/>
              <w:t>Partnerships</w:t>
            </w:r>
          </w:p>
          <w:p w14:paraId="37D1E528" w14:textId="77777777" w:rsidR="00F80060" w:rsidRPr="00CB5437" w:rsidRDefault="008D2120">
            <w:pPr>
              <w:spacing w:before="240" w:after="200" w:line="360" w:lineRule="auto"/>
              <w:ind w:left="1440"/>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
          <w:p w14:paraId="0A50F106" w14:textId="77777777" w:rsidR="00F80060" w:rsidRPr="00CB5437" w:rsidRDefault="00F80060">
            <w:pPr>
              <w:spacing w:before="240" w:after="200" w:line="360" w:lineRule="auto"/>
              <w:ind w:left="720"/>
              <w:jc w:val="both"/>
              <w:rPr>
                <w:rFonts w:ascii="Times New Roman" w:eastAsia="Times New Roman" w:hAnsi="Times New Roman" w:cs="Times New Roman"/>
                <w:sz w:val="24"/>
                <w:szCs w:val="24"/>
                <w:lang w:val="en-GB"/>
              </w:rPr>
            </w:pPr>
          </w:p>
          <w:p w14:paraId="5E3B1D37" w14:textId="77777777" w:rsidR="00F80060" w:rsidRPr="00CB5437" w:rsidRDefault="008D2120">
            <w:pPr>
              <w:spacing w:before="24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
        </w:tc>
        <w:tc>
          <w:tcPr>
            <w:tcW w:w="1755" w:type="dxa"/>
            <w:tcBorders>
              <w:top w:val="single" w:sz="6" w:space="0" w:color="000000"/>
              <w:left w:val="nil"/>
              <w:bottom w:val="single" w:sz="6" w:space="0" w:color="000000"/>
              <w:right w:val="single" w:sz="6" w:space="0" w:color="000000"/>
            </w:tcBorders>
            <w:shd w:val="clear" w:color="auto" w:fill="FFFFFF"/>
            <w:tcMar>
              <w:top w:w="100" w:type="dxa"/>
              <w:left w:w="100" w:type="dxa"/>
              <w:bottom w:w="100" w:type="dxa"/>
              <w:right w:w="100" w:type="dxa"/>
            </w:tcMar>
          </w:tcPr>
          <w:p w14:paraId="1CDC9D00"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lastRenderedPageBreak/>
              <w:t>Customer Relationships</w:t>
            </w:r>
          </w:p>
          <w:p w14:paraId="567FD08E" w14:textId="77777777" w:rsidR="00F80060" w:rsidRPr="00CB5437" w:rsidRDefault="008D2120">
            <w:pPr>
              <w:numPr>
                <w:ilvl w:val="0"/>
                <w:numId w:val="2"/>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Customer Support</w:t>
            </w:r>
          </w:p>
          <w:p w14:paraId="0070C356" w14:textId="77777777" w:rsidR="00F80060" w:rsidRPr="00CB5437" w:rsidRDefault="008D2120">
            <w:pPr>
              <w:numPr>
                <w:ilvl w:val="0"/>
                <w:numId w:val="2"/>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Social Media</w:t>
            </w:r>
          </w:p>
          <w:p w14:paraId="0102755D" w14:textId="77777777" w:rsidR="00F80060" w:rsidRPr="00CB5437" w:rsidRDefault="008D2120">
            <w:pPr>
              <w:numPr>
                <w:ilvl w:val="0"/>
                <w:numId w:val="2"/>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Promotions</w:t>
            </w:r>
          </w:p>
          <w:p w14:paraId="565D3053" w14:textId="77777777" w:rsidR="00F80060" w:rsidRPr="00CB5437" w:rsidRDefault="008D2120">
            <w:pPr>
              <w:numPr>
                <w:ilvl w:val="0"/>
                <w:numId w:val="2"/>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Community Engagement</w:t>
            </w:r>
          </w:p>
        </w:tc>
        <w:tc>
          <w:tcPr>
            <w:tcW w:w="2325" w:type="dxa"/>
            <w:vMerge w:val="restart"/>
            <w:tcBorders>
              <w:top w:val="single" w:sz="6" w:space="0" w:color="000000"/>
              <w:left w:val="nil"/>
              <w:bottom w:val="single" w:sz="6" w:space="0" w:color="000000"/>
              <w:right w:val="single" w:sz="6" w:space="0" w:color="000000"/>
            </w:tcBorders>
            <w:shd w:val="clear" w:color="auto" w:fill="FFFFFF"/>
            <w:tcMar>
              <w:top w:w="100" w:type="dxa"/>
              <w:left w:w="100" w:type="dxa"/>
              <w:bottom w:w="100" w:type="dxa"/>
              <w:right w:w="100" w:type="dxa"/>
            </w:tcMar>
          </w:tcPr>
          <w:p w14:paraId="5013C6B0"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Customer segments</w:t>
            </w:r>
          </w:p>
          <w:p w14:paraId="21BA3A10" w14:textId="77777777" w:rsidR="00F80060" w:rsidRPr="00CB5437" w:rsidRDefault="008D2120">
            <w:pPr>
              <w:numPr>
                <w:ilvl w:val="0"/>
                <w:numId w:val="1"/>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Consumers, </w:t>
            </w:r>
          </w:p>
          <w:p w14:paraId="00522F6A" w14:textId="77777777" w:rsidR="00F80060" w:rsidRPr="00CB5437" w:rsidRDefault="008D2120">
            <w:pPr>
              <w:numPr>
                <w:ilvl w:val="0"/>
                <w:numId w:val="1"/>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Retail and </w:t>
            </w:r>
          </w:p>
          <w:p w14:paraId="6BF1A070" w14:textId="77777777" w:rsidR="00F80060" w:rsidRPr="00CB5437" w:rsidRDefault="008D2120">
            <w:pPr>
              <w:numPr>
                <w:ilvl w:val="0"/>
                <w:numId w:val="1"/>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Food Service Partners</w:t>
            </w:r>
          </w:p>
          <w:p w14:paraId="2FA4EBF7" w14:textId="77777777" w:rsidR="00F80060" w:rsidRPr="00CB5437" w:rsidRDefault="00F80060">
            <w:pPr>
              <w:spacing w:before="240" w:after="200" w:line="360" w:lineRule="auto"/>
              <w:ind w:left="720"/>
              <w:jc w:val="both"/>
              <w:rPr>
                <w:rFonts w:ascii="Times New Roman" w:eastAsia="Times New Roman" w:hAnsi="Times New Roman" w:cs="Times New Roman"/>
                <w:sz w:val="24"/>
                <w:szCs w:val="24"/>
                <w:lang w:val="en-GB"/>
              </w:rPr>
            </w:pPr>
          </w:p>
        </w:tc>
      </w:tr>
      <w:tr w:rsidR="00F80060" w:rsidRPr="00CB5437" w14:paraId="05146EDB" w14:textId="77777777">
        <w:trPr>
          <w:trHeight w:val="4290"/>
        </w:trPr>
        <w:tc>
          <w:tcPr>
            <w:tcW w:w="1950" w:type="dxa"/>
            <w:vMerge/>
            <w:tcBorders>
              <w:top w:val="single" w:sz="6" w:space="0" w:color="000000"/>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tcPr>
          <w:p w14:paraId="5FCA9893" w14:textId="77777777" w:rsidR="00F80060" w:rsidRPr="00CB5437" w:rsidRDefault="00F80060">
            <w:pPr>
              <w:spacing w:before="200" w:after="200" w:line="360" w:lineRule="auto"/>
              <w:jc w:val="both"/>
              <w:rPr>
                <w:rFonts w:ascii="Times New Roman" w:eastAsia="Times New Roman" w:hAnsi="Times New Roman" w:cs="Times New Roman"/>
                <w:sz w:val="24"/>
                <w:szCs w:val="24"/>
                <w:lang w:val="en-GB"/>
              </w:rPr>
            </w:pPr>
          </w:p>
        </w:tc>
        <w:tc>
          <w:tcPr>
            <w:tcW w:w="1710"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A4C2B5F"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Key Resources</w:t>
            </w:r>
          </w:p>
          <w:p w14:paraId="5728D1E6" w14:textId="77777777" w:rsidR="00F80060" w:rsidRPr="00CB5437" w:rsidRDefault="008D2120">
            <w:pPr>
              <w:numPr>
                <w:ilvl w:val="0"/>
                <w:numId w:val="6"/>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Manufacturing Facilities</w:t>
            </w:r>
          </w:p>
          <w:p w14:paraId="54093E18" w14:textId="77777777" w:rsidR="00F80060" w:rsidRPr="00CB5437" w:rsidRDefault="008D2120">
            <w:pPr>
              <w:numPr>
                <w:ilvl w:val="0"/>
                <w:numId w:val="6"/>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Brand</w:t>
            </w:r>
          </w:p>
          <w:p w14:paraId="019FFAE2" w14:textId="77777777" w:rsidR="00F80060" w:rsidRPr="00CB5437" w:rsidRDefault="008D2120">
            <w:pPr>
              <w:numPr>
                <w:ilvl w:val="0"/>
                <w:numId w:val="6"/>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Distribution Networks</w:t>
            </w:r>
          </w:p>
          <w:p w14:paraId="7168739C" w14:textId="77777777" w:rsidR="00F80060" w:rsidRPr="00CB5437" w:rsidRDefault="008D2120">
            <w:pPr>
              <w:numPr>
                <w:ilvl w:val="0"/>
                <w:numId w:val="6"/>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Intellectual Property (businessmodelanalyst.</w:t>
            </w:r>
            <w:r w:rsidRPr="00CB5437">
              <w:rPr>
                <w:rFonts w:ascii="Times New Roman" w:eastAsia="Times New Roman" w:hAnsi="Times New Roman" w:cs="Times New Roman"/>
                <w:sz w:val="24"/>
                <w:szCs w:val="24"/>
                <w:lang w:val="en-GB"/>
              </w:rPr>
              <w:lastRenderedPageBreak/>
              <w:t>com, 2024)</w:t>
            </w:r>
          </w:p>
          <w:p w14:paraId="4F281AC3" w14:textId="77777777" w:rsidR="00F80060" w:rsidRPr="00CB5437" w:rsidRDefault="008D2120">
            <w:pPr>
              <w:spacing w:before="24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
          <w:p w14:paraId="50979038"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 xml:space="preserve"> </w:t>
            </w:r>
          </w:p>
        </w:tc>
        <w:tc>
          <w:tcPr>
            <w:tcW w:w="1485" w:type="dxa"/>
            <w:vMerge/>
            <w:tcBorders>
              <w:top w:val="single" w:sz="6" w:space="0" w:color="000000"/>
              <w:left w:val="nil"/>
              <w:bottom w:val="single" w:sz="6" w:space="0" w:color="000000"/>
              <w:right w:val="single" w:sz="6" w:space="0" w:color="000000"/>
            </w:tcBorders>
            <w:shd w:val="clear" w:color="auto" w:fill="FFFFFF"/>
            <w:tcMar>
              <w:top w:w="100" w:type="dxa"/>
              <w:left w:w="100" w:type="dxa"/>
              <w:bottom w:w="100" w:type="dxa"/>
              <w:right w:w="100" w:type="dxa"/>
            </w:tcMar>
          </w:tcPr>
          <w:p w14:paraId="618484F7" w14:textId="77777777" w:rsidR="00F80060" w:rsidRPr="00CB5437" w:rsidRDefault="00F80060">
            <w:pPr>
              <w:spacing w:before="200" w:after="200" w:line="360" w:lineRule="auto"/>
              <w:jc w:val="both"/>
              <w:rPr>
                <w:rFonts w:ascii="Times New Roman" w:eastAsia="Times New Roman" w:hAnsi="Times New Roman" w:cs="Times New Roman"/>
                <w:sz w:val="24"/>
                <w:szCs w:val="24"/>
                <w:lang w:val="en-GB"/>
              </w:rPr>
            </w:pPr>
          </w:p>
        </w:tc>
        <w:tc>
          <w:tcPr>
            <w:tcW w:w="175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3EDE2A7"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Channels</w:t>
            </w:r>
          </w:p>
          <w:p w14:paraId="481D0239" w14:textId="77777777" w:rsidR="00F80060" w:rsidRPr="00CB5437" w:rsidRDefault="008D2120">
            <w:pPr>
              <w:numPr>
                <w:ilvl w:val="0"/>
                <w:numId w:val="10"/>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Supermarkets</w:t>
            </w:r>
          </w:p>
          <w:p w14:paraId="1BEB3195" w14:textId="77777777" w:rsidR="00F80060" w:rsidRPr="00CB5437" w:rsidRDefault="008D2120">
            <w:pPr>
              <w:numPr>
                <w:ilvl w:val="0"/>
                <w:numId w:val="10"/>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Vending Machines Online </w:t>
            </w:r>
          </w:p>
          <w:p w14:paraId="28D9D1AF" w14:textId="77777777" w:rsidR="00F80060" w:rsidRPr="00CB5437" w:rsidRDefault="008D2120">
            <w:pPr>
              <w:numPr>
                <w:ilvl w:val="0"/>
                <w:numId w:val="10"/>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Retailers Restaurants</w:t>
            </w:r>
          </w:p>
          <w:p w14:paraId="474DF506" w14:textId="77777777" w:rsidR="00F80060" w:rsidRPr="00CB5437" w:rsidRDefault="008D2120">
            <w:pPr>
              <w:numPr>
                <w:ilvl w:val="0"/>
                <w:numId w:val="10"/>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Sponsorships</w:t>
            </w:r>
          </w:p>
          <w:p w14:paraId="14BDC7D7"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 xml:space="preserve"> </w:t>
            </w:r>
          </w:p>
        </w:tc>
        <w:tc>
          <w:tcPr>
            <w:tcW w:w="2325" w:type="dxa"/>
            <w:vMerge/>
            <w:tcBorders>
              <w:top w:val="single" w:sz="6" w:space="0" w:color="000000"/>
              <w:left w:val="nil"/>
              <w:bottom w:val="single" w:sz="6" w:space="0" w:color="000000"/>
              <w:right w:val="single" w:sz="6" w:space="0" w:color="000000"/>
            </w:tcBorders>
            <w:shd w:val="clear" w:color="auto" w:fill="FFFFFF"/>
            <w:tcMar>
              <w:top w:w="100" w:type="dxa"/>
              <w:left w:w="100" w:type="dxa"/>
              <w:bottom w:w="100" w:type="dxa"/>
              <w:right w:w="100" w:type="dxa"/>
            </w:tcMar>
          </w:tcPr>
          <w:p w14:paraId="4FA842B8" w14:textId="77777777" w:rsidR="00F80060" w:rsidRPr="00CB5437" w:rsidRDefault="00F80060">
            <w:pPr>
              <w:spacing w:before="200" w:after="200" w:line="360" w:lineRule="auto"/>
              <w:jc w:val="both"/>
              <w:rPr>
                <w:rFonts w:ascii="Times New Roman" w:eastAsia="Times New Roman" w:hAnsi="Times New Roman" w:cs="Times New Roman"/>
                <w:sz w:val="24"/>
                <w:szCs w:val="24"/>
                <w:lang w:val="en-GB"/>
              </w:rPr>
            </w:pPr>
          </w:p>
        </w:tc>
      </w:tr>
      <w:tr w:rsidR="00F80060" w:rsidRPr="00CB5437" w14:paraId="7DA4BF05" w14:textId="77777777">
        <w:trPr>
          <w:trHeight w:val="2610"/>
        </w:trPr>
        <w:tc>
          <w:tcPr>
            <w:tcW w:w="3660" w:type="dxa"/>
            <w:gridSpan w:val="2"/>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tcPr>
          <w:p w14:paraId="7BED6B25"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Cost Structure</w:t>
            </w:r>
          </w:p>
          <w:p w14:paraId="5E34755B" w14:textId="77777777" w:rsidR="00F80060" w:rsidRPr="00CB5437" w:rsidRDefault="008D2120">
            <w:pPr>
              <w:numPr>
                <w:ilvl w:val="0"/>
                <w:numId w:val="8"/>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Raw Materials</w:t>
            </w:r>
          </w:p>
          <w:p w14:paraId="1D871B46" w14:textId="77777777" w:rsidR="00F80060" w:rsidRPr="00CB5437" w:rsidRDefault="008D2120">
            <w:pPr>
              <w:numPr>
                <w:ilvl w:val="0"/>
                <w:numId w:val="8"/>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Manufacturing</w:t>
            </w:r>
          </w:p>
          <w:p w14:paraId="632DFF87" w14:textId="77777777" w:rsidR="00F80060" w:rsidRPr="00CB5437" w:rsidRDefault="008D2120">
            <w:pPr>
              <w:numPr>
                <w:ilvl w:val="0"/>
                <w:numId w:val="8"/>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Marketing</w:t>
            </w:r>
          </w:p>
          <w:p w14:paraId="76B0D999" w14:textId="77777777" w:rsidR="00F80060" w:rsidRPr="00CB5437" w:rsidRDefault="008D2120">
            <w:pPr>
              <w:numPr>
                <w:ilvl w:val="0"/>
                <w:numId w:val="8"/>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Staff, Taxes</w:t>
            </w:r>
          </w:p>
          <w:p w14:paraId="7998B093" w14:textId="77777777" w:rsidR="00F80060" w:rsidRPr="00CB5437" w:rsidRDefault="008D2120">
            <w:pPr>
              <w:numPr>
                <w:ilvl w:val="0"/>
                <w:numId w:val="8"/>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Franchises</w:t>
            </w:r>
          </w:p>
          <w:p w14:paraId="71BAEA1D" w14:textId="77777777" w:rsidR="00F80060" w:rsidRPr="00CB5437" w:rsidRDefault="008D2120">
            <w:pPr>
              <w:spacing w:before="24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
        </w:tc>
        <w:tc>
          <w:tcPr>
            <w:tcW w:w="5565" w:type="dxa"/>
            <w:gridSpan w:val="3"/>
            <w:tcBorders>
              <w:top w:val="nil"/>
              <w:left w:val="nil"/>
              <w:bottom w:val="single" w:sz="6" w:space="0" w:color="000000"/>
              <w:right w:val="single" w:sz="6" w:space="0" w:color="000000"/>
            </w:tcBorders>
            <w:shd w:val="clear" w:color="auto" w:fill="FFFFFF"/>
            <w:tcMar>
              <w:top w:w="100" w:type="dxa"/>
              <w:left w:w="100" w:type="dxa"/>
              <w:bottom w:w="100" w:type="dxa"/>
              <w:right w:w="100" w:type="dxa"/>
            </w:tcMar>
          </w:tcPr>
          <w:p w14:paraId="2AB45E56" w14:textId="77777777" w:rsidR="00F80060" w:rsidRPr="00CB5437" w:rsidRDefault="008D2120">
            <w:pPr>
              <w:spacing w:before="24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Revenue Streams</w:t>
            </w:r>
          </w:p>
          <w:p w14:paraId="6493D033" w14:textId="77777777" w:rsidR="00F80060" w:rsidRPr="00CB5437" w:rsidRDefault="008D2120">
            <w:pPr>
              <w:numPr>
                <w:ilvl w:val="0"/>
                <w:numId w:val="5"/>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Beverage Sales</w:t>
            </w:r>
          </w:p>
          <w:p w14:paraId="15A70EE5" w14:textId="77777777" w:rsidR="00F80060" w:rsidRPr="00CB5437" w:rsidRDefault="008D2120">
            <w:pPr>
              <w:numPr>
                <w:ilvl w:val="0"/>
                <w:numId w:val="5"/>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Licensing Fees</w:t>
            </w:r>
          </w:p>
          <w:p w14:paraId="44F31CEA" w14:textId="77777777" w:rsidR="00F80060" w:rsidRPr="00CB5437" w:rsidRDefault="008D2120">
            <w:pPr>
              <w:numPr>
                <w:ilvl w:val="0"/>
                <w:numId w:val="5"/>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Investment Income</w:t>
            </w:r>
          </w:p>
          <w:p w14:paraId="3DA91FEA" w14:textId="77777777" w:rsidR="00F80060" w:rsidRPr="00CB5437" w:rsidRDefault="00F80060">
            <w:pPr>
              <w:spacing w:after="200" w:line="360" w:lineRule="auto"/>
              <w:ind w:left="720"/>
              <w:jc w:val="both"/>
              <w:rPr>
                <w:rFonts w:ascii="Times New Roman" w:eastAsia="Times New Roman" w:hAnsi="Times New Roman" w:cs="Times New Roman"/>
                <w:sz w:val="24"/>
                <w:szCs w:val="24"/>
                <w:lang w:val="en-GB"/>
              </w:rPr>
            </w:pPr>
          </w:p>
          <w:p w14:paraId="1C3A24DC" w14:textId="77777777" w:rsidR="00F80060" w:rsidRPr="00CB5437" w:rsidRDefault="008D2120">
            <w:pPr>
              <w:spacing w:before="24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
        </w:tc>
      </w:tr>
    </w:tbl>
    <w:p w14:paraId="34411E60" w14:textId="77777777" w:rsidR="00F80060" w:rsidRPr="00CB5437" w:rsidRDefault="008D2120">
      <w:pPr>
        <w:spacing w:before="200"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b/>
          <w:sz w:val="24"/>
          <w:szCs w:val="24"/>
          <w:lang w:val="en-GB"/>
        </w:rPr>
        <w:t>Table 1: “Business Model”</w:t>
      </w:r>
      <w:r w:rsidRPr="00CB5437">
        <w:rPr>
          <w:rFonts w:ascii="Times New Roman" w:eastAsia="Times New Roman" w:hAnsi="Times New Roman" w:cs="Times New Roman"/>
          <w:sz w:val="24"/>
          <w:szCs w:val="24"/>
          <w:lang w:val="en-GB"/>
        </w:rPr>
        <w:br/>
        <w:t>(Source: Created)</w:t>
      </w:r>
    </w:p>
    <w:p w14:paraId="41371095" w14:textId="77777777" w:rsidR="00F80060" w:rsidRPr="00CB5437" w:rsidRDefault="008D2120">
      <w:pPr>
        <w:pStyle w:val="Heading2"/>
        <w:spacing w:after="200"/>
        <w:rPr>
          <w:lang w:val="en-GB"/>
        </w:rPr>
      </w:pPr>
      <w:bookmarkStart w:id="3" w:name="_Toc173947674"/>
      <w:r w:rsidRPr="00CB5437">
        <w:rPr>
          <w:lang w:val="en-GB"/>
        </w:rPr>
        <w:t>Market Place and Competitor</w:t>
      </w:r>
      <w:bookmarkEnd w:id="3"/>
    </w:p>
    <w:p w14:paraId="7883F772"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The marketplace strategy of Coca-Cola is based on customer-driven growth, Coke has a beverage portfolio spanning eight categories. Coca-Cola Company seeks to increase consumption of beverages in general through segmented selling and perfect market consumption (coca-</w:t>
      </w:r>
      <w:proofErr w:type="spellStart"/>
      <w:r w:rsidRPr="00CB5437">
        <w:rPr>
          <w:rFonts w:ascii="Times New Roman" w:eastAsia="Times New Roman" w:hAnsi="Times New Roman" w:cs="Times New Roman"/>
          <w:sz w:val="24"/>
          <w:szCs w:val="24"/>
          <w:lang w:val="en-GB"/>
        </w:rPr>
        <w:t>colahellenic</w:t>
      </w:r>
      <w:proofErr w:type="spellEnd"/>
      <w:r w:rsidRPr="00CB5437">
        <w:rPr>
          <w:rFonts w:ascii="Times New Roman" w:eastAsia="Times New Roman" w:hAnsi="Times New Roman" w:cs="Times New Roman"/>
          <w:sz w:val="24"/>
          <w:szCs w:val="24"/>
          <w:lang w:val="en-GB"/>
        </w:rPr>
        <w:t xml:space="preserve">, 2024). Its growth capabilities mean key account management, technology </w:t>
      </w:r>
      <w:r w:rsidRPr="00CB5437">
        <w:rPr>
          <w:rFonts w:ascii="Times New Roman" w:eastAsia="Times New Roman" w:hAnsi="Times New Roman" w:cs="Times New Roman"/>
          <w:sz w:val="24"/>
          <w:szCs w:val="24"/>
          <w:lang w:val="en-GB"/>
        </w:rPr>
        <w:lastRenderedPageBreak/>
        <w:t>distribution, value-revenue growth, innovation, and data analysis. These efforts are supported by Coca-Cola’s digitalization, which fosters quick and profitable revenue regeneration and effective responses to market threats.</w:t>
      </w:r>
    </w:p>
    <w:p w14:paraId="79B8D004" w14:textId="77777777" w:rsidR="00F80060" w:rsidRPr="00CB5437" w:rsidRDefault="008D2120">
      <w:pPr>
        <w:spacing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noProof/>
          <w:sz w:val="24"/>
          <w:szCs w:val="24"/>
          <w:lang w:val="en-GB"/>
        </w:rPr>
        <w:drawing>
          <wp:inline distT="114300" distB="114300" distL="114300" distR="114300" wp14:anchorId="3F608BF0" wp14:editId="75E54024">
            <wp:extent cx="4760953" cy="3976688"/>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4760953" cy="3976688"/>
                    </a:xfrm>
                    <a:prstGeom prst="rect">
                      <a:avLst/>
                    </a:prstGeom>
                    <a:ln/>
                  </pic:spPr>
                </pic:pic>
              </a:graphicData>
            </a:graphic>
          </wp:inline>
        </w:drawing>
      </w:r>
    </w:p>
    <w:p w14:paraId="4211102E" w14:textId="2DBAC74D" w:rsidR="00F80060" w:rsidRPr="00CB5437" w:rsidRDefault="008D2120">
      <w:pPr>
        <w:spacing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b/>
          <w:sz w:val="24"/>
          <w:szCs w:val="24"/>
          <w:lang w:val="en-GB"/>
        </w:rPr>
        <w:t xml:space="preserve">Figure 1: Market Structure of Coca </w:t>
      </w:r>
      <w:r w:rsidR="00C73A3A" w:rsidRPr="00CB5437">
        <w:rPr>
          <w:rFonts w:ascii="Times New Roman" w:eastAsia="Times New Roman" w:hAnsi="Times New Roman" w:cs="Times New Roman"/>
          <w:b/>
          <w:sz w:val="24"/>
          <w:szCs w:val="24"/>
          <w:lang w:val="en-GB"/>
        </w:rPr>
        <w:t xml:space="preserve">Cola </w:t>
      </w:r>
      <w:r w:rsidRPr="00CB5437">
        <w:rPr>
          <w:rFonts w:ascii="Times New Roman" w:eastAsia="Times New Roman" w:hAnsi="Times New Roman" w:cs="Times New Roman"/>
          <w:sz w:val="24"/>
          <w:szCs w:val="24"/>
          <w:lang w:val="en-GB"/>
        </w:rPr>
        <w:br/>
        <w:t>(Source: coca-</w:t>
      </w:r>
      <w:proofErr w:type="spellStart"/>
      <w:r w:rsidRPr="00CB5437">
        <w:rPr>
          <w:rFonts w:ascii="Times New Roman" w:eastAsia="Times New Roman" w:hAnsi="Times New Roman" w:cs="Times New Roman"/>
          <w:sz w:val="24"/>
          <w:szCs w:val="24"/>
          <w:lang w:val="en-GB"/>
        </w:rPr>
        <w:t>colahellenic</w:t>
      </w:r>
      <w:proofErr w:type="spellEnd"/>
      <w:r w:rsidRPr="00CB5437">
        <w:rPr>
          <w:rFonts w:ascii="Times New Roman" w:eastAsia="Times New Roman" w:hAnsi="Times New Roman" w:cs="Times New Roman"/>
          <w:sz w:val="24"/>
          <w:szCs w:val="24"/>
          <w:lang w:val="en-GB"/>
        </w:rPr>
        <w:t>, 2024)</w:t>
      </w:r>
    </w:p>
    <w:p w14:paraId="23A68FC0"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PepsiCo has a broader market niche as compared to Coca-Cola since it deals not only in drinks but also in snacks and foods (</w:t>
      </w:r>
      <w:proofErr w:type="spellStart"/>
      <w:r w:rsidRPr="00CB5437">
        <w:rPr>
          <w:rFonts w:ascii="Times New Roman" w:eastAsia="Times New Roman" w:hAnsi="Times New Roman" w:cs="Times New Roman"/>
          <w:sz w:val="24"/>
          <w:szCs w:val="24"/>
          <w:lang w:val="en-GB"/>
        </w:rPr>
        <w:t>Pepsico</w:t>
      </w:r>
      <w:proofErr w:type="spellEnd"/>
      <w:r w:rsidRPr="00CB5437">
        <w:rPr>
          <w:rFonts w:ascii="Times New Roman" w:eastAsia="Times New Roman" w:hAnsi="Times New Roman" w:cs="Times New Roman"/>
          <w:sz w:val="24"/>
          <w:szCs w:val="24"/>
          <w:lang w:val="en-GB"/>
        </w:rPr>
        <w:t>, 2024). Both companies are market giants that operate in the same industry with high levels of profitability. Its impact is relatively high and has large variations depending on the market condition and certain business tactics. In the absence of real-time financial data, it is difficult to categorically determine which company is the better performer at any one point.</w:t>
      </w:r>
    </w:p>
    <w:p w14:paraId="47E586D3" w14:textId="3FCD770C" w:rsidR="00F80060" w:rsidRPr="00CB5437" w:rsidRDefault="008D2120">
      <w:pPr>
        <w:pStyle w:val="Heading2"/>
        <w:spacing w:after="200"/>
        <w:rPr>
          <w:lang w:val="en-GB"/>
        </w:rPr>
      </w:pPr>
      <w:bookmarkStart w:id="4" w:name="_Toc173947675"/>
      <w:r w:rsidRPr="00CB5437">
        <w:rPr>
          <w:lang w:val="en-GB"/>
        </w:rPr>
        <w:lastRenderedPageBreak/>
        <w:t xml:space="preserve">Events </w:t>
      </w:r>
      <w:r w:rsidR="00C73A3A" w:rsidRPr="00CB5437">
        <w:rPr>
          <w:lang w:val="en-GB"/>
        </w:rPr>
        <w:t>over</w:t>
      </w:r>
      <w:r w:rsidRPr="00CB5437">
        <w:rPr>
          <w:lang w:val="en-GB"/>
        </w:rPr>
        <w:t xml:space="preserve"> the Past Five Years</w:t>
      </w:r>
      <w:bookmarkEnd w:id="4"/>
    </w:p>
    <w:p w14:paraId="4B7230D5"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The past five years have seen the Coca-Cola Company undergo several events of great importance. The company posted good cash profits and was net debt-free for the first time in its history, with year-on-year sales up by 7% to over $6.6 billion in 2023. The company’s operating income increased to $834 </w:t>
      </w:r>
      <w:proofErr w:type="gramStart"/>
      <w:r w:rsidRPr="00CB5437">
        <w:rPr>
          <w:rFonts w:ascii="Times New Roman" w:eastAsia="Times New Roman" w:hAnsi="Times New Roman" w:cs="Times New Roman"/>
          <w:sz w:val="24"/>
          <w:szCs w:val="24"/>
          <w:lang w:val="en-GB"/>
        </w:rPr>
        <w:t>m,</w:t>
      </w:r>
      <w:proofErr w:type="gramEnd"/>
      <w:r w:rsidRPr="00CB5437">
        <w:rPr>
          <w:rFonts w:ascii="Times New Roman" w:eastAsia="Times New Roman" w:hAnsi="Times New Roman" w:cs="Times New Roman"/>
          <w:sz w:val="24"/>
          <w:szCs w:val="24"/>
          <w:lang w:val="en-GB"/>
        </w:rPr>
        <w:t xml:space="preserve"> a 30% increase compared to the previous year (</w:t>
      </w:r>
      <w:proofErr w:type="spellStart"/>
      <w:r w:rsidRPr="00CB5437">
        <w:rPr>
          <w:rFonts w:ascii="Times New Roman" w:eastAsia="Times New Roman" w:hAnsi="Times New Roman" w:cs="Times New Roman"/>
          <w:sz w:val="24"/>
          <w:szCs w:val="24"/>
          <w:lang w:val="en-GB"/>
        </w:rPr>
        <w:t>cokeconsolidated</w:t>
      </w:r>
      <w:proofErr w:type="spellEnd"/>
      <w:r w:rsidRPr="00CB5437">
        <w:rPr>
          <w:rFonts w:ascii="Times New Roman" w:eastAsia="Times New Roman" w:hAnsi="Times New Roman" w:cs="Times New Roman"/>
          <w:sz w:val="24"/>
          <w:szCs w:val="24"/>
          <w:lang w:val="en-GB"/>
        </w:rPr>
        <w:t xml:space="preserve">, 2023). Coca-Cola remained active in refreshing its beverage lineup, which includes Bang Energy and the Coca-Cola zero-sugar segment. Infrastructure was also developed by the company Construction of a new distribution facility in Ohio and the remanufacturing </w:t>
      </w:r>
      <w:proofErr w:type="spellStart"/>
      <w:r w:rsidRPr="00CB5437">
        <w:rPr>
          <w:rFonts w:ascii="Times New Roman" w:eastAsia="Times New Roman" w:hAnsi="Times New Roman" w:cs="Times New Roman"/>
          <w:sz w:val="24"/>
          <w:szCs w:val="24"/>
          <w:lang w:val="en-GB"/>
        </w:rPr>
        <w:t>center</w:t>
      </w:r>
      <w:proofErr w:type="spellEnd"/>
      <w:r w:rsidRPr="00CB5437">
        <w:rPr>
          <w:rFonts w:ascii="Times New Roman" w:eastAsia="Times New Roman" w:hAnsi="Times New Roman" w:cs="Times New Roman"/>
          <w:sz w:val="24"/>
          <w:szCs w:val="24"/>
          <w:lang w:val="en-GB"/>
        </w:rPr>
        <w:t xml:space="preserve"> established in North Carolina with an additional space was enlarged.</w:t>
      </w:r>
    </w:p>
    <w:p w14:paraId="76C82F98"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Leadership wise, E. Beauregarde Fisher III joined the company in 2017 as the Executive Vice President and General Counsel with much experience in law. Coca-Cola has also been dealing with climate change issues and potential litigation. Sustainability practices have been adopted by the company and it still faces other risks such as the impact of climate change and ever-shifting regulations (</w:t>
      </w:r>
      <w:proofErr w:type="spellStart"/>
      <w:r w:rsidRPr="00CB5437">
        <w:rPr>
          <w:rFonts w:ascii="Times New Roman" w:eastAsia="Times New Roman" w:hAnsi="Times New Roman" w:cs="Times New Roman"/>
          <w:sz w:val="24"/>
          <w:szCs w:val="24"/>
          <w:lang w:val="en-GB"/>
        </w:rPr>
        <w:t>cokeconsolidated</w:t>
      </w:r>
      <w:proofErr w:type="spellEnd"/>
      <w:r w:rsidRPr="00CB5437">
        <w:rPr>
          <w:rFonts w:ascii="Times New Roman" w:eastAsia="Times New Roman" w:hAnsi="Times New Roman" w:cs="Times New Roman"/>
          <w:sz w:val="24"/>
          <w:szCs w:val="24"/>
          <w:lang w:val="en-GB"/>
        </w:rPr>
        <w:t>, 2023). Coca-Cola continues to be part of the National Product Supply Group to participate in key decisions in the Coca-Cola system’s national product supply chain.</w:t>
      </w:r>
    </w:p>
    <w:p w14:paraId="781C1546" w14:textId="77777777" w:rsidR="006F0ADF" w:rsidRPr="00CB5437" w:rsidRDefault="006F0ADF" w:rsidP="006F0ADF">
      <w:pPr>
        <w:pStyle w:val="Heading1"/>
        <w:rPr>
          <w:lang w:val="en-GB"/>
        </w:rPr>
      </w:pPr>
      <w:bookmarkStart w:id="5" w:name="_Toc173947676"/>
      <w:r w:rsidRPr="00CB5437">
        <w:rPr>
          <w:lang w:val="en-GB"/>
        </w:rPr>
        <w:t>Part b)</w:t>
      </w:r>
      <w:bookmarkEnd w:id="5"/>
      <w:r w:rsidRPr="00CB5437">
        <w:rPr>
          <w:lang w:val="en-GB"/>
        </w:rPr>
        <w:t xml:space="preserve"> </w:t>
      </w:r>
    </w:p>
    <w:p w14:paraId="6869223A" w14:textId="77777777" w:rsidR="006F0ADF" w:rsidRPr="00CB5437" w:rsidRDefault="006F0ADF" w:rsidP="006F0ADF">
      <w:pPr>
        <w:pStyle w:val="Heading2"/>
        <w:rPr>
          <w:lang w:val="en-GB"/>
        </w:rPr>
      </w:pPr>
      <w:bookmarkStart w:id="6" w:name="_Toc173947677"/>
      <w:r w:rsidRPr="00CB5437">
        <w:rPr>
          <w:lang w:val="en-GB"/>
        </w:rPr>
        <w:t>1. Corporation’s liquidity and leverage ratios for the past five years:</w:t>
      </w:r>
      <w:bookmarkEnd w:id="6"/>
      <w:r w:rsidRPr="00CB5437">
        <w:rPr>
          <w:lang w:val="en-GB"/>
        </w:rPr>
        <w:t xml:space="preserve"> </w:t>
      </w:r>
    </w:p>
    <w:p w14:paraId="2452F865" w14:textId="77777777" w:rsidR="006F0ADF" w:rsidRPr="00CB5437" w:rsidRDefault="006F0ADF" w:rsidP="006F0ADF">
      <w:pPr>
        <w:spacing w:before="20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Liquidity ratios:</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2193"/>
        <w:gridCol w:w="1285"/>
        <w:gridCol w:w="1509"/>
        <w:gridCol w:w="1551"/>
        <w:gridCol w:w="1411"/>
        <w:gridCol w:w="1411"/>
      </w:tblGrid>
      <w:tr w:rsidR="006F0ADF" w:rsidRPr="00CB5437" w14:paraId="6444D863" w14:textId="77777777" w:rsidTr="003100C5">
        <w:trPr>
          <w:trHeight w:val="315"/>
        </w:trPr>
        <w:tc>
          <w:tcPr>
            <w:tcW w:w="9356"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1E0FEEB2"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"Current ratio = current asset / current liabilities"</w:t>
            </w:r>
          </w:p>
        </w:tc>
      </w:tr>
      <w:tr w:rsidR="006F0ADF" w:rsidRPr="00CB5437" w14:paraId="73811E20"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02E30DF"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Items</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715ABDC"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2023 (m)</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56EF063"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2022 (m)</w:t>
            </w:r>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C08DB29"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2021 (m)</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ACC7B86"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2020 (m)</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1ABB665"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2019 (m)</w:t>
            </w:r>
          </w:p>
        </w:tc>
      </w:tr>
      <w:tr w:rsidR="006F0ADF" w:rsidRPr="00CB5437" w14:paraId="610CE516"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B6D9EDF"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Current assets</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774A48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$ 1705128</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0D9C9BB"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$ 1245801</w:t>
            </w:r>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E1CE55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1076662</w:t>
            </w:r>
            <w:proofErr w:type="gramEnd"/>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598509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851237</w:t>
            </w:r>
            <w:proofErr w:type="gramEnd"/>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F57A975"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830276</w:t>
            </w:r>
            <w:proofErr w:type="gramEnd"/>
          </w:p>
        </w:tc>
      </w:tr>
      <w:tr w:rsidR="006F0ADF" w:rsidRPr="00CB5437" w14:paraId="701C2A4C"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6BD794C"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Current Liabilities</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DE33F8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622195</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20A40D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601737</w:t>
            </w:r>
            <w:proofErr w:type="gramEnd"/>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E65731C"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834856</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4FDC334"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647060</w:t>
            </w:r>
            <w:proofErr w:type="gramEnd"/>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636670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622195</w:t>
            </w:r>
            <w:proofErr w:type="gramEnd"/>
          </w:p>
        </w:tc>
      </w:tr>
      <w:tr w:rsidR="006F0ADF" w:rsidRPr="00CB5437" w14:paraId="7BF5DFBB"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38F97E1"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Current ratio</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6C2465D"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2.74</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6123D65"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2.07</w:t>
            </w:r>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4CA1CD7"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1.29</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8C13315"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1.32</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6D17157"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1.33</w:t>
            </w:r>
          </w:p>
        </w:tc>
      </w:tr>
      <w:tr w:rsidR="006F0ADF" w:rsidRPr="00CB5437" w14:paraId="4B0EB5D0" w14:textId="77777777" w:rsidTr="003100C5">
        <w:trPr>
          <w:trHeight w:val="285"/>
        </w:trPr>
        <w:tc>
          <w:tcPr>
            <w:tcW w:w="2193" w:type="dxa"/>
            <w:tcBorders>
              <w:top w:val="nil"/>
              <w:left w:val="nil"/>
              <w:bottom w:val="nil"/>
              <w:right w:val="nil"/>
            </w:tcBorders>
            <w:shd w:val="clear" w:color="auto" w:fill="auto"/>
            <w:tcMar>
              <w:top w:w="0" w:type="dxa"/>
              <w:left w:w="100" w:type="dxa"/>
              <w:bottom w:w="0" w:type="dxa"/>
              <w:right w:w="100" w:type="dxa"/>
            </w:tcMar>
            <w:vAlign w:val="bottom"/>
          </w:tcPr>
          <w:p w14:paraId="229513ED"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285" w:type="dxa"/>
            <w:tcBorders>
              <w:top w:val="nil"/>
              <w:left w:val="nil"/>
              <w:bottom w:val="nil"/>
              <w:right w:val="nil"/>
            </w:tcBorders>
            <w:shd w:val="clear" w:color="auto" w:fill="auto"/>
            <w:tcMar>
              <w:top w:w="0" w:type="dxa"/>
              <w:left w:w="100" w:type="dxa"/>
              <w:bottom w:w="0" w:type="dxa"/>
              <w:right w:w="100" w:type="dxa"/>
            </w:tcMar>
            <w:vAlign w:val="bottom"/>
          </w:tcPr>
          <w:p w14:paraId="4C2A42D7"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508" w:type="dxa"/>
            <w:tcBorders>
              <w:top w:val="nil"/>
              <w:left w:val="nil"/>
              <w:bottom w:val="nil"/>
              <w:right w:val="nil"/>
            </w:tcBorders>
            <w:shd w:val="clear" w:color="auto" w:fill="auto"/>
            <w:tcMar>
              <w:top w:w="0" w:type="dxa"/>
              <w:left w:w="100" w:type="dxa"/>
              <w:bottom w:w="0" w:type="dxa"/>
              <w:right w:w="100" w:type="dxa"/>
            </w:tcMar>
            <w:vAlign w:val="bottom"/>
          </w:tcPr>
          <w:p w14:paraId="0C53007C"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550" w:type="dxa"/>
            <w:tcBorders>
              <w:top w:val="nil"/>
              <w:left w:val="nil"/>
              <w:bottom w:val="nil"/>
              <w:right w:val="nil"/>
            </w:tcBorders>
            <w:shd w:val="clear" w:color="auto" w:fill="auto"/>
            <w:tcMar>
              <w:top w:w="0" w:type="dxa"/>
              <w:left w:w="100" w:type="dxa"/>
              <w:bottom w:w="0" w:type="dxa"/>
              <w:right w:w="100" w:type="dxa"/>
            </w:tcMar>
            <w:vAlign w:val="bottom"/>
          </w:tcPr>
          <w:p w14:paraId="6746485F"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10" w:type="dxa"/>
            <w:tcBorders>
              <w:top w:val="nil"/>
              <w:left w:val="nil"/>
              <w:bottom w:val="nil"/>
              <w:right w:val="nil"/>
            </w:tcBorders>
            <w:shd w:val="clear" w:color="auto" w:fill="auto"/>
            <w:tcMar>
              <w:top w:w="0" w:type="dxa"/>
              <w:left w:w="100" w:type="dxa"/>
              <w:bottom w:w="0" w:type="dxa"/>
              <w:right w:w="100" w:type="dxa"/>
            </w:tcMar>
            <w:vAlign w:val="bottom"/>
          </w:tcPr>
          <w:p w14:paraId="0E534E9D"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10" w:type="dxa"/>
            <w:tcBorders>
              <w:top w:val="nil"/>
              <w:left w:val="nil"/>
              <w:bottom w:val="nil"/>
              <w:right w:val="nil"/>
            </w:tcBorders>
            <w:shd w:val="clear" w:color="auto" w:fill="auto"/>
            <w:tcMar>
              <w:top w:w="0" w:type="dxa"/>
              <w:left w:w="100" w:type="dxa"/>
              <w:bottom w:w="0" w:type="dxa"/>
              <w:right w:w="100" w:type="dxa"/>
            </w:tcMar>
            <w:vAlign w:val="bottom"/>
          </w:tcPr>
          <w:p w14:paraId="2CFB984E"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r>
      <w:tr w:rsidR="006F0ADF" w:rsidRPr="00CB5437" w14:paraId="56F6FB3F" w14:textId="77777777" w:rsidTr="003100C5">
        <w:trPr>
          <w:trHeight w:val="315"/>
        </w:trPr>
        <w:tc>
          <w:tcPr>
            <w:tcW w:w="9356"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E61BF5D"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 xml:space="preserve"> "Acid test ratio = current asset - stocks / current liabilities"</w:t>
            </w:r>
          </w:p>
        </w:tc>
      </w:tr>
      <w:tr w:rsidR="006F0ADF" w:rsidRPr="00CB5437" w14:paraId="79A2125A"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C117D05"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Items</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5F6208E"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2023 (m)</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E4BA519"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2022 (m)</w:t>
            </w:r>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709B527"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2021 (m)</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A7789C8"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2020 (m)</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6EDBE15"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2019 (m)</w:t>
            </w:r>
          </w:p>
        </w:tc>
      </w:tr>
      <w:tr w:rsidR="006F0ADF" w:rsidRPr="00CB5437" w14:paraId="4DD7FD3E"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9A70805"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Current assets</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7EB956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$ 1705128</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3D0B990"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$ 1245801</w:t>
            </w:r>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96B951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1076662</w:t>
            </w:r>
            <w:proofErr w:type="gramEnd"/>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F427927"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851237</w:t>
            </w:r>
            <w:proofErr w:type="gramEnd"/>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42EAE0D"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830276</w:t>
            </w:r>
            <w:proofErr w:type="gramEnd"/>
          </w:p>
        </w:tc>
      </w:tr>
      <w:tr w:rsidR="006F0ADF" w:rsidRPr="00CB5437" w14:paraId="795B8C6A"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21B092A"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Inventories</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23B81B4"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321932</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FEB8A2B"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347545</w:t>
            </w:r>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A205ACD"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302851</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64859B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225757</w:t>
            </w:r>
            <w:proofErr w:type="gramEnd"/>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0A79DB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225926</w:t>
            </w:r>
            <w:proofErr w:type="gramEnd"/>
          </w:p>
        </w:tc>
      </w:tr>
      <w:tr w:rsidR="006F0ADF" w:rsidRPr="00CB5437" w14:paraId="6579F1BB"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826AB27"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Difference</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E80DFB2"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$ 1383196</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112720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898256</w:t>
            </w:r>
            <w:proofErr w:type="gramEnd"/>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BAE3404"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773811</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50E4862"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625480</w:t>
            </w:r>
            <w:proofErr w:type="gramEnd"/>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FFBAF1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604350</w:t>
            </w:r>
            <w:proofErr w:type="gramEnd"/>
          </w:p>
        </w:tc>
      </w:tr>
      <w:tr w:rsidR="006F0ADF" w:rsidRPr="00CB5437" w14:paraId="6515E0C2"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123B78FD"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lastRenderedPageBreak/>
              <w:t>(/): Current Liabilities</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E9D4486"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622195</w:t>
            </w:r>
            <w:proofErr w:type="gramEnd"/>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25A8E83"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601737</w:t>
            </w:r>
            <w:proofErr w:type="gramEnd"/>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71A1C85"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834856</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FC4E77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647060</w:t>
            </w:r>
            <w:proofErr w:type="gramEnd"/>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FF1AA0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622195</w:t>
            </w:r>
            <w:proofErr w:type="gramEnd"/>
          </w:p>
        </w:tc>
      </w:tr>
      <w:tr w:rsidR="006F0ADF" w:rsidRPr="00CB5437" w14:paraId="49DF5003"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135C4E1E"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Acid test ratio</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72D8DF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2.22</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9AD32DA"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1.49</w:t>
            </w:r>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484860C"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0.93</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B1764A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0.97</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B7E5DB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0.97</w:t>
            </w:r>
          </w:p>
        </w:tc>
      </w:tr>
      <w:tr w:rsidR="006F0ADF" w:rsidRPr="00CB5437" w14:paraId="28F4CC17" w14:textId="77777777" w:rsidTr="003100C5">
        <w:trPr>
          <w:trHeight w:val="285"/>
        </w:trPr>
        <w:tc>
          <w:tcPr>
            <w:tcW w:w="2193" w:type="dxa"/>
            <w:tcBorders>
              <w:top w:val="nil"/>
              <w:left w:val="nil"/>
              <w:bottom w:val="nil"/>
              <w:right w:val="nil"/>
            </w:tcBorders>
            <w:shd w:val="clear" w:color="auto" w:fill="auto"/>
            <w:tcMar>
              <w:top w:w="0" w:type="dxa"/>
              <w:left w:w="100" w:type="dxa"/>
              <w:bottom w:w="0" w:type="dxa"/>
              <w:right w:w="100" w:type="dxa"/>
            </w:tcMar>
            <w:vAlign w:val="bottom"/>
          </w:tcPr>
          <w:p w14:paraId="170D64F3"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285" w:type="dxa"/>
            <w:tcBorders>
              <w:top w:val="nil"/>
              <w:left w:val="nil"/>
              <w:bottom w:val="nil"/>
              <w:right w:val="nil"/>
            </w:tcBorders>
            <w:shd w:val="clear" w:color="auto" w:fill="auto"/>
            <w:tcMar>
              <w:top w:w="0" w:type="dxa"/>
              <w:left w:w="100" w:type="dxa"/>
              <w:bottom w:w="0" w:type="dxa"/>
              <w:right w:w="100" w:type="dxa"/>
            </w:tcMar>
            <w:vAlign w:val="bottom"/>
          </w:tcPr>
          <w:p w14:paraId="77E67A4B"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508" w:type="dxa"/>
            <w:tcBorders>
              <w:top w:val="nil"/>
              <w:left w:val="nil"/>
              <w:bottom w:val="nil"/>
              <w:right w:val="nil"/>
            </w:tcBorders>
            <w:shd w:val="clear" w:color="auto" w:fill="auto"/>
            <w:tcMar>
              <w:top w:w="0" w:type="dxa"/>
              <w:left w:w="100" w:type="dxa"/>
              <w:bottom w:w="0" w:type="dxa"/>
              <w:right w:w="100" w:type="dxa"/>
            </w:tcMar>
            <w:vAlign w:val="bottom"/>
          </w:tcPr>
          <w:p w14:paraId="5FEE7C0A"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550" w:type="dxa"/>
            <w:tcBorders>
              <w:top w:val="nil"/>
              <w:left w:val="nil"/>
              <w:bottom w:val="nil"/>
              <w:right w:val="nil"/>
            </w:tcBorders>
            <w:shd w:val="clear" w:color="auto" w:fill="auto"/>
            <w:tcMar>
              <w:top w:w="0" w:type="dxa"/>
              <w:left w:w="100" w:type="dxa"/>
              <w:bottom w:w="0" w:type="dxa"/>
              <w:right w:w="100" w:type="dxa"/>
            </w:tcMar>
            <w:vAlign w:val="bottom"/>
          </w:tcPr>
          <w:p w14:paraId="5B1981F1"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10" w:type="dxa"/>
            <w:tcBorders>
              <w:top w:val="nil"/>
              <w:left w:val="nil"/>
              <w:bottom w:val="nil"/>
              <w:right w:val="nil"/>
            </w:tcBorders>
            <w:shd w:val="clear" w:color="auto" w:fill="auto"/>
            <w:tcMar>
              <w:top w:w="0" w:type="dxa"/>
              <w:left w:w="100" w:type="dxa"/>
              <w:bottom w:w="0" w:type="dxa"/>
              <w:right w:w="100" w:type="dxa"/>
            </w:tcMar>
            <w:vAlign w:val="bottom"/>
          </w:tcPr>
          <w:p w14:paraId="7C9AF37B"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10" w:type="dxa"/>
            <w:tcBorders>
              <w:top w:val="nil"/>
              <w:left w:val="nil"/>
              <w:bottom w:val="nil"/>
              <w:right w:val="nil"/>
            </w:tcBorders>
            <w:shd w:val="clear" w:color="auto" w:fill="auto"/>
            <w:tcMar>
              <w:top w:w="0" w:type="dxa"/>
              <w:left w:w="100" w:type="dxa"/>
              <w:bottom w:w="0" w:type="dxa"/>
              <w:right w:w="100" w:type="dxa"/>
            </w:tcMar>
            <w:vAlign w:val="bottom"/>
          </w:tcPr>
          <w:p w14:paraId="5F7BBC54"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r>
      <w:tr w:rsidR="006F0ADF" w:rsidRPr="00CB5437" w14:paraId="71B37C5C" w14:textId="77777777" w:rsidTr="003100C5">
        <w:trPr>
          <w:trHeight w:val="315"/>
        </w:trPr>
        <w:tc>
          <w:tcPr>
            <w:tcW w:w="9356"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2466592"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"Cash ratio = cash / current liabilities"</w:t>
            </w:r>
          </w:p>
        </w:tc>
      </w:tr>
      <w:tr w:rsidR="006F0ADF" w:rsidRPr="00CB5437" w14:paraId="17B796C3"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DB6CBF6"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Items</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8BB5DA1"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2023 (m)</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703CB59"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2022 (m)</w:t>
            </w:r>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79CD15A"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2021 (m)</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6183021"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2020 (m)</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8FB31F0"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2019 (m)</w:t>
            </w:r>
          </w:p>
        </w:tc>
      </w:tr>
      <w:tr w:rsidR="006F0ADF" w:rsidRPr="00CB5437" w14:paraId="2753C771"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91F70C2"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Cash</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635ABFA"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635269</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4136612"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197648</w:t>
            </w:r>
            <w:proofErr w:type="gramEnd"/>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73F889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142314</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B690B8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54793</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7ED57F3"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9614</w:t>
            </w:r>
          </w:p>
        </w:tc>
      </w:tr>
      <w:tr w:rsidR="006F0ADF" w:rsidRPr="00CB5437" w14:paraId="2B52492B"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416FC70"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Current Liabilities</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0DF2BFB"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622195</w:t>
            </w:r>
            <w:proofErr w:type="gramEnd"/>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CA7071C"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601737</w:t>
            </w:r>
            <w:proofErr w:type="gramEnd"/>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EC8AF97"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834856</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404F558"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647060</w:t>
            </w:r>
            <w:proofErr w:type="gramEnd"/>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D45015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622195</w:t>
            </w:r>
            <w:proofErr w:type="gramEnd"/>
          </w:p>
        </w:tc>
      </w:tr>
      <w:tr w:rsidR="006F0ADF" w:rsidRPr="00CB5437" w14:paraId="5CD31E14" w14:textId="77777777" w:rsidTr="003100C5">
        <w:trPr>
          <w:trHeight w:val="315"/>
        </w:trPr>
        <w:tc>
          <w:tcPr>
            <w:tcW w:w="2193"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ECDBE2E"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Cash ratio</w:t>
            </w:r>
          </w:p>
        </w:tc>
        <w:tc>
          <w:tcPr>
            <w:tcW w:w="128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605B019"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1.02</w:t>
            </w:r>
          </w:p>
        </w:tc>
        <w:tc>
          <w:tcPr>
            <w:tcW w:w="1508"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3416A34"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0.33</w:t>
            </w:r>
          </w:p>
        </w:tc>
        <w:tc>
          <w:tcPr>
            <w:tcW w:w="15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F940C6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0.17</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DADB30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0.08</w:t>
            </w:r>
          </w:p>
        </w:tc>
        <w:tc>
          <w:tcPr>
            <w:tcW w:w="141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BB8D513"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0.02</w:t>
            </w:r>
          </w:p>
        </w:tc>
      </w:tr>
    </w:tbl>
    <w:p w14:paraId="2A35DFDA" w14:textId="77777777" w:rsidR="006F0ADF" w:rsidRPr="00CB5437" w:rsidRDefault="006F0ADF" w:rsidP="006F0ADF">
      <w:pPr>
        <w:spacing w:before="200"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 xml:space="preserve">Table 1: Liquidity Ratios of Coca Cola </w:t>
      </w:r>
    </w:p>
    <w:p w14:paraId="6FD967F6" w14:textId="77777777" w:rsidR="006F0ADF" w:rsidRPr="00CB5437" w:rsidRDefault="006F0ADF" w:rsidP="006F0ADF">
      <w:pPr>
        <w:spacing w:before="200"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(Source: Self-Created)</w:t>
      </w:r>
    </w:p>
    <w:p w14:paraId="02764A4C"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b/>
          <w:sz w:val="24"/>
          <w:szCs w:val="24"/>
          <w:lang w:val="en-GB"/>
        </w:rPr>
        <w:t>Leverage ratios:</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2197"/>
        <w:gridCol w:w="1343"/>
        <w:gridCol w:w="1469"/>
        <w:gridCol w:w="1469"/>
        <w:gridCol w:w="1413"/>
        <w:gridCol w:w="1469"/>
      </w:tblGrid>
      <w:tr w:rsidR="006F0ADF" w:rsidRPr="00CB5437" w14:paraId="7F8E94BB" w14:textId="77777777" w:rsidTr="003100C5">
        <w:trPr>
          <w:trHeight w:val="315"/>
        </w:trPr>
        <w:tc>
          <w:tcPr>
            <w:tcW w:w="9359" w:type="dxa"/>
            <w:gridSpan w:val="6"/>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0F0CF7E4"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“Debt ratio = Debt / Assets”</w:t>
            </w:r>
          </w:p>
        </w:tc>
      </w:tr>
      <w:tr w:rsidR="006F0ADF" w:rsidRPr="00CB5437" w14:paraId="2E180DEA"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1BECD5E7"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Items</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7D6BE15"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2023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4470A30"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2022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45EB61F"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2021 (m)</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07D7F34"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2020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985D3B8"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2019 (m)</w:t>
            </w:r>
          </w:p>
        </w:tc>
      </w:tr>
      <w:tr w:rsidR="006F0ADF" w:rsidRPr="00CB5437" w14:paraId="37529C77"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BDA9C34"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Total liabilities</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CA75AB2"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2853344</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B4F3667"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2594157</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8E70228"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$ 2733784</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14A925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$ 2709460</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4DE182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$ 2675810</w:t>
            </w:r>
          </w:p>
        </w:tc>
      </w:tr>
      <w:tr w:rsidR="006F0ADF" w:rsidRPr="00CB5437" w14:paraId="15660C6F"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7494F74"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Total asset</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27A074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4288942</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E753B08"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3709545</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2666364"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$ 3445570</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CFFEA18"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$ 3222450</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0C44A5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$ 3126926</w:t>
            </w:r>
          </w:p>
        </w:tc>
      </w:tr>
      <w:tr w:rsidR="006F0ADF" w:rsidRPr="00CB5437" w14:paraId="3E5A5A2F"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6F7C3B6"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Debt to asset ratio</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A1BD83C"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0.67</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9435BB3"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0.70</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821BD1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0.79</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15F034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0.84</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50C926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0.86</w:t>
            </w:r>
          </w:p>
        </w:tc>
      </w:tr>
      <w:tr w:rsidR="006F0ADF" w:rsidRPr="00CB5437" w14:paraId="09F9DC07" w14:textId="77777777" w:rsidTr="003100C5">
        <w:trPr>
          <w:trHeight w:val="270"/>
        </w:trPr>
        <w:tc>
          <w:tcPr>
            <w:tcW w:w="2196" w:type="dxa"/>
            <w:tcBorders>
              <w:top w:val="nil"/>
              <w:left w:val="nil"/>
              <w:bottom w:val="nil"/>
              <w:right w:val="nil"/>
            </w:tcBorders>
            <w:shd w:val="clear" w:color="auto" w:fill="auto"/>
            <w:tcMar>
              <w:top w:w="0" w:type="dxa"/>
              <w:left w:w="100" w:type="dxa"/>
              <w:bottom w:w="0" w:type="dxa"/>
              <w:right w:w="100" w:type="dxa"/>
            </w:tcMar>
            <w:vAlign w:val="bottom"/>
          </w:tcPr>
          <w:p w14:paraId="2B428259"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343" w:type="dxa"/>
            <w:tcBorders>
              <w:top w:val="nil"/>
              <w:left w:val="nil"/>
              <w:bottom w:val="nil"/>
              <w:right w:val="nil"/>
            </w:tcBorders>
            <w:shd w:val="clear" w:color="auto" w:fill="auto"/>
            <w:tcMar>
              <w:top w:w="0" w:type="dxa"/>
              <w:left w:w="100" w:type="dxa"/>
              <w:bottom w:w="0" w:type="dxa"/>
              <w:right w:w="100" w:type="dxa"/>
            </w:tcMar>
            <w:vAlign w:val="bottom"/>
          </w:tcPr>
          <w:p w14:paraId="318F5438"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69" w:type="dxa"/>
            <w:tcBorders>
              <w:top w:val="nil"/>
              <w:left w:val="nil"/>
              <w:bottom w:val="nil"/>
              <w:right w:val="nil"/>
            </w:tcBorders>
            <w:shd w:val="clear" w:color="auto" w:fill="auto"/>
            <w:tcMar>
              <w:top w:w="0" w:type="dxa"/>
              <w:left w:w="100" w:type="dxa"/>
              <w:bottom w:w="0" w:type="dxa"/>
              <w:right w:w="100" w:type="dxa"/>
            </w:tcMar>
            <w:vAlign w:val="bottom"/>
          </w:tcPr>
          <w:p w14:paraId="629EB18C"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69" w:type="dxa"/>
            <w:tcBorders>
              <w:top w:val="nil"/>
              <w:left w:val="nil"/>
              <w:bottom w:val="nil"/>
              <w:right w:val="nil"/>
            </w:tcBorders>
            <w:shd w:val="clear" w:color="auto" w:fill="auto"/>
            <w:tcMar>
              <w:top w:w="0" w:type="dxa"/>
              <w:left w:w="100" w:type="dxa"/>
              <w:bottom w:w="0" w:type="dxa"/>
              <w:right w:w="100" w:type="dxa"/>
            </w:tcMar>
            <w:vAlign w:val="bottom"/>
          </w:tcPr>
          <w:p w14:paraId="7D0E3374"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13" w:type="dxa"/>
            <w:tcBorders>
              <w:top w:val="nil"/>
              <w:left w:val="nil"/>
              <w:bottom w:val="nil"/>
              <w:right w:val="nil"/>
            </w:tcBorders>
            <w:shd w:val="clear" w:color="auto" w:fill="auto"/>
            <w:tcMar>
              <w:top w:w="0" w:type="dxa"/>
              <w:left w:w="100" w:type="dxa"/>
              <w:bottom w:w="0" w:type="dxa"/>
              <w:right w:w="100" w:type="dxa"/>
            </w:tcMar>
            <w:vAlign w:val="bottom"/>
          </w:tcPr>
          <w:p w14:paraId="24D8E30D"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69" w:type="dxa"/>
            <w:tcBorders>
              <w:top w:val="nil"/>
              <w:left w:val="nil"/>
              <w:bottom w:val="nil"/>
              <w:right w:val="nil"/>
            </w:tcBorders>
            <w:shd w:val="clear" w:color="auto" w:fill="auto"/>
            <w:tcMar>
              <w:top w:w="0" w:type="dxa"/>
              <w:left w:w="100" w:type="dxa"/>
              <w:bottom w:w="0" w:type="dxa"/>
              <w:right w:w="100" w:type="dxa"/>
            </w:tcMar>
            <w:vAlign w:val="bottom"/>
          </w:tcPr>
          <w:p w14:paraId="2F8B3195"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r>
      <w:tr w:rsidR="006F0ADF" w:rsidRPr="00CB5437" w14:paraId="68D2DCBF" w14:textId="77777777" w:rsidTr="003100C5">
        <w:trPr>
          <w:trHeight w:val="315"/>
        </w:trPr>
        <w:tc>
          <w:tcPr>
            <w:tcW w:w="9359"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17AA32D"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“Debt to equity ratio = Debt / Equity”</w:t>
            </w:r>
          </w:p>
        </w:tc>
      </w:tr>
      <w:tr w:rsidR="006F0ADF" w:rsidRPr="00CB5437" w14:paraId="450EC1F2"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C6B7EB3"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Items</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2E887C6"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2023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DAD7C63"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2022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389CA6A"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2021 (m)</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8272670"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2020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0FA800A"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2019 (m)</w:t>
            </w:r>
          </w:p>
        </w:tc>
      </w:tr>
      <w:tr w:rsidR="006F0ADF" w:rsidRPr="00CB5437" w14:paraId="258A418E"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233313C"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Total Debt</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0F4C035"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2853344</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87EA34C"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2594157</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D4B5F9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$ 2733784</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FA01566"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$ 2709460</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B61E48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$ 2675810</w:t>
            </w:r>
          </w:p>
        </w:tc>
      </w:tr>
      <w:tr w:rsidR="006F0ADF" w:rsidRPr="00CB5437" w14:paraId="0DC8FC61"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401A4F3"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Total Equity</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E21D93E"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1435598</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397E6A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1115388</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57796CA"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711786</w:t>
            </w:r>
            <w:proofErr w:type="gramEnd"/>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7E0973A"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512990</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E166FBA"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$ 3126926</w:t>
            </w:r>
          </w:p>
        </w:tc>
      </w:tr>
      <w:tr w:rsidR="006F0ADF" w:rsidRPr="00CB5437" w14:paraId="5348E2D8"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286C57D"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Debt to equity ratio</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7534BB7"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1.99</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18C7656"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2.33</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4A48653"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3.84</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6C20A20"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5.28</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D0B3DA7"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0.86</w:t>
            </w:r>
          </w:p>
        </w:tc>
      </w:tr>
      <w:tr w:rsidR="006F0ADF" w:rsidRPr="00CB5437" w14:paraId="3EB5832F" w14:textId="77777777" w:rsidTr="003100C5">
        <w:trPr>
          <w:trHeight w:val="270"/>
        </w:trPr>
        <w:tc>
          <w:tcPr>
            <w:tcW w:w="2196" w:type="dxa"/>
            <w:tcBorders>
              <w:top w:val="nil"/>
              <w:left w:val="nil"/>
              <w:bottom w:val="nil"/>
              <w:right w:val="nil"/>
            </w:tcBorders>
            <w:shd w:val="clear" w:color="auto" w:fill="auto"/>
            <w:tcMar>
              <w:top w:w="0" w:type="dxa"/>
              <w:left w:w="100" w:type="dxa"/>
              <w:bottom w:w="0" w:type="dxa"/>
              <w:right w:w="100" w:type="dxa"/>
            </w:tcMar>
            <w:vAlign w:val="bottom"/>
          </w:tcPr>
          <w:p w14:paraId="2E3354A2"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343" w:type="dxa"/>
            <w:tcBorders>
              <w:top w:val="nil"/>
              <w:left w:val="nil"/>
              <w:bottom w:val="nil"/>
              <w:right w:val="nil"/>
            </w:tcBorders>
            <w:shd w:val="clear" w:color="auto" w:fill="auto"/>
            <w:tcMar>
              <w:top w:w="0" w:type="dxa"/>
              <w:left w:w="100" w:type="dxa"/>
              <w:bottom w:w="0" w:type="dxa"/>
              <w:right w:w="100" w:type="dxa"/>
            </w:tcMar>
            <w:vAlign w:val="bottom"/>
          </w:tcPr>
          <w:p w14:paraId="02428E5E"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69" w:type="dxa"/>
            <w:tcBorders>
              <w:top w:val="nil"/>
              <w:left w:val="nil"/>
              <w:bottom w:val="nil"/>
              <w:right w:val="nil"/>
            </w:tcBorders>
            <w:shd w:val="clear" w:color="auto" w:fill="auto"/>
            <w:tcMar>
              <w:top w:w="0" w:type="dxa"/>
              <w:left w:w="100" w:type="dxa"/>
              <w:bottom w:w="0" w:type="dxa"/>
              <w:right w:w="100" w:type="dxa"/>
            </w:tcMar>
            <w:vAlign w:val="bottom"/>
          </w:tcPr>
          <w:p w14:paraId="4E5C5283"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69" w:type="dxa"/>
            <w:tcBorders>
              <w:top w:val="nil"/>
              <w:left w:val="nil"/>
              <w:bottom w:val="nil"/>
              <w:right w:val="nil"/>
            </w:tcBorders>
            <w:shd w:val="clear" w:color="auto" w:fill="auto"/>
            <w:tcMar>
              <w:top w:w="0" w:type="dxa"/>
              <w:left w:w="100" w:type="dxa"/>
              <w:bottom w:w="0" w:type="dxa"/>
              <w:right w:w="100" w:type="dxa"/>
            </w:tcMar>
            <w:vAlign w:val="bottom"/>
          </w:tcPr>
          <w:p w14:paraId="46D6456E"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13" w:type="dxa"/>
            <w:tcBorders>
              <w:top w:val="nil"/>
              <w:left w:val="nil"/>
              <w:bottom w:val="nil"/>
              <w:right w:val="nil"/>
            </w:tcBorders>
            <w:shd w:val="clear" w:color="auto" w:fill="auto"/>
            <w:tcMar>
              <w:top w:w="0" w:type="dxa"/>
              <w:left w:w="100" w:type="dxa"/>
              <w:bottom w:w="0" w:type="dxa"/>
              <w:right w:w="100" w:type="dxa"/>
            </w:tcMar>
            <w:vAlign w:val="bottom"/>
          </w:tcPr>
          <w:p w14:paraId="253275A3"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69" w:type="dxa"/>
            <w:tcBorders>
              <w:top w:val="nil"/>
              <w:left w:val="nil"/>
              <w:bottom w:val="nil"/>
              <w:right w:val="nil"/>
            </w:tcBorders>
            <w:shd w:val="clear" w:color="auto" w:fill="auto"/>
            <w:tcMar>
              <w:top w:w="0" w:type="dxa"/>
              <w:left w:w="100" w:type="dxa"/>
              <w:bottom w:w="0" w:type="dxa"/>
              <w:right w:w="100" w:type="dxa"/>
            </w:tcMar>
            <w:vAlign w:val="bottom"/>
          </w:tcPr>
          <w:p w14:paraId="1BD7BE8A"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r>
      <w:tr w:rsidR="006F0ADF" w:rsidRPr="00CB5437" w14:paraId="5E5D4A1F" w14:textId="77777777" w:rsidTr="003100C5">
        <w:trPr>
          <w:trHeight w:val="315"/>
        </w:trPr>
        <w:tc>
          <w:tcPr>
            <w:tcW w:w="9359"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4766DC0"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“Equity ratio = Equity / Asset”</w:t>
            </w:r>
          </w:p>
        </w:tc>
      </w:tr>
      <w:tr w:rsidR="006F0ADF" w:rsidRPr="00CB5437" w14:paraId="72E07ACC"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BF16C44"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Items</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7D340D9"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2023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E6B9DFF"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2022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1991F52"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2021 (m)</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A5364E8"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2020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C52E322"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2019 (m)</w:t>
            </w:r>
          </w:p>
        </w:tc>
      </w:tr>
      <w:tr w:rsidR="006F0ADF" w:rsidRPr="00CB5437" w14:paraId="165F574E"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8D3D015"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Total Equity</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0E285BA"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1435598</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D311113"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1115388</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E69044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711786</w:t>
            </w:r>
            <w:proofErr w:type="gramEnd"/>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DD70EA8"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512990</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E5A399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$ 3126926</w:t>
            </w:r>
          </w:p>
        </w:tc>
      </w:tr>
      <w:tr w:rsidR="006F0ADF" w:rsidRPr="00CB5437" w14:paraId="6F164B71"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2A506E7"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Total Asset</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006B544"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4288942</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C64DA6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3709545</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41A8BA3"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$ 3445570</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96BC23C"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$ 3222450</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6073F5A"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$ 3126926</w:t>
            </w:r>
          </w:p>
        </w:tc>
      </w:tr>
      <w:tr w:rsidR="006F0ADF" w:rsidRPr="00CB5437" w14:paraId="640CE02C"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5590F88"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Equity ratio</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4B5BA63"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0.33</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ABC239C"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0.30</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EAEE1A1"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0.21</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6129BAF"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0.16</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2EB32E9"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1</w:t>
            </w:r>
          </w:p>
        </w:tc>
      </w:tr>
      <w:tr w:rsidR="006F0ADF" w:rsidRPr="00CB5437" w14:paraId="25E5FD44" w14:textId="77777777" w:rsidTr="003100C5">
        <w:trPr>
          <w:trHeight w:val="270"/>
        </w:trPr>
        <w:tc>
          <w:tcPr>
            <w:tcW w:w="2196" w:type="dxa"/>
            <w:tcBorders>
              <w:top w:val="nil"/>
              <w:left w:val="nil"/>
              <w:bottom w:val="nil"/>
              <w:right w:val="nil"/>
            </w:tcBorders>
            <w:shd w:val="clear" w:color="auto" w:fill="auto"/>
            <w:tcMar>
              <w:top w:w="0" w:type="dxa"/>
              <w:left w:w="100" w:type="dxa"/>
              <w:bottom w:w="0" w:type="dxa"/>
              <w:right w:w="100" w:type="dxa"/>
            </w:tcMar>
            <w:vAlign w:val="bottom"/>
          </w:tcPr>
          <w:p w14:paraId="5D00D56B"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343" w:type="dxa"/>
            <w:tcBorders>
              <w:top w:val="nil"/>
              <w:left w:val="nil"/>
              <w:bottom w:val="nil"/>
              <w:right w:val="nil"/>
            </w:tcBorders>
            <w:shd w:val="clear" w:color="auto" w:fill="auto"/>
            <w:tcMar>
              <w:top w:w="0" w:type="dxa"/>
              <w:left w:w="100" w:type="dxa"/>
              <w:bottom w:w="0" w:type="dxa"/>
              <w:right w:w="100" w:type="dxa"/>
            </w:tcMar>
            <w:vAlign w:val="bottom"/>
          </w:tcPr>
          <w:p w14:paraId="0408571F"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69" w:type="dxa"/>
            <w:tcBorders>
              <w:top w:val="nil"/>
              <w:left w:val="nil"/>
              <w:bottom w:val="nil"/>
              <w:right w:val="nil"/>
            </w:tcBorders>
            <w:shd w:val="clear" w:color="auto" w:fill="auto"/>
            <w:tcMar>
              <w:top w:w="0" w:type="dxa"/>
              <w:left w:w="100" w:type="dxa"/>
              <w:bottom w:w="0" w:type="dxa"/>
              <w:right w:w="100" w:type="dxa"/>
            </w:tcMar>
            <w:vAlign w:val="bottom"/>
          </w:tcPr>
          <w:p w14:paraId="4F02ED4B"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69" w:type="dxa"/>
            <w:tcBorders>
              <w:top w:val="nil"/>
              <w:left w:val="nil"/>
              <w:bottom w:val="nil"/>
              <w:right w:val="nil"/>
            </w:tcBorders>
            <w:shd w:val="clear" w:color="auto" w:fill="auto"/>
            <w:tcMar>
              <w:top w:w="0" w:type="dxa"/>
              <w:left w:w="100" w:type="dxa"/>
              <w:bottom w:w="0" w:type="dxa"/>
              <w:right w:w="100" w:type="dxa"/>
            </w:tcMar>
            <w:vAlign w:val="bottom"/>
          </w:tcPr>
          <w:p w14:paraId="3E563674"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13" w:type="dxa"/>
            <w:tcBorders>
              <w:top w:val="nil"/>
              <w:left w:val="nil"/>
              <w:bottom w:val="nil"/>
              <w:right w:val="nil"/>
            </w:tcBorders>
            <w:shd w:val="clear" w:color="auto" w:fill="auto"/>
            <w:tcMar>
              <w:top w:w="0" w:type="dxa"/>
              <w:left w:w="100" w:type="dxa"/>
              <w:bottom w:w="0" w:type="dxa"/>
              <w:right w:w="100" w:type="dxa"/>
            </w:tcMar>
            <w:vAlign w:val="bottom"/>
          </w:tcPr>
          <w:p w14:paraId="0C73E2AD"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1469" w:type="dxa"/>
            <w:tcBorders>
              <w:top w:val="nil"/>
              <w:left w:val="nil"/>
              <w:bottom w:val="nil"/>
              <w:right w:val="nil"/>
            </w:tcBorders>
            <w:shd w:val="clear" w:color="auto" w:fill="auto"/>
            <w:tcMar>
              <w:top w:w="0" w:type="dxa"/>
              <w:left w:w="100" w:type="dxa"/>
              <w:bottom w:w="0" w:type="dxa"/>
              <w:right w:w="100" w:type="dxa"/>
            </w:tcMar>
            <w:vAlign w:val="bottom"/>
          </w:tcPr>
          <w:p w14:paraId="54CBB4DA"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r>
      <w:tr w:rsidR="006F0ADF" w:rsidRPr="00CB5437" w14:paraId="2D5ED86C" w14:textId="77777777" w:rsidTr="003100C5">
        <w:trPr>
          <w:trHeight w:val="315"/>
        </w:trPr>
        <w:tc>
          <w:tcPr>
            <w:tcW w:w="9359"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331ED07"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“Interest Coverage Ratio = EBIT / Interest Payable”</w:t>
            </w:r>
          </w:p>
        </w:tc>
      </w:tr>
      <w:tr w:rsidR="006F0ADF" w:rsidRPr="00CB5437" w14:paraId="21583AA8"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AA16787"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Items</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D0D6AAE"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2023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6C2575F"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2022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89EC042"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2021 (m)</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D42A1A1"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2020 (m)</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03F8EDC" w14:textId="77777777" w:rsidR="006F0ADF" w:rsidRPr="00CB5437" w:rsidRDefault="006F0ADF" w:rsidP="003100C5">
            <w:pPr>
              <w:spacing w:line="360" w:lineRule="auto"/>
              <w:jc w:val="center"/>
              <w:rPr>
                <w:rFonts w:ascii="Times New Roman" w:eastAsia="Times New Roman" w:hAnsi="Times New Roman" w:cs="Times New Roman"/>
                <w:b/>
                <w:sz w:val="20"/>
                <w:szCs w:val="20"/>
                <w:lang w:val="en-GB"/>
              </w:rPr>
            </w:pPr>
            <w:r w:rsidRPr="00CB5437">
              <w:rPr>
                <w:rFonts w:ascii="Times New Roman" w:eastAsia="Times New Roman" w:hAnsi="Times New Roman" w:cs="Times New Roman"/>
                <w:b/>
                <w:sz w:val="20"/>
                <w:szCs w:val="20"/>
                <w:lang w:val="en-GB"/>
              </w:rPr>
              <w:t>2019 (m)</w:t>
            </w:r>
          </w:p>
        </w:tc>
      </w:tr>
      <w:tr w:rsidR="006F0ADF" w:rsidRPr="00CB5437" w14:paraId="32D1D19F"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0CF035E"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EBIT</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0C10830"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$ 834451</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863E782"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641047</w:t>
            </w:r>
            <w:proofErr w:type="gramEnd"/>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BB570C5"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w:t>
            </w:r>
            <w:proofErr w:type="gramStart"/>
            <w:r w:rsidRPr="00CB5437">
              <w:rPr>
                <w:rFonts w:ascii="Times New Roman" w:eastAsia="Times New Roman" w:hAnsi="Times New Roman" w:cs="Times New Roman"/>
                <w:sz w:val="20"/>
                <w:szCs w:val="20"/>
                <w:lang w:val="en-GB"/>
              </w:rPr>
              <w:t>$  439171</w:t>
            </w:r>
            <w:proofErr w:type="gramEnd"/>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AB409DC"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313378</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7EB2407"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180754</w:t>
            </w:r>
          </w:p>
        </w:tc>
      </w:tr>
      <w:tr w:rsidR="006F0ADF" w:rsidRPr="00CB5437" w14:paraId="331E7F47"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66399A1"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lastRenderedPageBreak/>
              <w:t>(/): Interest Payable</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609794D"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918</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47F4135"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24792</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0F57DF9"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33449</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4EE8CA0"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36735</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E95C7CA"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 xml:space="preserve"> $       45990</w:t>
            </w:r>
          </w:p>
        </w:tc>
      </w:tr>
      <w:tr w:rsidR="006F0ADF" w:rsidRPr="00CB5437" w14:paraId="0FEB4A7A" w14:textId="77777777" w:rsidTr="003100C5">
        <w:trPr>
          <w:trHeight w:val="315"/>
        </w:trPr>
        <w:tc>
          <w:tcPr>
            <w:tcW w:w="2196"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4059A0A" w14:textId="77777777" w:rsidR="006F0ADF" w:rsidRPr="00CB5437" w:rsidRDefault="006F0ADF" w:rsidP="003100C5">
            <w:pPr>
              <w:spacing w:line="360" w:lineRule="auto"/>
              <w:jc w:val="both"/>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Interest Coverage Ratio</w:t>
            </w:r>
          </w:p>
        </w:tc>
        <w:tc>
          <w:tcPr>
            <w:tcW w:w="134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5F343E7"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908.99</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080DFB0"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25.86</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B125CEC"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13.13</w:t>
            </w:r>
          </w:p>
        </w:tc>
        <w:tc>
          <w:tcPr>
            <w:tcW w:w="1413"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A83987C"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8.53</w:t>
            </w:r>
          </w:p>
        </w:tc>
        <w:tc>
          <w:tcPr>
            <w:tcW w:w="1469"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57DA338" w14:textId="77777777" w:rsidR="006F0ADF" w:rsidRPr="00CB5437" w:rsidRDefault="006F0ADF" w:rsidP="003100C5">
            <w:pPr>
              <w:spacing w:line="360" w:lineRule="auto"/>
              <w:jc w:val="right"/>
              <w:rPr>
                <w:rFonts w:ascii="Times New Roman" w:eastAsia="Times New Roman" w:hAnsi="Times New Roman" w:cs="Times New Roman"/>
                <w:sz w:val="20"/>
                <w:szCs w:val="20"/>
                <w:lang w:val="en-GB"/>
              </w:rPr>
            </w:pPr>
            <w:r w:rsidRPr="00CB5437">
              <w:rPr>
                <w:rFonts w:ascii="Times New Roman" w:eastAsia="Times New Roman" w:hAnsi="Times New Roman" w:cs="Times New Roman"/>
                <w:sz w:val="20"/>
                <w:szCs w:val="20"/>
                <w:lang w:val="en-GB"/>
              </w:rPr>
              <w:t>3.93</w:t>
            </w:r>
          </w:p>
        </w:tc>
      </w:tr>
    </w:tbl>
    <w:p w14:paraId="5094E776" w14:textId="77777777" w:rsidR="006F0ADF" w:rsidRPr="00CB5437" w:rsidRDefault="006F0ADF" w:rsidP="006F0ADF">
      <w:pPr>
        <w:spacing w:before="200"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 xml:space="preserve">Table 2: Leverage Ratios of Coca Cola </w:t>
      </w:r>
    </w:p>
    <w:p w14:paraId="7B807C18" w14:textId="77777777" w:rsidR="006F0ADF" w:rsidRPr="00CB5437" w:rsidRDefault="006F0ADF" w:rsidP="006F0ADF">
      <w:pPr>
        <w:spacing w:before="200"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sz w:val="24"/>
          <w:szCs w:val="24"/>
          <w:lang w:val="en-GB"/>
        </w:rPr>
        <w:t>(Source: Self-Created)</w:t>
      </w:r>
    </w:p>
    <w:p w14:paraId="0B25A9F2" w14:textId="77777777" w:rsidR="006F0ADF" w:rsidRPr="00CB5437" w:rsidRDefault="006F0ADF" w:rsidP="006F0ADF">
      <w:pPr>
        <w:pStyle w:val="Heading2"/>
        <w:rPr>
          <w:lang w:val="en-GB"/>
        </w:rPr>
      </w:pPr>
      <w:bookmarkStart w:id="7" w:name="_Toc173947678"/>
      <w:r w:rsidRPr="00CB5437">
        <w:rPr>
          <w:lang w:val="en-GB"/>
        </w:rPr>
        <w:t>2. Critical analysis of the corporation’s financial performance:</w:t>
      </w:r>
      <w:bookmarkEnd w:id="7"/>
      <w:r w:rsidRPr="00CB5437">
        <w:rPr>
          <w:lang w:val="en-GB"/>
        </w:rPr>
        <w:t xml:space="preserve"> </w:t>
      </w:r>
    </w:p>
    <w:p w14:paraId="3EF55AE4" w14:textId="77777777" w:rsidR="006F0ADF" w:rsidRPr="00CB5437" w:rsidRDefault="006F0ADF" w:rsidP="006F0ADF">
      <w:pPr>
        <w:spacing w:before="200"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Current ratio:</w:t>
      </w:r>
    </w:p>
    <w:p w14:paraId="65ACBC96"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Current ratio of Coca Cola was 2.74 in 2023, 2.07 in 2022, 1.29 in 2021, 1.32 in 2020 &amp; 1.33 in 2019. The ratio is increasing because of rising current assets with decreasing current liabilities. Current assets are greater than current liabilities more than twice which would lead to a higher working capital within the business (Coca Cola, 2023). This shows that the company can repay all its dues but it keeps a huge amount of funds idle within the business instead of strategically investing them to earn returns.</w:t>
      </w:r>
    </w:p>
    <w:p w14:paraId="2ECBA594" w14:textId="77777777" w:rsidR="006F0ADF" w:rsidRPr="00CB5437" w:rsidRDefault="006F0ADF" w:rsidP="006F0ADF">
      <w:pPr>
        <w:spacing w:before="200"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Quick ratio:</w:t>
      </w:r>
    </w:p>
    <w:p w14:paraId="559BE57F"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Quick ratio of Coca Cola was 2.22 in 2023, 1.49 in 2022, 0.93 in 2021, 0.97 in 2020 &amp; 0.97 in 2019. The ratio is increasing because of rising current assets excluding inventories with decreasing current liabilities. Even if inventories are removed from current assets, the company will be left with higher liquid assets that can be used in repaying dues of the business (Coca Cola, 2022). This keeps the investors satisfied because they are getting their dues on time. </w:t>
      </w:r>
    </w:p>
    <w:p w14:paraId="58C024F5" w14:textId="77777777" w:rsidR="006F0ADF" w:rsidRPr="00CB5437" w:rsidRDefault="006F0ADF" w:rsidP="006F0ADF">
      <w:pPr>
        <w:spacing w:before="200"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Cash ratio:</w:t>
      </w:r>
    </w:p>
    <w:p w14:paraId="5E56B374"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Cash ratio of Coca Cola was 1.02 in 2023, 0.33 in 2022, 0.17 in 2021, 0.08 in 2020 &amp; 0.02 in 2019. The ratio is increasing because of rising cash with decreasing current liabilities. Liquidity performance of the company shows a significant improvement in 2023. The company can repay all its dues using cash and cash equivalent which makes the business highly liquid (Coca Cola, 2021). However, strategic investment of the company is very less which can be identified from the high cash ratio. Such a huge idle cash within the business is not good as it reduces the possibility of generating returns.</w:t>
      </w:r>
    </w:p>
    <w:p w14:paraId="3F2F4AEC" w14:textId="77777777" w:rsidR="006F0ADF" w:rsidRPr="00CB5437" w:rsidRDefault="006F0ADF" w:rsidP="006F0ADF">
      <w:pPr>
        <w:spacing w:before="200"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Debt ratio:</w:t>
      </w:r>
    </w:p>
    <w:p w14:paraId="145A1B26"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lastRenderedPageBreak/>
        <w:t>Debt ratio of Coca Cola was 0.67 in 2023, 0.7 in 2022, 0.79 in 2021, 0.84 in 2020 &amp; 0.86 in 2019. The ratio is decreasing because of rising debt capital being lower than increasing equity capital. The ratio indicates that the company acquires a larger share of its assets through creditors or debt capital which is not good. Such a huge debt within the business increases risk because interest rates can increase in the future.</w:t>
      </w:r>
    </w:p>
    <w:p w14:paraId="5FD04B5B" w14:textId="77777777" w:rsidR="006F0ADF" w:rsidRPr="00CB5437" w:rsidRDefault="006F0ADF" w:rsidP="006F0ADF">
      <w:pPr>
        <w:spacing w:before="200"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Equity ratio:</w:t>
      </w:r>
    </w:p>
    <w:p w14:paraId="54E7D7FF"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Equity ratio is used in determining the extent to which assets have been acquired through equity capital (lecture materials). Equity ratio of Coca Cola was 0.33 in 2023, 0.30 in 2022, 0.21 in 2021, 0.16 in 2020 &amp; 1 in 2019. The ratio indicates that the company acquires a smaller share of its assets through equity capital or shareholders which is not good (Coca Cola, 2020). Lower debt within the capital structure reduces cost of capital which is good for Coca Cola. </w:t>
      </w:r>
    </w:p>
    <w:p w14:paraId="5D5627BA" w14:textId="77777777" w:rsidR="006F0ADF" w:rsidRPr="00CB5437" w:rsidRDefault="006F0ADF" w:rsidP="006F0ADF">
      <w:pPr>
        <w:spacing w:before="200"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D/E ratio:</w:t>
      </w:r>
    </w:p>
    <w:p w14:paraId="4D3EFF75"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D/E ratio of Coca Cola was 1.99 in 2023, 2.33 in 2022, 3.84 in 2021, 5.28 in 2020 &amp; 0.86 in 2019. The ratio is decreasing because of rising debt and equity capital. The ratio is decreasing which shows that the company is collecting more equity capital to replace debt capital. In this way, gearing of the business is high which increases risk of rising interest rate (Coca Cola, 2019). However, the company enjoys tax benefits because interest expenses are tax deductible. Not only this, the cost of capital of the company is low. The current capital structure of the business is not desirable or optimal because of the presence of higher debt capital.</w:t>
      </w:r>
    </w:p>
    <w:p w14:paraId="04DB1322" w14:textId="77777777" w:rsidR="006F0ADF" w:rsidRPr="00CB5437" w:rsidRDefault="006F0ADF" w:rsidP="006F0ADF">
      <w:pPr>
        <w:spacing w:before="200"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Interest coverage:</w:t>
      </w:r>
    </w:p>
    <w:p w14:paraId="6379BAD8"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Interest coverage ratio of Coca Cola was 908.99 in 2023, 25.86 in 2022, 13.13 in 2021, 8.53 in 2020 &amp; 3.93 in 2019. The ratio is increasing because of rising EBIT and interest payable. Because of rising operating income, the company is able to pay interest expenses more times. This shows that the company is able to </w:t>
      </w:r>
      <w:proofErr w:type="spellStart"/>
      <w:r w:rsidRPr="00CB5437">
        <w:rPr>
          <w:rFonts w:ascii="Times New Roman" w:eastAsia="Times New Roman" w:hAnsi="Times New Roman" w:cs="Times New Roman"/>
          <w:sz w:val="24"/>
          <w:szCs w:val="24"/>
          <w:lang w:val="en-GB"/>
        </w:rPr>
        <w:t>fulfill</w:t>
      </w:r>
      <w:proofErr w:type="spellEnd"/>
      <w:r w:rsidRPr="00CB5437">
        <w:rPr>
          <w:rFonts w:ascii="Times New Roman" w:eastAsia="Times New Roman" w:hAnsi="Times New Roman" w:cs="Times New Roman"/>
          <w:sz w:val="24"/>
          <w:szCs w:val="24"/>
          <w:lang w:val="en-GB"/>
        </w:rPr>
        <w:t xml:space="preserve"> its obligations on time which ensures long-term sustainability of the business. Therefore, the leverage performance of the company is mediocre with high risk.</w:t>
      </w:r>
    </w:p>
    <w:p w14:paraId="5001D2D9" w14:textId="77777777" w:rsidR="006F0ADF" w:rsidRPr="00CB5437" w:rsidRDefault="006F0ADF" w:rsidP="006F0ADF">
      <w:pPr>
        <w:pStyle w:val="Heading2"/>
        <w:rPr>
          <w:lang w:val="en-GB"/>
        </w:rPr>
      </w:pPr>
      <w:bookmarkStart w:id="8" w:name="_Toc173947679"/>
      <w:r w:rsidRPr="00CB5437">
        <w:rPr>
          <w:lang w:val="en-GB"/>
        </w:rPr>
        <w:t>3. Comparison of financial ratios with major competitor and comment:</w:t>
      </w:r>
      <w:bookmarkEnd w:id="8"/>
      <w:r w:rsidRPr="00CB5437">
        <w:rPr>
          <w:lang w:val="en-GB"/>
        </w:rPr>
        <w:t xml:space="preserve"> </w:t>
      </w:r>
    </w:p>
    <w:p w14:paraId="7102BBA0" w14:textId="77777777" w:rsidR="006F0ADF" w:rsidRPr="00CB5437" w:rsidRDefault="006F0ADF" w:rsidP="006F0ADF">
      <w:pPr>
        <w:spacing w:before="20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Liquidity ratios:</w:t>
      </w:r>
    </w:p>
    <w:tbl>
      <w:tblPr>
        <w:tblW w:w="7215" w:type="dxa"/>
        <w:jc w:val="center"/>
        <w:tblBorders>
          <w:top w:val="nil"/>
          <w:left w:val="nil"/>
          <w:bottom w:val="nil"/>
          <w:right w:val="nil"/>
          <w:insideH w:val="nil"/>
          <w:insideV w:val="nil"/>
        </w:tblBorders>
        <w:tblLayout w:type="fixed"/>
        <w:tblLook w:val="0600" w:firstRow="0" w:lastRow="0" w:firstColumn="0" w:lastColumn="0" w:noHBand="1" w:noVBand="1"/>
      </w:tblPr>
      <w:tblGrid>
        <w:gridCol w:w="2775"/>
        <w:gridCol w:w="2250"/>
        <w:gridCol w:w="2190"/>
      </w:tblGrid>
      <w:tr w:rsidR="006F0ADF" w:rsidRPr="00CB5437" w14:paraId="375C9E56" w14:textId="77777777" w:rsidTr="003100C5">
        <w:trPr>
          <w:trHeight w:val="375"/>
          <w:jc w:val="center"/>
        </w:trPr>
        <w:tc>
          <w:tcPr>
            <w:tcW w:w="7215" w:type="dxa"/>
            <w:gridSpan w:val="3"/>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10E4DF71"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lastRenderedPageBreak/>
              <w:t>"Current ratio"</w:t>
            </w:r>
          </w:p>
        </w:tc>
      </w:tr>
      <w:tr w:rsidR="006F0ADF" w:rsidRPr="00CB5437" w14:paraId="39A2DF6F"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7330A21"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Items</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C18795D"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Coca Cola</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1F4DBD8"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PepsiCo</w:t>
            </w:r>
          </w:p>
        </w:tc>
      </w:tr>
      <w:tr w:rsidR="006F0ADF" w:rsidRPr="00CB5437" w14:paraId="7C18B402"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86289BB"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Current assets</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74A8DB2"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1705128</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22AB96F"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26950</w:t>
            </w:r>
          </w:p>
        </w:tc>
      </w:tr>
      <w:tr w:rsidR="006F0ADF" w:rsidRPr="00CB5437" w14:paraId="05E4D003"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ABEA504"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Current Liabilities</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ECD60B2"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622195</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8036921"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31647</w:t>
            </w:r>
          </w:p>
        </w:tc>
      </w:tr>
      <w:tr w:rsidR="006F0ADF" w:rsidRPr="00CB5437" w14:paraId="1A71BC29"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60CBF55"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Current ratio</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214FB38"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2.74</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9F656EF"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0.85</w:t>
            </w:r>
          </w:p>
        </w:tc>
      </w:tr>
      <w:tr w:rsidR="006F0ADF" w:rsidRPr="00CB5437" w14:paraId="04FBEE4F" w14:textId="77777777" w:rsidTr="003100C5">
        <w:trPr>
          <w:trHeight w:val="315"/>
          <w:jc w:val="center"/>
        </w:trPr>
        <w:tc>
          <w:tcPr>
            <w:tcW w:w="2775" w:type="dxa"/>
            <w:tcBorders>
              <w:top w:val="nil"/>
              <w:left w:val="nil"/>
              <w:bottom w:val="nil"/>
              <w:right w:val="nil"/>
            </w:tcBorders>
            <w:shd w:val="clear" w:color="auto" w:fill="auto"/>
            <w:tcMar>
              <w:top w:w="0" w:type="dxa"/>
              <w:left w:w="100" w:type="dxa"/>
              <w:bottom w:w="0" w:type="dxa"/>
              <w:right w:w="100" w:type="dxa"/>
            </w:tcMar>
            <w:vAlign w:val="bottom"/>
          </w:tcPr>
          <w:p w14:paraId="184C2041"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2250" w:type="dxa"/>
            <w:tcBorders>
              <w:top w:val="nil"/>
              <w:left w:val="nil"/>
              <w:bottom w:val="nil"/>
              <w:right w:val="nil"/>
            </w:tcBorders>
            <w:shd w:val="clear" w:color="auto" w:fill="auto"/>
            <w:tcMar>
              <w:top w:w="0" w:type="dxa"/>
              <w:left w:w="100" w:type="dxa"/>
              <w:bottom w:w="0" w:type="dxa"/>
              <w:right w:w="100" w:type="dxa"/>
            </w:tcMar>
            <w:vAlign w:val="bottom"/>
          </w:tcPr>
          <w:p w14:paraId="3B7E094C"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2190" w:type="dxa"/>
            <w:tcBorders>
              <w:top w:val="nil"/>
              <w:left w:val="nil"/>
              <w:bottom w:val="nil"/>
              <w:right w:val="nil"/>
            </w:tcBorders>
            <w:shd w:val="clear" w:color="auto" w:fill="auto"/>
            <w:tcMar>
              <w:top w:w="0" w:type="dxa"/>
              <w:left w:w="100" w:type="dxa"/>
              <w:bottom w:w="0" w:type="dxa"/>
              <w:right w:w="100" w:type="dxa"/>
            </w:tcMar>
            <w:vAlign w:val="bottom"/>
          </w:tcPr>
          <w:p w14:paraId="6D377E7A"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r>
      <w:tr w:rsidR="006F0ADF" w:rsidRPr="00CB5437" w14:paraId="102BE4F9" w14:textId="77777777" w:rsidTr="003100C5">
        <w:trPr>
          <w:trHeight w:val="375"/>
          <w:jc w:val="center"/>
        </w:trPr>
        <w:tc>
          <w:tcPr>
            <w:tcW w:w="721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FF1F409"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 xml:space="preserve"> "Acid test ratio"</w:t>
            </w:r>
          </w:p>
        </w:tc>
      </w:tr>
      <w:tr w:rsidR="006F0ADF" w:rsidRPr="00CB5437" w14:paraId="536C9390"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EFBE6EA"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Items</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0D6A3A2"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Coca Cola</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55044CF"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PepsiCo</w:t>
            </w:r>
          </w:p>
        </w:tc>
      </w:tr>
      <w:tr w:rsidR="006F0ADF" w:rsidRPr="00CB5437" w14:paraId="6FC74371"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765D767"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Current assets</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90546F5"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1705128</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A801C38"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26950</w:t>
            </w:r>
          </w:p>
        </w:tc>
      </w:tr>
      <w:tr w:rsidR="006F0ADF" w:rsidRPr="00CB5437" w14:paraId="6EAE6030"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A73419B"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Inventories</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2A8C561"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321932</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FA8ED8F"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5334</w:t>
            </w:r>
          </w:p>
        </w:tc>
      </w:tr>
      <w:tr w:rsidR="006F0ADF" w:rsidRPr="00CB5437" w14:paraId="3B68B271"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2ACF817"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Difference</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0B65E80"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1383196</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F542DAA"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21616</w:t>
            </w:r>
          </w:p>
        </w:tc>
      </w:tr>
      <w:tr w:rsidR="006F0ADF" w:rsidRPr="00CB5437" w14:paraId="7ADC6563"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A92712B"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Current Liabilities</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F0C497A"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622195</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56B9268"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31647</w:t>
            </w:r>
          </w:p>
        </w:tc>
      </w:tr>
      <w:tr w:rsidR="006F0ADF" w:rsidRPr="00CB5437" w14:paraId="11024CC0"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42A7D59"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Acid test ratio</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D17BF3D"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2.22</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3103D09"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0.68</w:t>
            </w:r>
          </w:p>
        </w:tc>
      </w:tr>
      <w:tr w:rsidR="006F0ADF" w:rsidRPr="00CB5437" w14:paraId="59044EE9" w14:textId="77777777" w:rsidTr="003100C5">
        <w:trPr>
          <w:trHeight w:val="315"/>
          <w:jc w:val="center"/>
        </w:trPr>
        <w:tc>
          <w:tcPr>
            <w:tcW w:w="2775" w:type="dxa"/>
            <w:tcBorders>
              <w:top w:val="nil"/>
              <w:left w:val="nil"/>
              <w:bottom w:val="nil"/>
              <w:right w:val="nil"/>
            </w:tcBorders>
            <w:shd w:val="clear" w:color="auto" w:fill="auto"/>
            <w:tcMar>
              <w:top w:w="0" w:type="dxa"/>
              <w:left w:w="100" w:type="dxa"/>
              <w:bottom w:w="0" w:type="dxa"/>
              <w:right w:w="100" w:type="dxa"/>
            </w:tcMar>
            <w:vAlign w:val="bottom"/>
          </w:tcPr>
          <w:p w14:paraId="20472A5C"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2250" w:type="dxa"/>
            <w:tcBorders>
              <w:top w:val="nil"/>
              <w:left w:val="nil"/>
              <w:bottom w:val="nil"/>
              <w:right w:val="nil"/>
            </w:tcBorders>
            <w:shd w:val="clear" w:color="auto" w:fill="auto"/>
            <w:tcMar>
              <w:top w:w="0" w:type="dxa"/>
              <w:left w:w="100" w:type="dxa"/>
              <w:bottom w:w="0" w:type="dxa"/>
              <w:right w:w="100" w:type="dxa"/>
            </w:tcMar>
            <w:vAlign w:val="bottom"/>
          </w:tcPr>
          <w:p w14:paraId="6530BF45"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2190" w:type="dxa"/>
            <w:tcBorders>
              <w:top w:val="nil"/>
              <w:left w:val="nil"/>
              <w:bottom w:val="nil"/>
              <w:right w:val="nil"/>
            </w:tcBorders>
            <w:shd w:val="clear" w:color="auto" w:fill="auto"/>
            <w:tcMar>
              <w:top w:w="0" w:type="dxa"/>
              <w:left w:w="100" w:type="dxa"/>
              <w:bottom w:w="0" w:type="dxa"/>
              <w:right w:w="100" w:type="dxa"/>
            </w:tcMar>
            <w:vAlign w:val="bottom"/>
          </w:tcPr>
          <w:p w14:paraId="1A26AE95"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r>
      <w:tr w:rsidR="006F0ADF" w:rsidRPr="00CB5437" w14:paraId="5AD2E751" w14:textId="77777777" w:rsidTr="003100C5">
        <w:trPr>
          <w:trHeight w:val="375"/>
          <w:jc w:val="center"/>
        </w:trPr>
        <w:tc>
          <w:tcPr>
            <w:tcW w:w="721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1554371C"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"Cash ratio"</w:t>
            </w:r>
          </w:p>
        </w:tc>
      </w:tr>
      <w:tr w:rsidR="006F0ADF" w:rsidRPr="00CB5437" w14:paraId="648B600F"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800E677"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Items</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5964D7C"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Coca Cola</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22730E3"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PepsiCo</w:t>
            </w:r>
          </w:p>
        </w:tc>
      </w:tr>
      <w:tr w:rsidR="006F0ADF" w:rsidRPr="00CB5437" w14:paraId="263800D5"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1F1195B"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Cash</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966A634"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635269</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202F32D"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9711</w:t>
            </w:r>
          </w:p>
        </w:tc>
      </w:tr>
      <w:tr w:rsidR="006F0ADF" w:rsidRPr="00CB5437" w14:paraId="6CD791A3"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D84AC0B"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Current Liabilities</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75C8F277"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622195</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90AC295"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31647</w:t>
            </w:r>
          </w:p>
        </w:tc>
      </w:tr>
      <w:tr w:rsidR="006F0ADF" w:rsidRPr="00CB5437" w14:paraId="44BE8435" w14:textId="77777777" w:rsidTr="003100C5">
        <w:trPr>
          <w:trHeight w:val="375"/>
          <w:jc w:val="center"/>
        </w:trPr>
        <w:tc>
          <w:tcPr>
            <w:tcW w:w="2775"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4FB0D4F"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Cash ratio</w:t>
            </w:r>
          </w:p>
        </w:tc>
        <w:tc>
          <w:tcPr>
            <w:tcW w:w="225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E3A432D"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1.02</w:t>
            </w:r>
          </w:p>
        </w:tc>
        <w:tc>
          <w:tcPr>
            <w:tcW w:w="2190"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C2FE705"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0.31</w:t>
            </w:r>
          </w:p>
        </w:tc>
      </w:tr>
    </w:tbl>
    <w:p w14:paraId="5BE2B37A" w14:textId="77777777" w:rsidR="006F0ADF" w:rsidRPr="00CB5437" w:rsidRDefault="006F0ADF" w:rsidP="006F0ADF">
      <w:pPr>
        <w:spacing w:before="200"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 xml:space="preserve">Table 3: Liquidity Ratios of Coca Cola vs. </w:t>
      </w:r>
      <w:proofErr w:type="spellStart"/>
      <w:r w:rsidRPr="00CB5437">
        <w:rPr>
          <w:rFonts w:ascii="Times New Roman" w:eastAsia="Times New Roman" w:hAnsi="Times New Roman" w:cs="Times New Roman"/>
          <w:b/>
          <w:sz w:val="24"/>
          <w:szCs w:val="24"/>
          <w:lang w:val="en-GB"/>
        </w:rPr>
        <w:t>Pepsico</w:t>
      </w:r>
      <w:proofErr w:type="spellEnd"/>
    </w:p>
    <w:p w14:paraId="230C4170" w14:textId="77777777" w:rsidR="006F0ADF" w:rsidRPr="00CB5437" w:rsidRDefault="006F0ADF" w:rsidP="006F0ADF">
      <w:pPr>
        <w:spacing w:before="200"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(Source: Self-Created)</w:t>
      </w:r>
    </w:p>
    <w:p w14:paraId="283731AB"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Liquidity performance of Coca Cola is better compared to its competitor </w:t>
      </w:r>
      <w:proofErr w:type="spellStart"/>
      <w:r w:rsidRPr="00CB5437">
        <w:rPr>
          <w:rFonts w:ascii="Times New Roman" w:eastAsia="Times New Roman" w:hAnsi="Times New Roman" w:cs="Times New Roman"/>
          <w:sz w:val="24"/>
          <w:szCs w:val="24"/>
          <w:lang w:val="en-GB"/>
        </w:rPr>
        <w:t>Pepsico</w:t>
      </w:r>
      <w:proofErr w:type="spellEnd"/>
      <w:r w:rsidRPr="00CB5437">
        <w:rPr>
          <w:rFonts w:ascii="Times New Roman" w:eastAsia="Times New Roman" w:hAnsi="Times New Roman" w:cs="Times New Roman"/>
          <w:sz w:val="24"/>
          <w:szCs w:val="24"/>
          <w:lang w:val="en-GB"/>
        </w:rPr>
        <w:t xml:space="preserve"> because of higher ratios. In the case of the competitor, current assets are lower than current liabilities because of which it is operating with negative working capital. In this situation, it becomes difficult for the business to repay its due and obligations to the investors. If inventories are removed from current assets, then liquidity performance of the company worsens further. In other words, Coca Cola is better in terms of maintaining liquidity throughout the year. The difference between liquidity performance of both companies involved balance of current assets and working capital. In the case of Coca Cola, current assets are greater than current liabilities leading to a positive working capital. </w:t>
      </w:r>
      <w:r w:rsidRPr="00CB5437">
        <w:rPr>
          <w:rFonts w:ascii="Times New Roman" w:eastAsia="Times New Roman" w:hAnsi="Times New Roman" w:cs="Times New Roman"/>
          <w:sz w:val="24"/>
          <w:szCs w:val="24"/>
          <w:lang w:val="en-GB"/>
        </w:rPr>
        <w:lastRenderedPageBreak/>
        <w:t xml:space="preserve">On the other hand, in the case of PepsiCo, current assets are less than current liabilities because of which negative working capital has been generated. </w:t>
      </w:r>
    </w:p>
    <w:p w14:paraId="687927A3"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b/>
          <w:sz w:val="24"/>
          <w:szCs w:val="24"/>
          <w:lang w:val="en-GB"/>
        </w:rPr>
        <w:t>Leverage ratios:</w:t>
      </w:r>
    </w:p>
    <w:tbl>
      <w:tblPr>
        <w:tblW w:w="7260" w:type="dxa"/>
        <w:jc w:val="center"/>
        <w:tblBorders>
          <w:top w:val="nil"/>
          <w:left w:val="nil"/>
          <w:bottom w:val="nil"/>
          <w:right w:val="nil"/>
          <w:insideH w:val="nil"/>
          <w:insideV w:val="nil"/>
        </w:tblBorders>
        <w:tblLayout w:type="fixed"/>
        <w:tblLook w:val="0600" w:firstRow="0" w:lastRow="0" w:firstColumn="0" w:lastColumn="0" w:noHBand="1" w:noVBand="1"/>
      </w:tblPr>
      <w:tblGrid>
        <w:gridCol w:w="2970"/>
        <w:gridCol w:w="2115"/>
        <w:gridCol w:w="2175"/>
      </w:tblGrid>
      <w:tr w:rsidR="006F0ADF" w:rsidRPr="00CB5437" w14:paraId="1701FBBA" w14:textId="77777777" w:rsidTr="003100C5">
        <w:trPr>
          <w:trHeight w:val="375"/>
          <w:jc w:val="center"/>
        </w:trPr>
        <w:tc>
          <w:tcPr>
            <w:tcW w:w="7260" w:type="dxa"/>
            <w:gridSpan w:val="3"/>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14:paraId="0AF2931A"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"Debt ratio”</w:t>
            </w:r>
          </w:p>
        </w:tc>
      </w:tr>
      <w:tr w:rsidR="006F0ADF" w:rsidRPr="00CB5437" w14:paraId="573F15B4"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222D9A6"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Items</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E048F4B"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Coca Cola</w:t>
            </w:r>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FFA0FDB"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PepsiCo</w:t>
            </w:r>
          </w:p>
        </w:tc>
      </w:tr>
      <w:tr w:rsidR="006F0ADF" w:rsidRPr="00CB5437" w14:paraId="4EF5932B"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A308FBB"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Total liabilities</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406BDA5"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roofErr w:type="gramStart"/>
            <w:r w:rsidRPr="00CB5437">
              <w:rPr>
                <w:rFonts w:ascii="Times New Roman" w:eastAsia="Times New Roman" w:hAnsi="Times New Roman" w:cs="Times New Roman"/>
                <w:sz w:val="24"/>
                <w:szCs w:val="24"/>
                <w:lang w:val="en-GB"/>
              </w:rPr>
              <w:t>$  2853344</w:t>
            </w:r>
            <w:proofErr w:type="gramEnd"/>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1A62C13"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81858</w:t>
            </w:r>
          </w:p>
        </w:tc>
      </w:tr>
      <w:tr w:rsidR="006F0ADF" w:rsidRPr="00CB5437" w14:paraId="6FC0D206"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3E1BB04A"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Total asset</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746CE4A"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roofErr w:type="gramStart"/>
            <w:r w:rsidRPr="00CB5437">
              <w:rPr>
                <w:rFonts w:ascii="Times New Roman" w:eastAsia="Times New Roman" w:hAnsi="Times New Roman" w:cs="Times New Roman"/>
                <w:sz w:val="24"/>
                <w:szCs w:val="24"/>
                <w:lang w:val="en-GB"/>
              </w:rPr>
              <w:t>$  4288942</w:t>
            </w:r>
            <w:proofErr w:type="gramEnd"/>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264CAB2"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100495</w:t>
            </w:r>
          </w:p>
        </w:tc>
      </w:tr>
      <w:tr w:rsidR="006F0ADF" w:rsidRPr="00CB5437" w14:paraId="4B390AA4"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53461556"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Debt to asset ratio</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2AD570A"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0.67</w:t>
            </w:r>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EF0E976"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0.81</w:t>
            </w:r>
          </w:p>
        </w:tc>
      </w:tr>
      <w:tr w:rsidR="006F0ADF" w:rsidRPr="00CB5437" w14:paraId="767CB9C6" w14:textId="77777777" w:rsidTr="003100C5">
        <w:trPr>
          <w:trHeight w:val="315"/>
          <w:jc w:val="center"/>
        </w:trPr>
        <w:tc>
          <w:tcPr>
            <w:tcW w:w="2970" w:type="dxa"/>
            <w:tcBorders>
              <w:top w:val="nil"/>
              <w:left w:val="nil"/>
              <w:bottom w:val="nil"/>
              <w:right w:val="nil"/>
            </w:tcBorders>
            <w:shd w:val="clear" w:color="auto" w:fill="auto"/>
            <w:tcMar>
              <w:top w:w="0" w:type="dxa"/>
              <w:left w:w="100" w:type="dxa"/>
              <w:bottom w:w="0" w:type="dxa"/>
              <w:right w:w="100" w:type="dxa"/>
            </w:tcMar>
            <w:vAlign w:val="bottom"/>
          </w:tcPr>
          <w:p w14:paraId="665A06F3"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2115" w:type="dxa"/>
            <w:tcBorders>
              <w:top w:val="nil"/>
              <w:left w:val="nil"/>
              <w:bottom w:val="nil"/>
              <w:right w:val="nil"/>
            </w:tcBorders>
            <w:shd w:val="clear" w:color="auto" w:fill="auto"/>
            <w:tcMar>
              <w:top w:w="0" w:type="dxa"/>
              <w:left w:w="100" w:type="dxa"/>
              <w:bottom w:w="0" w:type="dxa"/>
              <w:right w:w="100" w:type="dxa"/>
            </w:tcMar>
            <w:vAlign w:val="bottom"/>
          </w:tcPr>
          <w:p w14:paraId="26C97C29"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2175" w:type="dxa"/>
            <w:tcBorders>
              <w:top w:val="nil"/>
              <w:left w:val="nil"/>
              <w:bottom w:val="nil"/>
              <w:right w:val="nil"/>
            </w:tcBorders>
            <w:shd w:val="clear" w:color="auto" w:fill="auto"/>
            <w:tcMar>
              <w:top w:w="0" w:type="dxa"/>
              <w:left w:w="100" w:type="dxa"/>
              <w:bottom w:w="0" w:type="dxa"/>
              <w:right w:w="100" w:type="dxa"/>
            </w:tcMar>
            <w:vAlign w:val="bottom"/>
          </w:tcPr>
          <w:p w14:paraId="1AACE93E"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r>
      <w:tr w:rsidR="006F0ADF" w:rsidRPr="00CB5437" w14:paraId="72A546C8" w14:textId="77777777" w:rsidTr="003100C5">
        <w:trPr>
          <w:trHeight w:val="375"/>
          <w:jc w:val="center"/>
        </w:trPr>
        <w:tc>
          <w:tcPr>
            <w:tcW w:w="726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9EFE15C"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 xml:space="preserve">"Debt to equity </w:t>
            </w:r>
            <w:proofErr w:type="gramStart"/>
            <w:r w:rsidRPr="00CB5437">
              <w:rPr>
                <w:rFonts w:ascii="Times New Roman" w:eastAsia="Times New Roman" w:hAnsi="Times New Roman" w:cs="Times New Roman"/>
                <w:b/>
                <w:sz w:val="24"/>
                <w:szCs w:val="24"/>
                <w:lang w:val="en-GB"/>
              </w:rPr>
              <w:t>ratio ”</w:t>
            </w:r>
            <w:proofErr w:type="gramEnd"/>
          </w:p>
        </w:tc>
      </w:tr>
      <w:tr w:rsidR="006F0ADF" w:rsidRPr="00CB5437" w14:paraId="43E1A4B8"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99967FB"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Items</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D36F5CE"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Coca Cola</w:t>
            </w:r>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080AFB5"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PepsiCo</w:t>
            </w:r>
          </w:p>
        </w:tc>
      </w:tr>
      <w:tr w:rsidR="006F0ADF" w:rsidRPr="00CB5437" w14:paraId="4058239C"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2790B3F"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Total Debt</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8B15903"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roofErr w:type="gramStart"/>
            <w:r w:rsidRPr="00CB5437">
              <w:rPr>
                <w:rFonts w:ascii="Times New Roman" w:eastAsia="Times New Roman" w:hAnsi="Times New Roman" w:cs="Times New Roman"/>
                <w:sz w:val="24"/>
                <w:szCs w:val="24"/>
                <w:lang w:val="en-GB"/>
              </w:rPr>
              <w:t>$  2853344</w:t>
            </w:r>
            <w:proofErr w:type="gramEnd"/>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6B09BDD"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81858</w:t>
            </w:r>
          </w:p>
        </w:tc>
      </w:tr>
      <w:tr w:rsidR="006F0ADF" w:rsidRPr="00CB5437" w14:paraId="5B357AEB"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105AE59A"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Total Equity</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A26F4D4"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roofErr w:type="gramStart"/>
            <w:r w:rsidRPr="00CB5437">
              <w:rPr>
                <w:rFonts w:ascii="Times New Roman" w:eastAsia="Times New Roman" w:hAnsi="Times New Roman" w:cs="Times New Roman"/>
                <w:sz w:val="24"/>
                <w:szCs w:val="24"/>
                <w:lang w:val="en-GB"/>
              </w:rPr>
              <w:t>$  1435598</w:t>
            </w:r>
            <w:proofErr w:type="gramEnd"/>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38B1F1E"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18637</w:t>
            </w:r>
          </w:p>
        </w:tc>
      </w:tr>
      <w:tr w:rsidR="006F0ADF" w:rsidRPr="00CB5437" w14:paraId="5FB10360"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DB96BFA"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Debt to equity ratio</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D703129"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1.99</w:t>
            </w:r>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41AB57C"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4.39</w:t>
            </w:r>
          </w:p>
        </w:tc>
      </w:tr>
      <w:tr w:rsidR="006F0ADF" w:rsidRPr="00CB5437" w14:paraId="5EED02D6" w14:textId="77777777" w:rsidTr="003100C5">
        <w:trPr>
          <w:trHeight w:val="315"/>
          <w:jc w:val="center"/>
        </w:trPr>
        <w:tc>
          <w:tcPr>
            <w:tcW w:w="2970" w:type="dxa"/>
            <w:tcBorders>
              <w:top w:val="nil"/>
              <w:left w:val="nil"/>
              <w:bottom w:val="nil"/>
              <w:right w:val="nil"/>
            </w:tcBorders>
            <w:shd w:val="clear" w:color="auto" w:fill="auto"/>
            <w:tcMar>
              <w:top w:w="0" w:type="dxa"/>
              <w:left w:w="100" w:type="dxa"/>
              <w:bottom w:w="0" w:type="dxa"/>
              <w:right w:w="100" w:type="dxa"/>
            </w:tcMar>
            <w:vAlign w:val="bottom"/>
          </w:tcPr>
          <w:p w14:paraId="24DB75F5"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2115" w:type="dxa"/>
            <w:tcBorders>
              <w:top w:val="nil"/>
              <w:left w:val="nil"/>
              <w:bottom w:val="nil"/>
              <w:right w:val="nil"/>
            </w:tcBorders>
            <w:shd w:val="clear" w:color="auto" w:fill="auto"/>
            <w:tcMar>
              <w:top w:w="0" w:type="dxa"/>
              <w:left w:w="100" w:type="dxa"/>
              <w:bottom w:w="0" w:type="dxa"/>
              <w:right w:w="100" w:type="dxa"/>
            </w:tcMar>
            <w:vAlign w:val="bottom"/>
          </w:tcPr>
          <w:p w14:paraId="12490A0E"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2175" w:type="dxa"/>
            <w:tcBorders>
              <w:top w:val="nil"/>
              <w:left w:val="nil"/>
              <w:bottom w:val="nil"/>
              <w:right w:val="nil"/>
            </w:tcBorders>
            <w:shd w:val="clear" w:color="auto" w:fill="auto"/>
            <w:tcMar>
              <w:top w:w="0" w:type="dxa"/>
              <w:left w:w="100" w:type="dxa"/>
              <w:bottom w:w="0" w:type="dxa"/>
              <w:right w:w="100" w:type="dxa"/>
            </w:tcMar>
            <w:vAlign w:val="bottom"/>
          </w:tcPr>
          <w:p w14:paraId="17136A98"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r>
      <w:tr w:rsidR="006F0ADF" w:rsidRPr="00CB5437" w14:paraId="29D249AB" w14:textId="77777777" w:rsidTr="003100C5">
        <w:trPr>
          <w:trHeight w:val="375"/>
          <w:jc w:val="center"/>
        </w:trPr>
        <w:tc>
          <w:tcPr>
            <w:tcW w:w="726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592BFBB"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"Equity ratio”</w:t>
            </w:r>
          </w:p>
        </w:tc>
      </w:tr>
      <w:tr w:rsidR="006F0ADF" w:rsidRPr="00CB5437" w14:paraId="0B67E24C"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360EBB5"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Items</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83F3647"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Coca Cola</w:t>
            </w:r>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6C120C1F"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PepsiCo</w:t>
            </w:r>
          </w:p>
        </w:tc>
      </w:tr>
      <w:tr w:rsidR="006F0ADF" w:rsidRPr="00CB5437" w14:paraId="1922B88E"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B6139C7"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Total Equity</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4BF25BA9"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roofErr w:type="gramStart"/>
            <w:r w:rsidRPr="00CB5437">
              <w:rPr>
                <w:rFonts w:ascii="Times New Roman" w:eastAsia="Times New Roman" w:hAnsi="Times New Roman" w:cs="Times New Roman"/>
                <w:sz w:val="24"/>
                <w:szCs w:val="24"/>
                <w:lang w:val="en-GB"/>
              </w:rPr>
              <w:t>$  1435598</w:t>
            </w:r>
            <w:proofErr w:type="gramEnd"/>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BB35077"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18637</w:t>
            </w:r>
          </w:p>
        </w:tc>
      </w:tr>
      <w:tr w:rsidR="006F0ADF" w:rsidRPr="00CB5437" w14:paraId="7B29594A"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640ED276"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Total Asset</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7ACDF85"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proofErr w:type="gramStart"/>
            <w:r w:rsidRPr="00CB5437">
              <w:rPr>
                <w:rFonts w:ascii="Times New Roman" w:eastAsia="Times New Roman" w:hAnsi="Times New Roman" w:cs="Times New Roman"/>
                <w:sz w:val="24"/>
                <w:szCs w:val="24"/>
                <w:lang w:val="en-GB"/>
              </w:rPr>
              <w:t>$  4288942</w:t>
            </w:r>
            <w:proofErr w:type="gramEnd"/>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E07C550"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w:t>
            </w:r>
            <w:r w:rsidRPr="00CB5437">
              <w:rPr>
                <w:rFonts w:ascii="Times New Roman" w:eastAsia="Times New Roman" w:hAnsi="Times New Roman" w:cs="Times New Roman"/>
                <w:sz w:val="24"/>
                <w:szCs w:val="24"/>
                <w:lang w:val="en-GB"/>
              </w:rPr>
              <w:tab/>
              <w:t>100495</w:t>
            </w:r>
          </w:p>
        </w:tc>
      </w:tr>
      <w:tr w:rsidR="006F0ADF" w:rsidRPr="00CB5437" w14:paraId="50155018"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7C5353CE"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Equity ratio</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3C303A5"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0.33</w:t>
            </w:r>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B6F8386"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0.19</w:t>
            </w:r>
          </w:p>
        </w:tc>
      </w:tr>
      <w:tr w:rsidR="006F0ADF" w:rsidRPr="00CB5437" w14:paraId="1FC6FD30" w14:textId="77777777" w:rsidTr="003100C5">
        <w:trPr>
          <w:trHeight w:val="315"/>
          <w:jc w:val="center"/>
        </w:trPr>
        <w:tc>
          <w:tcPr>
            <w:tcW w:w="2970" w:type="dxa"/>
            <w:tcBorders>
              <w:top w:val="nil"/>
              <w:left w:val="nil"/>
              <w:bottom w:val="nil"/>
              <w:right w:val="nil"/>
            </w:tcBorders>
            <w:shd w:val="clear" w:color="auto" w:fill="auto"/>
            <w:tcMar>
              <w:top w:w="0" w:type="dxa"/>
              <w:left w:w="100" w:type="dxa"/>
              <w:bottom w:w="0" w:type="dxa"/>
              <w:right w:w="100" w:type="dxa"/>
            </w:tcMar>
            <w:vAlign w:val="bottom"/>
          </w:tcPr>
          <w:p w14:paraId="5CAE8D32"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2115" w:type="dxa"/>
            <w:tcBorders>
              <w:top w:val="nil"/>
              <w:left w:val="nil"/>
              <w:bottom w:val="nil"/>
              <w:right w:val="nil"/>
            </w:tcBorders>
            <w:shd w:val="clear" w:color="auto" w:fill="auto"/>
            <w:tcMar>
              <w:top w:w="0" w:type="dxa"/>
              <w:left w:w="100" w:type="dxa"/>
              <w:bottom w:w="0" w:type="dxa"/>
              <w:right w:w="100" w:type="dxa"/>
            </w:tcMar>
            <w:vAlign w:val="bottom"/>
          </w:tcPr>
          <w:p w14:paraId="2F6BA742"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c>
          <w:tcPr>
            <w:tcW w:w="2175" w:type="dxa"/>
            <w:tcBorders>
              <w:top w:val="nil"/>
              <w:left w:val="nil"/>
              <w:bottom w:val="nil"/>
              <w:right w:val="nil"/>
            </w:tcBorders>
            <w:shd w:val="clear" w:color="auto" w:fill="auto"/>
            <w:tcMar>
              <w:top w:w="0" w:type="dxa"/>
              <w:left w:w="100" w:type="dxa"/>
              <w:bottom w:w="0" w:type="dxa"/>
              <w:right w:w="100" w:type="dxa"/>
            </w:tcMar>
            <w:vAlign w:val="bottom"/>
          </w:tcPr>
          <w:p w14:paraId="4FFC5EA0"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p>
        </w:tc>
      </w:tr>
      <w:tr w:rsidR="006F0ADF" w:rsidRPr="00CB5437" w14:paraId="07B6F41C" w14:textId="77777777" w:rsidTr="003100C5">
        <w:trPr>
          <w:trHeight w:val="375"/>
          <w:jc w:val="center"/>
        </w:trPr>
        <w:tc>
          <w:tcPr>
            <w:tcW w:w="7260"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FEBE4D8"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"Interest Coverage Ratio"</w:t>
            </w:r>
          </w:p>
        </w:tc>
      </w:tr>
      <w:tr w:rsidR="006F0ADF" w:rsidRPr="00CB5437" w14:paraId="4F296802"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10BF8E26"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Items</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FBCEF38"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Coca Cola</w:t>
            </w:r>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E31FFA7" w14:textId="77777777" w:rsidR="006F0ADF" w:rsidRPr="00CB5437" w:rsidRDefault="006F0ADF" w:rsidP="003100C5">
            <w:pP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PepsiCo</w:t>
            </w:r>
          </w:p>
        </w:tc>
      </w:tr>
      <w:tr w:rsidR="006F0ADF" w:rsidRPr="00CB5437" w14:paraId="55CD5069"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0287F35D"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EBIT</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348FFA12"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w:t>
            </w:r>
            <w:r w:rsidRPr="00CB5437">
              <w:rPr>
                <w:rFonts w:ascii="Times New Roman" w:eastAsia="Times New Roman" w:hAnsi="Times New Roman" w:cs="Times New Roman"/>
                <w:sz w:val="24"/>
                <w:szCs w:val="24"/>
                <w:lang w:val="en-GB"/>
              </w:rPr>
              <w:tab/>
              <w:t>834451</w:t>
            </w:r>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27962BB"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11986</w:t>
            </w:r>
          </w:p>
        </w:tc>
      </w:tr>
      <w:tr w:rsidR="006F0ADF" w:rsidRPr="00CB5437" w14:paraId="3A02FFA9"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4092B9FD"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Interest Payable</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57F603B0"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918</w:t>
            </w:r>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13F85C8B"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 $             819</w:t>
            </w:r>
          </w:p>
        </w:tc>
      </w:tr>
      <w:tr w:rsidR="006F0ADF" w:rsidRPr="00CB5437" w14:paraId="0A89E98D" w14:textId="77777777" w:rsidTr="003100C5">
        <w:trPr>
          <w:trHeight w:val="375"/>
          <w:jc w:val="center"/>
        </w:trPr>
        <w:tc>
          <w:tcPr>
            <w:tcW w:w="2970" w:type="dxa"/>
            <w:tcBorders>
              <w:top w:val="nil"/>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14:paraId="2016D4F5" w14:textId="77777777" w:rsidR="006F0ADF" w:rsidRPr="00CB5437" w:rsidRDefault="006F0ADF" w:rsidP="003100C5">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Interest Coverage Ratio</w:t>
            </w:r>
          </w:p>
        </w:tc>
        <w:tc>
          <w:tcPr>
            <w:tcW w:w="211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26F47753"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908.99</w:t>
            </w:r>
          </w:p>
        </w:tc>
        <w:tc>
          <w:tcPr>
            <w:tcW w:w="2175" w:type="dxa"/>
            <w:tcBorders>
              <w:top w:val="nil"/>
              <w:left w:val="nil"/>
              <w:bottom w:val="single" w:sz="4" w:space="0" w:color="000000"/>
              <w:right w:val="single" w:sz="4" w:space="0" w:color="000000"/>
            </w:tcBorders>
            <w:shd w:val="clear" w:color="auto" w:fill="auto"/>
            <w:tcMar>
              <w:top w:w="0" w:type="dxa"/>
              <w:left w:w="100" w:type="dxa"/>
              <w:bottom w:w="0" w:type="dxa"/>
              <w:right w:w="100" w:type="dxa"/>
            </w:tcMar>
            <w:vAlign w:val="bottom"/>
          </w:tcPr>
          <w:p w14:paraId="0B926719" w14:textId="77777777" w:rsidR="006F0ADF" w:rsidRPr="00CB5437" w:rsidRDefault="006F0ADF" w:rsidP="003100C5">
            <w:pPr>
              <w:spacing w:line="360" w:lineRule="auto"/>
              <w:jc w:val="right"/>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14.63</w:t>
            </w:r>
          </w:p>
        </w:tc>
      </w:tr>
    </w:tbl>
    <w:p w14:paraId="67D173ED" w14:textId="77777777" w:rsidR="006F0ADF" w:rsidRPr="00CB5437" w:rsidRDefault="006F0ADF" w:rsidP="006F0ADF">
      <w:pPr>
        <w:spacing w:before="200"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Table 4: Leverage Ratios of Coca Cola vs. PepsiCo</w:t>
      </w:r>
    </w:p>
    <w:p w14:paraId="695943A8" w14:textId="77777777" w:rsidR="006F0ADF" w:rsidRPr="00CB5437" w:rsidRDefault="006F0ADF" w:rsidP="006F0ADF">
      <w:pPr>
        <w:spacing w:before="200"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(Source: Self-Created)</w:t>
      </w:r>
    </w:p>
    <w:p w14:paraId="208567D7"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lastRenderedPageBreak/>
        <w:t>Leverage ratios of Coca Cola is better compared to that of PepsiCo because of lower ratios. PepsiCo relies more on debt capital when it comes to collection of finances for the business because of which the capital structure of the business is not optimum and also very risky (PepsiCo, 2023). The similarity between each organisation involves a higher amount of debt capital. However, the biggest difference between these companies lies in the proportion of debt and equity within the capital structure. When it comes to managing capital structure optimally, Coca Cola gets an upper hand over PepsiCo because it is paying interest expenses more times.</w:t>
      </w:r>
    </w:p>
    <w:p w14:paraId="38ED547C" w14:textId="77777777" w:rsidR="006F0ADF" w:rsidRPr="00CB5437" w:rsidRDefault="006F0ADF" w:rsidP="006F0ADF">
      <w:pPr>
        <w:pStyle w:val="Heading2"/>
        <w:rPr>
          <w:lang w:val="en-GB"/>
        </w:rPr>
      </w:pPr>
      <w:bookmarkStart w:id="9" w:name="_Toc173947680"/>
      <w:r w:rsidRPr="00CB5437">
        <w:rPr>
          <w:lang w:val="en-GB"/>
        </w:rPr>
        <w:t>4. Capital structure theory:</w:t>
      </w:r>
      <w:bookmarkEnd w:id="9"/>
      <w:r w:rsidRPr="00CB5437">
        <w:rPr>
          <w:lang w:val="en-GB"/>
        </w:rPr>
        <w:t xml:space="preserve"> </w:t>
      </w:r>
    </w:p>
    <w:p w14:paraId="03CEE76D"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Pecking order theory is one of the most commonly used capital structure theory which states that organisations must consider internally generated funds over externally generated funds. Inspired by the views of </w:t>
      </w:r>
      <w:proofErr w:type="spellStart"/>
      <w:r w:rsidRPr="00CB5437">
        <w:rPr>
          <w:rFonts w:ascii="Times New Roman" w:eastAsia="Times New Roman" w:hAnsi="Times New Roman" w:cs="Times New Roman"/>
          <w:sz w:val="24"/>
          <w:szCs w:val="24"/>
          <w:lang w:val="en-GB"/>
        </w:rPr>
        <w:t>Oktaviani</w:t>
      </w:r>
      <w:proofErr w:type="spellEnd"/>
      <w:r w:rsidRPr="00CB5437">
        <w:rPr>
          <w:rFonts w:ascii="Times New Roman" w:eastAsia="Times New Roman" w:hAnsi="Times New Roman" w:cs="Times New Roman"/>
          <w:sz w:val="24"/>
          <w:szCs w:val="24"/>
          <w:lang w:val="en-GB"/>
        </w:rPr>
        <w:t xml:space="preserve"> </w:t>
      </w:r>
      <w:r w:rsidRPr="00CB5437">
        <w:rPr>
          <w:rFonts w:ascii="Times New Roman" w:eastAsia="Times New Roman" w:hAnsi="Times New Roman" w:cs="Times New Roman"/>
          <w:i/>
          <w:sz w:val="24"/>
          <w:szCs w:val="24"/>
          <w:lang w:val="en-GB"/>
        </w:rPr>
        <w:t xml:space="preserve">et al. </w:t>
      </w:r>
      <w:r w:rsidRPr="00CB5437">
        <w:rPr>
          <w:rFonts w:ascii="Times New Roman" w:eastAsia="Times New Roman" w:hAnsi="Times New Roman" w:cs="Times New Roman"/>
          <w:sz w:val="24"/>
          <w:szCs w:val="24"/>
          <w:lang w:val="en-GB"/>
        </w:rPr>
        <w:t>(2020), internally generated funds represent money that organisations can collect internally such as retained earnings whereas externally generated funds represent money that companies collect from external sources like equity and debt. This theory arises from the idea of asymmetric information which involves information failure. Internal stakeholders of an organisation like managers have more information regarding the company and its performance compared to the external stakeholders like investors or shareholders. Thus, before turning to external fundings like debt and equity, companies must choose retained earnings for financing purpose. The sequence of sourcing finance must be retained earnings then debt and finally equity.</w:t>
      </w:r>
    </w:p>
    <w:p w14:paraId="3390F3ED" w14:textId="77777777" w:rsidR="006F0ADF" w:rsidRPr="00CB5437" w:rsidRDefault="006F0ADF" w:rsidP="006F0ADF">
      <w:pPr>
        <w:pStyle w:val="Heading2"/>
        <w:rPr>
          <w:lang w:val="en-GB"/>
        </w:rPr>
      </w:pPr>
      <w:bookmarkStart w:id="10" w:name="_Toc173947681"/>
      <w:r w:rsidRPr="00CB5437">
        <w:rPr>
          <w:lang w:val="en-GB"/>
        </w:rPr>
        <w:t>5. Capital structure theory on the company:</w:t>
      </w:r>
      <w:bookmarkEnd w:id="10"/>
      <w:r w:rsidRPr="00CB5437">
        <w:rPr>
          <w:lang w:val="en-GB"/>
        </w:rPr>
        <w:t xml:space="preserve"> </w:t>
      </w:r>
    </w:p>
    <w:p w14:paraId="5AEA8ED5"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Capital structure of the company shows that the company applies pecking order theory in order to collect finances. The company uses retained earnings first then debt and at last equity for financing purposes. The Balance Sheet of the company shows that Coca Cola used retained earnings worth 1352111 million dollars in 2023 and 1112462 million dollars in 2022 (Coca Cola, 2023). This retained earnings is a part of profit earned by the business in the previous year and the company will not have to pay any cost for using these financing sources. Then the company collected debt capital worth $ 2853344 million in 2023, $ 2594157 million in 2022, $ 2733784 million in 2021, $ 2709460 million in 2020 and $ 2675810 million in 2019. The company has collected further debt because of which it is enjoying tax benefits. After debt capital, the company collected equity </w:t>
      </w:r>
      <w:r w:rsidRPr="00CB5437">
        <w:rPr>
          <w:rFonts w:ascii="Times New Roman" w:eastAsia="Times New Roman" w:hAnsi="Times New Roman" w:cs="Times New Roman"/>
          <w:sz w:val="24"/>
          <w:szCs w:val="24"/>
          <w:lang w:val="en-GB"/>
        </w:rPr>
        <w:lastRenderedPageBreak/>
        <w:t>capital worth $ 1435598 million in 2023, $ 1115388 million in 2022, $ 711786 million in 2021, $ 512990 million 2020 and $ 3126926 million in 2019 (Coca Cola, 2023). As the company is buying back shares, cost of capital comes down. In this way, managers are able to manage finances better because they have proper information regarding the firm and its operations. External stakeholders like investors do not participate in the decision-making process which is beneficial for the managers. Capital structure of the company is not optimum but it helps Coca Cola in having greater control over its business operations.</w:t>
      </w:r>
    </w:p>
    <w:p w14:paraId="73766302" w14:textId="77777777" w:rsidR="006F0ADF" w:rsidRPr="00CB5437" w:rsidRDefault="006F0ADF" w:rsidP="006F0ADF">
      <w:pPr>
        <w:pStyle w:val="Heading2"/>
        <w:rPr>
          <w:lang w:val="en-GB"/>
        </w:rPr>
      </w:pPr>
      <w:bookmarkStart w:id="11" w:name="_Toc173947682"/>
      <w:r w:rsidRPr="00CB5437">
        <w:rPr>
          <w:lang w:val="en-GB"/>
        </w:rPr>
        <w:t>6. Average annual share returns for the past five years:</w:t>
      </w:r>
      <w:bookmarkEnd w:id="11"/>
      <w:r w:rsidRPr="00CB5437">
        <w:rPr>
          <w:lang w:val="en-GB"/>
        </w:rPr>
        <w:t xml:space="preserve"> </w:t>
      </w:r>
    </w:p>
    <w:p w14:paraId="1FC13791" w14:textId="77777777" w:rsidR="006F0ADF" w:rsidRPr="00CB5437" w:rsidRDefault="006F0ADF" w:rsidP="006F0ADF">
      <w:pPr>
        <w:spacing w:before="20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Share Price:</w:t>
      </w:r>
    </w:p>
    <w:p w14:paraId="527D889F"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The image presented below shows the share price of the company for the last 5 years. Share price of the company Coca Cola is fluctuating significantly which shows ups and downs in its performance. Currently, the share price is increasing but a few years ago it was suffering from a downfall especially, in the year 2021 (Finance.yahoo.com, 2024). Share price of Coca Cola was significantly low during the period 2020 to 2021 because of several controversies that the company was subject to. Coca Cola is in controversy because of high sugar content in the beverages, not maintaining human rights of employees, not maintaining transparency regarding contents of beverages and many more. These issues created a negative impact on the Goodwill of the business within the beverage industry because of which share price was negatively affected.</w:t>
      </w:r>
    </w:p>
    <w:p w14:paraId="34EF1886" w14:textId="77777777" w:rsidR="006F0ADF" w:rsidRPr="00CB5437" w:rsidRDefault="006F0ADF" w:rsidP="006F0ADF">
      <w:pPr>
        <w:spacing w:before="200"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noProof/>
          <w:sz w:val="24"/>
          <w:szCs w:val="24"/>
          <w:lang w:val="en-GB"/>
        </w:rPr>
        <w:drawing>
          <wp:inline distT="114300" distB="114300" distL="114300" distR="114300" wp14:anchorId="23EE79F2" wp14:editId="0EC8ECB1">
            <wp:extent cx="5943600" cy="2451100"/>
            <wp:effectExtent l="0" t="0" r="0" b="0"/>
            <wp:docPr id="21840624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451100"/>
                    </a:xfrm>
                    <a:prstGeom prst="rect">
                      <a:avLst/>
                    </a:prstGeom>
                    <a:ln/>
                  </pic:spPr>
                </pic:pic>
              </a:graphicData>
            </a:graphic>
          </wp:inline>
        </w:drawing>
      </w:r>
    </w:p>
    <w:p w14:paraId="538CA193" w14:textId="77777777" w:rsidR="006F0ADF" w:rsidRPr="00CB5437" w:rsidRDefault="006F0ADF" w:rsidP="006F0ADF">
      <w:pPr>
        <w:spacing w:before="200"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Figure 1: Share price of Coca Cola for last 5 years</w:t>
      </w:r>
    </w:p>
    <w:p w14:paraId="551F5686" w14:textId="77777777" w:rsidR="006F0ADF" w:rsidRPr="00CB5437" w:rsidRDefault="006F0ADF" w:rsidP="006F0ADF">
      <w:pPr>
        <w:spacing w:before="200"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lastRenderedPageBreak/>
        <w:t>(Source: Finance.yahoo.com, 2024)</w:t>
      </w:r>
    </w:p>
    <w:p w14:paraId="2E472F84" w14:textId="77777777" w:rsidR="006F0ADF" w:rsidRPr="00CB5437" w:rsidRDefault="006F0ADF" w:rsidP="006F0ADF">
      <w:pPr>
        <w:spacing w:before="200" w:after="200" w:line="360" w:lineRule="auto"/>
        <w:jc w:val="both"/>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Average annual returns:</w:t>
      </w:r>
    </w:p>
    <w:tbl>
      <w:tblPr>
        <w:tblW w:w="5865" w:type="dxa"/>
        <w:tblInd w:w="2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3345"/>
      </w:tblGrid>
      <w:tr w:rsidR="006F0ADF" w:rsidRPr="00CB5437" w14:paraId="42D03DED" w14:textId="77777777" w:rsidTr="003100C5">
        <w:trPr>
          <w:trHeight w:val="440"/>
        </w:trPr>
        <w:tc>
          <w:tcPr>
            <w:tcW w:w="5865" w:type="dxa"/>
            <w:gridSpan w:val="2"/>
            <w:shd w:val="clear" w:color="auto" w:fill="auto"/>
            <w:tcMar>
              <w:top w:w="100" w:type="dxa"/>
              <w:left w:w="100" w:type="dxa"/>
              <w:bottom w:w="100" w:type="dxa"/>
              <w:right w:w="100" w:type="dxa"/>
            </w:tcMar>
          </w:tcPr>
          <w:p w14:paraId="7BF6B6D0"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Average annual returns of Coca Cola for 5 years</w:t>
            </w:r>
          </w:p>
        </w:tc>
      </w:tr>
      <w:tr w:rsidR="006F0ADF" w:rsidRPr="00CB5437" w14:paraId="3F98B648" w14:textId="77777777" w:rsidTr="003100C5">
        <w:tc>
          <w:tcPr>
            <w:tcW w:w="2520" w:type="dxa"/>
            <w:shd w:val="clear" w:color="auto" w:fill="auto"/>
            <w:tcMar>
              <w:top w:w="100" w:type="dxa"/>
              <w:left w:w="100" w:type="dxa"/>
              <w:bottom w:w="100" w:type="dxa"/>
              <w:right w:w="100" w:type="dxa"/>
            </w:tcMar>
          </w:tcPr>
          <w:p w14:paraId="49E48A62"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Year</w:t>
            </w:r>
          </w:p>
        </w:tc>
        <w:tc>
          <w:tcPr>
            <w:tcW w:w="3345" w:type="dxa"/>
            <w:shd w:val="clear" w:color="auto" w:fill="auto"/>
            <w:tcMar>
              <w:top w:w="100" w:type="dxa"/>
              <w:left w:w="100" w:type="dxa"/>
              <w:bottom w:w="100" w:type="dxa"/>
              <w:right w:w="100" w:type="dxa"/>
            </w:tcMar>
          </w:tcPr>
          <w:p w14:paraId="5F9DB0E9"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Returns</w:t>
            </w:r>
          </w:p>
        </w:tc>
      </w:tr>
      <w:tr w:rsidR="006F0ADF" w:rsidRPr="00CB5437" w14:paraId="428526E3" w14:textId="77777777" w:rsidTr="003100C5">
        <w:tc>
          <w:tcPr>
            <w:tcW w:w="2520" w:type="dxa"/>
            <w:shd w:val="clear" w:color="auto" w:fill="auto"/>
            <w:tcMar>
              <w:top w:w="100" w:type="dxa"/>
              <w:left w:w="100" w:type="dxa"/>
              <w:bottom w:w="100" w:type="dxa"/>
              <w:right w:w="100" w:type="dxa"/>
            </w:tcMar>
          </w:tcPr>
          <w:p w14:paraId="6095C79D"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2019</w:t>
            </w:r>
          </w:p>
        </w:tc>
        <w:tc>
          <w:tcPr>
            <w:tcW w:w="3345" w:type="dxa"/>
            <w:shd w:val="clear" w:color="auto" w:fill="auto"/>
            <w:tcMar>
              <w:top w:w="100" w:type="dxa"/>
              <w:left w:w="100" w:type="dxa"/>
              <w:bottom w:w="100" w:type="dxa"/>
              <w:right w:w="100" w:type="dxa"/>
            </w:tcMar>
          </w:tcPr>
          <w:p w14:paraId="6D17BB9B"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3.25 per cent</w:t>
            </w:r>
          </w:p>
        </w:tc>
      </w:tr>
      <w:tr w:rsidR="006F0ADF" w:rsidRPr="00CB5437" w14:paraId="12BF6C11" w14:textId="77777777" w:rsidTr="003100C5">
        <w:tc>
          <w:tcPr>
            <w:tcW w:w="2520" w:type="dxa"/>
            <w:shd w:val="clear" w:color="auto" w:fill="auto"/>
            <w:tcMar>
              <w:top w:w="100" w:type="dxa"/>
              <w:left w:w="100" w:type="dxa"/>
              <w:bottom w:w="100" w:type="dxa"/>
              <w:right w:w="100" w:type="dxa"/>
            </w:tcMar>
          </w:tcPr>
          <w:p w14:paraId="0931BCCB"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2020</w:t>
            </w:r>
          </w:p>
        </w:tc>
        <w:tc>
          <w:tcPr>
            <w:tcW w:w="3345" w:type="dxa"/>
            <w:shd w:val="clear" w:color="auto" w:fill="auto"/>
            <w:tcMar>
              <w:top w:w="100" w:type="dxa"/>
              <w:left w:w="100" w:type="dxa"/>
              <w:bottom w:w="100" w:type="dxa"/>
              <w:right w:w="100" w:type="dxa"/>
            </w:tcMar>
          </w:tcPr>
          <w:p w14:paraId="5424618E"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5.71 per cent</w:t>
            </w:r>
          </w:p>
        </w:tc>
      </w:tr>
      <w:tr w:rsidR="006F0ADF" w:rsidRPr="00CB5437" w14:paraId="7DC740A1" w14:textId="77777777" w:rsidTr="003100C5">
        <w:tc>
          <w:tcPr>
            <w:tcW w:w="2520" w:type="dxa"/>
            <w:shd w:val="clear" w:color="auto" w:fill="auto"/>
            <w:tcMar>
              <w:top w:w="100" w:type="dxa"/>
              <w:left w:w="100" w:type="dxa"/>
              <w:bottom w:w="100" w:type="dxa"/>
              <w:right w:w="100" w:type="dxa"/>
            </w:tcMar>
          </w:tcPr>
          <w:p w14:paraId="54A175BB"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2021</w:t>
            </w:r>
          </w:p>
        </w:tc>
        <w:tc>
          <w:tcPr>
            <w:tcW w:w="3345" w:type="dxa"/>
            <w:shd w:val="clear" w:color="auto" w:fill="auto"/>
            <w:tcMar>
              <w:top w:w="100" w:type="dxa"/>
              <w:left w:w="100" w:type="dxa"/>
              <w:bottom w:w="100" w:type="dxa"/>
              <w:right w:w="100" w:type="dxa"/>
            </w:tcMar>
          </w:tcPr>
          <w:p w14:paraId="512E718E"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13.86 per cent</w:t>
            </w:r>
          </w:p>
        </w:tc>
      </w:tr>
      <w:tr w:rsidR="006F0ADF" w:rsidRPr="00CB5437" w14:paraId="68A04CDF" w14:textId="77777777" w:rsidTr="003100C5">
        <w:tc>
          <w:tcPr>
            <w:tcW w:w="2520" w:type="dxa"/>
            <w:shd w:val="clear" w:color="auto" w:fill="auto"/>
            <w:tcMar>
              <w:top w:w="100" w:type="dxa"/>
              <w:left w:w="100" w:type="dxa"/>
              <w:bottom w:w="100" w:type="dxa"/>
              <w:right w:w="100" w:type="dxa"/>
            </w:tcMar>
          </w:tcPr>
          <w:p w14:paraId="60075DD7"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2022</w:t>
            </w:r>
          </w:p>
        </w:tc>
        <w:tc>
          <w:tcPr>
            <w:tcW w:w="3345" w:type="dxa"/>
            <w:shd w:val="clear" w:color="auto" w:fill="auto"/>
            <w:tcMar>
              <w:top w:w="100" w:type="dxa"/>
              <w:left w:w="100" w:type="dxa"/>
              <w:bottom w:w="100" w:type="dxa"/>
              <w:right w:w="100" w:type="dxa"/>
            </w:tcMar>
          </w:tcPr>
          <w:p w14:paraId="15A7FCF7"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11.33 per cent</w:t>
            </w:r>
          </w:p>
        </w:tc>
      </w:tr>
      <w:tr w:rsidR="006F0ADF" w:rsidRPr="00CB5437" w14:paraId="1FF35DCB" w14:textId="77777777" w:rsidTr="003100C5">
        <w:tc>
          <w:tcPr>
            <w:tcW w:w="2520" w:type="dxa"/>
            <w:shd w:val="clear" w:color="auto" w:fill="auto"/>
            <w:tcMar>
              <w:top w:w="100" w:type="dxa"/>
              <w:left w:w="100" w:type="dxa"/>
              <w:bottom w:w="100" w:type="dxa"/>
              <w:right w:w="100" w:type="dxa"/>
            </w:tcMar>
          </w:tcPr>
          <w:p w14:paraId="68B1E93E"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2023</w:t>
            </w:r>
          </w:p>
        </w:tc>
        <w:tc>
          <w:tcPr>
            <w:tcW w:w="3345" w:type="dxa"/>
            <w:shd w:val="clear" w:color="auto" w:fill="auto"/>
            <w:tcMar>
              <w:top w:w="100" w:type="dxa"/>
              <w:left w:w="100" w:type="dxa"/>
              <w:bottom w:w="100" w:type="dxa"/>
              <w:right w:w="100" w:type="dxa"/>
            </w:tcMar>
          </w:tcPr>
          <w:p w14:paraId="0C4DCE63" w14:textId="77777777" w:rsidR="006F0ADF" w:rsidRPr="00CB5437" w:rsidRDefault="006F0ADF" w:rsidP="003100C5">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-3.56 per cent</w:t>
            </w:r>
          </w:p>
        </w:tc>
      </w:tr>
    </w:tbl>
    <w:p w14:paraId="56620691" w14:textId="77777777" w:rsidR="006F0ADF" w:rsidRPr="00CB5437" w:rsidRDefault="006F0ADF" w:rsidP="006F0ADF">
      <w:pPr>
        <w:spacing w:before="200"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 xml:space="preserve">Table 5: Average annual returns of Coca Cola </w:t>
      </w:r>
    </w:p>
    <w:p w14:paraId="09A2D001" w14:textId="77777777" w:rsidR="006F0ADF" w:rsidRPr="00CB5437" w:rsidRDefault="006F0ADF" w:rsidP="006F0ADF">
      <w:pPr>
        <w:spacing w:before="200"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(Source: Self-Created)</w:t>
      </w:r>
    </w:p>
    <w:p w14:paraId="46127C59" w14:textId="77777777" w:rsidR="006F0ADF" w:rsidRPr="00CB5437" w:rsidRDefault="006F0ADF" w:rsidP="006F0ADF">
      <w:pPr>
        <w:spacing w:before="200"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Average annual returns show the percentage of profit that the company has earned over its share price. In the table above, average annual returns of Coca Cola have been calculated for the last 5 years. Return rates have been calculated by deducting previous year rate from current year rate and dividing the difference by previous year rate. The table shows that annual returns of the company were increasing during the period 2019 to 2021. However, the return rate started decreasing after 2021 resulting in 11.33 per cent (Finance.yahoo.com, 2024). A significant decrease in share price was identified in the year 2023 resulting in the value of -3.56 per cent. This negative return is an indication that performance of the company is deteriorating with time which is not good for the company. The decreasing return is an outcome of the controversies that the company is subject to within the beverage sector. Also, there are other companies within the industry that are providing better quality products to the customers which is again negatively affecting share price of the company leading to negative returns. This negative return is not good for the long-term sustainability of Coca Cola because it creates dissatisfaction among the investors </w:t>
      </w:r>
      <w:r w:rsidRPr="00CB5437">
        <w:rPr>
          <w:rFonts w:ascii="Times New Roman" w:eastAsia="Times New Roman" w:hAnsi="Times New Roman" w:cs="Times New Roman"/>
          <w:sz w:val="24"/>
          <w:szCs w:val="24"/>
          <w:lang w:val="en-GB"/>
        </w:rPr>
        <w:lastRenderedPageBreak/>
        <w:t>and shareholders. The negative return is also an indication that investors are not willing to invest in the company because of which share price is decreasing.</w:t>
      </w:r>
    </w:p>
    <w:p w14:paraId="4E392ED5" w14:textId="77777777" w:rsidR="006F0ADF" w:rsidRPr="00CB5437" w:rsidRDefault="006F0ADF" w:rsidP="006F0ADF">
      <w:pPr>
        <w:spacing w:before="200"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noProof/>
          <w:sz w:val="24"/>
          <w:szCs w:val="24"/>
          <w:lang w:val="en-GB"/>
        </w:rPr>
        <w:drawing>
          <wp:inline distT="114300" distB="114300" distL="114300" distR="114300" wp14:anchorId="4D2D097B" wp14:editId="53D1A2F4">
            <wp:extent cx="4700588" cy="2832405"/>
            <wp:effectExtent l="0" t="0" r="0" b="0"/>
            <wp:docPr id="130663157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00588" cy="2832405"/>
                    </a:xfrm>
                    <a:prstGeom prst="rect">
                      <a:avLst/>
                    </a:prstGeom>
                    <a:ln/>
                  </pic:spPr>
                </pic:pic>
              </a:graphicData>
            </a:graphic>
          </wp:inline>
        </w:drawing>
      </w:r>
    </w:p>
    <w:p w14:paraId="02C68CAE" w14:textId="77777777" w:rsidR="006F0ADF" w:rsidRPr="00CB5437" w:rsidRDefault="006F0ADF" w:rsidP="006F0ADF">
      <w:pPr>
        <w:spacing w:before="200" w:after="200" w:line="360" w:lineRule="auto"/>
        <w:jc w:val="center"/>
        <w:rPr>
          <w:rFonts w:ascii="Times New Roman" w:eastAsia="Times New Roman" w:hAnsi="Times New Roman" w:cs="Times New Roman"/>
          <w:b/>
          <w:sz w:val="24"/>
          <w:szCs w:val="24"/>
          <w:lang w:val="en-GB"/>
        </w:rPr>
      </w:pPr>
      <w:r w:rsidRPr="00CB5437">
        <w:rPr>
          <w:rFonts w:ascii="Times New Roman" w:eastAsia="Times New Roman" w:hAnsi="Times New Roman" w:cs="Times New Roman"/>
          <w:b/>
          <w:sz w:val="24"/>
          <w:szCs w:val="24"/>
          <w:lang w:val="en-GB"/>
        </w:rPr>
        <w:t>Figure 2: Average annual return of Coca Cola for last 5 years</w:t>
      </w:r>
    </w:p>
    <w:p w14:paraId="160FA6E3" w14:textId="77777777" w:rsidR="006F0ADF" w:rsidRPr="00CB5437" w:rsidRDefault="006F0ADF" w:rsidP="006F0ADF">
      <w:pPr>
        <w:spacing w:before="200"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(Source: Self-Created)</w:t>
      </w:r>
    </w:p>
    <w:p w14:paraId="7DE679F4" w14:textId="7182045E" w:rsidR="006F0ADF" w:rsidRPr="00CB5437" w:rsidRDefault="006F0ADF" w:rsidP="006F0ADF">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A graph has been presented above showing the annual average return rate of Coca Cola for the last 5 years. A graphical presentation of the return rates makes it easier to identify the changes. 2021 was the best performing year during which the share price of the company was significantly high leading to higher return rates. However, the downfall of business started in 2022 and has become worse in 2023 because of negative returns. This provides the company with a competitive disadvantage within the industry. Despite having a strong liquidity and leverage performance, Coca Cola is not able to earn higher returns within the industry. The company needs to improve its performance to be able to regain its lost position within the industry by clearing all the controversies.</w:t>
      </w:r>
    </w:p>
    <w:p w14:paraId="78D6E0B6" w14:textId="2A672347" w:rsidR="00F80060" w:rsidRPr="00CB5437" w:rsidRDefault="008D2120">
      <w:pPr>
        <w:pStyle w:val="Heading1"/>
        <w:spacing w:after="200"/>
        <w:rPr>
          <w:lang w:val="en-GB"/>
        </w:rPr>
      </w:pPr>
      <w:bookmarkStart w:id="12" w:name="_Toc173947683"/>
      <w:r w:rsidRPr="00CB5437">
        <w:rPr>
          <w:lang w:val="en-GB"/>
        </w:rPr>
        <w:lastRenderedPageBreak/>
        <w:t>Part c) C</w:t>
      </w:r>
      <w:r w:rsidR="006F0ADF" w:rsidRPr="00CB5437">
        <w:rPr>
          <w:lang w:val="en-GB"/>
        </w:rPr>
        <w:t>o</w:t>
      </w:r>
      <w:r w:rsidRPr="00CB5437">
        <w:rPr>
          <w:lang w:val="en-GB"/>
        </w:rPr>
        <w:t>mpany’s Largest Recent Investment Activities</w:t>
      </w:r>
      <w:bookmarkEnd w:id="12"/>
    </w:p>
    <w:p w14:paraId="6677A81E" w14:textId="77777777" w:rsidR="00F80060" w:rsidRPr="00CB5437" w:rsidRDefault="008D2120">
      <w:pPr>
        <w:pStyle w:val="Heading2"/>
        <w:spacing w:after="200"/>
        <w:rPr>
          <w:lang w:val="en-GB"/>
        </w:rPr>
      </w:pPr>
      <w:bookmarkStart w:id="13" w:name="_Toc173947684"/>
      <w:r w:rsidRPr="00CB5437">
        <w:rPr>
          <w:lang w:val="en-GB"/>
        </w:rPr>
        <w:t>“Purpose(S), Aim, and Expected Outcomes of this Investment”</w:t>
      </w:r>
      <w:bookmarkEnd w:id="13"/>
    </w:p>
    <w:p w14:paraId="1779666F" w14:textId="77777777" w:rsidR="00F80060" w:rsidRPr="00CB5437" w:rsidRDefault="008D2120">
      <w:p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“Investment activities” are a censorious component of a company's “cash flow statement”, often reflecting the importance of “capital movements”. The investing activities brighten the company’s strategy towards “long-term assets and growth initiatives”.</w:t>
      </w:r>
    </w:p>
    <w:p w14:paraId="275B7A81" w14:textId="574CEAC1"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b/>
          <w:i/>
          <w:sz w:val="24"/>
          <w:szCs w:val="24"/>
          <w:lang w:val="en-GB"/>
        </w:rPr>
        <w:t>Purpose:</w:t>
      </w:r>
      <w:r w:rsidRPr="00CB5437">
        <w:rPr>
          <w:rFonts w:ascii="Times New Roman" w:eastAsia="Times New Roman" w:hAnsi="Times New Roman" w:cs="Times New Roman"/>
          <w:sz w:val="24"/>
          <w:szCs w:val="24"/>
          <w:lang w:val="en-GB"/>
        </w:rPr>
        <w:br/>
        <w:t xml:space="preserve">The “Bottling Investments Group (BIG)” is the strategic business unit within the Coca-Cola Company that is responsible for managing the bottling operations in certain markets. Its main function is to deliver superior performance in these areas as well as to look for opportunities to re-franchise operations with suitable players. BIG intends to increase the effectiveness of the Coca-Cola Company's bottling investments and revenues while minimising direct control over bottling where possible </w:t>
      </w:r>
      <w:r w:rsidR="00C138BA" w:rsidRPr="00CB5437">
        <w:rPr>
          <w:rFonts w:ascii="Times New Roman" w:eastAsia="Times New Roman" w:hAnsi="Times New Roman" w:cs="Times New Roman"/>
          <w:sz w:val="24"/>
          <w:szCs w:val="24"/>
          <w:lang w:val="en-GB"/>
        </w:rPr>
        <w:t>by-passing</w:t>
      </w:r>
      <w:r w:rsidRPr="00CB5437">
        <w:rPr>
          <w:rFonts w:ascii="Times New Roman" w:eastAsia="Times New Roman" w:hAnsi="Times New Roman" w:cs="Times New Roman"/>
          <w:sz w:val="24"/>
          <w:szCs w:val="24"/>
          <w:lang w:val="en-GB"/>
        </w:rPr>
        <w:t xml:space="preserve"> operations to experienced local players.</w:t>
      </w:r>
    </w:p>
    <w:p w14:paraId="7B7779F5" w14:textId="77777777"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Aim:</w:t>
      </w:r>
    </w:p>
    <w:p w14:paraId="318E96B4"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BIG aims to achieve gain market share, increase revenues, and widen operating margins in its targeted territories. Its programs, focus on building the needed critical infrastructure, enhancing the operating efficiency of the markets, and creating the appropriate environment for efficient refranchising. BIG also aims at refranchising and searching for reliable bottlers through which it may continue growing and expanding after franchising.</w:t>
      </w:r>
    </w:p>
    <w:p w14:paraId="4638440B" w14:textId="77777777"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Expected Outcomes of this Investment:</w:t>
      </w:r>
    </w:p>
    <w:p w14:paraId="77972CDD"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Over the past five years, Coca-Cola has expected several key outcomes from its Bottling Investments Group strategy. Market Share Growth, BIG has sought to deliver sustained value share increases in the non-alcoholic ready-to-drink (NARTD) and sparkling beverage categories in markets like the Philippines and India (coca-</w:t>
      </w:r>
      <w:proofErr w:type="spellStart"/>
      <w:r w:rsidRPr="00CB5437">
        <w:rPr>
          <w:rFonts w:ascii="Times New Roman" w:eastAsia="Times New Roman" w:hAnsi="Times New Roman" w:cs="Times New Roman"/>
          <w:sz w:val="24"/>
          <w:szCs w:val="24"/>
          <w:lang w:val="en-GB"/>
        </w:rPr>
        <w:t>colacompany</w:t>
      </w:r>
      <w:proofErr w:type="spellEnd"/>
      <w:r w:rsidRPr="00CB5437">
        <w:rPr>
          <w:rFonts w:ascii="Times New Roman" w:eastAsia="Times New Roman" w:hAnsi="Times New Roman" w:cs="Times New Roman"/>
          <w:sz w:val="24"/>
          <w:szCs w:val="24"/>
          <w:lang w:val="en-GB"/>
        </w:rPr>
        <w:t>, 2024). This growth is anticipated to expand the company’s market standing in these areas. Sustained Revenue Growth has been targeted at being in the double digits from BIG operations, and the statement in the 2023 highlight of achieving this growth for the third successive year supports this conclusion.</w:t>
      </w:r>
    </w:p>
    <w:p w14:paraId="7DA11670" w14:textId="17CFE129"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Margin Expansion even though Coca-Cola refranchised some operations to BIG, the company has anticipated BIG to increase its operating margins through operation simplification and the velocity </w:t>
      </w:r>
      <w:r w:rsidRPr="00CB5437">
        <w:rPr>
          <w:rFonts w:ascii="Times New Roman" w:eastAsia="Times New Roman" w:hAnsi="Times New Roman" w:cs="Times New Roman"/>
          <w:sz w:val="24"/>
          <w:szCs w:val="24"/>
          <w:lang w:val="en-GB"/>
        </w:rPr>
        <w:lastRenderedPageBreak/>
        <w:t xml:space="preserve">of top-line growth. Infrastructure Development is in emerging markets such as India, the company has made long-term </w:t>
      </w:r>
      <w:r w:rsidR="00C73A3A" w:rsidRPr="00CB5437">
        <w:rPr>
          <w:rFonts w:ascii="Times New Roman" w:eastAsia="Times New Roman" w:hAnsi="Times New Roman" w:cs="Times New Roman"/>
          <w:sz w:val="24"/>
          <w:szCs w:val="24"/>
          <w:lang w:val="en-GB"/>
        </w:rPr>
        <w:t>Greenfield</w:t>
      </w:r>
      <w:r w:rsidRPr="00CB5437">
        <w:rPr>
          <w:rFonts w:ascii="Times New Roman" w:eastAsia="Times New Roman" w:hAnsi="Times New Roman" w:cs="Times New Roman"/>
          <w:sz w:val="24"/>
          <w:szCs w:val="24"/>
          <w:lang w:val="en-GB"/>
        </w:rPr>
        <w:t xml:space="preserve"> investments in core infrastructural projects for future returns which are expected to start putting in returns from the fiscal 2024 onward. Successful Refranchising is one of the anticipated effects is the </w:t>
      </w:r>
      <w:r w:rsidR="00C138BA" w:rsidRPr="00CB5437">
        <w:rPr>
          <w:rFonts w:ascii="Times New Roman" w:eastAsia="Times New Roman" w:hAnsi="Times New Roman" w:cs="Times New Roman"/>
          <w:sz w:val="24"/>
          <w:szCs w:val="24"/>
          <w:lang w:val="en-GB"/>
        </w:rPr>
        <w:t>readoption</w:t>
      </w:r>
      <w:r w:rsidRPr="00CB5437">
        <w:rPr>
          <w:rFonts w:ascii="Times New Roman" w:eastAsia="Times New Roman" w:hAnsi="Times New Roman" w:cs="Times New Roman"/>
          <w:sz w:val="24"/>
          <w:szCs w:val="24"/>
          <w:lang w:val="en-GB"/>
        </w:rPr>
        <w:t xml:space="preserve"> of the bottling divisions to the more capable and reliable local franchisees (coca-</w:t>
      </w:r>
      <w:proofErr w:type="spellStart"/>
      <w:r w:rsidRPr="00CB5437">
        <w:rPr>
          <w:rFonts w:ascii="Times New Roman" w:eastAsia="Times New Roman" w:hAnsi="Times New Roman" w:cs="Times New Roman"/>
          <w:sz w:val="24"/>
          <w:szCs w:val="24"/>
          <w:lang w:val="en-GB"/>
        </w:rPr>
        <w:t>colacompany</w:t>
      </w:r>
      <w:proofErr w:type="spellEnd"/>
      <w:r w:rsidRPr="00CB5437">
        <w:rPr>
          <w:rFonts w:ascii="Times New Roman" w:eastAsia="Times New Roman" w:hAnsi="Times New Roman" w:cs="Times New Roman"/>
          <w:sz w:val="24"/>
          <w:szCs w:val="24"/>
          <w:lang w:val="en-GB"/>
        </w:rPr>
        <w:t xml:space="preserve">, 2024). This has been done in Vietnam, Cambodia, and recently in the Philippines, Bangladesh, and parts of India. The company has been announcing its initial public offering (IPO) of Coca-Cola Beverage Africa (CCBA), which was expected to be accomplished after the market conditions permit. </w:t>
      </w:r>
    </w:p>
    <w:p w14:paraId="27E6C624" w14:textId="1DB62553"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Enhanced Returns on Investment is proper balancing or investment in bottling and refranchising its business the Coca-Cola </w:t>
      </w:r>
      <w:r w:rsidR="00C73A3A" w:rsidRPr="00CB5437">
        <w:rPr>
          <w:rFonts w:ascii="Times New Roman" w:eastAsia="Times New Roman" w:hAnsi="Times New Roman" w:cs="Times New Roman"/>
          <w:sz w:val="24"/>
          <w:szCs w:val="24"/>
          <w:lang w:val="en-GB"/>
        </w:rPr>
        <w:t>Company</w:t>
      </w:r>
      <w:r w:rsidRPr="00CB5437">
        <w:rPr>
          <w:rFonts w:ascii="Times New Roman" w:eastAsia="Times New Roman" w:hAnsi="Times New Roman" w:cs="Times New Roman"/>
          <w:sz w:val="24"/>
          <w:szCs w:val="24"/>
          <w:lang w:val="en-GB"/>
        </w:rPr>
        <w:t xml:space="preserve"> is aiming to improve its returns on its investment in these markets. Improved Local Market Dynamics may help the company operate more efficiently since the local bottlers will better understand the local market environment (coca-</w:t>
      </w:r>
      <w:proofErr w:type="spellStart"/>
      <w:r w:rsidRPr="00CB5437">
        <w:rPr>
          <w:rFonts w:ascii="Times New Roman" w:eastAsia="Times New Roman" w:hAnsi="Times New Roman" w:cs="Times New Roman"/>
          <w:sz w:val="24"/>
          <w:szCs w:val="24"/>
          <w:lang w:val="en-GB"/>
        </w:rPr>
        <w:t>colacompany</w:t>
      </w:r>
      <w:proofErr w:type="spellEnd"/>
      <w:r w:rsidRPr="00CB5437">
        <w:rPr>
          <w:rFonts w:ascii="Times New Roman" w:eastAsia="Times New Roman" w:hAnsi="Times New Roman" w:cs="Times New Roman"/>
          <w:sz w:val="24"/>
          <w:szCs w:val="24"/>
          <w:lang w:val="en-GB"/>
        </w:rPr>
        <w:t xml:space="preserve">, 2024). Streamlined Corporate Structure is the essence, Coca-Cola seems to be planning on cutting back on its direct bottling presence to create a leaner image which may later benefit the firm in terms of efficiency. Knowledge Transfer is managing the bottling operations and then </w:t>
      </w:r>
      <w:proofErr w:type="spellStart"/>
      <w:r w:rsidRPr="00CB5437">
        <w:rPr>
          <w:rFonts w:ascii="Times New Roman" w:eastAsia="Times New Roman" w:hAnsi="Times New Roman" w:cs="Times New Roman"/>
          <w:sz w:val="24"/>
          <w:szCs w:val="24"/>
          <w:lang w:val="en-GB"/>
        </w:rPr>
        <w:t>refractioning</w:t>
      </w:r>
      <w:proofErr w:type="spellEnd"/>
      <w:r w:rsidRPr="00CB5437">
        <w:rPr>
          <w:rFonts w:ascii="Times New Roman" w:eastAsia="Times New Roman" w:hAnsi="Times New Roman" w:cs="Times New Roman"/>
          <w:sz w:val="24"/>
          <w:szCs w:val="24"/>
          <w:lang w:val="en-GB"/>
        </w:rPr>
        <w:t xml:space="preserve"> the whole process, the Coca-Cola Company aims to share best practices across the world. These expected outcomes correlate with Coca-Cola’s overall plan for fine-tuning its global bottler network while also sustaining high market and profitable growth in strategic geographic markets.</w:t>
      </w:r>
    </w:p>
    <w:p w14:paraId="5B4C2BDE" w14:textId="77777777" w:rsidR="00F80060" w:rsidRPr="00CB5437" w:rsidRDefault="008D2120">
      <w:pPr>
        <w:pStyle w:val="Heading2"/>
        <w:spacing w:after="200"/>
        <w:rPr>
          <w:lang w:val="en-GB"/>
        </w:rPr>
      </w:pPr>
      <w:bookmarkStart w:id="14" w:name="_Toc173947685"/>
      <w:r w:rsidRPr="00CB5437">
        <w:rPr>
          <w:lang w:val="en-GB"/>
        </w:rPr>
        <w:t>“Size of the Investment, and How, it is Financed”</w:t>
      </w:r>
      <w:bookmarkEnd w:id="14"/>
    </w:p>
    <w:p w14:paraId="143BC6DB" w14:textId="7DAFCD95"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From the year 2019 to 2023, Coca-Cola has had a substantial amount of investment in its operations and assets. Total assets have increased from $86,381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2019 to $97,703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2023, with a growth rate of approximately 13 percent. This has been a significant proportion of its investment in property, plant, and equipment (PP&amp;E) (WSJ, 2023). Nonetheless, the gross value of PP&amp;E has not </w:t>
      </w:r>
      <w:r w:rsidR="00C138BA" w:rsidRPr="00CB5437">
        <w:rPr>
          <w:rFonts w:ascii="Times New Roman" w:eastAsia="Times New Roman" w:hAnsi="Times New Roman" w:cs="Times New Roman"/>
          <w:sz w:val="24"/>
          <w:szCs w:val="24"/>
          <w:lang w:val="en-GB"/>
        </w:rPr>
        <w:t>fluctuated</w:t>
      </w:r>
      <w:r w:rsidRPr="00CB5437">
        <w:rPr>
          <w:rFonts w:ascii="Times New Roman" w:eastAsia="Times New Roman" w:hAnsi="Times New Roman" w:cs="Times New Roman"/>
          <w:sz w:val="24"/>
          <w:szCs w:val="24"/>
          <w:lang w:val="en-GB"/>
        </w:rPr>
        <w:t xml:space="preserve"> so much as it was $20,293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2019 and $19,797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2023. This implies continuous investment in maintaining and updating the production plants and machinery to counter depreciation.</w:t>
      </w:r>
    </w:p>
    <w:p w14:paraId="544885EA" w14:textId="2FCEA4E2"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There has been steady growth in intangible assets, which have risen from $26,766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the year 2019 to $33,223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2023. Thus, this 24% increase can be attributed to the creation of brand equity, patents, and other intangible assets that are strategic to Coca-Cola. The company has also </w:t>
      </w:r>
      <w:r w:rsidRPr="00CB5437">
        <w:rPr>
          <w:rFonts w:ascii="Times New Roman" w:eastAsia="Times New Roman" w:hAnsi="Times New Roman" w:cs="Times New Roman"/>
          <w:sz w:val="24"/>
          <w:szCs w:val="24"/>
          <w:lang w:val="en-GB"/>
        </w:rPr>
        <w:lastRenderedPageBreak/>
        <w:t xml:space="preserve">continued to make significant investments in affiliated companies; Long-term investments in affiliates stood at $19,025 </w:t>
      </w:r>
      <w:r w:rsidR="00C73A3A" w:rsidRPr="00CB5437">
        <w:rPr>
          <w:rFonts w:ascii="Times New Roman" w:eastAsia="Times New Roman" w:hAnsi="Times New Roman" w:cs="Times New Roman"/>
          <w:sz w:val="24"/>
          <w:szCs w:val="24"/>
          <w:lang w:val="en-GB"/>
        </w:rPr>
        <w:t>m for</w:t>
      </w:r>
      <w:r w:rsidRPr="00CB5437">
        <w:rPr>
          <w:rFonts w:ascii="Times New Roman" w:eastAsia="Times New Roman" w:hAnsi="Times New Roman" w:cs="Times New Roman"/>
          <w:sz w:val="24"/>
          <w:szCs w:val="24"/>
          <w:lang w:val="en-GB"/>
        </w:rPr>
        <w:t xml:space="preserve"> the year ended 2019 while it increased to $19,671 </w:t>
      </w:r>
      <w:r w:rsidR="00C73A3A" w:rsidRPr="00CB5437">
        <w:rPr>
          <w:rFonts w:ascii="Times New Roman" w:eastAsia="Times New Roman" w:hAnsi="Times New Roman" w:cs="Times New Roman"/>
          <w:sz w:val="24"/>
          <w:szCs w:val="24"/>
          <w:lang w:val="en-GB"/>
        </w:rPr>
        <w:t>m for</w:t>
      </w:r>
      <w:r w:rsidRPr="00CB5437">
        <w:rPr>
          <w:rFonts w:ascii="Times New Roman" w:eastAsia="Times New Roman" w:hAnsi="Times New Roman" w:cs="Times New Roman"/>
          <w:sz w:val="24"/>
          <w:szCs w:val="24"/>
          <w:lang w:val="en-GB"/>
        </w:rPr>
        <w:t xml:space="preserve"> the year ended 2023. This means that Coca-Cola has maintained a policy of investing in or acquiring bottling operations and other related businesses.</w:t>
      </w:r>
    </w:p>
    <w:p w14:paraId="7D465159"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noProof/>
          <w:sz w:val="24"/>
          <w:szCs w:val="24"/>
          <w:lang w:val="en-GB"/>
        </w:rPr>
        <w:drawing>
          <wp:inline distT="114300" distB="114300" distL="114300" distR="114300" wp14:anchorId="76DAA0A2" wp14:editId="3C5154EC">
            <wp:extent cx="5943600" cy="1985094"/>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1985094"/>
                    </a:xfrm>
                    <a:prstGeom prst="rect">
                      <a:avLst/>
                    </a:prstGeom>
                    <a:ln/>
                  </pic:spPr>
                </pic:pic>
              </a:graphicData>
            </a:graphic>
          </wp:inline>
        </w:drawing>
      </w:r>
      <w:r w:rsidRPr="00CB5437">
        <w:rPr>
          <w:rFonts w:ascii="Times New Roman" w:eastAsia="Times New Roman" w:hAnsi="Times New Roman" w:cs="Times New Roman"/>
          <w:noProof/>
          <w:sz w:val="24"/>
          <w:szCs w:val="24"/>
          <w:lang w:val="en-GB"/>
        </w:rPr>
        <w:drawing>
          <wp:inline distT="114300" distB="114300" distL="114300" distR="114300" wp14:anchorId="1733B522" wp14:editId="35B89332">
            <wp:extent cx="5943600" cy="2227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2227325"/>
                    </a:xfrm>
                    <a:prstGeom prst="rect">
                      <a:avLst/>
                    </a:prstGeom>
                    <a:ln/>
                  </pic:spPr>
                </pic:pic>
              </a:graphicData>
            </a:graphic>
          </wp:inline>
        </w:drawing>
      </w:r>
      <w:r w:rsidRPr="00CB5437">
        <w:rPr>
          <w:rFonts w:ascii="Times New Roman" w:eastAsia="Times New Roman" w:hAnsi="Times New Roman" w:cs="Times New Roman"/>
          <w:noProof/>
          <w:sz w:val="24"/>
          <w:szCs w:val="24"/>
          <w:lang w:val="en-GB"/>
        </w:rPr>
        <w:drawing>
          <wp:inline distT="114300" distB="114300" distL="114300" distR="114300" wp14:anchorId="04F3C7B3" wp14:editId="1740CC09">
            <wp:extent cx="5943600" cy="2487737"/>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2487737"/>
                    </a:xfrm>
                    <a:prstGeom prst="rect">
                      <a:avLst/>
                    </a:prstGeom>
                    <a:ln/>
                  </pic:spPr>
                </pic:pic>
              </a:graphicData>
            </a:graphic>
          </wp:inline>
        </w:drawing>
      </w:r>
      <w:r w:rsidRPr="00CB5437">
        <w:rPr>
          <w:rFonts w:ascii="Times New Roman" w:eastAsia="Times New Roman" w:hAnsi="Times New Roman" w:cs="Times New Roman"/>
          <w:noProof/>
          <w:sz w:val="24"/>
          <w:szCs w:val="24"/>
          <w:lang w:val="en-GB"/>
        </w:rPr>
        <w:lastRenderedPageBreak/>
        <w:drawing>
          <wp:inline distT="114300" distB="114300" distL="114300" distR="114300" wp14:anchorId="2BE03CFA" wp14:editId="54901624">
            <wp:extent cx="5943600" cy="1960625"/>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943600" cy="1960625"/>
                    </a:xfrm>
                    <a:prstGeom prst="rect">
                      <a:avLst/>
                    </a:prstGeom>
                    <a:ln/>
                  </pic:spPr>
                </pic:pic>
              </a:graphicData>
            </a:graphic>
          </wp:inline>
        </w:drawing>
      </w:r>
      <w:r w:rsidRPr="00CB5437">
        <w:rPr>
          <w:rFonts w:ascii="Times New Roman" w:eastAsia="Times New Roman" w:hAnsi="Times New Roman" w:cs="Times New Roman"/>
          <w:noProof/>
          <w:sz w:val="24"/>
          <w:szCs w:val="24"/>
          <w:lang w:val="en-GB"/>
        </w:rPr>
        <w:drawing>
          <wp:inline distT="114300" distB="114300" distL="114300" distR="114300" wp14:anchorId="36AE3C52" wp14:editId="554CD614">
            <wp:extent cx="5943600" cy="177012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1770125"/>
                    </a:xfrm>
                    <a:prstGeom prst="rect">
                      <a:avLst/>
                    </a:prstGeom>
                    <a:ln/>
                  </pic:spPr>
                </pic:pic>
              </a:graphicData>
            </a:graphic>
          </wp:inline>
        </w:drawing>
      </w:r>
      <w:r w:rsidRPr="00CB5437">
        <w:rPr>
          <w:rFonts w:ascii="Times New Roman" w:eastAsia="Times New Roman" w:hAnsi="Times New Roman" w:cs="Times New Roman"/>
          <w:noProof/>
          <w:sz w:val="24"/>
          <w:szCs w:val="24"/>
          <w:lang w:val="en-GB"/>
        </w:rPr>
        <w:lastRenderedPageBreak/>
        <w:drawing>
          <wp:inline distT="114300" distB="114300" distL="114300" distR="114300" wp14:anchorId="7FBD9142" wp14:editId="267A8292">
            <wp:extent cx="6005513" cy="21336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6005513" cy="2133600"/>
                    </a:xfrm>
                    <a:prstGeom prst="rect">
                      <a:avLst/>
                    </a:prstGeom>
                    <a:ln/>
                  </pic:spPr>
                </pic:pic>
              </a:graphicData>
            </a:graphic>
          </wp:inline>
        </w:drawing>
      </w:r>
      <w:r w:rsidRPr="00CB5437">
        <w:rPr>
          <w:rFonts w:ascii="Times New Roman" w:eastAsia="Times New Roman" w:hAnsi="Times New Roman" w:cs="Times New Roman"/>
          <w:noProof/>
          <w:sz w:val="24"/>
          <w:szCs w:val="24"/>
          <w:lang w:val="en-GB"/>
        </w:rPr>
        <w:drawing>
          <wp:inline distT="114300" distB="114300" distL="114300" distR="114300" wp14:anchorId="44EFDC9A" wp14:editId="40EED750">
            <wp:extent cx="5943600" cy="216065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943600" cy="2160650"/>
                    </a:xfrm>
                    <a:prstGeom prst="rect">
                      <a:avLst/>
                    </a:prstGeom>
                    <a:ln/>
                  </pic:spPr>
                </pic:pic>
              </a:graphicData>
            </a:graphic>
          </wp:inline>
        </w:drawing>
      </w:r>
    </w:p>
    <w:p w14:paraId="0DABC064"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noProof/>
          <w:sz w:val="24"/>
          <w:szCs w:val="24"/>
          <w:lang w:val="en-GB"/>
        </w:rPr>
        <w:lastRenderedPageBreak/>
        <w:drawing>
          <wp:inline distT="114300" distB="114300" distL="114300" distR="114300" wp14:anchorId="25C6E9F6" wp14:editId="5B0A4A4C">
            <wp:extent cx="5943600" cy="1951162"/>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943600" cy="1951162"/>
                    </a:xfrm>
                    <a:prstGeom prst="rect">
                      <a:avLst/>
                    </a:prstGeom>
                    <a:ln/>
                  </pic:spPr>
                </pic:pic>
              </a:graphicData>
            </a:graphic>
          </wp:inline>
        </w:drawing>
      </w:r>
      <w:r w:rsidRPr="00CB5437">
        <w:rPr>
          <w:rFonts w:ascii="Times New Roman" w:eastAsia="Times New Roman" w:hAnsi="Times New Roman" w:cs="Times New Roman"/>
          <w:noProof/>
          <w:sz w:val="24"/>
          <w:szCs w:val="24"/>
          <w:lang w:val="en-GB"/>
        </w:rPr>
        <w:drawing>
          <wp:inline distT="114300" distB="114300" distL="114300" distR="114300" wp14:anchorId="34D12DD6" wp14:editId="57D8379E">
            <wp:extent cx="5943600" cy="21701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943600" cy="2170175"/>
                    </a:xfrm>
                    <a:prstGeom prst="rect">
                      <a:avLst/>
                    </a:prstGeom>
                    <a:ln/>
                  </pic:spPr>
                </pic:pic>
              </a:graphicData>
            </a:graphic>
          </wp:inline>
        </w:drawing>
      </w:r>
    </w:p>
    <w:p w14:paraId="110075F4" w14:textId="41EFC043" w:rsidR="00F80060" w:rsidRPr="00CB5437" w:rsidRDefault="00294872">
      <w:pPr>
        <w:spacing w:after="200" w:line="360" w:lineRule="auto"/>
        <w:jc w:val="center"/>
        <w:rPr>
          <w:rFonts w:ascii="Times New Roman" w:eastAsia="Times New Roman" w:hAnsi="Times New Roman" w:cs="Times New Roman"/>
          <w:sz w:val="24"/>
          <w:szCs w:val="24"/>
          <w:lang w:val="en-GB"/>
        </w:rPr>
      </w:pPr>
      <w:r w:rsidRPr="00CB5437">
        <w:rPr>
          <w:rFonts w:ascii="Times New Roman" w:eastAsia="Times New Roman" w:hAnsi="Times New Roman" w:cs="Times New Roman"/>
          <w:b/>
          <w:sz w:val="24"/>
          <w:szCs w:val="24"/>
          <w:lang w:val="en-GB"/>
        </w:rPr>
        <w:t>Figure 2</w:t>
      </w:r>
      <w:r w:rsidR="008D2120" w:rsidRPr="00CB5437">
        <w:rPr>
          <w:rFonts w:ascii="Times New Roman" w:eastAsia="Times New Roman" w:hAnsi="Times New Roman" w:cs="Times New Roman"/>
          <w:b/>
          <w:sz w:val="24"/>
          <w:szCs w:val="24"/>
          <w:lang w:val="en-GB"/>
        </w:rPr>
        <w:t>: Balance Sheet of Coca-</w:t>
      </w:r>
      <w:r w:rsidR="00C73A3A" w:rsidRPr="00CB5437">
        <w:rPr>
          <w:rFonts w:ascii="Times New Roman" w:eastAsia="Times New Roman" w:hAnsi="Times New Roman" w:cs="Times New Roman"/>
          <w:b/>
          <w:sz w:val="24"/>
          <w:szCs w:val="24"/>
          <w:lang w:val="en-GB"/>
        </w:rPr>
        <w:t xml:space="preserve">Cola </w:t>
      </w:r>
      <w:r w:rsidR="008D2120" w:rsidRPr="00CB5437">
        <w:rPr>
          <w:rFonts w:ascii="Times New Roman" w:eastAsia="Times New Roman" w:hAnsi="Times New Roman" w:cs="Times New Roman"/>
          <w:sz w:val="24"/>
          <w:szCs w:val="24"/>
          <w:lang w:val="en-GB"/>
        </w:rPr>
        <w:br/>
        <w:t xml:space="preserve">(Source: </w:t>
      </w:r>
      <w:r w:rsidR="00C73A3A" w:rsidRPr="00CB5437">
        <w:rPr>
          <w:rFonts w:ascii="Times New Roman" w:eastAsia="Times New Roman" w:hAnsi="Times New Roman" w:cs="Times New Roman"/>
          <w:sz w:val="24"/>
          <w:szCs w:val="24"/>
          <w:lang w:val="en-GB"/>
        </w:rPr>
        <w:t>WSJ,</w:t>
      </w:r>
      <w:r w:rsidR="008D2120" w:rsidRPr="00CB5437">
        <w:rPr>
          <w:rFonts w:ascii="Times New Roman" w:eastAsia="Times New Roman" w:hAnsi="Times New Roman" w:cs="Times New Roman"/>
          <w:sz w:val="24"/>
          <w:szCs w:val="24"/>
          <w:lang w:val="en-GB"/>
        </w:rPr>
        <w:t xml:space="preserve"> 2023)</w:t>
      </w:r>
    </w:p>
    <w:p w14:paraId="59B9B8E7" w14:textId="77777777"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To finance these investments, Coca-Cola has utilised a combination of methods:</w:t>
      </w:r>
    </w:p>
    <w:p w14:paraId="44F756A7" w14:textId="106E3961" w:rsidR="00F80060" w:rsidRPr="00CB5437" w:rsidRDefault="008D2120">
      <w:pPr>
        <w:numPr>
          <w:ilvl w:val="0"/>
          <w:numId w:val="3"/>
        </w:num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“Retained Earnings”: This means that a good proportion of the profits have been re-invested into the business; especially the retained earnings have increased from $ 65,855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2019 to $73,782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2023.</w:t>
      </w:r>
    </w:p>
    <w:p w14:paraId="5FC40B40" w14:textId="504C4058" w:rsidR="00F80060" w:rsidRPr="00CB5437" w:rsidRDefault="008D2120">
      <w:pPr>
        <w:numPr>
          <w:ilvl w:val="0"/>
          <w:numId w:val="3"/>
        </w:num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“Debt Financing”: Coca-Cola has had a fairly high constant long-term debt that was at $ 36,548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2013 (</w:t>
      </w:r>
      <w:r w:rsidR="00C73A3A" w:rsidRPr="00CB5437">
        <w:rPr>
          <w:rFonts w:ascii="Times New Roman" w:eastAsia="Times New Roman" w:hAnsi="Times New Roman" w:cs="Times New Roman"/>
          <w:sz w:val="24"/>
          <w:szCs w:val="24"/>
          <w:lang w:val="en-GB"/>
        </w:rPr>
        <w:t>WSJ,</w:t>
      </w:r>
      <w:r w:rsidRPr="00CB5437">
        <w:rPr>
          <w:rFonts w:ascii="Times New Roman" w:eastAsia="Times New Roman" w:hAnsi="Times New Roman" w:cs="Times New Roman"/>
          <w:sz w:val="24"/>
          <w:szCs w:val="24"/>
          <w:lang w:val="en-GB"/>
        </w:rPr>
        <w:t xml:space="preserve"> 2023). This is slightly higher than the total of $ 28,627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the year 2019 though it has reduced from the peak of $ 41,425 in the year 2020 indicating recent efforts to </w:t>
      </w:r>
      <w:r w:rsidR="00C73A3A" w:rsidRPr="00CB5437">
        <w:rPr>
          <w:rFonts w:ascii="Times New Roman" w:eastAsia="Times New Roman" w:hAnsi="Times New Roman" w:cs="Times New Roman"/>
          <w:sz w:val="24"/>
          <w:szCs w:val="24"/>
          <w:lang w:val="en-GB"/>
        </w:rPr>
        <w:t>cut</w:t>
      </w:r>
      <w:r w:rsidRPr="00CB5437">
        <w:rPr>
          <w:rFonts w:ascii="Times New Roman" w:eastAsia="Times New Roman" w:hAnsi="Times New Roman" w:cs="Times New Roman"/>
          <w:sz w:val="24"/>
          <w:szCs w:val="24"/>
          <w:lang w:val="en-GB"/>
        </w:rPr>
        <w:t xml:space="preserve"> down the debts.</w:t>
      </w:r>
    </w:p>
    <w:p w14:paraId="7EF07422" w14:textId="4616DBEC" w:rsidR="00F80060" w:rsidRPr="00CB5437" w:rsidRDefault="008D2120">
      <w:pPr>
        <w:numPr>
          <w:ilvl w:val="0"/>
          <w:numId w:val="3"/>
        </w:num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“Short-term Borrowings”: The </w:t>
      </w:r>
      <w:r w:rsidR="00C73A3A" w:rsidRPr="00CB5437">
        <w:rPr>
          <w:rFonts w:ascii="Times New Roman" w:eastAsia="Times New Roman" w:hAnsi="Times New Roman" w:cs="Times New Roman"/>
          <w:sz w:val="24"/>
          <w:szCs w:val="24"/>
          <w:lang w:val="en-GB"/>
        </w:rPr>
        <w:t>Company</w:t>
      </w:r>
      <w:r w:rsidRPr="00CB5437">
        <w:rPr>
          <w:rFonts w:ascii="Times New Roman" w:eastAsia="Times New Roman" w:hAnsi="Times New Roman" w:cs="Times New Roman"/>
          <w:sz w:val="24"/>
          <w:szCs w:val="24"/>
          <w:lang w:val="en-GB"/>
        </w:rPr>
        <w:t xml:space="preserve"> has also used short-term liability which varies greatly for the period from 2019, 11,275 </w:t>
      </w:r>
      <w:r w:rsidR="00C73A3A" w:rsidRPr="00CB5437">
        <w:rPr>
          <w:rFonts w:ascii="Times New Roman" w:eastAsia="Times New Roman" w:hAnsi="Times New Roman" w:cs="Times New Roman"/>
          <w:sz w:val="24"/>
          <w:szCs w:val="24"/>
          <w:lang w:val="en-GB"/>
        </w:rPr>
        <w:t>m to</w:t>
      </w:r>
      <w:r w:rsidRPr="00CB5437">
        <w:rPr>
          <w:rFonts w:ascii="Times New Roman" w:eastAsia="Times New Roman" w:hAnsi="Times New Roman" w:cs="Times New Roman"/>
          <w:sz w:val="24"/>
          <w:szCs w:val="24"/>
          <w:lang w:val="en-GB"/>
        </w:rPr>
        <w:t xml:space="preserve"> 2023, </w:t>
      </w:r>
      <w:r w:rsidR="00C73A3A" w:rsidRPr="00CB5437">
        <w:rPr>
          <w:rFonts w:ascii="Times New Roman" w:eastAsia="Times New Roman" w:hAnsi="Times New Roman" w:cs="Times New Roman"/>
          <w:sz w:val="24"/>
          <w:szCs w:val="24"/>
          <w:lang w:val="en-GB"/>
        </w:rPr>
        <w:t>and 4,918</w:t>
      </w:r>
      <w:r w:rsidRPr="00CB5437">
        <w:rPr>
          <w:rFonts w:ascii="Times New Roman" w:eastAsia="Times New Roman" w:hAnsi="Times New Roman" w:cs="Times New Roman"/>
          <w:sz w:val="24"/>
          <w:szCs w:val="24"/>
          <w:lang w:val="en-GB"/>
        </w:rPr>
        <w:t xml:space="preserve"> m.</w:t>
      </w:r>
    </w:p>
    <w:p w14:paraId="69A42D0B" w14:textId="77777777" w:rsidR="00F80060" w:rsidRPr="00CB5437" w:rsidRDefault="008D2120">
      <w:pPr>
        <w:numPr>
          <w:ilvl w:val="0"/>
          <w:numId w:val="3"/>
        </w:numPr>
        <w:spacing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lastRenderedPageBreak/>
        <w:t>“Cash Management”: Coca-Cola has always experienced good health on cash and the cash and short-term investment has increased from $11,175m in 2019 to $13,663m in 2023. This makes it adaptable when it comes to investments and operations.</w:t>
      </w:r>
    </w:p>
    <w:p w14:paraId="5A60E007" w14:textId="596A92A7" w:rsidR="00F80060" w:rsidRPr="00CB5437" w:rsidRDefault="008D2120">
      <w:pPr>
        <w:numPr>
          <w:ilvl w:val="0"/>
          <w:numId w:val="3"/>
        </w:num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“Equity”: The “total shareholders’ equity” stands at $ 25,941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2023 which was $18,981 </w:t>
      </w:r>
      <w:r w:rsidR="00C73A3A" w:rsidRPr="00CB5437">
        <w:rPr>
          <w:rFonts w:ascii="Times New Roman" w:eastAsia="Times New Roman" w:hAnsi="Times New Roman" w:cs="Times New Roman"/>
          <w:sz w:val="24"/>
          <w:szCs w:val="24"/>
          <w:lang w:val="en-GB"/>
        </w:rPr>
        <w:t>m in</w:t>
      </w:r>
      <w:r w:rsidRPr="00CB5437">
        <w:rPr>
          <w:rFonts w:ascii="Times New Roman" w:eastAsia="Times New Roman" w:hAnsi="Times New Roman" w:cs="Times New Roman"/>
          <w:sz w:val="24"/>
          <w:szCs w:val="24"/>
          <w:lang w:val="en-GB"/>
        </w:rPr>
        <w:t xml:space="preserve"> 2019 providing extra financial strength.</w:t>
      </w:r>
    </w:p>
    <w:p w14:paraId="517F4EFF" w14:textId="58250F2F"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sz w:val="24"/>
          <w:szCs w:val="24"/>
          <w:lang w:val="en-GB"/>
        </w:rPr>
        <w:t xml:space="preserve">It must be noted that due to Coca-Cola’s financing strategy, there is a slight increase in its financial leverage. The total liabilities to total assets ratio </w:t>
      </w:r>
      <w:proofErr w:type="gramStart"/>
      <w:r w:rsidRPr="00CB5437">
        <w:rPr>
          <w:rFonts w:ascii="Times New Roman" w:eastAsia="Times New Roman" w:hAnsi="Times New Roman" w:cs="Times New Roman"/>
          <w:sz w:val="24"/>
          <w:szCs w:val="24"/>
          <w:lang w:val="en-GB"/>
        </w:rPr>
        <w:t>has</w:t>
      </w:r>
      <w:proofErr w:type="gramEnd"/>
      <w:r w:rsidRPr="00CB5437">
        <w:rPr>
          <w:rFonts w:ascii="Times New Roman" w:eastAsia="Times New Roman" w:hAnsi="Times New Roman" w:cs="Times New Roman"/>
          <w:sz w:val="24"/>
          <w:szCs w:val="24"/>
          <w:lang w:val="en-GB"/>
        </w:rPr>
        <w:t xml:space="preserve"> declined from 75.58% in 2019 to 71.87% in 2023 which shows a slight improvement in its balance sheet. It can be seen that over the past five years, Coca-Cola has mainly used investments to increase and stabilize its operational capacities, enhance and protect the brand’s equity and other intangible assets, and make valuable partnerships (</w:t>
      </w:r>
      <w:r w:rsidR="00C73A3A" w:rsidRPr="00CB5437">
        <w:rPr>
          <w:rFonts w:ascii="Times New Roman" w:eastAsia="Times New Roman" w:hAnsi="Times New Roman" w:cs="Times New Roman"/>
          <w:sz w:val="24"/>
          <w:szCs w:val="24"/>
          <w:lang w:val="en-GB"/>
        </w:rPr>
        <w:t>WSJ,</w:t>
      </w:r>
      <w:r w:rsidRPr="00CB5437">
        <w:rPr>
          <w:rFonts w:ascii="Times New Roman" w:eastAsia="Times New Roman" w:hAnsi="Times New Roman" w:cs="Times New Roman"/>
          <w:sz w:val="24"/>
          <w:szCs w:val="24"/>
          <w:lang w:val="en-GB"/>
        </w:rPr>
        <w:t xml:space="preserve"> 2023). These investments have been funded through a combination of reinvested profits, management of the company’s borrowing capabilities, and effective utilisation of its healthy cash reserves.</w:t>
      </w:r>
    </w:p>
    <w:p w14:paraId="1C068067" w14:textId="77777777" w:rsidR="00F80060" w:rsidRPr="00CB5437" w:rsidRDefault="008D2120">
      <w:pPr>
        <w:pStyle w:val="Heading2"/>
        <w:spacing w:after="200"/>
        <w:rPr>
          <w:lang w:val="en-GB"/>
        </w:rPr>
      </w:pPr>
      <w:bookmarkStart w:id="15" w:name="_Toc173947686"/>
      <w:r w:rsidRPr="00CB5437">
        <w:rPr>
          <w:lang w:val="en-GB"/>
        </w:rPr>
        <w:t>“Feasibility of the Investment: Current Business”</w:t>
      </w:r>
      <w:bookmarkEnd w:id="15"/>
    </w:p>
    <w:p w14:paraId="4078BB3F" w14:textId="11EBAEFB"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The feasibility of Coca-Cola has adopted a suitable investment strategy concerning its current business model and market position. The company has made the following investments in the past five years as a leading company in the beverage industry of the world. Coca-Cola’s property plant and equipment investment have considerably increased portraying efficiency in production. This is especially important for a company that operates based on mass production and delivery to customers all over the world (Henry, 2022). The fact that the gross value of PP&amp;E (Property, plant, and equipment) has not increased sharply over the </w:t>
      </w:r>
      <w:r w:rsidR="00C73A3A" w:rsidRPr="00CB5437">
        <w:rPr>
          <w:rFonts w:ascii="Times New Roman" w:eastAsia="Times New Roman" w:hAnsi="Times New Roman" w:cs="Times New Roman"/>
          <w:sz w:val="24"/>
          <w:szCs w:val="24"/>
          <w:lang w:val="en-GB"/>
        </w:rPr>
        <w:t>year’s</w:t>
      </w:r>
      <w:r w:rsidRPr="00CB5437">
        <w:rPr>
          <w:rFonts w:ascii="Times New Roman" w:eastAsia="Times New Roman" w:hAnsi="Times New Roman" w:cs="Times New Roman"/>
          <w:sz w:val="24"/>
          <w:szCs w:val="24"/>
          <w:lang w:val="en-GB"/>
        </w:rPr>
        <w:t xml:space="preserve"> means that the company is making new investments and replacing worn-out assets, which is healthy for a company in a mature industry.</w:t>
      </w:r>
    </w:p>
    <w:p w14:paraId="72B432D4"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A sharp rise in goodwill and other intangible assets is more commensurate with the company’s operations since Coca-Cola’s business model mainly revolves around brand equity and innovation. Public tastes are fickle in the beverage industry and therefore brand building is a never-ending process as is the introduction of new products and product lines. Coca-Cola’s ongoing investments in affiliate companies, particularly in the bottling operations are a strategic direction in supply chain management by the firm (Henry </w:t>
      </w:r>
      <w:r w:rsidRPr="00CB5437">
        <w:rPr>
          <w:rFonts w:ascii="Times New Roman" w:eastAsia="Times New Roman" w:hAnsi="Times New Roman" w:cs="Times New Roman"/>
          <w:i/>
          <w:sz w:val="24"/>
          <w:szCs w:val="24"/>
          <w:lang w:val="en-GB"/>
        </w:rPr>
        <w:t>et al.</w:t>
      </w:r>
      <w:r w:rsidRPr="00CB5437">
        <w:rPr>
          <w:rFonts w:ascii="Times New Roman" w:eastAsia="Times New Roman" w:hAnsi="Times New Roman" w:cs="Times New Roman"/>
          <w:sz w:val="24"/>
          <w:szCs w:val="24"/>
          <w:lang w:val="en-GB"/>
        </w:rPr>
        <w:t xml:space="preserve"> 2021). This strategy enables the company to retain </w:t>
      </w:r>
      <w:r w:rsidRPr="00CB5437">
        <w:rPr>
          <w:rFonts w:ascii="Times New Roman" w:eastAsia="Times New Roman" w:hAnsi="Times New Roman" w:cs="Times New Roman"/>
          <w:sz w:val="24"/>
          <w:szCs w:val="24"/>
          <w:lang w:val="en-GB"/>
        </w:rPr>
        <w:lastRenderedPageBreak/>
        <w:t>major elements of production and distribution while sharing risks and investment costs with other players.</w:t>
      </w:r>
    </w:p>
    <w:p w14:paraId="060EF225"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However, when it comes to financing the investment, it seems quite reasonable and effective for the company. The increase in retained earnings shows that Coca-Cola is earning enough profits to self-fund a large part of its investments. The company also has good cash reserves, which give more freedom in investments and act as protection against such risks. A marginal decline in financial leverage over the past five years indicates that the company is handling investments without tilting the balance sheet significantly (Siegel, 2021). This balanced way of financing also serves to protect the company’s creditworthiness which is very important, especially for a multinational company that has to deal with fluctuations in different currencies. The investment approach suggested for Coca-Cola looks plausible and suitable for the company’s existing organizational model, which concentrates on sustaining operational efficiency, developing brand equity, and leveraging partnerships worldwide.</w:t>
      </w:r>
    </w:p>
    <w:p w14:paraId="066C2420" w14:textId="77777777" w:rsidR="00F80060" w:rsidRPr="00CB5437" w:rsidRDefault="008D2120">
      <w:pPr>
        <w:pStyle w:val="Heading2"/>
        <w:spacing w:after="200"/>
        <w:rPr>
          <w:lang w:val="en-GB"/>
        </w:rPr>
      </w:pPr>
      <w:bookmarkStart w:id="16" w:name="_Toc173947687"/>
      <w:r w:rsidRPr="00CB5437">
        <w:rPr>
          <w:lang w:val="en-GB"/>
        </w:rPr>
        <w:t>“Current Outcome of the Investment”</w:t>
      </w:r>
      <w:bookmarkEnd w:id="16"/>
    </w:p>
    <w:p w14:paraId="7DB29951" w14:textId="77777777"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Trends of Coca-Cola’s Recent Investment Outcomes:</w:t>
      </w:r>
    </w:p>
    <w:p w14:paraId="47B0B362"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Over the five years, the investment approach adopted by the company has had some positive results while facing continuous difficulties. The company has mostly achieved its operational objectives for efficiency, brand equity, and strategic partnerships, though there are areas that the firm could improve on.</w:t>
      </w:r>
    </w:p>
    <w:p w14:paraId="60DE9349" w14:textId="77777777"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Financial Performance:</w:t>
      </w:r>
    </w:p>
    <w:p w14:paraId="55C54BCF"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Perhaps one of the most impressive accomplishments has been the financial returns posted by the Coca-Cola Company. For the year ended 2023, the company registered good performance with sales increasing by 7% to more than $6.6 billion (</w:t>
      </w:r>
      <w:proofErr w:type="spellStart"/>
      <w:r w:rsidRPr="00CB5437">
        <w:rPr>
          <w:rFonts w:ascii="Times New Roman" w:eastAsia="Times New Roman" w:hAnsi="Times New Roman" w:cs="Times New Roman"/>
          <w:sz w:val="24"/>
          <w:szCs w:val="24"/>
          <w:lang w:val="en-GB"/>
        </w:rPr>
        <w:t>cokeconsolidated</w:t>
      </w:r>
      <w:proofErr w:type="spellEnd"/>
      <w:r w:rsidRPr="00CB5437">
        <w:rPr>
          <w:rFonts w:ascii="Times New Roman" w:eastAsia="Times New Roman" w:hAnsi="Times New Roman" w:cs="Times New Roman"/>
          <w:sz w:val="24"/>
          <w:szCs w:val="24"/>
          <w:lang w:val="en-GB"/>
        </w:rPr>
        <w:t>, 2023). Even more encouraging, the company recorded an operating income of $834 million, which was 30% up from the prior year. Such financial growth shows that Coca-Cola’s investments in its strategic operations and brand management have been effective in sustaining its presence and financial performance in a highly competitive industry.</w:t>
      </w:r>
    </w:p>
    <w:p w14:paraId="0CFA1A72" w14:textId="77777777"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Infrastructure and Operational Improvements:</w:t>
      </w:r>
    </w:p>
    <w:p w14:paraId="71D53D82"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lastRenderedPageBreak/>
        <w:t>On the infrastructure investments, results depict a touch of positivism throughout Coca-Cola’s operations. The company has also managed to increase the capability of its operations; the construction of a new distribution plant in Ohio and the expansion of a remanufacturing plant in North Carolina. Some of these changes in the supply chain and distribution networks most probably have helped the company to meet the demand efficiently and effectively.</w:t>
      </w:r>
    </w:p>
    <w:p w14:paraId="1CA5A9FA" w14:textId="77777777"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Brand and Product Innovation:</w:t>
      </w:r>
    </w:p>
    <w:p w14:paraId="1A769824"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The commitment to creating brand equity and focus on product differentiation has ensured that the firm is competitive in a shifting environment. Coca-Cola has been able to revitalize its drinks portfolio, for instance, through the addition of new products such as Bang Energy and the growth of its Coca-Cola Zero Sugar segment. These product innovations illustrate the company’s capacity to shift to meet current consumer preferences such as the growing demand for healthier beverages.</w:t>
      </w:r>
    </w:p>
    <w:p w14:paraId="52B75905" w14:textId="77777777"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Strategy of Bottling Investments Group:</w:t>
      </w:r>
    </w:p>
    <w:p w14:paraId="5EDEFAA4"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The “Bottling Investments Group” strategy has had varying success. On one hand, BIG has been able to deliver consistent value share gains in strategic markets such as the Philippines and India. The strategy has also been effective in refranchising operations in many locations such as Vietnam, Cambodia, and parts of India which have allowed Coca-Cola to leverage local market knowledge while also cutting direct operational costs. The proposed IPO of Coca-Cola Beverage Africa (CCBA) has been halted because of the market conditions for the proposed IPO (coca-</w:t>
      </w:r>
      <w:proofErr w:type="spellStart"/>
      <w:r w:rsidRPr="00CB5437">
        <w:rPr>
          <w:rFonts w:ascii="Times New Roman" w:eastAsia="Times New Roman" w:hAnsi="Times New Roman" w:cs="Times New Roman"/>
          <w:sz w:val="24"/>
          <w:szCs w:val="24"/>
          <w:lang w:val="en-GB"/>
        </w:rPr>
        <w:t>colacompany</w:t>
      </w:r>
      <w:proofErr w:type="spellEnd"/>
      <w:r w:rsidRPr="00CB5437">
        <w:rPr>
          <w:rFonts w:ascii="Times New Roman" w:eastAsia="Times New Roman" w:hAnsi="Times New Roman" w:cs="Times New Roman"/>
          <w:sz w:val="24"/>
          <w:szCs w:val="24"/>
          <w:lang w:val="en-GB"/>
        </w:rPr>
        <w:t>, 2024). This slow pace indicates that not all elements of the BIG strategy have moved as smoothly as the firm might have desired.</w:t>
      </w:r>
    </w:p>
    <w:p w14:paraId="2B426003" w14:textId="77777777"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Sustainability and Corporate Responsibility:</w:t>
      </w:r>
    </w:p>
    <w:p w14:paraId="2C6A254A"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proofErr w:type="spellStart"/>
      <w:r w:rsidRPr="00CB5437">
        <w:rPr>
          <w:rFonts w:ascii="Times New Roman" w:eastAsia="Times New Roman" w:hAnsi="Times New Roman" w:cs="Times New Roman"/>
          <w:sz w:val="24"/>
          <w:szCs w:val="24"/>
          <w:lang w:val="en-GB"/>
        </w:rPr>
        <w:t>Coca-cola</w:t>
      </w:r>
      <w:proofErr w:type="spellEnd"/>
      <w:r w:rsidRPr="00CB5437">
        <w:rPr>
          <w:rFonts w:ascii="Times New Roman" w:eastAsia="Times New Roman" w:hAnsi="Times New Roman" w:cs="Times New Roman"/>
          <w:sz w:val="24"/>
          <w:szCs w:val="24"/>
          <w:lang w:val="en-GB"/>
        </w:rPr>
        <w:t xml:space="preserve"> has embraced sustainability issues to increase its chances of tackling the emerging issues to do with climatic change and corporate responsibility. The particular consequences are described as the company’s efforts on social, corporate citizenship, and environmental concerns (Senay </w:t>
      </w:r>
      <w:r w:rsidRPr="00CB5437">
        <w:rPr>
          <w:rFonts w:ascii="Times New Roman" w:eastAsia="Times New Roman" w:hAnsi="Times New Roman" w:cs="Times New Roman"/>
          <w:i/>
          <w:sz w:val="24"/>
          <w:szCs w:val="24"/>
          <w:lang w:val="en-GB"/>
        </w:rPr>
        <w:t xml:space="preserve">et al. </w:t>
      </w:r>
      <w:r w:rsidRPr="00CB5437">
        <w:rPr>
          <w:rFonts w:ascii="Times New Roman" w:eastAsia="Times New Roman" w:hAnsi="Times New Roman" w:cs="Times New Roman"/>
          <w:sz w:val="24"/>
          <w:szCs w:val="24"/>
          <w:lang w:val="en-GB"/>
        </w:rPr>
        <w:t>2023). This has a positive impact on the brand image and reduces the risks that climate change and the changing legislation entails.</w:t>
      </w:r>
    </w:p>
    <w:p w14:paraId="7F254552" w14:textId="77777777" w:rsidR="00F80060" w:rsidRPr="00CB5437" w:rsidRDefault="008D2120">
      <w:pPr>
        <w:spacing w:after="200" w:line="360" w:lineRule="auto"/>
        <w:jc w:val="both"/>
        <w:rPr>
          <w:rFonts w:ascii="Times New Roman" w:eastAsia="Times New Roman" w:hAnsi="Times New Roman" w:cs="Times New Roman"/>
          <w:b/>
          <w:i/>
          <w:sz w:val="24"/>
          <w:szCs w:val="24"/>
          <w:lang w:val="en-GB"/>
        </w:rPr>
      </w:pPr>
      <w:r w:rsidRPr="00CB5437">
        <w:rPr>
          <w:rFonts w:ascii="Times New Roman" w:eastAsia="Times New Roman" w:hAnsi="Times New Roman" w:cs="Times New Roman"/>
          <w:b/>
          <w:i/>
          <w:sz w:val="24"/>
          <w:szCs w:val="24"/>
          <w:lang w:val="en-GB"/>
        </w:rPr>
        <w:t>Difficulties and Ideas for Development:</w:t>
      </w:r>
    </w:p>
    <w:p w14:paraId="53E158E4"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lastRenderedPageBreak/>
        <w:t>Coca-Cola has been experiencing some success in all its operations, though the company has not fully left the woods. The company’s total assets have increased approximately 13 percent during five years, this increase has come at the cost of higher long-term debt. The company has recently attempted to address this problem but maintaining the financial leverage ratio is still a challenge. Despite the innovations that Coca-Cola has made in product differentiation, the beverage industry is one of the most dynamic industries in the market (</w:t>
      </w:r>
      <w:proofErr w:type="spellStart"/>
      <w:r w:rsidRPr="00CB5437">
        <w:rPr>
          <w:rFonts w:ascii="Times New Roman" w:eastAsia="Times New Roman" w:hAnsi="Times New Roman" w:cs="Times New Roman"/>
          <w:sz w:val="24"/>
          <w:szCs w:val="24"/>
          <w:lang w:val="en-GB"/>
        </w:rPr>
        <w:t>Augulyté</w:t>
      </w:r>
      <w:proofErr w:type="spellEnd"/>
      <w:r w:rsidRPr="00CB5437">
        <w:rPr>
          <w:rFonts w:ascii="Times New Roman" w:eastAsia="Times New Roman" w:hAnsi="Times New Roman" w:cs="Times New Roman"/>
          <w:sz w:val="24"/>
          <w:szCs w:val="24"/>
          <w:lang w:val="en-GB"/>
        </w:rPr>
        <w:t>, 2020). The company will require sustaining its level of R&amp;D to respond to new trends in consumption and possible competitors in the market.</w:t>
      </w:r>
    </w:p>
    <w:p w14:paraId="071C17A5" w14:textId="77777777" w:rsidR="00F80060" w:rsidRPr="00CB5437" w:rsidRDefault="00F80060">
      <w:pPr>
        <w:spacing w:after="200" w:line="360" w:lineRule="auto"/>
        <w:jc w:val="both"/>
        <w:rPr>
          <w:rFonts w:ascii="Times New Roman" w:eastAsia="Times New Roman" w:hAnsi="Times New Roman" w:cs="Times New Roman"/>
          <w:sz w:val="24"/>
          <w:szCs w:val="24"/>
          <w:lang w:val="en-GB"/>
        </w:rPr>
      </w:pPr>
    </w:p>
    <w:p w14:paraId="5BC3CF3C" w14:textId="77777777" w:rsidR="00F80060" w:rsidRPr="00CB5437" w:rsidRDefault="008D2120">
      <w:pPr>
        <w:spacing w:after="200" w:line="360" w:lineRule="auto"/>
        <w:jc w:val="both"/>
        <w:rPr>
          <w:rFonts w:ascii="Times New Roman" w:eastAsia="Times New Roman" w:hAnsi="Times New Roman" w:cs="Times New Roman"/>
          <w:sz w:val="24"/>
          <w:szCs w:val="24"/>
          <w:lang w:val="en-GB"/>
        </w:rPr>
      </w:pPr>
      <w:r w:rsidRPr="00CB5437">
        <w:rPr>
          <w:lang w:val="en-GB"/>
        </w:rPr>
        <w:br w:type="page"/>
      </w:r>
    </w:p>
    <w:p w14:paraId="01F216C7" w14:textId="501AB0A5" w:rsidR="00F80060" w:rsidRPr="00CB5437" w:rsidRDefault="008D2120">
      <w:pPr>
        <w:pStyle w:val="Heading1"/>
        <w:spacing w:after="200"/>
        <w:rPr>
          <w:lang w:val="en-GB"/>
        </w:rPr>
      </w:pPr>
      <w:bookmarkStart w:id="17" w:name="_Toc173947688"/>
      <w:r w:rsidRPr="00CB5437">
        <w:rPr>
          <w:lang w:val="en-GB"/>
        </w:rPr>
        <w:lastRenderedPageBreak/>
        <w:t>Reference List</w:t>
      </w:r>
      <w:bookmarkEnd w:id="17"/>
    </w:p>
    <w:p w14:paraId="1E9E12F3" w14:textId="77777777" w:rsidR="00CB5437" w:rsidRPr="00CB5437" w:rsidRDefault="00CB5437" w:rsidP="00C73A3A">
      <w:pPr>
        <w:pStyle w:val="NormalWeb"/>
        <w:spacing w:before="0" w:beforeAutospacing="0" w:after="200" w:afterAutospacing="0" w:line="360" w:lineRule="auto"/>
        <w:jc w:val="both"/>
        <w:rPr>
          <w:lang w:val="en-GB"/>
        </w:rPr>
      </w:pPr>
      <w:proofErr w:type="spellStart"/>
      <w:r w:rsidRPr="00CB5437">
        <w:rPr>
          <w:color w:val="000000"/>
          <w:shd w:val="clear" w:color="auto" w:fill="FFFFFF"/>
          <w:lang w:val="en-GB"/>
        </w:rPr>
        <w:t>Augulyté</w:t>
      </w:r>
      <w:proofErr w:type="spellEnd"/>
      <w:r w:rsidRPr="00CB5437">
        <w:rPr>
          <w:color w:val="000000"/>
          <w:shd w:val="clear" w:color="auto" w:fill="FFFFFF"/>
          <w:lang w:val="en-GB"/>
        </w:rPr>
        <w:t xml:space="preserve">, D., (2020). </w:t>
      </w:r>
      <w:r w:rsidRPr="00CB5437">
        <w:rPr>
          <w:i/>
          <w:iCs/>
          <w:color w:val="000000"/>
          <w:shd w:val="clear" w:color="auto" w:fill="FFFFFF"/>
          <w:lang w:val="en-GB"/>
        </w:rPr>
        <w:t>Dynamics of appropriability and appropriation strategies of innovation case Coca-Cola</w:t>
      </w:r>
      <w:r w:rsidRPr="00CB5437">
        <w:rPr>
          <w:color w:val="000000"/>
          <w:shd w:val="clear" w:color="auto" w:fill="FFFFFF"/>
          <w:lang w:val="en-GB"/>
        </w:rPr>
        <w:t xml:space="preserve"> (Master's thesis, D. </w:t>
      </w:r>
      <w:proofErr w:type="spellStart"/>
      <w:r w:rsidRPr="00CB5437">
        <w:rPr>
          <w:color w:val="000000"/>
          <w:shd w:val="clear" w:color="auto" w:fill="FFFFFF"/>
          <w:lang w:val="en-GB"/>
        </w:rPr>
        <w:t>Augulyté</w:t>
      </w:r>
      <w:proofErr w:type="spellEnd"/>
      <w:r w:rsidRPr="00CB5437">
        <w:rPr>
          <w:color w:val="000000"/>
          <w:shd w:val="clear" w:color="auto" w:fill="FFFFFF"/>
          <w:lang w:val="en-GB"/>
        </w:rPr>
        <w:t>).</w:t>
      </w:r>
    </w:p>
    <w:p w14:paraId="3149B517" w14:textId="77777777" w:rsidR="00CB5437" w:rsidRPr="00CB5437" w:rsidRDefault="00CB5437" w:rsidP="00C73A3A">
      <w:pPr>
        <w:pStyle w:val="NormalWeb"/>
        <w:spacing w:before="0" w:beforeAutospacing="0" w:after="200" w:afterAutospacing="0" w:line="360" w:lineRule="auto"/>
        <w:jc w:val="both"/>
        <w:rPr>
          <w:lang w:val="en-GB"/>
        </w:rPr>
      </w:pPr>
      <w:r w:rsidRPr="00CB5437">
        <w:rPr>
          <w:color w:val="000000"/>
          <w:lang w:val="en-GB"/>
        </w:rPr>
        <w:t xml:space="preserve">businessmodelanalyst.com, (2024). </w:t>
      </w:r>
      <w:r w:rsidRPr="00CB5437">
        <w:rPr>
          <w:i/>
          <w:iCs/>
          <w:color w:val="000000"/>
          <w:lang w:val="en-GB"/>
        </w:rPr>
        <w:t>Coca-Cola Business Model.</w:t>
      </w:r>
      <w:r w:rsidRPr="00CB5437">
        <w:rPr>
          <w:color w:val="000000"/>
          <w:lang w:val="en-GB"/>
        </w:rPr>
        <w:t xml:space="preserve"> Available at: https://businessmodelanalyst.com/coca-cola-business-model/ </w:t>
      </w:r>
      <w:r w:rsidRPr="00CB5437">
        <w:rPr>
          <w:rFonts w:eastAsia="Arial"/>
          <w:lang w:val="en-GB"/>
        </w:rPr>
        <w:t>[Accessed on 25th July 2024]</w:t>
      </w:r>
    </w:p>
    <w:p w14:paraId="73B511C3" w14:textId="77777777" w:rsidR="00CB5437" w:rsidRPr="00CB5437" w:rsidRDefault="00CB5437" w:rsidP="00CB5437">
      <w:pPr>
        <w:spacing w:before="240" w:after="24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Coca Cola, (2019). </w:t>
      </w:r>
      <w:r w:rsidRPr="00CB5437">
        <w:rPr>
          <w:rFonts w:ascii="Times New Roman" w:eastAsia="Times New Roman" w:hAnsi="Times New Roman" w:cs="Times New Roman"/>
          <w:i/>
          <w:sz w:val="24"/>
          <w:szCs w:val="24"/>
          <w:lang w:val="en-GB"/>
        </w:rPr>
        <w:t xml:space="preserve">Annual report of Coca-Cola 2019. </w:t>
      </w:r>
      <w:r w:rsidRPr="00CB5437">
        <w:rPr>
          <w:rFonts w:ascii="Times New Roman" w:eastAsia="Times New Roman" w:hAnsi="Times New Roman" w:cs="Times New Roman"/>
          <w:sz w:val="24"/>
          <w:szCs w:val="24"/>
          <w:lang w:val="en-GB"/>
        </w:rPr>
        <w:t>Available at: https://d1io3yog0oux5.cloudfront.net/_c234fea25efbd8dee0f4efd475b3e96f/cocacolacompany/db/734/7242/annual_report/coca-cola-business-and-sustainability-report-2019+%281%29.pdf [Accessed on 25th July 2024]</w:t>
      </w:r>
    </w:p>
    <w:p w14:paraId="047760F3" w14:textId="77777777" w:rsidR="00CB5437" w:rsidRPr="00CB5437" w:rsidRDefault="00CB5437" w:rsidP="00CB5437">
      <w:pPr>
        <w:spacing w:before="240" w:after="24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Coca Cola, (2020). </w:t>
      </w:r>
      <w:r w:rsidRPr="00CB5437">
        <w:rPr>
          <w:rFonts w:ascii="Times New Roman" w:eastAsia="Times New Roman" w:hAnsi="Times New Roman" w:cs="Times New Roman"/>
          <w:i/>
          <w:sz w:val="24"/>
          <w:szCs w:val="24"/>
          <w:lang w:val="en-GB"/>
        </w:rPr>
        <w:t xml:space="preserve">Annual report of Coca-Cola 2020. </w:t>
      </w:r>
      <w:r w:rsidRPr="00CB5437">
        <w:rPr>
          <w:rFonts w:ascii="Times New Roman" w:eastAsia="Times New Roman" w:hAnsi="Times New Roman" w:cs="Times New Roman"/>
          <w:sz w:val="24"/>
          <w:szCs w:val="24"/>
          <w:lang w:val="en-GB"/>
        </w:rPr>
        <w:t>Available at: https://d1io3yog0oux5.cloudfront.net/_c234fea25efbd8dee0f4efd475b3e96f/cocacolacompany/db/734/7647/annual_report/coca-cola-business-environmental-social-governance-report-2020+%282%29.pdf [Accessed on 25th July 2024]</w:t>
      </w:r>
    </w:p>
    <w:p w14:paraId="72CF0E89" w14:textId="77777777" w:rsidR="00CB5437" w:rsidRPr="00CB5437" w:rsidRDefault="00CB5437" w:rsidP="00CB5437">
      <w:pPr>
        <w:spacing w:before="240" w:after="24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Coca Cola, (2021). </w:t>
      </w:r>
      <w:r w:rsidRPr="00CB5437">
        <w:rPr>
          <w:rFonts w:ascii="Times New Roman" w:eastAsia="Times New Roman" w:hAnsi="Times New Roman" w:cs="Times New Roman"/>
          <w:i/>
          <w:sz w:val="24"/>
          <w:szCs w:val="24"/>
          <w:lang w:val="en-GB"/>
        </w:rPr>
        <w:t xml:space="preserve">Annual report of Coca-Cola 2021. </w:t>
      </w:r>
      <w:r w:rsidRPr="00CB5437">
        <w:rPr>
          <w:rFonts w:ascii="Times New Roman" w:eastAsia="Times New Roman" w:hAnsi="Times New Roman" w:cs="Times New Roman"/>
          <w:sz w:val="24"/>
          <w:szCs w:val="24"/>
          <w:lang w:val="en-GB"/>
        </w:rPr>
        <w:t>Available at: https://d1io3yog0oux5.cloudfront.net/_c234fea25efbd8dee0f4efd475b3e96f/cocacolacompany/db/734/7807/annual_report/2021_Business_ESG_Report.pdf [Accessed on 25th July 2024]</w:t>
      </w:r>
    </w:p>
    <w:p w14:paraId="0C6D89D2" w14:textId="77777777" w:rsidR="00CB5437" w:rsidRPr="00CB5437" w:rsidRDefault="00CB5437" w:rsidP="00CB5437">
      <w:pPr>
        <w:spacing w:before="240" w:after="24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Coca Cola, (2022). </w:t>
      </w:r>
      <w:r w:rsidRPr="00CB5437">
        <w:rPr>
          <w:rFonts w:ascii="Times New Roman" w:eastAsia="Times New Roman" w:hAnsi="Times New Roman" w:cs="Times New Roman"/>
          <w:i/>
          <w:sz w:val="24"/>
          <w:szCs w:val="24"/>
          <w:lang w:val="en-GB"/>
        </w:rPr>
        <w:t xml:space="preserve">Annual report of Coca-Cola 2022. </w:t>
      </w:r>
      <w:r w:rsidRPr="00CB5437">
        <w:rPr>
          <w:rFonts w:ascii="Times New Roman" w:eastAsia="Times New Roman" w:hAnsi="Times New Roman" w:cs="Times New Roman"/>
          <w:sz w:val="24"/>
          <w:szCs w:val="24"/>
          <w:lang w:val="en-GB"/>
        </w:rPr>
        <w:t>Available at: https://d1io3yog0oux5.cloudfront.net/_c234fea25efbd8dee0f4efd475b3e96f/cocacolacompany/db/734/7960/annual_report/coca-cola-business-and-sustainability-report-2022.pdf [Accessed on 25th July 2024]</w:t>
      </w:r>
    </w:p>
    <w:p w14:paraId="614CEE11" w14:textId="77777777" w:rsidR="00CB5437" w:rsidRPr="00CB5437" w:rsidRDefault="00CB5437" w:rsidP="00CB5437">
      <w:pPr>
        <w:spacing w:before="240" w:after="24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Coca Cola, (2023). </w:t>
      </w:r>
      <w:r w:rsidRPr="00CB5437">
        <w:rPr>
          <w:rFonts w:ascii="Times New Roman" w:eastAsia="Times New Roman" w:hAnsi="Times New Roman" w:cs="Times New Roman"/>
          <w:i/>
          <w:sz w:val="24"/>
          <w:szCs w:val="24"/>
          <w:lang w:val="en-GB"/>
        </w:rPr>
        <w:t xml:space="preserve">Annual report of Coca-Cola 2023. </w:t>
      </w:r>
      <w:r w:rsidRPr="00CB5437">
        <w:rPr>
          <w:rFonts w:ascii="Times New Roman" w:eastAsia="Times New Roman" w:hAnsi="Times New Roman" w:cs="Times New Roman"/>
          <w:sz w:val="24"/>
          <w:szCs w:val="24"/>
          <w:lang w:val="en-GB"/>
        </w:rPr>
        <w:t>Available at: https://d1io3yog0oux5.cloudfront.net/_c234fea25efbd8dee0f4efd475b3e96f/cocacolacompany/db/734/8067/earnings_release/2023+Q4+Earnings+Release+%28Ex-99.1%29+-+FINAL.pdf [Accessed on 25th July 2024]</w:t>
      </w:r>
    </w:p>
    <w:p w14:paraId="5F55E587" w14:textId="77777777" w:rsidR="00CB5437" w:rsidRPr="00CB5437" w:rsidRDefault="00CB5437" w:rsidP="00C73A3A">
      <w:pPr>
        <w:pStyle w:val="NormalWeb"/>
        <w:spacing w:before="0" w:beforeAutospacing="0" w:after="200" w:afterAutospacing="0" w:line="360" w:lineRule="auto"/>
        <w:jc w:val="both"/>
        <w:rPr>
          <w:lang w:val="en-GB"/>
        </w:rPr>
      </w:pPr>
      <w:r w:rsidRPr="00CB5437">
        <w:rPr>
          <w:color w:val="000000"/>
          <w:lang w:val="en-GB"/>
        </w:rPr>
        <w:t>coca-</w:t>
      </w:r>
      <w:proofErr w:type="spellStart"/>
      <w:r w:rsidRPr="00CB5437">
        <w:rPr>
          <w:color w:val="000000"/>
          <w:lang w:val="en-GB"/>
        </w:rPr>
        <w:t>colacompany</w:t>
      </w:r>
      <w:proofErr w:type="spellEnd"/>
      <w:r w:rsidRPr="00CB5437">
        <w:rPr>
          <w:color w:val="000000"/>
          <w:lang w:val="en-GB"/>
        </w:rPr>
        <w:t xml:space="preserve">, (2024). </w:t>
      </w:r>
      <w:r w:rsidRPr="00CB5437">
        <w:rPr>
          <w:i/>
          <w:iCs/>
          <w:color w:val="000000"/>
          <w:lang w:val="en-GB"/>
        </w:rPr>
        <w:t>BOTTLING INVESTMENTS GROUP (BIG).</w:t>
      </w:r>
      <w:r w:rsidRPr="00CB5437">
        <w:rPr>
          <w:color w:val="000000"/>
          <w:lang w:val="en-GB"/>
        </w:rPr>
        <w:t xml:space="preserve"> Available at: https://investors.coca-colacompany.com/about/segments/bottling-investments-group-big </w:t>
      </w:r>
      <w:r w:rsidRPr="00CB5437">
        <w:rPr>
          <w:rFonts w:eastAsia="Arial"/>
          <w:lang w:val="en-GB"/>
        </w:rPr>
        <w:t>[Accessed on 25th July 2024]</w:t>
      </w:r>
    </w:p>
    <w:p w14:paraId="7D5366B2" w14:textId="77777777" w:rsidR="00CB5437" w:rsidRPr="00CB5437" w:rsidRDefault="00CB5437" w:rsidP="00C73A3A">
      <w:pPr>
        <w:pStyle w:val="NormalWeb"/>
        <w:spacing w:before="0" w:beforeAutospacing="0" w:after="200" w:afterAutospacing="0" w:line="360" w:lineRule="auto"/>
        <w:jc w:val="both"/>
        <w:rPr>
          <w:lang w:val="en-GB"/>
        </w:rPr>
      </w:pPr>
      <w:r w:rsidRPr="00CB5437">
        <w:rPr>
          <w:color w:val="000000"/>
          <w:lang w:val="en-GB"/>
        </w:rPr>
        <w:lastRenderedPageBreak/>
        <w:t>coca-</w:t>
      </w:r>
      <w:proofErr w:type="spellStart"/>
      <w:r w:rsidRPr="00CB5437">
        <w:rPr>
          <w:color w:val="000000"/>
          <w:lang w:val="en-GB"/>
        </w:rPr>
        <w:t>colahellenic</w:t>
      </w:r>
      <w:proofErr w:type="spellEnd"/>
      <w:r w:rsidRPr="00CB5437">
        <w:rPr>
          <w:color w:val="000000"/>
          <w:lang w:val="en-GB"/>
        </w:rPr>
        <w:t xml:space="preserve">, (2024). </w:t>
      </w:r>
      <w:r w:rsidRPr="00CB5437">
        <w:rPr>
          <w:i/>
          <w:iCs/>
          <w:color w:val="000000"/>
          <w:lang w:val="en-GB"/>
        </w:rPr>
        <w:t>WIN IN THE MARKETPLACE.</w:t>
      </w:r>
      <w:r w:rsidRPr="00CB5437">
        <w:rPr>
          <w:color w:val="000000"/>
          <w:lang w:val="en-GB"/>
        </w:rPr>
        <w:t xml:space="preserve"> Available at: https://www.coca-colahellenic.com/en/about-us/what-we-do/win-the-marketplace </w:t>
      </w:r>
      <w:r w:rsidRPr="00CB5437">
        <w:rPr>
          <w:rFonts w:eastAsia="Arial"/>
          <w:lang w:val="en-GB"/>
        </w:rPr>
        <w:t>[Accessed on 25th July 2024]</w:t>
      </w:r>
    </w:p>
    <w:p w14:paraId="0397C822" w14:textId="77777777" w:rsidR="00CB5437" w:rsidRPr="00CB5437" w:rsidRDefault="00CB5437" w:rsidP="00C73A3A">
      <w:pPr>
        <w:pStyle w:val="NormalWeb"/>
        <w:spacing w:before="0" w:beforeAutospacing="0" w:after="200" w:afterAutospacing="0" w:line="360" w:lineRule="auto"/>
        <w:jc w:val="both"/>
        <w:rPr>
          <w:lang w:val="en-GB"/>
        </w:rPr>
      </w:pPr>
      <w:proofErr w:type="spellStart"/>
      <w:r w:rsidRPr="00CB5437">
        <w:rPr>
          <w:color w:val="000000"/>
          <w:lang w:val="en-GB"/>
        </w:rPr>
        <w:t>cokeconsolidated</w:t>
      </w:r>
      <w:proofErr w:type="spellEnd"/>
      <w:r w:rsidRPr="00CB5437">
        <w:rPr>
          <w:color w:val="000000"/>
          <w:lang w:val="en-GB"/>
        </w:rPr>
        <w:t xml:space="preserve">, (2023). </w:t>
      </w:r>
      <w:r w:rsidRPr="00CB5437">
        <w:rPr>
          <w:i/>
          <w:iCs/>
          <w:color w:val="000000"/>
          <w:lang w:val="en-GB"/>
        </w:rPr>
        <w:t>2023 CCCI Annual Report - vFINAL.pdf.</w:t>
      </w:r>
      <w:r w:rsidRPr="00CB5437">
        <w:rPr>
          <w:color w:val="000000"/>
          <w:lang w:val="en-GB"/>
        </w:rPr>
        <w:t xml:space="preserve"> Available at: https://investor.cokeconsolidated.com/static-files/198305e2-2559-4acc-954c-4123760b0f61 </w:t>
      </w:r>
      <w:r w:rsidRPr="00CB5437">
        <w:rPr>
          <w:rFonts w:eastAsia="Arial"/>
          <w:lang w:val="en-GB"/>
        </w:rPr>
        <w:t>[Accessed on 25th July 2024]</w:t>
      </w:r>
    </w:p>
    <w:p w14:paraId="70E5716D" w14:textId="77777777" w:rsidR="00CB5437" w:rsidRPr="00CB5437" w:rsidRDefault="00CB5437" w:rsidP="00CB5437">
      <w:pPr>
        <w:spacing w:before="240" w:after="24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Finance.yahoo.com, (2023). </w:t>
      </w:r>
      <w:r w:rsidRPr="00CB5437">
        <w:rPr>
          <w:rFonts w:ascii="Times New Roman" w:eastAsia="Times New Roman" w:hAnsi="Times New Roman" w:cs="Times New Roman"/>
          <w:i/>
          <w:sz w:val="24"/>
          <w:szCs w:val="24"/>
          <w:lang w:val="en-GB"/>
        </w:rPr>
        <w:t xml:space="preserve">Share price of PepsiCo 2023. </w:t>
      </w:r>
      <w:r w:rsidRPr="00CB5437">
        <w:rPr>
          <w:rFonts w:ascii="Times New Roman" w:eastAsia="Times New Roman" w:hAnsi="Times New Roman" w:cs="Times New Roman"/>
          <w:sz w:val="24"/>
          <w:szCs w:val="24"/>
          <w:lang w:val="en-GB"/>
        </w:rPr>
        <w:t>Available at: https://finance.yahoo.com/quote/KO/history/?frequency=1mo&amp;period1=1565178211&amp;period2=1723030982 [Accessed on 25th July 2024]</w:t>
      </w:r>
    </w:p>
    <w:p w14:paraId="2D3D61D4" w14:textId="77777777" w:rsidR="00CB5437" w:rsidRPr="00CB5437" w:rsidRDefault="00CB5437" w:rsidP="00C73A3A">
      <w:pPr>
        <w:pStyle w:val="NormalWeb"/>
        <w:spacing w:before="0" w:beforeAutospacing="0" w:after="200" w:afterAutospacing="0" w:line="360" w:lineRule="auto"/>
        <w:jc w:val="both"/>
        <w:rPr>
          <w:color w:val="000000"/>
          <w:lang w:val="en-GB"/>
        </w:rPr>
      </w:pPr>
      <w:r w:rsidRPr="00CB5437">
        <w:rPr>
          <w:color w:val="000000"/>
          <w:lang w:val="en-GB"/>
        </w:rPr>
        <w:t xml:space="preserve">finance.yahoo.com, (2024). The Coca-Cola Company (KO). Available at: https://finance.yahoo.com/quote/KO/history/?frequency=1mo&amp;period1=1565180832&amp;period2=1723033549 </w:t>
      </w:r>
      <w:r w:rsidRPr="00CB5437">
        <w:rPr>
          <w:rFonts w:eastAsia="Arial"/>
          <w:lang w:val="en-GB"/>
        </w:rPr>
        <w:t>[Accessed on 25th July 2024]</w:t>
      </w:r>
    </w:p>
    <w:p w14:paraId="26DEC5FA" w14:textId="77777777" w:rsidR="00CB5437" w:rsidRPr="00CB5437" w:rsidRDefault="00CB5437" w:rsidP="00C73A3A">
      <w:pPr>
        <w:pStyle w:val="NormalWeb"/>
        <w:spacing w:before="0" w:beforeAutospacing="0" w:after="200" w:afterAutospacing="0" w:line="360" w:lineRule="auto"/>
        <w:jc w:val="both"/>
        <w:rPr>
          <w:lang w:val="en-GB"/>
        </w:rPr>
      </w:pPr>
      <w:r w:rsidRPr="00CB5437">
        <w:rPr>
          <w:color w:val="000000"/>
          <w:shd w:val="clear" w:color="auto" w:fill="FFFFFF"/>
          <w:lang w:val="en-GB"/>
        </w:rPr>
        <w:t>Henry, C., (2022). Financial Analysis of Accountancy in America Today through Collective Case Studies.</w:t>
      </w:r>
    </w:p>
    <w:p w14:paraId="4B5DD7FE" w14:textId="77777777" w:rsidR="00CB5437" w:rsidRPr="00CB5437" w:rsidRDefault="00CB5437" w:rsidP="00C73A3A">
      <w:pPr>
        <w:pStyle w:val="NormalWeb"/>
        <w:spacing w:before="0" w:beforeAutospacing="0" w:after="200" w:afterAutospacing="0" w:line="360" w:lineRule="auto"/>
        <w:jc w:val="both"/>
        <w:rPr>
          <w:lang w:val="en-GB"/>
        </w:rPr>
      </w:pPr>
      <w:r w:rsidRPr="00CB5437">
        <w:rPr>
          <w:color w:val="000000"/>
          <w:shd w:val="clear" w:color="auto" w:fill="FFFFFF"/>
          <w:lang w:val="en-GB"/>
        </w:rPr>
        <w:t xml:space="preserve">Henry, C., Brock, A., </w:t>
      </w:r>
      <w:proofErr w:type="spellStart"/>
      <w:r w:rsidRPr="00CB5437">
        <w:rPr>
          <w:color w:val="000000"/>
          <w:shd w:val="clear" w:color="auto" w:fill="FFFFFF"/>
          <w:lang w:val="en-GB"/>
        </w:rPr>
        <w:t>Sekul</w:t>
      </w:r>
      <w:proofErr w:type="spellEnd"/>
      <w:r w:rsidRPr="00CB5437">
        <w:rPr>
          <w:color w:val="000000"/>
          <w:shd w:val="clear" w:color="auto" w:fill="FFFFFF"/>
          <w:lang w:val="en-GB"/>
        </w:rPr>
        <w:t xml:space="preserve">, F., </w:t>
      </w:r>
      <w:proofErr w:type="spellStart"/>
      <w:r w:rsidRPr="00CB5437">
        <w:rPr>
          <w:color w:val="000000"/>
          <w:shd w:val="clear" w:color="auto" w:fill="FFFFFF"/>
          <w:lang w:val="en-GB"/>
        </w:rPr>
        <w:t>Lalejini</w:t>
      </w:r>
      <w:proofErr w:type="spellEnd"/>
      <w:r w:rsidRPr="00CB5437">
        <w:rPr>
          <w:color w:val="000000"/>
          <w:shd w:val="clear" w:color="auto" w:fill="FFFFFF"/>
          <w:lang w:val="en-GB"/>
        </w:rPr>
        <w:t xml:space="preserve">, A. and McInnis, J., (2022). CASE COMPETITION: THE COCA-COLA COMPANY. </w:t>
      </w:r>
      <w:r w:rsidRPr="00CB5437">
        <w:rPr>
          <w:i/>
          <w:iCs/>
          <w:color w:val="000000"/>
          <w:shd w:val="clear" w:color="auto" w:fill="FFFFFF"/>
          <w:lang w:val="en-GB"/>
        </w:rPr>
        <w:t>Case Studies: A Study of Accounting Practices and Concepts</w:t>
      </w:r>
      <w:r w:rsidRPr="00CB5437">
        <w:rPr>
          <w:color w:val="000000"/>
          <w:shd w:val="clear" w:color="auto" w:fill="FFFFFF"/>
          <w:lang w:val="en-GB"/>
        </w:rPr>
        <w:t>, p.62.</w:t>
      </w:r>
    </w:p>
    <w:p w14:paraId="6A3412BF" w14:textId="77777777" w:rsidR="00CB5437" w:rsidRPr="00CB5437" w:rsidRDefault="00CB5437" w:rsidP="00CB5437">
      <w:pPr>
        <w:spacing w:before="240" w:after="240" w:line="360" w:lineRule="auto"/>
        <w:jc w:val="both"/>
        <w:rPr>
          <w:rFonts w:ascii="Times New Roman" w:eastAsia="Times New Roman" w:hAnsi="Times New Roman" w:cs="Times New Roman"/>
          <w:sz w:val="24"/>
          <w:szCs w:val="24"/>
          <w:lang w:val="en-GB"/>
        </w:rPr>
      </w:pPr>
      <w:proofErr w:type="spellStart"/>
      <w:r w:rsidRPr="00CB5437">
        <w:rPr>
          <w:rFonts w:ascii="Times New Roman" w:eastAsia="Times New Roman" w:hAnsi="Times New Roman" w:cs="Times New Roman"/>
          <w:sz w:val="24"/>
          <w:szCs w:val="24"/>
          <w:lang w:val="en-GB"/>
        </w:rPr>
        <w:t>Oktaviani</w:t>
      </w:r>
      <w:proofErr w:type="spellEnd"/>
      <w:r w:rsidRPr="00CB5437">
        <w:rPr>
          <w:rFonts w:ascii="Times New Roman" w:eastAsia="Times New Roman" w:hAnsi="Times New Roman" w:cs="Times New Roman"/>
          <w:sz w:val="24"/>
          <w:szCs w:val="24"/>
          <w:lang w:val="en-GB"/>
        </w:rPr>
        <w:t xml:space="preserve">, M., </w:t>
      </w:r>
      <w:proofErr w:type="spellStart"/>
      <w:r w:rsidRPr="00CB5437">
        <w:rPr>
          <w:rFonts w:ascii="Times New Roman" w:eastAsia="Times New Roman" w:hAnsi="Times New Roman" w:cs="Times New Roman"/>
          <w:sz w:val="24"/>
          <w:szCs w:val="24"/>
          <w:lang w:val="en-GB"/>
        </w:rPr>
        <w:t>Mochklas</w:t>
      </w:r>
      <w:proofErr w:type="spellEnd"/>
      <w:r w:rsidRPr="00CB5437">
        <w:rPr>
          <w:rFonts w:ascii="Times New Roman" w:eastAsia="Times New Roman" w:hAnsi="Times New Roman" w:cs="Times New Roman"/>
          <w:sz w:val="24"/>
          <w:szCs w:val="24"/>
          <w:lang w:val="en-GB"/>
        </w:rPr>
        <w:t>, M. and Fahmi, E., (2020). Pecking Order Theory as a Strengthening Capital Structure.</w:t>
      </w:r>
    </w:p>
    <w:p w14:paraId="6AC023AB" w14:textId="77777777" w:rsidR="00CB5437" w:rsidRPr="00CB5437" w:rsidRDefault="00CB5437" w:rsidP="00CB5437">
      <w:pPr>
        <w:spacing w:before="240" w:after="240" w:line="360" w:lineRule="auto"/>
        <w:jc w:val="both"/>
        <w:rPr>
          <w:rFonts w:ascii="Times New Roman" w:eastAsia="Times New Roman" w:hAnsi="Times New Roman" w:cs="Times New Roman"/>
          <w:sz w:val="24"/>
          <w:szCs w:val="24"/>
          <w:lang w:val="en-GB"/>
        </w:rPr>
      </w:pPr>
      <w:r w:rsidRPr="00CB5437">
        <w:rPr>
          <w:rFonts w:ascii="Times New Roman" w:eastAsia="Times New Roman" w:hAnsi="Times New Roman" w:cs="Times New Roman"/>
          <w:sz w:val="24"/>
          <w:szCs w:val="24"/>
          <w:lang w:val="en-GB"/>
        </w:rPr>
        <w:t xml:space="preserve">PepsiCo, (2023). </w:t>
      </w:r>
      <w:r w:rsidRPr="00CB5437">
        <w:rPr>
          <w:rFonts w:ascii="Times New Roman" w:eastAsia="Times New Roman" w:hAnsi="Times New Roman" w:cs="Times New Roman"/>
          <w:i/>
          <w:sz w:val="24"/>
          <w:szCs w:val="24"/>
          <w:lang w:val="en-GB"/>
        </w:rPr>
        <w:t xml:space="preserve">Annual report of PepsiCo 2023. </w:t>
      </w:r>
      <w:r w:rsidRPr="00CB5437">
        <w:rPr>
          <w:rFonts w:ascii="Times New Roman" w:eastAsia="Times New Roman" w:hAnsi="Times New Roman" w:cs="Times New Roman"/>
          <w:sz w:val="24"/>
          <w:szCs w:val="24"/>
          <w:lang w:val="en-GB"/>
        </w:rPr>
        <w:t>Available at: https://www.pepsico.com/docs/default-source/annual-reports/2023-pepsico-annual-report.pdf [Accessed on 25th July 2024]</w:t>
      </w:r>
    </w:p>
    <w:p w14:paraId="682541BE" w14:textId="77777777" w:rsidR="00CB5437" w:rsidRPr="00CB5437" w:rsidRDefault="00CB5437" w:rsidP="00C73A3A">
      <w:pPr>
        <w:pStyle w:val="NormalWeb"/>
        <w:spacing w:before="0" w:beforeAutospacing="0" w:after="200" w:afterAutospacing="0" w:line="360" w:lineRule="auto"/>
        <w:jc w:val="both"/>
        <w:rPr>
          <w:lang w:val="en-GB"/>
        </w:rPr>
      </w:pPr>
      <w:proofErr w:type="spellStart"/>
      <w:r w:rsidRPr="00CB5437">
        <w:rPr>
          <w:color w:val="000000"/>
          <w:lang w:val="en-GB"/>
        </w:rPr>
        <w:t>Pepsico</w:t>
      </w:r>
      <w:proofErr w:type="spellEnd"/>
      <w:r w:rsidRPr="00CB5437">
        <w:rPr>
          <w:color w:val="000000"/>
          <w:lang w:val="en-GB"/>
        </w:rPr>
        <w:t xml:space="preserve">, (2024). </w:t>
      </w:r>
      <w:proofErr w:type="spellStart"/>
      <w:r w:rsidRPr="00CB5437">
        <w:rPr>
          <w:i/>
          <w:iCs/>
          <w:color w:val="000000"/>
          <w:lang w:val="en-GB"/>
        </w:rPr>
        <w:t>Pepsico</w:t>
      </w:r>
      <w:proofErr w:type="spellEnd"/>
      <w:r w:rsidRPr="00CB5437">
        <w:rPr>
          <w:i/>
          <w:iCs/>
          <w:color w:val="000000"/>
          <w:lang w:val="en-GB"/>
        </w:rPr>
        <w:t>.</w:t>
      </w:r>
      <w:r w:rsidRPr="00CB5437">
        <w:rPr>
          <w:color w:val="000000"/>
          <w:lang w:val="en-GB"/>
        </w:rPr>
        <w:t xml:space="preserve"> Available at: https://www.pepsico.com/our-stories</w:t>
      </w:r>
      <w:r w:rsidRPr="00CB5437">
        <w:rPr>
          <w:color w:val="000000"/>
          <w:lang w:val="en-GB"/>
        </w:rPr>
        <w:br/>
        <w:t>Coca-</w:t>
      </w:r>
      <w:proofErr w:type="spellStart"/>
      <w:r w:rsidRPr="00CB5437">
        <w:rPr>
          <w:color w:val="000000"/>
          <w:lang w:val="en-GB"/>
        </w:rPr>
        <w:t>colacompany</w:t>
      </w:r>
      <w:proofErr w:type="spellEnd"/>
      <w:r w:rsidRPr="00CB5437">
        <w:rPr>
          <w:color w:val="000000"/>
          <w:lang w:val="en-GB"/>
        </w:rPr>
        <w:t xml:space="preserve">, (2024). History. Available at: https://www.coca-colacompany.com/about-us/history </w:t>
      </w:r>
      <w:r w:rsidRPr="00CB5437">
        <w:rPr>
          <w:rFonts w:eastAsia="Arial"/>
          <w:lang w:val="en-GB"/>
        </w:rPr>
        <w:t>[Accessed on 25th July 2024]</w:t>
      </w:r>
    </w:p>
    <w:p w14:paraId="78580211" w14:textId="77777777" w:rsidR="00CB5437" w:rsidRPr="00CB5437" w:rsidRDefault="00CB5437" w:rsidP="00C73A3A">
      <w:pPr>
        <w:pStyle w:val="NormalWeb"/>
        <w:spacing w:before="0" w:beforeAutospacing="0" w:after="200" w:afterAutospacing="0" w:line="360" w:lineRule="auto"/>
        <w:jc w:val="both"/>
        <w:rPr>
          <w:lang w:val="en-GB"/>
        </w:rPr>
      </w:pPr>
      <w:r w:rsidRPr="00CB5437">
        <w:rPr>
          <w:color w:val="000000"/>
          <w:shd w:val="clear" w:color="auto" w:fill="FFFFFF"/>
          <w:lang w:val="en-GB"/>
        </w:rPr>
        <w:t xml:space="preserve">Senay, E., Cort, T., </w:t>
      </w:r>
      <w:proofErr w:type="spellStart"/>
      <w:r w:rsidRPr="00CB5437">
        <w:rPr>
          <w:color w:val="000000"/>
          <w:shd w:val="clear" w:color="auto" w:fill="FFFFFF"/>
          <w:lang w:val="en-GB"/>
        </w:rPr>
        <w:t>Perkison</w:t>
      </w:r>
      <w:proofErr w:type="spellEnd"/>
      <w:r w:rsidRPr="00CB5437">
        <w:rPr>
          <w:color w:val="000000"/>
          <w:shd w:val="clear" w:color="auto" w:fill="FFFFFF"/>
          <w:lang w:val="en-GB"/>
        </w:rPr>
        <w:t xml:space="preserve">, W., </w:t>
      </w:r>
      <w:proofErr w:type="spellStart"/>
      <w:r w:rsidRPr="00CB5437">
        <w:rPr>
          <w:color w:val="000000"/>
          <w:shd w:val="clear" w:color="auto" w:fill="FFFFFF"/>
          <w:lang w:val="en-GB"/>
        </w:rPr>
        <w:t>Laestadius</w:t>
      </w:r>
      <w:proofErr w:type="spellEnd"/>
      <w:r w:rsidRPr="00CB5437">
        <w:rPr>
          <w:color w:val="000000"/>
          <w:shd w:val="clear" w:color="auto" w:fill="FFFFFF"/>
          <w:lang w:val="en-GB"/>
        </w:rPr>
        <w:t xml:space="preserve">, J.G. and Sherman, J.D., (2022). What can hospitals learn from the Coca-Cola company? health care sustainability reporting. </w:t>
      </w:r>
      <w:r w:rsidRPr="00CB5437">
        <w:rPr>
          <w:i/>
          <w:iCs/>
          <w:color w:val="000000"/>
          <w:shd w:val="clear" w:color="auto" w:fill="FFFFFF"/>
          <w:lang w:val="en-GB"/>
        </w:rPr>
        <w:t>NEJM Catalyst Innovations in Care Delivery</w:t>
      </w:r>
      <w:r w:rsidRPr="00CB5437">
        <w:rPr>
          <w:color w:val="000000"/>
          <w:shd w:val="clear" w:color="auto" w:fill="FFFFFF"/>
          <w:lang w:val="en-GB"/>
        </w:rPr>
        <w:t xml:space="preserve">, </w:t>
      </w:r>
      <w:r w:rsidRPr="00CB5437">
        <w:rPr>
          <w:i/>
          <w:iCs/>
          <w:color w:val="000000"/>
          <w:shd w:val="clear" w:color="auto" w:fill="FFFFFF"/>
          <w:lang w:val="en-GB"/>
        </w:rPr>
        <w:t>3</w:t>
      </w:r>
      <w:r w:rsidRPr="00CB5437">
        <w:rPr>
          <w:color w:val="000000"/>
          <w:shd w:val="clear" w:color="auto" w:fill="FFFFFF"/>
          <w:lang w:val="en-GB"/>
        </w:rPr>
        <w:t>(3), pp.CAT-21.</w:t>
      </w:r>
    </w:p>
    <w:p w14:paraId="63544387" w14:textId="77777777" w:rsidR="00CB5437" w:rsidRPr="00CB5437" w:rsidRDefault="00CB5437" w:rsidP="00C73A3A">
      <w:pPr>
        <w:pStyle w:val="NormalWeb"/>
        <w:spacing w:before="0" w:beforeAutospacing="0" w:after="200" w:afterAutospacing="0" w:line="360" w:lineRule="auto"/>
        <w:jc w:val="both"/>
        <w:rPr>
          <w:lang w:val="en-GB"/>
        </w:rPr>
      </w:pPr>
      <w:r w:rsidRPr="00CB5437">
        <w:rPr>
          <w:color w:val="000000"/>
          <w:shd w:val="clear" w:color="auto" w:fill="FFFFFF"/>
          <w:lang w:val="en-GB"/>
        </w:rPr>
        <w:lastRenderedPageBreak/>
        <w:t xml:space="preserve">Siegel, J.J., (2021). </w:t>
      </w:r>
      <w:r w:rsidRPr="00CB5437">
        <w:rPr>
          <w:i/>
          <w:iCs/>
          <w:color w:val="000000"/>
          <w:shd w:val="clear" w:color="auto" w:fill="FFFFFF"/>
          <w:lang w:val="en-GB"/>
        </w:rPr>
        <w:t>Stocks for the long run: The definitive guide to financial market returns &amp; long-term investment strategies</w:t>
      </w:r>
      <w:r w:rsidRPr="00CB5437">
        <w:rPr>
          <w:color w:val="000000"/>
          <w:shd w:val="clear" w:color="auto" w:fill="FFFFFF"/>
          <w:lang w:val="en-GB"/>
        </w:rPr>
        <w:t>. McGraw-Hill Education.</w:t>
      </w:r>
    </w:p>
    <w:p w14:paraId="32AF8DE7" w14:textId="77777777" w:rsidR="00CB5437" w:rsidRPr="00CB5437" w:rsidRDefault="00CB5437" w:rsidP="00C73A3A">
      <w:pPr>
        <w:pStyle w:val="NormalWeb"/>
        <w:spacing w:before="0" w:beforeAutospacing="0" w:after="200" w:afterAutospacing="0" w:line="360" w:lineRule="auto"/>
        <w:jc w:val="both"/>
        <w:rPr>
          <w:rFonts w:eastAsia="Arial"/>
          <w:lang w:val="en-GB"/>
        </w:rPr>
      </w:pPr>
      <w:proofErr w:type="spellStart"/>
      <w:r w:rsidRPr="00CB5437">
        <w:rPr>
          <w:color w:val="000000"/>
          <w:lang w:val="en-GB"/>
        </w:rPr>
        <w:t>wsj</w:t>
      </w:r>
      <w:proofErr w:type="spellEnd"/>
      <w:r w:rsidRPr="00CB5437">
        <w:rPr>
          <w:color w:val="000000"/>
          <w:lang w:val="en-GB"/>
        </w:rPr>
        <w:t xml:space="preserve">, (2023). Coca-Cola Co. Available at: https://www.wsj.com/market-data/quotes/KO/financials/annual/balance-sheet </w:t>
      </w:r>
      <w:r w:rsidRPr="00CB5437">
        <w:rPr>
          <w:rFonts w:eastAsia="Arial"/>
          <w:lang w:val="en-GB"/>
        </w:rPr>
        <w:t>[Accessed on 25th July 2024]</w:t>
      </w:r>
    </w:p>
    <w:p w14:paraId="08449E66" w14:textId="77777777" w:rsidR="00CB5437" w:rsidRPr="00CB5437" w:rsidRDefault="00CB5437" w:rsidP="00C73A3A">
      <w:pPr>
        <w:pStyle w:val="NormalWeb"/>
        <w:spacing w:before="0" w:beforeAutospacing="0" w:after="200" w:afterAutospacing="0" w:line="360" w:lineRule="auto"/>
        <w:jc w:val="both"/>
        <w:rPr>
          <w:rFonts w:eastAsia="Arial"/>
          <w:lang w:val="en-GB"/>
        </w:rPr>
      </w:pPr>
    </w:p>
    <w:p w14:paraId="13F11A2E" w14:textId="77777777" w:rsidR="00C73A3A" w:rsidRPr="00CB5437" w:rsidRDefault="00C73A3A" w:rsidP="00C73A3A">
      <w:pPr>
        <w:rPr>
          <w:lang w:val="en-GB"/>
        </w:rPr>
      </w:pPr>
    </w:p>
    <w:sectPr w:rsidR="00C73A3A" w:rsidRPr="00CB5437" w:rsidSect="00C73A3A">
      <w:footerReference w:type="default" r:id="rId1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59BBD3" w14:textId="77777777" w:rsidR="00AC43C6" w:rsidRDefault="00AC43C6" w:rsidP="00C73A3A">
      <w:pPr>
        <w:spacing w:line="240" w:lineRule="auto"/>
      </w:pPr>
      <w:r>
        <w:separator/>
      </w:r>
    </w:p>
  </w:endnote>
  <w:endnote w:type="continuationSeparator" w:id="0">
    <w:p w14:paraId="6DD9DE21" w14:textId="77777777" w:rsidR="00AC43C6" w:rsidRDefault="00AC43C6" w:rsidP="00C73A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2162326"/>
      <w:docPartObj>
        <w:docPartGallery w:val="Page Numbers (Bottom of Page)"/>
        <w:docPartUnique/>
      </w:docPartObj>
    </w:sdtPr>
    <w:sdtEndPr>
      <w:rPr>
        <w:rFonts w:ascii="Times New Roman" w:hAnsi="Times New Roman" w:cs="Times New Roman"/>
        <w:noProof/>
        <w:sz w:val="24"/>
        <w:szCs w:val="24"/>
      </w:rPr>
    </w:sdtEndPr>
    <w:sdtContent>
      <w:p w14:paraId="16C17C36" w14:textId="467DB41E" w:rsidR="00C73A3A" w:rsidRPr="00C73A3A" w:rsidRDefault="00C73A3A">
        <w:pPr>
          <w:pStyle w:val="Footer"/>
          <w:jc w:val="right"/>
          <w:rPr>
            <w:rFonts w:ascii="Times New Roman" w:hAnsi="Times New Roman" w:cs="Times New Roman"/>
            <w:sz w:val="24"/>
            <w:szCs w:val="24"/>
          </w:rPr>
        </w:pPr>
        <w:r w:rsidRPr="00C73A3A">
          <w:rPr>
            <w:rFonts w:ascii="Times New Roman" w:hAnsi="Times New Roman" w:cs="Times New Roman"/>
            <w:sz w:val="24"/>
            <w:szCs w:val="24"/>
          </w:rPr>
          <w:fldChar w:fldCharType="begin"/>
        </w:r>
        <w:r w:rsidRPr="00C73A3A">
          <w:rPr>
            <w:rFonts w:ascii="Times New Roman" w:hAnsi="Times New Roman" w:cs="Times New Roman"/>
            <w:sz w:val="24"/>
            <w:szCs w:val="24"/>
          </w:rPr>
          <w:instrText xml:space="preserve"> PAGE   \* MERGEFORMAT </w:instrText>
        </w:r>
        <w:r w:rsidRPr="00C73A3A">
          <w:rPr>
            <w:rFonts w:ascii="Times New Roman" w:hAnsi="Times New Roman" w:cs="Times New Roman"/>
            <w:sz w:val="24"/>
            <w:szCs w:val="24"/>
          </w:rPr>
          <w:fldChar w:fldCharType="separate"/>
        </w:r>
        <w:r w:rsidR="00294872">
          <w:rPr>
            <w:rFonts w:ascii="Times New Roman" w:hAnsi="Times New Roman" w:cs="Times New Roman"/>
            <w:noProof/>
            <w:sz w:val="24"/>
            <w:szCs w:val="24"/>
          </w:rPr>
          <w:t>20</w:t>
        </w:r>
        <w:r w:rsidRPr="00C73A3A">
          <w:rPr>
            <w:rFonts w:ascii="Times New Roman" w:hAnsi="Times New Roman" w:cs="Times New Roman"/>
            <w:noProof/>
            <w:sz w:val="24"/>
            <w:szCs w:val="24"/>
          </w:rPr>
          <w:fldChar w:fldCharType="end"/>
        </w:r>
      </w:p>
    </w:sdtContent>
  </w:sdt>
  <w:p w14:paraId="648CF4F9" w14:textId="77777777" w:rsidR="00C73A3A" w:rsidRDefault="00C73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D29F9C" w14:textId="77777777" w:rsidR="00AC43C6" w:rsidRDefault="00AC43C6" w:rsidP="00C73A3A">
      <w:pPr>
        <w:spacing w:line="240" w:lineRule="auto"/>
      </w:pPr>
      <w:r>
        <w:separator/>
      </w:r>
    </w:p>
  </w:footnote>
  <w:footnote w:type="continuationSeparator" w:id="0">
    <w:p w14:paraId="28E9794A" w14:textId="77777777" w:rsidR="00AC43C6" w:rsidRDefault="00AC43C6" w:rsidP="00C73A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A51EA"/>
    <w:multiLevelType w:val="multilevel"/>
    <w:tmpl w:val="898A0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4274CE"/>
    <w:multiLevelType w:val="multilevel"/>
    <w:tmpl w:val="9BE2A5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8C06B9"/>
    <w:multiLevelType w:val="multilevel"/>
    <w:tmpl w:val="19BCA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6642E4"/>
    <w:multiLevelType w:val="multilevel"/>
    <w:tmpl w:val="E702B6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8960229"/>
    <w:multiLevelType w:val="multilevel"/>
    <w:tmpl w:val="3222D1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3684007"/>
    <w:multiLevelType w:val="multilevel"/>
    <w:tmpl w:val="0C22D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7B1EE2"/>
    <w:multiLevelType w:val="multilevel"/>
    <w:tmpl w:val="090C5D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C082298"/>
    <w:multiLevelType w:val="multilevel"/>
    <w:tmpl w:val="B5FAC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D19788E"/>
    <w:multiLevelType w:val="multilevel"/>
    <w:tmpl w:val="821A97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EB81E7E"/>
    <w:multiLevelType w:val="multilevel"/>
    <w:tmpl w:val="F350E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49368327">
    <w:abstractNumId w:val="0"/>
  </w:num>
  <w:num w:numId="2" w16cid:durableId="816725548">
    <w:abstractNumId w:val="7"/>
  </w:num>
  <w:num w:numId="3" w16cid:durableId="794911201">
    <w:abstractNumId w:val="1"/>
  </w:num>
  <w:num w:numId="4" w16cid:durableId="1067994171">
    <w:abstractNumId w:val="4"/>
  </w:num>
  <w:num w:numId="5" w16cid:durableId="1797676621">
    <w:abstractNumId w:val="3"/>
  </w:num>
  <w:num w:numId="6" w16cid:durableId="1681084456">
    <w:abstractNumId w:val="2"/>
  </w:num>
  <w:num w:numId="7" w16cid:durableId="885987004">
    <w:abstractNumId w:val="8"/>
  </w:num>
  <w:num w:numId="8" w16cid:durableId="350230648">
    <w:abstractNumId w:val="6"/>
  </w:num>
  <w:num w:numId="9" w16cid:durableId="377361999">
    <w:abstractNumId w:val="9"/>
  </w:num>
  <w:num w:numId="10" w16cid:durableId="1664077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0060"/>
    <w:rsid w:val="000563DE"/>
    <w:rsid w:val="001E6DFB"/>
    <w:rsid w:val="00294872"/>
    <w:rsid w:val="00326E84"/>
    <w:rsid w:val="0040768B"/>
    <w:rsid w:val="005148D7"/>
    <w:rsid w:val="006F0ADF"/>
    <w:rsid w:val="007B368C"/>
    <w:rsid w:val="007D572F"/>
    <w:rsid w:val="008D2120"/>
    <w:rsid w:val="00AC43C6"/>
    <w:rsid w:val="00C138BA"/>
    <w:rsid w:val="00C2124F"/>
    <w:rsid w:val="00C73A3A"/>
    <w:rsid w:val="00CB5437"/>
    <w:rsid w:val="00F800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0B06C"/>
  <w15:docId w15:val="{0686AFF6-FCFE-4E20-9ABF-B57CCAA16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C73A3A"/>
    <w:pPr>
      <w:spacing w:after="100"/>
    </w:pPr>
  </w:style>
  <w:style w:type="paragraph" w:styleId="TOC2">
    <w:name w:val="toc 2"/>
    <w:basedOn w:val="Normal"/>
    <w:next w:val="Normal"/>
    <w:autoRedefine/>
    <w:uiPriority w:val="39"/>
    <w:unhideWhenUsed/>
    <w:rsid w:val="00C73A3A"/>
    <w:pPr>
      <w:spacing w:after="100"/>
      <w:ind w:left="220"/>
    </w:pPr>
  </w:style>
  <w:style w:type="character" w:styleId="Hyperlink">
    <w:name w:val="Hyperlink"/>
    <w:basedOn w:val="DefaultParagraphFont"/>
    <w:uiPriority w:val="99"/>
    <w:unhideWhenUsed/>
    <w:rsid w:val="00C73A3A"/>
    <w:rPr>
      <w:color w:val="0000FF" w:themeColor="hyperlink"/>
      <w:u w:val="single"/>
    </w:rPr>
  </w:style>
  <w:style w:type="paragraph" w:styleId="NormalWeb">
    <w:name w:val="Normal (Web)"/>
    <w:basedOn w:val="Normal"/>
    <w:uiPriority w:val="99"/>
    <w:semiHidden/>
    <w:unhideWhenUsed/>
    <w:rsid w:val="00C73A3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C73A3A"/>
    <w:pPr>
      <w:tabs>
        <w:tab w:val="center" w:pos="4680"/>
        <w:tab w:val="right" w:pos="9360"/>
      </w:tabs>
      <w:spacing w:line="240" w:lineRule="auto"/>
    </w:pPr>
  </w:style>
  <w:style w:type="character" w:customStyle="1" w:styleId="HeaderChar">
    <w:name w:val="Header Char"/>
    <w:basedOn w:val="DefaultParagraphFont"/>
    <w:link w:val="Header"/>
    <w:uiPriority w:val="99"/>
    <w:rsid w:val="00C73A3A"/>
  </w:style>
  <w:style w:type="paragraph" w:styleId="Footer">
    <w:name w:val="footer"/>
    <w:basedOn w:val="Normal"/>
    <w:link w:val="FooterChar"/>
    <w:uiPriority w:val="99"/>
    <w:unhideWhenUsed/>
    <w:rsid w:val="00C73A3A"/>
    <w:pPr>
      <w:tabs>
        <w:tab w:val="center" w:pos="4680"/>
        <w:tab w:val="right" w:pos="9360"/>
      </w:tabs>
      <w:spacing w:line="240" w:lineRule="auto"/>
    </w:pPr>
  </w:style>
  <w:style w:type="character" w:customStyle="1" w:styleId="FooterChar">
    <w:name w:val="Footer Char"/>
    <w:basedOn w:val="DefaultParagraphFont"/>
    <w:link w:val="Footer"/>
    <w:uiPriority w:val="99"/>
    <w:rsid w:val="00C73A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30</Pages>
  <Words>6023</Words>
  <Characters>34332</Characters>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2024-08-07T12:44:00Z</dcterms:created>
  <dcterms:modified xsi:type="dcterms:W3CDTF">2024-08-07T12:59:00Z</dcterms:modified>
</cp:coreProperties>
</file>