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FE7A" w14:textId="77777777" w:rsidR="00205931" w:rsidRDefault="00205931">
      <w:pPr>
        <w:rPr>
          <w:lang w:val="en-US"/>
        </w:rPr>
      </w:pPr>
    </w:p>
    <w:p w14:paraId="45AB2F90" w14:textId="77777777" w:rsidR="00630A92" w:rsidRDefault="00630A92" w:rsidP="00630A92">
      <w:pPr>
        <w:ind w:left="2408"/>
        <w:rPr>
          <w:sz w:val="20"/>
        </w:rPr>
      </w:pPr>
      <w:r>
        <w:rPr>
          <w:noProof/>
          <w:sz w:val="20"/>
        </w:rPr>
        <w:drawing>
          <wp:inline distT="0" distB="0" distL="0" distR="0" wp14:anchorId="275BAC6A" wp14:editId="02F2295D">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534C8160" w14:textId="77777777" w:rsidR="00630A92" w:rsidRDefault="00630A92" w:rsidP="00630A92">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390C2674" w14:textId="713E056D" w:rsidR="00630A92" w:rsidRDefault="00CF173C" w:rsidP="00630A92">
      <w:pPr>
        <w:spacing w:before="180"/>
        <w:ind w:left="2" w:right="1"/>
        <w:jc w:val="center"/>
        <w:rPr>
          <w:sz w:val="32"/>
        </w:rPr>
      </w:pPr>
      <w:r>
        <w:rPr>
          <w:noProof/>
          <w:sz w:val="20"/>
        </w:rPr>
        <w:drawing>
          <wp:anchor distT="0" distB="0" distL="0" distR="0" simplePos="0" relativeHeight="251659264" behindDoc="1" locked="0" layoutInCell="1" allowOverlap="1" wp14:anchorId="1F2999DF" wp14:editId="4B81CF09">
            <wp:simplePos x="0" y="0"/>
            <wp:positionH relativeFrom="page">
              <wp:posOffset>2606040</wp:posOffset>
            </wp:positionH>
            <wp:positionV relativeFrom="paragraph">
              <wp:posOffset>253365</wp:posOffset>
            </wp:positionV>
            <wp:extent cx="2186940" cy="1897380"/>
            <wp:effectExtent l="0" t="0" r="3810" b="762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186940" cy="1897380"/>
                    </a:xfrm>
                    <a:prstGeom prst="rect">
                      <a:avLst/>
                    </a:prstGeom>
                  </pic:spPr>
                </pic:pic>
              </a:graphicData>
            </a:graphic>
            <wp14:sizeRelH relativeFrom="margin">
              <wp14:pctWidth>0</wp14:pctWidth>
            </wp14:sizeRelH>
            <wp14:sizeRelV relativeFrom="margin">
              <wp14:pctHeight>0</wp14:pctHeight>
            </wp14:sizeRelV>
          </wp:anchor>
        </w:drawing>
      </w:r>
      <w:r w:rsidR="00630A92">
        <w:rPr>
          <w:spacing w:val="-4"/>
          <w:sz w:val="32"/>
        </w:rPr>
        <w:t>International</w:t>
      </w:r>
      <w:r w:rsidR="00630A92">
        <w:rPr>
          <w:spacing w:val="-17"/>
          <w:sz w:val="32"/>
        </w:rPr>
        <w:t xml:space="preserve"> </w:t>
      </w:r>
      <w:r w:rsidR="00630A92">
        <w:rPr>
          <w:spacing w:val="-4"/>
          <w:sz w:val="32"/>
        </w:rPr>
        <w:t>Business</w:t>
      </w:r>
      <w:r w:rsidR="00630A92">
        <w:rPr>
          <w:spacing w:val="-19"/>
          <w:sz w:val="32"/>
        </w:rPr>
        <w:t xml:space="preserve"> </w:t>
      </w:r>
      <w:r w:rsidR="00630A92">
        <w:rPr>
          <w:spacing w:val="-4"/>
          <w:sz w:val="32"/>
        </w:rPr>
        <w:t>pathway</w:t>
      </w:r>
    </w:p>
    <w:p w14:paraId="222BFD2B" w14:textId="626B61AD" w:rsidR="00630A92" w:rsidRDefault="00630A92" w:rsidP="00630A92">
      <w:pPr>
        <w:pStyle w:val="BodyText"/>
        <w:rPr>
          <w:sz w:val="20"/>
        </w:rPr>
      </w:pPr>
    </w:p>
    <w:p w14:paraId="0C9C29F9" w14:textId="1260083D" w:rsidR="00630A92" w:rsidRDefault="00630A92" w:rsidP="00630A92">
      <w:pPr>
        <w:pStyle w:val="BodyText"/>
        <w:rPr>
          <w:sz w:val="20"/>
        </w:rPr>
      </w:pPr>
    </w:p>
    <w:p w14:paraId="32BCF2D5" w14:textId="5A4D058B" w:rsidR="00630A92" w:rsidRPr="00C22437" w:rsidRDefault="00630A92" w:rsidP="00C22437">
      <w:pPr>
        <w:pStyle w:val="BodyText"/>
        <w:spacing w:before="14"/>
        <w:rPr>
          <w:sz w:val="20"/>
        </w:rPr>
      </w:pPr>
      <w:r>
        <w:rPr>
          <w:sz w:val="20"/>
        </w:rPr>
        <w:t xml:space="preserve"> </w:t>
      </w:r>
    </w:p>
    <w:p w14:paraId="15BC9585" w14:textId="537D3E85" w:rsidR="00630A92" w:rsidRDefault="00630A92" w:rsidP="00630A92">
      <w:pPr>
        <w:spacing w:before="286"/>
        <w:ind w:left="1819"/>
        <w:rPr>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sidR="00A764EE">
        <w:rPr>
          <w:color w:val="ED0000"/>
          <w:spacing w:val="-6"/>
          <w:sz w:val="28"/>
        </w:rPr>
        <w:t>100</w:t>
      </w:r>
      <w:r>
        <w:rPr>
          <w:color w:val="ED0000"/>
          <w:spacing w:val="-6"/>
          <w:sz w:val="28"/>
        </w:rPr>
        <w:t>%</w:t>
      </w:r>
    </w:p>
    <w:p w14:paraId="7EC0D55F" w14:textId="68FDCDC2" w:rsidR="00630A92" w:rsidRPr="00E1671D" w:rsidRDefault="00630A92" w:rsidP="008A2365">
      <w:pPr>
        <w:spacing w:before="230"/>
        <w:ind w:left="23" w:right="95"/>
        <w:rPr>
          <w:bCs/>
          <w:sz w:val="28"/>
        </w:rPr>
      </w:pPr>
      <w:r w:rsidRPr="00CF173C">
        <w:rPr>
          <w:b/>
          <w:sz w:val="28"/>
          <w:u w:val="single"/>
        </w:rPr>
        <w:t>Module</w:t>
      </w:r>
      <w:r w:rsidRPr="00CF173C">
        <w:rPr>
          <w:b/>
          <w:spacing w:val="-14"/>
          <w:sz w:val="28"/>
          <w:u w:val="single"/>
        </w:rPr>
        <w:t xml:space="preserve"> </w:t>
      </w:r>
      <w:r w:rsidRPr="00CF173C">
        <w:rPr>
          <w:b/>
          <w:spacing w:val="-2"/>
          <w:sz w:val="28"/>
          <w:u w:val="single"/>
        </w:rPr>
        <w:t>name:</w:t>
      </w:r>
      <w:r w:rsidR="00E1671D">
        <w:rPr>
          <w:b/>
          <w:spacing w:val="-2"/>
          <w:sz w:val="28"/>
          <w:u w:val="single"/>
        </w:rPr>
        <w:t xml:space="preserve"> </w:t>
      </w:r>
      <w:r w:rsidR="00E1671D">
        <w:rPr>
          <w:bCs/>
          <w:spacing w:val="-2"/>
          <w:sz w:val="28"/>
        </w:rPr>
        <w:t xml:space="preserve">International </w:t>
      </w:r>
      <w:r w:rsidR="00C47E8F">
        <w:rPr>
          <w:bCs/>
          <w:spacing w:val="-2"/>
          <w:sz w:val="28"/>
        </w:rPr>
        <w:t>Marketing:</w:t>
      </w:r>
      <w:r w:rsidR="008A2365">
        <w:rPr>
          <w:bCs/>
          <w:spacing w:val="-2"/>
          <w:sz w:val="28"/>
        </w:rPr>
        <w:t xml:space="preserve"> </w:t>
      </w:r>
      <w:r w:rsidR="00C47E8F">
        <w:rPr>
          <w:bCs/>
          <w:spacing w:val="-2"/>
          <w:sz w:val="28"/>
        </w:rPr>
        <w:t>Principles</w:t>
      </w:r>
      <w:r w:rsidR="008A2365">
        <w:rPr>
          <w:bCs/>
          <w:spacing w:val="-2"/>
          <w:sz w:val="28"/>
        </w:rPr>
        <w:t xml:space="preserve"> and Pra</w:t>
      </w:r>
      <w:r w:rsidR="00842D1B">
        <w:rPr>
          <w:bCs/>
          <w:spacing w:val="-2"/>
          <w:sz w:val="28"/>
        </w:rPr>
        <w:t>ctices</w:t>
      </w:r>
    </w:p>
    <w:p w14:paraId="46C69758" w14:textId="7C071C40" w:rsidR="00630A92" w:rsidRPr="00842D1B" w:rsidRDefault="00630A92" w:rsidP="00630A92">
      <w:pPr>
        <w:spacing w:before="230"/>
        <w:ind w:left="23" w:right="1229"/>
        <w:rPr>
          <w:sz w:val="28"/>
          <w:u w:val="single"/>
        </w:rPr>
      </w:pPr>
      <w:r w:rsidRPr="00CF173C">
        <w:rPr>
          <w:b/>
          <w:sz w:val="28"/>
          <w:u w:val="single"/>
        </w:rPr>
        <w:t>Module</w:t>
      </w:r>
      <w:r w:rsidRPr="00CF173C">
        <w:rPr>
          <w:b/>
          <w:spacing w:val="-14"/>
          <w:sz w:val="28"/>
          <w:u w:val="single"/>
        </w:rPr>
        <w:t xml:space="preserve"> </w:t>
      </w:r>
      <w:r w:rsidRPr="00CF173C">
        <w:rPr>
          <w:b/>
          <w:spacing w:val="-2"/>
          <w:sz w:val="28"/>
          <w:u w:val="single"/>
        </w:rPr>
        <w:t>code</w:t>
      </w:r>
      <w:r w:rsidRPr="00842D1B">
        <w:rPr>
          <w:spacing w:val="-2"/>
          <w:sz w:val="28"/>
        </w:rPr>
        <w:t>:</w:t>
      </w:r>
      <w:r w:rsidR="00842D1B" w:rsidRPr="00842D1B">
        <w:rPr>
          <w:spacing w:val="-2"/>
          <w:sz w:val="28"/>
        </w:rPr>
        <w:t xml:space="preserve"> LCMB7026</w:t>
      </w:r>
    </w:p>
    <w:p w14:paraId="4BA8F24B" w14:textId="308683AF" w:rsidR="00630A92" w:rsidRPr="00842D1B" w:rsidRDefault="00630A92" w:rsidP="00630A92">
      <w:pPr>
        <w:spacing w:before="230"/>
        <w:ind w:left="23" w:right="1229"/>
        <w:rPr>
          <w:sz w:val="28"/>
        </w:rPr>
      </w:pPr>
      <w:r w:rsidRPr="00CF173C">
        <w:rPr>
          <w:b/>
          <w:w w:val="90"/>
          <w:sz w:val="28"/>
          <w:u w:val="single"/>
        </w:rPr>
        <w:t>Lecturer</w:t>
      </w:r>
      <w:r w:rsidRPr="00CF173C">
        <w:rPr>
          <w:b/>
          <w:spacing w:val="16"/>
          <w:sz w:val="28"/>
          <w:u w:val="single"/>
        </w:rPr>
        <w:t xml:space="preserve"> </w:t>
      </w:r>
      <w:r w:rsidRPr="00CF173C">
        <w:rPr>
          <w:b/>
          <w:spacing w:val="-4"/>
          <w:sz w:val="28"/>
          <w:u w:val="single"/>
        </w:rPr>
        <w:t>name</w:t>
      </w:r>
      <w:r w:rsidRPr="00CF173C">
        <w:rPr>
          <w:spacing w:val="-4"/>
          <w:sz w:val="28"/>
          <w:u w:val="single"/>
        </w:rPr>
        <w:t>:</w:t>
      </w:r>
      <w:r w:rsidR="00842D1B">
        <w:rPr>
          <w:spacing w:val="-4"/>
          <w:sz w:val="28"/>
          <w:u w:val="single"/>
        </w:rPr>
        <w:t xml:space="preserve"> </w:t>
      </w:r>
      <w:r w:rsidR="002B0252">
        <w:rPr>
          <w:spacing w:val="-4"/>
          <w:sz w:val="28"/>
        </w:rPr>
        <w:t>DR.Amir Homayounfard</w:t>
      </w:r>
    </w:p>
    <w:p w14:paraId="6B63D9BA" w14:textId="6D9A9BEF" w:rsidR="00CF173C" w:rsidRPr="00BB7A32" w:rsidRDefault="00630A92" w:rsidP="00630A92">
      <w:pPr>
        <w:spacing w:line="410" w:lineRule="auto"/>
        <w:ind w:right="3072"/>
        <w:rPr>
          <w:spacing w:val="-4"/>
          <w:sz w:val="28"/>
        </w:rPr>
      </w:pPr>
      <w:r w:rsidRPr="00CF173C">
        <w:rPr>
          <w:b/>
          <w:spacing w:val="-4"/>
          <w:sz w:val="28"/>
          <w:u w:val="single"/>
        </w:rPr>
        <w:t>Student</w:t>
      </w:r>
      <w:r w:rsidRPr="00CF173C">
        <w:rPr>
          <w:b/>
          <w:spacing w:val="-31"/>
          <w:sz w:val="28"/>
          <w:u w:val="single"/>
        </w:rPr>
        <w:t xml:space="preserve"> </w:t>
      </w:r>
      <w:r w:rsidRPr="00CF173C">
        <w:rPr>
          <w:b/>
          <w:spacing w:val="-4"/>
          <w:sz w:val="28"/>
          <w:u w:val="single"/>
        </w:rPr>
        <w:t>name</w:t>
      </w:r>
      <w:r w:rsidRPr="00CF173C">
        <w:rPr>
          <w:spacing w:val="-4"/>
          <w:sz w:val="28"/>
          <w:u w:val="single"/>
        </w:rPr>
        <w:t xml:space="preserve">: </w:t>
      </w:r>
      <w:r w:rsidR="00BB7A32">
        <w:rPr>
          <w:spacing w:val="-4"/>
          <w:sz w:val="28"/>
        </w:rPr>
        <w:t xml:space="preserve">Vivekananda Reddy Singireddy </w:t>
      </w:r>
    </w:p>
    <w:p w14:paraId="5F80D024" w14:textId="0053216F" w:rsidR="00630A92" w:rsidRPr="00BB7A32" w:rsidRDefault="00630A92" w:rsidP="00630A92">
      <w:pPr>
        <w:spacing w:line="410" w:lineRule="auto"/>
        <w:ind w:right="3072"/>
        <w:rPr>
          <w:sz w:val="28"/>
        </w:rPr>
      </w:pPr>
      <w:r w:rsidRPr="00CF173C">
        <w:rPr>
          <w:b/>
          <w:sz w:val="28"/>
          <w:u w:val="single"/>
        </w:rPr>
        <w:t>Student</w:t>
      </w:r>
      <w:r w:rsidRPr="00CF173C">
        <w:rPr>
          <w:b/>
          <w:spacing w:val="-14"/>
          <w:sz w:val="28"/>
          <w:u w:val="single"/>
        </w:rPr>
        <w:t xml:space="preserve"> </w:t>
      </w:r>
      <w:r w:rsidRPr="00CF173C">
        <w:rPr>
          <w:b/>
          <w:sz w:val="28"/>
          <w:u w:val="single"/>
        </w:rPr>
        <w:t>ID</w:t>
      </w:r>
      <w:r w:rsidRPr="00CF173C">
        <w:rPr>
          <w:sz w:val="28"/>
          <w:u w:val="single"/>
        </w:rPr>
        <w:t>:</w:t>
      </w:r>
      <w:r w:rsidR="00BB7A32">
        <w:rPr>
          <w:sz w:val="28"/>
          <w:u w:val="single"/>
        </w:rPr>
        <w:t xml:space="preserve"> </w:t>
      </w:r>
      <w:r w:rsidR="00BB7A32" w:rsidRPr="00BB7A32">
        <w:rPr>
          <w:sz w:val="28"/>
        </w:rPr>
        <w:t>2529561</w:t>
      </w:r>
    </w:p>
    <w:p w14:paraId="0C5060C4" w14:textId="470AA0AA" w:rsidR="00CF173C" w:rsidRPr="00CF173C" w:rsidRDefault="00630A92" w:rsidP="00CF173C">
      <w:pPr>
        <w:spacing w:line="412" w:lineRule="auto"/>
        <w:ind w:right="2505"/>
        <w:rPr>
          <w:sz w:val="28"/>
          <w:u w:val="single"/>
        </w:rPr>
      </w:pPr>
      <w:r w:rsidRPr="00CF173C">
        <w:rPr>
          <w:b/>
          <w:sz w:val="28"/>
          <w:u w:val="single"/>
        </w:rPr>
        <w:t>Word</w:t>
      </w:r>
      <w:r w:rsidRPr="00CF173C">
        <w:rPr>
          <w:b/>
          <w:spacing w:val="-14"/>
          <w:sz w:val="28"/>
          <w:u w:val="single"/>
        </w:rPr>
        <w:t xml:space="preserve"> </w:t>
      </w:r>
      <w:r w:rsidRPr="00CF173C">
        <w:rPr>
          <w:b/>
          <w:sz w:val="28"/>
          <w:u w:val="single"/>
        </w:rPr>
        <w:t>count</w:t>
      </w:r>
      <w:r w:rsidRPr="00CF173C">
        <w:rPr>
          <w:sz w:val="28"/>
          <w:u w:val="single"/>
        </w:rPr>
        <w:t>:</w:t>
      </w:r>
      <w:r w:rsidR="0050047F">
        <w:rPr>
          <w:sz w:val="28"/>
        </w:rPr>
        <w:t xml:space="preserve"> 4,781</w:t>
      </w:r>
      <w:r w:rsidRPr="00CF173C">
        <w:rPr>
          <w:sz w:val="28"/>
          <w:u w:val="single"/>
        </w:rPr>
        <w:t xml:space="preserve"> </w:t>
      </w:r>
    </w:p>
    <w:p w14:paraId="6C58D7CC" w14:textId="620C8161" w:rsidR="00630A92" w:rsidRPr="00CF173C" w:rsidRDefault="00630A92" w:rsidP="00CF173C">
      <w:pPr>
        <w:spacing w:line="412" w:lineRule="auto"/>
        <w:ind w:right="2505"/>
        <w:rPr>
          <w:sz w:val="28"/>
          <w:u w:val="single"/>
        </w:rPr>
      </w:pPr>
      <w:r w:rsidRPr="00CF173C">
        <w:rPr>
          <w:b/>
          <w:sz w:val="28"/>
          <w:u w:val="single"/>
        </w:rPr>
        <w:t>Submission</w:t>
      </w:r>
      <w:r w:rsidRPr="00CF173C">
        <w:rPr>
          <w:b/>
          <w:spacing w:val="-32"/>
          <w:sz w:val="28"/>
          <w:u w:val="single"/>
        </w:rPr>
        <w:t xml:space="preserve"> </w:t>
      </w:r>
      <w:r w:rsidRPr="00CF173C">
        <w:rPr>
          <w:b/>
          <w:sz w:val="28"/>
          <w:u w:val="single"/>
        </w:rPr>
        <w:t>date</w:t>
      </w:r>
      <w:r w:rsidRPr="00CF173C">
        <w:rPr>
          <w:sz w:val="28"/>
          <w:u w:val="single"/>
        </w:rPr>
        <w:t>:</w:t>
      </w:r>
      <w:r w:rsidR="0050047F">
        <w:rPr>
          <w:sz w:val="28"/>
          <w:u w:val="single"/>
        </w:rPr>
        <w:t xml:space="preserve"> </w:t>
      </w:r>
      <w:r w:rsidR="008A33C1">
        <w:rPr>
          <w:sz w:val="28"/>
          <w:u w:val="single"/>
        </w:rPr>
        <w:t>13</w:t>
      </w:r>
      <w:r w:rsidR="008A33C1" w:rsidRPr="008A33C1">
        <w:rPr>
          <w:sz w:val="28"/>
          <w:u w:val="single"/>
          <w:vertAlign w:val="superscript"/>
        </w:rPr>
        <w:t>th</w:t>
      </w:r>
      <w:r w:rsidR="008A33C1">
        <w:rPr>
          <w:sz w:val="28"/>
          <w:u w:val="single"/>
        </w:rPr>
        <w:t xml:space="preserve"> </w:t>
      </w:r>
      <w:r w:rsidR="00C96205">
        <w:rPr>
          <w:sz w:val="28"/>
          <w:u w:val="single"/>
        </w:rPr>
        <w:t>August 2026</w:t>
      </w:r>
    </w:p>
    <w:p w14:paraId="1B0EFBAF" w14:textId="2E7B279B" w:rsidR="00291286" w:rsidRPr="005F0193" w:rsidRDefault="00291286" w:rsidP="005F0193">
      <w:pPr>
        <w:spacing w:line="278" w:lineRule="auto"/>
        <w:jc w:val="left"/>
        <w:rPr>
          <w:b/>
          <w:bCs/>
          <w:lang w:val="en-US"/>
        </w:rPr>
      </w:pPr>
      <w:r w:rsidRPr="005F0193">
        <w:rPr>
          <w:b/>
          <w:bCs/>
          <w:lang w:val="en-US"/>
        </w:rPr>
        <w:br w:type="page"/>
      </w:r>
    </w:p>
    <w:p w14:paraId="56FF1C04" w14:textId="1B942E78" w:rsidR="00291286" w:rsidRPr="00D21D47" w:rsidRDefault="00E05F3B">
      <w:pPr>
        <w:rPr>
          <w:b/>
          <w:bCs/>
          <w:lang w:val="en-US"/>
        </w:rPr>
      </w:pPr>
      <w:r w:rsidRPr="00D21D47">
        <w:rPr>
          <w:b/>
          <w:bCs/>
          <w:lang w:val="en-US"/>
        </w:rPr>
        <w:lastRenderedPageBreak/>
        <w:t>AI Use Declaration</w:t>
      </w:r>
    </w:p>
    <w:p w14:paraId="626ED5DB" w14:textId="4032896F" w:rsidR="00E05F3B" w:rsidRPr="00D21D47" w:rsidRDefault="00D21D47">
      <w:pPr>
        <w:rPr>
          <w:lang w:val="en-US"/>
        </w:rPr>
      </w:pPr>
      <w:r w:rsidRPr="00D21D47">
        <w:t xml:space="preserve">I declare that this assignment was written by myself and did not utilize any generative artificial intelligence (AI) tools, including but not limited to AI research, AI paraphrasing, AI analysis, and AI writing, for researching, paraphrasing, analysing or writing the material. All information is sourced from appropriate academic texts such as peer-reviewed journals, books, official publications and credible industry reports and have been referenced appropriately. </w:t>
      </w:r>
      <w:r w:rsidR="001A2639" w:rsidRPr="00D21D47">
        <w:rPr>
          <w:lang w:val="en-US"/>
        </w:rPr>
        <w:t>I have followed the University's academic integrity policy throughout the preparation of this assessment. I understand the importance of academic honesty and confirm that the ideas, analysis and conclusions presented in this submission are based on my own research and understanding of the topic.</w:t>
      </w:r>
    </w:p>
    <w:p w14:paraId="415C04B7" w14:textId="77777777" w:rsidR="005644F3" w:rsidRPr="00D21D47" w:rsidRDefault="005644F3">
      <w:pPr>
        <w:rPr>
          <w:lang w:val="en-US"/>
        </w:rPr>
      </w:pPr>
    </w:p>
    <w:p w14:paraId="2CFBC85D" w14:textId="77777777" w:rsidR="005644F3" w:rsidRPr="00D21D47" w:rsidRDefault="005644F3">
      <w:pPr>
        <w:rPr>
          <w:lang w:val="en-US"/>
        </w:rPr>
      </w:pPr>
    </w:p>
    <w:p w14:paraId="5636DC07" w14:textId="77777777" w:rsidR="005644F3" w:rsidRPr="00D21D47" w:rsidRDefault="005644F3">
      <w:pPr>
        <w:rPr>
          <w:lang w:val="en-US"/>
        </w:rPr>
      </w:pPr>
    </w:p>
    <w:p w14:paraId="579C4AD0" w14:textId="77777777" w:rsidR="005644F3" w:rsidRPr="00D21D47" w:rsidRDefault="005644F3">
      <w:pPr>
        <w:rPr>
          <w:lang w:val="en-US"/>
        </w:rPr>
      </w:pPr>
    </w:p>
    <w:p w14:paraId="65558A68" w14:textId="1DABA853" w:rsidR="005644F3" w:rsidRPr="00D21D47" w:rsidRDefault="005644F3">
      <w:pPr>
        <w:spacing w:line="278" w:lineRule="auto"/>
        <w:jc w:val="left"/>
        <w:rPr>
          <w:lang w:val="en-US"/>
        </w:rPr>
      </w:pPr>
      <w:r w:rsidRPr="00D21D47">
        <w:rPr>
          <w:lang w:val="en-US"/>
        </w:rPr>
        <w:br w:type="page"/>
      </w:r>
    </w:p>
    <w:sdt>
      <w:sdtPr>
        <w:rPr>
          <w:rFonts w:ascii="Times New Roman" w:eastAsiaTheme="minorHAnsi" w:hAnsi="Times New Roman" w:cstheme="minorBidi"/>
          <w:color w:val="auto"/>
          <w:kern w:val="2"/>
          <w:sz w:val="24"/>
          <w:szCs w:val="24"/>
          <w:lang w:eastAsia="en-US"/>
          <w14:ligatures w14:val="standardContextual"/>
        </w:rPr>
        <w:id w:val="1671752762"/>
        <w:docPartObj>
          <w:docPartGallery w:val="Table of Contents"/>
          <w:docPartUnique/>
        </w:docPartObj>
      </w:sdtPr>
      <w:sdtEndPr>
        <w:rPr>
          <w:b/>
          <w:bCs/>
        </w:rPr>
      </w:sdtEndPr>
      <w:sdtContent>
        <w:p w14:paraId="0F96CF2C" w14:textId="2BD552B4" w:rsidR="00BE38BC" w:rsidRPr="00D21D47" w:rsidRDefault="00BE38BC" w:rsidP="00BE38BC">
          <w:pPr>
            <w:pStyle w:val="TOCHeading"/>
            <w:spacing w:line="360" w:lineRule="auto"/>
            <w:jc w:val="center"/>
            <w:rPr>
              <w:rFonts w:ascii="Times New Roman" w:hAnsi="Times New Roman" w:cs="Times New Roman"/>
              <w:b/>
              <w:bCs/>
              <w:color w:val="000000" w:themeColor="text1"/>
              <w:sz w:val="28"/>
              <w:szCs w:val="28"/>
            </w:rPr>
          </w:pPr>
          <w:r w:rsidRPr="00D21D47">
            <w:rPr>
              <w:rFonts w:ascii="Times New Roman" w:hAnsi="Times New Roman" w:cs="Times New Roman"/>
              <w:b/>
              <w:bCs/>
              <w:color w:val="000000" w:themeColor="text1"/>
              <w:sz w:val="28"/>
              <w:szCs w:val="28"/>
            </w:rPr>
            <w:t>Table of Contents</w:t>
          </w:r>
        </w:p>
        <w:p w14:paraId="5C2437D7" w14:textId="470B03D5" w:rsidR="004070E8" w:rsidRDefault="00BE38BC">
          <w:pPr>
            <w:pStyle w:val="TOC1"/>
            <w:tabs>
              <w:tab w:val="right" w:leader="dot" w:pos="9016"/>
            </w:tabs>
            <w:rPr>
              <w:rFonts w:asciiTheme="minorHAnsi" w:eastAsiaTheme="minorEastAsia" w:hAnsiTheme="minorHAnsi"/>
              <w:noProof/>
              <w:lang w:eastAsia="en-GB"/>
            </w:rPr>
          </w:pPr>
          <w:r w:rsidRPr="00D21D47">
            <w:fldChar w:fldCharType="begin"/>
          </w:r>
          <w:r w:rsidRPr="00D21D47">
            <w:instrText xml:space="preserve"> TOC \o "1-3" \h \z \u </w:instrText>
          </w:r>
          <w:r w:rsidRPr="00D21D47">
            <w:fldChar w:fldCharType="separate"/>
          </w:r>
          <w:hyperlink w:anchor="_Toc237089300" w:history="1">
            <w:r w:rsidR="004070E8" w:rsidRPr="006711F1">
              <w:rPr>
                <w:rStyle w:val="Hyperlink"/>
                <w:noProof/>
              </w:rPr>
              <w:t>Section 1: International Market Entry Strategy and Marketing Mix</w:t>
            </w:r>
            <w:r w:rsidR="004070E8">
              <w:rPr>
                <w:noProof/>
                <w:webHidden/>
              </w:rPr>
              <w:tab/>
            </w:r>
            <w:r w:rsidR="004070E8">
              <w:rPr>
                <w:noProof/>
                <w:webHidden/>
              </w:rPr>
              <w:fldChar w:fldCharType="begin"/>
            </w:r>
            <w:r w:rsidR="004070E8">
              <w:rPr>
                <w:noProof/>
                <w:webHidden/>
              </w:rPr>
              <w:instrText xml:space="preserve"> PAGEREF _Toc237089300 \h </w:instrText>
            </w:r>
            <w:r w:rsidR="004070E8">
              <w:rPr>
                <w:noProof/>
                <w:webHidden/>
              </w:rPr>
            </w:r>
            <w:r w:rsidR="004070E8">
              <w:rPr>
                <w:noProof/>
                <w:webHidden/>
              </w:rPr>
              <w:fldChar w:fldCharType="separate"/>
            </w:r>
            <w:r w:rsidR="004070E8">
              <w:rPr>
                <w:noProof/>
                <w:webHidden/>
              </w:rPr>
              <w:t>4</w:t>
            </w:r>
            <w:r w:rsidR="004070E8">
              <w:rPr>
                <w:noProof/>
                <w:webHidden/>
              </w:rPr>
              <w:fldChar w:fldCharType="end"/>
            </w:r>
          </w:hyperlink>
        </w:p>
        <w:p w14:paraId="747F13C3" w14:textId="45A6DFB0"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1" w:history="1">
            <w:r w:rsidRPr="006711F1">
              <w:rPr>
                <w:rStyle w:val="Hyperlink"/>
                <w:noProof/>
              </w:rPr>
              <w:t>1.</w:t>
            </w:r>
            <w:r>
              <w:rPr>
                <w:rFonts w:asciiTheme="minorHAnsi" w:eastAsiaTheme="minorEastAsia" w:hAnsiTheme="minorHAnsi"/>
                <w:noProof/>
                <w:lang w:eastAsia="en-GB"/>
              </w:rPr>
              <w:tab/>
            </w:r>
            <w:r w:rsidRPr="006711F1">
              <w:rPr>
                <w:rStyle w:val="Hyperlink"/>
                <w:noProof/>
              </w:rPr>
              <w:t>Introduction</w:t>
            </w:r>
            <w:r>
              <w:rPr>
                <w:noProof/>
                <w:webHidden/>
              </w:rPr>
              <w:tab/>
            </w:r>
            <w:r>
              <w:rPr>
                <w:noProof/>
                <w:webHidden/>
              </w:rPr>
              <w:fldChar w:fldCharType="begin"/>
            </w:r>
            <w:r>
              <w:rPr>
                <w:noProof/>
                <w:webHidden/>
              </w:rPr>
              <w:instrText xml:space="preserve"> PAGEREF _Toc237089301 \h </w:instrText>
            </w:r>
            <w:r>
              <w:rPr>
                <w:noProof/>
                <w:webHidden/>
              </w:rPr>
            </w:r>
            <w:r>
              <w:rPr>
                <w:noProof/>
                <w:webHidden/>
              </w:rPr>
              <w:fldChar w:fldCharType="separate"/>
            </w:r>
            <w:r>
              <w:rPr>
                <w:noProof/>
                <w:webHidden/>
              </w:rPr>
              <w:t>4</w:t>
            </w:r>
            <w:r>
              <w:rPr>
                <w:noProof/>
                <w:webHidden/>
              </w:rPr>
              <w:fldChar w:fldCharType="end"/>
            </w:r>
          </w:hyperlink>
        </w:p>
        <w:p w14:paraId="4A2605D1" w14:textId="0ED8EC59"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2" w:history="1">
            <w:r w:rsidRPr="006711F1">
              <w:rPr>
                <w:rStyle w:val="Hyperlink"/>
                <w:noProof/>
              </w:rPr>
              <w:t>2.</w:t>
            </w:r>
            <w:r>
              <w:rPr>
                <w:rFonts w:asciiTheme="minorHAnsi" w:eastAsiaTheme="minorEastAsia" w:hAnsiTheme="minorHAnsi"/>
                <w:noProof/>
                <w:lang w:eastAsia="en-GB"/>
              </w:rPr>
              <w:tab/>
            </w:r>
            <w:r w:rsidRPr="006711F1">
              <w:rPr>
                <w:rStyle w:val="Hyperlink"/>
                <w:noProof/>
              </w:rPr>
              <w:t>Company Overview and International Orientation</w:t>
            </w:r>
            <w:r>
              <w:rPr>
                <w:noProof/>
                <w:webHidden/>
              </w:rPr>
              <w:tab/>
            </w:r>
            <w:r>
              <w:rPr>
                <w:noProof/>
                <w:webHidden/>
              </w:rPr>
              <w:fldChar w:fldCharType="begin"/>
            </w:r>
            <w:r>
              <w:rPr>
                <w:noProof/>
                <w:webHidden/>
              </w:rPr>
              <w:instrText xml:space="preserve"> PAGEREF _Toc237089302 \h </w:instrText>
            </w:r>
            <w:r>
              <w:rPr>
                <w:noProof/>
                <w:webHidden/>
              </w:rPr>
            </w:r>
            <w:r>
              <w:rPr>
                <w:noProof/>
                <w:webHidden/>
              </w:rPr>
              <w:fldChar w:fldCharType="separate"/>
            </w:r>
            <w:r>
              <w:rPr>
                <w:noProof/>
                <w:webHidden/>
              </w:rPr>
              <w:t>5</w:t>
            </w:r>
            <w:r>
              <w:rPr>
                <w:noProof/>
                <w:webHidden/>
              </w:rPr>
              <w:fldChar w:fldCharType="end"/>
            </w:r>
          </w:hyperlink>
        </w:p>
        <w:p w14:paraId="2FBA0502" w14:textId="3367A92A"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3" w:history="1">
            <w:r w:rsidRPr="006711F1">
              <w:rPr>
                <w:rStyle w:val="Hyperlink"/>
                <w:noProof/>
              </w:rPr>
              <w:t>3.</w:t>
            </w:r>
            <w:r>
              <w:rPr>
                <w:rFonts w:asciiTheme="minorHAnsi" w:eastAsiaTheme="minorEastAsia" w:hAnsiTheme="minorHAnsi"/>
                <w:noProof/>
                <w:lang w:eastAsia="en-GB"/>
              </w:rPr>
              <w:tab/>
            </w:r>
            <w:r w:rsidRPr="006711F1">
              <w:rPr>
                <w:rStyle w:val="Hyperlink"/>
                <w:noProof/>
              </w:rPr>
              <w:t>Comparative Analysis of the UK and Indian Markets</w:t>
            </w:r>
            <w:r>
              <w:rPr>
                <w:noProof/>
                <w:webHidden/>
              </w:rPr>
              <w:tab/>
            </w:r>
            <w:r>
              <w:rPr>
                <w:noProof/>
                <w:webHidden/>
              </w:rPr>
              <w:fldChar w:fldCharType="begin"/>
            </w:r>
            <w:r>
              <w:rPr>
                <w:noProof/>
                <w:webHidden/>
              </w:rPr>
              <w:instrText xml:space="preserve"> PAGEREF _Toc237089303 \h </w:instrText>
            </w:r>
            <w:r>
              <w:rPr>
                <w:noProof/>
                <w:webHidden/>
              </w:rPr>
            </w:r>
            <w:r>
              <w:rPr>
                <w:noProof/>
                <w:webHidden/>
              </w:rPr>
              <w:fldChar w:fldCharType="separate"/>
            </w:r>
            <w:r>
              <w:rPr>
                <w:noProof/>
                <w:webHidden/>
              </w:rPr>
              <w:t>6</w:t>
            </w:r>
            <w:r>
              <w:rPr>
                <w:noProof/>
                <w:webHidden/>
              </w:rPr>
              <w:fldChar w:fldCharType="end"/>
            </w:r>
          </w:hyperlink>
        </w:p>
        <w:p w14:paraId="0E5EEEA7" w14:textId="4407AE9E"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4" w:history="1">
            <w:r w:rsidRPr="006711F1">
              <w:rPr>
                <w:rStyle w:val="Hyperlink"/>
                <w:noProof/>
              </w:rPr>
              <w:t>4.</w:t>
            </w:r>
            <w:r>
              <w:rPr>
                <w:rFonts w:asciiTheme="minorHAnsi" w:eastAsiaTheme="minorEastAsia" w:hAnsiTheme="minorHAnsi"/>
                <w:noProof/>
                <w:lang w:eastAsia="en-GB"/>
              </w:rPr>
              <w:tab/>
            </w:r>
            <w:r w:rsidRPr="006711F1">
              <w:rPr>
                <w:rStyle w:val="Hyperlink"/>
                <w:noProof/>
              </w:rPr>
              <w:t>Comparative Analysis of STP Strategy</w:t>
            </w:r>
            <w:r>
              <w:rPr>
                <w:noProof/>
                <w:webHidden/>
              </w:rPr>
              <w:tab/>
            </w:r>
            <w:r>
              <w:rPr>
                <w:noProof/>
                <w:webHidden/>
              </w:rPr>
              <w:fldChar w:fldCharType="begin"/>
            </w:r>
            <w:r>
              <w:rPr>
                <w:noProof/>
                <w:webHidden/>
              </w:rPr>
              <w:instrText xml:space="preserve"> PAGEREF _Toc237089304 \h </w:instrText>
            </w:r>
            <w:r>
              <w:rPr>
                <w:noProof/>
                <w:webHidden/>
              </w:rPr>
            </w:r>
            <w:r>
              <w:rPr>
                <w:noProof/>
                <w:webHidden/>
              </w:rPr>
              <w:fldChar w:fldCharType="separate"/>
            </w:r>
            <w:r>
              <w:rPr>
                <w:noProof/>
                <w:webHidden/>
              </w:rPr>
              <w:t>10</w:t>
            </w:r>
            <w:r>
              <w:rPr>
                <w:noProof/>
                <w:webHidden/>
              </w:rPr>
              <w:fldChar w:fldCharType="end"/>
            </w:r>
          </w:hyperlink>
        </w:p>
        <w:p w14:paraId="6AF636BC" w14:textId="484D7C94"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5" w:history="1">
            <w:r w:rsidRPr="006711F1">
              <w:rPr>
                <w:rStyle w:val="Hyperlink"/>
                <w:noProof/>
              </w:rPr>
              <w:t>5.</w:t>
            </w:r>
            <w:r>
              <w:rPr>
                <w:rFonts w:asciiTheme="minorHAnsi" w:eastAsiaTheme="minorEastAsia" w:hAnsiTheme="minorHAnsi"/>
                <w:noProof/>
                <w:lang w:eastAsia="en-GB"/>
              </w:rPr>
              <w:tab/>
            </w:r>
            <w:r w:rsidRPr="006711F1">
              <w:rPr>
                <w:rStyle w:val="Hyperlink"/>
                <w:noProof/>
              </w:rPr>
              <w:t>Comparative Analysis of the International Marketing Mix (7Ps)</w:t>
            </w:r>
            <w:r>
              <w:rPr>
                <w:noProof/>
                <w:webHidden/>
              </w:rPr>
              <w:tab/>
            </w:r>
            <w:r>
              <w:rPr>
                <w:noProof/>
                <w:webHidden/>
              </w:rPr>
              <w:fldChar w:fldCharType="begin"/>
            </w:r>
            <w:r>
              <w:rPr>
                <w:noProof/>
                <w:webHidden/>
              </w:rPr>
              <w:instrText xml:space="preserve"> PAGEREF _Toc237089305 \h </w:instrText>
            </w:r>
            <w:r>
              <w:rPr>
                <w:noProof/>
                <w:webHidden/>
              </w:rPr>
            </w:r>
            <w:r>
              <w:rPr>
                <w:noProof/>
                <w:webHidden/>
              </w:rPr>
              <w:fldChar w:fldCharType="separate"/>
            </w:r>
            <w:r>
              <w:rPr>
                <w:noProof/>
                <w:webHidden/>
              </w:rPr>
              <w:t>13</w:t>
            </w:r>
            <w:r>
              <w:rPr>
                <w:noProof/>
                <w:webHidden/>
              </w:rPr>
              <w:fldChar w:fldCharType="end"/>
            </w:r>
          </w:hyperlink>
        </w:p>
        <w:p w14:paraId="029EC1BD" w14:textId="25898728"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6" w:history="1">
            <w:r w:rsidRPr="006711F1">
              <w:rPr>
                <w:rStyle w:val="Hyperlink"/>
                <w:noProof/>
              </w:rPr>
              <w:t>6.</w:t>
            </w:r>
            <w:r>
              <w:rPr>
                <w:rFonts w:asciiTheme="minorHAnsi" w:eastAsiaTheme="minorEastAsia" w:hAnsiTheme="minorHAnsi"/>
                <w:noProof/>
                <w:lang w:eastAsia="en-GB"/>
              </w:rPr>
              <w:tab/>
            </w:r>
            <w:r w:rsidRPr="006711F1">
              <w:rPr>
                <w:rStyle w:val="Hyperlink"/>
                <w:noProof/>
              </w:rPr>
              <w:t>Assessment of Cadbury's strategy for entering India</w:t>
            </w:r>
            <w:r>
              <w:rPr>
                <w:noProof/>
                <w:webHidden/>
              </w:rPr>
              <w:tab/>
            </w:r>
            <w:r>
              <w:rPr>
                <w:noProof/>
                <w:webHidden/>
              </w:rPr>
              <w:fldChar w:fldCharType="begin"/>
            </w:r>
            <w:r>
              <w:rPr>
                <w:noProof/>
                <w:webHidden/>
              </w:rPr>
              <w:instrText xml:space="preserve"> PAGEREF _Toc237089306 \h </w:instrText>
            </w:r>
            <w:r>
              <w:rPr>
                <w:noProof/>
                <w:webHidden/>
              </w:rPr>
            </w:r>
            <w:r>
              <w:rPr>
                <w:noProof/>
                <w:webHidden/>
              </w:rPr>
              <w:fldChar w:fldCharType="separate"/>
            </w:r>
            <w:r>
              <w:rPr>
                <w:noProof/>
                <w:webHidden/>
              </w:rPr>
              <w:t>15</w:t>
            </w:r>
            <w:r>
              <w:rPr>
                <w:noProof/>
                <w:webHidden/>
              </w:rPr>
              <w:fldChar w:fldCharType="end"/>
            </w:r>
          </w:hyperlink>
        </w:p>
        <w:p w14:paraId="1F7B1175" w14:textId="7633D5FE"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7" w:history="1">
            <w:r w:rsidRPr="006711F1">
              <w:rPr>
                <w:rStyle w:val="Hyperlink"/>
                <w:noProof/>
              </w:rPr>
              <w:t>7.</w:t>
            </w:r>
            <w:r>
              <w:rPr>
                <w:rFonts w:asciiTheme="minorHAnsi" w:eastAsiaTheme="minorEastAsia" w:hAnsiTheme="minorHAnsi"/>
                <w:noProof/>
                <w:lang w:eastAsia="en-GB"/>
              </w:rPr>
              <w:tab/>
            </w:r>
            <w:r w:rsidRPr="006711F1">
              <w:rPr>
                <w:rStyle w:val="Hyperlink"/>
                <w:noProof/>
              </w:rPr>
              <w:t>Ethical Issues in Cadbury's International Marketing</w:t>
            </w:r>
            <w:r>
              <w:rPr>
                <w:noProof/>
                <w:webHidden/>
              </w:rPr>
              <w:tab/>
            </w:r>
            <w:r>
              <w:rPr>
                <w:noProof/>
                <w:webHidden/>
              </w:rPr>
              <w:fldChar w:fldCharType="begin"/>
            </w:r>
            <w:r>
              <w:rPr>
                <w:noProof/>
                <w:webHidden/>
              </w:rPr>
              <w:instrText xml:space="preserve"> PAGEREF _Toc237089307 \h </w:instrText>
            </w:r>
            <w:r>
              <w:rPr>
                <w:noProof/>
                <w:webHidden/>
              </w:rPr>
            </w:r>
            <w:r>
              <w:rPr>
                <w:noProof/>
                <w:webHidden/>
              </w:rPr>
              <w:fldChar w:fldCharType="separate"/>
            </w:r>
            <w:r>
              <w:rPr>
                <w:noProof/>
                <w:webHidden/>
              </w:rPr>
              <w:t>16</w:t>
            </w:r>
            <w:r>
              <w:rPr>
                <w:noProof/>
                <w:webHidden/>
              </w:rPr>
              <w:fldChar w:fldCharType="end"/>
            </w:r>
          </w:hyperlink>
        </w:p>
        <w:p w14:paraId="4F5965E9" w14:textId="0EBA2A2D"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8" w:history="1">
            <w:r w:rsidRPr="006711F1">
              <w:rPr>
                <w:rStyle w:val="Hyperlink"/>
                <w:noProof/>
              </w:rPr>
              <w:t>8.</w:t>
            </w:r>
            <w:r>
              <w:rPr>
                <w:rFonts w:asciiTheme="minorHAnsi" w:eastAsiaTheme="minorEastAsia" w:hAnsiTheme="minorHAnsi"/>
                <w:noProof/>
                <w:lang w:eastAsia="en-GB"/>
              </w:rPr>
              <w:tab/>
            </w:r>
            <w:r w:rsidRPr="006711F1">
              <w:rPr>
                <w:rStyle w:val="Hyperlink"/>
                <w:noProof/>
              </w:rPr>
              <w:t>Recommendations</w:t>
            </w:r>
            <w:r>
              <w:rPr>
                <w:noProof/>
                <w:webHidden/>
              </w:rPr>
              <w:tab/>
            </w:r>
            <w:r>
              <w:rPr>
                <w:noProof/>
                <w:webHidden/>
              </w:rPr>
              <w:fldChar w:fldCharType="begin"/>
            </w:r>
            <w:r>
              <w:rPr>
                <w:noProof/>
                <w:webHidden/>
              </w:rPr>
              <w:instrText xml:space="preserve"> PAGEREF _Toc237089308 \h </w:instrText>
            </w:r>
            <w:r>
              <w:rPr>
                <w:noProof/>
                <w:webHidden/>
              </w:rPr>
            </w:r>
            <w:r>
              <w:rPr>
                <w:noProof/>
                <w:webHidden/>
              </w:rPr>
              <w:fldChar w:fldCharType="separate"/>
            </w:r>
            <w:r>
              <w:rPr>
                <w:noProof/>
                <w:webHidden/>
              </w:rPr>
              <w:t>16</w:t>
            </w:r>
            <w:r>
              <w:rPr>
                <w:noProof/>
                <w:webHidden/>
              </w:rPr>
              <w:fldChar w:fldCharType="end"/>
            </w:r>
          </w:hyperlink>
        </w:p>
        <w:p w14:paraId="33A77329" w14:textId="29BCA802" w:rsidR="004070E8" w:rsidRDefault="004070E8">
          <w:pPr>
            <w:pStyle w:val="TOC2"/>
            <w:tabs>
              <w:tab w:val="left" w:pos="720"/>
              <w:tab w:val="right" w:leader="dot" w:pos="9016"/>
            </w:tabs>
            <w:rPr>
              <w:rFonts w:asciiTheme="minorHAnsi" w:eastAsiaTheme="minorEastAsia" w:hAnsiTheme="minorHAnsi"/>
              <w:noProof/>
              <w:lang w:eastAsia="en-GB"/>
            </w:rPr>
          </w:pPr>
          <w:hyperlink w:anchor="_Toc237089309" w:history="1">
            <w:r w:rsidRPr="006711F1">
              <w:rPr>
                <w:rStyle w:val="Hyperlink"/>
                <w:noProof/>
              </w:rPr>
              <w:t>9.</w:t>
            </w:r>
            <w:r>
              <w:rPr>
                <w:rFonts w:asciiTheme="minorHAnsi" w:eastAsiaTheme="minorEastAsia" w:hAnsiTheme="minorHAnsi"/>
                <w:noProof/>
                <w:lang w:eastAsia="en-GB"/>
              </w:rPr>
              <w:tab/>
            </w:r>
            <w:r w:rsidRPr="006711F1">
              <w:rPr>
                <w:rStyle w:val="Hyperlink"/>
                <w:noProof/>
              </w:rPr>
              <w:t>Conclusion</w:t>
            </w:r>
            <w:r>
              <w:rPr>
                <w:noProof/>
                <w:webHidden/>
              </w:rPr>
              <w:tab/>
            </w:r>
            <w:r>
              <w:rPr>
                <w:noProof/>
                <w:webHidden/>
              </w:rPr>
              <w:fldChar w:fldCharType="begin"/>
            </w:r>
            <w:r>
              <w:rPr>
                <w:noProof/>
                <w:webHidden/>
              </w:rPr>
              <w:instrText xml:space="preserve"> PAGEREF _Toc237089309 \h </w:instrText>
            </w:r>
            <w:r>
              <w:rPr>
                <w:noProof/>
                <w:webHidden/>
              </w:rPr>
            </w:r>
            <w:r>
              <w:rPr>
                <w:noProof/>
                <w:webHidden/>
              </w:rPr>
              <w:fldChar w:fldCharType="separate"/>
            </w:r>
            <w:r>
              <w:rPr>
                <w:noProof/>
                <w:webHidden/>
              </w:rPr>
              <w:t>17</w:t>
            </w:r>
            <w:r>
              <w:rPr>
                <w:noProof/>
                <w:webHidden/>
              </w:rPr>
              <w:fldChar w:fldCharType="end"/>
            </w:r>
          </w:hyperlink>
        </w:p>
        <w:p w14:paraId="39F9CBBA" w14:textId="46D22C90" w:rsidR="004070E8" w:rsidRDefault="004070E8">
          <w:pPr>
            <w:pStyle w:val="TOC1"/>
            <w:tabs>
              <w:tab w:val="right" w:leader="dot" w:pos="9016"/>
            </w:tabs>
            <w:rPr>
              <w:rFonts w:asciiTheme="minorHAnsi" w:eastAsiaTheme="minorEastAsia" w:hAnsiTheme="minorHAnsi"/>
              <w:noProof/>
              <w:lang w:eastAsia="en-GB"/>
            </w:rPr>
          </w:pPr>
          <w:hyperlink w:anchor="_Toc237089310" w:history="1">
            <w:r w:rsidRPr="006711F1">
              <w:rPr>
                <w:rStyle w:val="Hyperlink"/>
                <w:noProof/>
              </w:rPr>
              <w:t>Section 2: Reflective Account</w:t>
            </w:r>
            <w:r>
              <w:rPr>
                <w:noProof/>
                <w:webHidden/>
              </w:rPr>
              <w:tab/>
            </w:r>
            <w:r>
              <w:rPr>
                <w:noProof/>
                <w:webHidden/>
              </w:rPr>
              <w:fldChar w:fldCharType="begin"/>
            </w:r>
            <w:r>
              <w:rPr>
                <w:noProof/>
                <w:webHidden/>
              </w:rPr>
              <w:instrText xml:space="preserve"> PAGEREF _Toc237089310 \h </w:instrText>
            </w:r>
            <w:r>
              <w:rPr>
                <w:noProof/>
                <w:webHidden/>
              </w:rPr>
            </w:r>
            <w:r>
              <w:rPr>
                <w:noProof/>
                <w:webHidden/>
              </w:rPr>
              <w:fldChar w:fldCharType="separate"/>
            </w:r>
            <w:r>
              <w:rPr>
                <w:noProof/>
                <w:webHidden/>
              </w:rPr>
              <w:t>18</w:t>
            </w:r>
            <w:r>
              <w:rPr>
                <w:noProof/>
                <w:webHidden/>
              </w:rPr>
              <w:fldChar w:fldCharType="end"/>
            </w:r>
          </w:hyperlink>
        </w:p>
        <w:p w14:paraId="3F09849F" w14:textId="2F23AC6A" w:rsidR="004070E8" w:rsidRDefault="004070E8">
          <w:pPr>
            <w:pStyle w:val="TOC1"/>
            <w:tabs>
              <w:tab w:val="right" w:leader="dot" w:pos="9016"/>
            </w:tabs>
            <w:rPr>
              <w:rFonts w:asciiTheme="minorHAnsi" w:eastAsiaTheme="minorEastAsia" w:hAnsiTheme="minorHAnsi"/>
              <w:noProof/>
              <w:lang w:eastAsia="en-GB"/>
            </w:rPr>
          </w:pPr>
          <w:hyperlink w:anchor="_Toc237089311" w:history="1">
            <w:r w:rsidRPr="006711F1">
              <w:rPr>
                <w:rStyle w:val="Hyperlink"/>
                <w:noProof/>
              </w:rPr>
              <w:t>References</w:t>
            </w:r>
            <w:r>
              <w:rPr>
                <w:noProof/>
                <w:webHidden/>
              </w:rPr>
              <w:tab/>
            </w:r>
            <w:r>
              <w:rPr>
                <w:noProof/>
                <w:webHidden/>
              </w:rPr>
              <w:fldChar w:fldCharType="begin"/>
            </w:r>
            <w:r>
              <w:rPr>
                <w:noProof/>
                <w:webHidden/>
              </w:rPr>
              <w:instrText xml:space="preserve"> PAGEREF _Toc237089311 \h </w:instrText>
            </w:r>
            <w:r>
              <w:rPr>
                <w:noProof/>
                <w:webHidden/>
              </w:rPr>
            </w:r>
            <w:r>
              <w:rPr>
                <w:noProof/>
                <w:webHidden/>
              </w:rPr>
              <w:fldChar w:fldCharType="separate"/>
            </w:r>
            <w:r>
              <w:rPr>
                <w:noProof/>
                <w:webHidden/>
              </w:rPr>
              <w:t>21</w:t>
            </w:r>
            <w:r>
              <w:rPr>
                <w:noProof/>
                <w:webHidden/>
              </w:rPr>
              <w:fldChar w:fldCharType="end"/>
            </w:r>
          </w:hyperlink>
        </w:p>
        <w:p w14:paraId="279688A7" w14:textId="6B31B0BC" w:rsidR="00BE38BC" w:rsidRPr="00D21D47" w:rsidRDefault="00BE38BC" w:rsidP="00BE38BC">
          <w:r w:rsidRPr="00D21D47">
            <w:rPr>
              <w:b/>
              <w:bCs/>
            </w:rPr>
            <w:fldChar w:fldCharType="end"/>
          </w:r>
        </w:p>
      </w:sdtContent>
    </w:sdt>
    <w:p w14:paraId="5D654B3F" w14:textId="77777777" w:rsidR="005644F3" w:rsidRPr="00D21D47" w:rsidRDefault="005644F3">
      <w:pPr>
        <w:rPr>
          <w:lang w:val="en-US"/>
        </w:rPr>
      </w:pPr>
    </w:p>
    <w:p w14:paraId="55AB3925" w14:textId="77777777" w:rsidR="005644F3" w:rsidRPr="00D21D47" w:rsidRDefault="005644F3">
      <w:pPr>
        <w:rPr>
          <w:lang w:val="en-US"/>
        </w:rPr>
      </w:pPr>
    </w:p>
    <w:p w14:paraId="5E3DB9DB" w14:textId="77777777" w:rsidR="005644F3" w:rsidRPr="00D21D47" w:rsidRDefault="005644F3">
      <w:pPr>
        <w:rPr>
          <w:lang w:val="en-US"/>
        </w:rPr>
      </w:pPr>
    </w:p>
    <w:p w14:paraId="5900DC26" w14:textId="110A7E2B" w:rsidR="005644F3" w:rsidRPr="00D21D47" w:rsidRDefault="005644F3">
      <w:pPr>
        <w:spacing w:line="278" w:lineRule="auto"/>
        <w:jc w:val="left"/>
        <w:rPr>
          <w:lang w:val="en-US"/>
        </w:rPr>
      </w:pPr>
      <w:r w:rsidRPr="00D21D47">
        <w:rPr>
          <w:lang w:val="en-US"/>
        </w:rPr>
        <w:br w:type="page"/>
      </w:r>
    </w:p>
    <w:p w14:paraId="5A96E6D3" w14:textId="7E749A53" w:rsidR="005644F3" w:rsidRPr="00D21D47" w:rsidRDefault="00122106" w:rsidP="00122106">
      <w:pPr>
        <w:pStyle w:val="Heading1"/>
      </w:pPr>
      <w:bookmarkStart w:id="0" w:name="_Toc237089300"/>
      <w:r w:rsidRPr="00D21D47">
        <w:lastRenderedPageBreak/>
        <w:t>Section 1: International Market Entry Strategy and Marketing Mix</w:t>
      </w:r>
      <w:bookmarkEnd w:id="0"/>
    </w:p>
    <w:p w14:paraId="59D3D0F2" w14:textId="7596682B" w:rsidR="00122106" w:rsidRPr="00D21D47" w:rsidRDefault="00122106" w:rsidP="00122106">
      <w:pPr>
        <w:pStyle w:val="Heading2"/>
        <w:numPr>
          <w:ilvl w:val="0"/>
          <w:numId w:val="1"/>
        </w:numPr>
      </w:pPr>
      <w:bookmarkStart w:id="1" w:name="_Toc237089301"/>
      <w:r w:rsidRPr="00D21D47">
        <w:t>Introduction</w:t>
      </w:r>
      <w:bookmarkEnd w:id="1"/>
    </w:p>
    <w:p w14:paraId="77F4F101" w14:textId="6D43CCD8" w:rsidR="00C234A8" w:rsidRPr="00D21D47" w:rsidRDefault="00C234A8" w:rsidP="00C234A8">
      <w:r w:rsidRPr="00D21D47">
        <w:t xml:space="preserve">Cadbury is one of the world's most well-known brands and has grown from a small grocery shop in Birmingham to a globalised multi-national chocolate company operating in many countries around the world. The Cadbury business was founded by John Cadbury in 1824 and was known for its excellent cocoa and chocolate products and its strong commitment to product quality and the welfare of its employees and the local community. The principles have remained at the heart of the brand and continue to shape the international marketing of the brand under its parent company, Mondelez International (Cadbury UK, 2026). </w:t>
      </w:r>
    </w:p>
    <w:p w14:paraId="47074EFD" w14:textId="77777777" w:rsidR="00BE38BC" w:rsidRPr="00D21D47" w:rsidRDefault="00BE38BC" w:rsidP="00BE38BC">
      <w:pPr>
        <w:keepNext/>
        <w:jc w:val="center"/>
      </w:pPr>
      <w:r w:rsidRPr="00D21D47">
        <w:rPr>
          <w:noProof/>
        </w:rPr>
        <w:drawing>
          <wp:inline distT="0" distB="0" distL="0" distR="0" wp14:anchorId="468A4CE2" wp14:editId="2FE32DF9">
            <wp:extent cx="4258269" cy="1543265"/>
            <wp:effectExtent l="19050" t="19050" r="28575" b="19050"/>
            <wp:docPr id="78805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54198" name=""/>
                    <pic:cNvPicPr/>
                  </pic:nvPicPr>
                  <pic:blipFill>
                    <a:blip r:embed="rId10"/>
                    <a:stretch>
                      <a:fillRect/>
                    </a:stretch>
                  </pic:blipFill>
                  <pic:spPr>
                    <a:xfrm>
                      <a:off x="0" y="0"/>
                      <a:ext cx="4258269" cy="1543265"/>
                    </a:xfrm>
                    <a:prstGeom prst="rect">
                      <a:avLst/>
                    </a:prstGeom>
                    <a:ln>
                      <a:solidFill>
                        <a:schemeClr val="tx1"/>
                      </a:solidFill>
                    </a:ln>
                  </pic:spPr>
                </pic:pic>
              </a:graphicData>
            </a:graphic>
          </wp:inline>
        </w:drawing>
      </w:r>
    </w:p>
    <w:p w14:paraId="18260850" w14:textId="5F9EFD8F" w:rsidR="00BE38BC" w:rsidRPr="00D21D47" w:rsidRDefault="00BE38BC" w:rsidP="00BE38BC">
      <w:pPr>
        <w:jc w:val="center"/>
        <w:rPr>
          <w:i/>
          <w:iCs/>
          <w:sz w:val="22"/>
          <w:szCs w:val="22"/>
        </w:rPr>
      </w:pPr>
      <w:r w:rsidRPr="00D21D47">
        <w:rPr>
          <w:i/>
          <w:iCs/>
          <w:sz w:val="22"/>
          <w:szCs w:val="22"/>
        </w:rPr>
        <w:t xml:space="preserve">Figure </w:t>
      </w:r>
      <w:r w:rsidRPr="00D21D47">
        <w:rPr>
          <w:i/>
          <w:iCs/>
          <w:sz w:val="22"/>
          <w:szCs w:val="22"/>
        </w:rPr>
        <w:fldChar w:fldCharType="begin"/>
      </w:r>
      <w:r w:rsidRPr="00D21D47">
        <w:rPr>
          <w:i/>
          <w:iCs/>
          <w:sz w:val="22"/>
          <w:szCs w:val="22"/>
        </w:rPr>
        <w:instrText xml:space="preserve"> SEQ Figure \* ARABIC </w:instrText>
      </w:r>
      <w:r w:rsidRPr="00D21D47">
        <w:rPr>
          <w:i/>
          <w:iCs/>
          <w:sz w:val="22"/>
          <w:szCs w:val="22"/>
        </w:rPr>
        <w:fldChar w:fldCharType="separate"/>
      </w:r>
      <w:r w:rsidR="00CD7CFB" w:rsidRPr="00D21D47">
        <w:rPr>
          <w:i/>
          <w:iCs/>
          <w:noProof/>
          <w:sz w:val="22"/>
          <w:szCs w:val="22"/>
        </w:rPr>
        <w:t>1</w:t>
      </w:r>
      <w:r w:rsidRPr="00D21D47">
        <w:rPr>
          <w:i/>
          <w:iCs/>
          <w:sz w:val="22"/>
          <w:szCs w:val="22"/>
        </w:rPr>
        <w:fldChar w:fldCharType="end"/>
      </w:r>
      <w:r w:rsidRPr="00D21D47">
        <w:rPr>
          <w:i/>
          <w:iCs/>
          <w:sz w:val="22"/>
          <w:szCs w:val="22"/>
        </w:rPr>
        <w:t>: Cadbury Logo</w:t>
      </w:r>
    </w:p>
    <w:p w14:paraId="0BEBE7AA" w14:textId="117160E5" w:rsidR="00BE38BC" w:rsidRPr="00D21D47" w:rsidRDefault="00BE38BC" w:rsidP="00BE38BC">
      <w:pPr>
        <w:jc w:val="center"/>
        <w:rPr>
          <w:i/>
          <w:iCs/>
          <w:sz w:val="22"/>
          <w:szCs w:val="22"/>
        </w:rPr>
      </w:pPr>
      <w:r w:rsidRPr="00D21D47">
        <w:rPr>
          <w:i/>
          <w:iCs/>
          <w:sz w:val="22"/>
          <w:szCs w:val="22"/>
        </w:rPr>
        <w:t>Source: (Cadbury UK, 2026)</w:t>
      </w:r>
    </w:p>
    <w:p w14:paraId="629E4FD2" w14:textId="630E6897" w:rsidR="001A5A95" w:rsidRPr="00D21D47" w:rsidRDefault="001A5A95" w:rsidP="00E8090E">
      <w:r w:rsidRPr="00D21D47">
        <w:t xml:space="preserve">The objective of this report is to make a critical comparison of Cadbury's international marketing strategy in the United Kingdom and India by considering the variations in </w:t>
      </w:r>
      <w:r w:rsidR="00765445" w:rsidRPr="00D21D47">
        <w:t xml:space="preserve">the </w:t>
      </w:r>
      <w:r w:rsidRPr="00D21D47">
        <w:t>macro environment, culture, segmentation, targeting, positioning and marketing mix. The report also analyses Cadbury's marketing entry strategy in India, examines an ethical issue that Cadbury faces in its international marketing operations and prepares evidence-based recommendations to improve Cadbury's future international marketing performance.</w:t>
      </w:r>
    </w:p>
    <w:p w14:paraId="727F766C" w14:textId="1FE94BB0" w:rsidR="001A5A95" w:rsidRPr="00D21D47" w:rsidRDefault="001A5A95" w:rsidP="00E8090E">
      <w:r w:rsidRPr="00D21D47">
        <w:t>The report starts with a comparative analysis of the business environment in the UK</w:t>
      </w:r>
      <w:r w:rsidR="00B216E1" w:rsidRPr="00D21D47">
        <w:t xml:space="preserve"> (home country)</w:t>
      </w:r>
      <w:r w:rsidRPr="00D21D47">
        <w:t xml:space="preserve"> and </w:t>
      </w:r>
      <w:r w:rsidR="00765445" w:rsidRPr="00D21D47">
        <w:t>India</w:t>
      </w:r>
      <w:r w:rsidR="00B216E1" w:rsidRPr="00D21D47">
        <w:t xml:space="preserve"> (host country)</w:t>
      </w:r>
      <w:r w:rsidRPr="00D21D47">
        <w:t xml:space="preserve"> with suitable international marketing frameworks, then it moves on to the evaluation of Cadbury's STP </w:t>
      </w:r>
      <w:r w:rsidR="00B216E1" w:rsidRPr="00D21D47">
        <w:t>strategy,</w:t>
      </w:r>
      <w:r w:rsidRPr="00D21D47">
        <w:t xml:space="preserve"> and 7Ps marketing mix in both countries. It then critically reviews the market entry strategy of the company into India, discusses an ethical issue that the brand faced, provides some practical recommendations and concludes with a reflection using Gibbs' Reflective Cycle. </w:t>
      </w:r>
    </w:p>
    <w:p w14:paraId="458AB6DF" w14:textId="1E918D41" w:rsidR="00122106" w:rsidRPr="00D21D47" w:rsidRDefault="005D7D71" w:rsidP="005D7D71">
      <w:pPr>
        <w:pStyle w:val="Heading2"/>
        <w:numPr>
          <w:ilvl w:val="0"/>
          <w:numId w:val="1"/>
        </w:numPr>
      </w:pPr>
      <w:bookmarkStart w:id="2" w:name="_Toc237089302"/>
      <w:r w:rsidRPr="00D21D47">
        <w:lastRenderedPageBreak/>
        <w:t>Company Overview and International Orientation</w:t>
      </w:r>
      <w:bookmarkEnd w:id="2"/>
    </w:p>
    <w:p w14:paraId="6FD24F94" w14:textId="7243E204" w:rsidR="008D2553" w:rsidRPr="00D21D47" w:rsidRDefault="008D2553" w:rsidP="008D2553">
      <w:pPr>
        <w:pStyle w:val="ListParagraph"/>
        <w:numPr>
          <w:ilvl w:val="1"/>
          <w:numId w:val="1"/>
        </w:numPr>
        <w:rPr>
          <w:b/>
          <w:bCs/>
        </w:rPr>
      </w:pPr>
      <w:r w:rsidRPr="00D21D47">
        <w:rPr>
          <w:b/>
          <w:bCs/>
        </w:rPr>
        <w:t>Overview of Cadbury</w:t>
      </w:r>
    </w:p>
    <w:p w14:paraId="3410D974" w14:textId="52FA3435" w:rsidR="002124E9" w:rsidRPr="00D21D47" w:rsidRDefault="002124E9" w:rsidP="002124E9">
      <w:r w:rsidRPr="00D21D47">
        <w:t>Founded in Birmingham, United Kingdom</w:t>
      </w:r>
      <w:r w:rsidR="00765445" w:rsidRPr="00D21D47">
        <w:t>,</w:t>
      </w:r>
      <w:r w:rsidRPr="00D21D47">
        <w:t xml:space="preserve"> in 1824 by John Cadbury, Cadbury is one of the world's leading confectionery brands and is part of Mondelez International. The company has grown from a local cocoa company to a global brand that sells its products in more than 30 countries and produces them in more than 10 countries, including the United Kingdom and India, where it is one of the most important markets (Cadbury UK, 2026). </w:t>
      </w:r>
      <w:r w:rsidR="009A3EB7" w:rsidRPr="00D21D47">
        <w:t xml:space="preserve">Cadbury's success in the UK has been driven by its heritage and dedication to innovation and sustainability, while in India, the company has established itself in the market through its sustainable manufacturing and product development efforts (Cadbury Unwrapped, 2026). Cadbury UK Limited had a good year in 2024, with turnover of £206.5 million and a profit after tax of £41.0 million (Cadbury UK Limited, 2024). </w:t>
      </w:r>
    </w:p>
    <w:p w14:paraId="6D956E36" w14:textId="42B1633C" w:rsidR="008D2553" w:rsidRPr="00D21D47" w:rsidRDefault="008D2553" w:rsidP="00286E20">
      <w:pPr>
        <w:pStyle w:val="ListParagraph"/>
        <w:numPr>
          <w:ilvl w:val="1"/>
          <w:numId w:val="1"/>
        </w:numPr>
        <w:rPr>
          <w:b/>
          <w:bCs/>
        </w:rPr>
      </w:pPr>
      <w:r w:rsidRPr="00D21D47">
        <w:rPr>
          <w:b/>
          <w:bCs/>
        </w:rPr>
        <w:t>Cadbury as a Multinational Corporation (MNC)</w:t>
      </w:r>
    </w:p>
    <w:p w14:paraId="258E9C63" w14:textId="0575F921" w:rsidR="009A3EB7" w:rsidRPr="00D21D47" w:rsidRDefault="009A3EB7" w:rsidP="009A3EB7">
      <w:r w:rsidRPr="00D21D47">
        <w:t>Cadbury is a multinational company as it has manufacturing, marketing and distribution activities in several countries. The brand's strategic and historical heart is in the UK, where it also has one of the fastest-growing markets internationally. Cadbury established its first manufacturing plant in India in 1948 and is investing ₹4,000 crore by 2026 to increase production capacity and strengthen the Cadbury supply chain to make it more resilient. Mondelez India has reported revenue of ₹12,746.98 crore in FY24, highlighting the importance of India for the company in its global business operations (Rahul Malodia, 2025).</w:t>
      </w:r>
    </w:p>
    <w:p w14:paraId="35219396" w14:textId="64279EDB" w:rsidR="00286E20" w:rsidRPr="00D21D47" w:rsidRDefault="008D2553" w:rsidP="00286E20">
      <w:pPr>
        <w:pStyle w:val="ListParagraph"/>
        <w:numPr>
          <w:ilvl w:val="1"/>
          <w:numId w:val="1"/>
        </w:numPr>
        <w:rPr>
          <w:b/>
          <w:bCs/>
        </w:rPr>
      </w:pPr>
      <w:r w:rsidRPr="00D21D47">
        <w:rPr>
          <w:b/>
          <w:bCs/>
        </w:rPr>
        <w:t>International Marketing Orientation (EPRG Framework)</w:t>
      </w:r>
    </w:p>
    <w:p w14:paraId="15E9C07D" w14:textId="38B73A5F" w:rsidR="0048084E" w:rsidRPr="00D21D47" w:rsidRDefault="00C67808" w:rsidP="0048084E">
      <w:r w:rsidRPr="00D21D47">
        <w:t>Cadbury adopts a polycentric approach to marketing, which involves tailoring marketing strategies to suit the characteristics of each market, but still retaining a global brand identity (Gatignon and Capron, 2023). In the UK, marketing is about the company's 200-year heritage, generosity, premium quality and sustainability commitments. On the other hand, Cadbury adjusts the product mix, promotional offers, pack sizes, and prices in India to suit the cultural preferences and buying habits of Indian consumers during festivals like Raksha Bandhan and Diwali. The balance of consistency with the global brand and responsiveness to the local market suggests Cadbury's international marketing strategy is largely polycentric rather than geocentric (Cadbury Unwrapped, 2026).</w:t>
      </w:r>
    </w:p>
    <w:p w14:paraId="203C9738" w14:textId="1C6A9215" w:rsidR="002445B4" w:rsidRPr="00D21D47" w:rsidRDefault="00903BA6" w:rsidP="00903BA6">
      <w:pPr>
        <w:pStyle w:val="Heading2"/>
        <w:numPr>
          <w:ilvl w:val="0"/>
          <w:numId w:val="1"/>
        </w:numPr>
      </w:pPr>
      <w:bookmarkStart w:id="3" w:name="_Toc237089303"/>
      <w:r w:rsidRPr="00D21D47">
        <w:lastRenderedPageBreak/>
        <w:t>Comparative Analysis of the UK and Indian Markets</w:t>
      </w:r>
      <w:bookmarkEnd w:id="3"/>
    </w:p>
    <w:p w14:paraId="30753B24" w14:textId="4FC87510" w:rsidR="00903BA6" w:rsidRPr="00D21D47" w:rsidRDefault="004B3358" w:rsidP="00C66694">
      <w:pPr>
        <w:pStyle w:val="ListParagraph"/>
        <w:numPr>
          <w:ilvl w:val="1"/>
          <w:numId w:val="1"/>
        </w:numPr>
        <w:rPr>
          <w:b/>
          <w:bCs/>
        </w:rPr>
      </w:pPr>
      <w:r w:rsidRPr="00D21D47">
        <w:rPr>
          <w:b/>
          <w:bCs/>
        </w:rPr>
        <w:t>PESTLE Analysis</w:t>
      </w:r>
    </w:p>
    <w:tbl>
      <w:tblPr>
        <w:tblStyle w:val="TableGrid"/>
        <w:tblW w:w="0" w:type="auto"/>
        <w:tblLook w:val="04A0" w:firstRow="1" w:lastRow="0" w:firstColumn="1" w:lastColumn="0" w:noHBand="0" w:noVBand="1"/>
      </w:tblPr>
      <w:tblGrid>
        <w:gridCol w:w="1759"/>
        <w:gridCol w:w="3679"/>
        <w:gridCol w:w="3578"/>
      </w:tblGrid>
      <w:tr w:rsidR="0047582E" w:rsidRPr="00D21D47" w14:paraId="2F04B46A" w14:textId="77777777" w:rsidTr="0047582E">
        <w:tc>
          <w:tcPr>
            <w:tcW w:w="0" w:type="auto"/>
            <w:hideMark/>
          </w:tcPr>
          <w:p w14:paraId="6BD0E75D" w14:textId="77777777" w:rsidR="0047582E" w:rsidRPr="00D21D47" w:rsidRDefault="0047582E" w:rsidP="0047582E">
            <w:pPr>
              <w:spacing w:after="160"/>
              <w:rPr>
                <w:b/>
                <w:bCs/>
              </w:rPr>
            </w:pPr>
            <w:r w:rsidRPr="00D21D47">
              <w:rPr>
                <w:b/>
                <w:bCs/>
              </w:rPr>
              <w:t>Factor</w:t>
            </w:r>
          </w:p>
        </w:tc>
        <w:tc>
          <w:tcPr>
            <w:tcW w:w="0" w:type="auto"/>
            <w:hideMark/>
          </w:tcPr>
          <w:p w14:paraId="4848C928" w14:textId="77777777" w:rsidR="0047582E" w:rsidRPr="00D21D47" w:rsidRDefault="0047582E" w:rsidP="0047582E">
            <w:pPr>
              <w:spacing w:after="160"/>
              <w:rPr>
                <w:b/>
                <w:bCs/>
              </w:rPr>
            </w:pPr>
            <w:r w:rsidRPr="00D21D47">
              <w:rPr>
                <w:b/>
                <w:bCs/>
              </w:rPr>
              <w:t>United Kingdom</w:t>
            </w:r>
          </w:p>
        </w:tc>
        <w:tc>
          <w:tcPr>
            <w:tcW w:w="0" w:type="auto"/>
            <w:hideMark/>
          </w:tcPr>
          <w:p w14:paraId="2B59CC70" w14:textId="77777777" w:rsidR="0047582E" w:rsidRPr="00D21D47" w:rsidRDefault="0047582E" w:rsidP="0047582E">
            <w:pPr>
              <w:spacing w:after="160"/>
              <w:rPr>
                <w:b/>
                <w:bCs/>
              </w:rPr>
            </w:pPr>
            <w:r w:rsidRPr="00D21D47">
              <w:rPr>
                <w:b/>
                <w:bCs/>
              </w:rPr>
              <w:t>India</w:t>
            </w:r>
          </w:p>
        </w:tc>
      </w:tr>
      <w:tr w:rsidR="0047582E" w:rsidRPr="00D21D47" w14:paraId="296A991A" w14:textId="77777777" w:rsidTr="0047582E">
        <w:tc>
          <w:tcPr>
            <w:tcW w:w="0" w:type="auto"/>
            <w:hideMark/>
          </w:tcPr>
          <w:p w14:paraId="628A042C" w14:textId="77777777" w:rsidR="0047582E" w:rsidRPr="00D21D47" w:rsidRDefault="0047582E" w:rsidP="0047582E">
            <w:pPr>
              <w:spacing w:after="160"/>
              <w:rPr>
                <w:b/>
                <w:bCs/>
              </w:rPr>
            </w:pPr>
            <w:r w:rsidRPr="00D21D47">
              <w:rPr>
                <w:b/>
                <w:bCs/>
              </w:rPr>
              <w:t>Political</w:t>
            </w:r>
          </w:p>
        </w:tc>
        <w:tc>
          <w:tcPr>
            <w:tcW w:w="0" w:type="auto"/>
            <w:hideMark/>
          </w:tcPr>
          <w:p w14:paraId="63CEF8A1" w14:textId="051694F8" w:rsidR="0047582E" w:rsidRPr="00D21D47" w:rsidRDefault="0047582E" w:rsidP="006D6404">
            <w:r w:rsidRPr="00D21D47">
              <w:t>Stable regulatory environment. The UK–India Free Trade Agreement (2025) is expected to improve trade and investment opportunities for food and confectionery businesses</w:t>
            </w:r>
            <w:r w:rsidR="006D6404" w:rsidRPr="00D21D47">
              <w:t xml:space="preserve"> (UK Government, 2025)</w:t>
            </w:r>
            <w:r w:rsidRPr="00D21D47">
              <w:t>.</w:t>
            </w:r>
          </w:p>
        </w:tc>
        <w:tc>
          <w:tcPr>
            <w:tcW w:w="0" w:type="auto"/>
            <w:hideMark/>
          </w:tcPr>
          <w:p w14:paraId="162520DE" w14:textId="22198F2F" w:rsidR="0047582E" w:rsidRPr="00D21D47" w:rsidRDefault="0047582E" w:rsidP="00F57FE7">
            <w:r w:rsidRPr="00D21D47">
              <w:t>Government initiatives such as Make in India support manufacturing. Mondelez announced a ₹4,000 crore investment by 2026 to expand production and supply chains</w:t>
            </w:r>
            <w:r w:rsidR="00F57FE7" w:rsidRPr="00D21D47">
              <w:t xml:space="preserve"> (Malviya, 2023).</w:t>
            </w:r>
          </w:p>
        </w:tc>
      </w:tr>
      <w:tr w:rsidR="0047582E" w:rsidRPr="00D21D47" w14:paraId="3DC0105D" w14:textId="77777777" w:rsidTr="0047582E">
        <w:tc>
          <w:tcPr>
            <w:tcW w:w="0" w:type="auto"/>
            <w:hideMark/>
          </w:tcPr>
          <w:p w14:paraId="7980339D" w14:textId="77777777" w:rsidR="0047582E" w:rsidRPr="00D21D47" w:rsidRDefault="0047582E" w:rsidP="0047582E">
            <w:pPr>
              <w:spacing w:after="160"/>
              <w:rPr>
                <w:b/>
                <w:bCs/>
              </w:rPr>
            </w:pPr>
            <w:r w:rsidRPr="00D21D47">
              <w:rPr>
                <w:b/>
                <w:bCs/>
              </w:rPr>
              <w:t>Economic</w:t>
            </w:r>
          </w:p>
        </w:tc>
        <w:tc>
          <w:tcPr>
            <w:tcW w:w="0" w:type="auto"/>
            <w:hideMark/>
          </w:tcPr>
          <w:p w14:paraId="4648FE94" w14:textId="57818366" w:rsidR="0047582E" w:rsidRPr="00D21D47" w:rsidRDefault="0047582E" w:rsidP="00D60C6D">
            <w:r w:rsidRPr="00D21D47">
              <w:t>UK confectionery market valued at US$16.98 billion (2025), forecast to reach US$22.06 billion by 2030 (5.37% CAGR). However, cocoa prices rose by about 80% in 2024, increasing production costs</w:t>
            </w:r>
            <w:r w:rsidR="00D60C6D" w:rsidRPr="00D21D47">
              <w:t xml:space="preserve"> (Research and Markets, 2025).</w:t>
            </w:r>
          </w:p>
        </w:tc>
        <w:tc>
          <w:tcPr>
            <w:tcW w:w="0" w:type="auto"/>
            <w:hideMark/>
          </w:tcPr>
          <w:p w14:paraId="795B4702" w14:textId="2AC379FE" w:rsidR="0047582E" w:rsidRPr="00D21D47" w:rsidRDefault="0047582E" w:rsidP="00C61E24">
            <w:r w:rsidRPr="00D21D47">
              <w:t>Rising incomes and urbanisation continue to increase chocolate demand. However, record cocoa prices reduced FY25 sales growth for Mondelez as consumers shifted towards cheaper confectionery alternatives</w:t>
            </w:r>
            <w:r w:rsidR="00C61E24" w:rsidRPr="00D21D47">
              <w:t xml:space="preserve"> (Malviya, 2026).</w:t>
            </w:r>
          </w:p>
        </w:tc>
      </w:tr>
      <w:tr w:rsidR="0047582E" w:rsidRPr="00D21D47" w14:paraId="01AC4225" w14:textId="77777777" w:rsidTr="0047582E">
        <w:tc>
          <w:tcPr>
            <w:tcW w:w="0" w:type="auto"/>
            <w:hideMark/>
          </w:tcPr>
          <w:p w14:paraId="0C408459" w14:textId="77777777" w:rsidR="0047582E" w:rsidRPr="00D21D47" w:rsidRDefault="0047582E" w:rsidP="0047582E">
            <w:pPr>
              <w:spacing w:after="160"/>
              <w:rPr>
                <w:b/>
                <w:bCs/>
              </w:rPr>
            </w:pPr>
            <w:r w:rsidRPr="00D21D47">
              <w:rPr>
                <w:b/>
                <w:bCs/>
              </w:rPr>
              <w:t>Social</w:t>
            </w:r>
          </w:p>
        </w:tc>
        <w:tc>
          <w:tcPr>
            <w:tcW w:w="0" w:type="auto"/>
            <w:hideMark/>
          </w:tcPr>
          <w:p w14:paraId="22220587" w14:textId="683E4289" w:rsidR="0047582E" w:rsidRPr="00D21D47" w:rsidRDefault="00D84767" w:rsidP="0047582E">
            <w:pPr>
              <w:spacing w:after="160"/>
            </w:pPr>
            <w:r w:rsidRPr="00D21D47">
              <w:t>UK shoppers are demanding higher quality, healthier and ethical chocolate. Approximately 61% consider premium chocolate an affordable luxury and 68% are drawn to products with premium ingredients. The seasonality of gifting also continues to be a significant driver of purchases, leading to Cadbury targeting premiumisation, innovation and differentiation through flavours (Mintel, 2025).</w:t>
            </w:r>
          </w:p>
        </w:tc>
        <w:tc>
          <w:tcPr>
            <w:tcW w:w="0" w:type="auto"/>
            <w:hideMark/>
          </w:tcPr>
          <w:p w14:paraId="0E3AD28E" w14:textId="3D68DF7F" w:rsidR="0047582E" w:rsidRPr="00D21D47" w:rsidRDefault="00D84767" w:rsidP="00FC7979">
            <w:r w:rsidRPr="00D21D47">
              <w:t>India has a young consumer base (15-30 years) which is fueling chocolate consumption and a growing middle class that has started buying chocolates as an alternative to traditional sweets during Raksha Bandhan and Diwali. There is also growing demand for dark chocolate and sugar-free varieties, backed by being sold at lower prices and increasing distribution in the rural areas (IBEF, 2025).</w:t>
            </w:r>
          </w:p>
        </w:tc>
      </w:tr>
      <w:tr w:rsidR="0047582E" w:rsidRPr="00D21D47" w14:paraId="78B3C9AA" w14:textId="77777777" w:rsidTr="0047582E">
        <w:tc>
          <w:tcPr>
            <w:tcW w:w="0" w:type="auto"/>
            <w:hideMark/>
          </w:tcPr>
          <w:p w14:paraId="48722D87" w14:textId="77777777" w:rsidR="0047582E" w:rsidRPr="00D21D47" w:rsidRDefault="0047582E" w:rsidP="0047582E">
            <w:pPr>
              <w:spacing w:after="160"/>
              <w:rPr>
                <w:b/>
                <w:bCs/>
              </w:rPr>
            </w:pPr>
            <w:r w:rsidRPr="00D21D47">
              <w:rPr>
                <w:b/>
                <w:bCs/>
              </w:rPr>
              <w:t>Technological</w:t>
            </w:r>
          </w:p>
        </w:tc>
        <w:tc>
          <w:tcPr>
            <w:tcW w:w="0" w:type="auto"/>
            <w:hideMark/>
          </w:tcPr>
          <w:p w14:paraId="5F4974B4" w14:textId="5BC444B5" w:rsidR="0047582E" w:rsidRPr="00D21D47" w:rsidRDefault="00D01DCD" w:rsidP="009B5C4E">
            <w:r w:rsidRPr="00D21D47">
              <w:t xml:space="preserve">UK chocolate manufacturers increasingly adopt automation and </w:t>
            </w:r>
            <w:r w:rsidRPr="00D21D47">
              <w:lastRenderedPageBreak/>
              <w:t xml:space="preserve">advanced production technologies to improve efficiency. For example, HPS automated pigging systems enable a UK chocolate manufacturer to save around £2 million annually, recover 1 tonne of chocolate per day, and reduce product rework from 5–15% to below 1%, enhancing productivity and sustainability </w:t>
            </w:r>
            <w:r w:rsidR="009B5C4E" w:rsidRPr="00D21D47">
              <w:t>(Egginton, 2024).</w:t>
            </w:r>
          </w:p>
        </w:tc>
        <w:tc>
          <w:tcPr>
            <w:tcW w:w="0" w:type="auto"/>
            <w:hideMark/>
          </w:tcPr>
          <w:p w14:paraId="200EF403" w14:textId="137DA995" w:rsidR="0047582E" w:rsidRPr="00D21D47" w:rsidRDefault="00596CFB" w:rsidP="0047582E">
            <w:pPr>
              <w:spacing w:after="160"/>
            </w:pPr>
            <w:r w:rsidRPr="00D21D47">
              <w:lastRenderedPageBreak/>
              <w:t xml:space="preserve">India's rapid adoption of UPI, Amazon, Flipkart and social media </w:t>
            </w:r>
            <w:r w:rsidRPr="00D21D47">
              <w:lastRenderedPageBreak/>
              <w:t>has strengthened digital marketing and nationwide product availability. In addition, advances in cold-chain logistics, packaging technology and quick-commerce delivery have expanded chocolate distribution into warmer and previously underserved regions, supporting broader market penetration (Mordor Intelligence, 2025).</w:t>
            </w:r>
          </w:p>
        </w:tc>
      </w:tr>
      <w:tr w:rsidR="0047582E" w:rsidRPr="00D21D47" w14:paraId="413FC16E" w14:textId="77777777" w:rsidTr="0047582E">
        <w:tc>
          <w:tcPr>
            <w:tcW w:w="0" w:type="auto"/>
            <w:hideMark/>
          </w:tcPr>
          <w:p w14:paraId="244C6FE7" w14:textId="77777777" w:rsidR="0047582E" w:rsidRPr="00D21D47" w:rsidRDefault="0047582E" w:rsidP="0047582E">
            <w:pPr>
              <w:spacing w:after="160"/>
              <w:rPr>
                <w:b/>
                <w:bCs/>
              </w:rPr>
            </w:pPr>
            <w:r w:rsidRPr="00D21D47">
              <w:rPr>
                <w:b/>
                <w:bCs/>
              </w:rPr>
              <w:lastRenderedPageBreak/>
              <w:t>Legal</w:t>
            </w:r>
          </w:p>
        </w:tc>
        <w:tc>
          <w:tcPr>
            <w:tcW w:w="0" w:type="auto"/>
            <w:hideMark/>
          </w:tcPr>
          <w:p w14:paraId="236DAF2F" w14:textId="331661A0" w:rsidR="0047582E" w:rsidRPr="00D21D47" w:rsidRDefault="0047582E" w:rsidP="008E3908">
            <w:r w:rsidRPr="00D21D47">
              <w:t>HFSS advertising restrictions from January 2026 and strict food labelling regulations influence chocolate marketing</w:t>
            </w:r>
            <w:r w:rsidR="008E3908" w:rsidRPr="00D21D47">
              <w:t xml:space="preserve"> (Davidson, 2026).</w:t>
            </w:r>
          </w:p>
        </w:tc>
        <w:tc>
          <w:tcPr>
            <w:tcW w:w="0" w:type="auto"/>
            <w:hideMark/>
          </w:tcPr>
          <w:p w14:paraId="41E675BE" w14:textId="18E3EAA6" w:rsidR="0047582E" w:rsidRPr="00D21D47" w:rsidRDefault="0047582E" w:rsidP="00582C31">
            <w:r w:rsidRPr="00D21D47">
              <w:t>Compliance with FSSAI regulations on food safety, packaging and labelling is mandatory for confectionery manufacturers</w:t>
            </w:r>
            <w:r w:rsidR="00582C31" w:rsidRPr="00D21D47">
              <w:t xml:space="preserve"> (Pratap, 2026)</w:t>
            </w:r>
            <w:r w:rsidRPr="00D21D47">
              <w:t xml:space="preserve">. </w:t>
            </w:r>
          </w:p>
        </w:tc>
      </w:tr>
      <w:tr w:rsidR="0047582E" w:rsidRPr="00D21D47" w14:paraId="573F3C59" w14:textId="77777777" w:rsidTr="0047582E">
        <w:tc>
          <w:tcPr>
            <w:tcW w:w="0" w:type="auto"/>
            <w:hideMark/>
          </w:tcPr>
          <w:p w14:paraId="45EC76C5" w14:textId="77777777" w:rsidR="0047582E" w:rsidRPr="00D21D47" w:rsidRDefault="0047582E" w:rsidP="0047582E">
            <w:pPr>
              <w:spacing w:after="160"/>
              <w:rPr>
                <w:b/>
                <w:bCs/>
              </w:rPr>
            </w:pPr>
            <w:r w:rsidRPr="00D21D47">
              <w:rPr>
                <w:b/>
                <w:bCs/>
              </w:rPr>
              <w:t>Environmental</w:t>
            </w:r>
          </w:p>
        </w:tc>
        <w:tc>
          <w:tcPr>
            <w:tcW w:w="0" w:type="auto"/>
            <w:hideMark/>
          </w:tcPr>
          <w:p w14:paraId="1B954D4B" w14:textId="7B8E9B30" w:rsidR="0047582E" w:rsidRPr="00D21D47" w:rsidRDefault="0047582E" w:rsidP="005A0096">
            <w:r w:rsidRPr="00D21D47">
              <w:t>Cocoa shortages in Ghana and Côte d'Ivoire have increased costs, while consumers increasingly expect sustainable cocoa sourcing and recyclable packaging</w:t>
            </w:r>
            <w:r w:rsidR="005A0096" w:rsidRPr="00D21D47">
              <w:t xml:space="preserve"> (Naadi, 2026)</w:t>
            </w:r>
            <w:r w:rsidRPr="00D21D47">
              <w:t xml:space="preserve">. </w:t>
            </w:r>
          </w:p>
        </w:tc>
        <w:tc>
          <w:tcPr>
            <w:tcW w:w="0" w:type="auto"/>
            <w:hideMark/>
          </w:tcPr>
          <w:p w14:paraId="49C2F509" w14:textId="143DCA03" w:rsidR="0047582E" w:rsidRPr="00D21D47" w:rsidRDefault="0047582E" w:rsidP="00221500">
            <w:r w:rsidRPr="00D21D47">
              <w:t>Climate-related cocoa supply disruptions and higher raw material costs encourage investment in resilient and sustainable sourcing practices</w:t>
            </w:r>
            <w:r w:rsidR="00221500" w:rsidRPr="00D21D47">
              <w:t xml:space="preserve"> (Malviya, 2026).</w:t>
            </w:r>
          </w:p>
        </w:tc>
      </w:tr>
    </w:tbl>
    <w:p w14:paraId="468AA428" w14:textId="77777777" w:rsidR="00C66694" w:rsidRPr="00D21D47" w:rsidRDefault="00C66694" w:rsidP="00C66694">
      <w:pPr>
        <w:rPr>
          <w:b/>
          <w:bCs/>
        </w:rPr>
      </w:pPr>
    </w:p>
    <w:p w14:paraId="76551A54" w14:textId="77777777" w:rsidR="0043751D" w:rsidRPr="00D21D47" w:rsidRDefault="0043751D" w:rsidP="0043751D">
      <w:pPr>
        <w:rPr>
          <w:b/>
          <w:bCs/>
        </w:rPr>
      </w:pPr>
      <w:r w:rsidRPr="00D21D47">
        <w:rPr>
          <w:b/>
          <w:bCs/>
        </w:rPr>
        <w:t>Critical Comparison</w:t>
      </w:r>
    </w:p>
    <w:p w14:paraId="39DFECC6" w14:textId="305E4FEA" w:rsidR="0043751D" w:rsidRPr="00D21D47" w:rsidRDefault="0043751D" w:rsidP="0043751D">
      <w:r w:rsidRPr="00D21D47">
        <w:t xml:space="preserve">Despite chocolate being a common gift item in both the UK and India, there are significant differences in socio-cultural aspects that affect the marketing strategy Cadbury uses. Chocolate is a brand that is linked to quality, ethics and everyday generosity in the UK, where Cadbury is continuing its long-standing ‘There's a Glass and a Half in Everyone’ campaign, as well as recent campaigns including ‘Made to Share' for small acts of kindness and emotional connection (VCCP, 2026). On the contrary, Indian consumers are more inclined to buy chocolates as alternatives to sweets during the festival of Raksha Bandhan and Diwali. Cadbury's response is Cadbury Celebrations, geo-targeted campaigns to support more than 7,000 neighbourhood retailers during the festive season of Diwali, and localised festive </w:t>
      </w:r>
      <w:r w:rsidRPr="00D21D47">
        <w:lastRenderedPageBreak/>
        <w:t xml:space="preserve">advertising (WARC, 2022). So Cadbury has a clear and consistent brand purpose that is driven by the act of giving, but its promotional themes and consumer engagement </w:t>
      </w:r>
      <w:r w:rsidR="00765445" w:rsidRPr="00D21D47">
        <w:t>resonate</w:t>
      </w:r>
      <w:r w:rsidRPr="00D21D47">
        <w:t xml:space="preserve"> with the socio-cultural values of each market (Schofield, Duber-Smith and Baker, 2025).</w:t>
      </w:r>
      <w:r w:rsidR="0089604D" w:rsidRPr="00D21D47">
        <w:t xml:space="preserve"> Overall, the comparison indicates that Cadbury cannot rely on a standardised international marketing strategy. While the UK provides a relatively mature and regulated market, India's expanding consumer base and different regulatory, technological and socio-cultural conditions create greater opportunities for market adaptation. Therefore, these environmental differences support Cadbury's largely polycentric approach. </w:t>
      </w:r>
    </w:p>
    <w:p w14:paraId="5E8B284B" w14:textId="77777777" w:rsidR="0043751D" w:rsidRPr="00D21D47" w:rsidRDefault="0043751D" w:rsidP="0043751D">
      <w:pPr>
        <w:rPr>
          <w:b/>
          <w:bCs/>
        </w:rPr>
      </w:pPr>
      <w:r w:rsidRPr="00D21D47">
        <w:rPr>
          <w:b/>
          <w:bCs/>
        </w:rPr>
        <w:t>Implications for Cadbury's International Marketing Strategy</w:t>
      </w:r>
    </w:p>
    <w:p w14:paraId="1272554A" w14:textId="0DA1CF9E" w:rsidR="0043751D" w:rsidRPr="00D21D47" w:rsidRDefault="0043751D" w:rsidP="0043751D">
      <w:r w:rsidRPr="00D21D47">
        <w:t xml:space="preserve">The PESTLE analysis suggests that Cadbury should continue a polycentric international marketing strategy, tailoring its approach to each market (Gatignon and Capron, 2023). The company should further consolidate its premium positioning in the UK by working with ethical sourcing, innovative flavours and healthier product alternatives while keeping up with compliance with the HFSS regulations. Cadbury should go ahead with its manufacturing investment of ₹4,000 crore and further increase the size of its affordable packs, </w:t>
      </w:r>
      <w:r w:rsidR="00765445" w:rsidRPr="00D21D47">
        <w:t>festival-based</w:t>
      </w:r>
      <w:r w:rsidRPr="00D21D47">
        <w:t xml:space="preserve"> promotions and digital marketing campaigns in India. In both markets, the sourcing of sustainable cocoa and technological innovation and the development of resilient supply chains are key drivers if cocoa is to remain competitive and to </w:t>
      </w:r>
      <w:r w:rsidR="00765445" w:rsidRPr="00D21D47">
        <w:t>minimise</w:t>
      </w:r>
      <w:r w:rsidRPr="00D21D47">
        <w:t xml:space="preserve"> risks due to climate change, even in the face of fluctuating raw material prices.</w:t>
      </w:r>
    </w:p>
    <w:p w14:paraId="5FF4136A" w14:textId="6A9E8E6F" w:rsidR="001E22BB" w:rsidRPr="00D21D47" w:rsidRDefault="004E59EC" w:rsidP="001E22BB">
      <w:pPr>
        <w:pStyle w:val="ListParagraph"/>
        <w:numPr>
          <w:ilvl w:val="1"/>
          <w:numId w:val="1"/>
        </w:numPr>
        <w:rPr>
          <w:b/>
          <w:bCs/>
        </w:rPr>
      </w:pPr>
      <w:r w:rsidRPr="00D21D47">
        <w:rPr>
          <w:b/>
          <w:bCs/>
        </w:rPr>
        <w:t>Cultural Analysis: Hofstede's Cultural Dimensions</w:t>
      </w:r>
    </w:p>
    <w:p w14:paraId="796D2A5E" w14:textId="77777777" w:rsidR="00685B67" w:rsidRPr="00D21D47" w:rsidRDefault="00685B67" w:rsidP="00A77AA6">
      <w:pPr>
        <w:jc w:val="center"/>
      </w:pPr>
      <w:r w:rsidRPr="00D21D47">
        <w:rPr>
          <w:noProof/>
        </w:rPr>
        <w:lastRenderedPageBreak/>
        <w:drawing>
          <wp:inline distT="0" distB="0" distL="0" distR="0" wp14:anchorId="1791B4E2" wp14:editId="4BD4FA4C">
            <wp:extent cx="5090160" cy="3577098"/>
            <wp:effectExtent l="19050" t="19050" r="15240" b="23495"/>
            <wp:docPr id="1594002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02333" name=""/>
                    <pic:cNvPicPr/>
                  </pic:nvPicPr>
                  <pic:blipFill>
                    <a:blip r:embed="rId11"/>
                    <a:stretch>
                      <a:fillRect/>
                    </a:stretch>
                  </pic:blipFill>
                  <pic:spPr>
                    <a:xfrm>
                      <a:off x="0" y="0"/>
                      <a:ext cx="5095143" cy="3580600"/>
                    </a:xfrm>
                    <a:prstGeom prst="rect">
                      <a:avLst/>
                    </a:prstGeom>
                    <a:ln>
                      <a:solidFill>
                        <a:schemeClr val="tx1"/>
                      </a:solidFill>
                    </a:ln>
                  </pic:spPr>
                </pic:pic>
              </a:graphicData>
            </a:graphic>
          </wp:inline>
        </w:drawing>
      </w:r>
    </w:p>
    <w:p w14:paraId="6BFF5A39" w14:textId="77777777" w:rsidR="00685B67" w:rsidRPr="00D21D47" w:rsidRDefault="00685B67" w:rsidP="00A77AA6">
      <w:pPr>
        <w:jc w:val="center"/>
        <w:rPr>
          <w:i/>
          <w:iCs/>
          <w:sz w:val="22"/>
          <w:szCs w:val="22"/>
        </w:rPr>
      </w:pPr>
      <w:r w:rsidRPr="00D21D47">
        <w:rPr>
          <w:i/>
          <w:iCs/>
          <w:sz w:val="22"/>
          <w:szCs w:val="22"/>
        </w:rPr>
        <w:t xml:space="preserve">Figure </w:t>
      </w:r>
      <w:r w:rsidRPr="00D21D47">
        <w:rPr>
          <w:i/>
          <w:iCs/>
          <w:sz w:val="22"/>
          <w:szCs w:val="22"/>
        </w:rPr>
        <w:fldChar w:fldCharType="begin"/>
      </w:r>
      <w:r w:rsidRPr="00D21D47">
        <w:rPr>
          <w:i/>
          <w:iCs/>
          <w:sz w:val="22"/>
          <w:szCs w:val="22"/>
        </w:rPr>
        <w:instrText xml:space="preserve"> SEQ Figure \* ARABIC </w:instrText>
      </w:r>
      <w:r w:rsidRPr="00D21D47">
        <w:rPr>
          <w:i/>
          <w:iCs/>
          <w:sz w:val="22"/>
          <w:szCs w:val="22"/>
        </w:rPr>
        <w:fldChar w:fldCharType="separate"/>
      </w:r>
      <w:r w:rsidRPr="00D21D47">
        <w:rPr>
          <w:i/>
          <w:iCs/>
          <w:sz w:val="22"/>
          <w:szCs w:val="22"/>
        </w:rPr>
        <w:t>2</w:t>
      </w:r>
      <w:r w:rsidRPr="00D21D47">
        <w:rPr>
          <w:i/>
          <w:iCs/>
          <w:sz w:val="22"/>
          <w:szCs w:val="22"/>
        </w:rPr>
        <w:fldChar w:fldCharType="end"/>
      </w:r>
      <w:r w:rsidRPr="00D21D47">
        <w:rPr>
          <w:i/>
          <w:iCs/>
          <w:sz w:val="22"/>
          <w:szCs w:val="22"/>
        </w:rPr>
        <w:t>: Hofstede's Cultural Dimensions for India and UK</w:t>
      </w:r>
    </w:p>
    <w:p w14:paraId="3E352322" w14:textId="77777777" w:rsidR="00685B67" w:rsidRPr="00D21D47" w:rsidRDefault="00685B67" w:rsidP="00A77AA6">
      <w:pPr>
        <w:jc w:val="center"/>
        <w:rPr>
          <w:i/>
          <w:iCs/>
          <w:sz w:val="22"/>
          <w:szCs w:val="22"/>
        </w:rPr>
      </w:pPr>
      <w:r w:rsidRPr="00D21D47">
        <w:rPr>
          <w:i/>
          <w:iCs/>
          <w:sz w:val="22"/>
          <w:szCs w:val="22"/>
        </w:rPr>
        <w:t>Source: (The Culture Factor, 2026)</w:t>
      </w:r>
    </w:p>
    <w:p w14:paraId="56FAEAD0" w14:textId="0E9BBDA7" w:rsidR="004E59EC" w:rsidRPr="00D21D47" w:rsidRDefault="004E59EC" w:rsidP="004E59EC">
      <w:r w:rsidRPr="00D21D47">
        <w:t>Hofstede's Cultural Dimensions indicate that while the UK and India have a deep-rooted tradition of gifting, there are major socio-cultural differences</w:t>
      </w:r>
      <w:r w:rsidR="00765445" w:rsidRPr="00D21D47">
        <w:t>,</w:t>
      </w:r>
      <w:r w:rsidRPr="00D21D47">
        <w:t xml:space="preserve"> and Cadbury must adapt its marketing approach to these two markets (Piotrowska and Piotrowski, 2023). India has a high score of Power Distance (77)</w:t>
      </w:r>
      <w:r w:rsidR="0098735C" w:rsidRPr="00D21D47">
        <w:t>,</w:t>
      </w:r>
      <w:r w:rsidRPr="00D21D47">
        <w:t xml:space="preserve"> whereas the UK has a score of 35, which means they accept authority and hierarchy more. This is reflected in Cadbury India's regular adoption of trusted celebrities like Shah Rukh Khan and Amitabh Bachchan to reinforce credibility and emotional appeal (Tring, 2026), while campaigns in the UK tend to focus on everyday people and communities, a more equalitarian society.</w:t>
      </w:r>
    </w:p>
    <w:p w14:paraId="730F1C9A" w14:textId="6DE11D21" w:rsidR="004E59EC" w:rsidRPr="00D21D47" w:rsidRDefault="004E59EC" w:rsidP="004E59EC">
      <w:r w:rsidRPr="00D21D47">
        <w:t>The highest differences between the two countries can be seen in Individualism (UK 76; India 24). British consumers are more focused on personal enjoyment and self-expression, whereas Indian consumers are more focused on family relationships and collective celebrations. Cadbury UK thus encourages individual acts of generosity through initiatives like “Made to Share”</w:t>
      </w:r>
      <w:r w:rsidR="00765445" w:rsidRPr="00D21D47">
        <w:t>,</w:t>
      </w:r>
      <w:r w:rsidRPr="00D21D47">
        <w:t xml:space="preserve"> and Cadbury Celebrations is marketed as a festive gifting brand during Diwali and Raksha Bandhan, helping over 7,000 local retailers during these seasons (WARC, 2022). </w:t>
      </w:r>
    </w:p>
    <w:p w14:paraId="25C9477E" w14:textId="53E87E90" w:rsidR="004E59EC" w:rsidRPr="00D21D47" w:rsidRDefault="004E59EC" w:rsidP="004E59EC">
      <w:r w:rsidRPr="00D21D47">
        <w:t xml:space="preserve">Both countries have a relatively high Masculinity (UK: 66; India: 56), which allows Cadbury to market premium products (Dairy Milk Silk and Bournville) as achievements and premium </w:t>
      </w:r>
      <w:r w:rsidRPr="00D21D47">
        <w:lastRenderedPageBreak/>
        <w:t xml:space="preserve">quality. Likewise, Uncertainty Avoidance (UK: 35; India: 40) facilitates product innovation, but UK consumers are more open to new flavours, whereas Indian ones are more open to innovations with familiar </w:t>
      </w:r>
      <w:r w:rsidR="00765445" w:rsidRPr="00D21D47">
        <w:t>flavours</w:t>
      </w:r>
      <w:r w:rsidRPr="00D21D47">
        <w:t>. Lastly, the UK has a higher score for LT (60)</w:t>
      </w:r>
      <w:r w:rsidR="00765445" w:rsidRPr="00D21D47">
        <w:t>,</w:t>
      </w:r>
      <w:r w:rsidRPr="00D21D47">
        <w:t xml:space="preserve"> which is in line with Cadbury's long-term investment of nearly £300 million in UK factories and product innovation (Cadbury Unwrapped, 2026), while the moderate score for LT in India indicates a balance between modernisation and traditional purchasing </w:t>
      </w:r>
      <w:r w:rsidR="00765445" w:rsidRPr="00D21D47">
        <w:t>behaviour</w:t>
      </w:r>
      <w:r w:rsidRPr="00D21D47">
        <w:t xml:space="preserve">. </w:t>
      </w:r>
      <w:r w:rsidR="00293163" w:rsidRPr="00D21D47">
        <w:t xml:space="preserve">Overall, these differences are evidence of Cadbury's polycentric marketing philosophy which is to ensure consistency in the brand voice across the world, while adapting marketing activities to the local environment. </w:t>
      </w:r>
    </w:p>
    <w:p w14:paraId="35C876E1" w14:textId="3965C71E" w:rsidR="004E59EC" w:rsidRPr="00D21D47" w:rsidRDefault="004E59EC" w:rsidP="006F2637">
      <w:pPr>
        <w:pStyle w:val="ListParagraph"/>
        <w:numPr>
          <w:ilvl w:val="1"/>
          <w:numId w:val="1"/>
        </w:numPr>
        <w:rPr>
          <w:b/>
          <w:bCs/>
        </w:rPr>
      </w:pPr>
      <w:r w:rsidRPr="00D21D47">
        <w:rPr>
          <w:b/>
          <w:bCs/>
        </w:rPr>
        <w:t>Influence of Cultural Differences on Consumer Behaviour</w:t>
      </w:r>
    </w:p>
    <w:p w14:paraId="668561DD" w14:textId="0FEF487E" w:rsidR="004E59EC" w:rsidRPr="00D21D47" w:rsidRDefault="00293163" w:rsidP="006F2637">
      <w:r w:rsidRPr="00D21D47">
        <w:t xml:space="preserve">The PESTLE analysis and Hofstede analysis shows that there are many socio-cultural differences which affect the consumer behaviour between UK and India. In the UK, very individualistic consumers purchase Cadbury mainly for their own enjoyment, for high-quality experiences and on special occasions, such as Christmas and Easter.  </w:t>
      </w:r>
      <w:r w:rsidR="004E59EC" w:rsidRPr="00D21D47">
        <w:t xml:space="preserve">However, the collectivist culture in India promotes family buying </w:t>
      </w:r>
      <w:r w:rsidR="00A35AE0" w:rsidRPr="00D21D47">
        <w:t>behaviour,</w:t>
      </w:r>
      <w:r w:rsidR="004E59EC" w:rsidRPr="00D21D47">
        <w:t xml:space="preserve"> and the chocolate industry is now outcompeting traditional sweets during festivals like Diwali, Raksha Bandhan and weddings. Gift-giving is therefore more culturally entrenched in India, prompting Cadbury to expand its Cadbury Celebrations brand portfolio, whereas UK marketing is about giving and sharing in everyday life. These behavioural differences also shape the perception of the brand; Cadbury is perceived as a premium brand with a sense of nostalgia in the UK and as an emotionally connected festive brand in India</w:t>
      </w:r>
      <w:r w:rsidR="0098735C" w:rsidRPr="00D21D47">
        <w:t xml:space="preserve"> (Piotrowska and Piotrowski, 2023)</w:t>
      </w:r>
      <w:r w:rsidR="004E59EC" w:rsidRPr="00D21D47">
        <w:t>.</w:t>
      </w:r>
    </w:p>
    <w:p w14:paraId="26084A1B" w14:textId="771A797C" w:rsidR="004E59EC" w:rsidRPr="00D21D47" w:rsidRDefault="004E59EC" w:rsidP="00685B67">
      <w:pPr>
        <w:pStyle w:val="Heading2"/>
        <w:numPr>
          <w:ilvl w:val="0"/>
          <w:numId w:val="1"/>
        </w:numPr>
      </w:pPr>
      <w:bookmarkStart w:id="4" w:name="_Toc237089304"/>
      <w:r w:rsidRPr="00D21D47">
        <w:t>Comparative Analysis of STP Strategy</w:t>
      </w:r>
      <w:bookmarkEnd w:id="4"/>
    </w:p>
    <w:p w14:paraId="543A12BF" w14:textId="0D502819" w:rsidR="00685B67" w:rsidRPr="00D21D47" w:rsidRDefault="004E59EC" w:rsidP="00685B67">
      <w:pPr>
        <w:pStyle w:val="ListParagraph"/>
        <w:numPr>
          <w:ilvl w:val="1"/>
          <w:numId w:val="1"/>
        </w:numPr>
        <w:rPr>
          <w:b/>
          <w:bCs/>
        </w:rPr>
      </w:pPr>
      <w:r w:rsidRPr="00D21D47">
        <w:rPr>
          <w:b/>
          <w:bCs/>
        </w:rPr>
        <w:t>Market Segmentation</w:t>
      </w:r>
    </w:p>
    <w:p w14:paraId="75F0799F" w14:textId="77777777" w:rsidR="00685B67" w:rsidRPr="00D21D47" w:rsidRDefault="00685B67" w:rsidP="00685B67">
      <w:pPr>
        <w:keepNext/>
        <w:jc w:val="center"/>
      </w:pPr>
      <w:r w:rsidRPr="00D21D47">
        <w:rPr>
          <w:noProof/>
        </w:rPr>
        <w:lastRenderedPageBreak/>
        <w:drawing>
          <wp:inline distT="0" distB="0" distL="0" distR="0" wp14:anchorId="104C442A" wp14:editId="58DFAA7E">
            <wp:extent cx="3634740" cy="3634740"/>
            <wp:effectExtent l="19050" t="19050" r="22860" b="22860"/>
            <wp:docPr id="1278951999" name="Picture 1" descr="Different-types-of-market-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t-types-of-market-segment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4740" cy="3634740"/>
                    </a:xfrm>
                    <a:prstGeom prst="rect">
                      <a:avLst/>
                    </a:prstGeom>
                    <a:noFill/>
                    <a:ln>
                      <a:solidFill>
                        <a:schemeClr val="tx1"/>
                      </a:solidFill>
                    </a:ln>
                  </pic:spPr>
                </pic:pic>
              </a:graphicData>
            </a:graphic>
          </wp:inline>
        </w:drawing>
      </w:r>
    </w:p>
    <w:p w14:paraId="2576CB4A" w14:textId="77777777" w:rsidR="00685B67" w:rsidRPr="00D21D47" w:rsidRDefault="00685B67" w:rsidP="00685B67">
      <w:pPr>
        <w:jc w:val="center"/>
        <w:rPr>
          <w:i/>
          <w:iCs/>
          <w:sz w:val="22"/>
          <w:szCs w:val="22"/>
        </w:rPr>
      </w:pPr>
      <w:r w:rsidRPr="00D21D47">
        <w:rPr>
          <w:i/>
          <w:iCs/>
          <w:sz w:val="22"/>
          <w:szCs w:val="22"/>
        </w:rPr>
        <w:t xml:space="preserve">Figure </w:t>
      </w:r>
      <w:r w:rsidRPr="00D21D47">
        <w:rPr>
          <w:i/>
          <w:iCs/>
          <w:sz w:val="22"/>
          <w:szCs w:val="22"/>
        </w:rPr>
        <w:fldChar w:fldCharType="begin"/>
      </w:r>
      <w:r w:rsidRPr="00D21D47">
        <w:rPr>
          <w:i/>
          <w:iCs/>
          <w:sz w:val="22"/>
          <w:szCs w:val="22"/>
        </w:rPr>
        <w:instrText xml:space="preserve"> SEQ Figure \* ARABIC </w:instrText>
      </w:r>
      <w:r w:rsidRPr="00D21D47">
        <w:rPr>
          <w:i/>
          <w:iCs/>
          <w:sz w:val="22"/>
          <w:szCs w:val="22"/>
        </w:rPr>
        <w:fldChar w:fldCharType="separate"/>
      </w:r>
      <w:r w:rsidRPr="00D21D47">
        <w:rPr>
          <w:i/>
          <w:iCs/>
          <w:noProof/>
          <w:sz w:val="22"/>
          <w:szCs w:val="22"/>
        </w:rPr>
        <w:t>3</w:t>
      </w:r>
      <w:r w:rsidRPr="00D21D47">
        <w:rPr>
          <w:i/>
          <w:iCs/>
          <w:sz w:val="22"/>
          <w:szCs w:val="22"/>
        </w:rPr>
        <w:fldChar w:fldCharType="end"/>
      </w:r>
      <w:r w:rsidRPr="00D21D47">
        <w:rPr>
          <w:i/>
          <w:iCs/>
          <w:sz w:val="22"/>
          <w:szCs w:val="22"/>
        </w:rPr>
        <w:t>: Market Segmentation</w:t>
      </w:r>
    </w:p>
    <w:p w14:paraId="5261330E" w14:textId="0C5822F9" w:rsidR="00685B67" w:rsidRPr="00D21D47" w:rsidRDefault="00685B67" w:rsidP="00685B67">
      <w:pPr>
        <w:jc w:val="center"/>
        <w:rPr>
          <w:i/>
          <w:iCs/>
          <w:sz w:val="22"/>
          <w:szCs w:val="22"/>
        </w:rPr>
      </w:pPr>
      <w:r w:rsidRPr="00D21D47">
        <w:rPr>
          <w:i/>
          <w:iCs/>
          <w:sz w:val="22"/>
          <w:szCs w:val="22"/>
        </w:rPr>
        <w:t>Source: (Sara, 2021)</w:t>
      </w:r>
    </w:p>
    <w:p w14:paraId="0591D170" w14:textId="5E5A4044" w:rsidR="004E59EC" w:rsidRPr="00D21D47" w:rsidRDefault="004E59EC" w:rsidP="00685B67">
      <w:r w:rsidRPr="00D21D47">
        <w:t xml:space="preserve">Cadbury applies segmentation across </w:t>
      </w:r>
      <w:r w:rsidR="00A35AE0" w:rsidRPr="00D21D47">
        <w:t xml:space="preserve">the </w:t>
      </w:r>
      <w:r w:rsidRPr="00D21D47">
        <w:t xml:space="preserve">UK and India to satisfy the different segments with consideration of geographic, demographic, psychographic and </w:t>
      </w:r>
      <w:r w:rsidR="00A35AE0" w:rsidRPr="00D21D47">
        <w:t>behavioural</w:t>
      </w:r>
      <w:r w:rsidRPr="00D21D47">
        <w:t xml:space="preserve"> variables. Geographically, the UK portfolio is broken down into block chocolate, countlines, bite-size pouches and seasonal gifting products, which are typically sold in supermarkets, convenience stores and </w:t>
      </w:r>
      <w:r w:rsidR="00A35AE0" w:rsidRPr="00D21D47">
        <w:t>e-commerce</w:t>
      </w:r>
      <w:r w:rsidRPr="00D21D47">
        <w:t xml:space="preserve"> (Cadbury Unwrapped, 2026). However, India has modern retail and traditional grocery stores and rural distribution to achieve maximum market penetration. </w:t>
      </w:r>
    </w:p>
    <w:p w14:paraId="461C63C5" w14:textId="312DE7AD" w:rsidR="004E59EC" w:rsidRPr="00D21D47" w:rsidRDefault="004E59EC" w:rsidP="004E59EC">
      <w:r w:rsidRPr="00D21D47">
        <w:t>Cadbury's demographic is across all ages</w:t>
      </w:r>
      <w:r w:rsidR="00A35AE0" w:rsidRPr="00D21D47">
        <w:t>,</w:t>
      </w:r>
      <w:r w:rsidRPr="00D21D47">
        <w:t xml:space="preserve"> but the products are geared towards different segments. 84% of the respondents in India were between 18-24 years old, making young adults the demographic that the brand caters to, and Dairy Milk and Silk are appealing to various income groups, with different pack sizes. Taste, along with quality (31.5%), </w:t>
      </w:r>
      <w:r w:rsidR="00CE20AE" w:rsidRPr="00D21D47">
        <w:t>continues</w:t>
      </w:r>
      <w:r w:rsidRPr="00D21D47">
        <w:t xml:space="preserve"> to be </w:t>
      </w:r>
      <w:r w:rsidR="00CE20AE" w:rsidRPr="00D21D47">
        <w:t xml:space="preserve">the </w:t>
      </w:r>
      <w:r w:rsidRPr="00D21D47">
        <w:t xml:space="preserve">primary purchase </w:t>
      </w:r>
      <w:r w:rsidR="00CE20AE" w:rsidRPr="00D21D47">
        <w:t>driver</w:t>
      </w:r>
      <w:r w:rsidRPr="00D21D47">
        <w:t xml:space="preserve">. (Mahapatro and Mali, 2025). Desirable chocolate is becoming a more popular choice among adults in the UK looking to indulge in </w:t>
      </w:r>
      <w:r w:rsidR="00CE20AE" w:rsidRPr="00D21D47">
        <w:t>high-quality</w:t>
      </w:r>
      <w:r w:rsidRPr="00D21D47">
        <w:t xml:space="preserve"> chocolate without breaking the bank, or to gift this special treat to loved ones during the festive season. </w:t>
      </w:r>
    </w:p>
    <w:p w14:paraId="4A2C4B3E" w14:textId="2A63731B" w:rsidR="004E59EC" w:rsidRPr="00D21D47" w:rsidRDefault="004E59EC" w:rsidP="004E59EC">
      <w:r w:rsidRPr="00D21D47">
        <w:t xml:space="preserve">The Psychographic profile of the UK consumer is a desire to buy premium, nostalgic and ethically sourced products, while the Indian consumer is looking for emotional connections, </w:t>
      </w:r>
      <w:r w:rsidRPr="00D21D47">
        <w:lastRenderedPageBreak/>
        <w:t xml:space="preserve">celebrations, and value for money. In terms of </w:t>
      </w:r>
      <w:r w:rsidR="00CE20AE" w:rsidRPr="00D21D47">
        <w:t>behaviour</w:t>
      </w:r>
      <w:r w:rsidRPr="00D21D47">
        <w:t>, the UK buys more regularly for everyday use and in the season, whereas the Indian demand rises substantially during festive seasons and family events.</w:t>
      </w:r>
    </w:p>
    <w:p w14:paraId="204F58BA" w14:textId="599BA11B" w:rsidR="004E59EC" w:rsidRPr="00D21D47" w:rsidRDefault="004E59EC" w:rsidP="00685B67">
      <w:pPr>
        <w:pStyle w:val="ListParagraph"/>
        <w:numPr>
          <w:ilvl w:val="1"/>
          <w:numId w:val="1"/>
        </w:numPr>
        <w:rPr>
          <w:b/>
          <w:bCs/>
        </w:rPr>
      </w:pPr>
      <w:r w:rsidRPr="00D21D47">
        <w:rPr>
          <w:b/>
          <w:bCs/>
        </w:rPr>
        <w:t>Target Market Strategy</w:t>
      </w:r>
    </w:p>
    <w:p w14:paraId="1F0B8AD3" w14:textId="3AE39EAD" w:rsidR="004E59EC" w:rsidRPr="00D21D47" w:rsidRDefault="004E59EC" w:rsidP="004E59EC">
      <w:r w:rsidRPr="00D21D47">
        <w:t xml:space="preserve">Cadbury markets its chocolate as a product of sharing and emotional connection to adults and families in the UK, rather than as a confectionery. According to the Cadbury Unwrapped (2026) report, snacks are eaten by 79% of consumers as a way to connect with others, while 71% say that eating a snack together is a form of love and 42% say that they regularly share chocolate with family and friends. This approach is backed by campaigns like Made to Share, which sold 16.5 million Dairy Milk bars and boosted Dairy Milk value sales by 11.5% in the UK (Selfstorming, 2026). </w:t>
      </w:r>
    </w:p>
    <w:p w14:paraId="18D97D6C" w14:textId="77777777" w:rsidR="004E59EC" w:rsidRPr="00D21D47" w:rsidRDefault="004E59EC" w:rsidP="004E59EC">
      <w:r w:rsidRPr="00D21D47">
        <w:t>Cadbury reaches children, young adults and families in India through chocolate in daily celebration. The company shifted Dairy Milk from a product for kids to one that's linked to festivals, weddings and gifts; and Cadbury Celebrations has specifically focused on festive events like Diwali and Raksha Bandhan (Mahapatro and Mali, 2025).</w:t>
      </w:r>
    </w:p>
    <w:p w14:paraId="6AAD579F" w14:textId="5C703E3B" w:rsidR="004E59EC" w:rsidRPr="00D21D47" w:rsidRDefault="004E59EC" w:rsidP="006F2637">
      <w:pPr>
        <w:pStyle w:val="ListParagraph"/>
        <w:numPr>
          <w:ilvl w:val="1"/>
          <w:numId w:val="1"/>
        </w:numPr>
        <w:rPr>
          <w:b/>
          <w:bCs/>
        </w:rPr>
      </w:pPr>
      <w:r w:rsidRPr="00D21D47">
        <w:rPr>
          <w:b/>
          <w:bCs/>
        </w:rPr>
        <w:t>Product Positioning</w:t>
      </w:r>
    </w:p>
    <w:p w14:paraId="1707623B" w14:textId="179FC8B4" w:rsidR="004E59EC" w:rsidRPr="00D21D47" w:rsidRDefault="004E59EC" w:rsidP="004E59EC">
      <w:r w:rsidRPr="00D21D47">
        <w:t xml:space="preserve">Cadbury places itself in the UK with the concepts of British heritage, generosity and premium quality. It reached 2 million new consumers and </w:t>
      </w:r>
      <w:r w:rsidR="000E06CF" w:rsidRPr="00D21D47">
        <w:t xml:space="preserve">achieved a </w:t>
      </w:r>
      <w:r w:rsidRPr="00D21D47">
        <w:t xml:space="preserve">43% new-to-brand (NTB) conversion rate, with a 3.84% conversion rate, further strengthening Cadbury's positioning around heritage (Amazon Ads, 2025). </w:t>
      </w:r>
    </w:p>
    <w:p w14:paraId="11502164" w14:textId="54356578" w:rsidR="004E59EC" w:rsidRPr="00D21D47" w:rsidRDefault="004E59EC" w:rsidP="004E59EC">
      <w:r w:rsidRPr="00D21D47">
        <w:t xml:space="preserve">Cadbury markets chocolate in India as a symbol of love and joy in </w:t>
      </w:r>
      <w:r w:rsidR="000E06CF" w:rsidRPr="00D21D47">
        <w:t>relationships</w:t>
      </w:r>
      <w:r w:rsidRPr="00D21D47">
        <w:t xml:space="preserve"> and celebrations. Products like Cadbury Celebrations and Cadbury Dairy Milk Silk are marketed as gifts for Diwali, Raksha Bandhan and marriage, thus enhancing emotional involvement over functional consumption (Mahapatro and Mali, 2025). </w:t>
      </w:r>
    </w:p>
    <w:p w14:paraId="4A1DB665" w14:textId="4EE4892B" w:rsidR="004E59EC" w:rsidRPr="00D21D47" w:rsidRDefault="004E59EC" w:rsidP="006F2637">
      <w:pPr>
        <w:pStyle w:val="ListParagraph"/>
        <w:numPr>
          <w:ilvl w:val="1"/>
          <w:numId w:val="1"/>
        </w:numPr>
        <w:rPr>
          <w:b/>
          <w:bCs/>
        </w:rPr>
      </w:pPr>
      <w:r w:rsidRPr="00D21D47">
        <w:rPr>
          <w:b/>
          <w:bCs/>
        </w:rPr>
        <w:t>Country of origin (COO) effect and brand image</w:t>
      </w:r>
    </w:p>
    <w:p w14:paraId="6FF083C5" w14:textId="163E9C9E" w:rsidR="00D35467" w:rsidRPr="00D21D47" w:rsidRDefault="004E59EC" w:rsidP="00D35467">
      <w:r w:rsidRPr="00D21D47">
        <w:t xml:space="preserve">Cadbury's British heritage has a positive impact on the brand image in both markets. Its 200-year history in Birmingham, investment of almost £300 million in UK factories and ongoing product innovation </w:t>
      </w:r>
      <w:r w:rsidR="00A35AE0" w:rsidRPr="00D21D47">
        <w:t>help</w:t>
      </w:r>
      <w:r w:rsidRPr="00D21D47">
        <w:t xml:space="preserve"> to maintain authenticity and consumer trust (Cadbury Unwrapped, 2026). While in India, the British origin has a positive country-of-origin effect, the success of </w:t>
      </w:r>
      <w:r w:rsidRPr="00D21D47">
        <w:lastRenderedPageBreak/>
        <w:t>the brand in the long run also relies on localisation (culturally relevant campaigns, festival-based marketing and products adapted to Indian consumers).</w:t>
      </w:r>
    </w:p>
    <w:p w14:paraId="1AF565B5" w14:textId="6100EC15" w:rsidR="00A73FC6" w:rsidRPr="00D21D47" w:rsidRDefault="00B47DD3" w:rsidP="00EB7770">
      <w:pPr>
        <w:pStyle w:val="Heading2"/>
        <w:numPr>
          <w:ilvl w:val="0"/>
          <w:numId w:val="1"/>
        </w:numPr>
      </w:pPr>
      <w:bookmarkStart w:id="5" w:name="_Toc237089305"/>
      <w:r w:rsidRPr="00D21D47">
        <w:t>Comparative Analysis of the International Marketing Mix (7Ps)</w:t>
      </w:r>
      <w:bookmarkEnd w:id="5"/>
    </w:p>
    <w:tbl>
      <w:tblPr>
        <w:tblStyle w:val="TableGrid"/>
        <w:tblW w:w="0" w:type="auto"/>
        <w:tblLook w:val="04A0" w:firstRow="1" w:lastRow="0" w:firstColumn="1" w:lastColumn="0" w:noHBand="0" w:noVBand="1"/>
      </w:tblPr>
      <w:tblGrid>
        <w:gridCol w:w="1726"/>
        <w:gridCol w:w="3645"/>
        <w:gridCol w:w="3645"/>
      </w:tblGrid>
      <w:tr w:rsidR="009E3A56" w:rsidRPr="00D21D47" w14:paraId="674259E2" w14:textId="77777777" w:rsidTr="002D5D17">
        <w:tc>
          <w:tcPr>
            <w:tcW w:w="0" w:type="auto"/>
            <w:hideMark/>
          </w:tcPr>
          <w:p w14:paraId="37EBFBBE" w14:textId="77777777" w:rsidR="009E3A56" w:rsidRPr="00D21D47" w:rsidRDefault="009E3A56" w:rsidP="009E3A56">
            <w:pPr>
              <w:spacing w:after="160"/>
              <w:rPr>
                <w:b/>
                <w:bCs/>
              </w:rPr>
            </w:pPr>
            <w:r w:rsidRPr="00D21D47">
              <w:rPr>
                <w:b/>
                <w:bCs/>
              </w:rPr>
              <w:t>Element</w:t>
            </w:r>
          </w:p>
        </w:tc>
        <w:tc>
          <w:tcPr>
            <w:tcW w:w="0" w:type="auto"/>
            <w:hideMark/>
          </w:tcPr>
          <w:p w14:paraId="7325774B" w14:textId="77777777" w:rsidR="009E3A56" w:rsidRPr="00D21D47" w:rsidRDefault="009E3A56" w:rsidP="009E3A56">
            <w:pPr>
              <w:spacing w:after="160"/>
              <w:rPr>
                <w:b/>
                <w:bCs/>
              </w:rPr>
            </w:pPr>
            <w:r w:rsidRPr="00D21D47">
              <w:rPr>
                <w:b/>
                <w:bCs/>
              </w:rPr>
              <w:t>United Kingdom</w:t>
            </w:r>
          </w:p>
        </w:tc>
        <w:tc>
          <w:tcPr>
            <w:tcW w:w="0" w:type="auto"/>
            <w:hideMark/>
          </w:tcPr>
          <w:p w14:paraId="7F5E7F30" w14:textId="77777777" w:rsidR="009E3A56" w:rsidRPr="00D21D47" w:rsidRDefault="009E3A56" w:rsidP="009E3A56">
            <w:pPr>
              <w:spacing w:after="160"/>
              <w:rPr>
                <w:b/>
                <w:bCs/>
              </w:rPr>
            </w:pPr>
            <w:r w:rsidRPr="00D21D47">
              <w:rPr>
                <w:b/>
                <w:bCs/>
              </w:rPr>
              <w:t>India</w:t>
            </w:r>
          </w:p>
        </w:tc>
      </w:tr>
      <w:tr w:rsidR="009E3A56" w:rsidRPr="00D21D47" w14:paraId="3750989F" w14:textId="77777777" w:rsidTr="002D5D17">
        <w:tc>
          <w:tcPr>
            <w:tcW w:w="0" w:type="auto"/>
            <w:hideMark/>
          </w:tcPr>
          <w:p w14:paraId="777F2045" w14:textId="77777777" w:rsidR="009E3A56" w:rsidRPr="00D21D47" w:rsidRDefault="009E3A56" w:rsidP="009E3A56">
            <w:pPr>
              <w:spacing w:after="160"/>
            </w:pPr>
            <w:r w:rsidRPr="00D21D47">
              <w:rPr>
                <w:b/>
                <w:bCs/>
              </w:rPr>
              <w:t>Product Strategy</w:t>
            </w:r>
          </w:p>
        </w:tc>
        <w:tc>
          <w:tcPr>
            <w:tcW w:w="0" w:type="auto"/>
            <w:hideMark/>
          </w:tcPr>
          <w:p w14:paraId="6305E9DB" w14:textId="596B2402" w:rsidR="009E3A56" w:rsidRPr="00D21D47" w:rsidRDefault="009E3A56" w:rsidP="00BB1D8C">
            <w:r w:rsidRPr="00D21D47">
              <w:t>Cadbury adopts the Contingency Approach, standardising its core Dairy Milk recipe, logo and purple identity while adapting communication. Following the Product Extension–Communication Adaptation model, it launches UK-specific products such as Made to Share, Lotus Biscoff Dairy Milk and seasonal Easter ranges. Packaging includes 80% ISCC-certified recycled plastic for around 300 million Dairy Milk bars annually and 65% recycled Mini Eggs packs, supporting sustainability</w:t>
            </w:r>
            <w:r w:rsidR="00BB1D8C" w:rsidRPr="00D21D47">
              <w:t xml:space="preserve"> (Cadbury Recycle, 2026).</w:t>
            </w:r>
          </w:p>
        </w:tc>
        <w:tc>
          <w:tcPr>
            <w:tcW w:w="0" w:type="auto"/>
            <w:hideMark/>
          </w:tcPr>
          <w:p w14:paraId="74E95AE2" w14:textId="2610C92D" w:rsidR="009E3A56" w:rsidRPr="00D21D47" w:rsidRDefault="009E3A56" w:rsidP="002930FB">
            <w:r w:rsidRPr="00D21D47">
              <w:t xml:space="preserve">Cadbury follows Dual Adaptation, modifying both products and communication. Products such as Cadbury Celebrations, Silk, Fuse, 5 Star and ₹5–₹20 Dairy Milk packs address affordability and gifting. Packaging includes multilingual labels, festive gift boxes and wedding editions for </w:t>
            </w:r>
            <w:r w:rsidR="001C0C96" w:rsidRPr="00D21D47">
              <w:t>festivals such as Holi</w:t>
            </w:r>
            <w:r w:rsidRPr="00D21D47">
              <w:t xml:space="preserve"> and Raksha Bandhan while maintaining the global Cadbury identity</w:t>
            </w:r>
            <w:r w:rsidR="002930FB" w:rsidRPr="00D21D47">
              <w:t xml:space="preserve"> (Shastri, 2026).</w:t>
            </w:r>
          </w:p>
        </w:tc>
      </w:tr>
      <w:tr w:rsidR="009E3A56" w:rsidRPr="00D21D47" w14:paraId="1A3F82BF" w14:textId="77777777" w:rsidTr="002D5D17">
        <w:tc>
          <w:tcPr>
            <w:tcW w:w="0" w:type="auto"/>
            <w:hideMark/>
          </w:tcPr>
          <w:p w14:paraId="29FBE3CE" w14:textId="77777777" w:rsidR="009E3A56" w:rsidRPr="00D21D47" w:rsidRDefault="009E3A56" w:rsidP="009E3A56">
            <w:pPr>
              <w:spacing w:after="160"/>
            </w:pPr>
            <w:r w:rsidRPr="00D21D47">
              <w:rPr>
                <w:b/>
                <w:bCs/>
              </w:rPr>
              <w:t>Pricing Strategy</w:t>
            </w:r>
          </w:p>
        </w:tc>
        <w:tc>
          <w:tcPr>
            <w:tcW w:w="0" w:type="auto"/>
            <w:hideMark/>
          </w:tcPr>
          <w:p w14:paraId="3F5F19B9" w14:textId="77777777" w:rsidR="009E3A56" w:rsidRPr="00D21D47" w:rsidRDefault="009E3A56" w:rsidP="009E3A56">
            <w:pPr>
              <w:spacing w:after="160"/>
            </w:pPr>
            <w:r w:rsidRPr="00D21D47">
              <w:t>Uses competition- and demand-based pricing against Galaxy, Lindt and supermarket own-label brands. Rising cocoa costs have led to selective price increases and smaller pack sizes while maintaining a premium image through Christmas and Easter promotions.</w:t>
            </w:r>
          </w:p>
        </w:tc>
        <w:tc>
          <w:tcPr>
            <w:tcW w:w="0" w:type="auto"/>
            <w:hideMark/>
          </w:tcPr>
          <w:p w14:paraId="3E6A976A" w14:textId="4EA40A94" w:rsidR="009E3A56" w:rsidRPr="00D21D47" w:rsidRDefault="009E3A56" w:rsidP="002930FB">
            <w:r w:rsidRPr="00D21D47">
              <w:t>Combines competition-based and affordable entry pricing. Products start from ₹5, while Silk and Bournville target premium consumers, allowing Cadbury to serve both value-conscious and higher-income segments</w:t>
            </w:r>
            <w:r w:rsidR="002930FB" w:rsidRPr="00D21D47">
              <w:t xml:space="preserve"> (Shastri, 2026).</w:t>
            </w:r>
          </w:p>
        </w:tc>
      </w:tr>
      <w:tr w:rsidR="009E3A56" w:rsidRPr="00D21D47" w14:paraId="74FC52E2" w14:textId="77777777" w:rsidTr="002D5D17">
        <w:tc>
          <w:tcPr>
            <w:tcW w:w="0" w:type="auto"/>
            <w:hideMark/>
          </w:tcPr>
          <w:p w14:paraId="11878692" w14:textId="77777777" w:rsidR="009E3A56" w:rsidRPr="00D21D47" w:rsidRDefault="009E3A56" w:rsidP="009E3A56">
            <w:pPr>
              <w:spacing w:after="160"/>
            </w:pPr>
            <w:r w:rsidRPr="00D21D47">
              <w:rPr>
                <w:b/>
                <w:bCs/>
              </w:rPr>
              <w:lastRenderedPageBreak/>
              <w:t>Place (Distribution) Strategy</w:t>
            </w:r>
          </w:p>
        </w:tc>
        <w:tc>
          <w:tcPr>
            <w:tcW w:w="0" w:type="auto"/>
            <w:hideMark/>
          </w:tcPr>
          <w:p w14:paraId="174256D3" w14:textId="77777777" w:rsidR="009E3A56" w:rsidRPr="00D21D47" w:rsidRDefault="009E3A56" w:rsidP="009E3A56">
            <w:pPr>
              <w:spacing w:after="160"/>
            </w:pPr>
            <w:r w:rsidRPr="00D21D47">
              <w:t>Applies intensive distribution through Tesco, Sainsbury's, Asda, Morrisons, Aldi, Lidl, WHSmith, Co-op, petrol stations, vending machines and Amazon UK. Online grocery and click-and-collect strengthen nationwide availability.</w:t>
            </w:r>
          </w:p>
        </w:tc>
        <w:tc>
          <w:tcPr>
            <w:tcW w:w="0" w:type="auto"/>
            <w:hideMark/>
          </w:tcPr>
          <w:p w14:paraId="67099093" w14:textId="07D3613C" w:rsidR="009E3A56" w:rsidRPr="00D21D47" w:rsidRDefault="009E3A56" w:rsidP="009E3A56">
            <w:pPr>
              <w:spacing w:after="160"/>
            </w:pPr>
            <w:r w:rsidRPr="00D21D47">
              <w:t>Also follows intensive distribution through supermarkets, grocery stores, wholesalers, pharmacies and rural retailers. Amazon India, Flipkart, Blinkit, Swiggy Instamart and Zepto provide rapid urban delivery and extensive rural reach.</w:t>
            </w:r>
          </w:p>
        </w:tc>
      </w:tr>
      <w:tr w:rsidR="009E3A56" w:rsidRPr="00D21D47" w14:paraId="3F289AE3" w14:textId="77777777" w:rsidTr="002D5D17">
        <w:tc>
          <w:tcPr>
            <w:tcW w:w="0" w:type="auto"/>
            <w:hideMark/>
          </w:tcPr>
          <w:p w14:paraId="0F048F22" w14:textId="77777777" w:rsidR="009E3A56" w:rsidRPr="00D21D47" w:rsidRDefault="009E3A56" w:rsidP="009E3A56">
            <w:pPr>
              <w:spacing w:after="160"/>
            </w:pPr>
            <w:r w:rsidRPr="00D21D47">
              <w:rPr>
                <w:b/>
                <w:bCs/>
              </w:rPr>
              <w:t>Promotion Strategy</w:t>
            </w:r>
          </w:p>
        </w:tc>
        <w:tc>
          <w:tcPr>
            <w:tcW w:w="0" w:type="auto"/>
            <w:hideMark/>
          </w:tcPr>
          <w:p w14:paraId="3CF3B589" w14:textId="68E7BD38" w:rsidR="009E3A56" w:rsidRPr="00D21D47" w:rsidRDefault="009E3A56" w:rsidP="00DC7926">
            <w:r w:rsidRPr="00D21D47">
              <w:t>Promotion reflects low-context communication, using direct emotional messages around generosity and sharing. Campaigns such as Made to Share are supported by Instagram, TikTok, QR-code promotions and football partnerships</w:t>
            </w:r>
            <w:r w:rsidR="00DC7926" w:rsidRPr="00D21D47">
              <w:t xml:space="preserve"> (Cadbury, 2026).</w:t>
            </w:r>
          </w:p>
        </w:tc>
        <w:tc>
          <w:tcPr>
            <w:tcW w:w="0" w:type="auto"/>
            <w:hideMark/>
          </w:tcPr>
          <w:p w14:paraId="6C882CB9" w14:textId="6AA8DD16" w:rsidR="009E3A56" w:rsidRPr="00D21D47" w:rsidRDefault="009E3A56" w:rsidP="009E3A56">
            <w:pPr>
              <w:spacing w:after="160"/>
            </w:pPr>
            <w:r w:rsidRPr="00D21D47">
              <w:t xml:space="preserve">Promotion follows high-context communication, emphasising family, festivals and emotions. Campaigns such as Kuch Meetha Ho Jaaye, Say It </w:t>
            </w:r>
            <w:r w:rsidR="00DA3F8D" w:rsidRPr="00D21D47">
              <w:t>with</w:t>
            </w:r>
            <w:r w:rsidRPr="00D21D47">
              <w:t xml:space="preserve"> Silk and Cadbury Celebrations use YouTube, Instagram, influencers and regional-language advertising.</w:t>
            </w:r>
          </w:p>
        </w:tc>
      </w:tr>
      <w:tr w:rsidR="009E3A56" w:rsidRPr="00D21D47" w14:paraId="24102800" w14:textId="77777777" w:rsidTr="002D5D17">
        <w:tc>
          <w:tcPr>
            <w:tcW w:w="0" w:type="auto"/>
            <w:hideMark/>
          </w:tcPr>
          <w:p w14:paraId="13CABCAD" w14:textId="77777777" w:rsidR="009E3A56" w:rsidRPr="00D21D47" w:rsidRDefault="009E3A56" w:rsidP="009E3A56">
            <w:pPr>
              <w:spacing w:after="160"/>
            </w:pPr>
            <w:r w:rsidRPr="00D21D47">
              <w:rPr>
                <w:b/>
                <w:bCs/>
              </w:rPr>
              <w:t>People</w:t>
            </w:r>
          </w:p>
        </w:tc>
        <w:tc>
          <w:tcPr>
            <w:tcW w:w="0" w:type="auto"/>
            <w:hideMark/>
          </w:tcPr>
          <w:p w14:paraId="63B4F3E4" w14:textId="7453451E" w:rsidR="009E3A56" w:rsidRPr="00D21D47" w:rsidRDefault="00DA3F8D" w:rsidP="002C411B">
            <w:r w:rsidRPr="00D21D47">
              <w:t>Customer experience is supported through trained retail staff, consumer support services and the Bournville R&amp;D Centre, where Mondelez invested £3.5 million and employs specialist chocolate tasters to improve product quality and innovation</w:t>
            </w:r>
            <w:r w:rsidR="002C411B" w:rsidRPr="00D21D47">
              <w:t xml:space="preserve"> (Boles, 2025)</w:t>
            </w:r>
            <w:r w:rsidRPr="00D21D47">
              <w:t>.</w:t>
            </w:r>
          </w:p>
        </w:tc>
        <w:tc>
          <w:tcPr>
            <w:tcW w:w="0" w:type="auto"/>
            <w:hideMark/>
          </w:tcPr>
          <w:p w14:paraId="2FFD50C3" w14:textId="247768B7" w:rsidR="009E3A56" w:rsidRPr="00D21D47" w:rsidRDefault="009E3A56" w:rsidP="009E3A56">
            <w:pPr>
              <w:spacing w:after="160"/>
            </w:pPr>
            <w:r w:rsidRPr="00D21D47">
              <w:t xml:space="preserve">Local manufacturing, sales and marketing teams improve retailer relationships and ensure campaigns reflect regional languages and cultural preferences. </w:t>
            </w:r>
          </w:p>
        </w:tc>
      </w:tr>
      <w:tr w:rsidR="009E3A56" w:rsidRPr="00D21D47" w14:paraId="62D05C06" w14:textId="77777777" w:rsidTr="002D5D17">
        <w:tc>
          <w:tcPr>
            <w:tcW w:w="0" w:type="auto"/>
            <w:hideMark/>
          </w:tcPr>
          <w:p w14:paraId="1ADB55B4" w14:textId="77777777" w:rsidR="009E3A56" w:rsidRPr="00D21D47" w:rsidRDefault="009E3A56" w:rsidP="009E3A56">
            <w:pPr>
              <w:spacing w:after="160"/>
            </w:pPr>
            <w:r w:rsidRPr="00D21D47">
              <w:rPr>
                <w:b/>
                <w:bCs/>
              </w:rPr>
              <w:t>Process</w:t>
            </w:r>
          </w:p>
        </w:tc>
        <w:tc>
          <w:tcPr>
            <w:tcW w:w="0" w:type="auto"/>
            <w:hideMark/>
          </w:tcPr>
          <w:p w14:paraId="6B739BBA" w14:textId="56D3DC89" w:rsidR="009E3A56" w:rsidRPr="00D21D47" w:rsidRDefault="009E3A56" w:rsidP="009E3A56">
            <w:pPr>
              <w:spacing w:after="160"/>
            </w:pPr>
            <w:r w:rsidRPr="00D21D47">
              <w:t xml:space="preserve">Customers purchase through supermarkets, convenience stores and digital channels. Automated production, sustainable packaging and advanced manufacturing improve efficiency and reduce waste. </w:t>
            </w:r>
          </w:p>
        </w:tc>
        <w:tc>
          <w:tcPr>
            <w:tcW w:w="0" w:type="auto"/>
            <w:hideMark/>
          </w:tcPr>
          <w:p w14:paraId="4D2A1765" w14:textId="5546A561" w:rsidR="009E3A56" w:rsidRPr="00D21D47" w:rsidRDefault="009E3A56" w:rsidP="009E3A56">
            <w:pPr>
              <w:spacing w:after="160"/>
            </w:pPr>
            <w:r w:rsidRPr="00D21D47">
              <w:t>Purchasing is supported through offline retail, quick-commerce platforms and UPI-enabled digital payments. Local manufacturing and nationwide logistics improve product availability and reduce distribution lead times</w:t>
            </w:r>
            <w:r w:rsidR="00FC5AF5" w:rsidRPr="00D21D47">
              <w:t xml:space="preserve"> (Shastri, 2026)</w:t>
            </w:r>
            <w:r w:rsidRPr="00D21D47">
              <w:t>.</w:t>
            </w:r>
          </w:p>
        </w:tc>
      </w:tr>
      <w:tr w:rsidR="009E3A56" w:rsidRPr="00D21D47" w14:paraId="2258D6BE" w14:textId="77777777" w:rsidTr="002D5D17">
        <w:tc>
          <w:tcPr>
            <w:tcW w:w="0" w:type="auto"/>
            <w:hideMark/>
          </w:tcPr>
          <w:p w14:paraId="6E674651" w14:textId="77777777" w:rsidR="009E3A56" w:rsidRPr="00D21D47" w:rsidRDefault="009E3A56" w:rsidP="009E3A56">
            <w:pPr>
              <w:spacing w:after="160"/>
            </w:pPr>
            <w:r w:rsidRPr="00D21D47">
              <w:rPr>
                <w:b/>
                <w:bCs/>
              </w:rPr>
              <w:lastRenderedPageBreak/>
              <w:t>Physical Evidence</w:t>
            </w:r>
          </w:p>
        </w:tc>
        <w:tc>
          <w:tcPr>
            <w:tcW w:w="0" w:type="auto"/>
            <w:hideMark/>
          </w:tcPr>
          <w:p w14:paraId="0B018019" w14:textId="26E45832" w:rsidR="009E3A56" w:rsidRPr="00D21D47" w:rsidRDefault="009E3A56" w:rsidP="00133606">
            <w:r w:rsidRPr="00D21D47">
              <w:t>Cadbury's iconic purple branding, premium shelf displays, Bournville heritage and sustainable packaging reinforce brand quality and environmental commitment</w:t>
            </w:r>
            <w:r w:rsidR="00133606" w:rsidRPr="00D21D47">
              <w:t xml:space="preserve"> (Cadbury Recycle, 2026)</w:t>
            </w:r>
            <w:r w:rsidRPr="00D21D47">
              <w:t xml:space="preserve">. </w:t>
            </w:r>
          </w:p>
        </w:tc>
        <w:tc>
          <w:tcPr>
            <w:tcW w:w="0" w:type="auto"/>
            <w:hideMark/>
          </w:tcPr>
          <w:p w14:paraId="539BFD7F" w14:textId="49A3D347" w:rsidR="009E3A56" w:rsidRPr="00D21D47" w:rsidRDefault="009E3A56" w:rsidP="009E3A56">
            <w:pPr>
              <w:spacing w:after="160"/>
            </w:pPr>
            <w:r w:rsidRPr="00D21D47">
              <w:t xml:space="preserve">Physical evidence combines global Cadbury branding with festive gift boxes, premium Diwali packaging, multilingual labels and culturally themed point-of-sale displays, reinforcing its position as India's preferred celebration chocolate brand. </w:t>
            </w:r>
          </w:p>
        </w:tc>
      </w:tr>
    </w:tbl>
    <w:p w14:paraId="3DF57056" w14:textId="77777777" w:rsidR="00B47DD3" w:rsidRPr="00D21D47" w:rsidRDefault="00B47DD3" w:rsidP="00B47DD3"/>
    <w:p w14:paraId="204C9B78" w14:textId="354FCC7E" w:rsidR="00E9137C" w:rsidRPr="00D21D47" w:rsidRDefault="00E9137C" w:rsidP="00F072F7">
      <w:pPr>
        <w:pStyle w:val="Heading2"/>
        <w:numPr>
          <w:ilvl w:val="0"/>
          <w:numId w:val="1"/>
        </w:numPr>
      </w:pPr>
      <w:bookmarkStart w:id="6" w:name="_Toc237089306"/>
      <w:r w:rsidRPr="00D21D47">
        <w:t>Assessment of Cadbury's strategy for entering India</w:t>
      </w:r>
      <w:bookmarkEnd w:id="6"/>
    </w:p>
    <w:p w14:paraId="35F51885" w14:textId="72207D93" w:rsidR="00E9137C" w:rsidRPr="00D21D47" w:rsidRDefault="00E9137C" w:rsidP="00E9137C">
      <w:r w:rsidRPr="00D21D47">
        <w:t xml:space="preserve">Cadbury came to India with a 100% greenfield foreign direct investment (FDI) and started operations in India in 1948 and built its first manufacturing plant in 1949. This entry strategy helped the company maintain complete control of its production, quality, brand and distribution as well as establish a long-term foothold in India (Pisharady, 2020). In the present times, Mondelez India has several manufacturing plants, </w:t>
      </w:r>
      <w:r w:rsidR="00CE20AE" w:rsidRPr="00D21D47">
        <w:t xml:space="preserve">a </w:t>
      </w:r>
      <w:r w:rsidRPr="00D21D47">
        <w:t xml:space="preserve">Global R&amp;D Centre in Mumbai and a wide distribution chain across the country. </w:t>
      </w:r>
    </w:p>
    <w:p w14:paraId="16BA7C90" w14:textId="07FABBB1" w:rsidR="00E9137C" w:rsidRPr="00D21D47" w:rsidRDefault="00E9137C" w:rsidP="00E9137C">
      <w:r w:rsidRPr="00D21D47">
        <w:t xml:space="preserve">The strategy was suitable because India is a large consumer market with a growing demand for confectionery, which meant that it was necessary to make a significant long-term investment. Cadbury has been improving localisation since 1965 by being a pioneer in cocoa cultivation </w:t>
      </w:r>
      <w:r w:rsidR="00CE20AE" w:rsidRPr="00D21D47">
        <w:t xml:space="preserve">and </w:t>
      </w:r>
      <w:r w:rsidRPr="00D21D47">
        <w:t xml:space="preserve">by establishing a partnership with Kerala Agricultural University, which has resulted in a sustainable cocoa supply chain within the country (Mondelez International, 2026). The company has also announced a massive investment of ₹4,000 crore in expanding manufacturing, warehousing and logistics and route to market, reflecting continued confidence in the growth potential of India (Malviya, 2023). </w:t>
      </w:r>
    </w:p>
    <w:p w14:paraId="0B49566A" w14:textId="7AB2A393" w:rsidR="00E9137C" w:rsidRPr="00D21D47" w:rsidRDefault="00E9137C" w:rsidP="00E9137C">
      <w:r w:rsidRPr="00D21D47">
        <w:t xml:space="preserve">This approach had many advantages, such as total managerial control, efficient product localisation and a well-developed brand (Kormakova et al., 2023). It allowed Cadbury to launch products like Cadbury Celebrations, Cadbury Dairy </w:t>
      </w:r>
      <w:r w:rsidR="00CE20AE" w:rsidRPr="00D21D47">
        <w:t>Milk</w:t>
      </w:r>
      <w:r w:rsidRPr="00D21D47">
        <w:t xml:space="preserve"> Silk and </w:t>
      </w:r>
      <w:r w:rsidR="00CE20AE" w:rsidRPr="00D21D47">
        <w:t>low-cost</w:t>
      </w:r>
      <w:r w:rsidRPr="00D21D47">
        <w:t xml:space="preserve"> Dairy </w:t>
      </w:r>
      <w:r w:rsidR="00CE20AE" w:rsidRPr="00D21D47">
        <w:t>Milk</w:t>
      </w:r>
      <w:r w:rsidRPr="00D21D47">
        <w:t xml:space="preserve"> packs for Indian consumers. But Greenfield FDI demanded high capital investment, market development and adaptation over heavy competition and price-sensitive consumers. Overall, the strategy has proven to be very successful as Cadbury has achieved full ownership and deep localisation and thus established a sustainable competitive advantage in the Indian confectionery market. </w:t>
      </w:r>
    </w:p>
    <w:p w14:paraId="1784D988" w14:textId="0FDF2313" w:rsidR="00E9137C" w:rsidRPr="00D21D47" w:rsidRDefault="00E9137C" w:rsidP="00F072F7">
      <w:pPr>
        <w:pStyle w:val="Heading2"/>
        <w:numPr>
          <w:ilvl w:val="0"/>
          <w:numId w:val="1"/>
        </w:numPr>
      </w:pPr>
      <w:bookmarkStart w:id="7" w:name="_Toc237089307"/>
      <w:r w:rsidRPr="00D21D47">
        <w:lastRenderedPageBreak/>
        <w:t>Ethical Issues in Cadbury's International Marketing</w:t>
      </w:r>
      <w:bookmarkEnd w:id="7"/>
    </w:p>
    <w:p w14:paraId="5E99F2A6" w14:textId="1EC15757" w:rsidR="00E9137C" w:rsidRPr="00D21D47" w:rsidRDefault="00F072F7" w:rsidP="00E9137C">
      <w:r w:rsidRPr="00D21D47">
        <w:t>I</w:t>
      </w:r>
      <w:r w:rsidR="00E9137C" w:rsidRPr="00D21D47">
        <w:t xml:space="preserve">n India, Cadbury faced one of its major ethical </w:t>
      </w:r>
      <w:r w:rsidR="000E06CF" w:rsidRPr="00D21D47">
        <w:t>problems</w:t>
      </w:r>
      <w:r w:rsidR="00E9137C" w:rsidRPr="00D21D47">
        <w:t xml:space="preserve"> in its marketing mix during the worm infestation affair in the year 2003, which directly impacted the product element. In the Diwali season, reports in the media showed that insects were discovered in Cadbury chocolates and led to extensive consumer worries and </w:t>
      </w:r>
      <w:r w:rsidR="000E06CF" w:rsidRPr="00D21D47">
        <w:t>harmed</w:t>
      </w:r>
      <w:r w:rsidR="00E9137C" w:rsidRPr="00D21D47">
        <w:t xml:space="preserve"> the brand's reputation. The Maharashtra Food and Drug Administration (FDA) found insects in some of Cadbury's chocolate bars, prompting a fall in </w:t>
      </w:r>
      <w:r w:rsidR="000E06CF" w:rsidRPr="00D21D47">
        <w:t>sales of nearly 45%</w:t>
      </w:r>
      <w:r w:rsidR="00E9137C" w:rsidRPr="00D21D47">
        <w:t xml:space="preserve"> during the summer holiday season. Cadbury claimed that it was due to the poor quality of the retailers' storage facilities</w:t>
      </w:r>
      <w:r w:rsidR="000E06CF" w:rsidRPr="00D21D47">
        <w:t>,</w:t>
      </w:r>
      <w:r w:rsidR="00E9137C" w:rsidRPr="00D21D47">
        <w:t xml:space="preserve"> but the incident brought to light issues with packaging and quality assurance (IRM India, 2021).</w:t>
      </w:r>
    </w:p>
    <w:p w14:paraId="52FEA5A4" w14:textId="77777777" w:rsidR="00E9137C" w:rsidRPr="00D21D47" w:rsidRDefault="00E9137C" w:rsidP="00E9137C">
      <w:r w:rsidRPr="00D21D47">
        <w:t>The Justice Approach mandates that consumers get safe and good quality products, and that the manufacturing of these products and their retailing be done in a consistent way, with transparent quality control (Mulgund, 2022). Cadbury responded by launching tamper-proof metallic packaging, improving the storage practices of retailers by Project Vishwas, reaching out to more than 190,000 retailers and opening its factories to the consumers, parents and media to showcase its strict quality assurance protocols. It also carried out a nationwide campaign with Amitabh Bachchan to restore consumer confidence (IRM India, 2021).</w:t>
      </w:r>
    </w:p>
    <w:p w14:paraId="0E256E88" w14:textId="5B986B71" w:rsidR="00E9137C" w:rsidRPr="00D21D47" w:rsidRDefault="00E9137C" w:rsidP="00E9137C">
      <w:r w:rsidRPr="00D21D47">
        <w:t xml:space="preserve">Cadbury can adjust promotions to Indian festivals like Diwali from a Cultural Relativism point of view. According to Ethical Absolutism, however, the principles of food safety, truthful marketing, and consumer protection are universal and should not be </w:t>
      </w:r>
      <w:r w:rsidR="000E06CF" w:rsidRPr="00D21D47">
        <w:t>country-specific</w:t>
      </w:r>
      <w:r w:rsidRPr="00D21D47">
        <w:t xml:space="preserve"> (Rajak, 2026). Cadbury's investments in better packaging and its Cocoa Life programme reflect a more robust focus on ethical marketing, sustainable sourcing and responsible business practices, which will help restore consumer trust and improve long-term brand credibility (Cadbury Cocoa Life, 2026).</w:t>
      </w:r>
    </w:p>
    <w:p w14:paraId="4D0E04BD" w14:textId="7A3C816D" w:rsidR="00E9137C" w:rsidRPr="00D21D47" w:rsidRDefault="00E9137C" w:rsidP="00F072F7">
      <w:pPr>
        <w:pStyle w:val="Heading2"/>
        <w:numPr>
          <w:ilvl w:val="0"/>
          <w:numId w:val="1"/>
        </w:numPr>
      </w:pPr>
      <w:bookmarkStart w:id="8" w:name="_Toc237089308"/>
      <w:r w:rsidRPr="00D21D47">
        <w:t>Recommendations</w:t>
      </w:r>
      <w:bookmarkEnd w:id="8"/>
    </w:p>
    <w:p w14:paraId="2DD89C61" w14:textId="77777777" w:rsidR="00E9137C" w:rsidRPr="00D21D47" w:rsidRDefault="00E9137C" w:rsidP="00E9137C">
      <w:r w:rsidRPr="00D21D47">
        <w:t>Cadbury should build on its product strategy by growing its healthier, lower-sugar and plant-based chocolate lines and maintaining the locally relevant flavours in India as well as the limited-edition premium chocolates in the UK. This would allow the company to adapt to consumer preferences and stay competitive in the long run, while also preserving the differentiation of the product (Massaglia et al., 2023).</w:t>
      </w:r>
    </w:p>
    <w:p w14:paraId="69F40748" w14:textId="3A25AEE4" w:rsidR="00E9137C" w:rsidRPr="00D21D47" w:rsidRDefault="00E9137C" w:rsidP="00E9137C">
      <w:r w:rsidRPr="00D21D47">
        <w:t xml:space="preserve">The company should also leverage its promotional approach further by integrating emotionally appealing campaigns with personalised efforts through AI, influencer collaborations and customer engagement through data. In India, festivals like Diwali and Raksha Bandhan should </w:t>
      </w:r>
      <w:r w:rsidRPr="00D21D47">
        <w:lastRenderedPageBreak/>
        <w:t xml:space="preserve">continue to be used to their full advantage; in the UK, emphasis ought to be placed on concepts of generosity, nostalgia and premium experiences. Further, the digital marketing strategy should leverage first-party consumer data, social commerce, omnichannel retailing and personalised content to enhance customer engagement, build brand loyalty and drive increased conversion rates </w:t>
      </w:r>
      <w:r w:rsidR="000E06CF" w:rsidRPr="00D21D47">
        <w:t>in</w:t>
      </w:r>
      <w:r w:rsidRPr="00D21D47">
        <w:t xml:space="preserve"> both markets (Nguyen, 2025).</w:t>
      </w:r>
    </w:p>
    <w:p w14:paraId="51C85163" w14:textId="6DE70B72" w:rsidR="00E9137C" w:rsidRPr="00D21D47" w:rsidRDefault="00E9137C" w:rsidP="00E9137C">
      <w:r w:rsidRPr="00D21D47">
        <w:t>Cadbury also needs to continue to strengthen its sustainability and ethical marketing by improving transparency in its cocoa supply chain, growing farmer inclusion schemes and improving environmental reporting, including through the Cocoa Life initiative. As consumer expectations grow, there will be more transparency and better consumer chain practices</w:t>
      </w:r>
      <w:r w:rsidR="000E06CF" w:rsidRPr="00D21D47">
        <w:t>,</w:t>
      </w:r>
      <w:r w:rsidRPr="00D21D47">
        <w:t xml:space="preserve"> which will further build trust among stakeholders and the company's international image as an ethical player (Obeng Adomaa, Vellema and Slingerland, 2022).</w:t>
      </w:r>
    </w:p>
    <w:p w14:paraId="0CE722F4" w14:textId="39B8171C" w:rsidR="00E9137C" w:rsidRPr="00D21D47" w:rsidRDefault="00E9137C" w:rsidP="00E9137C">
      <w:r w:rsidRPr="00D21D47">
        <w:t xml:space="preserve">Lastly, Cadbury's future international expansion should </w:t>
      </w:r>
      <w:r w:rsidR="000E06CF" w:rsidRPr="00D21D47">
        <w:t>continue</w:t>
      </w:r>
      <w:r w:rsidRPr="00D21D47">
        <w:t xml:space="preserve"> to be polycentric – blending </w:t>
      </w:r>
      <w:r w:rsidR="000E06CF" w:rsidRPr="00D21D47">
        <w:t>its</w:t>
      </w:r>
      <w:r w:rsidRPr="00D21D47">
        <w:t xml:space="preserve"> strong British identity with locally adapted product, pricing and promotional strategies to gain </w:t>
      </w:r>
      <w:r w:rsidR="000E06CF" w:rsidRPr="00D21D47">
        <w:t xml:space="preserve">a </w:t>
      </w:r>
      <w:r w:rsidRPr="00D21D47">
        <w:t xml:space="preserve">sustainable competitive advantage in each of </w:t>
      </w:r>
      <w:r w:rsidR="000E06CF" w:rsidRPr="00D21D47">
        <w:t>its</w:t>
      </w:r>
      <w:r w:rsidRPr="00D21D47">
        <w:t xml:space="preserve"> foreign markets.</w:t>
      </w:r>
    </w:p>
    <w:p w14:paraId="1A3491E8" w14:textId="477C9F6E" w:rsidR="00E9137C" w:rsidRPr="00D21D47" w:rsidRDefault="00E9137C" w:rsidP="00F072F7">
      <w:pPr>
        <w:pStyle w:val="Heading2"/>
        <w:numPr>
          <w:ilvl w:val="0"/>
          <w:numId w:val="1"/>
        </w:numPr>
      </w:pPr>
      <w:bookmarkStart w:id="9" w:name="_Toc237089309"/>
      <w:r w:rsidRPr="00D21D47">
        <w:t>Conclusion</w:t>
      </w:r>
      <w:bookmarkEnd w:id="9"/>
    </w:p>
    <w:p w14:paraId="6DCE2BA6" w14:textId="59259E6B" w:rsidR="00E9137C" w:rsidRPr="00D21D47" w:rsidRDefault="00E9137C" w:rsidP="00E9137C">
      <w:r w:rsidRPr="00D21D47">
        <w:t xml:space="preserve">Overall, Cadbury has managed to build a strong position as a global leader in the confectionery industry while also catering to the local market's tastes and preferences. </w:t>
      </w:r>
      <w:r w:rsidR="002832D0" w:rsidRPr="00D21D47">
        <w:t>There are many variations in the way that the political, economic and socio-cultural environments affect consumer behaviour and marketing decision-making, such as between the UK and India. Rather than doing so, Cadbury could be able to respond effectively to the needs of each market, adapting their products, prices, promotions and distribution system to suit, whilst retaining their strong British identity and product heritage.</w:t>
      </w:r>
    </w:p>
    <w:p w14:paraId="59E18280" w14:textId="043205E9" w:rsidR="004D7DFF" w:rsidRPr="00D21D47" w:rsidRDefault="00E9137C" w:rsidP="005F0193">
      <w:r w:rsidRPr="00D21D47">
        <w:t xml:space="preserve">To this end, the report has been able to accomplish its goals as it has evaluated Cadbury's international marketing orientation, international marketing cultural influences, STP strategy, marketing mix, market entry strategy and ethical practices based on the relevant theories and concepts of international marketing. The analysis shows that Cadbury has a competitive advantage in the ability to combine innovation, cultural adaptation and sustainable business practices. Moving forward, ongoing investments in digital marketing, ethical sourcing and the development of healthier product innovations and locally suitable marketing strategies will provide Cadbury with a competitive edge </w:t>
      </w:r>
      <w:r w:rsidR="000E06CF" w:rsidRPr="00D21D47">
        <w:t>in</w:t>
      </w:r>
      <w:r w:rsidRPr="00D21D47">
        <w:t xml:space="preserve"> the international market and facilitate sustainable long-term growth in various markets worldwide</w:t>
      </w:r>
      <w:r w:rsidR="005F0193">
        <w:t>.</w:t>
      </w:r>
    </w:p>
    <w:p w14:paraId="452C474F" w14:textId="39C65485" w:rsidR="004D7DFF" w:rsidRPr="00D21D47" w:rsidRDefault="0063151B" w:rsidP="0063151B">
      <w:pPr>
        <w:pStyle w:val="Heading1"/>
      </w:pPr>
      <w:bookmarkStart w:id="10" w:name="_Toc237089310"/>
      <w:r w:rsidRPr="00D21D47">
        <w:lastRenderedPageBreak/>
        <w:t>Section 2: Reflective Account</w:t>
      </w:r>
      <w:bookmarkEnd w:id="10"/>
      <w:r w:rsidRPr="00D21D47">
        <w:t xml:space="preserve"> </w:t>
      </w:r>
    </w:p>
    <w:p w14:paraId="57284601" w14:textId="77777777" w:rsidR="00CD7CFB" w:rsidRPr="00D21D47" w:rsidRDefault="00CD7CFB" w:rsidP="00CD7CFB">
      <w:pPr>
        <w:keepNext/>
      </w:pPr>
      <w:r w:rsidRPr="00D21D47">
        <w:rPr>
          <w:noProof/>
        </w:rPr>
        <w:drawing>
          <wp:inline distT="0" distB="0" distL="0" distR="0" wp14:anchorId="20BEEC7D" wp14:editId="5F3F0D9F">
            <wp:extent cx="5486400" cy="4114800"/>
            <wp:effectExtent l="0" t="38100" r="0" b="38100"/>
            <wp:docPr id="133644192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A6139CD" w14:textId="63FE303F" w:rsidR="0063151B" w:rsidRPr="00D21D47" w:rsidRDefault="00CD7CFB" w:rsidP="00FC0587">
      <w:pPr>
        <w:jc w:val="center"/>
        <w:rPr>
          <w:i/>
          <w:iCs/>
          <w:sz w:val="22"/>
          <w:szCs w:val="22"/>
        </w:rPr>
      </w:pPr>
      <w:r w:rsidRPr="00D21D47">
        <w:rPr>
          <w:i/>
          <w:iCs/>
          <w:sz w:val="22"/>
          <w:szCs w:val="22"/>
        </w:rPr>
        <w:t xml:space="preserve">Figure </w:t>
      </w:r>
      <w:r w:rsidRPr="00D21D47">
        <w:rPr>
          <w:i/>
          <w:iCs/>
          <w:sz w:val="22"/>
          <w:szCs w:val="22"/>
        </w:rPr>
        <w:fldChar w:fldCharType="begin"/>
      </w:r>
      <w:r w:rsidRPr="00D21D47">
        <w:rPr>
          <w:i/>
          <w:iCs/>
          <w:sz w:val="22"/>
          <w:szCs w:val="22"/>
        </w:rPr>
        <w:instrText xml:space="preserve"> SEQ Figure \* ARABIC </w:instrText>
      </w:r>
      <w:r w:rsidRPr="00D21D47">
        <w:rPr>
          <w:i/>
          <w:iCs/>
          <w:sz w:val="22"/>
          <w:szCs w:val="22"/>
        </w:rPr>
        <w:fldChar w:fldCharType="separate"/>
      </w:r>
      <w:r w:rsidRPr="00D21D47">
        <w:rPr>
          <w:i/>
          <w:iCs/>
          <w:sz w:val="22"/>
          <w:szCs w:val="22"/>
        </w:rPr>
        <w:t>4</w:t>
      </w:r>
      <w:r w:rsidRPr="00D21D47">
        <w:rPr>
          <w:i/>
          <w:iCs/>
          <w:sz w:val="22"/>
          <w:szCs w:val="22"/>
        </w:rPr>
        <w:fldChar w:fldCharType="end"/>
      </w:r>
      <w:r w:rsidRPr="00D21D47">
        <w:rPr>
          <w:i/>
          <w:iCs/>
          <w:sz w:val="22"/>
          <w:szCs w:val="22"/>
        </w:rPr>
        <w:t>: Gibbs' Reflective Cycle</w:t>
      </w:r>
    </w:p>
    <w:p w14:paraId="3F802961" w14:textId="77DA2760" w:rsidR="00CD7CFB" w:rsidRPr="00D21D47" w:rsidRDefault="00CD7CFB" w:rsidP="00FC0587">
      <w:pPr>
        <w:jc w:val="center"/>
        <w:rPr>
          <w:i/>
          <w:iCs/>
          <w:sz w:val="22"/>
          <w:szCs w:val="22"/>
        </w:rPr>
      </w:pPr>
      <w:r w:rsidRPr="00D21D47">
        <w:rPr>
          <w:i/>
          <w:iCs/>
          <w:sz w:val="22"/>
          <w:szCs w:val="22"/>
        </w:rPr>
        <w:t>Source: (By Author</w:t>
      </w:r>
      <w:r w:rsidR="005A0474" w:rsidRPr="00D21D47">
        <w:rPr>
          <w:i/>
          <w:iCs/>
          <w:sz w:val="22"/>
          <w:szCs w:val="22"/>
        </w:rPr>
        <w:t xml:space="preserve">, adapted from </w:t>
      </w:r>
      <w:r w:rsidR="00FC0587" w:rsidRPr="00D21D47">
        <w:rPr>
          <w:i/>
          <w:iCs/>
          <w:sz w:val="22"/>
          <w:szCs w:val="22"/>
        </w:rPr>
        <w:t>Gibbs, 1988)</w:t>
      </w:r>
    </w:p>
    <w:p w14:paraId="3313BEB4" w14:textId="77777777" w:rsidR="00F47EAC" w:rsidRPr="00D21D47" w:rsidRDefault="00F47EAC" w:rsidP="00F47EAC">
      <w:pPr>
        <w:rPr>
          <w:b/>
          <w:bCs/>
        </w:rPr>
      </w:pPr>
      <w:r w:rsidRPr="00D21D47">
        <w:rPr>
          <w:b/>
          <w:bCs/>
        </w:rPr>
        <w:t>1.1 Description</w:t>
      </w:r>
    </w:p>
    <w:p w14:paraId="1787D21D" w14:textId="77777777" w:rsidR="00F47EAC" w:rsidRPr="00D21D47" w:rsidRDefault="00F47EAC" w:rsidP="00F47EAC">
      <w:r w:rsidRPr="00D21D47">
        <w:t>This assignment was to critically analyse Cadbury's international marketing strategy through a comparison of its operations in the United Kingdom and India. For the report, I used a few international marketing theories such as the EPRG framework, PESTLE analysis, Hofstede's cultural dimensions, STP, the 7Ps marketing mix, Product and Communication Adaptation Model and the Justice Approach. This report also included the analysis of Cadbury's market entry strategy, ethical issues and how cultural differences affected consumer behaviour. To do this, I had to look beyond describing what Cadbury does in marketing and consider the reasons for these different strategies in the various markets. In higher education, reflective practice is known to be an effective technique for enhancing critical thinking and deep learning (Yadav and Bhatia, 2022).</w:t>
      </w:r>
    </w:p>
    <w:p w14:paraId="50946A64" w14:textId="77777777" w:rsidR="00F47EAC" w:rsidRPr="00D21D47" w:rsidRDefault="00F47EAC" w:rsidP="00F47EAC">
      <w:pPr>
        <w:rPr>
          <w:b/>
          <w:bCs/>
        </w:rPr>
      </w:pPr>
      <w:r w:rsidRPr="00D21D47">
        <w:rPr>
          <w:b/>
          <w:bCs/>
        </w:rPr>
        <w:t>1.2 Feelings</w:t>
      </w:r>
    </w:p>
    <w:p w14:paraId="68C25F95" w14:textId="77777777" w:rsidR="00F47EAC" w:rsidRPr="00D21D47" w:rsidRDefault="00F47EAC" w:rsidP="00F47EAC">
      <w:r w:rsidRPr="00D21D47">
        <w:lastRenderedPageBreak/>
        <w:t>At first, I thought that this assignment would be primarily about comparing Cadbury's products and promotions in the UK and India. After gaining this, however, I quickly discovered that international marketing demands a much greater knowledge of culture, ethics, consumer behaviour and business strategy. Linking multiple theories in the same discussion was one aspect that was difficult for me. For instance, Cadbury's STP strategy and promotional activities needed to be understood in the context of Hofstede's cultural dimensions, and I had to think critically and explain each theory as part of the whole, rather than explain each one individually. Another challenge was distinguishing between descriptive writing and critical evaluation, particularly with regard to Cadbury's polycentric strategy and the 2003 product quality crisis. These difficulties used to make me feel less sure of myself, but they made me read more academic literature and make myself more analytical.</w:t>
      </w:r>
    </w:p>
    <w:p w14:paraId="03D9CE7E" w14:textId="77777777" w:rsidR="00F47EAC" w:rsidRPr="00D21D47" w:rsidRDefault="00F47EAC" w:rsidP="00F47EAC">
      <w:pPr>
        <w:rPr>
          <w:b/>
          <w:bCs/>
        </w:rPr>
      </w:pPr>
      <w:r w:rsidRPr="00D21D47">
        <w:rPr>
          <w:b/>
          <w:bCs/>
        </w:rPr>
        <w:t>1.3 Evaluation</w:t>
      </w:r>
    </w:p>
    <w:p w14:paraId="55D378CF" w14:textId="77777777" w:rsidR="00F47EAC" w:rsidRPr="00D21D47" w:rsidRDefault="00F47EAC" w:rsidP="00F47EAC">
      <w:r w:rsidRPr="00D21D47">
        <w:t>The most significant learning experience was about the importance of adapting rather than standardising in international marketing (Lin, Xiaoyu and Jianqiang, 2023). Prior to writing this report, I believed that the marketing strategy of a Multinational Corporation was the same across all countries. However, Cadbury analysis revealed how Cadbury Dairy Milk is marketed as a product of heritage and generosity in the UK and Cadbury Celebrations as a festive gifting product in India. These differences helped me to better translate theory into practice. Another positive result was the understanding of the role that ethical issues play in marketing decisions. When studying the controversy of the worm infestation in 2003, the Justice Approach revealed that marketing success is also dependent on consumer trust, transparency and responsible business practices. I did notice, however, that my initial versions were full of company information, and needed to be revised to add in more meaningful comparison, based on academic research.</w:t>
      </w:r>
    </w:p>
    <w:p w14:paraId="2CCE9084" w14:textId="77777777" w:rsidR="00F47EAC" w:rsidRPr="00D21D47" w:rsidRDefault="00F47EAC" w:rsidP="00F47EAC">
      <w:pPr>
        <w:rPr>
          <w:b/>
          <w:bCs/>
        </w:rPr>
      </w:pPr>
      <w:r w:rsidRPr="00D21D47">
        <w:rPr>
          <w:b/>
          <w:bCs/>
        </w:rPr>
        <w:t>1.4 Analysis</w:t>
      </w:r>
    </w:p>
    <w:p w14:paraId="0B8AE056" w14:textId="77777777" w:rsidR="00F47EAC" w:rsidRPr="00D21D47" w:rsidRDefault="00F47EAC" w:rsidP="00F47EAC">
      <w:r w:rsidRPr="00D21D47">
        <w:t xml:space="preserve">The most difficult part of this assignment was to combine a variety of international marketing theories together in one coherent analysis. At first, I used all the frameworks of PESTLE, Hofstede, STP and 7Ps separately. I realised through further reading that they complement one another. For instance, Cadbury's marketing strategy of festivals could be explained by the collectivist culture of India identified by Hofstede and the PESTLE analysis revealed how the economic growth and digitalization would support them. Likewise, studying Cadbury's market entry strategy taught me that localisation of the product, pricing and communication is also </w:t>
      </w:r>
      <w:r w:rsidRPr="00D21D47">
        <w:lastRenderedPageBreak/>
        <w:t>important in terms of long term competitive advantage and not just investment. Thus, this task helped me to integrate various theories instead of using them separately. Reflective learning promotes higher order thinking skills by enabling students to think about how knowledge can be transferred to various contexts (Ragab and Kaid, 2024). I also learned how to use research skills, as I researched academic literature, as well as company reports, rather than just one source of evidence.</w:t>
      </w:r>
    </w:p>
    <w:p w14:paraId="69CD088C" w14:textId="77777777" w:rsidR="00F47EAC" w:rsidRPr="00D21D47" w:rsidRDefault="00F47EAC" w:rsidP="00F47EAC">
      <w:pPr>
        <w:rPr>
          <w:b/>
          <w:bCs/>
        </w:rPr>
      </w:pPr>
      <w:r w:rsidRPr="00D21D47">
        <w:rPr>
          <w:b/>
          <w:bCs/>
        </w:rPr>
        <w:t>1.5 Conclusion</w:t>
      </w:r>
    </w:p>
    <w:p w14:paraId="79CDE3BC" w14:textId="77777777" w:rsidR="00F47EAC" w:rsidRPr="00D21D47" w:rsidRDefault="00F47EAC" w:rsidP="00F47EAC">
      <w:r w:rsidRPr="00D21D47">
        <w:t>Overall, it was a very positive experience in learning about international marketing and critical academic writing. The most important thing I learned is that there is a harmony between the global brand and the local culture. I also understood that an analysis must combine multiple theories, and arguments must be presented with evidence and critically examined instead of described with respect to business decisions. The assignment was difficult but it gave me confidence in the application of theory in practical business situations.</w:t>
      </w:r>
    </w:p>
    <w:p w14:paraId="6AA68D51" w14:textId="77777777" w:rsidR="00F47EAC" w:rsidRPr="00D21D47" w:rsidRDefault="00F47EAC" w:rsidP="00F47EAC">
      <w:pPr>
        <w:rPr>
          <w:b/>
          <w:bCs/>
        </w:rPr>
      </w:pPr>
      <w:r w:rsidRPr="00D21D47">
        <w:rPr>
          <w:b/>
          <w:bCs/>
        </w:rPr>
        <w:t>1.6 Action Plan</w:t>
      </w:r>
    </w:p>
    <w:p w14:paraId="0E1F290E" w14:textId="12885D88" w:rsidR="008E7007" w:rsidRPr="00D21D47" w:rsidRDefault="00F47EAC" w:rsidP="00F47EAC">
      <w:r w:rsidRPr="00D21D47">
        <w:t>In future assignments, I will start looking at literature earlier in the process to have more time for critical analysis and synthesis of the literature, instead of descriptive writing. I also hope to develop my skills of linking more than one theory in the same context rather than analysing them individually. In addition, I will keep building my reflective writing skills by reflecting on my strengths and weaknesses following every assignment. I will read recent academic journal articles on international marketing regularly, to enhance my analytical thinking and decision making with evidence. According to Jeyakumar et al. (2023), reflective practice over time helps develop critical thinking, self-awareness and lifelong professional learning.</w:t>
      </w:r>
    </w:p>
    <w:p w14:paraId="4FE2DA5B" w14:textId="77777777" w:rsidR="008E7007" w:rsidRPr="00D21D47" w:rsidRDefault="008E7007" w:rsidP="0065382B"/>
    <w:p w14:paraId="3CE957DB" w14:textId="5EDC413A" w:rsidR="008E7007" w:rsidRPr="00D21D47" w:rsidRDefault="008E7007">
      <w:pPr>
        <w:spacing w:line="278" w:lineRule="auto"/>
        <w:jc w:val="left"/>
      </w:pPr>
      <w:r w:rsidRPr="00D21D47">
        <w:br w:type="page"/>
      </w:r>
    </w:p>
    <w:p w14:paraId="42BF31A6" w14:textId="21BE4A1C" w:rsidR="008E7007" w:rsidRPr="00D21D47" w:rsidRDefault="008E7007" w:rsidP="008E7007">
      <w:pPr>
        <w:pStyle w:val="Heading1"/>
      </w:pPr>
      <w:bookmarkStart w:id="11" w:name="_Toc237089311"/>
      <w:r w:rsidRPr="00D21D47">
        <w:lastRenderedPageBreak/>
        <w:t>References</w:t>
      </w:r>
      <w:bookmarkEnd w:id="11"/>
    </w:p>
    <w:p w14:paraId="1AD346DD" w14:textId="77777777" w:rsidR="003D69A7" w:rsidRPr="00D21D47" w:rsidRDefault="003D69A7" w:rsidP="00C37E3B">
      <w:r w:rsidRPr="00D21D47">
        <w:t xml:space="preserve">Amazon Ads (2025) </w:t>
      </w:r>
      <w:r w:rsidRPr="00D21D47">
        <w:rPr>
          <w:i/>
          <w:iCs/>
        </w:rPr>
        <w:t>Mondelez U.K. celebrates Cadbury’s 200 years | Amazon ads</w:t>
      </w:r>
      <w:r w:rsidRPr="00D21D47">
        <w:t xml:space="preserve">, </w:t>
      </w:r>
      <w:r w:rsidRPr="00D21D47">
        <w:rPr>
          <w:i/>
          <w:iCs/>
        </w:rPr>
        <w:t>Amazon Ads</w:t>
      </w:r>
      <w:r w:rsidRPr="00D21D47">
        <w:t xml:space="preserve">. Available at: </w:t>
      </w:r>
      <w:hyperlink r:id="rId18" w:history="1">
        <w:r w:rsidRPr="00D21D47">
          <w:rPr>
            <w:rStyle w:val="Hyperlink"/>
          </w:rPr>
          <w:t>https://advertising.amazon.com/en-gb/library/case-studies/cadbury-anniversary-campaign</w:t>
        </w:r>
      </w:hyperlink>
      <w:r w:rsidRPr="00D21D47">
        <w:t xml:space="preserve"> (Accessed: July 31, 2026).</w:t>
      </w:r>
    </w:p>
    <w:p w14:paraId="36524A07" w14:textId="77777777" w:rsidR="003D69A7" w:rsidRPr="00D21D47" w:rsidRDefault="003D69A7" w:rsidP="00C37E3B">
      <w:r w:rsidRPr="00D21D47">
        <w:t xml:space="preserve">BE Staff (2026) </w:t>
      </w:r>
      <w:r w:rsidRPr="00D21D47">
        <w:rPr>
          <w:i/>
          <w:iCs/>
        </w:rPr>
        <w:t>Cadbury Dairy Milk celebrates every fan’s first match with new campaign</w:t>
      </w:r>
      <w:r w:rsidRPr="00D21D47">
        <w:t xml:space="preserve">, </w:t>
      </w:r>
      <w:r w:rsidRPr="00D21D47">
        <w:rPr>
          <w:i/>
          <w:iCs/>
        </w:rPr>
        <w:t>ETBrandEquity.com</w:t>
      </w:r>
      <w:r w:rsidRPr="00D21D47">
        <w:t xml:space="preserve">. ETBrandEquity. Available at: </w:t>
      </w:r>
      <w:hyperlink r:id="rId19" w:history="1">
        <w:r w:rsidRPr="00D21D47">
          <w:rPr>
            <w:rStyle w:val="Hyperlink"/>
          </w:rPr>
          <w:t>https://brandequity.economictimes.indiatimes.com/news/research/advertising/cadbury-dairy-milk-celebrates-every-fans-first-match-with-new-campaign/129917424</w:t>
        </w:r>
      </w:hyperlink>
      <w:r w:rsidRPr="00D21D47">
        <w:t xml:space="preserve"> (Accessed: July 30, 2026).</w:t>
      </w:r>
    </w:p>
    <w:p w14:paraId="0DEEBBCC" w14:textId="77777777" w:rsidR="003D69A7" w:rsidRPr="00D21D47" w:rsidRDefault="003D69A7" w:rsidP="00C37E3B">
      <w:r w:rsidRPr="00D21D47">
        <w:t xml:space="preserve">Boles, T. (2025) </w:t>
      </w:r>
      <w:r w:rsidRPr="00D21D47">
        <w:rPr>
          <w:i/>
          <w:iCs/>
        </w:rPr>
        <w:t>Cadbury hires 50 tasters to test chocolate for a living</w:t>
      </w:r>
      <w:r w:rsidRPr="00D21D47">
        <w:t xml:space="preserve">, </w:t>
      </w:r>
      <w:r w:rsidRPr="00D21D47">
        <w:rPr>
          <w:i/>
          <w:iCs/>
        </w:rPr>
        <w:t>Thetimes.com</w:t>
      </w:r>
      <w:r w:rsidRPr="00D21D47">
        <w:t xml:space="preserve">. The Times. Available at: </w:t>
      </w:r>
      <w:hyperlink r:id="rId20" w:history="1">
        <w:r w:rsidRPr="00D21D47">
          <w:rPr>
            <w:rStyle w:val="Hyperlink"/>
          </w:rPr>
          <w:t>https://www.thetimes.com/us/business-us/article/fifty-tasters-to-test-chocolate-for-a-living-with-cadbury-7jcq0bl66</w:t>
        </w:r>
      </w:hyperlink>
      <w:r w:rsidRPr="00D21D47">
        <w:t xml:space="preserve"> (Accessed: August 1, 2026).</w:t>
      </w:r>
    </w:p>
    <w:p w14:paraId="1AA73F01" w14:textId="77777777" w:rsidR="003D69A7" w:rsidRPr="00D21D47" w:rsidRDefault="003D69A7" w:rsidP="00C37E3B">
      <w:r w:rsidRPr="00D21D47">
        <w:t xml:space="preserve">Cadbury (2026) </w:t>
      </w:r>
      <w:r w:rsidRPr="00D21D47">
        <w:rPr>
          <w:i/>
          <w:iCs/>
        </w:rPr>
        <w:t>Cadbury made to share - terms and conditions</w:t>
      </w:r>
      <w:r w:rsidRPr="00D21D47">
        <w:t xml:space="preserve">, </w:t>
      </w:r>
      <w:r w:rsidRPr="00D21D47">
        <w:rPr>
          <w:i/>
          <w:iCs/>
        </w:rPr>
        <w:t>Cadbury.co.uk</w:t>
      </w:r>
      <w:r w:rsidRPr="00D21D47">
        <w:t xml:space="preserve">. Available at: </w:t>
      </w:r>
      <w:hyperlink r:id="rId21" w:history="1">
        <w:r w:rsidRPr="00D21D47">
          <w:rPr>
            <w:rStyle w:val="Hyperlink"/>
          </w:rPr>
          <w:t>https://www.cadbury.co.uk/terms-and-conditions/made-to-share/</w:t>
        </w:r>
      </w:hyperlink>
      <w:r w:rsidRPr="00D21D47">
        <w:t xml:space="preserve"> (Accessed: August 1, 2026).</w:t>
      </w:r>
    </w:p>
    <w:p w14:paraId="1D28BE31" w14:textId="77777777" w:rsidR="003D69A7" w:rsidRPr="00D21D47" w:rsidRDefault="003D69A7" w:rsidP="00C37E3B">
      <w:r w:rsidRPr="00D21D47">
        <w:t xml:space="preserve">Cadbury Cocoa Life (2026) </w:t>
      </w:r>
      <w:r w:rsidRPr="00D21D47">
        <w:rPr>
          <w:i/>
          <w:iCs/>
        </w:rPr>
        <w:t>Cocoa life</w:t>
      </w:r>
      <w:r w:rsidRPr="00D21D47">
        <w:t xml:space="preserve">, </w:t>
      </w:r>
      <w:r w:rsidRPr="00D21D47">
        <w:rPr>
          <w:i/>
          <w:iCs/>
        </w:rPr>
        <w:t>Cadbury UK</w:t>
      </w:r>
      <w:r w:rsidRPr="00D21D47">
        <w:t xml:space="preserve">. Available at: </w:t>
      </w:r>
      <w:hyperlink r:id="rId22" w:history="1">
        <w:r w:rsidRPr="00D21D47">
          <w:rPr>
            <w:rStyle w:val="Hyperlink"/>
          </w:rPr>
          <w:t>https://www.cadbury.co.uk/about/impact/cocoa-life/</w:t>
        </w:r>
      </w:hyperlink>
      <w:r w:rsidRPr="00D21D47">
        <w:t xml:space="preserve"> (Accessed: August 4, 2026).</w:t>
      </w:r>
    </w:p>
    <w:p w14:paraId="3F151373" w14:textId="77777777" w:rsidR="003D69A7" w:rsidRPr="00D21D47" w:rsidRDefault="003D69A7" w:rsidP="00C37E3B">
      <w:r w:rsidRPr="00D21D47">
        <w:t xml:space="preserve">Cadbury Recycle (2026) </w:t>
      </w:r>
      <w:r w:rsidRPr="00D21D47">
        <w:rPr>
          <w:i/>
          <w:iCs/>
        </w:rPr>
        <w:t>Cadbury recycle - plastic</w:t>
      </w:r>
      <w:r w:rsidRPr="00D21D47">
        <w:t xml:space="preserve">, </w:t>
      </w:r>
      <w:r w:rsidRPr="00D21D47">
        <w:rPr>
          <w:i/>
          <w:iCs/>
        </w:rPr>
        <w:t>Cadbury.co.uk</w:t>
      </w:r>
      <w:r w:rsidRPr="00D21D47">
        <w:t xml:space="preserve">. Available at: </w:t>
      </w:r>
      <w:hyperlink r:id="rId23" w:history="1">
        <w:r w:rsidRPr="00D21D47">
          <w:rPr>
            <w:rStyle w:val="Hyperlink"/>
          </w:rPr>
          <w:t>https://www.cadbury.co.uk/about/impact/sustainability/recycling/</w:t>
        </w:r>
      </w:hyperlink>
      <w:r w:rsidRPr="00D21D47">
        <w:t xml:space="preserve"> (Accessed: August 1, 2026).</w:t>
      </w:r>
    </w:p>
    <w:p w14:paraId="2697FEB7" w14:textId="77777777" w:rsidR="003D69A7" w:rsidRPr="00D21D47" w:rsidRDefault="003D69A7" w:rsidP="00C37E3B">
      <w:r w:rsidRPr="00D21D47">
        <w:t xml:space="preserve">Cadbury UK (2026) </w:t>
      </w:r>
      <w:r w:rsidRPr="00D21D47">
        <w:rPr>
          <w:i/>
          <w:iCs/>
        </w:rPr>
        <w:t>Our story</w:t>
      </w:r>
      <w:r w:rsidRPr="00D21D47">
        <w:t xml:space="preserve">, </w:t>
      </w:r>
      <w:r w:rsidRPr="00D21D47">
        <w:rPr>
          <w:i/>
          <w:iCs/>
        </w:rPr>
        <w:t>Cadbury UK</w:t>
      </w:r>
      <w:r w:rsidRPr="00D21D47">
        <w:t xml:space="preserve">. Available at: </w:t>
      </w:r>
      <w:hyperlink r:id="rId24" w:history="1">
        <w:r w:rsidRPr="00D21D47">
          <w:rPr>
            <w:rStyle w:val="Hyperlink"/>
          </w:rPr>
          <w:t>https://www.cadbury.co.uk/about/history/our-story/</w:t>
        </w:r>
      </w:hyperlink>
      <w:r w:rsidRPr="00D21D47">
        <w:t xml:space="preserve"> (Accessed: July 20, 2026).</w:t>
      </w:r>
    </w:p>
    <w:p w14:paraId="30138773" w14:textId="77777777" w:rsidR="003D69A7" w:rsidRPr="00D21D47" w:rsidRDefault="003D69A7" w:rsidP="00C37E3B">
      <w:r w:rsidRPr="00D21D47">
        <w:t xml:space="preserve">Cadbury UK Limited (2024) </w:t>
      </w:r>
      <w:r w:rsidRPr="00D21D47">
        <w:rPr>
          <w:i/>
          <w:iCs/>
        </w:rPr>
        <w:t xml:space="preserve">Annual Report and Financial Statements For the year ended 31 December 2024 </w:t>
      </w:r>
      <w:r w:rsidRPr="00D21D47">
        <w:t xml:space="preserve">, </w:t>
      </w:r>
      <w:r w:rsidRPr="00D21D47">
        <w:rPr>
          <w:i/>
          <w:iCs/>
        </w:rPr>
        <w:t>GOV.UK</w:t>
      </w:r>
      <w:r w:rsidRPr="00D21D47">
        <w:t xml:space="preserve">. Available at: </w:t>
      </w:r>
      <w:hyperlink r:id="rId25" w:history="1">
        <w:r w:rsidRPr="00D21D47">
          <w:rPr>
            <w:rStyle w:val="Hyperlink"/>
          </w:rPr>
          <w:t>https://find-and-update.company-information.service.gov.uk/company/00155256/filing-history</w:t>
        </w:r>
      </w:hyperlink>
      <w:r w:rsidRPr="00D21D47">
        <w:t xml:space="preserve"> (Accessed: July 25, 2026).</w:t>
      </w:r>
    </w:p>
    <w:p w14:paraId="78401FDD" w14:textId="77777777" w:rsidR="003D69A7" w:rsidRPr="00D21D47" w:rsidRDefault="003D69A7" w:rsidP="00C37E3B">
      <w:r w:rsidRPr="00D21D47">
        <w:t xml:space="preserve">Cadbury Unwrapped (2026) </w:t>
      </w:r>
      <w:r w:rsidRPr="00D21D47">
        <w:rPr>
          <w:i/>
          <w:iCs/>
        </w:rPr>
        <w:t>Cadbury unwrapped - reporting on key trends &amp; influences</w:t>
      </w:r>
      <w:r w:rsidRPr="00D21D47">
        <w:t xml:space="preserve">, </w:t>
      </w:r>
      <w:r w:rsidRPr="00D21D47">
        <w:rPr>
          <w:i/>
          <w:iCs/>
        </w:rPr>
        <w:t>Cadbury.co.uk</w:t>
      </w:r>
      <w:r w:rsidRPr="00D21D47">
        <w:t xml:space="preserve">. Available at: </w:t>
      </w:r>
      <w:hyperlink r:id="rId26" w:history="1">
        <w:r w:rsidRPr="00D21D47">
          <w:rPr>
            <w:rStyle w:val="Hyperlink"/>
          </w:rPr>
          <w:t>https://www.cadbury.co.uk/about/impact/cadbury-unwrapped/</w:t>
        </w:r>
      </w:hyperlink>
      <w:r w:rsidRPr="00D21D47">
        <w:t xml:space="preserve"> (Accessed: July 25, 2026).</w:t>
      </w:r>
    </w:p>
    <w:p w14:paraId="4F13605D" w14:textId="77777777" w:rsidR="003D69A7" w:rsidRPr="00D21D47" w:rsidRDefault="003D69A7" w:rsidP="00C37E3B">
      <w:r w:rsidRPr="00D21D47">
        <w:t xml:space="preserve">Davidson, L. (2026) </w:t>
      </w:r>
      <w:r w:rsidRPr="00D21D47">
        <w:rPr>
          <w:i/>
          <w:iCs/>
        </w:rPr>
        <w:t>The updated HFSS AD guidelines - and their impact on influencer marketing | hydrogen</w:t>
      </w:r>
      <w:r w:rsidRPr="00D21D47">
        <w:t xml:space="preserve">, </w:t>
      </w:r>
      <w:r w:rsidRPr="00D21D47">
        <w:rPr>
          <w:i/>
          <w:iCs/>
        </w:rPr>
        <w:t>Wearehydrogen.com</w:t>
      </w:r>
      <w:r w:rsidRPr="00D21D47">
        <w:t xml:space="preserve">. Available at: </w:t>
      </w:r>
      <w:hyperlink r:id="rId27" w:history="1">
        <w:r w:rsidRPr="00D21D47">
          <w:rPr>
            <w:rStyle w:val="Hyperlink"/>
          </w:rPr>
          <w:t>https://www.wearehydrogen.com/stories/the-updated-hfss-ad-guidelines-and-what-they-mean-for-marketers</w:t>
        </w:r>
      </w:hyperlink>
      <w:r w:rsidRPr="00D21D47">
        <w:t xml:space="preserve"> (Accessed: July 27, 2026).</w:t>
      </w:r>
    </w:p>
    <w:p w14:paraId="3564AC06" w14:textId="77777777" w:rsidR="003D69A7" w:rsidRPr="00D21D47" w:rsidRDefault="003D69A7" w:rsidP="00C37E3B">
      <w:r w:rsidRPr="00D21D47">
        <w:lastRenderedPageBreak/>
        <w:t xml:space="preserve">Egginton, T. (2024) </w:t>
      </w:r>
      <w:r w:rsidRPr="00D21D47">
        <w:rPr>
          <w:i/>
          <w:iCs/>
        </w:rPr>
        <w:t>UK chocolate manufacturer saves £2 million annually with HPS advanced “pigging” technology - Food &amp; Drink International</w:t>
      </w:r>
      <w:r w:rsidRPr="00D21D47">
        <w:t xml:space="preserve">, </w:t>
      </w:r>
      <w:r w:rsidRPr="00D21D47">
        <w:rPr>
          <w:i/>
          <w:iCs/>
        </w:rPr>
        <w:t>Food &amp; Drink International</w:t>
      </w:r>
      <w:r w:rsidRPr="00D21D47">
        <w:t xml:space="preserve">. Available at: </w:t>
      </w:r>
      <w:hyperlink r:id="rId28" w:history="1">
        <w:r w:rsidRPr="00D21D47">
          <w:rPr>
            <w:rStyle w:val="Hyperlink"/>
          </w:rPr>
          <w:t>https://www.fdiforum.net/mag/production/uk-chocolate-manufacturer-saves-2-million-annually-with-hps-advanced-pigging-technology/</w:t>
        </w:r>
      </w:hyperlink>
      <w:r w:rsidRPr="00D21D47">
        <w:t xml:space="preserve"> (Accessed: July 26, 2026).</w:t>
      </w:r>
    </w:p>
    <w:p w14:paraId="72282CA8" w14:textId="036D7E73" w:rsidR="003D69A7" w:rsidRPr="00D21D47" w:rsidRDefault="003D69A7" w:rsidP="00C37E3B">
      <w:r w:rsidRPr="00D21D47">
        <w:t xml:space="preserve">Gatignon, A. and Capron, L. (2023) “The firm as an architect of polycentric governance: Building open institutional infrastructure in emerging markets,” </w:t>
      </w:r>
      <w:r w:rsidRPr="00D21D47">
        <w:rPr>
          <w:i/>
          <w:iCs/>
        </w:rPr>
        <w:t>Strategic Management Journal</w:t>
      </w:r>
      <w:r w:rsidRPr="00D21D47">
        <w:t xml:space="preserve">, 44(1). Available at: </w:t>
      </w:r>
      <w:hyperlink r:id="rId29" w:history="1">
        <w:r w:rsidR="00512B55" w:rsidRPr="00D21D47">
          <w:rPr>
            <w:rStyle w:val="Hyperlink"/>
          </w:rPr>
          <w:t>https://sms.onlinelibrary.wiley.com/doi/pdfdirect/10.1002/smj.3124?domain=author&amp;token=FQFDYBFQA43KKTENWCQM</w:t>
        </w:r>
      </w:hyperlink>
      <w:r w:rsidR="00512B55" w:rsidRPr="00D21D47">
        <w:t xml:space="preserve"> </w:t>
      </w:r>
    </w:p>
    <w:p w14:paraId="785F789C" w14:textId="0CB29985" w:rsidR="001E22BB" w:rsidRPr="00D21D47" w:rsidRDefault="001E22BB" w:rsidP="00C37E3B">
      <w:r w:rsidRPr="00D21D47">
        <w:t>Gibbs G (1988). Learning by Doing: A guide to teaching and learning methods. Further Education Unit. Oxford Polytechnic: Oxford.</w:t>
      </w:r>
    </w:p>
    <w:p w14:paraId="0A461801" w14:textId="77777777" w:rsidR="003D69A7" w:rsidRPr="00D21D47" w:rsidRDefault="003D69A7" w:rsidP="00C37E3B">
      <w:r w:rsidRPr="00D21D47">
        <w:t xml:space="preserve">IBEF (2025) </w:t>
      </w:r>
      <w:r w:rsidRPr="00D21D47">
        <w:rPr>
          <w:i/>
          <w:iCs/>
        </w:rPr>
        <w:t>Decoding the growth of India’s chocolate market</w:t>
      </w:r>
      <w:r w:rsidRPr="00D21D47">
        <w:t xml:space="preserve">, </w:t>
      </w:r>
      <w:r w:rsidRPr="00D21D47">
        <w:rPr>
          <w:i/>
          <w:iCs/>
        </w:rPr>
        <w:t>India Brand Equity Foundation</w:t>
      </w:r>
      <w:r w:rsidRPr="00D21D47">
        <w:t xml:space="preserve">. IBEF. Available at: </w:t>
      </w:r>
      <w:hyperlink r:id="rId30" w:history="1">
        <w:r w:rsidRPr="00D21D47">
          <w:rPr>
            <w:rStyle w:val="Hyperlink"/>
          </w:rPr>
          <w:t>https://www.ibef.org/blogs/decoding-the-growth-of-india-s-chocolate-market</w:t>
        </w:r>
      </w:hyperlink>
      <w:r w:rsidRPr="00D21D47">
        <w:t xml:space="preserve"> (Accessed: July 26, 2026).</w:t>
      </w:r>
    </w:p>
    <w:p w14:paraId="3E13924A" w14:textId="77777777" w:rsidR="003D69A7" w:rsidRPr="00D21D47" w:rsidRDefault="003D69A7" w:rsidP="00C37E3B">
      <w:r w:rsidRPr="00D21D47">
        <w:t xml:space="preserve">IRM India (2021) </w:t>
      </w:r>
      <w:r w:rsidRPr="00D21D47">
        <w:rPr>
          <w:i/>
          <w:iCs/>
        </w:rPr>
        <w:t>When crisis led to consumer safety: The story of Cadbury</w:t>
      </w:r>
      <w:r w:rsidRPr="00D21D47">
        <w:t xml:space="preserve">, </w:t>
      </w:r>
      <w:r w:rsidRPr="00D21D47">
        <w:rPr>
          <w:i/>
          <w:iCs/>
        </w:rPr>
        <w:t>IRM India Affiliate</w:t>
      </w:r>
      <w:r w:rsidRPr="00D21D47">
        <w:t xml:space="preserve">. Available at: </w:t>
      </w:r>
      <w:hyperlink r:id="rId31" w:history="1">
        <w:r w:rsidRPr="00D21D47">
          <w:rPr>
            <w:rStyle w:val="Hyperlink"/>
          </w:rPr>
          <w:t>https://www.theirmindia.org/blog/when-crisis-led-to-consumer-safety-the-story-of-cadbury/</w:t>
        </w:r>
      </w:hyperlink>
      <w:r w:rsidRPr="00D21D47">
        <w:t xml:space="preserve"> (Accessed: August 3, 2026).</w:t>
      </w:r>
    </w:p>
    <w:p w14:paraId="0FDFF601" w14:textId="6029A350" w:rsidR="003D69A7" w:rsidRPr="00D21D47" w:rsidRDefault="003D69A7" w:rsidP="00C37E3B">
      <w:r w:rsidRPr="00D21D47">
        <w:t xml:space="preserve">Jeyakumar, T., Karsan, I., Williams, B., Fried, J., Kane, G., Ambata-Villanueva, S., Bennett, A., McMahon, G.T., Paton, M., Williams, N., Younus, S. and Wiljer, D. (2023) “Paving the way forward for evidence-based continuing professional development,” </w:t>
      </w:r>
      <w:r w:rsidRPr="00D21D47">
        <w:rPr>
          <w:i/>
          <w:iCs/>
        </w:rPr>
        <w:t>Journal of Continuing Education in the Health Professions</w:t>
      </w:r>
      <w:r w:rsidRPr="00D21D47">
        <w:t xml:space="preserve">, Publish Ahead of Print. Available at: </w:t>
      </w:r>
      <w:hyperlink r:id="rId32" w:history="1">
        <w:r w:rsidR="00F86DAA" w:rsidRPr="00D21D47">
          <w:rPr>
            <w:rStyle w:val="Hyperlink"/>
          </w:rPr>
          <w:t>https://journals.lww.com/jcehp/fulltext/2024/04410/paving_the_way_forward_for_evidence_based.8.aspx</w:t>
        </w:r>
      </w:hyperlink>
      <w:r w:rsidR="00F86DAA" w:rsidRPr="00D21D47">
        <w:t xml:space="preserve"> </w:t>
      </w:r>
    </w:p>
    <w:p w14:paraId="1DED4507" w14:textId="3EA67F54" w:rsidR="003D69A7" w:rsidRPr="00D21D47" w:rsidRDefault="003D69A7" w:rsidP="00C37E3B">
      <w:r w:rsidRPr="00D21D47">
        <w:t xml:space="preserve">Kormakova, I., Kruhlyanko, A., Peniuk, V., Ursakii, Y. and Verstiak, O. (2023) “Actual strategies for businesses penetrating foreign markets in the modern economy: Globalisation aspect,” </w:t>
      </w:r>
      <w:r w:rsidRPr="00D21D47">
        <w:rPr>
          <w:i/>
          <w:iCs/>
        </w:rPr>
        <w:t>International Journal of Professional Business Review: Int. J. Prof.Bus. Rev.</w:t>
      </w:r>
      <w:r w:rsidRPr="00D21D47">
        <w:t xml:space="preserve">, 8(5), p. 117. Available at: </w:t>
      </w:r>
      <w:hyperlink r:id="rId33" w:history="1">
        <w:r w:rsidR="0003419B" w:rsidRPr="00D21D47">
          <w:rPr>
            <w:rStyle w:val="Hyperlink"/>
          </w:rPr>
          <w:t>https://dialnet.unirioja.es/descarga/articulo/8957050.pdf</w:t>
        </w:r>
      </w:hyperlink>
      <w:r w:rsidR="0003419B" w:rsidRPr="00D21D47">
        <w:t xml:space="preserve"> </w:t>
      </w:r>
    </w:p>
    <w:p w14:paraId="327DEE04" w14:textId="5DFE097C" w:rsidR="003D69A7" w:rsidRPr="00D21D47" w:rsidRDefault="003D69A7" w:rsidP="00C37E3B">
      <w:r w:rsidRPr="00D21D47">
        <w:t xml:space="preserve">Lin, Q., Xiaoyu, L. and Jianqiang, Z. (2023) “Global marketing standards and local adaptation: An analysis of the literature,” </w:t>
      </w:r>
      <w:r w:rsidRPr="00D21D47">
        <w:rPr>
          <w:i/>
          <w:iCs/>
        </w:rPr>
        <w:t>International Journal of Management and Human Science (IJMHS)</w:t>
      </w:r>
      <w:r w:rsidRPr="00D21D47">
        <w:t xml:space="preserve">, 7(2), pp. 44–57. Available at: </w:t>
      </w:r>
      <w:hyperlink r:id="rId34" w:history="1">
        <w:r w:rsidR="0003419B" w:rsidRPr="00D21D47">
          <w:rPr>
            <w:rStyle w:val="Hyperlink"/>
          </w:rPr>
          <w:t>https://ejournal.lucp.net/index.php/ijmhs/article/download/2196/2460</w:t>
        </w:r>
      </w:hyperlink>
      <w:r w:rsidR="0003419B" w:rsidRPr="00D21D47">
        <w:t xml:space="preserve"> </w:t>
      </w:r>
    </w:p>
    <w:p w14:paraId="2420EC71" w14:textId="25C53F16" w:rsidR="003D69A7" w:rsidRPr="00D21D47" w:rsidRDefault="003D69A7" w:rsidP="00C37E3B">
      <w:r w:rsidRPr="00D21D47">
        <w:lastRenderedPageBreak/>
        <w:t xml:space="preserve">Mahapatro, A. and Mali, D.R. (2025) “Analysis of Consumer Preferences for Cadbury Chocolates in India,” </w:t>
      </w:r>
      <w:r w:rsidRPr="00D21D47">
        <w:rPr>
          <w:i/>
          <w:iCs/>
        </w:rPr>
        <w:t>International Research Journal on Advanced Science Hub</w:t>
      </w:r>
      <w:r w:rsidRPr="00D21D47">
        <w:t xml:space="preserve">, 7(03), pp. 212–217. </w:t>
      </w:r>
      <w:r w:rsidR="00C612B1" w:rsidRPr="00D21D47">
        <w:t xml:space="preserve">Available at: </w:t>
      </w:r>
      <w:hyperlink r:id="rId35" w:history="1">
        <w:r w:rsidR="00C612B1" w:rsidRPr="00D21D47">
          <w:rPr>
            <w:rStyle w:val="Hyperlink"/>
          </w:rPr>
          <w:t>https://rspsciencehub.com/index.php/journal/article/view/901</w:t>
        </w:r>
      </w:hyperlink>
      <w:r w:rsidR="00C612B1" w:rsidRPr="00D21D47">
        <w:t xml:space="preserve"> </w:t>
      </w:r>
    </w:p>
    <w:p w14:paraId="1E1B6E7D" w14:textId="77777777" w:rsidR="003D69A7" w:rsidRPr="00D21D47" w:rsidRDefault="003D69A7" w:rsidP="00C37E3B">
      <w:r w:rsidRPr="00D21D47">
        <w:t xml:space="preserve">Malodia, R. (2025) </w:t>
      </w:r>
      <w:r w:rsidRPr="00D21D47">
        <w:rPr>
          <w:i/>
          <w:iCs/>
        </w:rPr>
        <w:t>Cadbury Marketing Strategy in India</w:t>
      </w:r>
      <w:r w:rsidRPr="00D21D47">
        <w:t xml:space="preserve">, </w:t>
      </w:r>
      <w:r w:rsidRPr="00D21D47">
        <w:rPr>
          <w:i/>
          <w:iCs/>
        </w:rPr>
        <w:t>Rahulmalodia.com</w:t>
      </w:r>
      <w:r w:rsidRPr="00D21D47">
        <w:t xml:space="preserve">. Available at: </w:t>
      </w:r>
      <w:hyperlink r:id="rId36" w:history="1">
        <w:r w:rsidRPr="00D21D47">
          <w:rPr>
            <w:rStyle w:val="Hyperlink"/>
          </w:rPr>
          <w:t>https://rahulmalodia.com/blog/cadbury-marketing-strategy-in-india</w:t>
        </w:r>
      </w:hyperlink>
      <w:r w:rsidRPr="00D21D47">
        <w:t xml:space="preserve"> (Accessed: July 25, 2026).</w:t>
      </w:r>
    </w:p>
    <w:p w14:paraId="1D6A772C" w14:textId="77777777" w:rsidR="003D69A7" w:rsidRPr="00D21D47" w:rsidRDefault="003D69A7" w:rsidP="00C37E3B">
      <w:r w:rsidRPr="00D21D47">
        <w:t xml:space="preserve">Malviya, S. (2023) “Cadbury maker mondelez to invest rs 4000 crore in India By 2026,” </w:t>
      </w:r>
      <w:r w:rsidRPr="00D21D47">
        <w:rPr>
          <w:i/>
          <w:iCs/>
        </w:rPr>
        <w:t>The Economic Times</w:t>
      </w:r>
      <w:r w:rsidRPr="00D21D47">
        <w:t xml:space="preserve">, 22 March. Available at: </w:t>
      </w:r>
      <w:hyperlink r:id="rId37" w:history="1">
        <w:r w:rsidRPr="00D21D47">
          <w:rPr>
            <w:rStyle w:val="Hyperlink"/>
          </w:rPr>
          <w:t>https://economictimes.indiatimes.com/industry/cons-products/fmcg/cadbury-maker-mondelez-to-invest-rs-4000-crore-in-india-by-2026/articleshow/98867581</w:t>
        </w:r>
      </w:hyperlink>
      <w:r w:rsidRPr="00D21D47">
        <w:t>. (Accessed: July 26, 2026).</w:t>
      </w:r>
    </w:p>
    <w:p w14:paraId="186A8A95" w14:textId="77777777" w:rsidR="003D69A7" w:rsidRPr="00D21D47" w:rsidRDefault="003D69A7" w:rsidP="00C37E3B">
      <w:r w:rsidRPr="00D21D47">
        <w:t xml:space="preserve">Malviya, S. (2026) </w:t>
      </w:r>
      <w:r w:rsidRPr="00D21D47">
        <w:rPr>
          <w:i/>
          <w:iCs/>
        </w:rPr>
        <w:t>When chocolate turns costly, India picks candy: Local players dent giants like Mars, Mondelez &amp; Hershey AM</w:t>
      </w:r>
      <w:r w:rsidRPr="00D21D47">
        <w:t xml:space="preserve">, </w:t>
      </w:r>
      <w:r w:rsidRPr="00D21D47">
        <w:rPr>
          <w:i/>
          <w:iCs/>
        </w:rPr>
        <w:t>The Economic Times</w:t>
      </w:r>
      <w:r w:rsidRPr="00D21D47">
        <w:t xml:space="preserve">. Economic Times. Available at: </w:t>
      </w:r>
      <w:hyperlink r:id="rId38" w:history="1">
        <w:r w:rsidRPr="00D21D47">
          <w:rPr>
            <w:rStyle w:val="Hyperlink"/>
          </w:rPr>
          <w:t>https://economictimes.indiatimes.com/industry/cons-products/food/when-chocolate-turns-costly-india-picks-candy-local-players-dent-global-giants-like-mars-mondelez-hershey-amid-cocoa-price-surge/articleshow/126844147</w:t>
        </w:r>
      </w:hyperlink>
      <w:r w:rsidRPr="00D21D47">
        <w:t>. (Accessed: July 26, 2026).</w:t>
      </w:r>
    </w:p>
    <w:p w14:paraId="4A53476D" w14:textId="293ADBC3" w:rsidR="003D69A7" w:rsidRPr="00D21D47" w:rsidRDefault="003D69A7" w:rsidP="00C37E3B">
      <w:r w:rsidRPr="00D21D47">
        <w:t xml:space="preserve">Massaglia, S., Merlino, V.M., Brun, F., Sparacino, A., Blanc, S. and Borra, D. (2023) “What do chocolate consumers want? Exploring individual preferences and profiles, considering lifestyle, food habits and socio-demographic features,” </w:t>
      </w:r>
      <w:r w:rsidRPr="00D21D47">
        <w:rPr>
          <w:i/>
          <w:iCs/>
        </w:rPr>
        <w:t>International Journal of Gastronomy and Food Science</w:t>
      </w:r>
      <w:r w:rsidRPr="00D21D47">
        <w:t xml:space="preserve">, 32, p. 100746. Available at: </w:t>
      </w:r>
      <w:hyperlink r:id="rId39" w:history="1">
        <w:r w:rsidR="003C109B" w:rsidRPr="00D21D47">
          <w:rPr>
            <w:rStyle w:val="Hyperlink"/>
          </w:rPr>
          <w:t>https://iris.unito.it/bitstream/2318/1921610/1/Manuscript_BWS_chocolate%20pre-print.pdf</w:t>
        </w:r>
      </w:hyperlink>
      <w:r w:rsidR="003C109B" w:rsidRPr="00D21D47">
        <w:t xml:space="preserve"> </w:t>
      </w:r>
    </w:p>
    <w:p w14:paraId="77E7FD81" w14:textId="77777777" w:rsidR="003D69A7" w:rsidRPr="00D21D47" w:rsidRDefault="003D69A7" w:rsidP="00C37E3B">
      <w:r w:rsidRPr="00D21D47">
        <w:t xml:space="preserve">Mintel (2025) </w:t>
      </w:r>
      <w:r w:rsidRPr="00D21D47">
        <w:rPr>
          <w:i/>
          <w:iCs/>
        </w:rPr>
        <w:t>UK chocolate confectionery market report 2025 | mintel.Com</w:t>
      </w:r>
      <w:r w:rsidRPr="00D21D47">
        <w:t xml:space="preserve">, </w:t>
      </w:r>
      <w:r w:rsidRPr="00D21D47">
        <w:rPr>
          <w:i/>
          <w:iCs/>
        </w:rPr>
        <w:t>Mintel Store</w:t>
      </w:r>
      <w:r w:rsidRPr="00D21D47">
        <w:t xml:space="preserve">. Available at: </w:t>
      </w:r>
      <w:hyperlink r:id="rId40" w:history="1">
        <w:r w:rsidRPr="00D21D47">
          <w:rPr>
            <w:rStyle w:val="Hyperlink"/>
          </w:rPr>
          <w:t>https://store.mintel.com/report/uk-chocolate-confectionery-market-report</w:t>
        </w:r>
      </w:hyperlink>
      <w:r w:rsidRPr="00D21D47">
        <w:t xml:space="preserve"> (Accessed: July 26, 2026).</w:t>
      </w:r>
    </w:p>
    <w:p w14:paraId="19F5470F" w14:textId="77777777" w:rsidR="003D69A7" w:rsidRPr="00D21D47" w:rsidRDefault="003D69A7" w:rsidP="00C37E3B">
      <w:r w:rsidRPr="00D21D47">
        <w:t xml:space="preserve">Mondelez International (2026) </w:t>
      </w:r>
      <w:r w:rsidRPr="00D21D47">
        <w:rPr>
          <w:i/>
          <w:iCs/>
        </w:rPr>
        <w:t>60 years of India Cocoa Program</w:t>
      </w:r>
      <w:r w:rsidRPr="00D21D47">
        <w:t xml:space="preserve">, </w:t>
      </w:r>
      <w:r w:rsidRPr="00D21D47">
        <w:rPr>
          <w:i/>
          <w:iCs/>
        </w:rPr>
        <w:t>Mondelezinternational.com</w:t>
      </w:r>
      <w:r w:rsidRPr="00D21D47">
        <w:t xml:space="preserve">. Available at: </w:t>
      </w:r>
      <w:hyperlink r:id="rId41" w:history="1">
        <w:r w:rsidRPr="00D21D47">
          <w:rPr>
            <w:rStyle w:val="Hyperlink"/>
          </w:rPr>
          <w:t>https://www.mondelezinternational.com/india/india-business/cocoa-life/</w:t>
        </w:r>
      </w:hyperlink>
      <w:r w:rsidRPr="00D21D47">
        <w:t xml:space="preserve"> (Accessed: August 2, 2026).</w:t>
      </w:r>
    </w:p>
    <w:p w14:paraId="71B3D467" w14:textId="77777777" w:rsidR="003D69A7" w:rsidRPr="00D21D47" w:rsidRDefault="003D69A7" w:rsidP="00C37E3B">
      <w:r w:rsidRPr="00D21D47">
        <w:t xml:space="preserve">Mordor Intelligence (2026) </w:t>
      </w:r>
      <w:r w:rsidRPr="00D21D47">
        <w:rPr>
          <w:i/>
          <w:iCs/>
        </w:rPr>
        <w:t>Mordor intelligence</w:t>
      </w:r>
      <w:r w:rsidRPr="00D21D47">
        <w:t xml:space="preserve">, </w:t>
      </w:r>
      <w:r w:rsidRPr="00D21D47">
        <w:rPr>
          <w:i/>
          <w:iCs/>
        </w:rPr>
        <w:t>Mordorintelligence.com</w:t>
      </w:r>
      <w:r w:rsidRPr="00D21D47">
        <w:t xml:space="preserve">. Available at: </w:t>
      </w:r>
      <w:hyperlink r:id="rId42" w:history="1">
        <w:r w:rsidRPr="00D21D47">
          <w:rPr>
            <w:rStyle w:val="Hyperlink"/>
          </w:rPr>
          <w:t>https://www.mordorintelligence.com/industry-reports/india-chocolate-market</w:t>
        </w:r>
      </w:hyperlink>
      <w:r w:rsidRPr="00D21D47">
        <w:t xml:space="preserve"> (Accessed: July 27, 2026).</w:t>
      </w:r>
    </w:p>
    <w:p w14:paraId="1AE857F9" w14:textId="2CACC1F2" w:rsidR="003D69A7" w:rsidRPr="00D21D47" w:rsidRDefault="003D69A7" w:rsidP="00C37E3B">
      <w:r w:rsidRPr="00D21D47">
        <w:lastRenderedPageBreak/>
        <w:t xml:space="preserve">Mulgund, S. (2022) “Importance of Distributive Justice, Procedural Justice and Fairness in Workplace,” </w:t>
      </w:r>
      <w:r w:rsidRPr="00D21D47">
        <w:rPr>
          <w:i/>
          <w:iCs/>
        </w:rPr>
        <w:t>International Journal of Management and Humanities</w:t>
      </w:r>
      <w:r w:rsidRPr="00D21D47">
        <w:t xml:space="preserve">, 8(6), pp. 1–6. Available at: </w:t>
      </w:r>
      <w:hyperlink r:id="rId43" w:history="1">
        <w:r w:rsidR="003C109B" w:rsidRPr="00D21D47">
          <w:rPr>
            <w:rStyle w:val="Hyperlink"/>
          </w:rPr>
          <w:t>https://www.ijmh.org/wp-content/uploads/papers/v8i6/F1419018622.pdf</w:t>
        </w:r>
      </w:hyperlink>
      <w:r w:rsidR="003C109B" w:rsidRPr="00D21D47">
        <w:t xml:space="preserve"> </w:t>
      </w:r>
    </w:p>
    <w:p w14:paraId="5E83BC4E" w14:textId="77777777" w:rsidR="003D69A7" w:rsidRPr="00D21D47" w:rsidRDefault="003D69A7" w:rsidP="00C37E3B">
      <w:r w:rsidRPr="00D21D47">
        <w:t xml:space="preserve">Naadi, T. (2026) “Cocoa farmers in Ghana and Ivory Coast face bitter times as chocolate market slumps,” </w:t>
      </w:r>
      <w:r w:rsidRPr="00D21D47">
        <w:rPr>
          <w:i/>
          <w:iCs/>
        </w:rPr>
        <w:t>BBC</w:t>
      </w:r>
      <w:r w:rsidRPr="00D21D47">
        <w:t xml:space="preserve">, 9 March. Available at: </w:t>
      </w:r>
      <w:hyperlink r:id="rId44" w:history="1">
        <w:r w:rsidRPr="00D21D47">
          <w:rPr>
            <w:rStyle w:val="Hyperlink"/>
          </w:rPr>
          <w:t>https://www.bbc.com/news/articles/c93jdk1yy3zo</w:t>
        </w:r>
      </w:hyperlink>
      <w:r w:rsidRPr="00D21D47">
        <w:t xml:space="preserve"> (Accessed: April 27, 2026).</w:t>
      </w:r>
    </w:p>
    <w:p w14:paraId="7EDBD5CC" w14:textId="08D060B8" w:rsidR="003D69A7" w:rsidRPr="00D21D47" w:rsidRDefault="003D69A7" w:rsidP="00C37E3B">
      <w:r w:rsidRPr="00D21D47">
        <w:t xml:space="preserve">Nguyen, L. (2025) </w:t>
      </w:r>
      <w:r w:rsidRPr="00D21D47">
        <w:rPr>
          <w:i/>
          <w:iCs/>
        </w:rPr>
        <w:t>The role of personalised marketing communication on brand experience in omnichannel marketing</w:t>
      </w:r>
      <w:r w:rsidRPr="00D21D47">
        <w:t xml:space="preserve">, </w:t>
      </w:r>
      <w:r w:rsidRPr="00D21D47">
        <w:rPr>
          <w:i/>
          <w:iCs/>
        </w:rPr>
        <w:t>Aalto.fi</w:t>
      </w:r>
      <w:r w:rsidRPr="00D21D47">
        <w:t xml:space="preserve">. Available at: </w:t>
      </w:r>
      <w:hyperlink r:id="rId45" w:history="1">
        <w:r w:rsidR="00981079" w:rsidRPr="00D21D47">
          <w:rPr>
            <w:rStyle w:val="Hyperlink"/>
          </w:rPr>
          <w:t>https://aaltodoc.aalto.fi/bitstreams/3cdf640a-345d-4d3f-8c4f-50546635dbcc/download</w:t>
        </w:r>
      </w:hyperlink>
      <w:r w:rsidR="00981079" w:rsidRPr="00D21D47">
        <w:t xml:space="preserve"> </w:t>
      </w:r>
    </w:p>
    <w:p w14:paraId="52A5EEAA" w14:textId="77777777" w:rsidR="003D69A7" w:rsidRPr="00D21D47" w:rsidRDefault="003D69A7" w:rsidP="00C37E3B">
      <w:r w:rsidRPr="00D21D47">
        <w:t xml:space="preserve">Obeng Adomaa, F., Vellema, S. and Slingerland, M. (2022) “Justice and inclusiveness: The reconfiguration of global–local relationships in sustainability initiatives in Ghana’s cocoa sector,” </w:t>
      </w:r>
      <w:r w:rsidRPr="00D21D47">
        <w:rPr>
          <w:i/>
          <w:iCs/>
        </w:rPr>
        <w:t>Journal of Agricultural and Environmental Ethics</w:t>
      </w:r>
      <w:r w:rsidRPr="00D21D47">
        <w:t xml:space="preserve">, 35(4). Available at: </w:t>
      </w:r>
      <w:hyperlink r:id="rId46" w:history="1">
        <w:r w:rsidRPr="00D21D47">
          <w:rPr>
            <w:rStyle w:val="Hyperlink"/>
          </w:rPr>
          <w:t>https://doi.org/10.1007/s10806-022-09895-2</w:t>
        </w:r>
      </w:hyperlink>
      <w:r w:rsidRPr="00D21D47">
        <w:t xml:space="preserve">. </w:t>
      </w:r>
    </w:p>
    <w:p w14:paraId="42C1DDD4" w14:textId="59B38516" w:rsidR="003D69A7" w:rsidRPr="00D21D47" w:rsidRDefault="003D69A7" w:rsidP="00C37E3B">
      <w:r w:rsidRPr="00D21D47">
        <w:t xml:space="preserve">Piotrowska, M.Z. and Piotrowski, J. (2023) “Hofstede’s cultural dimensions theory,” </w:t>
      </w:r>
      <w:r w:rsidRPr="00D21D47">
        <w:rPr>
          <w:i/>
          <w:iCs/>
        </w:rPr>
        <w:t>Encyclopedia of Sexual Psychology and Behavior</w:t>
      </w:r>
      <w:r w:rsidRPr="00D21D47">
        <w:t xml:space="preserve">, 1(1), pp. 1–4. Available at: </w:t>
      </w:r>
      <w:hyperlink r:id="rId47" w:history="1">
        <w:r w:rsidR="00981079" w:rsidRPr="00D21D47">
          <w:rPr>
            <w:rStyle w:val="Hyperlink"/>
          </w:rPr>
          <w:t>https://link.springer.com/content/pdf/10.1007/s10806-022-09895-2.pdf</w:t>
        </w:r>
      </w:hyperlink>
      <w:r w:rsidR="00981079" w:rsidRPr="00D21D47">
        <w:t xml:space="preserve"> </w:t>
      </w:r>
    </w:p>
    <w:p w14:paraId="2267E157" w14:textId="77777777" w:rsidR="003D69A7" w:rsidRPr="00D21D47" w:rsidRDefault="003D69A7" w:rsidP="00C37E3B">
      <w:r w:rsidRPr="00D21D47">
        <w:t xml:space="preserve">Pisharady, S. (2020) </w:t>
      </w:r>
      <w:r w:rsidRPr="00D21D47">
        <w:rPr>
          <w:i/>
          <w:iCs/>
        </w:rPr>
        <w:t>1948 To today: The sweet story of Mondelez India - sruthy pisharady - medium</w:t>
      </w:r>
      <w:r w:rsidRPr="00D21D47">
        <w:t xml:space="preserve">, </w:t>
      </w:r>
      <w:r w:rsidRPr="00D21D47">
        <w:rPr>
          <w:i/>
          <w:iCs/>
        </w:rPr>
        <w:t>Medium</w:t>
      </w:r>
      <w:r w:rsidRPr="00D21D47">
        <w:t xml:space="preserve">. Available at: </w:t>
      </w:r>
      <w:hyperlink r:id="rId48" w:history="1">
        <w:r w:rsidRPr="00D21D47">
          <w:rPr>
            <w:rStyle w:val="Hyperlink"/>
          </w:rPr>
          <w:t>https://medium.com/@sruthypisharady/1948-to-today-the-sweet-story-of-mondelez-india-480319a1498c</w:t>
        </w:r>
      </w:hyperlink>
      <w:r w:rsidRPr="00D21D47">
        <w:t xml:space="preserve"> (Accessed: August 2, 2026).</w:t>
      </w:r>
    </w:p>
    <w:p w14:paraId="063C797C" w14:textId="77777777" w:rsidR="003D69A7" w:rsidRPr="00D21D47" w:rsidRDefault="003D69A7" w:rsidP="00C37E3B">
      <w:r w:rsidRPr="00D21D47">
        <w:t xml:space="preserve">Pratap, H. (2026) </w:t>
      </w:r>
      <w:r w:rsidRPr="00D21D47">
        <w:rPr>
          <w:i/>
          <w:iCs/>
        </w:rPr>
        <w:t>FSSAI packaging &amp; labelling regulations in India</w:t>
      </w:r>
      <w:r w:rsidRPr="00D21D47">
        <w:t xml:space="preserve">, </w:t>
      </w:r>
      <w:r w:rsidRPr="00D21D47">
        <w:rPr>
          <w:i/>
          <w:iCs/>
        </w:rPr>
        <w:t>Foodsure</w:t>
      </w:r>
      <w:r w:rsidRPr="00D21D47">
        <w:t xml:space="preserve">. Available at: </w:t>
      </w:r>
      <w:hyperlink r:id="rId49" w:history="1">
        <w:r w:rsidRPr="00D21D47">
          <w:rPr>
            <w:rStyle w:val="Hyperlink"/>
          </w:rPr>
          <w:t>https://foodsure.co.in/blog/fssai-packaging-and-labelling/</w:t>
        </w:r>
      </w:hyperlink>
      <w:r w:rsidRPr="00D21D47">
        <w:t xml:space="preserve"> (Accessed: July 27, 2026).</w:t>
      </w:r>
    </w:p>
    <w:p w14:paraId="590D4A56" w14:textId="7B34F828" w:rsidR="003D69A7" w:rsidRPr="00D21D47" w:rsidRDefault="003D69A7" w:rsidP="00C37E3B">
      <w:r w:rsidRPr="00D21D47">
        <w:t xml:space="preserve">Ragab, A., Kaid, A. and Sayed, A.K. (2024) “Enhancing higher order thinking skills (HOTS) in education: Strategies and outcomes,” </w:t>
      </w:r>
      <w:r w:rsidRPr="00D21D47">
        <w:rPr>
          <w:i/>
          <w:iCs/>
        </w:rPr>
        <w:t>TOFEDU The Future of Education Journal</w:t>
      </w:r>
      <w:r w:rsidRPr="00D21D47">
        <w:t xml:space="preserve">, 3(Vol. 3 No. 5 (2024): December), pp. 1488–1499. Available at: </w:t>
      </w:r>
      <w:hyperlink r:id="rId50" w:history="1">
        <w:r w:rsidR="00CA0322" w:rsidRPr="00D21D47">
          <w:rPr>
            <w:rStyle w:val="Hyperlink"/>
          </w:rPr>
          <w:t>http://journal.tofedu.or.id/index.php/journal/article/download/267/252</w:t>
        </w:r>
      </w:hyperlink>
      <w:r w:rsidR="00CA0322" w:rsidRPr="00D21D47">
        <w:t xml:space="preserve"> </w:t>
      </w:r>
    </w:p>
    <w:p w14:paraId="6DE9993C" w14:textId="6D5575FD" w:rsidR="003D69A7" w:rsidRPr="00D21D47" w:rsidRDefault="003D69A7" w:rsidP="00C37E3B">
      <w:r w:rsidRPr="00D21D47">
        <w:t xml:space="preserve">Rajak, N. (2026) “A critical overview of moral absolutism and moral relativism: A meta-ethical approach,” </w:t>
      </w:r>
      <w:r w:rsidRPr="00D21D47">
        <w:rPr>
          <w:i/>
          <w:iCs/>
        </w:rPr>
        <w:t>NBPA Journal for Arts, Humanities &amp;amp; Social Sciences</w:t>
      </w:r>
      <w:r w:rsidRPr="00D21D47">
        <w:t xml:space="preserve">, 2(1), pp. 38–49. Available at: </w:t>
      </w:r>
      <w:hyperlink r:id="rId51" w:history="1">
        <w:r w:rsidR="00CA0322" w:rsidRPr="00D21D47">
          <w:rPr>
            <w:rStyle w:val="Hyperlink"/>
          </w:rPr>
          <w:t>https://www.nbpajournal.com/nbpajahs/article/download/39/32</w:t>
        </w:r>
      </w:hyperlink>
      <w:r w:rsidR="00CA0322" w:rsidRPr="00D21D47">
        <w:t xml:space="preserve"> </w:t>
      </w:r>
    </w:p>
    <w:p w14:paraId="35A88464" w14:textId="77777777" w:rsidR="003D69A7" w:rsidRPr="00D21D47" w:rsidRDefault="003D69A7" w:rsidP="00C37E3B">
      <w:r w:rsidRPr="00D21D47">
        <w:lastRenderedPageBreak/>
        <w:t xml:space="preserve">Research and Markets (2025) </w:t>
      </w:r>
      <w:r w:rsidRPr="00D21D47">
        <w:rPr>
          <w:i/>
          <w:iCs/>
        </w:rPr>
        <w:t>UK confectionery market size, competitors, trends &amp; forecast</w:t>
      </w:r>
      <w:r w:rsidRPr="00D21D47">
        <w:t xml:space="preserve">, </w:t>
      </w:r>
      <w:r w:rsidRPr="00D21D47">
        <w:rPr>
          <w:i/>
          <w:iCs/>
        </w:rPr>
        <w:t>Researchandmarkets.com</w:t>
      </w:r>
      <w:r w:rsidRPr="00D21D47">
        <w:t xml:space="preserve">. Available at: </w:t>
      </w:r>
      <w:hyperlink r:id="rId52" w:history="1">
        <w:r w:rsidRPr="00D21D47">
          <w:rPr>
            <w:rStyle w:val="Hyperlink"/>
          </w:rPr>
          <w:t>https://www.researchandmarkets.com/report/united-kingdom-confectionery-market</w:t>
        </w:r>
      </w:hyperlink>
      <w:r w:rsidRPr="00D21D47">
        <w:t xml:space="preserve"> (Accessed: July 26, 2026).</w:t>
      </w:r>
    </w:p>
    <w:p w14:paraId="1CEBB1E5" w14:textId="77777777" w:rsidR="003D69A7" w:rsidRPr="00D21D47" w:rsidRDefault="003D69A7" w:rsidP="00C37E3B">
      <w:r w:rsidRPr="00D21D47">
        <w:t xml:space="preserve">Sara (2021) </w:t>
      </w:r>
      <w:r w:rsidRPr="00D21D47">
        <w:rPr>
          <w:i/>
          <w:iCs/>
        </w:rPr>
        <w:t>What is segmentation? An ultimate guide on segmentation | NotifyVisitors</w:t>
      </w:r>
      <w:r w:rsidRPr="00D21D47">
        <w:t xml:space="preserve">, </w:t>
      </w:r>
      <w:r w:rsidRPr="00D21D47">
        <w:rPr>
          <w:i/>
          <w:iCs/>
        </w:rPr>
        <w:t>Nvecta.com</w:t>
      </w:r>
      <w:r w:rsidRPr="00D21D47">
        <w:t xml:space="preserve">. Available at: </w:t>
      </w:r>
      <w:hyperlink r:id="rId53" w:history="1">
        <w:r w:rsidRPr="00D21D47">
          <w:rPr>
            <w:rStyle w:val="Hyperlink"/>
          </w:rPr>
          <w:t>https://www.nvecta.com/blog/what-is-segmentation/</w:t>
        </w:r>
      </w:hyperlink>
      <w:r w:rsidRPr="00D21D47">
        <w:t xml:space="preserve"> (Accessed: July 31, 2026).</w:t>
      </w:r>
    </w:p>
    <w:p w14:paraId="19144F32" w14:textId="157C7BD0" w:rsidR="003D69A7" w:rsidRPr="00D21D47" w:rsidRDefault="003D69A7" w:rsidP="00C37E3B">
      <w:r w:rsidRPr="00D21D47">
        <w:t xml:space="preserve">Schofield, A., Duber-Smith, D. and Baker, B. (2025) “The three B’s of branding: Navigating multicultural markets,” </w:t>
      </w:r>
      <w:r w:rsidRPr="00D21D47">
        <w:rPr>
          <w:i/>
          <w:iCs/>
        </w:rPr>
        <w:t>Journal of Marketing Development and Competitiveness</w:t>
      </w:r>
      <w:r w:rsidRPr="00D21D47">
        <w:t xml:space="preserve">, 19(1). Available at: </w:t>
      </w:r>
      <w:hyperlink r:id="rId54" w:history="1">
        <w:r w:rsidR="00120B08" w:rsidRPr="00D21D47">
          <w:rPr>
            <w:rStyle w:val="Hyperlink"/>
          </w:rPr>
          <w:t>https://www.researchgate.net/profile/Biff-Baker/publication/389900717_The_Three_B's_of_Branding_Navigating_Multicultural_Markets/links/68822cc996f3c0122ef36a39/The-Three-Bs-of-Branding-Navigating-Multicultural-Markets.pdf</w:t>
        </w:r>
      </w:hyperlink>
      <w:r w:rsidR="00120B08" w:rsidRPr="00D21D47">
        <w:t xml:space="preserve"> </w:t>
      </w:r>
    </w:p>
    <w:p w14:paraId="3B2F0310" w14:textId="77777777" w:rsidR="003D69A7" w:rsidRPr="00D21D47" w:rsidRDefault="003D69A7" w:rsidP="00C37E3B">
      <w:r w:rsidRPr="00D21D47">
        <w:t xml:space="preserve">Selfstorming (2026) </w:t>
      </w:r>
      <w:r w:rsidRPr="00D21D47">
        <w:rPr>
          <w:i/>
          <w:iCs/>
        </w:rPr>
        <w:t>Cadbury: Made to share</w:t>
      </w:r>
      <w:r w:rsidRPr="00D21D47">
        <w:t xml:space="preserve">, </w:t>
      </w:r>
      <w:r w:rsidRPr="00D21D47">
        <w:rPr>
          <w:i/>
          <w:iCs/>
        </w:rPr>
        <w:t>Selfstorming</w:t>
      </w:r>
      <w:r w:rsidRPr="00D21D47">
        <w:t xml:space="preserve">. Available at: </w:t>
      </w:r>
      <w:hyperlink r:id="rId55" w:history="1">
        <w:r w:rsidRPr="00D21D47">
          <w:rPr>
            <w:rStyle w:val="Hyperlink"/>
          </w:rPr>
          <w:t>https://www.selfstorming.com/tools/libraries/campaigns/made-to-share</w:t>
        </w:r>
      </w:hyperlink>
      <w:r w:rsidRPr="00D21D47">
        <w:t xml:space="preserve"> (Accessed: July 30, 2026).</w:t>
      </w:r>
    </w:p>
    <w:p w14:paraId="159544BF" w14:textId="77777777" w:rsidR="003D69A7" w:rsidRPr="00D21D47" w:rsidRDefault="003D69A7" w:rsidP="00C37E3B">
      <w:r w:rsidRPr="00D21D47">
        <w:t xml:space="preserve">Shastri, A. (2026) </w:t>
      </w:r>
      <w:r w:rsidRPr="00D21D47">
        <w:rPr>
          <w:i/>
          <w:iCs/>
        </w:rPr>
        <w:t>Comprehensive marketing mix of Cadbury - 4Ps | IIDE</w:t>
      </w:r>
      <w:r w:rsidRPr="00D21D47">
        <w:t xml:space="preserve">, </w:t>
      </w:r>
      <w:r w:rsidRPr="00D21D47">
        <w:rPr>
          <w:i/>
          <w:iCs/>
        </w:rPr>
        <w:t>iide</w:t>
      </w:r>
      <w:r w:rsidRPr="00D21D47">
        <w:t xml:space="preserve">. Available at: </w:t>
      </w:r>
      <w:hyperlink r:id="rId56" w:history="1">
        <w:r w:rsidRPr="00D21D47">
          <w:rPr>
            <w:rStyle w:val="Hyperlink"/>
          </w:rPr>
          <w:t>https://iide.co/case-studies/marketing-mix-of-cadbury/</w:t>
        </w:r>
      </w:hyperlink>
      <w:r w:rsidRPr="00D21D47">
        <w:t xml:space="preserve"> (Accessed: August 1, 2026).</w:t>
      </w:r>
    </w:p>
    <w:p w14:paraId="1A7B1540" w14:textId="77777777" w:rsidR="003D69A7" w:rsidRPr="00D21D47" w:rsidRDefault="003D69A7" w:rsidP="00C37E3B">
      <w:r w:rsidRPr="00D21D47">
        <w:t xml:space="preserve">The Culture Factor (2026) </w:t>
      </w:r>
      <w:r w:rsidRPr="00D21D47">
        <w:rPr>
          <w:i/>
          <w:iCs/>
        </w:rPr>
        <w:t>Country comparison tool</w:t>
      </w:r>
      <w:r w:rsidRPr="00D21D47">
        <w:t xml:space="preserve">, </w:t>
      </w:r>
      <w:r w:rsidRPr="00D21D47">
        <w:rPr>
          <w:i/>
          <w:iCs/>
        </w:rPr>
        <w:t>Theculturefactor.com</w:t>
      </w:r>
      <w:r w:rsidRPr="00D21D47">
        <w:t xml:space="preserve">. Available at: </w:t>
      </w:r>
      <w:hyperlink r:id="rId57" w:history="1">
        <w:r w:rsidRPr="00D21D47">
          <w:rPr>
            <w:rStyle w:val="Hyperlink"/>
          </w:rPr>
          <w:t>https://www.theculturefactor.com/country-comparison-tool?countries=india%2Cunited+kingdom</w:t>
        </w:r>
      </w:hyperlink>
      <w:r w:rsidRPr="00D21D47">
        <w:t xml:space="preserve"> (Accessed: July 28, 2026).</w:t>
      </w:r>
    </w:p>
    <w:p w14:paraId="7EEB051F" w14:textId="77777777" w:rsidR="003D69A7" w:rsidRPr="00D21D47" w:rsidRDefault="003D69A7" w:rsidP="00C37E3B">
      <w:r w:rsidRPr="00D21D47">
        <w:t xml:space="preserve">Tring (2026) </w:t>
      </w:r>
      <w:r w:rsidRPr="00D21D47">
        <w:rPr>
          <w:i/>
          <w:iCs/>
        </w:rPr>
        <w:t>How Cadbury’s celebrity endorsements shaped its success in India</w:t>
      </w:r>
      <w:r w:rsidRPr="00D21D47">
        <w:t xml:space="preserve">, </w:t>
      </w:r>
      <w:r w:rsidRPr="00D21D47">
        <w:rPr>
          <w:i/>
          <w:iCs/>
        </w:rPr>
        <w:t>Tring</w:t>
      </w:r>
      <w:r w:rsidRPr="00D21D47">
        <w:t xml:space="preserve">. Available at: </w:t>
      </w:r>
      <w:hyperlink r:id="rId58" w:history="1">
        <w:r w:rsidRPr="00D21D47">
          <w:rPr>
            <w:rStyle w:val="Hyperlink"/>
          </w:rPr>
          <w:t>https://www.tring.co.in/celebrity-endorsements/cadbury-celebrity-endorsement</w:t>
        </w:r>
      </w:hyperlink>
      <w:r w:rsidRPr="00D21D47">
        <w:t xml:space="preserve"> (Accessed: July 28, 2026).</w:t>
      </w:r>
    </w:p>
    <w:p w14:paraId="19308467" w14:textId="77777777" w:rsidR="003D69A7" w:rsidRPr="00D21D47" w:rsidRDefault="003D69A7" w:rsidP="00C37E3B">
      <w:r w:rsidRPr="00D21D47">
        <w:t xml:space="preserve">UK Government (2025) </w:t>
      </w:r>
      <w:r w:rsidRPr="00D21D47">
        <w:rPr>
          <w:i/>
          <w:iCs/>
        </w:rPr>
        <w:t>New chapter in UK-India relations as trade deal signed</w:t>
      </w:r>
      <w:r w:rsidRPr="00D21D47">
        <w:t xml:space="preserve">, </w:t>
      </w:r>
      <w:r w:rsidRPr="00D21D47">
        <w:rPr>
          <w:i/>
          <w:iCs/>
        </w:rPr>
        <w:t>Business.gov.uk</w:t>
      </w:r>
      <w:r w:rsidRPr="00D21D47">
        <w:t xml:space="preserve">. Available at: </w:t>
      </w:r>
      <w:hyperlink r:id="rId59" w:history="1">
        <w:r w:rsidRPr="00D21D47">
          <w:rPr>
            <w:rStyle w:val="Hyperlink"/>
          </w:rPr>
          <w:t>https://www.business.gov.uk/campaign/alive-with-opportunity/the-uk-india-trade-deal/</w:t>
        </w:r>
      </w:hyperlink>
      <w:r w:rsidRPr="00D21D47">
        <w:t xml:space="preserve"> (Accessed: July 26, 2026).</w:t>
      </w:r>
    </w:p>
    <w:p w14:paraId="75542CEB" w14:textId="77777777" w:rsidR="003D69A7" w:rsidRPr="00D21D47" w:rsidRDefault="003D69A7" w:rsidP="00C37E3B">
      <w:r w:rsidRPr="00D21D47">
        <w:t xml:space="preserve">VCCP (2026) </w:t>
      </w:r>
      <w:r w:rsidRPr="00D21D47">
        <w:rPr>
          <w:i/>
          <w:iCs/>
        </w:rPr>
        <w:t>Cadbury “made to share” returns with real scenes of generosity | LBBOnline</w:t>
      </w:r>
      <w:r w:rsidRPr="00D21D47">
        <w:t xml:space="preserve">, </w:t>
      </w:r>
      <w:r w:rsidRPr="00D21D47">
        <w:rPr>
          <w:i/>
          <w:iCs/>
        </w:rPr>
        <w:t>LBBOnline</w:t>
      </w:r>
      <w:r w:rsidRPr="00D21D47">
        <w:t xml:space="preserve">. Little Black Book. Available at: </w:t>
      </w:r>
      <w:hyperlink r:id="rId60" w:history="1">
        <w:r w:rsidRPr="00D21D47">
          <w:rPr>
            <w:rStyle w:val="Hyperlink"/>
          </w:rPr>
          <w:t>https://lbbonline.com/news/Cadbury-Made-to-Share-VCCP-Return</w:t>
        </w:r>
      </w:hyperlink>
      <w:r w:rsidRPr="00D21D47">
        <w:t xml:space="preserve"> (Accessed: July 28, 2026).</w:t>
      </w:r>
    </w:p>
    <w:p w14:paraId="394C3AD8" w14:textId="77777777" w:rsidR="003D69A7" w:rsidRPr="00D21D47" w:rsidRDefault="003D69A7" w:rsidP="00C37E3B">
      <w:r w:rsidRPr="00D21D47">
        <w:lastRenderedPageBreak/>
        <w:t xml:space="preserve">WARC (2022) </w:t>
      </w:r>
      <w:r w:rsidRPr="00D21D47">
        <w:rPr>
          <w:i/>
          <w:iCs/>
        </w:rPr>
        <w:t>Cadbury celebrations: Not just a Cadbury AD 2.0 | WARC</w:t>
      </w:r>
      <w:r w:rsidRPr="00D21D47">
        <w:t xml:space="preserve">, </w:t>
      </w:r>
      <w:r w:rsidRPr="00D21D47">
        <w:rPr>
          <w:i/>
          <w:iCs/>
        </w:rPr>
        <w:t>Warc.com</w:t>
      </w:r>
      <w:r w:rsidRPr="00D21D47">
        <w:t xml:space="preserve">. Available at: </w:t>
      </w:r>
      <w:hyperlink r:id="rId61" w:history="1">
        <w:r w:rsidRPr="00D21D47">
          <w:rPr>
            <w:rStyle w:val="Hyperlink"/>
          </w:rPr>
          <w:t>https://www.warc.com/en/article/cadbury-celebrations%3A-not-just-a-cadbury-ad-2.0-dfcf28af77ad42769afa78e3b8269189</w:t>
        </w:r>
      </w:hyperlink>
      <w:r w:rsidRPr="00D21D47">
        <w:t xml:space="preserve"> (Accessed: July 28, 2026).</w:t>
      </w:r>
    </w:p>
    <w:p w14:paraId="7D338134" w14:textId="511C1213" w:rsidR="009F6F90" w:rsidRPr="00D21D47" w:rsidRDefault="003D69A7" w:rsidP="00C66694">
      <w:r w:rsidRPr="00D21D47">
        <w:t xml:space="preserve">Yadav, D.K. and Bhatia, D. (2022) “Effect of reflective practices on student learning in higher education—A real life approach,” </w:t>
      </w:r>
      <w:r w:rsidRPr="00D21D47">
        <w:rPr>
          <w:i/>
          <w:iCs/>
        </w:rPr>
        <w:t>International Journal of Educational Reform</w:t>
      </w:r>
      <w:r w:rsidRPr="00D21D47">
        <w:t xml:space="preserve">, 33(3), p. 105678792210942. Available at: </w:t>
      </w:r>
      <w:hyperlink r:id="rId62" w:history="1">
        <w:r w:rsidR="00340B8F" w:rsidRPr="00D21D47">
          <w:rPr>
            <w:rStyle w:val="Hyperlink"/>
          </w:rPr>
          <w:t>https://journals.sagepub.com/doi/pdf/10.1177/10567879221094298</w:t>
        </w:r>
      </w:hyperlink>
      <w:r w:rsidR="00340B8F" w:rsidRPr="00D21D47">
        <w:t xml:space="preserve"> </w:t>
      </w:r>
    </w:p>
    <w:p w14:paraId="476F941A" w14:textId="77777777" w:rsidR="005D7D71" w:rsidRPr="00D21D47" w:rsidRDefault="005D7D71" w:rsidP="005D7D71"/>
    <w:p w14:paraId="4DF534ED" w14:textId="77777777" w:rsidR="00523382" w:rsidRPr="00D21D47" w:rsidRDefault="00523382" w:rsidP="005D7D71"/>
    <w:p w14:paraId="0F0FCC8E" w14:textId="59E4C5B5" w:rsidR="00523382" w:rsidRPr="005D7D71" w:rsidRDefault="00523382" w:rsidP="00D21D47">
      <w:pPr>
        <w:spacing w:line="278" w:lineRule="auto"/>
        <w:jc w:val="left"/>
      </w:pPr>
    </w:p>
    <w:sectPr w:rsidR="00523382" w:rsidRPr="005D7D71" w:rsidSect="00AD09B3">
      <w:footerReference w:type="default" r:id="rId6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798F0" w14:textId="77777777" w:rsidR="00EF6064" w:rsidRDefault="00EF6064" w:rsidP="00920AA0">
      <w:pPr>
        <w:spacing w:after="0" w:line="240" w:lineRule="auto"/>
      </w:pPr>
      <w:r>
        <w:separator/>
      </w:r>
    </w:p>
  </w:endnote>
  <w:endnote w:type="continuationSeparator" w:id="0">
    <w:p w14:paraId="47BE0E69" w14:textId="77777777" w:rsidR="00EF6064" w:rsidRDefault="00EF6064" w:rsidP="00920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750213"/>
      <w:docPartObj>
        <w:docPartGallery w:val="Page Numbers (Bottom of Page)"/>
        <w:docPartUnique/>
      </w:docPartObj>
    </w:sdtPr>
    <w:sdtEndPr>
      <w:rPr>
        <w:color w:val="7F7F7F" w:themeColor="background1" w:themeShade="7F"/>
        <w:spacing w:val="60"/>
      </w:rPr>
    </w:sdtEndPr>
    <w:sdtContent>
      <w:p w14:paraId="38B18AC5" w14:textId="4F07CE48" w:rsidR="00920AA0" w:rsidRDefault="00920AA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1E2BF07" w14:textId="77777777" w:rsidR="00920AA0" w:rsidRDefault="00920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A0B8C" w14:textId="77777777" w:rsidR="00EF6064" w:rsidRDefault="00EF6064" w:rsidP="00920AA0">
      <w:pPr>
        <w:spacing w:after="0" w:line="240" w:lineRule="auto"/>
      </w:pPr>
      <w:r>
        <w:separator/>
      </w:r>
    </w:p>
  </w:footnote>
  <w:footnote w:type="continuationSeparator" w:id="0">
    <w:p w14:paraId="0CC389E4" w14:textId="77777777" w:rsidR="00EF6064" w:rsidRDefault="00EF6064" w:rsidP="00920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645A8"/>
    <w:multiLevelType w:val="multilevel"/>
    <w:tmpl w:val="7D4415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4521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04"/>
    <w:rsid w:val="000061DD"/>
    <w:rsid w:val="0003419B"/>
    <w:rsid w:val="000356B0"/>
    <w:rsid w:val="00040BEF"/>
    <w:rsid w:val="000427CE"/>
    <w:rsid w:val="00053FE6"/>
    <w:rsid w:val="000C2367"/>
    <w:rsid w:val="000E06CF"/>
    <w:rsid w:val="000E1E1B"/>
    <w:rsid w:val="00120B08"/>
    <w:rsid w:val="00120D31"/>
    <w:rsid w:val="00122106"/>
    <w:rsid w:val="00133606"/>
    <w:rsid w:val="00140DB1"/>
    <w:rsid w:val="001510D3"/>
    <w:rsid w:val="00177606"/>
    <w:rsid w:val="00181664"/>
    <w:rsid w:val="001A2639"/>
    <w:rsid w:val="001A5A95"/>
    <w:rsid w:val="001C0C96"/>
    <w:rsid w:val="001C4295"/>
    <w:rsid w:val="001D3EB2"/>
    <w:rsid w:val="001E22BB"/>
    <w:rsid w:val="0020035C"/>
    <w:rsid w:val="0020293E"/>
    <w:rsid w:val="00205931"/>
    <w:rsid w:val="002124E9"/>
    <w:rsid w:val="00221500"/>
    <w:rsid w:val="002445B4"/>
    <w:rsid w:val="00246AFA"/>
    <w:rsid w:val="00276E3D"/>
    <w:rsid w:val="002832D0"/>
    <w:rsid w:val="00286E20"/>
    <w:rsid w:val="00291286"/>
    <w:rsid w:val="002930FB"/>
    <w:rsid w:val="00293163"/>
    <w:rsid w:val="002A3E8A"/>
    <w:rsid w:val="002B0252"/>
    <w:rsid w:val="002C411B"/>
    <w:rsid w:val="002D4A3E"/>
    <w:rsid w:val="002D5D17"/>
    <w:rsid w:val="0030254A"/>
    <w:rsid w:val="00303B41"/>
    <w:rsid w:val="0030773F"/>
    <w:rsid w:val="00307E04"/>
    <w:rsid w:val="00327715"/>
    <w:rsid w:val="00340B8F"/>
    <w:rsid w:val="00385DDC"/>
    <w:rsid w:val="003A1404"/>
    <w:rsid w:val="003C109B"/>
    <w:rsid w:val="003D69A7"/>
    <w:rsid w:val="003E11C0"/>
    <w:rsid w:val="004070E8"/>
    <w:rsid w:val="00410FD3"/>
    <w:rsid w:val="0043751D"/>
    <w:rsid w:val="0044756D"/>
    <w:rsid w:val="0047582E"/>
    <w:rsid w:val="004804C3"/>
    <w:rsid w:val="0048084E"/>
    <w:rsid w:val="004838EA"/>
    <w:rsid w:val="004B3358"/>
    <w:rsid w:val="004C14E9"/>
    <w:rsid w:val="004C3CE7"/>
    <w:rsid w:val="004C6752"/>
    <w:rsid w:val="004C6A28"/>
    <w:rsid w:val="004D7DFF"/>
    <w:rsid w:val="004E59EC"/>
    <w:rsid w:val="0050047F"/>
    <w:rsid w:val="00512B55"/>
    <w:rsid w:val="00523382"/>
    <w:rsid w:val="0054151B"/>
    <w:rsid w:val="0055068C"/>
    <w:rsid w:val="005644F3"/>
    <w:rsid w:val="00582C31"/>
    <w:rsid w:val="005836CE"/>
    <w:rsid w:val="00587CF3"/>
    <w:rsid w:val="00596CFB"/>
    <w:rsid w:val="005A0096"/>
    <w:rsid w:val="005A0474"/>
    <w:rsid w:val="005B232F"/>
    <w:rsid w:val="005D7D71"/>
    <w:rsid w:val="005F0193"/>
    <w:rsid w:val="0061377A"/>
    <w:rsid w:val="00630A92"/>
    <w:rsid w:val="0063151B"/>
    <w:rsid w:val="006316E1"/>
    <w:rsid w:val="0064184D"/>
    <w:rsid w:val="0065382B"/>
    <w:rsid w:val="00661994"/>
    <w:rsid w:val="0066351E"/>
    <w:rsid w:val="00685B67"/>
    <w:rsid w:val="006B1491"/>
    <w:rsid w:val="006C4510"/>
    <w:rsid w:val="006D6404"/>
    <w:rsid w:val="006D666F"/>
    <w:rsid w:val="006E7255"/>
    <w:rsid w:val="006F2637"/>
    <w:rsid w:val="006F2C67"/>
    <w:rsid w:val="00701914"/>
    <w:rsid w:val="00714CB8"/>
    <w:rsid w:val="00730D67"/>
    <w:rsid w:val="00743FDA"/>
    <w:rsid w:val="007465C9"/>
    <w:rsid w:val="00752514"/>
    <w:rsid w:val="00754D8C"/>
    <w:rsid w:val="00765445"/>
    <w:rsid w:val="00777FE9"/>
    <w:rsid w:val="00782AA4"/>
    <w:rsid w:val="00791918"/>
    <w:rsid w:val="007B7302"/>
    <w:rsid w:val="007C0A37"/>
    <w:rsid w:val="007F1BD7"/>
    <w:rsid w:val="008017E1"/>
    <w:rsid w:val="008100DA"/>
    <w:rsid w:val="00821C8A"/>
    <w:rsid w:val="00842D1B"/>
    <w:rsid w:val="0089099B"/>
    <w:rsid w:val="0089604D"/>
    <w:rsid w:val="00897398"/>
    <w:rsid w:val="008A2365"/>
    <w:rsid w:val="008A33C1"/>
    <w:rsid w:val="008A3BFF"/>
    <w:rsid w:val="008D2553"/>
    <w:rsid w:val="008E13DC"/>
    <w:rsid w:val="008E3908"/>
    <w:rsid w:val="008E6075"/>
    <w:rsid w:val="008E7007"/>
    <w:rsid w:val="00903BA6"/>
    <w:rsid w:val="00920AA0"/>
    <w:rsid w:val="00924CA0"/>
    <w:rsid w:val="009678CC"/>
    <w:rsid w:val="00981079"/>
    <w:rsid w:val="0098735C"/>
    <w:rsid w:val="009A3EB7"/>
    <w:rsid w:val="009B5C4E"/>
    <w:rsid w:val="009E3A56"/>
    <w:rsid w:val="009F3859"/>
    <w:rsid w:val="009F6F90"/>
    <w:rsid w:val="00A35AE0"/>
    <w:rsid w:val="00A73FC6"/>
    <w:rsid w:val="00A764EE"/>
    <w:rsid w:val="00A77AA6"/>
    <w:rsid w:val="00AA3898"/>
    <w:rsid w:val="00AB6744"/>
    <w:rsid w:val="00AD09B3"/>
    <w:rsid w:val="00B10584"/>
    <w:rsid w:val="00B216E1"/>
    <w:rsid w:val="00B225AB"/>
    <w:rsid w:val="00B32E8C"/>
    <w:rsid w:val="00B47DD3"/>
    <w:rsid w:val="00B6053F"/>
    <w:rsid w:val="00B6799F"/>
    <w:rsid w:val="00B7779C"/>
    <w:rsid w:val="00BA2167"/>
    <w:rsid w:val="00BB1D8C"/>
    <w:rsid w:val="00BB7A32"/>
    <w:rsid w:val="00BC6709"/>
    <w:rsid w:val="00BD6CE2"/>
    <w:rsid w:val="00BE38BC"/>
    <w:rsid w:val="00BF2844"/>
    <w:rsid w:val="00C03AC9"/>
    <w:rsid w:val="00C16364"/>
    <w:rsid w:val="00C22437"/>
    <w:rsid w:val="00C234A8"/>
    <w:rsid w:val="00C37E3B"/>
    <w:rsid w:val="00C47E8F"/>
    <w:rsid w:val="00C612B1"/>
    <w:rsid w:val="00C61E24"/>
    <w:rsid w:val="00C6593D"/>
    <w:rsid w:val="00C66694"/>
    <w:rsid w:val="00C67808"/>
    <w:rsid w:val="00C8232C"/>
    <w:rsid w:val="00C94A96"/>
    <w:rsid w:val="00C96205"/>
    <w:rsid w:val="00C96336"/>
    <w:rsid w:val="00CA0322"/>
    <w:rsid w:val="00CB1B12"/>
    <w:rsid w:val="00CD7CFB"/>
    <w:rsid w:val="00CE20AE"/>
    <w:rsid w:val="00CE494F"/>
    <w:rsid w:val="00CF173C"/>
    <w:rsid w:val="00D01DCD"/>
    <w:rsid w:val="00D0612A"/>
    <w:rsid w:val="00D13B08"/>
    <w:rsid w:val="00D21D47"/>
    <w:rsid w:val="00D35467"/>
    <w:rsid w:val="00D3688E"/>
    <w:rsid w:val="00D60C6D"/>
    <w:rsid w:val="00D80905"/>
    <w:rsid w:val="00D84767"/>
    <w:rsid w:val="00D907A9"/>
    <w:rsid w:val="00D942F7"/>
    <w:rsid w:val="00DA25F2"/>
    <w:rsid w:val="00DA3F8D"/>
    <w:rsid w:val="00DC6F3C"/>
    <w:rsid w:val="00DC7926"/>
    <w:rsid w:val="00DD7EF7"/>
    <w:rsid w:val="00DE099B"/>
    <w:rsid w:val="00DE3689"/>
    <w:rsid w:val="00DE3866"/>
    <w:rsid w:val="00DE3A11"/>
    <w:rsid w:val="00E05F3B"/>
    <w:rsid w:val="00E1671D"/>
    <w:rsid w:val="00E539DC"/>
    <w:rsid w:val="00E76B07"/>
    <w:rsid w:val="00E8090E"/>
    <w:rsid w:val="00E9137C"/>
    <w:rsid w:val="00EB28CA"/>
    <w:rsid w:val="00EB36D3"/>
    <w:rsid w:val="00EB4671"/>
    <w:rsid w:val="00EB7770"/>
    <w:rsid w:val="00EF26EE"/>
    <w:rsid w:val="00EF6064"/>
    <w:rsid w:val="00F007CB"/>
    <w:rsid w:val="00F07130"/>
    <w:rsid w:val="00F072F7"/>
    <w:rsid w:val="00F07A44"/>
    <w:rsid w:val="00F10940"/>
    <w:rsid w:val="00F35568"/>
    <w:rsid w:val="00F36642"/>
    <w:rsid w:val="00F44300"/>
    <w:rsid w:val="00F47EAC"/>
    <w:rsid w:val="00F57FE7"/>
    <w:rsid w:val="00F6762C"/>
    <w:rsid w:val="00F86DAA"/>
    <w:rsid w:val="00F91976"/>
    <w:rsid w:val="00FC0587"/>
    <w:rsid w:val="00FC5AF5"/>
    <w:rsid w:val="00FC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AD4B4"/>
  <w15:chartTrackingRefBased/>
  <w15:docId w15:val="{A9824466-7878-49A5-9508-12D2426F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689"/>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8E6075"/>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8E6075"/>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3A140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40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A140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A140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A14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A14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A14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075"/>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8E6075"/>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3A14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4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404"/>
    <w:rPr>
      <w:rFonts w:eastAsiaTheme="majorEastAsia" w:cstheme="majorBidi"/>
      <w:color w:val="272727" w:themeColor="text1" w:themeTint="D8"/>
    </w:rPr>
  </w:style>
  <w:style w:type="paragraph" w:styleId="Title">
    <w:name w:val="Title"/>
    <w:basedOn w:val="Normal"/>
    <w:next w:val="Normal"/>
    <w:link w:val="TitleChar"/>
    <w:uiPriority w:val="10"/>
    <w:qFormat/>
    <w:rsid w:val="003A1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4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404"/>
    <w:pPr>
      <w:spacing w:before="160"/>
      <w:jc w:val="center"/>
    </w:pPr>
    <w:rPr>
      <w:i/>
      <w:iCs/>
      <w:color w:val="404040" w:themeColor="text1" w:themeTint="BF"/>
    </w:rPr>
  </w:style>
  <w:style w:type="character" w:customStyle="1" w:styleId="QuoteChar">
    <w:name w:val="Quote Char"/>
    <w:basedOn w:val="DefaultParagraphFont"/>
    <w:link w:val="Quote"/>
    <w:uiPriority w:val="29"/>
    <w:rsid w:val="003A1404"/>
    <w:rPr>
      <w:rFonts w:ascii="Times New Roman" w:hAnsi="Times New Roman"/>
      <w:i/>
      <w:iCs/>
      <w:color w:val="404040" w:themeColor="text1" w:themeTint="BF"/>
    </w:rPr>
  </w:style>
  <w:style w:type="paragraph" w:styleId="ListParagraph">
    <w:name w:val="List Paragraph"/>
    <w:basedOn w:val="Normal"/>
    <w:uiPriority w:val="34"/>
    <w:qFormat/>
    <w:rsid w:val="003A1404"/>
    <w:pPr>
      <w:ind w:left="720"/>
      <w:contextualSpacing/>
    </w:pPr>
  </w:style>
  <w:style w:type="character" w:styleId="IntenseEmphasis">
    <w:name w:val="Intense Emphasis"/>
    <w:basedOn w:val="DefaultParagraphFont"/>
    <w:uiPriority w:val="21"/>
    <w:qFormat/>
    <w:rsid w:val="003A1404"/>
    <w:rPr>
      <w:i/>
      <w:iCs/>
      <w:color w:val="0F4761" w:themeColor="accent1" w:themeShade="BF"/>
    </w:rPr>
  </w:style>
  <w:style w:type="paragraph" w:styleId="IntenseQuote">
    <w:name w:val="Intense Quote"/>
    <w:basedOn w:val="Normal"/>
    <w:next w:val="Normal"/>
    <w:link w:val="IntenseQuoteChar"/>
    <w:uiPriority w:val="30"/>
    <w:qFormat/>
    <w:rsid w:val="003A14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404"/>
    <w:rPr>
      <w:rFonts w:ascii="Times New Roman" w:hAnsi="Times New Roman"/>
      <w:i/>
      <w:iCs/>
      <w:color w:val="0F4761" w:themeColor="accent1" w:themeShade="BF"/>
    </w:rPr>
  </w:style>
  <w:style w:type="character" w:styleId="IntenseReference">
    <w:name w:val="Intense Reference"/>
    <w:basedOn w:val="DefaultParagraphFont"/>
    <w:uiPriority w:val="32"/>
    <w:qFormat/>
    <w:rsid w:val="003A1404"/>
    <w:rPr>
      <w:b/>
      <w:bCs/>
      <w:smallCaps/>
      <w:color w:val="0F4761" w:themeColor="accent1" w:themeShade="BF"/>
      <w:spacing w:val="5"/>
    </w:rPr>
  </w:style>
  <w:style w:type="paragraph" w:styleId="Header">
    <w:name w:val="header"/>
    <w:basedOn w:val="Normal"/>
    <w:link w:val="HeaderChar"/>
    <w:uiPriority w:val="99"/>
    <w:unhideWhenUsed/>
    <w:rsid w:val="00920A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AA0"/>
    <w:rPr>
      <w:rFonts w:ascii="Times New Roman" w:hAnsi="Times New Roman"/>
    </w:rPr>
  </w:style>
  <w:style w:type="paragraph" w:styleId="Footer">
    <w:name w:val="footer"/>
    <w:basedOn w:val="Normal"/>
    <w:link w:val="FooterChar"/>
    <w:uiPriority w:val="99"/>
    <w:unhideWhenUsed/>
    <w:rsid w:val="00920A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AA0"/>
    <w:rPr>
      <w:rFonts w:ascii="Times New Roman" w:hAnsi="Times New Roman"/>
    </w:rPr>
  </w:style>
  <w:style w:type="paragraph" w:customStyle="1" w:styleId="pdq2pgselectionanchorcontainer">
    <w:name w:val="pdq2pg_selectionanchorcontainer"/>
    <w:basedOn w:val="Normal"/>
    <w:rsid w:val="00E8090E"/>
    <w:pPr>
      <w:spacing w:before="100" w:beforeAutospacing="1" w:after="100" w:afterAutospacing="1" w:line="240" w:lineRule="auto"/>
      <w:jc w:val="left"/>
    </w:pPr>
    <w:rPr>
      <w:rFonts w:eastAsia="Times New Roman" w:cs="Times New Roman"/>
      <w:kern w:val="0"/>
      <w:lang w:eastAsia="en-GB"/>
      <w14:ligatures w14:val="none"/>
    </w:rPr>
  </w:style>
  <w:style w:type="character" w:styleId="Strong">
    <w:name w:val="Strong"/>
    <w:basedOn w:val="DefaultParagraphFont"/>
    <w:uiPriority w:val="22"/>
    <w:qFormat/>
    <w:rsid w:val="00E8090E"/>
    <w:rPr>
      <w:b/>
      <w:bCs/>
    </w:rPr>
  </w:style>
  <w:style w:type="paragraph" w:styleId="NormalWeb">
    <w:name w:val="Normal (Web)"/>
    <w:basedOn w:val="Normal"/>
    <w:uiPriority w:val="99"/>
    <w:unhideWhenUsed/>
    <w:rsid w:val="00E8090E"/>
    <w:pPr>
      <w:spacing w:before="100" w:beforeAutospacing="1" w:after="100" w:afterAutospacing="1" w:line="240" w:lineRule="auto"/>
      <w:jc w:val="left"/>
    </w:pPr>
    <w:rPr>
      <w:rFonts w:eastAsia="Times New Roman" w:cs="Times New Roman"/>
      <w:kern w:val="0"/>
      <w:lang w:eastAsia="en-GB"/>
      <w14:ligatures w14:val="none"/>
    </w:rPr>
  </w:style>
  <w:style w:type="paragraph" w:styleId="Caption">
    <w:name w:val="caption"/>
    <w:basedOn w:val="Normal"/>
    <w:next w:val="Normal"/>
    <w:uiPriority w:val="35"/>
    <w:unhideWhenUsed/>
    <w:qFormat/>
    <w:rsid w:val="00BE38BC"/>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BE38BC"/>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BE38BC"/>
    <w:pPr>
      <w:spacing w:after="100"/>
    </w:pPr>
  </w:style>
  <w:style w:type="paragraph" w:styleId="TOC2">
    <w:name w:val="toc 2"/>
    <w:basedOn w:val="Normal"/>
    <w:next w:val="Normal"/>
    <w:autoRedefine/>
    <w:uiPriority w:val="39"/>
    <w:unhideWhenUsed/>
    <w:rsid w:val="00BE38BC"/>
    <w:pPr>
      <w:spacing w:after="100"/>
      <w:ind w:left="240"/>
    </w:pPr>
  </w:style>
  <w:style w:type="character" w:styleId="Hyperlink">
    <w:name w:val="Hyperlink"/>
    <w:basedOn w:val="DefaultParagraphFont"/>
    <w:uiPriority w:val="99"/>
    <w:unhideWhenUsed/>
    <w:rsid w:val="00BE38BC"/>
    <w:rPr>
      <w:color w:val="467886" w:themeColor="hyperlink"/>
      <w:u w:val="single"/>
    </w:rPr>
  </w:style>
  <w:style w:type="character" w:styleId="UnresolvedMention">
    <w:name w:val="Unresolved Mention"/>
    <w:basedOn w:val="DefaultParagraphFont"/>
    <w:uiPriority w:val="99"/>
    <w:semiHidden/>
    <w:unhideWhenUsed/>
    <w:rsid w:val="0047582E"/>
    <w:rPr>
      <w:color w:val="605E5C"/>
      <w:shd w:val="clear" w:color="auto" w:fill="E1DFDD"/>
    </w:rPr>
  </w:style>
  <w:style w:type="table" w:styleId="TableGrid">
    <w:name w:val="Table Grid"/>
    <w:basedOn w:val="TableNormal"/>
    <w:uiPriority w:val="39"/>
    <w:rsid w:val="00475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582E"/>
    <w:rPr>
      <w:color w:val="96607D" w:themeColor="followedHyperlink"/>
      <w:u w:val="single"/>
    </w:rPr>
  </w:style>
  <w:style w:type="character" w:styleId="Emphasis">
    <w:name w:val="Emphasis"/>
    <w:basedOn w:val="DefaultParagraphFont"/>
    <w:uiPriority w:val="20"/>
    <w:qFormat/>
    <w:rsid w:val="0089099B"/>
    <w:rPr>
      <w:i/>
      <w:iCs/>
    </w:rPr>
  </w:style>
  <w:style w:type="paragraph" w:styleId="BodyText">
    <w:name w:val="Body Text"/>
    <w:basedOn w:val="Normal"/>
    <w:link w:val="BodyTextChar"/>
    <w:uiPriority w:val="1"/>
    <w:qFormat/>
    <w:rsid w:val="00630A92"/>
    <w:pPr>
      <w:widowControl w:val="0"/>
      <w:autoSpaceDE w:val="0"/>
      <w:autoSpaceDN w:val="0"/>
      <w:spacing w:after="0" w:line="240" w:lineRule="auto"/>
      <w:jc w:val="left"/>
    </w:pPr>
    <w:rPr>
      <w:rFonts w:ascii="Trebuchet MS" w:eastAsia="Trebuchet MS" w:hAnsi="Trebuchet MS" w:cs="Trebuchet MS"/>
      <w:kern w:val="0"/>
      <w:lang w:val="en-US"/>
      <w14:ligatures w14:val="none"/>
    </w:rPr>
  </w:style>
  <w:style w:type="character" w:customStyle="1" w:styleId="BodyTextChar">
    <w:name w:val="Body Text Char"/>
    <w:basedOn w:val="DefaultParagraphFont"/>
    <w:link w:val="BodyText"/>
    <w:uiPriority w:val="1"/>
    <w:rsid w:val="00630A92"/>
    <w:rPr>
      <w:rFonts w:ascii="Trebuchet MS" w:eastAsia="Trebuchet MS" w:hAnsi="Trebuchet MS" w:cs="Trebuchet MS"/>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dbury.co.uk/about/impact/cadbury-unwrapped/" TargetMode="External"/><Relationship Id="rId21" Type="http://schemas.openxmlformats.org/officeDocument/2006/relationships/hyperlink" Target="https://www.cadbury.co.uk/terms-and-conditions/made-to-share/" TargetMode="External"/><Relationship Id="rId34" Type="http://schemas.openxmlformats.org/officeDocument/2006/relationships/hyperlink" Target="https://ejournal.lucp.net/index.php/ijmhs/article/download/2196/2460" TargetMode="External"/><Relationship Id="rId42" Type="http://schemas.openxmlformats.org/officeDocument/2006/relationships/hyperlink" Target="https://www.mordorintelligence.com/industry-reports/india-chocolate-market" TargetMode="External"/><Relationship Id="rId47" Type="http://schemas.openxmlformats.org/officeDocument/2006/relationships/hyperlink" Target="https://link.springer.com/content/pdf/10.1007/s10806-022-09895-2.pdf" TargetMode="External"/><Relationship Id="rId50" Type="http://schemas.openxmlformats.org/officeDocument/2006/relationships/hyperlink" Target="http://journal.tofedu.or.id/index.php/journal/article/download/267/252" TargetMode="External"/><Relationship Id="rId55" Type="http://schemas.openxmlformats.org/officeDocument/2006/relationships/hyperlink" Target="https://www.selfstorming.com/tools/libraries/campaigns/made-to-share"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s://sms.onlinelibrary.wiley.com/doi/pdfdirect/10.1002/smj.3124?domain=author&amp;token=FQFDYBFQA43KKTENWCQM" TargetMode="External"/><Relationship Id="rId11" Type="http://schemas.openxmlformats.org/officeDocument/2006/relationships/image" Target="media/image4.png"/><Relationship Id="rId24" Type="http://schemas.openxmlformats.org/officeDocument/2006/relationships/hyperlink" Target="https://www.cadbury.co.uk/about/history/our-story/" TargetMode="External"/><Relationship Id="rId32" Type="http://schemas.openxmlformats.org/officeDocument/2006/relationships/hyperlink" Target="https://journals.lww.com/jcehp/fulltext/2024/04410/paving_the_way_forward_for_evidence_based.8.aspx" TargetMode="External"/><Relationship Id="rId37" Type="http://schemas.openxmlformats.org/officeDocument/2006/relationships/hyperlink" Target="https://economictimes.indiatimes.com/industry/cons-products/fmcg/cadbury-maker-mondelez-to-invest-rs-4000-crore-in-india-by-2026/articleshow/98867581" TargetMode="External"/><Relationship Id="rId40" Type="http://schemas.openxmlformats.org/officeDocument/2006/relationships/hyperlink" Target="https://store.mintel.com/report/uk-chocolate-confectionery-market-report" TargetMode="External"/><Relationship Id="rId45" Type="http://schemas.openxmlformats.org/officeDocument/2006/relationships/hyperlink" Target="https://aaltodoc.aalto.fi/bitstreams/3cdf640a-345d-4d3f-8c4f-50546635dbcc/download" TargetMode="External"/><Relationship Id="rId53" Type="http://schemas.openxmlformats.org/officeDocument/2006/relationships/hyperlink" Target="https://www.nvecta.com/blog/what-is-segmentation/" TargetMode="External"/><Relationship Id="rId58" Type="http://schemas.openxmlformats.org/officeDocument/2006/relationships/hyperlink" Target="https://www.tring.co.in/celebrity-endorsements/cadbury-celebrity-endorsement" TargetMode="External"/><Relationship Id="rId5" Type="http://schemas.openxmlformats.org/officeDocument/2006/relationships/webSettings" Target="webSettings.xml"/><Relationship Id="rId61" Type="http://schemas.openxmlformats.org/officeDocument/2006/relationships/hyperlink" Target="https://www.warc.com/en/article/cadbury-celebrations%3A-not-just-a-cadbury-ad-2.0-dfcf28af77ad42769afa78e3b8269189" TargetMode="External"/><Relationship Id="rId19" Type="http://schemas.openxmlformats.org/officeDocument/2006/relationships/hyperlink" Target="https://brandequity.economictimes.indiatimes.com/news/research/advertising/cadbury-dairy-milk-celebrates-every-fans-first-match-with-new-campaign/129917424" TargetMode="External"/><Relationship Id="rId14" Type="http://schemas.openxmlformats.org/officeDocument/2006/relationships/diagramLayout" Target="diagrams/layout1.xml"/><Relationship Id="rId22" Type="http://schemas.openxmlformats.org/officeDocument/2006/relationships/hyperlink" Target="https://www.cadbury.co.uk/about/impact/cocoa-life/" TargetMode="External"/><Relationship Id="rId27" Type="http://schemas.openxmlformats.org/officeDocument/2006/relationships/hyperlink" Target="https://www.wearehydrogen.com/stories/the-updated-hfss-ad-guidelines-and-what-they-mean-for-marketers" TargetMode="External"/><Relationship Id="rId30" Type="http://schemas.openxmlformats.org/officeDocument/2006/relationships/hyperlink" Target="https://www.ibef.org/blogs/decoding-the-growth-of-india-s-chocolate-market" TargetMode="External"/><Relationship Id="rId35" Type="http://schemas.openxmlformats.org/officeDocument/2006/relationships/hyperlink" Target="https://rspsciencehub.com/index.php/journal/article/view/901" TargetMode="External"/><Relationship Id="rId43" Type="http://schemas.openxmlformats.org/officeDocument/2006/relationships/hyperlink" Target="https://www.ijmh.org/wp-content/uploads/papers/v8i6/F1419018622.pdf" TargetMode="External"/><Relationship Id="rId48" Type="http://schemas.openxmlformats.org/officeDocument/2006/relationships/hyperlink" Target="https://medium.com/@sruthypisharady/1948-to-today-the-sweet-story-of-mondelez-india-480319a1498c" TargetMode="External"/><Relationship Id="rId56" Type="http://schemas.openxmlformats.org/officeDocument/2006/relationships/hyperlink" Target="https://iide.co/case-studies/marketing-mix-of-cadbury/"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nbpajournal.com/nbpajahs/article/download/39/32" TargetMode="External"/><Relationship Id="rId3" Type="http://schemas.openxmlformats.org/officeDocument/2006/relationships/styles" Target="styles.xml"/><Relationship Id="rId12" Type="http://schemas.openxmlformats.org/officeDocument/2006/relationships/image" Target="media/image5.jpeg"/><Relationship Id="rId17" Type="http://schemas.microsoft.com/office/2007/relationships/diagramDrawing" Target="diagrams/drawing1.xml"/><Relationship Id="rId25" Type="http://schemas.openxmlformats.org/officeDocument/2006/relationships/hyperlink" Target="https://find-and-update.company-information.service.gov.uk/company/00155256/filing-history" TargetMode="External"/><Relationship Id="rId33" Type="http://schemas.openxmlformats.org/officeDocument/2006/relationships/hyperlink" Target="https://dialnet.unirioja.es/descarga/articulo/8957050.pdf" TargetMode="External"/><Relationship Id="rId38" Type="http://schemas.openxmlformats.org/officeDocument/2006/relationships/hyperlink" Target="https://economictimes.indiatimes.com/industry/cons-products/food/when-chocolate-turns-costly-india-picks-candy-local-players-dent-global-giants-like-mars-mondelez-hershey-amid-cocoa-price-surge/articleshow/126844147" TargetMode="External"/><Relationship Id="rId46" Type="http://schemas.openxmlformats.org/officeDocument/2006/relationships/hyperlink" Target="https://doi.org/10.1007/s10806-022-09895-2" TargetMode="External"/><Relationship Id="rId59" Type="http://schemas.openxmlformats.org/officeDocument/2006/relationships/hyperlink" Target="https://www.business.gov.uk/campaign/alive-with-opportunity/the-uk-india-trade-deal/" TargetMode="External"/><Relationship Id="rId20" Type="http://schemas.openxmlformats.org/officeDocument/2006/relationships/hyperlink" Target="https://www.thetimes.com/us/business-us/article/fifty-tasters-to-test-chocolate-for-a-living-with-cadbury-7jcq0bl66" TargetMode="External"/><Relationship Id="rId41" Type="http://schemas.openxmlformats.org/officeDocument/2006/relationships/hyperlink" Target="https://www.mondelezinternational.com/india/india-business/cocoa-life/" TargetMode="External"/><Relationship Id="rId54" Type="http://schemas.openxmlformats.org/officeDocument/2006/relationships/hyperlink" Target="https://www.researchgate.net/profile/Biff-Baker/publication/389900717_The_Three_B's_of_Branding_Navigating_Multicultural_Markets/links/68822cc996f3c0122ef36a39/The-Three-Bs-of-Branding-Navigating-Multicultural-Markets.pdf" TargetMode="External"/><Relationship Id="rId62" Type="http://schemas.openxmlformats.org/officeDocument/2006/relationships/hyperlink" Target="https://journals.sagepub.com/doi/pdf/10.1177/105678792210942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hyperlink" Target="https://www.cadbury.co.uk/about/impact/sustainability/recycling/" TargetMode="External"/><Relationship Id="rId28" Type="http://schemas.openxmlformats.org/officeDocument/2006/relationships/hyperlink" Target="https://www.fdiforum.net/mag/production/uk-chocolate-manufacturer-saves-2-million-annually-with-hps-advanced-pigging-technology/" TargetMode="External"/><Relationship Id="rId36" Type="http://schemas.openxmlformats.org/officeDocument/2006/relationships/hyperlink" Target="https://rahulmalodia.com/blog/cadbury-marketing-strategy-in-india" TargetMode="External"/><Relationship Id="rId49" Type="http://schemas.openxmlformats.org/officeDocument/2006/relationships/hyperlink" Target="https://foodsure.co.in/blog/fssai-packaging-and-labelling/" TargetMode="External"/><Relationship Id="rId57" Type="http://schemas.openxmlformats.org/officeDocument/2006/relationships/hyperlink" Target="https://www.theculturefactor.com/country-comparison-tool?countries=india%2Cunited+kingdom" TargetMode="External"/><Relationship Id="rId10" Type="http://schemas.openxmlformats.org/officeDocument/2006/relationships/image" Target="media/image3.png"/><Relationship Id="rId31" Type="http://schemas.openxmlformats.org/officeDocument/2006/relationships/hyperlink" Target="https://www.theirmindia.org/blog/when-crisis-led-to-consumer-safety-the-story-of-cadbury/" TargetMode="External"/><Relationship Id="rId44" Type="http://schemas.openxmlformats.org/officeDocument/2006/relationships/hyperlink" Target="https://www.bbc.com/news/articles/c93jdk1yy3zo" TargetMode="External"/><Relationship Id="rId52" Type="http://schemas.openxmlformats.org/officeDocument/2006/relationships/hyperlink" Target="https://www.researchandmarkets.com/report/united-kingdom-confectionery-market" TargetMode="External"/><Relationship Id="rId60" Type="http://schemas.openxmlformats.org/officeDocument/2006/relationships/hyperlink" Target="https://lbbonline.com/news/Cadbury-Made-to-Share-VCCP-Return"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Data" Target="diagrams/data1.xml"/><Relationship Id="rId18" Type="http://schemas.openxmlformats.org/officeDocument/2006/relationships/hyperlink" Target="https://advertising.amazon.com/en-gb/library/case-studies/cadbury-anniversary-campaign" TargetMode="External"/><Relationship Id="rId39" Type="http://schemas.openxmlformats.org/officeDocument/2006/relationships/hyperlink" Target="https://iris.unito.it/bitstream/2318/1921610/1/Manuscript_BWS_chocolate%20pre-print.pdf"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8A76BC-542F-48A9-9C4F-87309E728653}" type="doc">
      <dgm:prSet loTypeId="urn:microsoft.com/office/officeart/2005/8/layout/cycle2" loCatId="cycle" qsTypeId="urn:microsoft.com/office/officeart/2005/8/quickstyle/simple3" qsCatId="simple" csTypeId="urn:microsoft.com/office/officeart/2005/8/colors/colorful1" csCatId="colorful" phldr="1"/>
      <dgm:spPr/>
      <dgm:t>
        <a:bodyPr/>
        <a:lstStyle/>
        <a:p>
          <a:endParaRPr lang="en-GB"/>
        </a:p>
      </dgm:t>
    </dgm:pt>
    <dgm:pt modelId="{5F30C1B8-6A6D-40BF-A5AF-7D173069C4FD}">
      <dgm:prSet phldrT="[Text]" custT="1"/>
      <dgm:spPr/>
      <dgm:t>
        <a:bodyPr/>
        <a:lstStyle/>
        <a:p>
          <a:r>
            <a:rPr lang="en-GB" sz="1100" b="1">
              <a:latin typeface="Times New Roman" panose="02020603050405020304" pitchFamily="18" charset="0"/>
              <a:cs typeface="Times New Roman" panose="02020603050405020304" pitchFamily="18" charset="0"/>
            </a:rPr>
            <a:t>Description</a:t>
          </a:r>
        </a:p>
      </dgm:t>
    </dgm:pt>
    <dgm:pt modelId="{54209459-4062-434F-AABF-0DA9A8477E31}" type="parTrans" cxnId="{4303C19A-E449-4A77-AF6D-8519E2CE4BA3}">
      <dgm:prSet/>
      <dgm:spPr/>
      <dgm:t>
        <a:bodyPr/>
        <a:lstStyle/>
        <a:p>
          <a:endParaRPr lang="en-GB"/>
        </a:p>
      </dgm:t>
    </dgm:pt>
    <dgm:pt modelId="{8FA88AF9-39D2-43A0-8E4C-33CCCA3D6607}" type="sibTrans" cxnId="{4303C19A-E449-4A77-AF6D-8519E2CE4BA3}">
      <dgm:prSet/>
      <dgm:spPr/>
      <dgm:t>
        <a:bodyPr/>
        <a:lstStyle/>
        <a:p>
          <a:endParaRPr lang="en-GB"/>
        </a:p>
      </dgm:t>
    </dgm:pt>
    <dgm:pt modelId="{D4EA892A-7FCA-44A1-AC76-4E0842C0F5D5}">
      <dgm:prSet phldrT="[Text]" custT="1"/>
      <dgm:spPr/>
      <dgm:t>
        <a:bodyPr/>
        <a:lstStyle/>
        <a:p>
          <a:r>
            <a:rPr lang="en-GB" sz="1100" b="1">
              <a:latin typeface="Times New Roman" panose="02020603050405020304" pitchFamily="18" charset="0"/>
              <a:cs typeface="Times New Roman" panose="02020603050405020304" pitchFamily="18" charset="0"/>
            </a:rPr>
            <a:t>Feelings</a:t>
          </a:r>
        </a:p>
      </dgm:t>
    </dgm:pt>
    <dgm:pt modelId="{4FFCC7C8-B3F7-4852-99F4-230B19DF6B2E}" type="parTrans" cxnId="{DF1B6DD9-5BFF-4AF8-B816-96C6C13C5C6E}">
      <dgm:prSet/>
      <dgm:spPr/>
      <dgm:t>
        <a:bodyPr/>
        <a:lstStyle/>
        <a:p>
          <a:endParaRPr lang="en-GB"/>
        </a:p>
      </dgm:t>
    </dgm:pt>
    <dgm:pt modelId="{769D1A68-16B1-4B6C-BC9E-2C635223253A}" type="sibTrans" cxnId="{DF1B6DD9-5BFF-4AF8-B816-96C6C13C5C6E}">
      <dgm:prSet/>
      <dgm:spPr/>
      <dgm:t>
        <a:bodyPr/>
        <a:lstStyle/>
        <a:p>
          <a:endParaRPr lang="en-GB"/>
        </a:p>
      </dgm:t>
    </dgm:pt>
    <dgm:pt modelId="{3B90D591-8905-468A-A397-30CDB3E83132}">
      <dgm:prSet phldrT="[Text]" custT="1"/>
      <dgm:spPr/>
      <dgm:t>
        <a:bodyPr/>
        <a:lstStyle/>
        <a:p>
          <a:r>
            <a:rPr lang="en-GB" sz="1100" b="1">
              <a:latin typeface="Times New Roman" panose="02020603050405020304" pitchFamily="18" charset="0"/>
              <a:cs typeface="Times New Roman" panose="02020603050405020304" pitchFamily="18" charset="0"/>
            </a:rPr>
            <a:t>Evaluation</a:t>
          </a:r>
        </a:p>
      </dgm:t>
    </dgm:pt>
    <dgm:pt modelId="{908B5183-5ADB-4BE8-A3CA-11D15AC5649F}" type="parTrans" cxnId="{93FD960A-3E57-48C9-BD5D-E73CB7E1ACD8}">
      <dgm:prSet/>
      <dgm:spPr/>
      <dgm:t>
        <a:bodyPr/>
        <a:lstStyle/>
        <a:p>
          <a:endParaRPr lang="en-GB"/>
        </a:p>
      </dgm:t>
    </dgm:pt>
    <dgm:pt modelId="{836ED97D-CD17-4A66-A656-025225F712C3}" type="sibTrans" cxnId="{93FD960A-3E57-48C9-BD5D-E73CB7E1ACD8}">
      <dgm:prSet/>
      <dgm:spPr/>
      <dgm:t>
        <a:bodyPr/>
        <a:lstStyle/>
        <a:p>
          <a:endParaRPr lang="en-GB"/>
        </a:p>
      </dgm:t>
    </dgm:pt>
    <dgm:pt modelId="{F76F9AFE-5BC1-437F-9648-69928719F783}">
      <dgm:prSet phldrT="[Text]" custT="1"/>
      <dgm:spPr/>
      <dgm:t>
        <a:bodyPr/>
        <a:lstStyle/>
        <a:p>
          <a:r>
            <a:rPr lang="en-GB" sz="1100" b="1">
              <a:latin typeface="Times New Roman" panose="02020603050405020304" pitchFamily="18" charset="0"/>
              <a:cs typeface="Times New Roman" panose="02020603050405020304" pitchFamily="18" charset="0"/>
            </a:rPr>
            <a:t>Analysis</a:t>
          </a:r>
        </a:p>
      </dgm:t>
    </dgm:pt>
    <dgm:pt modelId="{CF531B82-9212-446B-B205-39F39D39B11B}" type="parTrans" cxnId="{06CD876A-4872-4333-8A82-64AF83C1D280}">
      <dgm:prSet/>
      <dgm:spPr/>
      <dgm:t>
        <a:bodyPr/>
        <a:lstStyle/>
        <a:p>
          <a:endParaRPr lang="en-GB"/>
        </a:p>
      </dgm:t>
    </dgm:pt>
    <dgm:pt modelId="{4B0E7122-1E61-4098-9ABF-35C2E4F57AB5}" type="sibTrans" cxnId="{06CD876A-4872-4333-8A82-64AF83C1D280}">
      <dgm:prSet/>
      <dgm:spPr/>
      <dgm:t>
        <a:bodyPr/>
        <a:lstStyle/>
        <a:p>
          <a:endParaRPr lang="en-GB"/>
        </a:p>
      </dgm:t>
    </dgm:pt>
    <dgm:pt modelId="{03A6E01E-754A-427D-A0FE-EA6E1783BFD0}">
      <dgm:prSet phldrT="[Text]" custT="1"/>
      <dgm:spPr/>
      <dgm:t>
        <a:bodyPr/>
        <a:lstStyle/>
        <a:p>
          <a:r>
            <a:rPr lang="en-GB" sz="1100" b="1">
              <a:latin typeface="Times New Roman" panose="02020603050405020304" pitchFamily="18" charset="0"/>
              <a:cs typeface="Times New Roman" panose="02020603050405020304" pitchFamily="18" charset="0"/>
            </a:rPr>
            <a:t>Conclusion</a:t>
          </a:r>
        </a:p>
      </dgm:t>
    </dgm:pt>
    <dgm:pt modelId="{DAFBE3FA-DAD9-426D-9BEF-5DEA4CA6F485}" type="parTrans" cxnId="{4034892F-37DF-4F81-A26F-D22862C42852}">
      <dgm:prSet/>
      <dgm:spPr/>
      <dgm:t>
        <a:bodyPr/>
        <a:lstStyle/>
        <a:p>
          <a:endParaRPr lang="en-GB"/>
        </a:p>
      </dgm:t>
    </dgm:pt>
    <dgm:pt modelId="{32115F15-ADF6-4AE7-A170-CBED984C6DE4}" type="sibTrans" cxnId="{4034892F-37DF-4F81-A26F-D22862C42852}">
      <dgm:prSet/>
      <dgm:spPr/>
      <dgm:t>
        <a:bodyPr/>
        <a:lstStyle/>
        <a:p>
          <a:endParaRPr lang="en-GB"/>
        </a:p>
      </dgm:t>
    </dgm:pt>
    <dgm:pt modelId="{1599709D-39E4-4C89-B3A2-7A37FC4BB855}">
      <dgm:prSet phldrT="[Text]" custT="1"/>
      <dgm:spPr/>
      <dgm:t>
        <a:bodyPr/>
        <a:lstStyle/>
        <a:p>
          <a:r>
            <a:rPr lang="en-GB" sz="1100" b="1">
              <a:latin typeface="Times New Roman" panose="02020603050405020304" pitchFamily="18" charset="0"/>
              <a:cs typeface="Times New Roman" panose="02020603050405020304" pitchFamily="18" charset="0"/>
            </a:rPr>
            <a:t>Action Plan</a:t>
          </a:r>
        </a:p>
      </dgm:t>
    </dgm:pt>
    <dgm:pt modelId="{2E641E9C-D87D-41C6-8585-40F691A9DBE3}" type="parTrans" cxnId="{62E35958-2CDE-456E-B400-C5DD736AF3E5}">
      <dgm:prSet/>
      <dgm:spPr/>
      <dgm:t>
        <a:bodyPr/>
        <a:lstStyle/>
        <a:p>
          <a:endParaRPr lang="en-GB"/>
        </a:p>
      </dgm:t>
    </dgm:pt>
    <dgm:pt modelId="{B04A2C89-2E8F-4626-ACBE-E65B36061C9F}" type="sibTrans" cxnId="{62E35958-2CDE-456E-B400-C5DD736AF3E5}">
      <dgm:prSet/>
      <dgm:spPr/>
      <dgm:t>
        <a:bodyPr/>
        <a:lstStyle/>
        <a:p>
          <a:endParaRPr lang="en-GB"/>
        </a:p>
      </dgm:t>
    </dgm:pt>
    <dgm:pt modelId="{2D937A75-32B4-4D3E-BAF0-55C47EC25224}" type="pres">
      <dgm:prSet presAssocID="{238A76BC-542F-48A9-9C4F-87309E728653}" presName="cycle" presStyleCnt="0">
        <dgm:presLayoutVars>
          <dgm:dir/>
          <dgm:resizeHandles val="exact"/>
        </dgm:presLayoutVars>
      </dgm:prSet>
      <dgm:spPr/>
    </dgm:pt>
    <dgm:pt modelId="{F5A94556-88A6-4C67-B8F4-04C9AB7AA8C1}" type="pres">
      <dgm:prSet presAssocID="{5F30C1B8-6A6D-40BF-A5AF-7D173069C4FD}" presName="node" presStyleLbl="node1" presStyleIdx="0" presStyleCnt="6">
        <dgm:presLayoutVars>
          <dgm:bulletEnabled val="1"/>
        </dgm:presLayoutVars>
      </dgm:prSet>
      <dgm:spPr/>
    </dgm:pt>
    <dgm:pt modelId="{1497B00C-41BA-4CC1-A677-C428F8C3C174}" type="pres">
      <dgm:prSet presAssocID="{8FA88AF9-39D2-43A0-8E4C-33CCCA3D6607}" presName="sibTrans" presStyleLbl="sibTrans2D1" presStyleIdx="0" presStyleCnt="6"/>
      <dgm:spPr/>
    </dgm:pt>
    <dgm:pt modelId="{6AF0E1EF-8CE7-43D5-B25B-497E17DD3E10}" type="pres">
      <dgm:prSet presAssocID="{8FA88AF9-39D2-43A0-8E4C-33CCCA3D6607}" presName="connectorText" presStyleLbl="sibTrans2D1" presStyleIdx="0" presStyleCnt="6"/>
      <dgm:spPr/>
    </dgm:pt>
    <dgm:pt modelId="{C1357A3C-DAB8-4487-B975-B9AB1499B5D1}" type="pres">
      <dgm:prSet presAssocID="{D4EA892A-7FCA-44A1-AC76-4E0842C0F5D5}" presName="node" presStyleLbl="node1" presStyleIdx="1" presStyleCnt="6">
        <dgm:presLayoutVars>
          <dgm:bulletEnabled val="1"/>
        </dgm:presLayoutVars>
      </dgm:prSet>
      <dgm:spPr/>
    </dgm:pt>
    <dgm:pt modelId="{BE4BC192-1E50-4A4F-B26E-6829213615B3}" type="pres">
      <dgm:prSet presAssocID="{769D1A68-16B1-4B6C-BC9E-2C635223253A}" presName="sibTrans" presStyleLbl="sibTrans2D1" presStyleIdx="1" presStyleCnt="6"/>
      <dgm:spPr/>
    </dgm:pt>
    <dgm:pt modelId="{DBB72744-4FE7-4352-9F3B-D86CC3DBC5B8}" type="pres">
      <dgm:prSet presAssocID="{769D1A68-16B1-4B6C-BC9E-2C635223253A}" presName="connectorText" presStyleLbl="sibTrans2D1" presStyleIdx="1" presStyleCnt="6"/>
      <dgm:spPr/>
    </dgm:pt>
    <dgm:pt modelId="{30D75B74-F0B5-48E6-87F0-534207B0354E}" type="pres">
      <dgm:prSet presAssocID="{3B90D591-8905-468A-A397-30CDB3E83132}" presName="node" presStyleLbl="node1" presStyleIdx="2" presStyleCnt="6">
        <dgm:presLayoutVars>
          <dgm:bulletEnabled val="1"/>
        </dgm:presLayoutVars>
      </dgm:prSet>
      <dgm:spPr/>
    </dgm:pt>
    <dgm:pt modelId="{8866B656-52FC-468E-BCAD-912F21CF3AAA}" type="pres">
      <dgm:prSet presAssocID="{836ED97D-CD17-4A66-A656-025225F712C3}" presName="sibTrans" presStyleLbl="sibTrans2D1" presStyleIdx="2" presStyleCnt="6"/>
      <dgm:spPr/>
    </dgm:pt>
    <dgm:pt modelId="{E67DE07B-9782-4704-B7C3-F3AC681382E2}" type="pres">
      <dgm:prSet presAssocID="{836ED97D-CD17-4A66-A656-025225F712C3}" presName="connectorText" presStyleLbl="sibTrans2D1" presStyleIdx="2" presStyleCnt="6"/>
      <dgm:spPr/>
    </dgm:pt>
    <dgm:pt modelId="{F6288F8E-AB1A-470A-8128-379034643A0C}" type="pres">
      <dgm:prSet presAssocID="{F76F9AFE-5BC1-437F-9648-69928719F783}" presName="node" presStyleLbl="node1" presStyleIdx="3" presStyleCnt="6">
        <dgm:presLayoutVars>
          <dgm:bulletEnabled val="1"/>
        </dgm:presLayoutVars>
      </dgm:prSet>
      <dgm:spPr/>
    </dgm:pt>
    <dgm:pt modelId="{53033ACE-9387-4001-855B-C589F86D5EE8}" type="pres">
      <dgm:prSet presAssocID="{4B0E7122-1E61-4098-9ABF-35C2E4F57AB5}" presName="sibTrans" presStyleLbl="sibTrans2D1" presStyleIdx="3" presStyleCnt="6"/>
      <dgm:spPr/>
    </dgm:pt>
    <dgm:pt modelId="{D5827FA1-1055-4E39-8C38-5020BDCC3C99}" type="pres">
      <dgm:prSet presAssocID="{4B0E7122-1E61-4098-9ABF-35C2E4F57AB5}" presName="connectorText" presStyleLbl="sibTrans2D1" presStyleIdx="3" presStyleCnt="6"/>
      <dgm:spPr/>
    </dgm:pt>
    <dgm:pt modelId="{D0FA9B50-262E-457A-886B-1940CE90631E}" type="pres">
      <dgm:prSet presAssocID="{03A6E01E-754A-427D-A0FE-EA6E1783BFD0}" presName="node" presStyleLbl="node1" presStyleIdx="4" presStyleCnt="6">
        <dgm:presLayoutVars>
          <dgm:bulletEnabled val="1"/>
        </dgm:presLayoutVars>
      </dgm:prSet>
      <dgm:spPr/>
    </dgm:pt>
    <dgm:pt modelId="{4E8E9CE7-9586-4F1D-946B-C8D9B71BB8FE}" type="pres">
      <dgm:prSet presAssocID="{32115F15-ADF6-4AE7-A170-CBED984C6DE4}" presName="sibTrans" presStyleLbl="sibTrans2D1" presStyleIdx="4" presStyleCnt="6"/>
      <dgm:spPr/>
    </dgm:pt>
    <dgm:pt modelId="{C8EAB993-F477-40E4-8949-E0FF5A24E515}" type="pres">
      <dgm:prSet presAssocID="{32115F15-ADF6-4AE7-A170-CBED984C6DE4}" presName="connectorText" presStyleLbl="sibTrans2D1" presStyleIdx="4" presStyleCnt="6"/>
      <dgm:spPr/>
    </dgm:pt>
    <dgm:pt modelId="{09BBB66B-E83B-46F3-A126-A224F8A5BF21}" type="pres">
      <dgm:prSet presAssocID="{1599709D-39E4-4C89-B3A2-7A37FC4BB855}" presName="node" presStyleLbl="node1" presStyleIdx="5" presStyleCnt="6">
        <dgm:presLayoutVars>
          <dgm:bulletEnabled val="1"/>
        </dgm:presLayoutVars>
      </dgm:prSet>
      <dgm:spPr/>
    </dgm:pt>
    <dgm:pt modelId="{B807CE17-A940-4297-842B-8326205B04C7}" type="pres">
      <dgm:prSet presAssocID="{B04A2C89-2E8F-4626-ACBE-E65B36061C9F}" presName="sibTrans" presStyleLbl="sibTrans2D1" presStyleIdx="5" presStyleCnt="6"/>
      <dgm:spPr/>
    </dgm:pt>
    <dgm:pt modelId="{6F1D82D6-FCD6-42B1-8F11-0BCDD7A09E15}" type="pres">
      <dgm:prSet presAssocID="{B04A2C89-2E8F-4626-ACBE-E65B36061C9F}" presName="connectorText" presStyleLbl="sibTrans2D1" presStyleIdx="5" presStyleCnt="6"/>
      <dgm:spPr/>
    </dgm:pt>
  </dgm:ptLst>
  <dgm:cxnLst>
    <dgm:cxn modelId="{8EFA2E02-23FC-48D3-8D51-CCAB6C287CE6}" type="presOf" srcId="{3B90D591-8905-468A-A397-30CDB3E83132}" destId="{30D75B74-F0B5-48E6-87F0-534207B0354E}" srcOrd="0" destOrd="0" presId="urn:microsoft.com/office/officeart/2005/8/layout/cycle2"/>
    <dgm:cxn modelId="{0AEA6D0A-4482-4852-9350-67EB7724B002}" type="presOf" srcId="{836ED97D-CD17-4A66-A656-025225F712C3}" destId="{E67DE07B-9782-4704-B7C3-F3AC681382E2}" srcOrd="1" destOrd="0" presId="urn:microsoft.com/office/officeart/2005/8/layout/cycle2"/>
    <dgm:cxn modelId="{93FD960A-3E57-48C9-BD5D-E73CB7E1ACD8}" srcId="{238A76BC-542F-48A9-9C4F-87309E728653}" destId="{3B90D591-8905-468A-A397-30CDB3E83132}" srcOrd="2" destOrd="0" parTransId="{908B5183-5ADB-4BE8-A3CA-11D15AC5649F}" sibTransId="{836ED97D-CD17-4A66-A656-025225F712C3}"/>
    <dgm:cxn modelId="{F3F93F0D-0DA1-468F-A098-FED9E7E73B29}" type="presOf" srcId="{4B0E7122-1E61-4098-9ABF-35C2E4F57AB5}" destId="{D5827FA1-1055-4E39-8C38-5020BDCC3C99}" srcOrd="1" destOrd="0" presId="urn:microsoft.com/office/officeart/2005/8/layout/cycle2"/>
    <dgm:cxn modelId="{78CF6215-8019-4448-B3BC-146321A13DE2}" type="presOf" srcId="{769D1A68-16B1-4B6C-BC9E-2C635223253A}" destId="{DBB72744-4FE7-4352-9F3B-D86CC3DBC5B8}" srcOrd="1" destOrd="0" presId="urn:microsoft.com/office/officeart/2005/8/layout/cycle2"/>
    <dgm:cxn modelId="{09429728-7589-454C-A0BC-ED1B8006286E}" type="presOf" srcId="{B04A2C89-2E8F-4626-ACBE-E65B36061C9F}" destId="{6F1D82D6-FCD6-42B1-8F11-0BCDD7A09E15}" srcOrd="1" destOrd="0" presId="urn:microsoft.com/office/officeart/2005/8/layout/cycle2"/>
    <dgm:cxn modelId="{4034892F-37DF-4F81-A26F-D22862C42852}" srcId="{238A76BC-542F-48A9-9C4F-87309E728653}" destId="{03A6E01E-754A-427D-A0FE-EA6E1783BFD0}" srcOrd="4" destOrd="0" parTransId="{DAFBE3FA-DAD9-426D-9BEF-5DEA4CA6F485}" sibTransId="{32115F15-ADF6-4AE7-A170-CBED984C6DE4}"/>
    <dgm:cxn modelId="{221CD42F-7BAE-482C-AFD4-61E46BC0DD21}" type="presOf" srcId="{F76F9AFE-5BC1-437F-9648-69928719F783}" destId="{F6288F8E-AB1A-470A-8128-379034643A0C}" srcOrd="0" destOrd="0" presId="urn:microsoft.com/office/officeart/2005/8/layout/cycle2"/>
    <dgm:cxn modelId="{499CED3D-BD19-4E82-97F7-E3041C2310A1}" type="presOf" srcId="{4B0E7122-1E61-4098-9ABF-35C2E4F57AB5}" destId="{53033ACE-9387-4001-855B-C589F86D5EE8}" srcOrd="0" destOrd="0" presId="urn:microsoft.com/office/officeart/2005/8/layout/cycle2"/>
    <dgm:cxn modelId="{B0A4A43E-67DD-4974-97D6-F9FC621943D1}" type="presOf" srcId="{8FA88AF9-39D2-43A0-8E4C-33CCCA3D6607}" destId="{6AF0E1EF-8CE7-43D5-B25B-497E17DD3E10}" srcOrd="1" destOrd="0" presId="urn:microsoft.com/office/officeart/2005/8/layout/cycle2"/>
    <dgm:cxn modelId="{06CD876A-4872-4333-8A82-64AF83C1D280}" srcId="{238A76BC-542F-48A9-9C4F-87309E728653}" destId="{F76F9AFE-5BC1-437F-9648-69928719F783}" srcOrd="3" destOrd="0" parTransId="{CF531B82-9212-446B-B205-39F39D39B11B}" sibTransId="{4B0E7122-1E61-4098-9ABF-35C2E4F57AB5}"/>
    <dgm:cxn modelId="{3358B44B-7C50-4679-997A-75E945CA1652}" type="presOf" srcId="{03A6E01E-754A-427D-A0FE-EA6E1783BFD0}" destId="{D0FA9B50-262E-457A-886B-1940CE90631E}" srcOrd="0" destOrd="0" presId="urn:microsoft.com/office/officeart/2005/8/layout/cycle2"/>
    <dgm:cxn modelId="{62E35958-2CDE-456E-B400-C5DD736AF3E5}" srcId="{238A76BC-542F-48A9-9C4F-87309E728653}" destId="{1599709D-39E4-4C89-B3A2-7A37FC4BB855}" srcOrd="5" destOrd="0" parTransId="{2E641E9C-D87D-41C6-8585-40F691A9DBE3}" sibTransId="{B04A2C89-2E8F-4626-ACBE-E65B36061C9F}"/>
    <dgm:cxn modelId="{4303C19A-E449-4A77-AF6D-8519E2CE4BA3}" srcId="{238A76BC-542F-48A9-9C4F-87309E728653}" destId="{5F30C1B8-6A6D-40BF-A5AF-7D173069C4FD}" srcOrd="0" destOrd="0" parTransId="{54209459-4062-434F-AABF-0DA9A8477E31}" sibTransId="{8FA88AF9-39D2-43A0-8E4C-33CCCA3D6607}"/>
    <dgm:cxn modelId="{B2094E9B-8031-481B-B50A-191E80D7AE9C}" type="presOf" srcId="{D4EA892A-7FCA-44A1-AC76-4E0842C0F5D5}" destId="{C1357A3C-DAB8-4487-B975-B9AB1499B5D1}" srcOrd="0" destOrd="0" presId="urn:microsoft.com/office/officeart/2005/8/layout/cycle2"/>
    <dgm:cxn modelId="{758AA7A5-8FAC-41FB-AF44-A04EDC294490}" type="presOf" srcId="{1599709D-39E4-4C89-B3A2-7A37FC4BB855}" destId="{09BBB66B-E83B-46F3-A126-A224F8A5BF21}" srcOrd="0" destOrd="0" presId="urn:microsoft.com/office/officeart/2005/8/layout/cycle2"/>
    <dgm:cxn modelId="{A66502AF-0A9C-4C17-A0F5-D5ACE1D59CA0}" type="presOf" srcId="{5F30C1B8-6A6D-40BF-A5AF-7D173069C4FD}" destId="{F5A94556-88A6-4C67-B8F4-04C9AB7AA8C1}" srcOrd="0" destOrd="0" presId="urn:microsoft.com/office/officeart/2005/8/layout/cycle2"/>
    <dgm:cxn modelId="{2DC3A3B2-437E-4C5E-86D2-45B323839E60}" type="presOf" srcId="{836ED97D-CD17-4A66-A656-025225F712C3}" destId="{8866B656-52FC-468E-BCAD-912F21CF3AAA}" srcOrd="0" destOrd="0" presId="urn:microsoft.com/office/officeart/2005/8/layout/cycle2"/>
    <dgm:cxn modelId="{3EA84FB4-2B26-4F7B-BF16-26B7096310E0}" type="presOf" srcId="{B04A2C89-2E8F-4626-ACBE-E65B36061C9F}" destId="{B807CE17-A940-4297-842B-8326205B04C7}" srcOrd="0" destOrd="0" presId="urn:microsoft.com/office/officeart/2005/8/layout/cycle2"/>
    <dgm:cxn modelId="{2AF3EABB-BE0C-46EA-AAFF-E34EB6CEDA3F}" type="presOf" srcId="{32115F15-ADF6-4AE7-A170-CBED984C6DE4}" destId="{C8EAB993-F477-40E4-8949-E0FF5A24E515}" srcOrd="1" destOrd="0" presId="urn:microsoft.com/office/officeart/2005/8/layout/cycle2"/>
    <dgm:cxn modelId="{04C885D3-3A6A-4368-A059-0D49A75E485C}" type="presOf" srcId="{769D1A68-16B1-4B6C-BC9E-2C635223253A}" destId="{BE4BC192-1E50-4A4F-B26E-6829213615B3}" srcOrd="0" destOrd="0" presId="urn:microsoft.com/office/officeart/2005/8/layout/cycle2"/>
    <dgm:cxn modelId="{DF1B6DD9-5BFF-4AF8-B816-96C6C13C5C6E}" srcId="{238A76BC-542F-48A9-9C4F-87309E728653}" destId="{D4EA892A-7FCA-44A1-AC76-4E0842C0F5D5}" srcOrd="1" destOrd="0" parTransId="{4FFCC7C8-B3F7-4852-99F4-230B19DF6B2E}" sibTransId="{769D1A68-16B1-4B6C-BC9E-2C635223253A}"/>
    <dgm:cxn modelId="{B3EF0DE7-1466-4BEF-BE8A-71EECFA9740B}" type="presOf" srcId="{8FA88AF9-39D2-43A0-8E4C-33CCCA3D6607}" destId="{1497B00C-41BA-4CC1-A677-C428F8C3C174}" srcOrd="0" destOrd="0" presId="urn:microsoft.com/office/officeart/2005/8/layout/cycle2"/>
    <dgm:cxn modelId="{656108EA-8981-4FC7-9263-069BB193E837}" type="presOf" srcId="{238A76BC-542F-48A9-9C4F-87309E728653}" destId="{2D937A75-32B4-4D3E-BAF0-55C47EC25224}" srcOrd="0" destOrd="0" presId="urn:microsoft.com/office/officeart/2005/8/layout/cycle2"/>
    <dgm:cxn modelId="{7EAE0DF3-D12B-4D28-9203-3D494AFE2C1A}" type="presOf" srcId="{32115F15-ADF6-4AE7-A170-CBED984C6DE4}" destId="{4E8E9CE7-9586-4F1D-946B-C8D9B71BB8FE}" srcOrd="0" destOrd="0" presId="urn:microsoft.com/office/officeart/2005/8/layout/cycle2"/>
    <dgm:cxn modelId="{31E3B9C9-65A3-4F57-8660-DC9489B9FAC8}" type="presParOf" srcId="{2D937A75-32B4-4D3E-BAF0-55C47EC25224}" destId="{F5A94556-88A6-4C67-B8F4-04C9AB7AA8C1}" srcOrd="0" destOrd="0" presId="urn:microsoft.com/office/officeart/2005/8/layout/cycle2"/>
    <dgm:cxn modelId="{E02C2A5A-B365-4ED4-A49E-23A96D5EC499}" type="presParOf" srcId="{2D937A75-32B4-4D3E-BAF0-55C47EC25224}" destId="{1497B00C-41BA-4CC1-A677-C428F8C3C174}" srcOrd="1" destOrd="0" presId="urn:microsoft.com/office/officeart/2005/8/layout/cycle2"/>
    <dgm:cxn modelId="{F6D56AC7-0CD9-4A05-A49E-4BC3DEBA2C09}" type="presParOf" srcId="{1497B00C-41BA-4CC1-A677-C428F8C3C174}" destId="{6AF0E1EF-8CE7-43D5-B25B-497E17DD3E10}" srcOrd="0" destOrd="0" presId="urn:microsoft.com/office/officeart/2005/8/layout/cycle2"/>
    <dgm:cxn modelId="{1BA564E0-77EA-4B8C-8A5F-8000006587E3}" type="presParOf" srcId="{2D937A75-32B4-4D3E-BAF0-55C47EC25224}" destId="{C1357A3C-DAB8-4487-B975-B9AB1499B5D1}" srcOrd="2" destOrd="0" presId="urn:microsoft.com/office/officeart/2005/8/layout/cycle2"/>
    <dgm:cxn modelId="{380B5A9F-84E0-4D81-B2A8-725EF895847A}" type="presParOf" srcId="{2D937A75-32B4-4D3E-BAF0-55C47EC25224}" destId="{BE4BC192-1E50-4A4F-B26E-6829213615B3}" srcOrd="3" destOrd="0" presId="urn:microsoft.com/office/officeart/2005/8/layout/cycle2"/>
    <dgm:cxn modelId="{46A0234A-7C6C-4BE9-8763-2975EFD30E8D}" type="presParOf" srcId="{BE4BC192-1E50-4A4F-B26E-6829213615B3}" destId="{DBB72744-4FE7-4352-9F3B-D86CC3DBC5B8}" srcOrd="0" destOrd="0" presId="urn:microsoft.com/office/officeart/2005/8/layout/cycle2"/>
    <dgm:cxn modelId="{DD9594A6-5494-4D2D-A43B-6A8B1D476046}" type="presParOf" srcId="{2D937A75-32B4-4D3E-BAF0-55C47EC25224}" destId="{30D75B74-F0B5-48E6-87F0-534207B0354E}" srcOrd="4" destOrd="0" presId="urn:microsoft.com/office/officeart/2005/8/layout/cycle2"/>
    <dgm:cxn modelId="{41BE96CB-EF7A-46B3-BF98-0FC99821E508}" type="presParOf" srcId="{2D937A75-32B4-4D3E-BAF0-55C47EC25224}" destId="{8866B656-52FC-468E-BCAD-912F21CF3AAA}" srcOrd="5" destOrd="0" presId="urn:microsoft.com/office/officeart/2005/8/layout/cycle2"/>
    <dgm:cxn modelId="{776323A1-9C89-4E72-86A8-919772B40AF4}" type="presParOf" srcId="{8866B656-52FC-468E-BCAD-912F21CF3AAA}" destId="{E67DE07B-9782-4704-B7C3-F3AC681382E2}" srcOrd="0" destOrd="0" presId="urn:microsoft.com/office/officeart/2005/8/layout/cycle2"/>
    <dgm:cxn modelId="{B39D43D8-7830-4275-9A15-9EB1E8D1CCFE}" type="presParOf" srcId="{2D937A75-32B4-4D3E-BAF0-55C47EC25224}" destId="{F6288F8E-AB1A-470A-8128-379034643A0C}" srcOrd="6" destOrd="0" presId="urn:microsoft.com/office/officeart/2005/8/layout/cycle2"/>
    <dgm:cxn modelId="{6F2A6CD5-028B-4657-AB15-99D95FFB3B97}" type="presParOf" srcId="{2D937A75-32B4-4D3E-BAF0-55C47EC25224}" destId="{53033ACE-9387-4001-855B-C589F86D5EE8}" srcOrd="7" destOrd="0" presId="urn:microsoft.com/office/officeart/2005/8/layout/cycle2"/>
    <dgm:cxn modelId="{5DC47E94-07BB-4850-8C37-5E42B99CBD5A}" type="presParOf" srcId="{53033ACE-9387-4001-855B-C589F86D5EE8}" destId="{D5827FA1-1055-4E39-8C38-5020BDCC3C99}" srcOrd="0" destOrd="0" presId="urn:microsoft.com/office/officeart/2005/8/layout/cycle2"/>
    <dgm:cxn modelId="{07694ACB-C418-4627-B833-C4D2EC8B2672}" type="presParOf" srcId="{2D937A75-32B4-4D3E-BAF0-55C47EC25224}" destId="{D0FA9B50-262E-457A-886B-1940CE90631E}" srcOrd="8" destOrd="0" presId="urn:microsoft.com/office/officeart/2005/8/layout/cycle2"/>
    <dgm:cxn modelId="{BF7C3B48-06B8-4A42-ACB7-B7BFE7F70A03}" type="presParOf" srcId="{2D937A75-32B4-4D3E-BAF0-55C47EC25224}" destId="{4E8E9CE7-9586-4F1D-946B-C8D9B71BB8FE}" srcOrd="9" destOrd="0" presId="urn:microsoft.com/office/officeart/2005/8/layout/cycle2"/>
    <dgm:cxn modelId="{E23E3959-C8AC-4215-B597-977836F364E1}" type="presParOf" srcId="{4E8E9CE7-9586-4F1D-946B-C8D9B71BB8FE}" destId="{C8EAB993-F477-40E4-8949-E0FF5A24E515}" srcOrd="0" destOrd="0" presId="urn:microsoft.com/office/officeart/2005/8/layout/cycle2"/>
    <dgm:cxn modelId="{49A5669D-CE47-4FD5-91AA-145DE78A078F}" type="presParOf" srcId="{2D937A75-32B4-4D3E-BAF0-55C47EC25224}" destId="{09BBB66B-E83B-46F3-A126-A224F8A5BF21}" srcOrd="10" destOrd="0" presId="urn:microsoft.com/office/officeart/2005/8/layout/cycle2"/>
    <dgm:cxn modelId="{0B8E4433-65BC-47CF-A64B-BB6C4C649E54}" type="presParOf" srcId="{2D937A75-32B4-4D3E-BAF0-55C47EC25224}" destId="{B807CE17-A940-4297-842B-8326205B04C7}" srcOrd="11" destOrd="0" presId="urn:microsoft.com/office/officeart/2005/8/layout/cycle2"/>
    <dgm:cxn modelId="{9A63AB4E-DC3C-4DF7-8B78-A0508F0F18DB}" type="presParOf" srcId="{B807CE17-A940-4297-842B-8326205B04C7}" destId="{6F1D82D6-FCD6-42B1-8F11-0BCDD7A09E15}"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94556-88A6-4C67-B8F4-04C9AB7AA8C1}">
      <dsp:nvSpPr>
        <dsp:cNvPr id="0" name=""/>
        <dsp:cNvSpPr/>
      </dsp:nvSpPr>
      <dsp:spPr>
        <a:xfrm>
          <a:off x="2229519" y="1147"/>
          <a:ext cx="1027360" cy="1027360"/>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Description</a:t>
          </a:r>
        </a:p>
      </dsp:txBody>
      <dsp:txXfrm>
        <a:off x="2379972" y="151600"/>
        <a:ext cx="726454" cy="726454"/>
      </dsp:txXfrm>
    </dsp:sp>
    <dsp:sp modelId="{1497B00C-41BA-4CC1-A677-C428F8C3C174}">
      <dsp:nvSpPr>
        <dsp:cNvPr id="0" name=""/>
        <dsp:cNvSpPr/>
      </dsp:nvSpPr>
      <dsp:spPr>
        <a:xfrm rot="1800000">
          <a:off x="3267929" y="723239"/>
          <a:ext cx="273062" cy="346734"/>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273417" y="772106"/>
        <a:ext cx="191143" cy="208040"/>
      </dsp:txXfrm>
    </dsp:sp>
    <dsp:sp modelId="{C1357A3C-DAB8-4487-B975-B9AB1499B5D1}">
      <dsp:nvSpPr>
        <dsp:cNvPr id="0" name=""/>
        <dsp:cNvSpPr/>
      </dsp:nvSpPr>
      <dsp:spPr>
        <a:xfrm>
          <a:off x="3565426" y="772433"/>
          <a:ext cx="1027360" cy="1027360"/>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Feelings</a:t>
          </a:r>
        </a:p>
      </dsp:txBody>
      <dsp:txXfrm>
        <a:off x="3715879" y="922886"/>
        <a:ext cx="726454" cy="726454"/>
      </dsp:txXfrm>
    </dsp:sp>
    <dsp:sp modelId="{BE4BC192-1E50-4A4F-B26E-6829213615B3}">
      <dsp:nvSpPr>
        <dsp:cNvPr id="0" name=""/>
        <dsp:cNvSpPr/>
      </dsp:nvSpPr>
      <dsp:spPr>
        <a:xfrm rot="5400000">
          <a:off x="3942575" y="1876304"/>
          <a:ext cx="273062" cy="346734"/>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983535" y="1904692"/>
        <a:ext cx="191143" cy="208040"/>
      </dsp:txXfrm>
    </dsp:sp>
    <dsp:sp modelId="{30D75B74-F0B5-48E6-87F0-534207B0354E}">
      <dsp:nvSpPr>
        <dsp:cNvPr id="0" name=""/>
        <dsp:cNvSpPr/>
      </dsp:nvSpPr>
      <dsp:spPr>
        <a:xfrm>
          <a:off x="3565426" y="2315005"/>
          <a:ext cx="1027360" cy="1027360"/>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Evaluation</a:t>
          </a:r>
        </a:p>
      </dsp:txBody>
      <dsp:txXfrm>
        <a:off x="3715879" y="2465458"/>
        <a:ext cx="726454" cy="726454"/>
      </dsp:txXfrm>
    </dsp:sp>
    <dsp:sp modelId="{8866B656-52FC-468E-BCAD-912F21CF3AAA}">
      <dsp:nvSpPr>
        <dsp:cNvPr id="0" name=""/>
        <dsp:cNvSpPr/>
      </dsp:nvSpPr>
      <dsp:spPr>
        <a:xfrm rot="9000000">
          <a:off x="3281315" y="3037098"/>
          <a:ext cx="273062" cy="346734"/>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3357746" y="3085965"/>
        <a:ext cx="191143" cy="208040"/>
      </dsp:txXfrm>
    </dsp:sp>
    <dsp:sp modelId="{F6288F8E-AB1A-470A-8128-379034643A0C}">
      <dsp:nvSpPr>
        <dsp:cNvPr id="0" name=""/>
        <dsp:cNvSpPr/>
      </dsp:nvSpPr>
      <dsp:spPr>
        <a:xfrm>
          <a:off x="2229519" y="3086292"/>
          <a:ext cx="1027360" cy="1027360"/>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Analysis</a:t>
          </a:r>
        </a:p>
      </dsp:txBody>
      <dsp:txXfrm>
        <a:off x="2379972" y="3236745"/>
        <a:ext cx="726454" cy="726454"/>
      </dsp:txXfrm>
    </dsp:sp>
    <dsp:sp modelId="{53033ACE-9387-4001-855B-C589F86D5EE8}">
      <dsp:nvSpPr>
        <dsp:cNvPr id="0" name=""/>
        <dsp:cNvSpPr/>
      </dsp:nvSpPr>
      <dsp:spPr>
        <a:xfrm rot="12600000">
          <a:off x="1945408" y="3044826"/>
          <a:ext cx="273062" cy="346734"/>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2021839" y="3134653"/>
        <a:ext cx="191143" cy="208040"/>
      </dsp:txXfrm>
    </dsp:sp>
    <dsp:sp modelId="{D0FA9B50-262E-457A-886B-1940CE90631E}">
      <dsp:nvSpPr>
        <dsp:cNvPr id="0" name=""/>
        <dsp:cNvSpPr/>
      </dsp:nvSpPr>
      <dsp:spPr>
        <a:xfrm>
          <a:off x="893612" y="2315005"/>
          <a:ext cx="1027360" cy="1027360"/>
        </a:xfrm>
        <a:prstGeom prst="ellipse">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Conclusion</a:t>
          </a:r>
        </a:p>
      </dsp:txBody>
      <dsp:txXfrm>
        <a:off x="1044065" y="2465458"/>
        <a:ext cx="726454" cy="726454"/>
      </dsp:txXfrm>
    </dsp:sp>
    <dsp:sp modelId="{4E8E9CE7-9586-4F1D-946B-C8D9B71BB8FE}">
      <dsp:nvSpPr>
        <dsp:cNvPr id="0" name=""/>
        <dsp:cNvSpPr/>
      </dsp:nvSpPr>
      <dsp:spPr>
        <a:xfrm rot="16200000">
          <a:off x="1270761" y="1891761"/>
          <a:ext cx="273062" cy="346734"/>
        </a:xfrm>
        <a:prstGeom prst="righ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311721" y="2002068"/>
        <a:ext cx="191143" cy="208040"/>
      </dsp:txXfrm>
    </dsp:sp>
    <dsp:sp modelId="{09BBB66B-E83B-46F3-A126-A224F8A5BF21}">
      <dsp:nvSpPr>
        <dsp:cNvPr id="0" name=""/>
        <dsp:cNvSpPr/>
      </dsp:nvSpPr>
      <dsp:spPr>
        <a:xfrm>
          <a:off x="893612" y="772433"/>
          <a:ext cx="1027360" cy="1027360"/>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Action Plan</a:t>
          </a:r>
        </a:p>
      </dsp:txBody>
      <dsp:txXfrm>
        <a:off x="1044065" y="922886"/>
        <a:ext cx="726454" cy="726454"/>
      </dsp:txXfrm>
    </dsp:sp>
    <dsp:sp modelId="{B807CE17-A940-4297-842B-8326205B04C7}">
      <dsp:nvSpPr>
        <dsp:cNvPr id="0" name=""/>
        <dsp:cNvSpPr/>
      </dsp:nvSpPr>
      <dsp:spPr>
        <a:xfrm rot="19800000">
          <a:off x="1932022" y="730967"/>
          <a:ext cx="273062" cy="346734"/>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937510" y="820794"/>
        <a:ext cx="191143" cy="20804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289D0-F606-4E8F-BFE4-FAB0B1FB8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26</Pages>
  <Words>7718</Words>
  <Characters>43994</Characters>
  <Application>Microsoft Office Word</Application>
  <DocSecurity>0</DocSecurity>
  <Lines>366</Lines>
  <Paragraphs>103</Paragraphs>
  <ScaleCrop>false</ScaleCrop>
  <Company/>
  <LinksUpToDate>false</LinksUpToDate>
  <CharactersWithSpaces>51609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1</dc:creator>
  <cp:keywords/>
  <dc:description/>
  <cp:lastModifiedBy>vivek singireddy</cp:lastModifiedBy>
  <cp:revision>210</cp:revision>
  <dcterms:created xsi:type="dcterms:W3CDTF">2026-08-07T05:39:00Z</dcterms:created>
  <dcterms:modified xsi:type="dcterms:W3CDTF">2026-08-12T16:00:00Z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93879269-ef60-4be5-97b2-752b41999ac1</vt:lpwstr>
  </property>
</Properties>
</file>