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880745" w14:textId="77777777" w:rsidR="00AD31FD" w:rsidRPr="00C95A50" w:rsidRDefault="00AD31FD" w:rsidP="00C95A50">
      <w:pPr>
        <w:rPr>
          <w:rFonts w:eastAsia="Times New Roman"/>
        </w:rPr>
      </w:pPr>
      <w:r w:rsidRPr="00C95A50">
        <w:t>Name: Petrica Marin</w:t>
      </w:r>
    </w:p>
    <w:p w14:paraId="068B96D2" w14:textId="77777777" w:rsidR="00AD31FD" w:rsidRPr="00C95A50" w:rsidRDefault="00AD31FD" w:rsidP="00C95A50">
      <w:r w:rsidRPr="00C95A50">
        <w:t>Student number: 2333794</w:t>
      </w:r>
    </w:p>
    <w:p w14:paraId="3425A4F8" w14:textId="61636A53" w:rsidR="00AD31FD" w:rsidRPr="00C95A50" w:rsidRDefault="00AD31FD" w:rsidP="00C95A50">
      <w:r w:rsidRPr="00C95A50">
        <w:t>Module code and title: LCLM_600</w:t>
      </w:r>
      <w:r w:rsidR="009107B9" w:rsidRPr="00C95A50">
        <w:t>2</w:t>
      </w:r>
      <w:r w:rsidRPr="00C95A50">
        <w:t xml:space="preserve"> </w:t>
      </w:r>
      <w:r w:rsidR="0056044A" w:rsidRPr="00C95A50">
        <w:rPr>
          <w:bCs/>
        </w:rPr>
        <w:t xml:space="preserve">Design Thinking </w:t>
      </w:r>
      <w:r w:rsidR="00023C14" w:rsidRPr="00C95A50">
        <w:rPr>
          <w:bCs/>
        </w:rPr>
        <w:t>and Innovation</w:t>
      </w:r>
    </w:p>
    <w:p w14:paraId="23369E27" w14:textId="31E93520" w:rsidR="00AD31FD" w:rsidRPr="00C95A50" w:rsidRDefault="00AD31FD" w:rsidP="00C95A50">
      <w:r w:rsidRPr="00C95A50">
        <w:t xml:space="preserve">Lecturer name: </w:t>
      </w:r>
      <w:r w:rsidR="00023C14" w:rsidRPr="00C95A50">
        <w:t xml:space="preserve">Navid </w:t>
      </w:r>
      <w:proofErr w:type="spellStart"/>
      <w:r w:rsidR="00EA3286" w:rsidRPr="00C95A50">
        <w:t>Nasirpourosgoe</w:t>
      </w:r>
      <w:r w:rsidR="005C04D0" w:rsidRPr="00C95A50">
        <w:t>i</w:t>
      </w:r>
      <w:proofErr w:type="spellEnd"/>
    </w:p>
    <w:p w14:paraId="015E12C4" w14:textId="218D0D30" w:rsidR="00AD31FD" w:rsidRPr="00C95A50" w:rsidRDefault="00AD31FD" w:rsidP="00C95A50">
      <w:pPr>
        <w:spacing w:before="120" w:after="120"/>
        <w:jc w:val="both"/>
        <w:rPr>
          <w:color w:val="000000"/>
        </w:rPr>
      </w:pPr>
      <w:r w:rsidRPr="00C95A50">
        <w:t xml:space="preserve">Assignment title: </w:t>
      </w:r>
      <w:r w:rsidR="003135B5" w:rsidRPr="00C95A50">
        <w:rPr>
          <w:color w:val="000000"/>
        </w:rPr>
        <w:t>Design Thinking and Innovation through Digital Transformation</w:t>
      </w:r>
    </w:p>
    <w:p w14:paraId="13A94F69" w14:textId="77777777" w:rsidR="00D13C2D" w:rsidRPr="00C95A50" w:rsidRDefault="00D13C2D" w:rsidP="00C95A50">
      <w:pPr>
        <w:spacing w:before="120" w:after="120"/>
        <w:jc w:val="both"/>
        <w:rPr>
          <w:color w:val="000000"/>
        </w:rPr>
      </w:pPr>
    </w:p>
    <w:sdt>
      <w:sdtPr>
        <w:rPr>
          <w:rFonts w:ascii="Arial" w:eastAsia="Arial" w:hAnsi="Arial" w:cs="Arial"/>
          <w:b w:val="0"/>
          <w:bCs w:val="0"/>
          <w:color w:val="auto"/>
          <w:sz w:val="22"/>
          <w:szCs w:val="22"/>
          <w:lang w:val="en-GB" w:eastAsia="en-GB"/>
        </w:rPr>
        <w:id w:val="-1675105055"/>
        <w:docPartObj>
          <w:docPartGallery w:val="Table of Contents"/>
          <w:docPartUnique/>
        </w:docPartObj>
      </w:sdtPr>
      <w:sdtEndPr>
        <w:rPr>
          <w:noProof/>
        </w:rPr>
      </w:sdtEndPr>
      <w:sdtContent>
        <w:p w14:paraId="56D94A1A" w14:textId="7B60DD3B" w:rsidR="00663E40" w:rsidRPr="00C95A50" w:rsidRDefault="00663E40" w:rsidP="00C95A50">
          <w:pPr>
            <w:pStyle w:val="TOCHeading"/>
            <w:spacing w:line="360" w:lineRule="auto"/>
            <w:rPr>
              <w:rFonts w:ascii="Arial" w:hAnsi="Arial" w:cs="Arial"/>
              <w:sz w:val="22"/>
              <w:szCs w:val="22"/>
            </w:rPr>
          </w:pPr>
          <w:r w:rsidRPr="00C95A50">
            <w:rPr>
              <w:rFonts w:ascii="Arial" w:hAnsi="Arial" w:cs="Arial"/>
              <w:sz w:val="22"/>
              <w:szCs w:val="22"/>
            </w:rPr>
            <w:t>Table of Contents</w:t>
          </w:r>
        </w:p>
        <w:p w14:paraId="2139FC90" w14:textId="72C3B3A5" w:rsidR="00C95A50" w:rsidRPr="00C95A50" w:rsidRDefault="00663E40" w:rsidP="00C95A50">
          <w:pPr>
            <w:pStyle w:val="TOC1"/>
            <w:tabs>
              <w:tab w:val="right" w:leader="dot" w:pos="9010"/>
            </w:tabs>
            <w:rPr>
              <w:rFonts w:ascii="Arial" w:eastAsiaTheme="minorEastAsia" w:hAnsi="Arial"/>
              <w:b w:val="0"/>
              <w:bCs w:val="0"/>
              <w:i w:val="0"/>
              <w:iCs w:val="0"/>
              <w:noProof/>
              <w:kern w:val="2"/>
              <w:sz w:val="22"/>
              <w:szCs w:val="22"/>
              <w14:ligatures w14:val="standardContextual"/>
            </w:rPr>
          </w:pPr>
          <w:r w:rsidRPr="00C95A50">
            <w:rPr>
              <w:rFonts w:ascii="Arial" w:hAnsi="Arial"/>
              <w:b w:val="0"/>
              <w:bCs w:val="0"/>
              <w:sz w:val="22"/>
              <w:szCs w:val="22"/>
            </w:rPr>
            <w:fldChar w:fldCharType="begin"/>
          </w:r>
          <w:r w:rsidRPr="00C95A50">
            <w:rPr>
              <w:rFonts w:ascii="Arial" w:hAnsi="Arial"/>
              <w:sz w:val="22"/>
              <w:szCs w:val="22"/>
            </w:rPr>
            <w:instrText xml:space="preserve"> TOC \o "1-3" \h \z \u </w:instrText>
          </w:r>
          <w:r w:rsidRPr="00C95A50">
            <w:rPr>
              <w:rFonts w:ascii="Arial" w:hAnsi="Arial"/>
              <w:b w:val="0"/>
              <w:bCs w:val="0"/>
              <w:sz w:val="22"/>
              <w:szCs w:val="22"/>
            </w:rPr>
            <w:fldChar w:fldCharType="separate"/>
          </w:r>
          <w:hyperlink w:anchor="_Toc235375962" w:history="1">
            <w:r w:rsidR="00C95A50" w:rsidRPr="00C95A50">
              <w:rPr>
                <w:rStyle w:val="Hyperlink"/>
                <w:rFonts w:ascii="Arial" w:hAnsi="Arial"/>
                <w:noProof/>
                <w:sz w:val="22"/>
                <w:szCs w:val="22"/>
              </w:rPr>
              <w:t>Design Thinking and Innovation through Digital Transformation</w:t>
            </w:r>
            <w:r w:rsidR="00C95A50" w:rsidRPr="00C95A50">
              <w:rPr>
                <w:rFonts w:ascii="Arial" w:hAnsi="Arial"/>
                <w:noProof/>
                <w:webHidden/>
                <w:sz w:val="22"/>
                <w:szCs w:val="22"/>
              </w:rPr>
              <w:tab/>
            </w:r>
            <w:r w:rsidR="00C95A50" w:rsidRPr="00C95A50">
              <w:rPr>
                <w:rFonts w:ascii="Arial" w:hAnsi="Arial"/>
                <w:noProof/>
                <w:webHidden/>
                <w:sz w:val="22"/>
                <w:szCs w:val="22"/>
              </w:rPr>
              <w:fldChar w:fldCharType="begin"/>
            </w:r>
            <w:r w:rsidR="00C95A50" w:rsidRPr="00C95A50">
              <w:rPr>
                <w:rFonts w:ascii="Arial" w:hAnsi="Arial"/>
                <w:noProof/>
                <w:webHidden/>
                <w:sz w:val="22"/>
                <w:szCs w:val="22"/>
              </w:rPr>
              <w:instrText xml:space="preserve"> PAGEREF _Toc235375962 \h </w:instrText>
            </w:r>
            <w:r w:rsidR="00C95A50" w:rsidRPr="00C95A50">
              <w:rPr>
                <w:rFonts w:ascii="Arial" w:hAnsi="Arial"/>
                <w:noProof/>
                <w:webHidden/>
                <w:sz w:val="22"/>
                <w:szCs w:val="22"/>
              </w:rPr>
            </w:r>
            <w:r w:rsidR="00C95A50" w:rsidRPr="00C95A50">
              <w:rPr>
                <w:rFonts w:ascii="Arial" w:hAnsi="Arial"/>
                <w:noProof/>
                <w:webHidden/>
                <w:sz w:val="22"/>
                <w:szCs w:val="22"/>
              </w:rPr>
              <w:fldChar w:fldCharType="separate"/>
            </w:r>
            <w:r w:rsidR="00C95A50" w:rsidRPr="00C95A50">
              <w:rPr>
                <w:rFonts w:ascii="Arial" w:hAnsi="Arial"/>
                <w:noProof/>
                <w:webHidden/>
                <w:sz w:val="22"/>
                <w:szCs w:val="22"/>
              </w:rPr>
              <w:t>2</w:t>
            </w:r>
            <w:r w:rsidR="00C95A50" w:rsidRPr="00C95A50">
              <w:rPr>
                <w:rFonts w:ascii="Arial" w:hAnsi="Arial"/>
                <w:noProof/>
                <w:webHidden/>
                <w:sz w:val="22"/>
                <w:szCs w:val="22"/>
              </w:rPr>
              <w:fldChar w:fldCharType="end"/>
            </w:r>
          </w:hyperlink>
        </w:p>
        <w:p w14:paraId="489AD536" w14:textId="33966C9C" w:rsidR="00C95A50" w:rsidRPr="00C95A50" w:rsidRDefault="00C95A50" w:rsidP="00C95A50">
          <w:pPr>
            <w:pStyle w:val="TOC1"/>
            <w:tabs>
              <w:tab w:val="right" w:leader="dot" w:pos="9010"/>
            </w:tabs>
            <w:rPr>
              <w:rFonts w:ascii="Arial" w:eastAsiaTheme="minorEastAsia" w:hAnsi="Arial"/>
              <w:b w:val="0"/>
              <w:bCs w:val="0"/>
              <w:i w:val="0"/>
              <w:iCs w:val="0"/>
              <w:noProof/>
              <w:kern w:val="2"/>
              <w:sz w:val="22"/>
              <w:szCs w:val="22"/>
              <w14:ligatures w14:val="standardContextual"/>
            </w:rPr>
          </w:pPr>
          <w:hyperlink w:anchor="_Toc235375963" w:history="1">
            <w:r w:rsidRPr="00C95A50">
              <w:rPr>
                <w:rStyle w:val="Hyperlink"/>
                <w:rFonts w:ascii="Arial" w:hAnsi="Arial"/>
                <w:noProof/>
                <w:sz w:val="22"/>
                <w:szCs w:val="22"/>
              </w:rPr>
              <w:t>2. Task 1: Identifying Key Opportunity Areas in the UK Market</w:t>
            </w:r>
            <w:r w:rsidRPr="00C95A50">
              <w:rPr>
                <w:rFonts w:ascii="Arial" w:hAnsi="Arial"/>
                <w:noProof/>
                <w:webHidden/>
                <w:sz w:val="22"/>
                <w:szCs w:val="22"/>
              </w:rPr>
              <w:tab/>
            </w:r>
            <w:r w:rsidRPr="00C95A50">
              <w:rPr>
                <w:rFonts w:ascii="Arial" w:hAnsi="Arial"/>
                <w:noProof/>
                <w:webHidden/>
                <w:sz w:val="22"/>
                <w:szCs w:val="22"/>
              </w:rPr>
              <w:fldChar w:fldCharType="begin"/>
            </w:r>
            <w:r w:rsidRPr="00C95A50">
              <w:rPr>
                <w:rFonts w:ascii="Arial" w:hAnsi="Arial"/>
                <w:noProof/>
                <w:webHidden/>
                <w:sz w:val="22"/>
                <w:szCs w:val="22"/>
              </w:rPr>
              <w:instrText xml:space="preserve"> PAGEREF _Toc235375963 \h </w:instrText>
            </w:r>
            <w:r w:rsidRPr="00C95A50">
              <w:rPr>
                <w:rFonts w:ascii="Arial" w:hAnsi="Arial"/>
                <w:noProof/>
                <w:webHidden/>
                <w:sz w:val="22"/>
                <w:szCs w:val="22"/>
              </w:rPr>
            </w:r>
            <w:r w:rsidRPr="00C95A50">
              <w:rPr>
                <w:rFonts w:ascii="Arial" w:hAnsi="Arial"/>
                <w:noProof/>
                <w:webHidden/>
                <w:sz w:val="22"/>
                <w:szCs w:val="22"/>
              </w:rPr>
              <w:fldChar w:fldCharType="separate"/>
            </w:r>
            <w:r w:rsidRPr="00C95A50">
              <w:rPr>
                <w:rFonts w:ascii="Arial" w:hAnsi="Arial"/>
                <w:noProof/>
                <w:webHidden/>
                <w:sz w:val="22"/>
                <w:szCs w:val="22"/>
              </w:rPr>
              <w:t>2</w:t>
            </w:r>
            <w:r w:rsidRPr="00C95A50">
              <w:rPr>
                <w:rFonts w:ascii="Arial" w:hAnsi="Arial"/>
                <w:noProof/>
                <w:webHidden/>
                <w:sz w:val="22"/>
                <w:szCs w:val="22"/>
              </w:rPr>
              <w:fldChar w:fldCharType="end"/>
            </w:r>
          </w:hyperlink>
        </w:p>
        <w:p w14:paraId="76F25B98" w14:textId="76FF1C53" w:rsidR="00C95A50" w:rsidRPr="00C95A50" w:rsidRDefault="00C95A50" w:rsidP="00C95A50">
          <w:pPr>
            <w:pStyle w:val="TOC2"/>
            <w:tabs>
              <w:tab w:val="right" w:leader="dot" w:pos="9010"/>
            </w:tabs>
            <w:rPr>
              <w:rFonts w:ascii="Arial" w:eastAsiaTheme="minorEastAsia" w:hAnsi="Arial"/>
              <w:b w:val="0"/>
              <w:bCs w:val="0"/>
              <w:noProof/>
              <w:kern w:val="2"/>
              <w14:ligatures w14:val="standardContextual"/>
            </w:rPr>
          </w:pPr>
          <w:hyperlink w:anchor="_Toc235375964" w:history="1">
            <w:r w:rsidRPr="00C95A50">
              <w:rPr>
                <w:rStyle w:val="Hyperlink"/>
                <w:rFonts w:ascii="Arial" w:hAnsi="Arial"/>
                <w:noProof/>
              </w:rPr>
              <w:t>2.1 Framework and Method</w:t>
            </w:r>
            <w:r w:rsidRPr="00C95A50">
              <w:rPr>
                <w:rFonts w:ascii="Arial" w:hAnsi="Arial"/>
                <w:noProof/>
                <w:webHidden/>
              </w:rPr>
              <w:tab/>
            </w:r>
            <w:r w:rsidRPr="00C95A50">
              <w:rPr>
                <w:rFonts w:ascii="Arial" w:hAnsi="Arial"/>
                <w:noProof/>
                <w:webHidden/>
              </w:rPr>
              <w:fldChar w:fldCharType="begin"/>
            </w:r>
            <w:r w:rsidRPr="00C95A50">
              <w:rPr>
                <w:rFonts w:ascii="Arial" w:hAnsi="Arial"/>
                <w:noProof/>
                <w:webHidden/>
              </w:rPr>
              <w:instrText xml:space="preserve"> PAGEREF _Toc235375964 \h </w:instrText>
            </w:r>
            <w:r w:rsidRPr="00C95A50">
              <w:rPr>
                <w:rFonts w:ascii="Arial" w:hAnsi="Arial"/>
                <w:noProof/>
                <w:webHidden/>
              </w:rPr>
            </w:r>
            <w:r w:rsidRPr="00C95A50">
              <w:rPr>
                <w:rFonts w:ascii="Arial" w:hAnsi="Arial"/>
                <w:noProof/>
                <w:webHidden/>
              </w:rPr>
              <w:fldChar w:fldCharType="separate"/>
            </w:r>
            <w:r w:rsidRPr="00C95A50">
              <w:rPr>
                <w:rFonts w:ascii="Arial" w:hAnsi="Arial"/>
                <w:noProof/>
                <w:webHidden/>
              </w:rPr>
              <w:t>2</w:t>
            </w:r>
            <w:r w:rsidRPr="00C95A50">
              <w:rPr>
                <w:rFonts w:ascii="Arial" w:hAnsi="Arial"/>
                <w:noProof/>
                <w:webHidden/>
              </w:rPr>
              <w:fldChar w:fldCharType="end"/>
            </w:r>
          </w:hyperlink>
        </w:p>
        <w:p w14:paraId="4AB0D466" w14:textId="628F90A3" w:rsidR="00C95A50" w:rsidRPr="00C95A50" w:rsidRDefault="00C95A50" w:rsidP="00C95A50">
          <w:pPr>
            <w:pStyle w:val="TOC2"/>
            <w:tabs>
              <w:tab w:val="right" w:leader="dot" w:pos="9010"/>
            </w:tabs>
            <w:rPr>
              <w:rFonts w:ascii="Arial" w:eastAsiaTheme="minorEastAsia" w:hAnsi="Arial"/>
              <w:b w:val="0"/>
              <w:bCs w:val="0"/>
              <w:noProof/>
              <w:kern w:val="2"/>
              <w14:ligatures w14:val="standardContextual"/>
            </w:rPr>
          </w:pPr>
          <w:hyperlink w:anchor="_Toc235375965" w:history="1">
            <w:r w:rsidRPr="00C95A50">
              <w:rPr>
                <w:rStyle w:val="Hyperlink"/>
                <w:rFonts w:ascii="Arial" w:hAnsi="Arial"/>
                <w:noProof/>
              </w:rPr>
              <w:t>2.3 Opportunity Area Two: Digital Enablement for Service-Sector SMEs</w:t>
            </w:r>
            <w:r w:rsidRPr="00C95A50">
              <w:rPr>
                <w:rFonts w:ascii="Arial" w:hAnsi="Arial"/>
                <w:noProof/>
                <w:webHidden/>
              </w:rPr>
              <w:tab/>
            </w:r>
            <w:r w:rsidRPr="00C95A50">
              <w:rPr>
                <w:rFonts w:ascii="Arial" w:hAnsi="Arial"/>
                <w:noProof/>
                <w:webHidden/>
              </w:rPr>
              <w:fldChar w:fldCharType="begin"/>
            </w:r>
            <w:r w:rsidRPr="00C95A50">
              <w:rPr>
                <w:rFonts w:ascii="Arial" w:hAnsi="Arial"/>
                <w:noProof/>
                <w:webHidden/>
              </w:rPr>
              <w:instrText xml:space="preserve"> PAGEREF _Toc235375965 \h </w:instrText>
            </w:r>
            <w:r w:rsidRPr="00C95A50">
              <w:rPr>
                <w:rFonts w:ascii="Arial" w:hAnsi="Arial"/>
                <w:noProof/>
                <w:webHidden/>
              </w:rPr>
            </w:r>
            <w:r w:rsidRPr="00C95A50">
              <w:rPr>
                <w:rFonts w:ascii="Arial" w:hAnsi="Arial"/>
                <w:noProof/>
                <w:webHidden/>
              </w:rPr>
              <w:fldChar w:fldCharType="separate"/>
            </w:r>
            <w:r w:rsidRPr="00C95A50">
              <w:rPr>
                <w:rFonts w:ascii="Arial" w:hAnsi="Arial"/>
                <w:noProof/>
                <w:webHidden/>
              </w:rPr>
              <w:t>4</w:t>
            </w:r>
            <w:r w:rsidRPr="00C95A50">
              <w:rPr>
                <w:rFonts w:ascii="Arial" w:hAnsi="Arial"/>
                <w:noProof/>
                <w:webHidden/>
              </w:rPr>
              <w:fldChar w:fldCharType="end"/>
            </w:r>
          </w:hyperlink>
        </w:p>
        <w:p w14:paraId="7CD12265" w14:textId="5153D870" w:rsidR="00C95A50" w:rsidRPr="00C95A50" w:rsidRDefault="00C95A50" w:rsidP="00C95A50">
          <w:pPr>
            <w:pStyle w:val="TOC2"/>
            <w:tabs>
              <w:tab w:val="right" w:leader="dot" w:pos="9010"/>
            </w:tabs>
            <w:rPr>
              <w:rFonts w:ascii="Arial" w:eastAsiaTheme="minorEastAsia" w:hAnsi="Arial"/>
              <w:b w:val="0"/>
              <w:bCs w:val="0"/>
              <w:noProof/>
              <w:kern w:val="2"/>
              <w14:ligatures w14:val="standardContextual"/>
            </w:rPr>
          </w:pPr>
          <w:hyperlink w:anchor="_Toc235375966" w:history="1">
            <w:r w:rsidRPr="00C95A50">
              <w:rPr>
                <w:rStyle w:val="Hyperlink"/>
                <w:rFonts w:ascii="Arial" w:hAnsi="Arial"/>
                <w:noProof/>
              </w:rPr>
              <w:t>2.4 Opportunity Area Three: Integrated Digital Payments for Micro-Retailers</w:t>
            </w:r>
            <w:r w:rsidRPr="00C95A50">
              <w:rPr>
                <w:rFonts w:ascii="Arial" w:hAnsi="Arial"/>
                <w:noProof/>
                <w:webHidden/>
              </w:rPr>
              <w:tab/>
            </w:r>
            <w:r w:rsidRPr="00C95A50">
              <w:rPr>
                <w:rFonts w:ascii="Arial" w:hAnsi="Arial"/>
                <w:noProof/>
                <w:webHidden/>
              </w:rPr>
              <w:fldChar w:fldCharType="begin"/>
            </w:r>
            <w:r w:rsidRPr="00C95A50">
              <w:rPr>
                <w:rFonts w:ascii="Arial" w:hAnsi="Arial"/>
                <w:noProof/>
                <w:webHidden/>
              </w:rPr>
              <w:instrText xml:space="preserve"> PAGEREF _Toc235375966 \h </w:instrText>
            </w:r>
            <w:r w:rsidRPr="00C95A50">
              <w:rPr>
                <w:rFonts w:ascii="Arial" w:hAnsi="Arial"/>
                <w:noProof/>
                <w:webHidden/>
              </w:rPr>
            </w:r>
            <w:r w:rsidRPr="00C95A50">
              <w:rPr>
                <w:rFonts w:ascii="Arial" w:hAnsi="Arial"/>
                <w:noProof/>
                <w:webHidden/>
              </w:rPr>
              <w:fldChar w:fldCharType="separate"/>
            </w:r>
            <w:r w:rsidRPr="00C95A50">
              <w:rPr>
                <w:rFonts w:ascii="Arial" w:hAnsi="Arial"/>
                <w:noProof/>
                <w:webHidden/>
              </w:rPr>
              <w:t>5</w:t>
            </w:r>
            <w:r w:rsidRPr="00C95A50">
              <w:rPr>
                <w:rFonts w:ascii="Arial" w:hAnsi="Arial"/>
                <w:noProof/>
                <w:webHidden/>
              </w:rPr>
              <w:fldChar w:fldCharType="end"/>
            </w:r>
          </w:hyperlink>
        </w:p>
        <w:p w14:paraId="7E21789F" w14:textId="43CD63C2" w:rsidR="00C95A50" w:rsidRPr="00C95A50" w:rsidRDefault="00C95A50" w:rsidP="00C95A50">
          <w:pPr>
            <w:pStyle w:val="TOC2"/>
            <w:tabs>
              <w:tab w:val="right" w:leader="dot" w:pos="9010"/>
            </w:tabs>
            <w:rPr>
              <w:rFonts w:ascii="Arial" w:eastAsiaTheme="minorEastAsia" w:hAnsi="Arial"/>
              <w:b w:val="0"/>
              <w:bCs w:val="0"/>
              <w:noProof/>
              <w:kern w:val="2"/>
              <w14:ligatures w14:val="standardContextual"/>
            </w:rPr>
          </w:pPr>
          <w:hyperlink w:anchor="_Toc235375967" w:history="1">
            <w:r w:rsidRPr="00C95A50">
              <w:rPr>
                <w:rStyle w:val="Hyperlink"/>
                <w:rFonts w:ascii="Arial" w:hAnsi="Arial"/>
                <w:noProof/>
              </w:rPr>
              <w:t>2.5 Opportunity Area Four: Direct-to-Consumer Tooling for Small Producers</w:t>
            </w:r>
            <w:r w:rsidRPr="00C95A50">
              <w:rPr>
                <w:rFonts w:ascii="Arial" w:hAnsi="Arial"/>
                <w:noProof/>
                <w:webHidden/>
              </w:rPr>
              <w:tab/>
            </w:r>
            <w:r w:rsidRPr="00C95A50">
              <w:rPr>
                <w:rFonts w:ascii="Arial" w:hAnsi="Arial"/>
                <w:noProof/>
                <w:webHidden/>
              </w:rPr>
              <w:fldChar w:fldCharType="begin"/>
            </w:r>
            <w:r w:rsidRPr="00C95A50">
              <w:rPr>
                <w:rFonts w:ascii="Arial" w:hAnsi="Arial"/>
                <w:noProof/>
                <w:webHidden/>
              </w:rPr>
              <w:instrText xml:space="preserve"> PAGEREF _Toc235375967 \h </w:instrText>
            </w:r>
            <w:r w:rsidRPr="00C95A50">
              <w:rPr>
                <w:rFonts w:ascii="Arial" w:hAnsi="Arial"/>
                <w:noProof/>
                <w:webHidden/>
              </w:rPr>
            </w:r>
            <w:r w:rsidRPr="00C95A50">
              <w:rPr>
                <w:rFonts w:ascii="Arial" w:hAnsi="Arial"/>
                <w:noProof/>
                <w:webHidden/>
              </w:rPr>
              <w:fldChar w:fldCharType="separate"/>
            </w:r>
            <w:r w:rsidRPr="00C95A50">
              <w:rPr>
                <w:rFonts w:ascii="Arial" w:hAnsi="Arial"/>
                <w:noProof/>
                <w:webHidden/>
              </w:rPr>
              <w:t>5</w:t>
            </w:r>
            <w:r w:rsidRPr="00C95A50">
              <w:rPr>
                <w:rFonts w:ascii="Arial" w:hAnsi="Arial"/>
                <w:noProof/>
                <w:webHidden/>
              </w:rPr>
              <w:fldChar w:fldCharType="end"/>
            </w:r>
          </w:hyperlink>
        </w:p>
        <w:p w14:paraId="651D5662" w14:textId="6EBB0054" w:rsidR="00C95A50" w:rsidRPr="00C95A50" w:rsidRDefault="00C95A50" w:rsidP="00C95A50">
          <w:pPr>
            <w:pStyle w:val="TOC2"/>
            <w:tabs>
              <w:tab w:val="right" w:leader="dot" w:pos="9010"/>
            </w:tabs>
            <w:rPr>
              <w:rFonts w:ascii="Arial" w:eastAsiaTheme="minorEastAsia" w:hAnsi="Arial"/>
              <w:b w:val="0"/>
              <w:bCs w:val="0"/>
              <w:noProof/>
              <w:kern w:val="2"/>
              <w14:ligatures w14:val="standardContextual"/>
            </w:rPr>
          </w:pPr>
          <w:hyperlink w:anchor="_Toc235375968" w:history="1">
            <w:r w:rsidRPr="00C95A50">
              <w:rPr>
                <w:rStyle w:val="Hyperlink"/>
                <w:rFonts w:ascii="Arial" w:hAnsi="Arial"/>
                <w:noProof/>
              </w:rPr>
              <w:t>2.6 Comparative Justification and Prioritisation</w:t>
            </w:r>
            <w:r w:rsidRPr="00C95A50">
              <w:rPr>
                <w:rFonts w:ascii="Arial" w:hAnsi="Arial"/>
                <w:noProof/>
                <w:webHidden/>
              </w:rPr>
              <w:tab/>
            </w:r>
            <w:r w:rsidRPr="00C95A50">
              <w:rPr>
                <w:rFonts w:ascii="Arial" w:hAnsi="Arial"/>
                <w:noProof/>
                <w:webHidden/>
              </w:rPr>
              <w:fldChar w:fldCharType="begin"/>
            </w:r>
            <w:r w:rsidRPr="00C95A50">
              <w:rPr>
                <w:rFonts w:ascii="Arial" w:hAnsi="Arial"/>
                <w:noProof/>
                <w:webHidden/>
              </w:rPr>
              <w:instrText xml:space="preserve"> PAGEREF _Toc235375968 \h </w:instrText>
            </w:r>
            <w:r w:rsidRPr="00C95A50">
              <w:rPr>
                <w:rFonts w:ascii="Arial" w:hAnsi="Arial"/>
                <w:noProof/>
                <w:webHidden/>
              </w:rPr>
            </w:r>
            <w:r w:rsidRPr="00C95A50">
              <w:rPr>
                <w:rFonts w:ascii="Arial" w:hAnsi="Arial"/>
                <w:noProof/>
                <w:webHidden/>
              </w:rPr>
              <w:fldChar w:fldCharType="separate"/>
            </w:r>
            <w:r w:rsidRPr="00C95A50">
              <w:rPr>
                <w:rFonts w:ascii="Arial" w:hAnsi="Arial"/>
                <w:noProof/>
                <w:webHidden/>
              </w:rPr>
              <w:t>6</w:t>
            </w:r>
            <w:r w:rsidRPr="00C95A50">
              <w:rPr>
                <w:rFonts w:ascii="Arial" w:hAnsi="Arial"/>
                <w:noProof/>
                <w:webHidden/>
              </w:rPr>
              <w:fldChar w:fldCharType="end"/>
            </w:r>
          </w:hyperlink>
        </w:p>
        <w:p w14:paraId="3187D9B9" w14:textId="3B0476A2" w:rsidR="00C95A50" w:rsidRPr="00C95A50" w:rsidRDefault="00C95A50" w:rsidP="00C95A50">
          <w:pPr>
            <w:pStyle w:val="TOC1"/>
            <w:tabs>
              <w:tab w:val="right" w:leader="dot" w:pos="9010"/>
            </w:tabs>
            <w:rPr>
              <w:rFonts w:ascii="Arial" w:eastAsiaTheme="minorEastAsia" w:hAnsi="Arial"/>
              <w:b w:val="0"/>
              <w:bCs w:val="0"/>
              <w:i w:val="0"/>
              <w:iCs w:val="0"/>
              <w:noProof/>
              <w:kern w:val="2"/>
              <w:sz w:val="22"/>
              <w:szCs w:val="22"/>
              <w14:ligatures w14:val="standardContextual"/>
            </w:rPr>
          </w:pPr>
          <w:hyperlink w:anchor="_Toc235375969" w:history="1">
            <w:r w:rsidRPr="00C95A50">
              <w:rPr>
                <w:rStyle w:val="Hyperlink"/>
                <w:rFonts w:ascii="Arial" w:hAnsi="Arial"/>
                <w:noProof/>
                <w:sz w:val="22"/>
                <w:szCs w:val="22"/>
              </w:rPr>
              <w:t>3. Task 2: Design Thinking Application and New Venture Concept</w:t>
            </w:r>
            <w:r w:rsidRPr="00C95A50">
              <w:rPr>
                <w:rFonts w:ascii="Arial" w:hAnsi="Arial"/>
                <w:noProof/>
                <w:webHidden/>
                <w:sz w:val="22"/>
                <w:szCs w:val="22"/>
              </w:rPr>
              <w:tab/>
            </w:r>
            <w:r w:rsidRPr="00C95A50">
              <w:rPr>
                <w:rFonts w:ascii="Arial" w:hAnsi="Arial"/>
                <w:noProof/>
                <w:webHidden/>
                <w:sz w:val="22"/>
                <w:szCs w:val="22"/>
              </w:rPr>
              <w:fldChar w:fldCharType="begin"/>
            </w:r>
            <w:r w:rsidRPr="00C95A50">
              <w:rPr>
                <w:rFonts w:ascii="Arial" w:hAnsi="Arial"/>
                <w:noProof/>
                <w:webHidden/>
                <w:sz w:val="22"/>
                <w:szCs w:val="22"/>
              </w:rPr>
              <w:instrText xml:space="preserve"> PAGEREF _Toc235375969 \h </w:instrText>
            </w:r>
            <w:r w:rsidRPr="00C95A50">
              <w:rPr>
                <w:rFonts w:ascii="Arial" w:hAnsi="Arial"/>
                <w:noProof/>
                <w:webHidden/>
                <w:sz w:val="22"/>
                <w:szCs w:val="22"/>
              </w:rPr>
            </w:r>
            <w:r w:rsidRPr="00C95A50">
              <w:rPr>
                <w:rFonts w:ascii="Arial" w:hAnsi="Arial"/>
                <w:noProof/>
                <w:webHidden/>
                <w:sz w:val="22"/>
                <w:szCs w:val="22"/>
              </w:rPr>
              <w:fldChar w:fldCharType="separate"/>
            </w:r>
            <w:r w:rsidRPr="00C95A50">
              <w:rPr>
                <w:rFonts w:ascii="Arial" w:hAnsi="Arial"/>
                <w:noProof/>
                <w:webHidden/>
                <w:sz w:val="22"/>
                <w:szCs w:val="22"/>
              </w:rPr>
              <w:t>8</w:t>
            </w:r>
            <w:r w:rsidRPr="00C95A50">
              <w:rPr>
                <w:rFonts w:ascii="Arial" w:hAnsi="Arial"/>
                <w:noProof/>
                <w:webHidden/>
                <w:sz w:val="22"/>
                <w:szCs w:val="22"/>
              </w:rPr>
              <w:fldChar w:fldCharType="end"/>
            </w:r>
          </w:hyperlink>
        </w:p>
        <w:p w14:paraId="43B86C2B" w14:textId="279DAB7B" w:rsidR="00C95A50" w:rsidRPr="00C95A50" w:rsidRDefault="00C95A50" w:rsidP="00C95A50">
          <w:pPr>
            <w:pStyle w:val="TOC2"/>
            <w:tabs>
              <w:tab w:val="right" w:leader="dot" w:pos="9010"/>
            </w:tabs>
            <w:rPr>
              <w:rFonts w:ascii="Arial" w:eastAsiaTheme="minorEastAsia" w:hAnsi="Arial"/>
              <w:b w:val="0"/>
              <w:bCs w:val="0"/>
              <w:noProof/>
              <w:kern w:val="2"/>
              <w14:ligatures w14:val="standardContextual"/>
            </w:rPr>
          </w:pPr>
          <w:hyperlink w:anchor="_Toc235375970" w:history="1">
            <w:r w:rsidRPr="00C95A50">
              <w:rPr>
                <w:rStyle w:val="Hyperlink"/>
                <w:rFonts w:ascii="Arial" w:hAnsi="Arial"/>
                <w:noProof/>
              </w:rPr>
              <w:t>3.1 Empathise</w:t>
            </w:r>
            <w:r w:rsidRPr="00C95A50">
              <w:rPr>
                <w:rFonts w:ascii="Arial" w:hAnsi="Arial"/>
                <w:noProof/>
                <w:webHidden/>
              </w:rPr>
              <w:tab/>
            </w:r>
            <w:r w:rsidRPr="00C95A50">
              <w:rPr>
                <w:rFonts w:ascii="Arial" w:hAnsi="Arial"/>
                <w:noProof/>
                <w:webHidden/>
              </w:rPr>
              <w:fldChar w:fldCharType="begin"/>
            </w:r>
            <w:r w:rsidRPr="00C95A50">
              <w:rPr>
                <w:rFonts w:ascii="Arial" w:hAnsi="Arial"/>
                <w:noProof/>
                <w:webHidden/>
              </w:rPr>
              <w:instrText xml:space="preserve"> PAGEREF _Toc235375970 \h </w:instrText>
            </w:r>
            <w:r w:rsidRPr="00C95A50">
              <w:rPr>
                <w:rFonts w:ascii="Arial" w:hAnsi="Arial"/>
                <w:noProof/>
                <w:webHidden/>
              </w:rPr>
            </w:r>
            <w:r w:rsidRPr="00C95A50">
              <w:rPr>
                <w:rFonts w:ascii="Arial" w:hAnsi="Arial"/>
                <w:noProof/>
                <w:webHidden/>
              </w:rPr>
              <w:fldChar w:fldCharType="separate"/>
            </w:r>
            <w:r w:rsidRPr="00C95A50">
              <w:rPr>
                <w:rFonts w:ascii="Arial" w:hAnsi="Arial"/>
                <w:noProof/>
                <w:webHidden/>
              </w:rPr>
              <w:t>8</w:t>
            </w:r>
            <w:r w:rsidRPr="00C95A50">
              <w:rPr>
                <w:rFonts w:ascii="Arial" w:hAnsi="Arial"/>
                <w:noProof/>
                <w:webHidden/>
              </w:rPr>
              <w:fldChar w:fldCharType="end"/>
            </w:r>
          </w:hyperlink>
        </w:p>
        <w:p w14:paraId="151A7EEC" w14:textId="2F134A0E" w:rsidR="00C95A50" w:rsidRPr="00C95A50" w:rsidRDefault="00C95A50" w:rsidP="00C95A50">
          <w:pPr>
            <w:pStyle w:val="TOC2"/>
            <w:tabs>
              <w:tab w:val="right" w:leader="dot" w:pos="9010"/>
            </w:tabs>
            <w:rPr>
              <w:rFonts w:ascii="Arial" w:eastAsiaTheme="minorEastAsia" w:hAnsi="Arial"/>
              <w:b w:val="0"/>
              <w:bCs w:val="0"/>
              <w:noProof/>
              <w:kern w:val="2"/>
              <w14:ligatures w14:val="standardContextual"/>
            </w:rPr>
          </w:pPr>
          <w:hyperlink w:anchor="_Toc235375971" w:history="1">
            <w:r w:rsidRPr="00C95A50">
              <w:rPr>
                <w:rStyle w:val="Hyperlink"/>
                <w:rFonts w:ascii="Arial" w:hAnsi="Arial"/>
                <w:noProof/>
              </w:rPr>
              <w:t>3.2 Define</w:t>
            </w:r>
            <w:r w:rsidRPr="00C95A50">
              <w:rPr>
                <w:rFonts w:ascii="Arial" w:hAnsi="Arial"/>
                <w:noProof/>
                <w:webHidden/>
              </w:rPr>
              <w:tab/>
            </w:r>
            <w:r w:rsidRPr="00C95A50">
              <w:rPr>
                <w:rFonts w:ascii="Arial" w:hAnsi="Arial"/>
                <w:noProof/>
                <w:webHidden/>
              </w:rPr>
              <w:fldChar w:fldCharType="begin"/>
            </w:r>
            <w:r w:rsidRPr="00C95A50">
              <w:rPr>
                <w:rFonts w:ascii="Arial" w:hAnsi="Arial"/>
                <w:noProof/>
                <w:webHidden/>
              </w:rPr>
              <w:instrText xml:space="preserve"> PAGEREF _Toc235375971 \h </w:instrText>
            </w:r>
            <w:r w:rsidRPr="00C95A50">
              <w:rPr>
                <w:rFonts w:ascii="Arial" w:hAnsi="Arial"/>
                <w:noProof/>
                <w:webHidden/>
              </w:rPr>
            </w:r>
            <w:r w:rsidRPr="00C95A50">
              <w:rPr>
                <w:rFonts w:ascii="Arial" w:hAnsi="Arial"/>
                <w:noProof/>
                <w:webHidden/>
              </w:rPr>
              <w:fldChar w:fldCharType="separate"/>
            </w:r>
            <w:r w:rsidRPr="00C95A50">
              <w:rPr>
                <w:rFonts w:ascii="Arial" w:hAnsi="Arial"/>
                <w:noProof/>
                <w:webHidden/>
              </w:rPr>
              <w:t>8</w:t>
            </w:r>
            <w:r w:rsidRPr="00C95A50">
              <w:rPr>
                <w:rFonts w:ascii="Arial" w:hAnsi="Arial"/>
                <w:noProof/>
                <w:webHidden/>
              </w:rPr>
              <w:fldChar w:fldCharType="end"/>
            </w:r>
          </w:hyperlink>
        </w:p>
        <w:p w14:paraId="3483DA48" w14:textId="0E7A1A7E" w:rsidR="00C95A50" w:rsidRPr="00C95A50" w:rsidRDefault="00C95A50" w:rsidP="00C95A50">
          <w:pPr>
            <w:pStyle w:val="TOC2"/>
            <w:tabs>
              <w:tab w:val="right" w:leader="dot" w:pos="9010"/>
            </w:tabs>
            <w:rPr>
              <w:rFonts w:ascii="Arial" w:eastAsiaTheme="minorEastAsia" w:hAnsi="Arial"/>
              <w:b w:val="0"/>
              <w:bCs w:val="0"/>
              <w:noProof/>
              <w:kern w:val="2"/>
              <w14:ligatures w14:val="standardContextual"/>
            </w:rPr>
          </w:pPr>
          <w:hyperlink w:anchor="_Toc235375972" w:history="1">
            <w:r w:rsidRPr="00C95A50">
              <w:rPr>
                <w:rStyle w:val="Hyperlink"/>
                <w:rFonts w:ascii="Arial" w:hAnsi="Arial"/>
                <w:noProof/>
              </w:rPr>
              <w:t>3.3 Ideate</w:t>
            </w:r>
            <w:r w:rsidRPr="00C95A50">
              <w:rPr>
                <w:rFonts w:ascii="Arial" w:hAnsi="Arial"/>
                <w:noProof/>
                <w:webHidden/>
              </w:rPr>
              <w:tab/>
            </w:r>
            <w:r w:rsidRPr="00C95A50">
              <w:rPr>
                <w:rFonts w:ascii="Arial" w:hAnsi="Arial"/>
                <w:noProof/>
                <w:webHidden/>
              </w:rPr>
              <w:fldChar w:fldCharType="begin"/>
            </w:r>
            <w:r w:rsidRPr="00C95A50">
              <w:rPr>
                <w:rFonts w:ascii="Arial" w:hAnsi="Arial"/>
                <w:noProof/>
                <w:webHidden/>
              </w:rPr>
              <w:instrText xml:space="preserve"> PAGEREF _Toc235375972 \h </w:instrText>
            </w:r>
            <w:r w:rsidRPr="00C95A50">
              <w:rPr>
                <w:rFonts w:ascii="Arial" w:hAnsi="Arial"/>
                <w:noProof/>
                <w:webHidden/>
              </w:rPr>
            </w:r>
            <w:r w:rsidRPr="00C95A50">
              <w:rPr>
                <w:rFonts w:ascii="Arial" w:hAnsi="Arial"/>
                <w:noProof/>
                <w:webHidden/>
              </w:rPr>
              <w:fldChar w:fldCharType="separate"/>
            </w:r>
            <w:r w:rsidRPr="00C95A50">
              <w:rPr>
                <w:rFonts w:ascii="Arial" w:hAnsi="Arial"/>
                <w:noProof/>
                <w:webHidden/>
              </w:rPr>
              <w:t>9</w:t>
            </w:r>
            <w:r w:rsidRPr="00C95A50">
              <w:rPr>
                <w:rFonts w:ascii="Arial" w:hAnsi="Arial"/>
                <w:noProof/>
                <w:webHidden/>
              </w:rPr>
              <w:fldChar w:fldCharType="end"/>
            </w:r>
          </w:hyperlink>
        </w:p>
        <w:p w14:paraId="4159DEFD" w14:textId="0FB248EF" w:rsidR="00C95A50" w:rsidRPr="00C95A50" w:rsidRDefault="00C95A50" w:rsidP="00C95A50">
          <w:pPr>
            <w:pStyle w:val="TOC2"/>
            <w:tabs>
              <w:tab w:val="right" w:leader="dot" w:pos="9010"/>
            </w:tabs>
            <w:rPr>
              <w:rFonts w:ascii="Arial" w:eastAsiaTheme="minorEastAsia" w:hAnsi="Arial"/>
              <w:b w:val="0"/>
              <w:bCs w:val="0"/>
              <w:noProof/>
              <w:kern w:val="2"/>
              <w14:ligatures w14:val="standardContextual"/>
            </w:rPr>
          </w:pPr>
          <w:hyperlink w:anchor="_Toc235375973" w:history="1">
            <w:r w:rsidRPr="00C95A50">
              <w:rPr>
                <w:rStyle w:val="Hyperlink"/>
                <w:rFonts w:ascii="Arial" w:hAnsi="Arial"/>
                <w:noProof/>
              </w:rPr>
              <w:t>3.4 Prototype (Minimum Viable Product)</w:t>
            </w:r>
            <w:r w:rsidRPr="00C95A50">
              <w:rPr>
                <w:rFonts w:ascii="Arial" w:hAnsi="Arial"/>
                <w:noProof/>
                <w:webHidden/>
              </w:rPr>
              <w:tab/>
            </w:r>
            <w:r w:rsidRPr="00C95A50">
              <w:rPr>
                <w:rFonts w:ascii="Arial" w:hAnsi="Arial"/>
                <w:noProof/>
                <w:webHidden/>
              </w:rPr>
              <w:fldChar w:fldCharType="begin"/>
            </w:r>
            <w:r w:rsidRPr="00C95A50">
              <w:rPr>
                <w:rFonts w:ascii="Arial" w:hAnsi="Arial"/>
                <w:noProof/>
                <w:webHidden/>
              </w:rPr>
              <w:instrText xml:space="preserve"> PAGEREF _Toc235375973 \h </w:instrText>
            </w:r>
            <w:r w:rsidRPr="00C95A50">
              <w:rPr>
                <w:rFonts w:ascii="Arial" w:hAnsi="Arial"/>
                <w:noProof/>
                <w:webHidden/>
              </w:rPr>
            </w:r>
            <w:r w:rsidRPr="00C95A50">
              <w:rPr>
                <w:rFonts w:ascii="Arial" w:hAnsi="Arial"/>
                <w:noProof/>
                <w:webHidden/>
              </w:rPr>
              <w:fldChar w:fldCharType="separate"/>
            </w:r>
            <w:r w:rsidRPr="00C95A50">
              <w:rPr>
                <w:rFonts w:ascii="Arial" w:hAnsi="Arial"/>
                <w:noProof/>
                <w:webHidden/>
              </w:rPr>
              <w:t>10</w:t>
            </w:r>
            <w:r w:rsidRPr="00C95A50">
              <w:rPr>
                <w:rFonts w:ascii="Arial" w:hAnsi="Arial"/>
                <w:noProof/>
                <w:webHidden/>
              </w:rPr>
              <w:fldChar w:fldCharType="end"/>
            </w:r>
          </w:hyperlink>
        </w:p>
        <w:p w14:paraId="2FCC59CA" w14:textId="58A3E0F4" w:rsidR="00C95A50" w:rsidRPr="00C95A50" w:rsidRDefault="00C95A50" w:rsidP="00C95A50">
          <w:pPr>
            <w:pStyle w:val="TOC3"/>
            <w:tabs>
              <w:tab w:val="right" w:leader="dot" w:pos="9010"/>
            </w:tabs>
            <w:rPr>
              <w:rFonts w:ascii="Arial" w:eastAsiaTheme="minorEastAsia" w:hAnsi="Arial"/>
              <w:noProof/>
              <w:kern w:val="2"/>
              <w:sz w:val="22"/>
              <w:szCs w:val="22"/>
              <w14:ligatures w14:val="standardContextual"/>
            </w:rPr>
          </w:pPr>
          <w:hyperlink w:anchor="_Toc235375974" w:history="1">
            <w:r w:rsidRPr="00C95A50">
              <w:rPr>
                <w:rStyle w:val="Hyperlink"/>
                <w:rFonts w:ascii="Arial" w:hAnsi="Arial"/>
                <w:b/>
                <w:bCs/>
                <w:i/>
                <w:iCs/>
                <w:noProof/>
                <w:sz w:val="22"/>
                <w:szCs w:val="22"/>
              </w:rPr>
              <w:t>Business Model Canvas summary</w:t>
            </w:r>
            <w:r w:rsidRPr="00C95A50">
              <w:rPr>
                <w:rFonts w:ascii="Arial" w:hAnsi="Arial"/>
                <w:noProof/>
                <w:webHidden/>
                <w:sz w:val="22"/>
                <w:szCs w:val="22"/>
              </w:rPr>
              <w:tab/>
            </w:r>
            <w:r w:rsidRPr="00C95A50">
              <w:rPr>
                <w:rFonts w:ascii="Arial" w:hAnsi="Arial"/>
                <w:noProof/>
                <w:webHidden/>
                <w:sz w:val="22"/>
                <w:szCs w:val="22"/>
              </w:rPr>
              <w:fldChar w:fldCharType="begin"/>
            </w:r>
            <w:r w:rsidRPr="00C95A50">
              <w:rPr>
                <w:rFonts w:ascii="Arial" w:hAnsi="Arial"/>
                <w:noProof/>
                <w:webHidden/>
                <w:sz w:val="22"/>
                <w:szCs w:val="22"/>
              </w:rPr>
              <w:instrText xml:space="preserve"> PAGEREF _Toc235375974 \h </w:instrText>
            </w:r>
            <w:r w:rsidRPr="00C95A50">
              <w:rPr>
                <w:rFonts w:ascii="Arial" w:hAnsi="Arial"/>
                <w:noProof/>
                <w:webHidden/>
                <w:sz w:val="22"/>
                <w:szCs w:val="22"/>
              </w:rPr>
            </w:r>
            <w:r w:rsidRPr="00C95A50">
              <w:rPr>
                <w:rFonts w:ascii="Arial" w:hAnsi="Arial"/>
                <w:noProof/>
                <w:webHidden/>
                <w:sz w:val="22"/>
                <w:szCs w:val="22"/>
              </w:rPr>
              <w:fldChar w:fldCharType="separate"/>
            </w:r>
            <w:r w:rsidRPr="00C95A50">
              <w:rPr>
                <w:rFonts w:ascii="Arial" w:hAnsi="Arial"/>
                <w:noProof/>
                <w:webHidden/>
                <w:sz w:val="22"/>
                <w:szCs w:val="22"/>
              </w:rPr>
              <w:t>10</w:t>
            </w:r>
            <w:r w:rsidRPr="00C95A50">
              <w:rPr>
                <w:rFonts w:ascii="Arial" w:hAnsi="Arial"/>
                <w:noProof/>
                <w:webHidden/>
                <w:sz w:val="22"/>
                <w:szCs w:val="22"/>
              </w:rPr>
              <w:fldChar w:fldCharType="end"/>
            </w:r>
          </w:hyperlink>
        </w:p>
        <w:p w14:paraId="4D9D77F8" w14:textId="0B013282" w:rsidR="00C95A50" w:rsidRPr="00C95A50" w:rsidRDefault="00C95A50" w:rsidP="00C95A50">
          <w:pPr>
            <w:pStyle w:val="TOC3"/>
            <w:tabs>
              <w:tab w:val="right" w:leader="dot" w:pos="9010"/>
            </w:tabs>
            <w:rPr>
              <w:rFonts w:ascii="Arial" w:eastAsiaTheme="minorEastAsia" w:hAnsi="Arial"/>
              <w:noProof/>
              <w:kern w:val="2"/>
              <w:sz w:val="22"/>
              <w:szCs w:val="22"/>
              <w14:ligatures w14:val="standardContextual"/>
            </w:rPr>
          </w:pPr>
          <w:hyperlink w:anchor="_Toc235375975" w:history="1">
            <w:r w:rsidRPr="00C95A50">
              <w:rPr>
                <w:rStyle w:val="Hyperlink"/>
                <w:rFonts w:ascii="Arial" w:hAnsi="Arial"/>
                <w:b/>
                <w:bCs/>
                <w:i/>
                <w:iCs/>
                <w:noProof/>
                <w:sz w:val="22"/>
                <w:szCs w:val="22"/>
              </w:rPr>
              <w:t>MVP scope</w:t>
            </w:r>
            <w:r w:rsidRPr="00C95A50">
              <w:rPr>
                <w:rFonts w:ascii="Arial" w:hAnsi="Arial"/>
                <w:noProof/>
                <w:webHidden/>
                <w:sz w:val="22"/>
                <w:szCs w:val="22"/>
              </w:rPr>
              <w:tab/>
            </w:r>
            <w:r w:rsidRPr="00C95A50">
              <w:rPr>
                <w:rFonts w:ascii="Arial" w:hAnsi="Arial"/>
                <w:noProof/>
                <w:webHidden/>
                <w:sz w:val="22"/>
                <w:szCs w:val="22"/>
              </w:rPr>
              <w:fldChar w:fldCharType="begin"/>
            </w:r>
            <w:r w:rsidRPr="00C95A50">
              <w:rPr>
                <w:rFonts w:ascii="Arial" w:hAnsi="Arial"/>
                <w:noProof/>
                <w:webHidden/>
                <w:sz w:val="22"/>
                <w:szCs w:val="22"/>
              </w:rPr>
              <w:instrText xml:space="preserve"> PAGEREF _Toc235375975 \h </w:instrText>
            </w:r>
            <w:r w:rsidRPr="00C95A50">
              <w:rPr>
                <w:rFonts w:ascii="Arial" w:hAnsi="Arial"/>
                <w:noProof/>
                <w:webHidden/>
                <w:sz w:val="22"/>
                <w:szCs w:val="22"/>
              </w:rPr>
            </w:r>
            <w:r w:rsidRPr="00C95A50">
              <w:rPr>
                <w:rFonts w:ascii="Arial" w:hAnsi="Arial"/>
                <w:noProof/>
                <w:webHidden/>
                <w:sz w:val="22"/>
                <w:szCs w:val="22"/>
              </w:rPr>
              <w:fldChar w:fldCharType="separate"/>
            </w:r>
            <w:r w:rsidRPr="00C95A50">
              <w:rPr>
                <w:rFonts w:ascii="Arial" w:hAnsi="Arial"/>
                <w:noProof/>
                <w:webHidden/>
                <w:sz w:val="22"/>
                <w:szCs w:val="22"/>
              </w:rPr>
              <w:t>10</w:t>
            </w:r>
            <w:r w:rsidRPr="00C95A50">
              <w:rPr>
                <w:rFonts w:ascii="Arial" w:hAnsi="Arial"/>
                <w:noProof/>
                <w:webHidden/>
                <w:sz w:val="22"/>
                <w:szCs w:val="22"/>
              </w:rPr>
              <w:fldChar w:fldCharType="end"/>
            </w:r>
          </w:hyperlink>
        </w:p>
        <w:p w14:paraId="2D1039EA" w14:textId="11EB3307" w:rsidR="00C95A50" w:rsidRPr="00C95A50" w:rsidRDefault="00C95A50" w:rsidP="00C95A50">
          <w:pPr>
            <w:pStyle w:val="TOC2"/>
            <w:tabs>
              <w:tab w:val="right" w:leader="dot" w:pos="9010"/>
            </w:tabs>
            <w:rPr>
              <w:rFonts w:ascii="Arial" w:eastAsiaTheme="minorEastAsia" w:hAnsi="Arial"/>
              <w:b w:val="0"/>
              <w:bCs w:val="0"/>
              <w:noProof/>
              <w:kern w:val="2"/>
              <w14:ligatures w14:val="standardContextual"/>
            </w:rPr>
          </w:pPr>
          <w:hyperlink w:anchor="_Toc235375976" w:history="1">
            <w:r w:rsidRPr="00C95A50">
              <w:rPr>
                <w:rStyle w:val="Hyperlink"/>
                <w:rFonts w:ascii="Arial" w:hAnsi="Arial"/>
                <w:noProof/>
              </w:rPr>
              <w:t>3.5 Test</w:t>
            </w:r>
            <w:r w:rsidRPr="00C95A50">
              <w:rPr>
                <w:rFonts w:ascii="Arial" w:hAnsi="Arial"/>
                <w:noProof/>
                <w:webHidden/>
              </w:rPr>
              <w:tab/>
            </w:r>
            <w:r w:rsidRPr="00C95A50">
              <w:rPr>
                <w:rFonts w:ascii="Arial" w:hAnsi="Arial"/>
                <w:noProof/>
                <w:webHidden/>
              </w:rPr>
              <w:fldChar w:fldCharType="begin"/>
            </w:r>
            <w:r w:rsidRPr="00C95A50">
              <w:rPr>
                <w:rFonts w:ascii="Arial" w:hAnsi="Arial"/>
                <w:noProof/>
                <w:webHidden/>
              </w:rPr>
              <w:instrText xml:space="preserve"> PAGEREF _Toc235375976 \h </w:instrText>
            </w:r>
            <w:r w:rsidRPr="00C95A50">
              <w:rPr>
                <w:rFonts w:ascii="Arial" w:hAnsi="Arial"/>
                <w:noProof/>
                <w:webHidden/>
              </w:rPr>
            </w:r>
            <w:r w:rsidRPr="00C95A50">
              <w:rPr>
                <w:rFonts w:ascii="Arial" w:hAnsi="Arial"/>
                <w:noProof/>
                <w:webHidden/>
              </w:rPr>
              <w:fldChar w:fldCharType="separate"/>
            </w:r>
            <w:r w:rsidRPr="00C95A50">
              <w:rPr>
                <w:rFonts w:ascii="Arial" w:hAnsi="Arial"/>
                <w:noProof/>
                <w:webHidden/>
              </w:rPr>
              <w:t>11</w:t>
            </w:r>
            <w:r w:rsidRPr="00C95A50">
              <w:rPr>
                <w:rFonts w:ascii="Arial" w:hAnsi="Arial"/>
                <w:noProof/>
                <w:webHidden/>
              </w:rPr>
              <w:fldChar w:fldCharType="end"/>
            </w:r>
          </w:hyperlink>
        </w:p>
        <w:p w14:paraId="628A9129" w14:textId="40B57042" w:rsidR="00C95A50" w:rsidRPr="00C95A50" w:rsidRDefault="00C95A50" w:rsidP="00C95A50">
          <w:pPr>
            <w:pStyle w:val="TOC1"/>
            <w:tabs>
              <w:tab w:val="right" w:leader="dot" w:pos="9010"/>
            </w:tabs>
            <w:rPr>
              <w:rFonts w:ascii="Arial" w:eastAsiaTheme="minorEastAsia" w:hAnsi="Arial"/>
              <w:b w:val="0"/>
              <w:bCs w:val="0"/>
              <w:i w:val="0"/>
              <w:iCs w:val="0"/>
              <w:noProof/>
              <w:kern w:val="2"/>
              <w:sz w:val="22"/>
              <w:szCs w:val="22"/>
              <w14:ligatures w14:val="standardContextual"/>
            </w:rPr>
          </w:pPr>
          <w:hyperlink w:anchor="_Toc235375977" w:history="1">
            <w:r w:rsidRPr="00C95A50">
              <w:rPr>
                <w:rStyle w:val="Hyperlink"/>
                <w:rFonts w:ascii="Arial" w:hAnsi="Arial"/>
                <w:noProof/>
                <w:sz w:val="22"/>
                <w:szCs w:val="22"/>
              </w:rPr>
              <w:t>4. Critical Reflection on the Design Thinking Framework</w:t>
            </w:r>
            <w:r w:rsidRPr="00C95A50">
              <w:rPr>
                <w:rFonts w:ascii="Arial" w:hAnsi="Arial"/>
                <w:noProof/>
                <w:webHidden/>
                <w:sz w:val="22"/>
                <w:szCs w:val="22"/>
              </w:rPr>
              <w:tab/>
            </w:r>
            <w:r w:rsidRPr="00C95A50">
              <w:rPr>
                <w:rFonts w:ascii="Arial" w:hAnsi="Arial"/>
                <w:noProof/>
                <w:webHidden/>
                <w:sz w:val="22"/>
                <w:szCs w:val="22"/>
              </w:rPr>
              <w:fldChar w:fldCharType="begin"/>
            </w:r>
            <w:r w:rsidRPr="00C95A50">
              <w:rPr>
                <w:rFonts w:ascii="Arial" w:hAnsi="Arial"/>
                <w:noProof/>
                <w:webHidden/>
                <w:sz w:val="22"/>
                <w:szCs w:val="22"/>
              </w:rPr>
              <w:instrText xml:space="preserve"> PAGEREF _Toc235375977 \h </w:instrText>
            </w:r>
            <w:r w:rsidRPr="00C95A50">
              <w:rPr>
                <w:rFonts w:ascii="Arial" w:hAnsi="Arial"/>
                <w:noProof/>
                <w:webHidden/>
                <w:sz w:val="22"/>
                <w:szCs w:val="22"/>
              </w:rPr>
            </w:r>
            <w:r w:rsidRPr="00C95A50">
              <w:rPr>
                <w:rFonts w:ascii="Arial" w:hAnsi="Arial"/>
                <w:noProof/>
                <w:webHidden/>
                <w:sz w:val="22"/>
                <w:szCs w:val="22"/>
              </w:rPr>
              <w:fldChar w:fldCharType="separate"/>
            </w:r>
            <w:r w:rsidRPr="00C95A50">
              <w:rPr>
                <w:rFonts w:ascii="Arial" w:hAnsi="Arial"/>
                <w:noProof/>
                <w:webHidden/>
                <w:sz w:val="22"/>
                <w:szCs w:val="22"/>
              </w:rPr>
              <w:t>12</w:t>
            </w:r>
            <w:r w:rsidRPr="00C95A50">
              <w:rPr>
                <w:rFonts w:ascii="Arial" w:hAnsi="Arial"/>
                <w:noProof/>
                <w:webHidden/>
                <w:sz w:val="22"/>
                <w:szCs w:val="22"/>
              </w:rPr>
              <w:fldChar w:fldCharType="end"/>
            </w:r>
          </w:hyperlink>
        </w:p>
        <w:p w14:paraId="78EFB2D9" w14:textId="2611AC0C" w:rsidR="00C95A50" w:rsidRPr="00C95A50" w:rsidRDefault="00C95A50" w:rsidP="00C95A50">
          <w:pPr>
            <w:pStyle w:val="TOC1"/>
            <w:tabs>
              <w:tab w:val="right" w:leader="dot" w:pos="9010"/>
            </w:tabs>
            <w:rPr>
              <w:rFonts w:ascii="Arial" w:eastAsiaTheme="minorEastAsia" w:hAnsi="Arial"/>
              <w:b w:val="0"/>
              <w:bCs w:val="0"/>
              <w:i w:val="0"/>
              <w:iCs w:val="0"/>
              <w:noProof/>
              <w:kern w:val="2"/>
              <w:sz w:val="22"/>
              <w:szCs w:val="22"/>
              <w14:ligatures w14:val="standardContextual"/>
            </w:rPr>
          </w:pPr>
          <w:hyperlink w:anchor="_Toc235375978" w:history="1">
            <w:r w:rsidRPr="00C95A50">
              <w:rPr>
                <w:rStyle w:val="Hyperlink"/>
                <w:rFonts w:ascii="Arial" w:hAnsi="Arial"/>
                <w:noProof/>
                <w:sz w:val="22"/>
                <w:szCs w:val="22"/>
              </w:rPr>
              <w:t>5. Conclusion</w:t>
            </w:r>
            <w:r w:rsidRPr="00C95A50">
              <w:rPr>
                <w:rFonts w:ascii="Arial" w:hAnsi="Arial"/>
                <w:noProof/>
                <w:webHidden/>
                <w:sz w:val="22"/>
                <w:szCs w:val="22"/>
              </w:rPr>
              <w:tab/>
            </w:r>
            <w:r w:rsidRPr="00C95A50">
              <w:rPr>
                <w:rFonts w:ascii="Arial" w:hAnsi="Arial"/>
                <w:noProof/>
                <w:webHidden/>
                <w:sz w:val="22"/>
                <w:szCs w:val="22"/>
              </w:rPr>
              <w:fldChar w:fldCharType="begin"/>
            </w:r>
            <w:r w:rsidRPr="00C95A50">
              <w:rPr>
                <w:rFonts w:ascii="Arial" w:hAnsi="Arial"/>
                <w:noProof/>
                <w:webHidden/>
                <w:sz w:val="22"/>
                <w:szCs w:val="22"/>
              </w:rPr>
              <w:instrText xml:space="preserve"> PAGEREF _Toc235375978 \h </w:instrText>
            </w:r>
            <w:r w:rsidRPr="00C95A50">
              <w:rPr>
                <w:rFonts w:ascii="Arial" w:hAnsi="Arial"/>
                <w:noProof/>
                <w:webHidden/>
                <w:sz w:val="22"/>
                <w:szCs w:val="22"/>
              </w:rPr>
            </w:r>
            <w:r w:rsidRPr="00C95A50">
              <w:rPr>
                <w:rFonts w:ascii="Arial" w:hAnsi="Arial"/>
                <w:noProof/>
                <w:webHidden/>
                <w:sz w:val="22"/>
                <w:szCs w:val="22"/>
              </w:rPr>
              <w:fldChar w:fldCharType="separate"/>
            </w:r>
            <w:r w:rsidRPr="00C95A50">
              <w:rPr>
                <w:rFonts w:ascii="Arial" w:hAnsi="Arial"/>
                <w:noProof/>
                <w:webHidden/>
                <w:sz w:val="22"/>
                <w:szCs w:val="22"/>
              </w:rPr>
              <w:t>12</w:t>
            </w:r>
            <w:r w:rsidRPr="00C95A50">
              <w:rPr>
                <w:rFonts w:ascii="Arial" w:hAnsi="Arial"/>
                <w:noProof/>
                <w:webHidden/>
                <w:sz w:val="22"/>
                <w:szCs w:val="22"/>
              </w:rPr>
              <w:fldChar w:fldCharType="end"/>
            </w:r>
          </w:hyperlink>
        </w:p>
        <w:p w14:paraId="1EAD30AF" w14:textId="5B85C2A3" w:rsidR="00C95A50" w:rsidRPr="00C95A50" w:rsidRDefault="00C95A50" w:rsidP="00C95A50">
          <w:pPr>
            <w:pStyle w:val="TOC1"/>
            <w:tabs>
              <w:tab w:val="right" w:leader="dot" w:pos="9010"/>
            </w:tabs>
            <w:rPr>
              <w:rFonts w:ascii="Arial" w:eastAsiaTheme="minorEastAsia" w:hAnsi="Arial"/>
              <w:b w:val="0"/>
              <w:bCs w:val="0"/>
              <w:i w:val="0"/>
              <w:iCs w:val="0"/>
              <w:noProof/>
              <w:kern w:val="2"/>
              <w:sz w:val="22"/>
              <w:szCs w:val="22"/>
              <w14:ligatures w14:val="standardContextual"/>
            </w:rPr>
          </w:pPr>
          <w:hyperlink w:anchor="_Toc235375979" w:history="1">
            <w:r w:rsidRPr="00C95A50">
              <w:rPr>
                <w:rStyle w:val="Hyperlink"/>
                <w:rFonts w:ascii="Arial" w:hAnsi="Arial"/>
                <w:noProof/>
                <w:sz w:val="22"/>
                <w:szCs w:val="22"/>
              </w:rPr>
              <w:t>Reference List</w:t>
            </w:r>
            <w:r w:rsidRPr="00C95A50">
              <w:rPr>
                <w:rFonts w:ascii="Arial" w:hAnsi="Arial"/>
                <w:noProof/>
                <w:webHidden/>
                <w:sz w:val="22"/>
                <w:szCs w:val="22"/>
              </w:rPr>
              <w:tab/>
            </w:r>
            <w:r w:rsidRPr="00C95A50">
              <w:rPr>
                <w:rFonts w:ascii="Arial" w:hAnsi="Arial"/>
                <w:noProof/>
                <w:webHidden/>
                <w:sz w:val="22"/>
                <w:szCs w:val="22"/>
              </w:rPr>
              <w:fldChar w:fldCharType="begin"/>
            </w:r>
            <w:r w:rsidRPr="00C95A50">
              <w:rPr>
                <w:rFonts w:ascii="Arial" w:hAnsi="Arial"/>
                <w:noProof/>
                <w:webHidden/>
                <w:sz w:val="22"/>
                <w:szCs w:val="22"/>
              </w:rPr>
              <w:instrText xml:space="preserve"> PAGEREF _Toc235375979 \h </w:instrText>
            </w:r>
            <w:r w:rsidRPr="00C95A50">
              <w:rPr>
                <w:rFonts w:ascii="Arial" w:hAnsi="Arial"/>
                <w:noProof/>
                <w:webHidden/>
                <w:sz w:val="22"/>
                <w:szCs w:val="22"/>
              </w:rPr>
            </w:r>
            <w:r w:rsidRPr="00C95A50">
              <w:rPr>
                <w:rFonts w:ascii="Arial" w:hAnsi="Arial"/>
                <w:noProof/>
                <w:webHidden/>
                <w:sz w:val="22"/>
                <w:szCs w:val="22"/>
              </w:rPr>
              <w:fldChar w:fldCharType="separate"/>
            </w:r>
            <w:r w:rsidRPr="00C95A50">
              <w:rPr>
                <w:rFonts w:ascii="Arial" w:hAnsi="Arial"/>
                <w:noProof/>
                <w:webHidden/>
                <w:sz w:val="22"/>
                <w:szCs w:val="22"/>
              </w:rPr>
              <w:t>14</w:t>
            </w:r>
            <w:r w:rsidRPr="00C95A50">
              <w:rPr>
                <w:rFonts w:ascii="Arial" w:hAnsi="Arial"/>
                <w:noProof/>
                <w:webHidden/>
                <w:sz w:val="22"/>
                <w:szCs w:val="22"/>
              </w:rPr>
              <w:fldChar w:fldCharType="end"/>
            </w:r>
          </w:hyperlink>
        </w:p>
        <w:p w14:paraId="68FCB477" w14:textId="75317B2B" w:rsidR="00663E40" w:rsidRPr="00C95A50" w:rsidRDefault="00663E40" w:rsidP="00C95A50">
          <w:r w:rsidRPr="00C95A50">
            <w:rPr>
              <w:b/>
              <w:bCs/>
              <w:noProof/>
            </w:rPr>
            <w:fldChar w:fldCharType="end"/>
          </w:r>
        </w:p>
      </w:sdtContent>
    </w:sdt>
    <w:p w14:paraId="0BA2918B" w14:textId="77777777" w:rsidR="00D13C2D" w:rsidRPr="00C95A50" w:rsidRDefault="00D13C2D" w:rsidP="00C95A50">
      <w:pPr>
        <w:spacing w:before="120" w:after="120"/>
        <w:jc w:val="both"/>
        <w:rPr>
          <w:bCs/>
        </w:rPr>
      </w:pPr>
    </w:p>
    <w:p w14:paraId="20D7D780" w14:textId="748F67C6" w:rsidR="005841CF" w:rsidRPr="00C95A50" w:rsidRDefault="00DA50C2" w:rsidP="00C95A50">
      <w:pPr>
        <w:pStyle w:val="Heading1"/>
        <w:jc w:val="center"/>
        <w:rPr>
          <w:rFonts w:ascii="Arial" w:hAnsi="Arial" w:cs="Arial"/>
          <w:sz w:val="22"/>
          <w:szCs w:val="22"/>
        </w:rPr>
      </w:pPr>
      <w:bookmarkStart w:id="0" w:name="_Toc235375962"/>
      <w:r w:rsidRPr="00C95A50">
        <w:rPr>
          <w:rFonts w:ascii="Arial" w:hAnsi="Arial" w:cs="Arial"/>
          <w:sz w:val="22"/>
          <w:szCs w:val="22"/>
        </w:rPr>
        <w:lastRenderedPageBreak/>
        <w:t>Design Thinking and Innovation through Digital Transformation</w:t>
      </w:r>
      <w:bookmarkEnd w:id="0"/>
    </w:p>
    <w:p w14:paraId="0A1CCFB0" w14:textId="77777777" w:rsidR="00490574" w:rsidRPr="00C95A50" w:rsidRDefault="00490574" w:rsidP="00C95A50">
      <w:pPr>
        <w:rPr>
          <w:b/>
          <w:bCs/>
          <w:color w:val="1F1F1F"/>
        </w:rPr>
      </w:pPr>
    </w:p>
    <w:p w14:paraId="064DC5A2" w14:textId="2239451B" w:rsidR="00C87136" w:rsidRPr="00C95A50" w:rsidRDefault="00C87136" w:rsidP="00C95A50">
      <w:r w:rsidRPr="00C95A50">
        <w:rPr>
          <w:b/>
          <w:bCs/>
          <w:color w:val="1F1F1F"/>
        </w:rPr>
        <w:t>1. Introduction</w:t>
      </w:r>
    </w:p>
    <w:p w14:paraId="70A396F0" w14:textId="4C364BE0" w:rsidR="00C87136" w:rsidRPr="00C95A50" w:rsidRDefault="00C87136" w:rsidP="00C95A50">
      <w:pPr>
        <w:spacing w:after="200"/>
        <w:jc w:val="both"/>
      </w:pPr>
      <w:r w:rsidRPr="00C95A50">
        <w:t>The Covid-19 pandemic acted as an exogenous shock that compressed a decade of digital adoption into approximately two years, pulling suburban and rural UK communities, service-sector SMEs, and independent retailers into e-commerce, digital payments, and remote service delivery (Design Council, 2019; OECD, 2026). This report treats that shock as the starting point for a structured innovation exercise, using the five-stage Design Thinking framework</w:t>
      </w:r>
      <w:r w:rsidR="00170918" w:rsidRPr="00C95A50">
        <w:t xml:space="preserve">, </w:t>
      </w:r>
      <w:r w:rsidRPr="00C95A50">
        <w:t xml:space="preserve">Empathise, Define, Ideate, Prototype, Test (Brown, 2008; </w:t>
      </w:r>
      <w:proofErr w:type="spellStart"/>
      <w:r w:rsidRPr="00C95A50">
        <w:t>d.school</w:t>
      </w:r>
      <w:proofErr w:type="spellEnd"/>
      <w:r w:rsidRPr="00C95A50">
        <w:t>, 2018)</w:t>
      </w:r>
      <w:r w:rsidR="00170918" w:rsidRPr="00C95A50">
        <w:t xml:space="preserve">, </w:t>
      </w:r>
      <w:r w:rsidRPr="00C95A50">
        <w:t>as the primary lens, supplemented by the Design Council's Double Diamond (Design Council, 2005; 2019), the Business Model Canvas (Osterwalder and Pigneur, 2010), Lean Startup validated learning (Ries, 2011), and causal mapping (Eden and Ackermann, 1998; Bryson et al., 2004) where each adds analytical value that Design Thinking alone does not provide.</w:t>
      </w:r>
    </w:p>
    <w:p w14:paraId="4EE27324" w14:textId="77777777" w:rsidR="00C87136" w:rsidRPr="00C95A50" w:rsidRDefault="00C87136" w:rsidP="00C95A50">
      <w:pPr>
        <w:spacing w:after="200"/>
        <w:jc w:val="both"/>
      </w:pPr>
      <w:r w:rsidRPr="00C95A50">
        <w:t>Task 1 identifies and justifies the UK market opportunity areas where new venture creation is most viable, structured around user pain points, market gaps, technological enablers, and scalability/sustainability potential. Task 2 narrows to a single problem and carries it through all five Design Thinking stages to a tested, refined venture concept. Section 4 closes with a critical evaluation of Design Thinking's limitations as an innovation methodology, in line with the module's expectation of critical, not descriptive, engagement (</w:t>
      </w:r>
      <w:proofErr w:type="spellStart"/>
      <w:r w:rsidRPr="00C95A50">
        <w:t>Verganti</w:t>
      </w:r>
      <w:proofErr w:type="spellEnd"/>
      <w:r w:rsidRPr="00C95A50">
        <w:t xml:space="preserve">, </w:t>
      </w:r>
      <w:proofErr w:type="spellStart"/>
      <w:r w:rsidRPr="00C95A50">
        <w:t>Dell'Era</w:t>
      </w:r>
      <w:proofErr w:type="spellEnd"/>
      <w:r w:rsidRPr="00C95A50">
        <w:t xml:space="preserve"> and Swan, 2021).</w:t>
      </w:r>
    </w:p>
    <w:p w14:paraId="606812F4" w14:textId="77777777" w:rsidR="00C87136" w:rsidRPr="00C95A50" w:rsidRDefault="00C87136" w:rsidP="00C95A50">
      <w:pPr>
        <w:pStyle w:val="Heading1"/>
        <w:spacing w:before="320" w:after="160"/>
        <w:rPr>
          <w:rFonts w:ascii="Arial" w:eastAsia="Arial" w:hAnsi="Arial" w:cs="Arial"/>
          <w:sz w:val="22"/>
          <w:szCs w:val="22"/>
        </w:rPr>
      </w:pPr>
      <w:bookmarkStart w:id="1" w:name="_Toc235375963"/>
      <w:r w:rsidRPr="00C95A50">
        <w:rPr>
          <w:rFonts w:ascii="Arial" w:eastAsia="Arial" w:hAnsi="Arial" w:cs="Arial"/>
          <w:b/>
          <w:bCs/>
          <w:color w:val="1F1F1F"/>
          <w:sz w:val="22"/>
          <w:szCs w:val="22"/>
        </w:rPr>
        <w:t>2. Task 1: Identifying Key Opportunity Areas in the UK Market</w:t>
      </w:r>
      <w:bookmarkEnd w:id="1"/>
    </w:p>
    <w:p w14:paraId="13AC038B" w14:textId="77777777" w:rsidR="00C87136" w:rsidRPr="00C95A50" w:rsidRDefault="00C87136" w:rsidP="00C95A50">
      <w:pPr>
        <w:pStyle w:val="Heading2"/>
        <w:spacing w:before="260" w:after="140"/>
        <w:rPr>
          <w:rFonts w:ascii="Arial" w:eastAsia="Arial" w:hAnsi="Arial" w:cs="Arial"/>
          <w:sz w:val="22"/>
          <w:szCs w:val="22"/>
        </w:rPr>
      </w:pPr>
      <w:bookmarkStart w:id="2" w:name="_Toc235375964"/>
      <w:r w:rsidRPr="00C95A50">
        <w:rPr>
          <w:rFonts w:ascii="Arial" w:eastAsia="Arial" w:hAnsi="Arial" w:cs="Arial"/>
          <w:b/>
          <w:bCs/>
          <w:color w:val="1F1F1F"/>
          <w:sz w:val="22"/>
          <w:szCs w:val="22"/>
        </w:rPr>
        <w:t>2.1 Framework and Method</w:t>
      </w:r>
      <w:bookmarkEnd w:id="2"/>
    </w:p>
    <w:p w14:paraId="42D03B18" w14:textId="77777777" w:rsidR="00717132" w:rsidRPr="00C95A50" w:rsidRDefault="00C87136" w:rsidP="00C95A50">
      <w:pPr>
        <w:spacing w:after="200"/>
        <w:jc w:val="both"/>
      </w:pPr>
      <w:r w:rsidRPr="00C95A50">
        <w:t>Design Thinking's Empathise and Define stages are used here at market level rather than individual-user level: instead of a single persona, this section synthesises the pain points of several affected groups described in the scenario</w:t>
      </w:r>
      <w:r w:rsidR="001130E7" w:rsidRPr="00C95A50">
        <w:t xml:space="preserve">, </w:t>
      </w:r>
      <w:r w:rsidRPr="00C95A50">
        <w:t>rural consumers, delivery couriers, hairdressers and personal trainers, corner-shop owners, and small producers</w:t>
      </w:r>
      <w:r w:rsidR="001130E7" w:rsidRPr="00C95A50">
        <w:t xml:space="preserve">, </w:t>
      </w:r>
      <w:r w:rsidRPr="00C95A50">
        <w:t>using secondary evidence from Ofcom, the Department for Business and Trade (DBT), and industry reports, because primary fieldwork is outside the scope of a desk-based assessment. A short causal map</w:t>
      </w:r>
      <w:r w:rsidR="001130E7" w:rsidRPr="00C95A50">
        <w:t xml:space="preserve"> </w:t>
      </w:r>
      <w:r w:rsidRPr="00C95A50">
        <w:t xml:space="preserve">was used to trace how the pandemic shock propagated into behavioural lock-in: lockdown restrictions forced first-time online purchasing, which built consumer trust and habit, which sustained demand for delivery and digital payment infrastructure after restrictions lifted, which in turn justified continued investment by SMEs and logistics operators (Eden and Ackermann, 1998; Bryson et al., 2004). This causal chain is the basis for treating the four opportunity areas below as durable rather than </w:t>
      </w:r>
      <w:r w:rsidR="00A648C3" w:rsidRPr="00C95A50">
        <w:t>pandemic specific</w:t>
      </w:r>
      <w:r w:rsidRPr="00C95A50">
        <w:t>.</w:t>
      </w:r>
    </w:p>
    <w:p w14:paraId="5A233A53" w14:textId="77777777" w:rsidR="00E25C99" w:rsidRPr="00C95A50" w:rsidRDefault="00E25C99" w:rsidP="00C95A50">
      <w:pPr>
        <w:spacing w:after="200"/>
        <w:jc w:val="both"/>
      </w:pPr>
    </w:p>
    <w:p w14:paraId="6BD512C2" w14:textId="149F6AC8" w:rsidR="00C87136" w:rsidRPr="00C95A50" w:rsidRDefault="00C87136" w:rsidP="00C95A50">
      <w:pPr>
        <w:spacing w:after="200"/>
        <w:jc w:val="both"/>
      </w:pPr>
      <w:r w:rsidRPr="00C95A50">
        <w:rPr>
          <w:b/>
          <w:bCs/>
          <w:color w:val="1F1F1F"/>
        </w:rPr>
        <w:t>2.2 Opportunity Area One: Rural Last-Mile Delivery Infrastructure</w:t>
      </w:r>
    </w:p>
    <w:p w14:paraId="4927980A" w14:textId="25BC8AE7" w:rsidR="00E25C99" w:rsidRPr="00C95A50" w:rsidRDefault="00C87136" w:rsidP="00C95A50">
      <w:pPr>
        <w:spacing w:after="200"/>
        <w:jc w:val="both"/>
      </w:pPr>
      <w:r w:rsidRPr="00C95A50">
        <w:t>User pain points</w:t>
      </w:r>
    </w:p>
    <w:p w14:paraId="683D7D48" w14:textId="75FEC063" w:rsidR="00C87136" w:rsidRPr="00C95A50" w:rsidRDefault="00C87136" w:rsidP="00C95A50">
      <w:pPr>
        <w:spacing w:after="200"/>
        <w:jc w:val="both"/>
      </w:pPr>
      <w:r w:rsidRPr="00C95A50">
        <w:t>Rural and suburban consumers who adopted online shopping during the pandemic now expect the delivery reliability that urban consumers take for granted, yet last-mile costs and failure rates rise sharply outside dense urban postcodes because of longer routes and lower drop density (Mordor Intelligence, 2025; Ken Research, 2025). Nearly half of UK courier users report having experienced a lost or damaged parcel (Mintel, 2024), and self-employed multi-platform drivers absorb much of this operational risk personally, since platforms such as Uber Eats, Deliveroo, and Amazon Flex classify them as self-employed contractors rather than employees.</w:t>
      </w:r>
    </w:p>
    <w:p w14:paraId="3780177A" w14:textId="77777777" w:rsidR="00E25C99" w:rsidRPr="00C95A50" w:rsidRDefault="00C87136" w:rsidP="00C95A50">
      <w:pPr>
        <w:spacing w:after="200"/>
        <w:jc w:val="both"/>
      </w:pPr>
      <w:r w:rsidRPr="00C95A50">
        <w:t>Market gaps</w:t>
      </w:r>
    </w:p>
    <w:p w14:paraId="19FC2713" w14:textId="76384AF2" w:rsidR="00C87136" w:rsidRPr="00C95A50" w:rsidRDefault="00C87136" w:rsidP="00C95A50">
      <w:pPr>
        <w:spacing w:after="200"/>
        <w:jc w:val="both"/>
      </w:pPr>
      <w:r w:rsidRPr="00C95A50">
        <w:t>The 2024 Ofcom Connected Nations report shows full-fibre coverage of 71% in urban areas against 52% in rural areas (Ofcom, 2024), and rural gigabit coverage nationally sits well below urban coverage, with the largest urban–rural gap recorded in Scotland at 46 percentage points (</w:t>
      </w:r>
      <w:proofErr w:type="spellStart"/>
      <w:r w:rsidRPr="00C95A50">
        <w:t>Uswitch</w:t>
      </w:r>
      <w:proofErr w:type="spellEnd"/>
      <w:r w:rsidRPr="00C95A50">
        <w:t>, 2026). This infrastructure gap compounds a distribution gap: national carriers optimise routes for density, so rural rounds are frequently subcontracted, less frequent, or priced at a premium passed on to the sender. No dominant UK operator currently offers a shared, low-cost rural consolidation model comparable to urban parcel lockers or micro-fulfilment hubs.</w:t>
      </w:r>
    </w:p>
    <w:p w14:paraId="21A9EE6A" w14:textId="77777777" w:rsidR="00E25C99" w:rsidRPr="00C95A50" w:rsidRDefault="00C87136" w:rsidP="00C95A50">
      <w:pPr>
        <w:spacing w:after="200"/>
        <w:jc w:val="both"/>
      </w:pPr>
      <w:r w:rsidRPr="00C95A50">
        <w:t>Technological enablers</w:t>
      </w:r>
    </w:p>
    <w:p w14:paraId="7973B74D" w14:textId="60D21339" w:rsidR="00C87136" w:rsidRPr="00C95A50" w:rsidRDefault="00C87136" w:rsidP="00C95A50">
      <w:pPr>
        <w:spacing w:after="200"/>
        <w:jc w:val="both"/>
      </w:pPr>
      <w:r w:rsidRPr="00C95A50">
        <w:t xml:space="preserve">Route-optimisation software, low-cost GPS tracking, and out-of-home collection points (parcel lockers, click-and-collect at existing rural retail sites) are now inexpensive enough for small operators to deploy, and carriers themselves are experimenting with this model: </w:t>
      </w:r>
      <w:proofErr w:type="spellStart"/>
      <w:r w:rsidRPr="00C95A50">
        <w:t>InPost's</w:t>
      </w:r>
      <w:proofErr w:type="spellEnd"/>
      <w:r w:rsidRPr="00C95A50">
        <w:t xml:space="preserve"> 2025 acquisition of Yodel combined 190 million annual deliveries with a nationwide locker network (Mordor Intelligence, 2025), demonstrating that consolidation and shared infrastructure are commercially proven at scale and could be replicated at a community level.</w:t>
      </w:r>
    </w:p>
    <w:p w14:paraId="79CDA223" w14:textId="77777777" w:rsidR="00E25C99" w:rsidRPr="00C95A50" w:rsidRDefault="00C87136" w:rsidP="00C95A50">
      <w:pPr>
        <w:spacing w:after="200"/>
        <w:jc w:val="both"/>
      </w:pPr>
      <w:r w:rsidRPr="00C95A50">
        <w:t>Scalability and sustainability</w:t>
      </w:r>
    </w:p>
    <w:p w14:paraId="674BF60A" w14:textId="267F3980" w:rsidR="00C87136" w:rsidRPr="00C95A50" w:rsidRDefault="00C87136" w:rsidP="00C95A50">
      <w:pPr>
        <w:spacing w:after="200"/>
        <w:jc w:val="both"/>
      </w:pPr>
      <w:r w:rsidRPr="00C95A50">
        <w:t xml:space="preserve">The UK domestic courier, express and parcel market is forecast to grow from USD 12.05 billion in 2025 to USD 14.12 billion by 2030 (Mordor Intelligence, 2025), and government investment through Project Gigabit is closing the rural connectivity gap that currently constrains rural e-commerce demand (Ofcom, 2024), so the addressable market is expanding </w:t>
      </w:r>
      <w:r w:rsidRPr="00C95A50">
        <w:lastRenderedPageBreak/>
        <w:t>on both the supply and demand side. Consolidated rural rounds also reduce vehicle-miles per parcel, giving a plausible environmental sustainability case alongside the commercial one, consistent with carriers' own stated shift toward electric vehicles and cargo bikes (Pegasus Couriers, 2026).</w:t>
      </w:r>
    </w:p>
    <w:p w14:paraId="682ABB37" w14:textId="77777777" w:rsidR="00C87136" w:rsidRPr="00C95A50" w:rsidRDefault="00C87136" w:rsidP="00C95A50">
      <w:pPr>
        <w:pStyle w:val="Heading2"/>
        <w:spacing w:before="260" w:after="140"/>
        <w:rPr>
          <w:rFonts w:ascii="Arial" w:eastAsia="Arial" w:hAnsi="Arial" w:cs="Arial"/>
          <w:sz w:val="22"/>
          <w:szCs w:val="22"/>
        </w:rPr>
      </w:pPr>
      <w:bookmarkStart w:id="3" w:name="_Toc235375965"/>
      <w:r w:rsidRPr="00C95A50">
        <w:rPr>
          <w:rFonts w:ascii="Arial" w:eastAsia="Arial" w:hAnsi="Arial" w:cs="Arial"/>
          <w:b/>
          <w:bCs/>
          <w:color w:val="1F1F1F"/>
          <w:sz w:val="22"/>
          <w:szCs w:val="22"/>
        </w:rPr>
        <w:t>2.3 Opportunity Area Two: Digital Enablement for Service-Sector SMEs</w:t>
      </w:r>
      <w:bookmarkEnd w:id="3"/>
    </w:p>
    <w:p w14:paraId="49B568D3" w14:textId="77777777" w:rsidR="00E25C99" w:rsidRPr="00C95A50" w:rsidRDefault="00C87136" w:rsidP="00C95A50">
      <w:pPr>
        <w:spacing w:after="200"/>
        <w:jc w:val="both"/>
      </w:pPr>
      <w:r w:rsidRPr="00C95A50">
        <w:t>User pain points</w:t>
      </w:r>
    </w:p>
    <w:p w14:paraId="4A5D282A" w14:textId="56E4A27C" w:rsidR="00C87136" w:rsidRPr="00C95A50" w:rsidRDefault="00C87136" w:rsidP="00C95A50">
      <w:pPr>
        <w:spacing w:after="200"/>
        <w:jc w:val="both"/>
      </w:pPr>
      <w:r w:rsidRPr="00C95A50">
        <w:t>Hairdressers, personal trainers, and tutors who moved bookings and sessions online during the pandemic frequently did so with improvised tools</w:t>
      </w:r>
      <w:r w:rsidR="00E25C99" w:rsidRPr="00C95A50">
        <w:t xml:space="preserve">, </w:t>
      </w:r>
      <w:r w:rsidRPr="00C95A50">
        <w:t>WhatsApp coordination, Instagram DMs, spreadsheets</w:t>
      </w:r>
      <w:r w:rsidR="00E25C99" w:rsidRPr="00C95A50">
        <w:t xml:space="preserve">, </w:t>
      </w:r>
      <w:r w:rsidRPr="00C95A50">
        <w:t>rather than integrated booking and payment systems, creating manual administrative overhead that does not scale with client volume.</w:t>
      </w:r>
    </w:p>
    <w:p w14:paraId="321EB98C" w14:textId="77777777" w:rsidR="00E25C99" w:rsidRPr="00C95A50" w:rsidRDefault="00C87136" w:rsidP="00C95A50">
      <w:pPr>
        <w:spacing w:after="200"/>
        <w:jc w:val="both"/>
      </w:pPr>
      <w:r w:rsidRPr="00C95A50">
        <w:t>Market gaps</w:t>
      </w:r>
    </w:p>
    <w:p w14:paraId="72DA9E68" w14:textId="0C3C0297" w:rsidR="00C87136" w:rsidRPr="00C95A50" w:rsidRDefault="00C87136" w:rsidP="00C95A50">
      <w:pPr>
        <w:spacing w:after="200"/>
        <w:jc w:val="both"/>
      </w:pPr>
      <w:r w:rsidRPr="00C95A50">
        <w:t>Adoption of foundational digital tools (websites, e-sales) among UK SMEs is comparatively high, but adoption of integrated systems such as CRM and ERP is markedly lower and more size-sensitive, with micro firms of five to nine employees lagging furthest behind (OECD, 2026). The Department for Business and Trade's SME Digital Adoption Taskforce found that 43% of SMEs surveyed by the British Chambers of Commerce in 2024 had no plans to adopt AI-enabled productivity tools at all (DBT, 2025</w:t>
      </w:r>
      <w:r w:rsidR="00E25C99" w:rsidRPr="00C95A50">
        <w:t>) and</w:t>
      </w:r>
      <w:r w:rsidRPr="00C95A50">
        <w:t xml:space="preserve"> identified smaller firms as facing the greatest combination of time, resource, and expertise barriers to digital adoption (DBT, 2025).</w:t>
      </w:r>
    </w:p>
    <w:p w14:paraId="35B938C6" w14:textId="77777777" w:rsidR="00E25C99" w:rsidRPr="00C95A50" w:rsidRDefault="00C87136" w:rsidP="00C95A50">
      <w:pPr>
        <w:spacing w:after="200"/>
        <w:jc w:val="both"/>
      </w:pPr>
      <w:r w:rsidRPr="00C95A50">
        <w:t>Technological enablers</w:t>
      </w:r>
    </w:p>
    <w:p w14:paraId="47FC031A" w14:textId="6552D4C3" w:rsidR="00C87136" w:rsidRPr="00C95A50" w:rsidRDefault="00C87136" w:rsidP="00C95A50">
      <w:pPr>
        <w:spacing w:after="200"/>
        <w:jc w:val="both"/>
      </w:pPr>
      <w:r w:rsidRPr="00C95A50">
        <w:t>Cloud-based scheduling, payment, and video-consultation tools have matured and dropped in cost to the point where a micro-business can assemble a functioning digital stack without in-house technical staff, and UK cloud computing investment among firms of all sizes now exceeds 60% (OECD, 2026), indicating the underlying infrastructure and vendor ecosystem is mature even where individual SME adoption lags.</w:t>
      </w:r>
    </w:p>
    <w:p w14:paraId="392E9DB9" w14:textId="77777777" w:rsidR="00E25C99" w:rsidRPr="00C95A50" w:rsidRDefault="00C87136" w:rsidP="00C95A50">
      <w:pPr>
        <w:spacing w:after="200"/>
        <w:jc w:val="both"/>
      </w:pPr>
      <w:r w:rsidRPr="00C95A50">
        <w:t>Scalability and sustainability</w:t>
      </w:r>
    </w:p>
    <w:p w14:paraId="2A0FD816" w14:textId="328F2942" w:rsidR="00C87136" w:rsidRPr="00C95A50" w:rsidRDefault="00C87136" w:rsidP="00C95A50">
      <w:pPr>
        <w:spacing w:after="200"/>
        <w:jc w:val="both"/>
      </w:pPr>
      <w:r w:rsidRPr="00C95A50">
        <w:t>The Federation of Small Businesses found that SMEs which introduced innovation recorded 14.8% higher revenue growth (DBT, 2025), and Be the Business estimated that closing the SME productivity gap by just one percentage point over five years would add £94 billion annually to UK GDP (DBT, 2025), evidencing a large, policy-recognised opportunity for ventures that lower the adoption barrier for the least digitally mature SMEs rather than serving the already digitally capable segment.</w:t>
      </w:r>
    </w:p>
    <w:p w14:paraId="3CE17D17" w14:textId="77777777" w:rsidR="00C87136" w:rsidRPr="00C95A50" w:rsidRDefault="00C87136" w:rsidP="00C95A50">
      <w:pPr>
        <w:pStyle w:val="Heading2"/>
        <w:spacing w:before="260" w:after="140"/>
        <w:rPr>
          <w:rFonts w:ascii="Arial" w:eastAsia="Arial" w:hAnsi="Arial" w:cs="Arial"/>
          <w:sz w:val="22"/>
          <w:szCs w:val="22"/>
        </w:rPr>
      </w:pPr>
      <w:bookmarkStart w:id="4" w:name="_Toc235375966"/>
      <w:r w:rsidRPr="00C95A50">
        <w:rPr>
          <w:rFonts w:ascii="Arial" w:eastAsia="Arial" w:hAnsi="Arial" w:cs="Arial"/>
          <w:b/>
          <w:bCs/>
          <w:color w:val="1F1F1F"/>
          <w:sz w:val="22"/>
          <w:szCs w:val="22"/>
        </w:rPr>
        <w:lastRenderedPageBreak/>
        <w:t>2.4 Opportunity Area Three: Integrated Digital Payments for Micro-Retailers</w:t>
      </w:r>
      <w:bookmarkEnd w:id="4"/>
    </w:p>
    <w:p w14:paraId="2AD01D3D" w14:textId="77777777" w:rsidR="00E25C99" w:rsidRPr="00C95A50" w:rsidRDefault="00C87136" w:rsidP="00C95A50">
      <w:pPr>
        <w:spacing w:after="200"/>
        <w:jc w:val="both"/>
      </w:pPr>
      <w:r w:rsidRPr="00C95A50">
        <w:t>User pain points</w:t>
      </w:r>
    </w:p>
    <w:p w14:paraId="31889E91" w14:textId="014763E6" w:rsidR="00C87136" w:rsidRPr="00C95A50" w:rsidRDefault="00C87136" w:rsidP="00C95A50">
      <w:pPr>
        <w:spacing w:after="200"/>
        <w:jc w:val="both"/>
      </w:pPr>
      <w:r w:rsidRPr="00C95A50">
        <w:t>Corner shops and market traders that introduced card-only policies and QR payment codes during the pandemic often did so with consumer-grade tools not designed for retail reconciliation, inventory linkage, or multi-channel sales (in-store plus Instagram storefront), leaving owners to reconcile sales manually across disconnected systems.</w:t>
      </w:r>
    </w:p>
    <w:p w14:paraId="4DF3F5D4" w14:textId="77777777" w:rsidR="00E25C99" w:rsidRPr="00C95A50" w:rsidRDefault="00C87136" w:rsidP="00C95A50">
      <w:pPr>
        <w:spacing w:after="200"/>
        <w:jc w:val="both"/>
      </w:pPr>
      <w:r w:rsidRPr="00C95A50">
        <w:t>Market gaps</w:t>
      </w:r>
    </w:p>
    <w:p w14:paraId="6137F7E4" w14:textId="621154ED" w:rsidR="00C87136" w:rsidRPr="00C95A50" w:rsidRDefault="00C87136" w:rsidP="00C95A50">
      <w:pPr>
        <w:spacing w:after="200"/>
        <w:jc w:val="both"/>
      </w:pPr>
      <w:r w:rsidRPr="00C95A50">
        <w:t>UK online retail sales reached £130.8 billion in 2024 (ResearchGate preprint citing national retail data, 2025), yet the smallest retail businesses remain the least likely to have point-of-sale systems that unify in-person card payment, QR/mobile payment, and simple online listings in one reconciled ledger, a gap the OECD attributes to the fixed costs and complexity of systems-level tools relative to a small retailer's turnover (OECD, 2026).</w:t>
      </w:r>
    </w:p>
    <w:p w14:paraId="3BCCD835" w14:textId="77777777" w:rsidR="00E25C99" w:rsidRPr="00C95A50" w:rsidRDefault="00C87136" w:rsidP="00C95A50">
      <w:pPr>
        <w:spacing w:after="200"/>
        <w:jc w:val="both"/>
      </w:pPr>
      <w:r w:rsidRPr="00C95A50">
        <w:t>Technological enablers</w:t>
      </w:r>
    </w:p>
    <w:p w14:paraId="3B2DD027" w14:textId="400C8811" w:rsidR="00C87136" w:rsidRPr="00C95A50" w:rsidRDefault="00C87136" w:rsidP="00C95A50">
      <w:pPr>
        <w:spacing w:after="200"/>
        <w:jc w:val="both"/>
      </w:pPr>
      <w:r w:rsidRPr="00C95A50">
        <w:t>Contactless and QR-code payment infrastructure is now near-universal in the UK, and low-cost card readers with integrated software (inventory, basic analytics) are commodity products, meaning the barrier for micro-retailers is now configuration and trust rather than availability of the underlying technology.</w:t>
      </w:r>
    </w:p>
    <w:p w14:paraId="015E8627" w14:textId="77777777" w:rsidR="00E25C99" w:rsidRPr="00C95A50" w:rsidRDefault="00C87136" w:rsidP="00C95A50">
      <w:pPr>
        <w:spacing w:after="200"/>
        <w:jc w:val="both"/>
      </w:pPr>
      <w:r w:rsidRPr="00C95A50">
        <w:t>Scalability and sustainability</w:t>
      </w:r>
    </w:p>
    <w:p w14:paraId="67973857" w14:textId="3FF6FD41" w:rsidR="00C87136" w:rsidRPr="00C95A50" w:rsidRDefault="00C87136" w:rsidP="00C95A50">
      <w:pPr>
        <w:spacing w:after="200"/>
        <w:jc w:val="both"/>
      </w:pPr>
      <w:r w:rsidRPr="00C95A50">
        <w:t>With 5.45 million UK small businesses accounting for 99.16% of the total business population (Growth Idea, 2025), a venture that packages payments, light inventory, and social-storefront listing into a single low-cost subscription addresses a very large and largely homogeneous customer base, supporting a scalable, low-marginal-cost software model once built.</w:t>
      </w:r>
    </w:p>
    <w:p w14:paraId="2F594915" w14:textId="77777777" w:rsidR="00C87136" w:rsidRPr="00C95A50" w:rsidRDefault="00C87136" w:rsidP="00C95A50">
      <w:pPr>
        <w:pStyle w:val="Heading2"/>
        <w:spacing w:before="260" w:after="140"/>
        <w:rPr>
          <w:rFonts w:ascii="Arial" w:eastAsia="Arial" w:hAnsi="Arial" w:cs="Arial"/>
          <w:sz w:val="22"/>
          <w:szCs w:val="22"/>
        </w:rPr>
      </w:pPr>
      <w:bookmarkStart w:id="5" w:name="_Toc235375967"/>
      <w:r w:rsidRPr="00C95A50">
        <w:rPr>
          <w:rFonts w:ascii="Arial" w:eastAsia="Arial" w:hAnsi="Arial" w:cs="Arial"/>
          <w:b/>
          <w:bCs/>
          <w:color w:val="1F1F1F"/>
          <w:sz w:val="22"/>
          <w:szCs w:val="22"/>
        </w:rPr>
        <w:t>2.5 Opportunity Area Four: Direct-to-Consumer Tooling for Small Producers</w:t>
      </w:r>
      <w:bookmarkEnd w:id="5"/>
    </w:p>
    <w:p w14:paraId="66230597" w14:textId="77777777" w:rsidR="00E25C99" w:rsidRPr="00C95A50" w:rsidRDefault="00C87136" w:rsidP="00C95A50">
      <w:pPr>
        <w:spacing w:after="200"/>
        <w:jc w:val="both"/>
      </w:pPr>
      <w:r w:rsidRPr="00C95A50">
        <w:t>User pain points</w:t>
      </w:r>
    </w:p>
    <w:p w14:paraId="0F557E8D" w14:textId="7BA438C6" w:rsidR="00C87136" w:rsidRPr="00C95A50" w:rsidRDefault="00C87136" w:rsidP="00C95A50">
      <w:pPr>
        <w:spacing w:after="200"/>
        <w:jc w:val="both"/>
      </w:pPr>
      <w:r w:rsidRPr="00C95A50">
        <w:t>Farmers and local producers who began advertising via Facebook and Instagram and coordinating orders via WhatsApp face a fragmented, manual order-to-delivery process: orders arrive as unstructured messages, payment is often informal, and fulfilment depends on the producer's own transport or ad hoc arrangements, none of which scale beyond a small, local customer base.</w:t>
      </w:r>
    </w:p>
    <w:p w14:paraId="25073C75" w14:textId="77777777" w:rsidR="00E25C99" w:rsidRPr="00C95A50" w:rsidRDefault="00C87136" w:rsidP="00C95A50">
      <w:pPr>
        <w:spacing w:after="200"/>
        <w:jc w:val="both"/>
      </w:pPr>
      <w:r w:rsidRPr="00C95A50">
        <w:t>Market gaps</w:t>
      </w:r>
    </w:p>
    <w:p w14:paraId="5DE4AB7B" w14:textId="55D69B0E" w:rsidR="00C87136" w:rsidRPr="00C95A50" w:rsidRDefault="00C87136" w:rsidP="00C95A50">
      <w:pPr>
        <w:spacing w:after="200"/>
        <w:jc w:val="both"/>
      </w:pPr>
      <w:r w:rsidRPr="00C95A50">
        <w:lastRenderedPageBreak/>
        <w:t xml:space="preserve">No mainstream UK platform currently combines lightweight ordering, payment, and access to consolidated rural delivery (Opportunity Area One) specifically for very small producers, who are typically too small for enterprise </w:t>
      </w:r>
      <w:proofErr w:type="spellStart"/>
      <w:r w:rsidRPr="00C95A50">
        <w:t>agri</w:t>
      </w:r>
      <w:proofErr w:type="spellEnd"/>
      <w:r w:rsidRPr="00C95A50">
        <w:t>-tech platforms and poorly served by generic e-commerce platforms designed for higher order volumes.</w:t>
      </w:r>
    </w:p>
    <w:p w14:paraId="614BE5F7" w14:textId="77777777" w:rsidR="007E2527" w:rsidRPr="00C95A50" w:rsidRDefault="00C87136" w:rsidP="00C95A50">
      <w:pPr>
        <w:spacing w:after="200"/>
        <w:jc w:val="both"/>
      </w:pPr>
      <w:r w:rsidRPr="00C95A50">
        <w:t>Technological enablers</w:t>
      </w:r>
    </w:p>
    <w:p w14:paraId="289379BB" w14:textId="6F6DC5D8" w:rsidR="00C87136" w:rsidRPr="00C95A50" w:rsidRDefault="00C87136" w:rsidP="00C95A50">
      <w:pPr>
        <w:spacing w:after="200"/>
        <w:jc w:val="both"/>
      </w:pPr>
      <w:r w:rsidRPr="00C95A50">
        <w:t>Social commerce features (Instagram/Facebook Shops, WhatsApp Business catalogues) already provide the customer-facing discovery layer producers use informally; the missing layer is structured order capture and fulfilment, which can be built as a thin integration rather than a ground-up platform.</w:t>
      </w:r>
    </w:p>
    <w:p w14:paraId="6F8A63EF" w14:textId="77777777" w:rsidR="007E2527" w:rsidRPr="00C95A50" w:rsidRDefault="00C87136" w:rsidP="00C95A50">
      <w:pPr>
        <w:spacing w:after="200"/>
        <w:jc w:val="both"/>
      </w:pPr>
      <w:r w:rsidRPr="00C95A50">
        <w:t>Scalability and sustainability</w:t>
      </w:r>
    </w:p>
    <w:p w14:paraId="3CB1D1ED" w14:textId="1880DA32" w:rsidR="00C87136" w:rsidRPr="00C95A50" w:rsidRDefault="00C87136" w:rsidP="00C95A50">
      <w:pPr>
        <w:spacing w:after="200"/>
        <w:jc w:val="both"/>
      </w:pPr>
      <w:r w:rsidRPr="00C95A50">
        <w:t>Direct</w:t>
      </w:r>
      <w:r w:rsidR="00BB00A2" w:rsidRPr="00C95A50">
        <w:t xml:space="preserve"> </w:t>
      </w:r>
      <w:r w:rsidRPr="00C95A50">
        <w:t>to</w:t>
      </w:r>
      <w:r w:rsidR="00BB00A2" w:rsidRPr="00C95A50">
        <w:t xml:space="preserve"> </w:t>
      </w:r>
      <w:r w:rsidRPr="00C95A50">
        <w:t>consumer models shorten supply chains and reduce food miles relative to conventional retail distribution, giving a sustainability narrative that aligns with consumer demand trends, while the dependency on Opportunity Area One's delivery infrastructure means the two opportunities can be developed as a single integrated venture rather than two competing ones, as explored in Task 2.</w:t>
      </w:r>
    </w:p>
    <w:p w14:paraId="0CCF4685" w14:textId="77777777" w:rsidR="00C87136" w:rsidRPr="00C95A50" w:rsidRDefault="00C87136" w:rsidP="00C95A50">
      <w:pPr>
        <w:pStyle w:val="Heading2"/>
        <w:spacing w:before="260" w:after="140"/>
        <w:rPr>
          <w:rFonts w:ascii="Arial" w:eastAsia="Arial" w:hAnsi="Arial" w:cs="Arial"/>
          <w:sz w:val="22"/>
          <w:szCs w:val="22"/>
        </w:rPr>
      </w:pPr>
      <w:bookmarkStart w:id="6" w:name="_Toc235375968"/>
      <w:r w:rsidRPr="00C95A50">
        <w:rPr>
          <w:rFonts w:ascii="Arial" w:eastAsia="Arial" w:hAnsi="Arial" w:cs="Arial"/>
          <w:b/>
          <w:bCs/>
          <w:color w:val="1F1F1F"/>
          <w:sz w:val="22"/>
          <w:szCs w:val="22"/>
        </w:rPr>
        <w:t>2.6 Comparative Justification and Prioritisation</w:t>
      </w:r>
      <w:bookmarkEnd w:id="6"/>
    </w:p>
    <w:p w14:paraId="06D1127E" w14:textId="77777777" w:rsidR="00C87136" w:rsidRPr="00C95A50" w:rsidRDefault="00C87136" w:rsidP="00C95A50">
      <w:pPr>
        <w:spacing w:after="200"/>
        <w:jc w:val="both"/>
      </w:pPr>
      <w:r w:rsidRPr="00C95A50">
        <w:t>Table 1 summarises the four opportunity areas against the brief's four justification criteria. Rural last-mile delivery infrastructure is prioritised as the most viable opportunity for new venture creation because it satisfies all four criteria most strongly and because it is a structural precondition for Opportunity Area Four: a rural producer's direct-to-consumer model is only as good as the delivery network carrying its parcels. This dependency is the basis for the venture concept developed in Task 2, which fuses Opportunity Areas One and Four.</w:t>
      </w:r>
    </w:p>
    <w:tbl>
      <w:tblPr>
        <w:tblW w:w="10700" w:type="dxa"/>
        <w:tblInd w:w="-84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499"/>
        <w:gridCol w:w="2295"/>
        <w:gridCol w:w="1525"/>
        <w:gridCol w:w="2784"/>
        <w:gridCol w:w="2796"/>
      </w:tblGrid>
      <w:tr w:rsidR="00C87136" w:rsidRPr="00C95A50" w14:paraId="7A7488A1" w14:textId="77777777" w:rsidTr="00C87136">
        <w:trPr>
          <w:tblHeader/>
        </w:trPr>
        <w:tc>
          <w:tcPr>
            <w:tcW w:w="1844" w:type="dxa"/>
            <w:tcBorders>
              <w:top w:val="single" w:sz="4" w:space="0" w:color="auto"/>
              <w:left w:val="single" w:sz="4" w:space="0" w:color="auto"/>
              <w:bottom w:val="single" w:sz="4" w:space="0" w:color="auto"/>
              <w:right w:val="single" w:sz="4" w:space="0" w:color="auto"/>
            </w:tcBorders>
            <w:shd w:val="clear" w:color="auto" w:fill="D9D9D9"/>
            <w:tcMar>
              <w:top w:w="100" w:type="dxa"/>
              <w:left w:w="120" w:type="dxa"/>
              <w:bottom w:w="100" w:type="dxa"/>
              <w:right w:w="120" w:type="dxa"/>
            </w:tcMar>
            <w:hideMark/>
          </w:tcPr>
          <w:p w14:paraId="1DBF2BC4" w14:textId="77777777" w:rsidR="00C87136" w:rsidRPr="00C95A50" w:rsidRDefault="00C87136" w:rsidP="00C95A50">
            <w:r w:rsidRPr="00C95A50">
              <w:rPr>
                <w:b/>
                <w:bCs/>
              </w:rPr>
              <w:t>Opportunity area</w:t>
            </w:r>
          </w:p>
        </w:tc>
        <w:tc>
          <w:tcPr>
            <w:tcW w:w="2108" w:type="dxa"/>
            <w:tcBorders>
              <w:top w:val="single" w:sz="4" w:space="0" w:color="auto"/>
              <w:left w:val="single" w:sz="4" w:space="0" w:color="auto"/>
              <w:bottom w:val="single" w:sz="4" w:space="0" w:color="auto"/>
              <w:right w:val="single" w:sz="4" w:space="0" w:color="auto"/>
            </w:tcBorders>
            <w:shd w:val="clear" w:color="auto" w:fill="D9D9D9"/>
            <w:tcMar>
              <w:top w:w="100" w:type="dxa"/>
              <w:left w:w="120" w:type="dxa"/>
              <w:bottom w:w="100" w:type="dxa"/>
              <w:right w:w="120" w:type="dxa"/>
            </w:tcMar>
            <w:hideMark/>
          </w:tcPr>
          <w:p w14:paraId="49FEB653" w14:textId="77777777" w:rsidR="00C87136" w:rsidRPr="00C95A50" w:rsidRDefault="00C87136" w:rsidP="00C95A50">
            <w:r w:rsidRPr="00C95A50">
              <w:rPr>
                <w:b/>
                <w:bCs/>
              </w:rPr>
              <w:t>User pain points</w:t>
            </w:r>
          </w:p>
        </w:tc>
        <w:tc>
          <w:tcPr>
            <w:tcW w:w="1631" w:type="dxa"/>
            <w:tcBorders>
              <w:top w:val="single" w:sz="4" w:space="0" w:color="auto"/>
              <w:left w:val="single" w:sz="4" w:space="0" w:color="auto"/>
              <w:bottom w:val="single" w:sz="4" w:space="0" w:color="auto"/>
              <w:right w:val="single" w:sz="4" w:space="0" w:color="auto"/>
            </w:tcBorders>
            <w:shd w:val="clear" w:color="auto" w:fill="D9D9D9"/>
            <w:tcMar>
              <w:top w:w="100" w:type="dxa"/>
              <w:left w:w="120" w:type="dxa"/>
              <w:bottom w:w="100" w:type="dxa"/>
              <w:right w:w="120" w:type="dxa"/>
            </w:tcMar>
            <w:hideMark/>
          </w:tcPr>
          <w:p w14:paraId="4BA569DD" w14:textId="77777777" w:rsidR="00C87136" w:rsidRPr="00C95A50" w:rsidRDefault="00C87136" w:rsidP="00C95A50">
            <w:r w:rsidRPr="00C95A50">
              <w:rPr>
                <w:b/>
                <w:bCs/>
              </w:rPr>
              <w:t>Market gap</w:t>
            </w:r>
          </w:p>
        </w:tc>
        <w:tc>
          <w:tcPr>
            <w:tcW w:w="2553" w:type="dxa"/>
            <w:tcBorders>
              <w:top w:val="single" w:sz="4" w:space="0" w:color="auto"/>
              <w:left w:val="single" w:sz="4" w:space="0" w:color="auto"/>
              <w:bottom w:val="single" w:sz="4" w:space="0" w:color="auto"/>
              <w:right w:val="single" w:sz="4" w:space="0" w:color="auto"/>
            </w:tcBorders>
            <w:shd w:val="clear" w:color="auto" w:fill="D9D9D9"/>
            <w:tcMar>
              <w:top w:w="100" w:type="dxa"/>
              <w:left w:w="120" w:type="dxa"/>
              <w:bottom w:w="100" w:type="dxa"/>
              <w:right w:w="120" w:type="dxa"/>
            </w:tcMar>
            <w:hideMark/>
          </w:tcPr>
          <w:p w14:paraId="23DB29B7" w14:textId="77777777" w:rsidR="00C87136" w:rsidRPr="00C95A50" w:rsidRDefault="00C87136" w:rsidP="00C95A50">
            <w:r w:rsidRPr="00C95A50">
              <w:rPr>
                <w:b/>
                <w:bCs/>
              </w:rPr>
              <w:t>Technological enabler</w:t>
            </w:r>
          </w:p>
        </w:tc>
        <w:tc>
          <w:tcPr>
            <w:tcW w:w="2564" w:type="dxa"/>
            <w:tcBorders>
              <w:top w:val="single" w:sz="4" w:space="0" w:color="auto"/>
              <w:left w:val="single" w:sz="4" w:space="0" w:color="auto"/>
              <w:bottom w:val="single" w:sz="4" w:space="0" w:color="auto"/>
              <w:right w:val="single" w:sz="4" w:space="0" w:color="auto"/>
            </w:tcBorders>
            <w:shd w:val="clear" w:color="auto" w:fill="D9D9D9"/>
            <w:tcMar>
              <w:top w:w="100" w:type="dxa"/>
              <w:left w:w="120" w:type="dxa"/>
              <w:bottom w:w="100" w:type="dxa"/>
              <w:right w:w="120" w:type="dxa"/>
            </w:tcMar>
            <w:hideMark/>
          </w:tcPr>
          <w:p w14:paraId="29DC1092" w14:textId="77777777" w:rsidR="00C87136" w:rsidRPr="00C95A50" w:rsidRDefault="00C87136" w:rsidP="00C95A50">
            <w:r w:rsidRPr="00C95A50">
              <w:rPr>
                <w:b/>
                <w:bCs/>
              </w:rPr>
              <w:t>Scalability/sustainability</w:t>
            </w:r>
          </w:p>
        </w:tc>
      </w:tr>
      <w:tr w:rsidR="00C87136" w:rsidRPr="00C95A50" w14:paraId="5881E395" w14:textId="77777777" w:rsidTr="00C87136">
        <w:tc>
          <w:tcPr>
            <w:tcW w:w="1844" w:type="dxa"/>
            <w:tcBorders>
              <w:top w:val="single" w:sz="4" w:space="0" w:color="auto"/>
              <w:left w:val="single" w:sz="4" w:space="0" w:color="auto"/>
              <w:bottom w:val="single" w:sz="4" w:space="0" w:color="auto"/>
              <w:right w:val="single" w:sz="4" w:space="0" w:color="auto"/>
            </w:tcBorders>
            <w:tcMar>
              <w:top w:w="100" w:type="dxa"/>
              <w:left w:w="120" w:type="dxa"/>
              <w:bottom w:w="100" w:type="dxa"/>
              <w:right w:w="120" w:type="dxa"/>
            </w:tcMar>
            <w:hideMark/>
          </w:tcPr>
          <w:p w14:paraId="63AA6F4A" w14:textId="77777777" w:rsidR="00C87136" w:rsidRPr="00C95A50" w:rsidRDefault="00C87136" w:rsidP="00C95A50">
            <w:r w:rsidRPr="00C95A50">
              <w:rPr>
                <w:b/>
                <w:bCs/>
              </w:rPr>
              <w:t>Rural last-mile delivery</w:t>
            </w:r>
          </w:p>
        </w:tc>
        <w:tc>
          <w:tcPr>
            <w:tcW w:w="2108" w:type="dxa"/>
            <w:tcBorders>
              <w:top w:val="single" w:sz="4" w:space="0" w:color="auto"/>
              <w:left w:val="single" w:sz="4" w:space="0" w:color="auto"/>
              <w:bottom w:val="single" w:sz="4" w:space="0" w:color="auto"/>
              <w:right w:val="single" w:sz="4" w:space="0" w:color="auto"/>
            </w:tcBorders>
            <w:tcMar>
              <w:top w:w="100" w:type="dxa"/>
              <w:left w:w="120" w:type="dxa"/>
              <w:bottom w:w="100" w:type="dxa"/>
              <w:right w:w="120" w:type="dxa"/>
            </w:tcMar>
            <w:hideMark/>
          </w:tcPr>
          <w:p w14:paraId="1C7C4BD1" w14:textId="77777777" w:rsidR="00C87136" w:rsidRPr="00C95A50" w:rsidRDefault="00C87136" w:rsidP="00C95A50">
            <w:r w:rsidRPr="00C95A50">
              <w:t>High cost/failure risk outside dense areas; risk borne by self-employed drivers</w:t>
            </w:r>
          </w:p>
        </w:tc>
        <w:tc>
          <w:tcPr>
            <w:tcW w:w="1631" w:type="dxa"/>
            <w:tcBorders>
              <w:top w:val="single" w:sz="4" w:space="0" w:color="auto"/>
              <w:left w:val="single" w:sz="4" w:space="0" w:color="auto"/>
              <w:bottom w:val="single" w:sz="4" w:space="0" w:color="auto"/>
              <w:right w:val="single" w:sz="4" w:space="0" w:color="auto"/>
            </w:tcBorders>
            <w:tcMar>
              <w:top w:w="100" w:type="dxa"/>
              <w:left w:w="120" w:type="dxa"/>
              <w:bottom w:w="100" w:type="dxa"/>
              <w:right w:w="120" w:type="dxa"/>
            </w:tcMar>
            <w:hideMark/>
          </w:tcPr>
          <w:p w14:paraId="677553E9" w14:textId="77777777" w:rsidR="00C87136" w:rsidRPr="00C95A50" w:rsidRDefault="00C87136" w:rsidP="00C95A50">
            <w:r w:rsidRPr="00C95A50">
              <w:t xml:space="preserve">52% rural full-fibre vs 71% urban (Ofcom, 2024); no shared rural </w:t>
            </w:r>
            <w:r w:rsidRPr="00C95A50">
              <w:lastRenderedPageBreak/>
              <w:t>consolidation model</w:t>
            </w:r>
          </w:p>
        </w:tc>
        <w:tc>
          <w:tcPr>
            <w:tcW w:w="2553" w:type="dxa"/>
            <w:tcBorders>
              <w:top w:val="single" w:sz="4" w:space="0" w:color="auto"/>
              <w:left w:val="single" w:sz="4" w:space="0" w:color="auto"/>
              <w:bottom w:val="single" w:sz="4" w:space="0" w:color="auto"/>
              <w:right w:val="single" w:sz="4" w:space="0" w:color="auto"/>
            </w:tcBorders>
            <w:tcMar>
              <w:top w:w="100" w:type="dxa"/>
              <w:left w:w="120" w:type="dxa"/>
              <w:bottom w:w="100" w:type="dxa"/>
              <w:right w:w="120" w:type="dxa"/>
            </w:tcMar>
            <w:hideMark/>
          </w:tcPr>
          <w:p w14:paraId="1B20FA52" w14:textId="77777777" w:rsidR="00C87136" w:rsidRPr="00C95A50" w:rsidRDefault="00C87136" w:rsidP="00C95A50">
            <w:r w:rsidRPr="00C95A50">
              <w:lastRenderedPageBreak/>
              <w:t>Route optimisation, lockers, EV/cargo-bike fleets proven at carrier scale</w:t>
            </w:r>
          </w:p>
        </w:tc>
        <w:tc>
          <w:tcPr>
            <w:tcW w:w="2564" w:type="dxa"/>
            <w:tcBorders>
              <w:top w:val="single" w:sz="4" w:space="0" w:color="auto"/>
              <w:left w:val="single" w:sz="4" w:space="0" w:color="auto"/>
              <w:bottom w:val="single" w:sz="4" w:space="0" w:color="auto"/>
              <w:right w:val="single" w:sz="4" w:space="0" w:color="auto"/>
            </w:tcBorders>
            <w:tcMar>
              <w:top w:w="100" w:type="dxa"/>
              <w:left w:w="120" w:type="dxa"/>
              <w:bottom w:w="100" w:type="dxa"/>
              <w:right w:w="120" w:type="dxa"/>
            </w:tcMar>
            <w:hideMark/>
          </w:tcPr>
          <w:p w14:paraId="5B2FEC1C" w14:textId="77777777" w:rsidR="00C87136" w:rsidRPr="00C95A50" w:rsidRDefault="00C87136" w:rsidP="00C95A50">
            <w:r w:rsidRPr="00C95A50">
              <w:t>Market growing to USD 14.12bn by 2030 (Mordor Intelligence, 2025); Project Gigabit closing coverage gap</w:t>
            </w:r>
          </w:p>
        </w:tc>
      </w:tr>
      <w:tr w:rsidR="00C87136" w:rsidRPr="00C95A50" w14:paraId="7E653986" w14:textId="77777777" w:rsidTr="00C87136">
        <w:tc>
          <w:tcPr>
            <w:tcW w:w="1844" w:type="dxa"/>
            <w:tcBorders>
              <w:top w:val="single" w:sz="4" w:space="0" w:color="auto"/>
              <w:left w:val="single" w:sz="4" w:space="0" w:color="auto"/>
              <w:bottom w:val="single" w:sz="4" w:space="0" w:color="auto"/>
              <w:right w:val="single" w:sz="4" w:space="0" w:color="auto"/>
            </w:tcBorders>
            <w:tcMar>
              <w:top w:w="100" w:type="dxa"/>
              <w:left w:w="120" w:type="dxa"/>
              <w:bottom w:w="100" w:type="dxa"/>
              <w:right w:w="120" w:type="dxa"/>
            </w:tcMar>
            <w:hideMark/>
          </w:tcPr>
          <w:p w14:paraId="0A04BD2C" w14:textId="77777777" w:rsidR="00C87136" w:rsidRPr="00C95A50" w:rsidRDefault="00C87136" w:rsidP="00C95A50">
            <w:r w:rsidRPr="00C95A50">
              <w:rPr>
                <w:b/>
                <w:bCs/>
              </w:rPr>
              <w:t>Service-sector SME digital tools</w:t>
            </w:r>
          </w:p>
        </w:tc>
        <w:tc>
          <w:tcPr>
            <w:tcW w:w="2108" w:type="dxa"/>
            <w:tcBorders>
              <w:top w:val="single" w:sz="4" w:space="0" w:color="auto"/>
              <w:left w:val="single" w:sz="4" w:space="0" w:color="auto"/>
              <w:bottom w:val="single" w:sz="4" w:space="0" w:color="auto"/>
              <w:right w:val="single" w:sz="4" w:space="0" w:color="auto"/>
            </w:tcBorders>
            <w:tcMar>
              <w:top w:w="100" w:type="dxa"/>
              <w:left w:w="120" w:type="dxa"/>
              <w:bottom w:w="100" w:type="dxa"/>
              <w:right w:w="120" w:type="dxa"/>
            </w:tcMar>
            <w:hideMark/>
          </w:tcPr>
          <w:p w14:paraId="72DA05FE" w14:textId="77777777" w:rsidR="00C87136" w:rsidRPr="00C95A50" w:rsidRDefault="00C87136" w:rsidP="00C95A50">
            <w:r w:rsidRPr="00C95A50">
              <w:t>Manual booking/payment via WhatsApp/Instagram DIY tools</w:t>
            </w:r>
          </w:p>
        </w:tc>
        <w:tc>
          <w:tcPr>
            <w:tcW w:w="1631" w:type="dxa"/>
            <w:tcBorders>
              <w:top w:val="single" w:sz="4" w:space="0" w:color="auto"/>
              <w:left w:val="single" w:sz="4" w:space="0" w:color="auto"/>
              <w:bottom w:val="single" w:sz="4" w:space="0" w:color="auto"/>
              <w:right w:val="single" w:sz="4" w:space="0" w:color="auto"/>
            </w:tcBorders>
            <w:tcMar>
              <w:top w:w="100" w:type="dxa"/>
              <w:left w:w="120" w:type="dxa"/>
              <w:bottom w:w="100" w:type="dxa"/>
              <w:right w:w="120" w:type="dxa"/>
            </w:tcMar>
            <w:hideMark/>
          </w:tcPr>
          <w:p w14:paraId="3124C647" w14:textId="77777777" w:rsidR="00C87136" w:rsidRPr="00C95A50" w:rsidRDefault="00C87136" w:rsidP="00C95A50">
            <w:r w:rsidRPr="00C95A50">
              <w:t>CRM/ERP adoption lags well behind basic e-sales tools, esp. micro firms (OECD, 2026)</w:t>
            </w:r>
          </w:p>
        </w:tc>
        <w:tc>
          <w:tcPr>
            <w:tcW w:w="2553" w:type="dxa"/>
            <w:tcBorders>
              <w:top w:val="single" w:sz="4" w:space="0" w:color="auto"/>
              <w:left w:val="single" w:sz="4" w:space="0" w:color="auto"/>
              <w:bottom w:val="single" w:sz="4" w:space="0" w:color="auto"/>
              <w:right w:val="single" w:sz="4" w:space="0" w:color="auto"/>
            </w:tcBorders>
            <w:tcMar>
              <w:top w:w="100" w:type="dxa"/>
              <w:left w:w="120" w:type="dxa"/>
              <w:bottom w:w="100" w:type="dxa"/>
              <w:right w:w="120" w:type="dxa"/>
            </w:tcMar>
            <w:hideMark/>
          </w:tcPr>
          <w:p w14:paraId="6AD765EF" w14:textId="77777777" w:rsidR="00C87136" w:rsidRPr="00C95A50" w:rsidRDefault="00C87136" w:rsidP="00C95A50">
            <w:r w:rsidRPr="00C95A50">
              <w:t>Mature, low-cost cloud scheduling/payment/video stacks</w:t>
            </w:r>
          </w:p>
        </w:tc>
        <w:tc>
          <w:tcPr>
            <w:tcW w:w="2564" w:type="dxa"/>
            <w:tcBorders>
              <w:top w:val="single" w:sz="4" w:space="0" w:color="auto"/>
              <w:left w:val="single" w:sz="4" w:space="0" w:color="auto"/>
              <w:bottom w:val="single" w:sz="4" w:space="0" w:color="auto"/>
              <w:right w:val="single" w:sz="4" w:space="0" w:color="auto"/>
            </w:tcBorders>
            <w:tcMar>
              <w:top w:w="100" w:type="dxa"/>
              <w:left w:w="120" w:type="dxa"/>
              <w:bottom w:w="100" w:type="dxa"/>
              <w:right w:w="120" w:type="dxa"/>
            </w:tcMar>
            <w:hideMark/>
          </w:tcPr>
          <w:p w14:paraId="646E815A" w14:textId="77777777" w:rsidR="00C87136" w:rsidRPr="00C95A50" w:rsidRDefault="00C87136" w:rsidP="00C95A50">
            <w:r w:rsidRPr="00C95A50">
              <w:t>Innovating SMEs see 14.8% higher revenue growth (DBT, 2025); £94bn GDP opportunity</w:t>
            </w:r>
          </w:p>
        </w:tc>
      </w:tr>
      <w:tr w:rsidR="00C87136" w:rsidRPr="00C95A50" w14:paraId="337F1BB8" w14:textId="77777777" w:rsidTr="00C87136">
        <w:tc>
          <w:tcPr>
            <w:tcW w:w="1844" w:type="dxa"/>
            <w:tcBorders>
              <w:top w:val="single" w:sz="4" w:space="0" w:color="auto"/>
              <w:left w:val="single" w:sz="4" w:space="0" w:color="auto"/>
              <w:bottom w:val="single" w:sz="4" w:space="0" w:color="auto"/>
              <w:right w:val="single" w:sz="4" w:space="0" w:color="auto"/>
            </w:tcBorders>
            <w:tcMar>
              <w:top w:w="100" w:type="dxa"/>
              <w:left w:w="120" w:type="dxa"/>
              <w:bottom w:w="100" w:type="dxa"/>
              <w:right w:w="120" w:type="dxa"/>
            </w:tcMar>
            <w:hideMark/>
          </w:tcPr>
          <w:p w14:paraId="0C5CD619" w14:textId="77777777" w:rsidR="00C87136" w:rsidRPr="00C95A50" w:rsidRDefault="00C87136" w:rsidP="00C95A50">
            <w:r w:rsidRPr="00C95A50">
              <w:rPr>
                <w:b/>
                <w:bCs/>
              </w:rPr>
              <w:t>Micro-retailer digital payments</w:t>
            </w:r>
          </w:p>
        </w:tc>
        <w:tc>
          <w:tcPr>
            <w:tcW w:w="2108" w:type="dxa"/>
            <w:tcBorders>
              <w:top w:val="single" w:sz="4" w:space="0" w:color="auto"/>
              <w:left w:val="single" w:sz="4" w:space="0" w:color="auto"/>
              <w:bottom w:val="single" w:sz="4" w:space="0" w:color="auto"/>
              <w:right w:val="single" w:sz="4" w:space="0" w:color="auto"/>
            </w:tcBorders>
            <w:tcMar>
              <w:top w:w="100" w:type="dxa"/>
              <w:left w:w="120" w:type="dxa"/>
              <w:bottom w:w="100" w:type="dxa"/>
              <w:right w:w="120" w:type="dxa"/>
            </w:tcMar>
            <w:hideMark/>
          </w:tcPr>
          <w:p w14:paraId="608E3FD7" w14:textId="77777777" w:rsidR="00C87136" w:rsidRPr="00C95A50" w:rsidRDefault="00C87136" w:rsidP="00C95A50">
            <w:r w:rsidRPr="00C95A50">
              <w:t>Disconnected consumer-grade payment/inventory tools</w:t>
            </w:r>
          </w:p>
        </w:tc>
        <w:tc>
          <w:tcPr>
            <w:tcW w:w="1631" w:type="dxa"/>
            <w:tcBorders>
              <w:top w:val="single" w:sz="4" w:space="0" w:color="auto"/>
              <w:left w:val="single" w:sz="4" w:space="0" w:color="auto"/>
              <w:bottom w:val="single" w:sz="4" w:space="0" w:color="auto"/>
              <w:right w:val="single" w:sz="4" w:space="0" w:color="auto"/>
            </w:tcBorders>
            <w:tcMar>
              <w:top w:w="100" w:type="dxa"/>
              <w:left w:w="120" w:type="dxa"/>
              <w:bottom w:w="100" w:type="dxa"/>
              <w:right w:w="120" w:type="dxa"/>
            </w:tcMar>
            <w:hideMark/>
          </w:tcPr>
          <w:p w14:paraId="4C34153D" w14:textId="77777777" w:rsidR="00C87136" w:rsidRPr="00C95A50" w:rsidRDefault="00C87136" w:rsidP="00C95A50">
            <w:r w:rsidRPr="00C95A50">
              <w:t>Few unified POS options sized for very small retailers</w:t>
            </w:r>
          </w:p>
        </w:tc>
        <w:tc>
          <w:tcPr>
            <w:tcW w:w="2553" w:type="dxa"/>
            <w:tcBorders>
              <w:top w:val="single" w:sz="4" w:space="0" w:color="auto"/>
              <w:left w:val="single" w:sz="4" w:space="0" w:color="auto"/>
              <w:bottom w:val="single" w:sz="4" w:space="0" w:color="auto"/>
              <w:right w:val="single" w:sz="4" w:space="0" w:color="auto"/>
            </w:tcBorders>
            <w:tcMar>
              <w:top w:w="100" w:type="dxa"/>
              <w:left w:w="120" w:type="dxa"/>
              <w:bottom w:w="100" w:type="dxa"/>
              <w:right w:w="120" w:type="dxa"/>
            </w:tcMar>
            <w:hideMark/>
          </w:tcPr>
          <w:p w14:paraId="051FA1DA" w14:textId="77777777" w:rsidR="00C87136" w:rsidRPr="00C95A50" w:rsidRDefault="00C87136" w:rsidP="00C95A50">
            <w:r w:rsidRPr="00C95A50">
              <w:t>Near-universal contactless/QR infrastructure; commodity card readers</w:t>
            </w:r>
          </w:p>
        </w:tc>
        <w:tc>
          <w:tcPr>
            <w:tcW w:w="2564" w:type="dxa"/>
            <w:tcBorders>
              <w:top w:val="single" w:sz="4" w:space="0" w:color="auto"/>
              <w:left w:val="single" w:sz="4" w:space="0" w:color="auto"/>
              <w:bottom w:val="single" w:sz="4" w:space="0" w:color="auto"/>
              <w:right w:val="single" w:sz="4" w:space="0" w:color="auto"/>
            </w:tcBorders>
            <w:tcMar>
              <w:top w:w="100" w:type="dxa"/>
              <w:left w:w="120" w:type="dxa"/>
              <w:bottom w:w="100" w:type="dxa"/>
              <w:right w:w="120" w:type="dxa"/>
            </w:tcMar>
            <w:hideMark/>
          </w:tcPr>
          <w:p w14:paraId="2990CFC2" w14:textId="77777777" w:rsidR="00C87136" w:rsidRPr="00C95A50" w:rsidRDefault="00C87136" w:rsidP="00C95A50">
            <w:r w:rsidRPr="00C95A50">
              <w:t>5.45m UK small businesses = 99.16% of business population (Growth Idea, 2025)</w:t>
            </w:r>
          </w:p>
        </w:tc>
      </w:tr>
      <w:tr w:rsidR="00C87136" w:rsidRPr="00C95A50" w14:paraId="39DFDFBE" w14:textId="77777777" w:rsidTr="00C87136">
        <w:tc>
          <w:tcPr>
            <w:tcW w:w="1844" w:type="dxa"/>
            <w:tcBorders>
              <w:top w:val="single" w:sz="4" w:space="0" w:color="auto"/>
              <w:left w:val="single" w:sz="4" w:space="0" w:color="auto"/>
              <w:bottom w:val="single" w:sz="4" w:space="0" w:color="auto"/>
              <w:right w:val="single" w:sz="4" w:space="0" w:color="auto"/>
            </w:tcBorders>
            <w:tcMar>
              <w:top w:w="100" w:type="dxa"/>
              <w:left w:w="120" w:type="dxa"/>
              <w:bottom w:w="100" w:type="dxa"/>
              <w:right w:w="120" w:type="dxa"/>
            </w:tcMar>
            <w:hideMark/>
          </w:tcPr>
          <w:p w14:paraId="2E573E4F" w14:textId="77777777" w:rsidR="00C87136" w:rsidRPr="00C95A50" w:rsidRDefault="00C87136" w:rsidP="00C95A50">
            <w:r w:rsidRPr="00C95A50">
              <w:rPr>
                <w:b/>
                <w:bCs/>
              </w:rPr>
              <w:t>Producer direct-to-consumer tooling</w:t>
            </w:r>
          </w:p>
        </w:tc>
        <w:tc>
          <w:tcPr>
            <w:tcW w:w="2108" w:type="dxa"/>
            <w:tcBorders>
              <w:top w:val="single" w:sz="4" w:space="0" w:color="auto"/>
              <w:left w:val="single" w:sz="4" w:space="0" w:color="auto"/>
              <w:bottom w:val="single" w:sz="4" w:space="0" w:color="auto"/>
              <w:right w:val="single" w:sz="4" w:space="0" w:color="auto"/>
            </w:tcBorders>
            <w:tcMar>
              <w:top w:w="100" w:type="dxa"/>
              <w:left w:w="120" w:type="dxa"/>
              <w:bottom w:w="100" w:type="dxa"/>
              <w:right w:w="120" w:type="dxa"/>
            </w:tcMar>
            <w:hideMark/>
          </w:tcPr>
          <w:p w14:paraId="63FE15B8" w14:textId="77777777" w:rsidR="00C87136" w:rsidRPr="00C95A50" w:rsidRDefault="00C87136" w:rsidP="00C95A50">
            <w:r w:rsidRPr="00C95A50">
              <w:t>Manual order capture via social DMs/WhatsApp; ad hoc fulfilment</w:t>
            </w:r>
          </w:p>
        </w:tc>
        <w:tc>
          <w:tcPr>
            <w:tcW w:w="1631" w:type="dxa"/>
            <w:tcBorders>
              <w:top w:val="single" w:sz="4" w:space="0" w:color="auto"/>
              <w:left w:val="single" w:sz="4" w:space="0" w:color="auto"/>
              <w:bottom w:val="single" w:sz="4" w:space="0" w:color="auto"/>
              <w:right w:val="single" w:sz="4" w:space="0" w:color="auto"/>
            </w:tcBorders>
            <w:tcMar>
              <w:top w:w="100" w:type="dxa"/>
              <w:left w:w="120" w:type="dxa"/>
              <w:bottom w:w="100" w:type="dxa"/>
              <w:right w:w="120" w:type="dxa"/>
            </w:tcMar>
            <w:hideMark/>
          </w:tcPr>
          <w:p w14:paraId="25941674" w14:textId="77777777" w:rsidR="00C87136" w:rsidRPr="00C95A50" w:rsidRDefault="00C87136" w:rsidP="00C95A50">
            <w:r w:rsidRPr="00C95A50">
              <w:t>No platform combining light ordering + rural delivery access for micro-producers</w:t>
            </w:r>
          </w:p>
        </w:tc>
        <w:tc>
          <w:tcPr>
            <w:tcW w:w="2553" w:type="dxa"/>
            <w:tcBorders>
              <w:top w:val="single" w:sz="4" w:space="0" w:color="auto"/>
              <w:left w:val="single" w:sz="4" w:space="0" w:color="auto"/>
              <w:bottom w:val="single" w:sz="4" w:space="0" w:color="auto"/>
              <w:right w:val="single" w:sz="4" w:space="0" w:color="auto"/>
            </w:tcBorders>
            <w:tcMar>
              <w:top w:w="100" w:type="dxa"/>
              <w:left w:w="120" w:type="dxa"/>
              <w:bottom w:w="100" w:type="dxa"/>
              <w:right w:w="120" w:type="dxa"/>
            </w:tcMar>
            <w:hideMark/>
          </w:tcPr>
          <w:p w14:paraId="3D2E151E" w14:textId="77777777" w:rsidR="00C87136" w:rsidRPr="00C95A50" w:rsidRDefault="00C87136" w:rsidP="00C95A50">
            <w:r w:rsidRPr="00C95A50">
              <w:t>Existing social-commerce discovery layer; thin integration feasible</w:t>
            </w:r>
          </w:p>
        </w:tc>
        <w:tc>
          <w:tcPr>
            <w:tcW w:w="2564" w:type="dxa"/>
            <w:tcBorders>
              <w:top w:val="single" w:sz="4" w:space="0" w:color="auto"/>
              <w:left w:val="single" w:sz="4" w:space="0" w:color="auto"/>
              <w:bottom w:val="single" w:sz="4" w:space="0" w:color="auto"/>
              <w:right w:val="single" w:sz="4" w:space="0" w:color="auto"/>
            </w:tcBorders>
            <w:tcMar>
              <w:top w:w="100" w:type="dxa"/>
              <w:left w:w="120" w:type="dxa"/>
              <w:bottom w:w="100" w:type="dxa"/>
              <w:right w:w="120" w:type="dxa"/>
            </w:tcMar>
            <w:hideMark/>
          </w:tcPr>
          <w:p w14:paraId="2BECE37C" w14:textId="77777777" w:rsidR="00C87136" w:rsidRPr="00C95A50" w:rsidRDefault="00C87136" w:rsidP="00C95A50">
            <w:r w:rsidRPr="00C95A50">
              <w:t>Shorter supply chains; depends on delivery infrastructure (Area 1)</w:t>
            </w:r>
          </w:p>
        </w:tc>
      </w:tr>
    </w:tbl>
    <w:p w14:paraId="5C9751BD" w14:textId="77777777" w:rsidR="00C87136" w:rsidRPr="00C95A50" w:rsidRDefault="00C87136" w:rsidP="00C95A50">
      <w:pPr>
        <w:spacing w:after="200"/>
      </w:pPr>
    </w:p>
    <w:p w14:paraId="3427B812" w14:textId="77777777" w:rsidR="00C87136" w:rsidRPr="00C95A50" w:rsidRDefault="00C87136" w:rsidP="00C95A50">
      <w:r w:rsidRPr="00C95A50">
        <w:br w:type="page"/>
      </w:r>
    </w:p>
    <w:p w14:paraId="72CD6067" w14:textId="77777777" w:rsidR="00C87136" w:rsidRPr="00C95A50" w:rsidRDefault="00C87136" w:rsidP="00C95A50">
      <w:pPr>
        <w:pStyle w:val="Heading1"/>
        <w:spacing w:before="320" w:after="160"/>
        <w:rPr>
          <w:rFonts w:ascii="Arial" w:eastAsia="Arial" w:hAnsi="Arial" w:cs="Arial"/>
          <w:sz w:val="22"/>
          <w:szCs w:val="22"/>
        </w:rPr>
      </w:pPr>
      <w:bookmarkStart w:id="7" w:name="_Toc235375969"/>
      <w:r w:rsidRPr="00C95A50">
        <w:rPr>
          <w:rFonts w:ascii="Arial" w:eastAsia="Arial" w:hAnsi="Arial" w:cs="Arial"/>
          <w:b/>
          <w:bCs/>
          <w:color w:val="1F1F1F"/>
          <w:sz w:val="22"/>
          <w:szCs w:val="22"/>
        </w:rPr>
        <w:lastRenderedPageBreak/>
        <w:t>3. Task 2: Design Thinking Application and New Venture Concept</w:t>
      </w:r>
      <w:bookmarkEnd w:id="7"/>
    </w:p>
    <w:p w14:paraId="4BF855C4" w14:textId="0733B020" w:rsidR="00C87136" w:rsidRPr="00C95A50" w:rsidRDefault="00C87136" w:rsidP="00C95A50">
      <w:pPr>
        <w:spacing w:after="200"/>
        <w:jc w:val="both"/>
      </w:pPr>
      <w:r w:rsidRPr="00C95A50">
        <w:t>Task 2 applies the full five</w:t>
      </w:r>
      <w:r w:rsidR="00964EDB" w:rsidRPr="00C95A50">
        <w:t xml:space="preserve"> </w:t>
      </w:r>
      <w:r w:rsidRPr="00C95A50">
        <w:t xml:space="preserve">stage Design Thinking framework to develop </w:t>
      </w:r>
      <w:proofErr w:type="spellStart"/>
      <w:r w:rsidRPr="00C95A50">
        <w:t>RootRoute</w:t>
      </w:r>
      <w:proofErr w:type="spellEnd"/>
      <w:r w:rsidRPr="00C95A50">
        <w:t>, a venture that combines Opportunity Areas One and Four from Task 1 into a shared rural delivery co-operative and lightweight digital storefront for small producers and independent retailers.</w:t>
      </w:r>
    </w:p>
    <w:p w14:paraId="10FF0DE8" w14:textId="77777777" w:rsidR="00C87136" w:rsidRPr="00C95A50" w:rsidRDefault="00C87136" w:rsidP="00C95A50">
      <w:pPr>
        <w:pStyle w:val="Heading2"/>
        <w:spacing w:before="260" w:after="140"/>
        <w:rPr>
          <w:rFonts w:ascii="Arial" w:eastAsia="Arial" w:hAnsi="Arial" w:cs="Arial"/>
          <w:sz w:val="22"/>
          <w:szCs w:val="22"/>
        </w:rPr>
      </w:pPr>
      <w:bookmarkStart w:id="8" w:name="_Toc235375970"/>
      <w:r w:rsidRPr="00C95A50">
        <w:rPr>
          <w:rFonts w:ascii="Arial" w:eastAsia="Arial" w:hAnsi="Arial" w:cs="Arial"/>
          <w:b/>
          <w:bCs/>
          <w:color w:val="1F1F1F"/>
          <w:sz w:val="22"/>
          <w:szCs w:val="22"/>
        </w:rPr>
        <w:t>3.1 Empathise</w:t>
      </w:r>
      <w:bookmarkEnd w:id="8"/>
    </w:p>
    <w:p w14:paraId="23C53E9F" w14:textId="77777777" w:rsidR="00C87136" w:rsidRPr="00C95A50" w:rsidRDefault="00C87136" w:rsidP="00C95A50">
      <w:pPr>
        <w:spacing w:after="200"/>
        <w:jc w:val="both"/>
      </w:pPr>
      <w:r w:rsidRPr="00C95A50">
        <w:t>Three affected user groups are central to this venture, synthesised from the scenario and the evidence base in Section 2:</w:t>
      </w:r>
    </w:p>
    <w:p w14:paraId="61001C39" w14:textId="77777777" w:rsidR="00C87136" w:rsidRPr="00C95A50" w:rsidRDefault="00C87136" w:rsidP="00C95A50">
      <w:pPr>
        <w:pStyle w:val="ListParagraph"/>
        <w:numPr>
          <w:ilvl w:val="0"/>
          <w:numId w:val="1"/>
        </w:numPr>
        <w:spacing w:after="120"/>
        <w:contextualSpacing w:val="0"/>
        <w:jc w:val="both"/>
      </w:pPr>
      <w:r w:rsidRPr="00C95A50">
        <w:rPr>
          <w:b/>
          <w:bCs/>
        </w:rPr>
        <w:t xml:space="preserve">Rural micro-producers and small independent retailers </w:t>
      </w:r>
      <w:r w:rsidRPr="00C95A50">
        <w:t>(farm shops, market traders, local bookstores): currently coordinate orders manually via WhatsApp and Instagram, lack access to affordable, reliable delivery beyond their immediate locality, and cannot justify the fixed cost of a dedicated delivery contract at their order volume.</w:t>
      </w:r>
    </w:p>
    <w:p w14:paraId="5C4794F7" w14:textId="77777777" w:rsidR="00C87136" w:rsidRPr="00C95A50" w:rsidRDefault="00C87136" w:rsidP="00C95A50">
      <w:pPr>
        <w:pStyle w:val="ListParagraph"/>
        <w:numPr>
          <w:ilvl w:val="0"/>
          <w:numId w:val="1"/>
        </w:numPr>
        <w:spacing w:after="120"/>
        <w:contextualSpacing w:val="0"/>
        <w:jc w:val="both"/>
      </w:pPr>
      <w:r w:rsidRPr="00C95A50">
        <w:rPr>
          <w:b/>
          <w:bCs/>
        </w:rPr>
        <w:t xml:space="preserve">Rural and suburban consumers </w:t>
      </w:r>
      <w:r w:rsidRPr="00C95A50">
        <w:t>who now expect home delivery as a default (Design Council, 2019) but experience higher delivery charges, longer lead times, or unavailability of delivery altogether when ordering from small local sellers, pushing them back toward large platforms such as Amazon even when they would prefer to buy locally.</w:t>
      </w:r>
    </w:p>
    <w:p w14:paraId="412AB4E7" w14:textId="77777777" w:rsidR="00C87136" w:rsidRPr="00C95A50" w:rsidRDefault="00C87136" w:rsidP="00C95A50">
      <w:pPr>
        <w:pStyle w:val="ListParagraph"/>
        <w:numPr>
          <w:ilvl w:val="0"/>
          <w:numId w:val="1"/>
        </w:numPr>
        <w:spacing w:after="120"/>
        <w:contextualSpacing w:val="0"/>
        <w:jc w:val="both"/>
      </w:pPr>
      <w:r w:rsidRPr="00C95A50">
        <w:rPr>
          <w:b/>
          <w:bCs/>
        </w:rPr>
        <w:t xml:space="preserve">Self-employed delivery partners </w:t>
      </w:r>
      <w:r w:rsidRPr="00C95A50">
        <w:t>who currently piece together income from multiple platforms (Uber Eats, Deliveroo, Just Eat, Amazon Flex) and experience income volatility and inefficient routing when jobs are scattered and platform-siloed, particularly outside dense urban areas where job density is lower.</w:t>
      </w:r>
    </w:p>
    <w:p w14:paraId="1E6ACE59" w14:textId="77777777" w:rsidR="00C87136" w:rsidRPr="00C95A50" w:rsidRDefault="00C87136" w:rsidP="00C95A50">
      <w:pPr>
        <w:spacing w:after="200"/>
        <w:jc w:val="both"/>
      </w:pPr>
      <w:r w:rsidRPr="00C95A50">
        <w:t>These groups were characterised using secondary evidence rather than direct interviews, which is a limitation acknowledged in Section 4; a live venture would need to validate these characterisations with primary empathy research (contextual interviews, shadowing) before committing resource, as the Design Thinking method itself prescribes (NN/g, 2016).</w:t>
      </w:r>
    </w:p>
    <w:p w14:paraId="027AEA4D" w14:textId="77777777" w:rsidR="00C87136" w:rsidRPr="00C95A50" w:rsidRDefault="00C87136" w:rsidP="00C95A50">
      <w:pPr>
        <w:pStyle w:val="Heading2"/>
        <w:spacing w:before="260" w:after="140"/>
        <w:rPr>
          <w:rFonts w:ascii="Arial" w:eastAsia="Arial" w:hAnsi="Arial" w:cs="Arial"/>
          <w:sz w:val="22"/>
          <w:szCs w:val="22"/>
        </w:rPr>
      </w:pPr>
      <w:bookmarkStart w:id="9" w:name="_Toc235375971"/>
      <w:r w:rsidRPr="00C95A50">
        <w:rPr>
          <w:rFonts w:ascii="Arial" w:eastAsia="Arial" w:hAnsi="Arial" w:cs="Arial"/>
          <w:b/>
          <w:bCs/>
          <w:color w:val="1F1F1F"/>
          <w:sz w:val="22"/>
          <w:szCs w:val="22"/>
        </w:rPr>
        <w:t>3.2 Define</w:t>
      </w:r>
      <w:bookmarkEnd w:id="9"/>
    </w:p>
    <w:p w14:paraId="407B47C4" w14:textId="77777777" w:rsidR="00C87136" w:rsidRPr="00C95A50" w:rsidRDefault="00C87136" w:rsidP="00C95A50">
      <w:pPr>
        <w:spacing w:after="200"/>
        <w:jc w:val="both"/>
      </w:pPr>
      <w:r w:rsidRPr="00C95A50">
        <w:rPr>
          <w:b/>
          <w:bCs/>
        </w:rPr>
        <w:t xml:space="preserve">Problem statement: </w:t>
      </w:r>
      <w:r w:rsidRPr="00C95A50">
        <w:rPr>
          <w:i/>
          <w:iCs/>
        </w:rPr>
        <w:t>Small rural producers and independent retailers cannot offer consumers the reliable, affordable home delivery that has become the post-pandemic default, because they individually lack the order volume to secure competitive rates from national carriers or to justify running their own delivery operation, which suppresses their ability to compete with larger online retailers and leaves rural consumers with fewer local options despite wanting to support local sellers.</w:t>
      </w:r>
    </w:p>
    <w:p w14:paraId="547D0218" w14:textId="77777777" w:rsidR="00C87136" w:rsidRPr="00C95A50" w:rsidRDefault="00C87136" w:rsidP="00C95A50">
      <w:pPr>
        <w:spacing w:after="200"/>
        <w:jc w:val="both"/>
      </w:pPr>
      <w:r w:rsidRPr="00C95A50">
        <w:t xml:space="preserve">This problem statement follows the Define stage's requirement to synthesise Empathise-stage insight into an actionable point of view rather than a restatement of the brief (Brown, 2008), </w:t>
      </w:r>
      <w:r w:rsidRPr="00C95A50">
        <w:lastRenderedPageBreak/>
        <w:t>and it deliberately frames the unit of analysis as the small seller rather than the individual consumer, because the seller's access to affordable logistics is the binding constraint on the whole system: consumer demand for local delivery already exists (Section 2.2), and courier capacity exists in aggregate (Section 2.2), but neither is currently organised around the volume a single micro-producer can offer.</w:t>
      </w:r>
    </w:p>
    <w:p w14:paraId="5AC64608" w14:textId="77777777" w:rsidR="00C87136" w:rsidRPr="00C95A50" w:rsidRDefault="00C87136" w:rsidP="00C95A50">
      <w:pPr>
        <w:pStyle w:val="Heading2"/>
        <w:spacing w:before="260" w:after="140"/>
        <w:rPr>
          <w:rFonts w:ascii="Arial" w:eastAsia="Arial" w:hAnsi="Arial" w:cs="Arial"/>
          <w:sz w:val="22"/>
          <w:szCs w:val="22"/>
        </w:rPr>
      </w:pPr>
      <w:bookmarkStart w:id="10" w:name="_Toc235375972"/>
      <w:r w:rsidRPr="00C95A50">
        <w:rPr>
          <w:rFonts w:ascii="Arial" w:eastAsia="Arial" w:hAnsi="Arial" w:cs="Arial"/>
          <w:b/>
          <w:bCs/>
          <w:color w:val="1F1F1F"/>
          <w:sz w:val="22"/>
          <w:szCs w:val="22"/>
        </w:rPr>
        <w:t>3.3 Ideate</w:t>
      </w:r>
      <w:bookmarkEnd w:id="10"/>
    </w:p>
    <w:p w14:paraId="03798FA7" w14:textId="10F7B9F7" w:rsidR="00C87136" w:rsidRPr="00C95A50" w:rsidRDefault="00C87136" w:rsidP="00C95A50">
      <w:pPr>
        <w:spacing w:after="200"/>
        <w:jc w:val="both"/>
      </w:pPr>
      <w:r w:rsidRPr="00C95A50">
        <w:t>A structured brainstorm generated candidate solutions along two dimensions</w:t>
      </w:r>
      <w:r w:rsidR="007077BB" w:rsidRPr="00C95A50">
        <w:t xml:space="preserve">, </w:t>
      </w:r>
      <w:r w:rsidRPr="00C95A50">
        <w:t>how orders are aggregated, and how delivery is fulfilled</w:t>
      </w:r>
      <w:r w:rsidR="007077BB" w:rsidRPr="00C95A50">
        <w:t xml:space="preserve">, </w:t>
      </w:r>
      <w:r w:rsidRPr="00C95A50">
        <w:t>set out in the morphological matrix in Table 2, a technique for combining independently generated solution elements into distinct concept options (Ackermann et al., 2014; Bryson et al., 2004).</w:t>
      </w:r>
    </w:p>
    <w:tbl>
      <w:tblPr>
        <w:tblW w:w="10700" w:type="dxa"/>
        <w:tblInd w:w="-84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400"/>
        <w:gridCol w:w="2700"/>
        <w:gridCol w:w="2700"/>
        <w:gridCol w:w="2900"/>
      </w:tblGrid>
      <w:tr w:rsidR="00C87136" w:rsidRPr="00C95A50" w14:paraId="1F3BC6BA" w14:textId="77777777" w:rsidTr="00C87136">
        <w:trPr>
          <w:tblHeader/>
        </w:trPr>
        <w:tc>
          <w:tcPr>
            <w:tcW w:w="2400" w:type="dxa"/>
            <w:tcBorders>
              <w:top w:val="single" w:sz="4" w:space="0" w:color="auto"/>
              <w:left w:val="single" w:sz="4" w:space="0" w:color="auto"/>
              <w:bottom w:val="single" w:sz="4" w:space="0" w:color="auto"/>
              <w:right w:val="single" w:sz="4" w:space="0" w:color="auto"/>
            </w:tcBorders>
            <w:shd w:val="clear" w:color="auto" w:fill="D9D9D9"/>
            <w:tcMar>
              <w:top w:w="100" w:type="dxa"/>
              <w:left w:w="120" w:type="dxa"/>
              <w:bottom w:w="100" w:type="dxa"/>
              <w:right w:w="120" w:type="dxa"/>
            </w:tcMar>
            <w:hideMark/>
          </w:tcPr>
          <w:p w14:paraId="6988BEF9" w14:textId="77777777" w:rsidR="00C87136" w:rsidRPr="00C95A50" w:rsidRDefault="00C87136" w:rsidP="00C95A50">
            <w:r w:rsidRPr="00C95A50">
              <w:rPr>
                <w:b/>
                <w:bCs/>
              </w:rPr>
              <w:t>Dimension</w:t>
            </w:r>
          </w:p>
        </w:tc>
        <w:tc>
          <w:tcPr>
            <w:tcW w:w="2700" w:type="dxa"/>
            <w:tcBorders>
              <w:top w:val="single" w:sz="4" w:space="0" w:color="auto"/>
              <w:left w:val="single" w:sz="4" w:space="0" w:color="auto"/>
              <w:bottom w:val="single" w:sz="4" w:space="0" w:color="auto"/>
              <w:right w:val="single" w:sz="4" w:space="0" w:color="auto"/>
            </w:tcBorders>
            <w:shd w:val="clear" w:color="auto" w:fill="D9D9D9"/>
            <w:tcMar>
              <w:top w:w="100" w:type="dxa"/>
              <w:left w:w="120" w:type="dxa"/>
              <w:bottom w:w="100" w:type="dxa"/>
              <w:right w:w="120" w:type="dxa"/>
            </w:tcMar>
            <w:hideMark/>
          </w:tcPr>
          <w:p w14:paraId="3E135756" w14:textId="77777777" w:rsidR="00C87136" w:rsidRPr="00C95A50" w:rsidRDefault="00C87136" w:rsidP="00C95A50">
            <w:r w:rsidRPr="00C95A50">
              <w:rPr>
                <w:b/>
                <w:bCs/>
              </w:rPr>
              <w:t>Option A</w:t>
            </w:r>
          </w:p>
        </w:tc>
        <w:tc>
          <w:tcPr>
            <w:tcW w:w="2700" w:type="dxa"/>
            <w:tcBorders>
              <w:top w:val="single" w:sz="4" w:space="0" w:color="auto"/>
              <w:left w:val="single" w:sz="4" w:space="0" w:color="auto"/>
              <w:bottom w:val="single" w:sz="4" w:space="0" w:color="auto"/>
              <w:right w:val="single" w:sz="4" w:space="0" w:color="auto"/>
            </w:tcBorders>
            <w:shd w:val="clear" w:color="auto" w:fill="D9D9D9"/>
            <w:tcMar>
              <w:top w:w="100" w:type="dxa"/>
              <w:left w:w="120" w:type="dxa"/>
              <w:bottom w:w="100" w:type="dxa"/>
              <w:right w:w="120" w:type="dxa"/>
            </w:tcMar>
            <w:hideMark/>
          </w:tcPr>
          <w:p w14:paraId="070A41E8" w14:textId="77777777" w:rsidR="00C87136" w:rsidRPr="00C95A50" w:rsidRDefault="00C87136" w:rsidP="00C95A50">
            <w:r w:rsidRPr="00C95A50">
              <w:rPr>
                <w:b/>
                <w:bCs/>
              </w:rPr>
              <w:t>Option B</w:t>
            </w:r>
          </w:p>
        </w:tc>
        <w:tc>
          <w:tcPr>
            <w:tcW w:w="2900" w:type="dxa"/>
            <w:tcBorders>
              <w:top w:val="single" w:sz="4" w:space="0" w:color="auto"/>
              <w:left w:val="single" w:sz="4" w:space="0" w:color="auto"/>
              <w:bottom w:val="single" w:sz="4" w:space="0" w:color="auto"/>
              <w:right w:val="single" w:sz="4" w:space="0" w:color="auto"/>
            </w:tcBorders>
            <w:shd w:val="clear" w:color="auto" w:fill="D9D9D9"/>
            <w:tcMar>
              <w:top w:w="100" w:type="dxa"/>
              <w:left w:w="120" w:type="dxa"/>
              <w:bottom w:w="100" w:type="dxa"/>
              <w:right w:w="120" w:type="dxa"/>
            </w:tcMar>
            <w:hideMark/>
          </w:tcPr>
          <w:p w14:paraId="2F8F1595" w14:textId="77777777" w:rsidR="00C87136" w:rsidRPr="00C95A50" w:rsidRDefault="00C87136" w:rsidP="00C95A50">
            <w:r w:rsidRPr="00C95A50">
              <w:rPr>
                <w:b/>
                <w:bCs/>
              </w:rPr>
              <w:t>Option C</w:t>
            </w:r>
          </w:p>
        </w:tc>
      </w:tr>
      <w:tr w:rsidR="00C87136" w:rsidRPr="00C95A50" w14:paraId="3C57F0F7" w14:textId="77777777" w:rsidTr="00C87136">
        <w:tc>
          <w:tcPr>
            <w:tcW w:w="2400" w:type="dxa"/>
            <w:tcBorders>
              <w:top w:val="single" w:sz="4" w:space="0" w:color="auto"/>
              <w:left w:val="single" w:sz="4" w:space="0" w:color="auto"/>
              <w:bottom w:val="single" w:sz="4" w:space="0" w:color="auto"/>
              <w:right w:val="single" w:sz="4" w:space="0" w:color="auto"/>
            </w:tcBorders>
            <w:tcMar>
              <w:top w:w="100" w:type="dxa"/>
              <w:left w:w="120" w:type="dxa"/>
              <w:bottom w:w="100" w:type="dxa"/>
              <w:right w:w="120" w:type="dxa"/>
            </w:tcMar>
            <w:hideMark/>
          </w:tcPr>
          <w:p w14:paraId="53439FFE" w14:textId="77777777" w:rsidR="00C87136" w:rsidRPr="00C95A50" w:rsidRDefault="00C87136" w:rsidP="00C95A50">
            <w:r w:rsidRPr="00C95A50">
              <w:rPr>
                <w:b/>
                <w:bCs/>
              </w:rPr>
              <w:t>Order aggregation</w:t>
            </w:r>
          </w:p>
        </w:tc>
        <w:tc>
          <w:tcPr>
            <w:tcW w:w="2700" w:type="dxa"/>
            <w:tcBorders>
              <w:top w:val="single" w:sz="4" w:space="0" w:color="auto"/>
              <w:left w:val="single" w:sz="4" w:space="0" w:color="auto"/>
              <w:bottom w:val="single" w:sz="4" w:space="0" w:color="auto"/>
              <w:right w:val="single" w:sz="4" w:space="0" w:color="auto"/>
            </w:tcBorders>
            <w:tcMar>
              <w:top w:w="100" w:type="dxa"/>
              <w:left w:w="120" w:type="dxa"/>
              <w:bottom w:w="100" w:type="dxa"/>
              <w:right w:w="120" w:type="dxa"/>
            </w:tcMar>
            <w:hideMark/>
          </w:tcPr>
          <w:p w14:paraId="645DA59E" w14:textId="77777777" w:rsidR="00C87136" w:rsidRPr="00C95A50" w:rsidRDefault="00C87136" w:rsidP="00C95A50">
            <w:r w:rsidRPr="00C95A50">
              <w:t>Single shared storefront app for all local sellers</w:t>
            </w:r>
          </w:p>
        </w:tc>
        <w:tc>
          <w:tcPr>
            <w:tcW w:w="2700" w:type="dxa"/>
            <w:tcBorders>
              <w:top w:val="single" w:sz="4" w:space="0" w:color="auto"/>
              <w:left w:val="single" w:sz="4" w:space="0" w:color="auto"/>
              <w:bottom w:val="single" w:sz="4" w:space="0" w:color="auto"/>
              <w:right w:val="single" w:sz="4" w:space="0" w:color="auto"/>
            </w:tcBorders>
            <w:tcMar>
              <w:top w:w="100" w:type="dxa"/>
              <w:left w:w="120" w:type="dxa"/>
              <w:bottom w:w="100" w:type="dxa"/>
              <w:right w:w="120" w:type="dxa"/>
            </w:tcMar>
            <w:hideMark/>
          </w:tcPr>
          <w:p w14:paraId="77A79023" w14:textId="77777777" w:rsidR="00C87136" w:rsidRPr="00C95A50" w:rsidRDefault="00C87136" w:rsidP="00C95A50">
            <w:r w:rsidRPr="00C95A50">
              <w:t>Plug-in that structures existing WhatsApp/Instagram orders</w:t>
            </w:r>
          </w:p>
        </w:tc>
        <w:tc>
          <w:tcPr>
            <w:tcW w:w="2900" w:type="dxa"/>
            <w:tcBorders>
              <w:top w:val="single" w:sz="4" w:space="0" w:color="auto"/>
              <w:left w:val="single" w:sz="4" w:space="0" w:color="auto"/>
              <w:bottom w:val="single" w:sz="4" w:space="0" w:color="auto"/>
              <w:right w:val="single" w:sz="4" w:space="0" w:color="auto"/>
            </w:tcBorders>
            <w:tcMar>
              <w:top w:w="100" w:type="dxa"/>
              <w:left w:w="120" w:type="dxa"/>
              <w:bottom w:w="100" w:type="dxa"/>
              <w:right w:w="120" w:type="dxa"/>
            </w:tcMar>
            <w:hideMark/>
          </w:tcPr>
          <w:p w14:paraId="72518493" w14:textId="77777777" w:rsidR="00C87136" w:rsidRPr="00C95A50" w:rsidRDefault="00C87136" w:rsidP="00C95A50">
            <w:r w:rsidRPr="00C95A50">
              <w:t>Weekly pre-order window with fixed cut-off</w:t>
            </w:r>
          </w:p>
        </w:tc>
      </w:tr>
      <w:tr w:rsidR="00C87136" w:rsidRPr="00C95A50" w14:paraId="13D7724F" w14:textId="77777777" w:rsidTr="00C87136">
        <w:tc>
          <w:tcPr>
            <w:tcW w:w="2400" w:type="dxa"/>
            <w:tcBorders>
              <w:top w:val="single" w:sz="4" w:space="0" w:color="auto"/>
              <w:left w:val="single" w:sz="4" w:space="0" w:color="auto"/>
              <w:bottom w:val="single" w:sz="4" w:space="0" w:color="auto"/>
              <w:right w:val="single" w:sz="4" w:space="0" w:color="auto"/>
            </w:tcBorders>
            <w:tcMar>
              <w:top w:w="100" w:type="dxa"/>
              <w:left w:w="120" w:type="dxa"/>
              <w:bottom w:w="100" w:type="dxa"/>
              <w:right w:w="120" w:type="dxa"/>
            </w:tcMar>
            <w:hideMark/>
          </w:tcPr>
          <w:p w14:paraId="14C40D6C" w14:textId="77777777" w:rsidR="00C87136" w:rsidRPr="00C95A50" w:rsidRDefault="00C87136" w:rsidP="00C95A50">
            <w:r w:rsidRPr="00C95A50">
              <w:rPr>
                <w:b/>
                <w:bCs/>
              </w:rPr>
              <w:t>Delivery fulfilment</w:t>
            </w:r>
          </w:p>
        </w:tc>
        <w:tc>
          <w:tcPr>
            <w:tcW w:w="2700" w:type="dxa"/>
            <w:tcBorders>
              <w:top w:val="single" w:sz="4" w:space="0" w:color="auto"/>
              <w:left w:val="single" w:sz="4" w:space="0" w:color="auto"/>
              <w:bottom w:val="single" w:sz="4" w:space="0" w:color="auto"/>
              <w:right w:val="single" w:sz="4" w:space="0" w:color="auto"/>
            </w:tcBorders>
            <w:tcMar>
              <w:top w:w="100" w:type="dxa"/>
              <w:left w:w="120" w:type="dxa"/>
              <w:bottom w:w="100" w:type="dxa"/>
              <w:right w:w="120" w:type="dxa"/>
            </w:tcMar>
            <w:hideMark/>
          </w:tcPr>
          <w:p w14:paraId="4043ABF8" w14:textId="77777777" w:rsidR="00C87136" w:rsidRPr="00C95A50" w:rsidRDefault="00C87136" w:rsidP="00C95A50">
            <w:r w:rsidRPr="00C95A50">
              <w:t>Dedicated co-operative delivery round using existing self-employed drivers</w:t>
            </w:r>
          </w:p>
        </w:tc>
        <w:tc>
          <w:tcPr>
            <w:tcW w:w="2700" w:type="dxa"/>
            <w:tcBorders>
              <w:top w:val="single" w:sz="4" w:space="0" w:color="auto"/>
              <w:left w:val="single" w:sz="4" w:space="0" w:color="auto"/>
              <w:bottom w:val="single" w:sz="4" w:space="0" w:color="auto"/>
              <w:right w:val="single" w:sz="4" w:space="0" w:color="auto"/>
            </w:tcBorders>
            <w:tcMar>
              <w:top w:w="100" w:type="dxa"/>
              <w:left w:w="120" w:type="dxa"/>
              <w:bottom w:w="100" w:type="dxa"/>
              <w:right w:w="120" w:type="dxa"/>
            </w:tcMar>
            <w:hideMark/>
          </w:tcPr>
          <w:p w14:paraId="7F292AB9" w14:textId="77777777" w:rsidR="00C87136" w:rsidRPr="00C95A50" w:rsidRDefault="00C87136" w:rsidP="00C95A50">
            <w:r w:rsidRPr="00C95A50">
              <w:t>Partnership with an existing carrier's rural consolidation service</w:t>
            </w:r>
          </w:p>
        </w:tc>
        <w:tc>
          <w:tcPr>
            <w:tcW w:w="2900" w:type="dxa"/>
            <w:tcBorders>
              <w:top w:val="single" w:sz="4" w:space="0" w:color="auto"/>
              <w:left w:val="single" w:sz="4" w:space="0" w:color="auto"/>
              <w:bottom w:val="single" w:sz="4" w:space="0" w:color="auto"/>
              <w:right w:val="single" w:sz="4" w:space="0" w:color="auto"/>
            </w:tcBorders>
            <w:tcMar>
              <w:top w:w="100" w:type="dxa"/>
              <w:left w:w="120" w:type="dxa"/>
              <w:bottom w:w="100" w:type="dxa"/>
              <w:right w:w="120" w:type="dxa"/>
            </w:tcMar>
            <w:hideMark/>
          </w:tcPr>
          <w:p w14:paraId="6958EF0B" w14:textId="77777777" w:rsidR="00C87136" w:rsidRPr="00C95A50" w:rsidRDefault="00C87136" w:rsidP="00C95A50">
            <w:r w:rsidRPr="00C95A50">
              <w:t>Community pick-up point network (parcel-locker style)</w:t>
            </w:r>
          </w:p>
        </w:tc>
      </w:tr>
    </w:tbl>
    <w:p w14:paraId="4B48F719" w14:textId="77777777" w:rsidR="00C87136" w:rsidRPr="00C95A50" w:rsidRDefault="00C87136" w:rsidP="00C95A50">
      <w:pPr>
        <w:spacing w:after="200"/>
      </w:pPr>
    </w:p>
    <w:p w14:paraId="493C4EFA" w14:textId="77777777" w:rsidR="00C87136" w:rsidRPr="00C95A50" w:rsidRDefault="00C87136" w:rsidP="00C95A50">
      <w:pPr>
        <w:spacing w:after="200"/>
        <w:jc w:val="both"/>
      </w:pPr>
      <w:r w:rsidRPr="00C95A50">
        <w:t>Screening these combinations against the Define-stage problem statement and against feasibility for a first venture, the selected concept combines a weekly pre-order window (Option C, order aggregation) with a co-operative delivery round using existing self-employed drivers (Option A, delivery fulfilment). This combination was preferred over a bespoke app (too costly to build and adopt for an MVP) and over partnering with an existing national carrier (which would reproduce the volume-pricing problem this venture exists to solve) and over a full parcel-locker network (too capital-intensive for an MVP, though retained as a later-stage option). The weekly cut-off also allows route planning in advance, which is the mechanism that makes consolidation economically viable: several sellers' orders for the same rural round are batched into one trip rather than several partial ones.</w:t>
      </w:r>
    </w:p>
    <w:p w14:paraId="29AE9EF2" w14:textId="77FB0F36" w:rsidR="00C87136" w:rsidRPr="00C95A50" w:rsidRDefault="00C87136" w:rsidP="00C95A50">
      <w:pPr>
        <w:spacing w:after="200"/>
        <w:jc w:val="both"/>
      </w:pPr>
      <w:r w:rsidRPr="00C95A50">
        <w:rPr>
          <w:b/>
          <w:bCs/>
        </w:rPr>
        <w:t xml:space="preserve">Concept name: </w:t>
      </w:r>
      <w:proofErr w:type="spellStart"/>
      <w:r w:rsidRPr="00C95A50">
        <w:rPr>
          <w:b/>
          <w:bCs/>
        </w:rPr>
        <w:t>RootRoute</w:t>
      </w:r>
      <w:proofErr w:type="spellEnd"/>
      <w:r w:rsidR="000F0934" w:rsidRPr="00C95A50">
        <w:rPr>
          <w:b/>
          <w:bCs/>
        </w:rPr>
        <w:t xml:space="preserve">, </w:t>
      </w:r>
      <w:r w:rsidRPr="00C95A50">
        <w:t xml:space="preserve">a weekly rural delivery round, shared across multiple local producers and independent retailers in the same postcode cluster, coordinated through a </w:t>
      </w:r>
      <w:r w:rsidRPr="00C95A50">
        <w:lastRenderedPageBreak/>
        <w:t>single lightweight order form and paid to drivers as a batched, higher-value job rather than several low-value single-drop jobs.</w:t>
      </w:r>
    </w:p>
    <w:p w14:paraId="2B146063" w14:textId="77777777" w:rsidR="00C87136" w:rsidRPr="00C95A50" w:rsidRDefault="00C87136" w:rsidP="00C95A50">
      <w:pPr>
        <w:pStyle w:val="Heading2"/>
        <w:spacing w:before="260" w:after="140"/>
        <w:rPr>
          <w:rFonts w:ascii="Arial" w:eastAsia="Arial" w:hAnsi="Arial" w:cs="Arial"/>
          <w:sz w:val="22"/>
          <w:szCs w:val="22"/>
        </w:rPr>
      </w:pPr>
      <w:bookmarkStart w:id="11" w:name="_Toc235375973"/>
      <w:r w:rsidRPr="00C95A50">
        <w:rPr>
          <w:rFonts w:ascii="Arial" w:eastAsia="Arial" w:hAnsi="Arial" w:cs="Arial"/>
          <w:b/>
          <w:bCs/>
          <w:color w:val="1F1F1F"/>
          <w:sz w:val="22"/>
          <w:szCs w:val="22"/>
        </w:rPr>
        <w:t>3.4 Prototype (Minimum Viable Product)</w:t>
      </w:r>
      <w:bookmarkEnd w:id="11"/>
    </w:p>
    <w:p w14:paraId="47C291D4" w14:textId="71A14083" w:rsidR="00C87136" w:rsidRPr="00C95A50" w:rsidRDefault="00C87136" w:rsidP="00C95A50">
      <w:pPr>
        <w:spacing w:after="200"/>
        <w:jc w:val="both"/>
      </w:pPr>
      <w:r w:rsidRPr="00C95A50">
        <w:t xml:space="preserve">Following Lean Startup principles, the MVP is deliberately the smallest version of </w:t>
      </w:r>
      <w:proofErr w:type="spellStart"/>
      <w:r w:rsidRPr="00C95A50">
        <w:t>RootRoute</w:t>
      </w:r>
      <w:proofErr w:type="spellEnd"/>
      <w:r w:rsidRPr="00C95A50">
        <w:t xml:space="preserve"> that can test the core hypothesis</w:t>
      </w:r>
      <w:r w:rsidR="000F0934" w:rsidRPr="00C95A50">
        <w:t xml:space="preserve">, </w:t>
      </w:r>
      <w:r w:rsidRPr="00C95A50">
        <w:t>that bundling multiple small sellers' orders into one weekly rural round is both affordable enough for sellers and reliable enough for consumers to switch from ad hoc WhatsApp ordering</w:t>
      </w:r>
      <w:r w:rsidR="000F0934" w:rsidRPr="00C95A50">
        <w:t xml:space="preserve">, </w:t>
      </w:r>
      <w:r w:rsidRPr="00C95A50">
        <w:t>without building full software infrastructure first (Ries, 2011; Blank, 2013).</w:t>
      </w:r>
    </w:p>
    <w:p w14:paraId="0E614005" w14:textId="77777777" w:rsidR="00C87136" w:rsidRPr="00C95A50" w:rsidRDefault="00C87136" w:rsidP="00C95A50">
      <w:pPr>
        <w:pStyle w:val="Heading3"/>
        <w:spacing w:before="200" w:after="120"/>
        <w:rPr>
          <w:rFonts w:eastAsia="Arial" w:cs="Arial"/>
          <w:sz w:val="22"/>
          <w:szCs w:val="22"/>
        </w:rPr>
      </w:pPr>
      <w:bookmarkStart w:id="12" w:name="_Toc235375974"/>
      <w:r w:rsidRPr="00C95A50">
        <w:rPr>
          <w:rFonts w:eastAsia="Arial" w:cs="Arial"/>
          <w:b/>
          <w:bCs/>
          <w:i/>
          <w:iCs/>
          <w:color w:val="2B2B2B"/>
          <w:sz w:val="22"/>
          <w:szCs w:val="22"/>
        </w:rPr>
        <w:t>Business Model Canvas summary</w:t>
      </w:r>
      <w:bookmarkEnd w:id="12"/>
    </w:p>
    <w:p w14:paraId="43E1B6AA" w14:textId="77777777" w:rsidR="00C87136" w:rsidRPr="00C95A50" w:rsidRDefault="00C87136" w:rsidP="00C95A50">
      <w:pPr>
        <w:spacing w:after="200"/>
        <w:jc w:val="both"/>
      </w:pPr>
      <w:r w:rsidRPr="00C95A50">
        <w:t>The Business Model Canvas (Osterwalder and Pigneur, 2010) structures the MVP's commercial logic:</w:t>
      </w:r>
    </w:p>
    <w:p w14:paraId="45297019" w14:textId="77777777" w:rsidR="00C87136" w:rsidRPr="00C95A50" w:rsidRDefault="00C87136" w:rsidP="00C95A50">
      <w:pPr>
        <w:pStyle w:val="ListParagraph"/>
        <w:numPr>
          <w:ilvl w:val="0"/>
          <w:numId w:val="1"/>
        </w:numPr>
        <w:spacing w:after="120"/>
        <w:contextualSpacing w:val="0"/>
        <w:jc w:val="both"/>
      </w:pPr>
      <w:r w:rsidRPr="00C95A50">
        <w:rPr>
          <w:b/>
          <w:bCs/>
        </w:rPr>
        <w:t xml:space="preserve">Value propositions: </w:t>
      </w:r>
      <w:r w:rsidRPr="00C95A50">
        <w:t>for sellers, access to affordable weekly delivery without individual carrier contracts; for consumers, reliable local delivery on a known weekly schedule; for drivers, a single higher-value batched job replacing several scattered ones.</w:t>
      </w:r>
    </w:p>
    <w:p w14:paraId="61BE4ED7" w14:textId="77777777" w:rsidR="00C87136" w:rsidRPr="00C95A50" w:rsidRDefault="00C87136" w:rsidP="00C95A50">
      <w:pPr>
        <w:pStyle w:val="ListParagraph"/>
        <w:numPr>
          <w:ilvl w:val="0"/>
          <w:numId w:val="1"/>
        </w:numPr>
        <w:spacing w:after="120"/>
        <w:contextualSpacing w:val="0"/>
        <w:jc w:val="both"/>
      </w:pPr>
      <w:r w:rsidRPr="00C95A50">
        <w:rPr>
          <w:b/>
          <w:bCs/>
        </w:rPr>
        <w:t xml:space="preserve">Customer segments: </w:t>
      </w:r>
      <w:r w:rsidRPr="00C95A50">
        <w:t>rural/suburban micro-producers and independent retailers (sellers, paying customers); local consumers (end users); self-employed delivery drivers (supply-side partners).</w:t>
      </w:r>
    </w:p>
    <w:p w14:paraId="5CE36D30" w14:textId="77777777" w:rsidR="00C87136" w:rsidRPr="00C95A50" w:rsidRDefault="00C87136" w:rsidP="00C95A50">
      <w:pPr>
        <w:pStyle w:val="ListParagraph"/>
        <w:numPr>
          <w:ilvl w:val="0"/>
          <w:numId w:val="1"/>
        </w:numPr>
        <w:spacing w:after="120"/>
        <w:contextualSpacing w:val="0"/>
        <w:jc w:val="both"/>
      </w:pPr>
      <w:r w:rsidRPr="00C95A50">
        <w:rPr>
          <w:b/>
          <w:bCs/>
        </w:rPr>
        <w:t xml:space="preserve">Channels: </w:t>
      </w:r>
      <w:r w:rsidRPr="00C95A50">
        <w:t>a single shared Google Form or lightweight web form for the pilot, promoted through existing seller Facebook/Instagram pages rather than a new app.</w:t>
      </w:r>
    </w:p>
    <w:p w14:paraId="1BE0B789" w14:textId="77777777" w:rsidR="00C87136" w:rsidRPr="00C95A50" w:rsidRDefault="00C87136" w:rsidP="00C95A50">
      <w:pPr>
        <w:pStyle w:val="ListParagraph"/>
        <w:numPr>
          <w:ilvl w:val="0"/>
          <w:numId w:val="1"/>
        </w:numPr>
        <w:spacing w:after="120"/>
        <w:contextualSpacing w:val="0"/>
        <w:jc w:val="both"/>
      </w:pPr>
      <w:r w:rsidRPr="00C95A50">
        <w:rPr>
          <w:b/>
          <w:bCs/>
        </w:rPr>
        <w:t xml:space="preserve">Revenue streams: </w:t>
      </w:r>
      <w:r w:rsidRPr="00C95A50">
        <w:t>a flat per-seller weekly fee plus a small per-parcel charge, priced below the seller's next-best alternative (an individual small-parcel carrier rate).</w:t>
      </w:r>
    </w:p>
    <w:p w14:paraId="16EDC83B" w14:textId="77777777" w:rsidR="00C87136" w:rsidRPr="00C95A50" w:rsidRDefault="00C87136" w:rsidP="00C95A50">
      <w:pPr>
        <w:pStyle w:val="ListParagraph"/>
        <w:numPr>
          <w:ilvl w:val="0"/>
          <w:numId w:val="1"/>
        </w:numPr>
        <w:spacing w:after="120"/>
        <w:contextualSpacing w:val="0"/>
        <w:jc w:val="both"/>
      </w:pPr>
      <w:r w:rsidRPr="00C95A50">
        <w:rPr>
          <w:b/>
          <w:bCs/>
        </w:rPr>
        <w:t xml:space="preserve">Key resources and activities: </w:t>
      </w:r>
      <w:r w:rsidRPr="00C95A50">
        <w:t>a simple weekly route plan, one or two co-operating drivers, and a shared spreadsheet-based order/route tracker for the pilot phase.</w:t>
      </w:r>
    </w:p>
    <w:p w14:paraId="3B274185" w14:textId="77777777" w:rsidR="00C87136" w:rsidRPr="00C95A50" w:rsidRDefault="00C87136" w:rsidP="00C95A50">
      <w:pPr>
        <w:pStyle w:val="Heading3"/>
        <w:spacing w:before="200" w:after="120"/>
        <w:rPr>
          <w:rFonts w:eastAsia="Arial" w:cs="Arial"/>
          <w:sz w:val="22"/>
          <w:szCs w:val="22"/>
        </w:rPr>
      </w:pPr>
      <w:bookmarkStart w:id="13" w:name="_Toc235375975"/>
      <w:r w:rsidRPr="00C95A50">
        <w:rPr>
          <w:rFonts w:eastAsia="Arial" w:cs="Arial"/>
          <w:b/>
          <w:bCs/>
          <w:i/>
          <w:iCs/>
          <w:color w:val="2B2B2B"/>
          <w:sz w:val="22"/>
          <w:szCs w:val="22"/>
        </w:rPr>
        <w:t>MVP scope</w:t>
      </w:r>
      <w:bookmarkEnd w:id="13"/>
    </w:p>
    <w:p w14:paraId="6C096D18" w14:textId="77777777" w:rsidR="00C87136" w:rsidRPr="00C95A50" w:rsidRDefault="00C87136" w:rsidP="00C95A50">
      <w:pPr>
        <w:spacing w:after="200"/>
        <w:jc w:val="both"/>
      </w:pPr>
      <w:r w:rsidRPr="00C95A50">
        <w:t>The pilot MVP is deliberately manual and non-technical, consistent with a build-measure-learn approach that avoids over-investing before demand is validated (Ries, 2011):</w:t>
      </w:r>
    </w:p>
    <w:p w14:paraId="40AB337F" w14:textId="77777777" w:rsidR="00C87136" w:rsidRPr="00C95A50" w:rsidRDefault="00C87136" w:rsidP="00C95A50">
      <w:pPr>
        <w:pStyle w:val="ListParagraph"/>
        <w:numPr>
          <w:ilvl w:val="0"/>
          <w:numId w:val="1"/>
        </w:numPr>
        <w:spacing w:after="120"/>
        <w:contextualSpacing w:val="0"/>
        <w:jc w:val="both"/>
      </w:pPr>
      <w:r w:rsidRPr="00C95A50">
        <w:t>Recruit 8–12 sellers within a single rural postcode cluster (matching an existing self-employed driver's normal working area, drawing on the founder's own delivery experience across multiple platforms).</w:t>
      </w:r>
    </w:p>
    <w:p w14:paraId="02E359B2" w14:textId="77777777" w:rsidR="00C87136" w:rsidRPr="00C95A50" w:rsidRDefault="00C87136" w:rsidP="00C95A50">
      <w:pPr>
        <w:pStyle w:val="ListParagraph"/>
        <w:numPr>
          <w:ilvl w:val="0"/>
          <w:numId w:val="1"/>
        </w:numPr>
        <w:spacing w:after="120"/>
        <w:contextualSpacing w:val="0"/>
        <w:jc w:val="both"/>
      </w:pPr>
      <w:r w:rsidRPr="00C95A50">
        <w:t>Sellers submit a simple weekly order list via a shared form by a fixed Thursday cut-off.</w:t>
      </w:r>
    </w:p>
    <w:p w14:paraId="66F4AADF" w14:textId="77777777" w:rsidR="00C87136" w:rsidRPr="00C95A50" w:rsidRDefault="00C87136" w:rsidP="00C95A50">
      <w:pPr>
        <w:pStyle w:val="ListParagraph"/>
        <w:numPr>
          <w:ilvl w:val="0"/>
          <w:numId w:val="1"/>
        </w:numPr>
        <w:spacing w:after="120"/>
        <w:contextualSpacing w:val="0"/>
        <w:jc w:val="both"/>
      </w:pPr>
      <w:r w:rsidRPr="00C95A50">
        <w:lastRenderedPageBreak/>
        <w:t>One driver runs a single consolidated Saturday round, paid a flat batched rate higher than a single-platform per-drop rate but lower than the combined cost of several separate individual deliveries.</w:t>
      </w:r>
    </w:p>
    <w:p w14:paraId="534C2978" w14:textId="77777777" w:rsidR="00C87136" w:rsidRPr="00C95A50" w:rsidRDefault="00C87136" w:rsidP="00C95A50">
      <w:pPr>
        <w:pStyle w:val="ListParagraph"/>
        <w:numPr>
          <w:ilvl w:val="0"/>
          <w:numId w:val="1"/>
        </w:numPr>
        <w:spacing w:after="120"/>
        <w:contextualSpacing w:val="0"/>
        <w:jc w:val="both"/>
      </w:pPr>
      <w:r w:rsidRPr="00C95A50">
        <w:t xml:space="preserve">Consumers pay sellers directly as normal; </w:t>
      </w:r>
      <w:proofErr w:type="spellStart"/>
      <w:r w:rsidRPr="00C95A50">
        <w:t>RootRoute</w:t>
      </w:r>
      <w:proofErr w:type="spellEnd"/>
      <w:r w:rsidRPr="00C95A50">
        <w:t xml:space="preserve"> charges sellers, not consumers, removing a barrier to consumer adoption.</w:t>
      </w:r>
    </w:p>
    <w:p w14:paraId="2BDFC620" w14:textId="77777777" w:rsidR="00C87136" w:rsidRPr="00C95A50" w:rsidRDefault="00C87136" w:rsidP="00C95A50">
      <w:pPr>
        <w:pStyle w:val="ListParagraph"/>
        <w:numPr>
          <w:ilvl w:val="0"/>
          <w:numId w:val="1"/>
        </w:numPr>
        <w:spacing w:after="120"/>
        <w:contextualSpacing w:val="0"/>
        <w:jc w:val="both"/>
      </w:pPr>
      <w:r w:rsidRPr="00C95A50">
        <w:t>No custom app is built at this stage; the 'product' is the coordination process itself, which is the minimum artefact needed to test the core hypothesis (Ries, 2011).</w:t>
      </w:r>
    </w:p>
    <w:p w14:paraId="42C071D2" w14:textId="77777777" w:rsidR="00C87136" w:rsidRPr="00C95A50" w:rsidRDefault="00C87136" w:rsidP="00C95A50">
      <w:pPr>
        <w:pStyle w:val="Heading2"/>
        <w:spacing w:before="260" w:after="140"/>
        <w:rPr>
          <w:rFonts w:ascii="Arial" w:eastAsia="Arial" w:hAnsi="Arial" w:cs="Arial"/>
          <w:sz w:val="22"/>
          <w:szCs w:val="22"/>
        </w:rPr>
      </w:pPr>
      <w:bookmarkStart w:id="14" w:name="_Toc235375976"/>
      <w:r w:rsidRPr="00C95A50">
        <w:rPr>
          <w:rFonts w:ascii="Arial" w:eastAsia="Arial" w:hAnsi="Arial" w:cs="Arial"/>
          <w:b/>
          <w:bCs/>
          <w:color w:val="1F1F1F"/>
          <w:sz w:val="22"/>
          <w:szCs w:val="22"/>
        </w:rPr>
        <w:t>3.5 Test</w:t>
      </w:r>
      <w:bookmarkEnd w:id="14"/>
    </w:p>
    <w:p w14:paraId="6BDB67F8" w14:textId="77777777" w:rsidR="00C87136" w:rsidRPr="00C95A50" w:rsidRDefault="00C87136" w:rsidP="00C95A50">
      <w:pPr>
        <w:spacing w:after="200"/>
        <w:jc w:val="both"/>
      </w:pPr>
      <w:r w:rsidRPr="00C95A50">
        <w:t>Testing follows a build-measure-learn cycle over an initial eight-week pilot in one postcode cluster before any wider rollout, in line with validated learning (Ries, 2011) and the Design Thinking Test stage's emphasis on returning to real users rather than assuming success (NN/g, 2016).</w:t>
      </w:r>
    </w:p>
    <w:p w14:paraId="5B307766" w14:textId="77777777" w:rsidR="00C87136" w:rsidRPr="00C95A50" w:rsidRDefault="00C87136" w:rsidP="00C95A50">
      <w:pPr>
        <w:pStyle w:val="ListParagraph"/>
        <w:numPr>
          <w:ilvl w:val="0"/>
          <w:numId w:val="1"/>
        </w:numPr>
        <w:spacing w:after="120"/>
        <w:contextualSpacing w:val="0"/>
        <w:jc w:val="both"/>
      </w:pPr>
      <w:r w:rsidRPr="00C95A50">
        <w:rPr>
          <w:b/>
          <w:bCs/>
        </w:rPr>
        <w:t xml:space="preserve">Build: </w:t>
      </w:r>
      <w:r w:rsidRPr="00C95A50">
        <w:t>the manual MVP described in Section 3.4, launched with a fixed set of pilot sellers.</w:t>
      </w:r>
    </w:p>
    <w:p w14:paraId="6D6169E1" w14:textId="77777777" w:rsidR="00C87136" w:rsidRPr="00C95A50" w:rsidRDefault="00C87136" w:rsidP="00C95A50">
      <w:pPr>
        <w:pStyle w:val="ListParagraph"/>
        <w:numPr>
          <w:ilvl w:val="0"/>
          <w:numId w:val="1"/>
        </w:numPr>
        <w:spacing w:after="120"/>
        <w:contextualSpacing w:val="0"/>
        <w:jc w:val="both"/>
      </w:pPr>
      <w:r w:rsidRPr="00C95A50">
        <w:rPr>
          <w:b/>
          <w:bCs/>
        </w:rPr>
        <w:t xml:space="preserve">Measure: </w:t>
      </w:r>
      <w:r w:rsidRPr="00C95A50">
        <w:t>weekly order volume per seller; round completion time and driver-reported efficiency versus their previous single-platform work; parcel-loss/damage incidents; seller willingness to pay the pilot fee after four weeks; consumer-reported delivery satisfaction via a short post-delivery message.</w:t>
      </w:r>
    </w:p>
    <w:p w14:paraId="4D27D72C" w14:textId="77777777" w:rsidR="00C87136" w:rsidRPr="00C95A50" w:rsidRDefault="00C87136" w:rsidP="00C95A50">
      <w:pPr>
        <w:pStyle w:val="ListParagraph"/>
        <w:numPr>
          <w:ilvl w:val="0"/>
          <w:numId w:val="1"/>
        </w:numPr>
        <w:spacing w:after="120"/>
        <w:contextualSpacing w:val="0"/>
        <w:jc w:val="both"/>
      </w:pPr>
      <w:r w:rsidRPr="00C95A50">
        <w:rPr>
          <w:b/>
          <w:bCs/>
        </w:rPr>
        <w:t xml:space="preserve">Learn: </w:t>
      </w:r>
      <w:r w:rsidRPr="00C95A50">
        <w:t>if sellers do not sustain order volume above their previous informal-delivery baseline, the aggregation model (weekly cut-off) is likely the wrong mechanism and Option B from Table 2 (structuring existing WhatsApp orders rather than a fixed cut-off) should be tested next; if drivers report the batched rate is still not worth the added coordination overhead relative to platform work, the pricing structure needs revision before any expansion; if both hold, the pilot expands to a second postcode cluster, and the manual spreadsheet process is progressively replaced with structured tooling, guided by which coordination step sellers or drivers flag as most time-consuming.</w:t>
      </w:r>
    </w:p>
    <w:p w14:paraId="0C768556" w14:textId="68B641CC" w:rsidR="00C87136" w:rsidRPr="00C95A50" w:rsidRDefault="00C87136" w:rsidP="00C95A50">
      <w:pPr>
        <w:spacing w:after="200"/>
        <w:jc w:val="both"/>
      </w:pPr>
      <w:r w:rsidRPr="00C95A50">
        <w:t>This iterative loop reflects the non-linear character of Design Thinking, in which testing routinely sends the process back to Define or Ideate rather than confirming a single linear pass (AMA, 2025; Design Council, 2019). A pilot that fails to validate the core hypothesis is treated as a successful test in the Lean Startup sense</w:t>
      </w:r>
      <w:r w:rsidR="00861E2D" w:rsidRPr="00C95A50">
        <w:t xml:space="preserve">, </w:t>
      </w:r>
      <w:r w:rsidRPr="00C95A50">
        <w:t>it produces validated learning that prevents premature investment in software or a second delivery round (Ries, 2011; Blank, 2013).</w:t>
      </w:r>
    </w:p>
    <w:p w14:paraId="39E5D942" w14:textId="77777777" w:rsidR="00C87136" w:rsidRPr="00C95A50" w:rsidRDefault="00C87136" w:rsidP="00C95A50">
      <w:r w:rsidRPr="00C95A50">
        <w:br w:type="page"/>
      </w:r>
    </w:p>
    <w:p w14:paraId="41CC887A" w14:textId="77777777" w:rsidR="00C87136" w:rsidRPr="00C95A50" w:rsidRDefault="00C87136" w:rsidP="00C95A50">
      <w:pPr>
        <w:pStyle w:val="Heading1"/>
        <w:spacing w:before="320" w:after="160"/>
        <w:rPr>
          <w:rFonts w:ascii="Arial" w:eastAsia="Arial" w:hAnsi="Arial" w:cs="Arial"/>
          <w:sz w:val="22"/>
          <w:szCs w:val="22"/>
        </w:rPr>
      </w:pPr>
      <w:bookmarkStart w:id="15" w:name="_Toc235375977"/>
      <w:r w:rsidRPr="00C95A50">
        <w:rPr>
          <w:rFonts w:ascii="Arial" w:eastAsia="Arial" w:hAnsi="Arial" w:cs="Arial"/>
          <w:b/>
          <w:bCs/>
          <w:color w:val="1F1F1F"/>
          <w:sz w:val="22"/>
          <w:szCs w:val="22"/>
        </w:rPr>
        <w:lastRenderedPageBreak/>
        <w:t>4. Critical Reflection on the Design Thinking Framework</w:t>
      </w:r>
      <w:bookmarkEnd w:id="15"/>
    </w:p>
    <w:p w14:paraId="5E9C7F71" w14:textId="77777777" w:rsidR="00C87136" w:rsidRPr="00C95A50" w:rsidRDefault="00C87136" w:rsidP="00C95A50">
      <w:pPr>
        <w:spacing w:after="200"/>
        <w:jc w:val="both"/>
      </w:pPr>
      <w:r w:rsidRPr="00C95A50">
        <w:t>Design Thinking's core strength for this assessment is its explicit sequencing of empathy before solution generation, which is well suited to a scenario built around several distinct, under-served user groups (rural consumers, small sellers, gig-economy drivers) whose needs would otherwise be conflated. However, the framework has been criticised on both theoretical and practical grounds, and this report is subject to those same limitations.</w:t>
      </w:r>
    </w:p>
    <w:p w14:paraId="34D20B10" w14:textId="77777777" w:rsidR="00C87136" w:rsidRPr="00C95A50" w:rsidRDefault="00C87136" w:rsidP="00C95A50">
      <w:pPr>
        <w:spacing w:after="200"/>
        <w:jc w:val="both"/>
      </w:pPr>
      <w:r w:rsidRPr="00C95A50">
        <w:rPr>
          <w:b/>
          <w:bCs/>
        </w:rPr>
        <w:t xml:space="preserve">First, </w:t>
      </w:r>
      <w:r w:rsidRPr="00C95A50">
        <w:t>Iskander (2018) argues that Design Thinking can function as a legitimising ritual for decisions organisations would have made anyway, privileging the designer's interpretation of user need over genuine user participation; because this report's Empathise stage relies on secondary evidence rather than direct engagement with rural sellers or drivers, the same risk applies here, and the personas in Section 3.1 should be treated as testable hypotheses rather than validated findings.</w:t>
      </w:r>
    </w:p>
    <w:p w14:paraId="78FF25B2" w14:textId="276BA470" w:rsidR="00C87136" w:rsidRPr="00C95A50" w:rsidRDefault="00C87136" w:rsidP="00C95A50">
      <w:pPr>
        <w:spacing w:after="200"/>
        <w:jc w:val="both"/>
      </w:pPr>
      <w:r w:rsidRPr="00C95A50">
        <w:rPr>
          <w:b/>
          <w:bCs/>
        </w:rPr>
        <w:t xml:space="preserve">Second, </w:t>
      </w:r>
      <w:proofErr w:type="spellStart"/>
      <w:r w:rsidRPr="00C95A50">
        <w:t>Verganti</w:t>
      </w:r>
      <w:proofErr w:type="spellEnd"/>
      <w:r w:rsidRPr="00C95A50">
        <w:t xml:space="preserve">, </w:t>
      </w:r>
      <w:proofErr w:type="spellStart"/>
      <w:r w:rsidRPr="00C95A50">
        <w:t>Dell'Era</w:t>
      </w:r>
      <w:proofErr w:type="spellEnd"/>
      <w:r w:rsidRPr="00C95A50">
        <w:t xml:space="preserve"> and Swan (2021) note that Design Thinking's rapid diffusion in practice has outpaced its theoretical development, with early accounts often anecdotal rather than empirically grounded; this report addresses that gap partially by pairing Design Thinking with more theoretically established tools</w:t>
      </w:r>
      <w:r w:rsidR="00861E2D" w:rsidRPr="00C95A50">
        <w:t xml:space="preserve">, </w:t>
      </w:r>
      <w:r w:rsidRPr="00C95A50">
        <w:t>causal mapping (Eden and Ackermann, 1998), the Business Model Canvas (Osterwalder and Pigneur, 2010), and Lean Startup validated learning (Ries, 2011)</w:t>
      </w:r>
      <w:r w:rsidR="00861E2D" w:rsidRPr="00C95A50">
        <w:t xml:space="preserve">, </w:t>
      </w:r>
      <w:r w:rsidRPr="00C95A50">
        <w:t>but a single desk-based report cannot substitute for the iterative, multi-round user testing the methodology assumes.</w:t>
      </w:r>
    </w:p>
    <w:p w14:paraId="6F562967" w14:textId="77777777" w:rsidR="00C87136" w:rsidRPr="00C95A50" w:rsidRDefault="00C87136" w:rsidP="00C95A50">
      <w:pPr>
        <w:spacing w:after="200"/>
        <w:jc w:val="both"/>
      </w:pPr>
      <w:r w:rsidRPr="00C95A50">
        <w:rPr>
          <w:b/>
          <w:bCs/>
        </w:rPr>
        <w:t xml:space="preserve">Third, </w:t>
      </w:r>
      <w:r w:rsidRPr="00C95A50">
        <w:t xml:space="preserve">Kolko (2018) and Iskander (2018) both observe that Design Thinking's ideation and prototyping stages are often better resourced and more visible than the implementation stage, producing plausible concepts that are rarely followed through to operational reality; </w:t>
      </w:r>
      <w:proofErr w:type="spellStart"/>
      <w:r w:rsidRPr="00C95A50">
        <w:t>RootRoute's</w:t>
      </w:r>
      <w:proofErr w:type="spellEnd"/>
      <w:r w:rsidRPr="00C95A50">
        <w:t xml:space="preserve"> MVP is deliberately manual and low-cost precisely to reduce this risk, since a spreadsheet-based pilot can be abandoned or redesigned at negligible sunk cost if the Test stage does not validate the core hypothesis, which is the practical answer Lean Startup gives to this critique (Ries, 2011).</w:t>
      </w:r>
    </w:p>
    <w:p w14:paraId="577F4B7A" w14:textId="77777777" w:rsidR="00C87136" w:rsidRPr="00C95A50" w:rsidRDefault="00C87136" w:rsidP="00C95A50">
      <w:pPr>
        <w:spacing w:after="200"/>
        <w:jc w:val="both"/>
      </w:pPr>
      <w:r w:rsidRPr="00C95A50">
        <w:t>Taken together, these critiques do not invalidate Design Thinking as an approach but do require it to be applied with awareness of its limits: as a framework for structuring inquiry and generating testable concepts rather than as a guarantee that the resulting concept is correct.</w:t>
      </w:r>
    </w:p>
    <w:p w14:paraId="497F7949" w14:textId="77777777" w:rsidR="00C87136" w:rsidRPr="00C95A50" w:rsidRDefault="00C87136" w:rsidP="00C95A50">
      <w:pPr>
        <w:pStyle w:val="Heading1"/>
        <w:spacing w:before="320" w:after="160"/>
        <w:rPr>
          <w:rFonts w:ascii="Arial" w:eastAsia="Arial" w:hAnsi="Arial" w:cs="Arial"/>
          <w:sz w:val="22"/>
          <w:szCs w:val="22"/>
        </w:rPr>
      </w:pPr>
      <w:bookmarkStart w:id="16" w:name="_Toc235375978"/>
      <w:r w:rsidRPr="00C95A50">
        <w:rPr>
          <w:rFonts w:ascii="Arial" w:eastAsia="Arial" w:hAnsi="Arial" w:cs="Arial"/>
          <w:b/>
          <w:bCs/>
          <w:color w:val="1F1F1F"/>
          <w:sz w:val="22"/>
          <w:szCs w:val="22"/>
        </w:rPr>
        <w:t>5. Conclusion</w:t>
      </w:r>
      <w:bookmarkEnd w:id="16"/>
    </w:p>
    <w:p w14:paraId="3A5CC9ED" w14:textId="6456F7A5" w:rsidR="00C87136" w:rsidRPr="00C95A50" w:rsidRDefault="00C87136" w:rsidP="00C95A50">
      <w:pPr>
        <w:spacing w:after="200"/>
        <w:jc w:val="both"/>
      </w:pPr>
      <w:r w:rsidRPr="00C95A50">
        <w:t>This report has used Design Thinking, supported by causal mapping, the Business Model Canvas, and Lean Startup principles, to identify four viable UK innovation opportunity areas arising from pandemic-accelerated digitisation and to develop one of them</w:t>
      </w:r>
      <w:r w:rsidR="00861E2D" w:rsidRPr="00C95A50">
        <w:t xml:space="preserve">, </w:t>
      </w:r>
      <w:r w:rsidRPr="00C95A50">
        <w:t xml:space="preserve">rural last-mile </w:t>
      </w:r>
      <w:r w:rsidRPr="00C95A50">
        <w:lastRenderedPageBreak/>
        <w:t>delivery combined with direct-to-consumer tooling for small producers</w:t>
      </w:r>
      <w:r w:rsidR="00861E2D" w:rsidRPr="00C95A50">
        <w:t xml:space="preserve">, </w:t>
      </w:r>
      <w:r w:rsidRPr="00C95A50">
        <w:t xml:space="preserve">into a tested venture concept, </w:t>
      </w:r>
      <w:proofErr w:type="spellStart"/>
      <w:r w:rsidRPr="00C95A50">
        <w:t>RootRoute</w:t>
      </w:r>
      <w:proofErr w:type="spellEnd"/>
      <w:r w:rsidRPr="00C95A50">
        <w:t xml:space="preserve">. The strongest opportunity, and the basis for the venture, is rural delivery infrastructure, because it satisfies the brief's four justification criteria most completely and because it is a structural precondition for producer-facing direct-to-consumer models. The venture's MVP is intentionally minimal, reflecting Lean Startup's validated-learning principle, and its testing plan is designed to fail cheaply and inform redesign rather than to prove success by assumption. The critical reflection in Section 4 acknowledges that this report's own Empathise stage is limited by its reliance on secondary evidence, which any live implementation of </w:t>
      </w:r>
      <w:proofErr w:type="spellStart"/>
      <w:r w:rsidRPr="00C95A50">
        <w:t>RootRoute</w:t>
      </w:r>
      <w:proofErr w:type="spellEnd"/>
      <w:r w:rsidRPr="00C95A50">
        <w:t xml:space="preserve"> would need to address through direct primary research with rural sellers, drivers, and consumers before committing further resource.</w:t>
      </w:r>
    </w:p>
    <w:p w14:paraId="14BB4BDD" w14:textId="77777777" w:rsidR="00C87136" w:rsidRPr="00C95A50" w:rsidRDefault="00C87136" w:rsidP="00C95A50">
      <w:r w:rsidRPr="00C95A50">
        <w:br w:type="page"/>
      </w:r>
    </w:p>
    <w:p w14:paraId="705A0AB0" w14:textId="77777777" w:rsidR="00C87136" w:rsidRPr="00C95A50" w:rsidRDefault="00C87136" w:rsidP="00C95A50">
      <w:pPr>
        <w:pStyle w:val="Heading1"/>
        <w:spacing w:before="320" w:after="160"/>
        <w:rPr>
          <w:rFonts w:ascii="Arial" w:eastAsia="Arial" w:hAnsi="Arial" w:cs="Arial"/>
          <w:sz w:val="22"/>
          <w:szCs w:val="22"/>
        </w:rPr>
      </w:pPr>
      <w:bookmarkStart w:id="17" w:name="_Toc235375979"/>
      <w:r w:rsidRPr="00C95A50">
        <w:rPr>
          <w:rFonts w:ascii="Arial" w:eastAsia="Arial" w:hAnsi="Arial" w:cs="Arial"/>
          <w:b/>
          <w:bCs/>
          <w:color w:val="1F1F1F"/>
          <w:sz w:val="22"/>
          <w:szCs w:val="22"/>
        </w:rPr>
        <w:lastRenderedPageBreak/>
        <w:t>Reference List</w:t>
      </w:r>
      <w:bookmarkEnd w:id="17"/>
    </w:p>
    <w:p w14:paraId="495904FD" w14:textId="77777777" w:rsidR="00C87136" w:rsidRPr="00C95A50" w:rsidRDefault="00C87136" w:rsidP="00C95A50">
      <w:pPr>
        <w:spacing w:after="160"/>
        <w:ind w:left="720" w:hanging="720"/>
        <w:jc w:val="both"/>
      </w:pPr>
      <w:r w:rsidRPr="00C95A50">
        <w:t>Ackermann, F., Andersen, D.F., Eden, C. and Richardson, G.P. (2014) '</w:t>
      </w:r>
      <w:proofErr w:type="spellStart"/>
      <w:r w:rsidRPr="00C95A50">
        <w:t>ScriptsMap</w:t>
      </w:r>
      <w:proofErr w:type="spellEnd"/>
      <w:r w:rsidRPr="00C95A50">
        <w:t>: A tool for designing multi-method policy-making workshops', Omega, 42(1), pp. 3–12.</w:t>
      </w:r>
    </w:p>
    <w:p w14:paraId="77212BE8" w14:textId="77777777" w:rsidR="00C87136" w:rsidRPr="00C95A50" w:rsidRDefault="00C87136" w:rsidP="00C95A50">
      <w:pPr>
        <w:spacing w:after="160"/>
        <w:ind w:left="720" w:hanging="720"/>
        <w:jc w:val="both"/>
      </w:pPr>
      <w:r w:rsidRPr="00C95A50">
        <w:t>American Marketing Association (AMA) (2025) The 5 phases of design thinking. Available at: https://www.ama.org/marketing-news/the-5-phases-of-design-thinking-2/ (Accessed: 18 July 2026).</w:t>
      </w:r>
    </w:p>
    <w:p w14:paraId="4E9E66DB" w14:textId="77777777" w:rsidR="00C87136" w:rsidRPr="00C95A50" w:rsidRDefault="00C87136" w:rsidP="00C95A50">
      <w:pPr>
        <w:spacing w:after="160"/>
        <w:ind w:left="720" w:hanging="720"/>
        <w:jc w:val="both"/>
      </w:pPr>
      <w:r w:rsidRPr="00C95A50">
        <w:t>Blank, S. (2013) 'Why the lean start-up changes everything', Harvard Business Review, 91(5), pp. 63–72.</w:t>
      </w:r>
    </w:p>
    <w:p w14:paraId="2DDCB7E7" w14:textId="77777777" w:rsidR="00C87136" w:rsidRPr="00C95A50" w:rsidRDefault="00C87136" w:rsidP="00C95A50">
      <w:pPr>
        <w:spacing w:after="160"/>
        <w:ind w:left="720" w:hanging="720"/>
        <w:jc w:val="both"/>
      </w:pPr>
      <w:r w:rsidRPr="00C95A50">
        <w:t>Brown, T. (2008) 'Design thinking', Harvard Business Review, 86(6), pp. 84–92.</w:t>
      </w:r>
    </w:p>
    <w:p w14:paraId="0787D251" w14:textId="77777777" w:rsidR="00C87136" w:rsidRPr="00C95A50" w:rsidRDefault="00C87136" w:rsidP="00C95A50">
      <w:pPr>
        <w:spacing w:after="160"/>
        <w:ind w:left="720" w:hanging="720"/>
        <w:jc w:val="both"/>
      </w:pPr>
      <w:r w:rsidRPr="00C95A50">
        <w:t>Bryson, J.M., Ackermann, F., Eden, C. and Finn, C.B. (2004) Visible thinking: Unlocking causal mapping for practical business results. Chichester: Wiley.</w:t>
      </w:r>
    </w:p>
    <w:p w14:paraId="009C2627" w14:textId="77777777" w:rsidR="00C87136" w:rsidRPr="00C95A50" w:rsidRDefault="00C87136" w:rsidP="00C95A50">
      <w:pPr>
        <w:spacing w:after="160"/>
        <w:ind w:left="720" w:hanging="720"/>
        <w:jc w:val="both"/>
      </w:pPr>
      <w:r w:rsidRPr="00C95A50">
        <w:t>Department for Business and Trade (DBT) (2025) SME Digital Adoption Taskforce: final report. Available at: https://www.gov.uk/government/publications/sme-digital-adoption-taskforce-final-report/sme-digital-adoption-taskforce-final-report (Accessed: 18 July 2026).</w:t>
      </w:r>
    </w:p>
    <w:p w14:paraId="0170468B" w14:textId="77777777" w:rsidR="00C87136" w:rsidRPr="00C95A50" w:rsidRDefault="00C87136" w:rsidP="00C95A50">
      <w:pPr>
        <w:spacing w:after="160"/>
        <w:ind w:left="720" w:hanging="720"/>
        <w:jc w:val="both"/>
      </w:pPr>
      <w:r w:rsidRPr="00C95A50">
        <w:t>Design Council (2005) A study of the design process: The Double Diamond. London: Design Council.</w:t>
      </w:r>
    </w:p>
    <w:p w14:paraId="4B4EE198" w14:textId="77777777" w:rsidR="00C87136" w:rsidRPr="00C95A50" w:rsidRDefault="00C87136" w:rsidP="00C95A50">
      <w:pPr>
        <w:spacing w:after="160"/>
        <w:ind w:left="720" w:hanging="720"/>
        <w:jc w:val="both"/>
      </w:pPr>
      <w:r w:rsidRPr="00C95A50">
        <w:t>Design Council (2019) Framework for innovation: Design Council's evolved Double Diamond. Available at: https://www.designcouncil.org.uk/resources/framework-for-innovation/ (Accessed: 18 July 2026).</w:t>
      </w:r>
    </w:p>
    <w:p w14:paraId="2C3151CE" w14:textId="77777777" w:rsidR="00C87136" w:rsidRPr="00C95A50" w:rsidRDefault="00C87136" w:rsidP="00C95A50">
      <w:pPr>
        <w:spacing w:after="160"/>
        <w:ind w:left="720" w:hanging="720"/>
        <w:jc w:val="both"/>
      </w:pPr>
      <w:r w:rsidRPr="00C95A50">
        <w:t>Eden, C. and Ackermann, F. (1998) Making strategy: The journey of strategic management. London: Sage.</w:t>
      </w:r>
    </w:p>
    <w:p w14:paraId="7B1C254C" w14:textId="77777777" w:rsidR="00C87136" w:rsidRPr="00C95A50" w:rsidRDefault="00C87136" w:rsidP="00C95A50">
      <w:pPr>
        <w:spacing w:after="160"/>
        <w:ind w:left="720" w:hanging="720"/>
        <w:jc w:val="both"/>
      </w:pPr>
      <w:r w:rsidRPr="00C95A50">
        <w:t>Growth Idea Ltd (2025) 20 inspiring business growth statistics for 2025. Available at: https://growthidea.co.uk/blog/business-growth-statistics (Accessed: 18 July 2026).</w:t>
      </w:r>
    </w:p>
    <w:p w14:paraId="01CFD02C" w14:textId="77777777" w:rsidR="00C87136" w:rsidRPr="00C95A50" w:rsidRDefault="00C87136" w:rsidP="00C95A50">
      <w:pPr>
        <w:spacing w:after="160"/>
        <w:ind w:left="720" w:hanging="720"/>
        <w:jc w:val="both"/>
      </w:pPr>
      <w:r w:rsidRPr="00C95A50">
        <w:t>Iskander, N. (2018) 'Design thinking is fundamentally conservative and preserves the status quo', Harvard Business Review, 5 September. Available at: https://hbr.org/2018/09/design-thinking-is-fundamentally-conservative-and-preserves-the-status-quo (Accessed: 18 July 2026).</w:t>
      </w:r>
    </w:p>
    <w:p w14:paraId="1C71C954" w14:textId="77777777" w:rsidR="00C87136" w:rsidRPr="00C95A50" w:rsidRDefault="00C87136" w:rsidP="00C95A50">
      <w:pPr>
        <w:spacing w:after="160"/>
        <w:ind w:left="720" w:hanging="720"/>
        <w:jc w:val="both"/>
      </w:pPr>
      <w:r w:rsidRPr="00C95A50">
        <w:t>Ken Research (2025) UK last mile delivery market 2019–2030. Available at: https://www.kenresearch.com/uk-last-mile-delivery-market (Accessed: 18 July 2026).</w:t>
      </w:r>
    </w:p>
    <w:p w14:paraId="54456ED6" w14:textId="77777777" w:rsidR="00C87136" w:rsidRPr="00C95A50" w:rsidRDefault="00C87136" w:rsidP="00C95A50">
      <w:pPr>
        <w:spacing w:after="160"/>
        <w:ind w:left="720" w:hanging="720"/>
        <w:jc w:val="both"/>
      </w:pPr>
      <w:r w:rsidRPr="00C95A50">
        <w:lastRenderedPageBreak/>
        <w:t>Kolko, J. (2018) 'The divisiveness of design thinking'. Available at: https://www.jonkolko.com/writing/the-divisiveness-of-design-thinking (Accessed: 18 July 2026).</w:t>
      </w:r>
    </w:p>
    <w:p w14:paraId="06B9F7FD" w14:textId="77777777" w:rsidR="00C87136" w:rsidRPr="00C95A50" w:rsidRDefault="00C87136" w:rsidP="00C95A50">
      <w:pPr>
        <w:spacing w:after="160"/>
        <w:ind w:left="720" w:hanging="720"/>
        <w:jc w:val="both"/>
      </w:pPr>
      <w:r w:rsidRPr="00C95A50">
        <w:t>Mintel (2024) UK courier and express delivery market report 2024. Available at: https://store.mintel.com/report/uk-courier-express-delivery-market-report (Accessed: 18 July 2026).</w:t>
      </w:r>
    </w:p>
    <w:p w14:paraId="276B5C22" w14:textId="77777777" w:rsidR="00C87136" w:rsidRPr="00C95A50" w:rsidRDefault="00C87136" w:rsidP="00C95A50">
      <w:pPr>
        <w:spacing w:after="160"/>
        <w:ind w:left="720" w:hanging="720"/>
        <w:jc w:val="both"/>
      </w:pPr>
      <w:r w:rsidRPr="00C95A50">
        <w:t>Mordor Intelligence (2025) United Kingdom domestic courier, express and parcel (CEP) market size, share and growth trends report. Available at: https://www.mordorintelligence.com/industry-reports/united-kingdom-domestic-courier-express-and-parcel-cep-market (Accessed: 18 July 2026).</w:t>
      </w:r>
    </w:p>
    <w:p w14:paraId="5CBA592B" w14:textId="77777777" w:rsidR="00C87136" w:rsidRPr="00C95A50" w:rsidRDefault="00C87136" w:rsidP="00C95A50">
      <w:pPr>
        <w:spacing w:after="160"/>
        <w:ind w:left="720" w:hanging="720"/>
        <w:jc w:val="both"/>
      </w:pPr>
      <w:r w:rsidRPr="00C95A50">
        <w:t>Nielsen Norman Group (NN/g) (2016) Design thinking 101. Available at: https://www.nngroup.com/articles/design-thinking/ (Accessed: 18 July 2026).</w:t>
      </w:r>
    </w:p>
    <w:p w14:paraId="73FBB822" w14:textId="77777777" w:rsidR="00C87136" w:rsidRPr="00C95A50" w:rsidRDefault="00C87136" w:rsidP="00C95A50">
      <w:pPr>
        <w:spacing w:after="160"/>
        <w:ind w:left="720" w:hanging="720"/>
        <w:jc w:val="both"/>
      </w:pPr>
      <w:r w:rsidRPr="00C95A50">
        <w:t>Ofcom (2024) Connected Nations UK report 2024. Available at: https://www.ofcom.org.uk/siteassets/resources/documents/research-and-data/multi-sector/infrastructure-research/connected-nations-2024/connected-nations-uk-report-2024.pdf (Accessed: 18 July 2026).</w:t>
      </w:r>
    </w:p>
    <w:p w14:paraId="1AD3F7AD" w14:textId="77777777" w:rsidR="00C87136" w:rsidRPr="00C95A50" w:rsidRDefault="00C87136" w:rsidP="00C95A50">
      <w:pPr>
        <w:spacing w:after="160"/>
        <w:ind w:left="720" w:hanging="720"/>
        <w:jc w:val="both"/>
      </w:pPr>
      <w:r w:rsidRPr="00C95A50">
        <w:t>Organisation for Economic Co-operation and Development (OECD) (2026) The state of SME technology adoption in the United Kingdom. Available at: https://www.oecd.org/en/publications/sme-technology-adoption-in-the-united-kingdom_5f25ce2a-en/full-report/the-state-of-sme-technology-adoption-in-the-united-kingdom_035644d5.html (Accessed: 18 July 2026).</w:t>
      </w:r>
    </w:p>
    <w:p w14:paraId="50D15D1F" w14:textId="77777777" w:rsidR="00C87136" w:rsidRPr="00C95A50" w:rsidRDefault="00C87136" w:rsidP="00C95A50">
      <w:pPr>
        <w:spacing w:after="160"/>
        <w:ind w:left="720" w:hanging="720"/>
        <w:jc w:val="both"/>
      </w:pPr>
      <w:r w:rsidRPr="00C95A50">
        <w:t>Osterwalder, A. and Pigneur, Y. (2010) Business model generation: A handbook for visionaries, game changers, and challengers. Hoboken, NJ: Wiley.</w:t>
      </w:r>
    </w:p>
    <w:p w14:paraId="0AEE4DB9" w14:textId="77777777" w:rsidR="00C87136" w:rsidRPr="00C95A50" w:rsidRDefault="00C87136" w:rsidP="00C95A50">
      <w:pPr>
        <w:spacing w:after="160"/>
        <w:ind w:left="720" w:hanging="720"/>
        <w:jc w:val="both"/>
      </w:pPr>
      <w:r w:rsidRPr="00C95A50">
        <w:t>Pegasus Couriers (2026) UK last-mile delivery: future trends and tech guide. Available at: https://pegasuscouriers.co.uk/2025/12/the-future-of-uk-last-mile-delivery/ (Accessed: 18 July 2026).</w:t>
      </w:r>
    </w:p>
    <w:p w14:paraId="7328756A" w14:textId="77777777" w:rsidR="00C87136" w:rsidRPr="00C95A50" w:rsidRDefault="00C87136" w:rsidP="00C95A50">
      <w:pPr>
        <w:spacing w:after="160"/>
        <w:ind w:left="720" w:hanging="720"/>
        <w:jc w:val="both"/>
      </w:pPr>
      <w:r w:rsidRPr="00C95A50">
        <w:t>Ries, E. (2011) The lean startup: How today's entrepreneurs use continuous innovation to create radically successful businesses. New York: Crown Business.</w:t>
      </w:r>
    </w:p>
    <w:p w14:paraId="722D6116" w14:textId="77777777" w:rsidR="00C87136" w:rsidRPr="00C95A50" w:rsidRDefault="00C87136" w:rsidP="00C95A50">
      <w:pPr>
        <w:spacing w:after="160"/>
        <w:ind w:left="720" w:hanging="720"/>
        <w:jc w:val="both"/>
      </w:pPr>
      <w:r w:rsidRPr="00C95A50">
        <w:t xml:space="preserve">Stanford </w:t>
      </w:r>
      <w:proofErr w:type="spellStart"/>
      <w:r w:rsidRPr="00C95A50">
        <w:t>d.school</w:t>
      </w:r>
      <w:proofErr w:type="spellEnd"/>
      <w:r w:rsidRPr="00C95A50">
        <w:t xml:space="preserve"> (2018) An introduction to design thinking: process guide. Available at: https://web.stanford.edu/~mshanks/MichaelShanks/files/509554.pdf (Accessed: 18 July 2026).</w:t>
      </w:r>
    </w:p>
    <w:p w14:paraId="51F27351" w14:textId="77777777" w:rsidR="00C87136" w:rsidRPr="00C95A50" w:rsidRDefault="00C87136" w:rsidP="00C95A50">
      <w:pPr>
        <w:spacing w:after="160"/>
        <w:ind w:left="720" w:hanging="720"/>
        <w:jc w:val="both"/>
      </w:pPr>
      <w:proofErr w:type="spellStart"/>
      <w:r w:rsidRPr="00C95A50">
        <w:lastRenderedPageBreak/>
        <w:t>Uswitch</w:t>
      </w:r>
      <w:proofErr w:type="spellEnd"/>
      <w:r w:rsidRPr="00C95A50">
        <w:t xml:space="preserve"> (2026) UK broadband access statistics 2024. Available at: https://www.uswitch.com/broadband/studies/broadband-access-statistics/ (Accessed: 18 July 2026).</w:t>
      </w:r>
    </w:p>
    <w:p w14:paraId="5D3EBAAC" w14:textId="77777777" w:rsidR="00C87136" w:rsidRPr="00C95A50" w:rsidRDefault="00C87136" w:rsidP="00C95A50">
      <w:pPr>
        <w:spacing w:after="160"/>
        <w:ind w:left="720" w:hanging="720"/>
        <w:jc w:val="both"/>
      </w:pPr>
      <w:proofErr w:type="spellStart"/>
      <w:r w:rsidRPr="00C95A50">
        <w:t>Verganti</w:t>
      </w:r>
      <w:proofErr w:type="spellEnd"/>
      <w:r w:rsidRPr="00C95A50">
        <w:t xml:space="preserve">, R., </w:t>
      </w:r>
      <w:proofErr w:type="spellStart"/>
      <w:r w:rsidRPr="00C95A50">
        <w:t>Dell'Era</w:t>
      </w:r>
      <w:proofErr w:type="spellEnd"/>
      <w:r w:rsidRPr="00C95A50">
        <w:t>, C. and Swan, K.S. (2021) 'Design thinking: Critical analysis and future evolution', Journal of Product Innovation Management, 38(6), pp. 603–622.</w:t>
      </w:r>
    </w:p>
    <w:p w14:paraId="7C8A1249" w14:textId="77777777" w:rsidR="00701036" w:rsidRPr="00C95A50" w:rsidRDefault="00701036" w:rsidP="00C95A50"/>
    <w:sectPr w:rsidR="00701036" w:rsidRPr="00C95A50" w:rsidSect="00663E40">
      <w:footerReference w:type="even" r:id="rId7"/>
      <w:footerReference w:type="default" r:id="rId8"/>
      <w:pgSz w:w="11900" w:h="1682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5E2DAE" w14:textId="77777777" w:rsidR="00D83419" w:rsidRDefault="00D83419" w:rsidP="00A648C3">
      <w:pPr>
        <w:spacing w:line="240" w:lineRule="auto"/>
      </w:pPr>
      <w:r>
        <w:separator/>
      </w:r>
    </w:p>
  </w:endnote>
  <w:endnote w:type="continuationSeparator" w:id="0">
    <w:p w14:paraId="74F8F002" w14:textId="77777777" w:rsidR="00D83419" w:rsidRDefault="00D83419" w:rsidP="00A648C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686481064"/>
      <w:docPartObj>
        <w:docPartGallery w:val="Page Numbers (Bottom of Page)"/>
        <w:docPartUnique/>
      </w:docPartObj>
    </w:sdtPr>
    <w:sdtContent>
      <w:p w14:paraId="4E2A552D" w14:textId="62A9502A" w:rsidR="00A648C3" w:rsidRDefault="00A648C3" w:rsidP="00B80C7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707EDE7D" w14:textId="77777777" w:rsidR="00A648C3" w:rsidRDefault="00A648C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741138349"/>
      <w:docPartObj>
        <w:docPartGallery w:val="Page Numbers (Bottom of Page)"/>
        <w:docPartUnique/>
      </w:docPartObj>
    </w:sdtPr>
    <w:sdtContent>
      <w:p w14:paraId="19F72114" w14:textId="2C0B126F" w:rsidR="00A648C3" w:rsidRDefault="00A648C3" w:rsidP="00B80C7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8C8C9EC" w14:textId="77777777" w:rsidR="00A648C3" w:rsidRDefault="00A648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4BD010" w14:textId="77777777" w:rsidR="00D83419" w:rsidRDefault="00D83419" w:rsidP="00A648C3">
      <w:pPr>
        <w:spacing w:line="240" w:lineRule="auto"/>
      </w:pPr>
      <w:r>
        <w:separator/>
      </w:r>
    </w:p>
  </w:footnote>
  <w:footnote w:type="continuationSeparator" w:id="0">
    <w:p w14:paraId="7970052F" w14:textId="77777777" w:rsidR="00D83419" w:rsidRDefault="00D83419" w:rsidP="00A648C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EEC2AFF"/>
    <w:multiLevelType w:val="hybridMultilevel"/>
    <w:tmpl w:val="5AEEC382"/>
    <w:lvl w:ilvl="0" w:tplc="EB90B12E">
      <w:start w:val="1"/>
      <w:numFmt w:val="bullet"/>
      <w:lvlText w:val="•"/>
      <w:lvlJc w:val="left"/>
      <w:pPr>
        <w:ind w:left="504" w:hanging="259"/>
      </w:pPr>
    </w:lvl>
    <w:lvl w:ilvl="1" w:tplc="CEB2282A">
      <w:start w:val="1"/>
      <w:numFmt w:val="bullet"/>
      <w:lvlText w:val="◦"/>
      <w:lvlJc w:val="left"/>
      <w:pPr>
        <w:ind w:left="1008" w:hanging="259"/>
      </w:pPr>
    </w:lvl>
    <w:lvl w:ilvl="2" w:tplc="2DC410F4">
      <w:numFmt w:val="decimal"/>
      <w:lvlText w:val=""/>
      <w:lvlJc w:val="left"/>
      <w:pPr>
        <w:ind w:left="0" w:firstLine="0"/>
      </w:pPr>
    </w:lvl>
    <w:lvl w:ilvl="3" w:tplc="B8E4A6A8">
      <w:numFmt w:val="decimal"/>
      <w:lvlText w:val=""/>
      <w:lvlJc w:val="left"/>
      <w:pPr>
        <w:ind w:left="0" w:firstLine="0"/>
      </w:pPr>
    </w:lvl>
    <w:lvl w:ilvl="4" w:tplc="165072F2">
      <w:numFmt w:val="decimal"/>
      <w:lvlText w:val=""/>
      <w:lvlJc w:val="left"/>
      <w:pPr>
        <w:ind w:left="0" w:firstLine="0"/>
      </w:pPr>
    </w:lvl>
    <w:lvl w:ilvl="5" w:tplc="3216ED60">
      <w:numFmt w:val="decimal"/>
      <w:lvlText w:val=""/>
      <w:lvlJc w:val="left"/>
      <w:pPr>
        <w:ind w:left="0" w:firstLine="0"/>
      </w:pPr>
    </w:lvl>
    <w:lvl w:ilvl="6" w:tplc="13A4E08A">
      <w:numFmt w:val="decimal"/>
      <w:lvlText w:val=""/>
      <w:lvlJc w:val="left"/>
      <w:pPr>
        <w:ind w:left="0" w:firstLine="0"/>
      </w:pPr>
    </w:lvl>
    <w:lvl w:ilvl="7" w:tplc="C06EEE76">
      <w:numFmt w:val="decimal"/>
      <w:lvlText w:val=""/>
      <w:lvlJc w:val="left"/>
      <w:pPr>
        <w:ind w:left="0" w:firstLine="0"/>
      </w:pPr>
    </w:lvl>
    <w:lvl w:ilvl="8" w:tplc="D1400198">
      <w:numFmt w:val="decimal"/>
      <w:lvlText w:val=""/>
      <w:lvlJc w:val="left"/>
      <w:pPr>
        <w:ind w:left="0" w:firstLine="0"/>
      </w:pPr>
    </w:lvl>
  </w:abstractNum>
  <w:num w:numId="1" w16cid:durableId="340811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9"/>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7136"/>
    <w:rsid w:val="00023C14"/>
    <w:rsid w:val="000F0934"/>
    <w:rsid w:val="001130E7"/>
    <w:rsid w:val="00170918"/>
    <w:rsid w:val="003135B5"/>
    <w:rsid w:val="00490574"/>
    <w:rsid w:val="004C7241"/>
    <w:rsid w:val="0056044A"/>
    <w:rsid w:val="005841CF"/>
    <w:rsid w:val="005C04D0"/>
    <w:rsid w:val="00654551"/>
    <w:rsid w:val="00663E40"/>
    <w:rsid w:val="0068424F"/>
    <w:rsid w:val="00701036"/>
    <w:rsid w:val="0070394E"/>
    <w:rsid w:val="007077BB"/>
    <w:rsid w:val="00717132"/>
    <w:rsid w:val="007E2527"/>
    <w:rsid w:val="00861E2D"/>
    <w:rsid w:val="009107B9"/>
    <w:rsid w:val="00964EDB"/>
    <w:rsid w:val="009F557B"/>
    <w:rsid w:val="00A648C3"/>
    <w:rsid w:val="00A66EC8"/>
    <w:rsid w:val="00AD31FD"/>
    <w:rsid w:val="00BB00A2"/>
    <w:rsid w:val="00C87136"/>
    <w:rsid w:val="00C95A50"/>
    <w:rsid w:val="00D13C2D"/>
    <w:rsid w:val="00D83419"/>
    <w:rsid w:val="00DA50C2"/>
    <w:rsid w:val="00E25C99"/>
    <w:rsid w:val="00EA3286"/>
    <w:rsid w:val="00EE2A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D9D0AB"/>
  <w15:chartTrackingRefBased/>
  <w15:docId w15:val="{B5D74DB9-5005-F846-B441-A0827E464A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7136"/>
    <w:pPr>
      <w:spacing w:after="0" w:line="360" w:lineRule="auto"/>
    </w:pPr>
    <w:rPr>
      <w:rFonts w:ascii="Arial" w:eastAsia="Arial" w:hAnsi="Arial" w:cs="Arial"/>
      <w:kern w:val="0"/>
      <w:sz w:val="22"/>
      <w:szCs w:val="22"/>
      <w:lang w:eastAsia="en-GB"/>
      <w14:ligatures w14:val="none"/>
    </w:rPr>
  </w:style>
  <w:style w:type="paragraph" w:styleId="Heading1">
    <w:name w:val="heading 1"/>
    <w:basedOn w:val="Normal"/>
    <w:next w:val="Normal"/>
    <w:link w:val="Heading1Char"/>
    <w:uiPriority w:val="9"/>
    <w:qFormat/>
    <w:rsid w:val="00C8713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8713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8713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8713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8713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8713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8713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8713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8713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8713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8713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8713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8713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8713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8713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8713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8713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87136"/>
    <w:rPr>
      <w:rFonts w:eastAsiaTheme="majorEastAsia" w:cstheme="majorBidi"/>
      <w:color w:val="272727" w:themeColor="text1" w:themeTint="D8"/>
    </w:rPr>
  </w:style>
  <w:style w:type="paragraph" w:styleId="Title">
    <w:name w:val="Title"/>
    <w:basedOn w:val="Normal"/>
    <w:next w:val="Normal"/>
    <w:link w:val="TitleChar"/>
    <w:uiPriority w:val="10"/>
    <w:qFormat/>
    <w:rsid w:val="00C8713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8713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8713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8713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87136"/>
    <w:pPr>
      <w:spacing w:before="160"/>
      <w:jc w:val="center"/>
    </w:pPr>
    <w:rPr>
      <w:i/>
      <w:iCs/>
      <w:color w:val="404040" w:themeColor="text1" w:themeTint="BF"/>
    </w:rPr>
  </w:style>
  <w:style w:type="character" w:customStyle="1" w:styleId="QuoteChar">
    <w:name w:val="Quote Char"/>
    <w:basedOn w:val="DefaultParagraphFont"/>
    <w:link w:val="Quote"/>
    <w:uiPriority w:val="29"/>
    <w:rsid w:val="00C87136"/>
    <w:rPr>
      <w:i/>
      <w:iCs/>
      <w:color w:val="404040" w:themeColor="text1" w:themeTint="BF"/>
    </w:rPr>
  </w:style>
  <w:style w:type="paragraph" w:styleId="ListParagraph">
    <w:name w:val="List Paragraph"/>
    <w:basedOn w:val="Normal"/>
    <w:qFormat/>
    <w:rsid w:val="00C87136"/>
    <w:pPr>
      <w:ind w:left="720"/>
      <w:contextualSpacing/>
    </w:pPr>
  </w:style>
  <w:style w:type="character" w:styleId="IntenseEmphasis">
    <w:name w:val="Intense Emphasis"/>
    <w:basedOn w:val="DefaultParagraphFont"/>
    <w:uiPriority w:val="21"/>
    <w:qFormat/>
    <w:rsid w:val="00C87136"/>
    <w:rPr>
      <w:i/>
      <w:iCs/>
      <w:color w:val="0F4761" w:themeColor="accent1" w:themeShade="BF"/>
    </w:rPr>
  </w:style>
  <w:style w:type="paragraph" w:styleId="IntenseQuote">
    <w:name w:val="Intense Quote"/>
    <w:basedOn w:val="Normal"/>
    <w:next w:val="Normal"/>
    <w:link w:val="IntenseQuoteChar"/>
    <w:uiPriority w:val="30"/>
    <w:qFormat/>
    <w:rsid w:val="00C8713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87136"/>
    <w:rPr>
      <w:i/>
      <w:iCs/>
      <w:color w:val="0F4761" w:themeColor="accent1" w:themeShade="BF"/>
    </w:rPr>
  </w:style>
  <w:style w:type="character" w:styleId="IntenseReference">
    <w:name w:val="Intense Reference"/>
    <w:basedOn w:val="DefaultParagraphFont"/>
    <w:uiPriority w:val="32"/>
    <w:qFormat/>
    <w:rsid w:val="00C87136"/>
    <w:rPr>
      <w:b/>
      <w:bCs/>
      <w:smallCaps/>
      <w:color w:val="0F4761" w:themeColor="accent1" w:themeShade="BF"/>
      <w:spacing w:val="5"/>
    </w:rPr>
  </w:style>
  <w:style w:type="paragraph" w:styleId="TOCHeading">
    <w:name w:val="TOC Heading"/>
    <w:basedOn w:val="Heading1"/>
    <w:next w:val="Normal"/>
    <w:uiPriority w:val="39"/>
    <w:unhideWhenUsed/>
    <w:qFormat/>
    <w:rsid w:val="00663E40"/>
    <w:pPr>
      <w:spacing w:before="480" w:after="0" w:line="276" w:lineRule="auto"/>
      <w:outlineLvl w:val="9"/>
    </w:pPr>
    <w:rPr>
      <w:b/>
      <w:bCs/>
      <w:sz w:val="28"/>
      <w:szCs w:val="28"/>
      <w:lang w:val="en-US" w:eastAsia="en-US"/>
    </w:rPr>
  </w:style>
  <w:style w:type="paragraph" w:styleId="TOC1">
    <w:name w:val="toc 1"/>
    <w:basedOn w:val="Normal"/>
    <w:next w:val="Normal"/>
    <w:autoRedefine/>
    <w:uiPriority w:val="39"/>
    <w:unhideWhenUsed/>
    <w:rsid w:val="00663E40"/>
    <w:pPr>
      <w:spacing w:before="120"/>
    </w:pPr>
    <w:rPr>
      <w:rFonts w:asciiTheme="minorHAnsi" w:hAnsiTheme="minorHAnsi"/>
      <w:b/>
      <w:bCs/>
      <w:i/>
      <w:iCs/>
      <w:sz w:val="24"/>
      <w:szCs w:val="24"/>
    </w:rPr>
  </w:style>
  <w:style w:type="paragraph" w:styleId="TOC2">
    <w:name w:val="toc 2"/>
    <w:basedOn w:val="Normal"/>
    <w:next w:val="Normal"/>
    <w:autoRedefine/>
    <w:uiPriority w:val="39"/>
    <w:unhideWhenUsed/>
    <w:rsid w:val="00663E40"/>
    <w:pPr>
      <w:spacing w:before="120"/>
      <w:ind w:left="220"/>
    </w:pPr>
    <w:rPr>
      <w:rFonts w:asciiTheme="minorHAnsi" w:hAnsiTheme="minorHAnsi"/>
      <w:b/>
      <w:bCs/>
    </w:rPr>
  </w:style>
  <w:style w:type="paragraph" w:styleId="TOC3">
    <w:name w:val="toc 3"/>
    <w:basedOn w:val="Normal"/>
    <w:next w:val="Normal"/>
    <w:autoRedefine/>
    <w:uiPriority w:val="39"/>
    <w:unhideWhenUsed/>
    <w:rsid w:val="00663E40"/>
    <w:pPr>
      <w:ind w:left="440"/>
    </w:pPr>
    <w:rPr>
      <w:rFonts w:asciiTheme="minorHAnsi" w:hAnsiTheme="minorHAnsi"/>
      <w:sz w:val="20"/>
      <w:szCs w:val="20"/>
    </w:rPr>
  </w:style>
  <w:style w:type="character" w:styleId="Hyperlink">
    <w:name w:val="Hyperlink"/>
    <w:basedOn w:val="DefaultParagraphFont"/>
    <w:uiPriority w:val="99"/>
    <w:unhideWhenUsed/>
    <w:rsid w:val="00663E40"/>
    <w:rPr>
      <w:color w:val="467886" w:themeColor="hyperlink"/>
      <w:u w:val="single"/>
    </w:rPr>
  </w:style>
  <w:style w:type="paragraph" w:styleId="TOC4">
    <w:name w:val="toc 4"/>
    <w:basedOn w:val="Normal"/>
    <w:next w:val="Normal"/>
    <w:autoRedefine/>
    <w:uiPriority w:val="39"/>
    <w:semiHidden/>
    <w:unhideWhenUsed/>
    <w:rsid w:val="00663E40"/>
    <w:pPr>
      <w:ind w:left="660"/>
    </w:pPr>
    <w:rPr>
      <w:rFonts w:asciiTheme="minorHAnsi" w:hAnsiTheme="minorHAnsi"/>
      <w:sz w:val="20"/>
      <w:szCs w:val="20"/>
    </w:rPr>
  </w:style>
  <w:style w:type="paragraph" w:styleId="TOC5">
    <w:name w:val="toc 5"/>
    <w:basedOn w:val="Normal"/>
    <w:next w:val="Normal"/>
    <w:autoRedefine/>
    <w:uiPriority w:val="39"/>
    <w:semiHidden/>
    <w:unhideWhenUsed/>
    <w:rsid w:val="00663E40"/>
    <w:pPr>
      <w:ind w:left="880"/>
    </w:pPr>
    <w:rPr>
      <w:rFonts w:asciiTheme="minorHAnsi" w:hAnsiTheme="minorHAnsi"/>
      <w:sz w:val="20"/>
      <w:szCs w:val="20"/>
    </w:rPr>
  </w:style>
  <w:style w:type="paragraph" w:styleId="TOC6">
    <w:name w:val="toc 6"/>
    <w:basedOn w:val="Normal"/>
    <w:next w:val="Normal"/>
    <w:autoRedefine/>
    <w:uiPriority w:val="39"/>
    <w:semiHidden/>
    <w:unhideWhenUsed/>
    <w:rsid w:val="00663E40"/>
    <w:pPr>
      <w:ind w:left="1100"/>
    </w:pPr>
    <w:rPr>
      <w:rFonts w:asciiTheme="minorHAnsi" w:hAnsiTheme="minorHAnsi"/>
      <w:sz w:val="20"/>
      <w:szCs w:val="20"/>
    </w:rPr>
  </w:style>
  <w:style w:type="paragraph" w:styleId="TOC7">
    <w:name w:val="toc 7"/>
    <w:basedOn w:val="Normal"/>
    <w:next w:val="Normal"/>
    <w:autoRedefine/>
    <w:uiPriority w:val="39"/>
    <w:semiHidden/>
    <w:unhideWhenUsed/>
    <w:rsid w:val="00663E40"/>
    <w:pPr>
      <w:ind w:left="1320"/>
    </w:pPr>
    <w:rPr>
      <w:rFonts w:asciiTheme="minorHAnsi" w:hAnsiTheme="minorHAnsi"/>
      <w:sz w:val="20"/>
      <w:szCs w:val="20"/>
    </w:rPr>
  </w:style>
  <w:style w:type="paragraph" w:styleId="TOC8">
    <w:name w:val="toc 8"/>
    <w:basedOn w:val="Normal"/>
    <w:next w:val="Normal"/>
    <w:autoRedefine/>
    <w:uiPriority w:val="39"/>
    <w:semiHidden/>
    <w:unhideWhenUsed/>
    <w:rsid w:val="00663E40"/>
    <w:pPr>
      <w:ind w:left="1540"/>
    </w:pPr>
    <w:rPr>
      <w:rFonts w:asciiTheme="minorHAnsi" w:hAnsiTheme="minorHAnsi"/>
      <w:sz w:val="20"/>
      <w:szCs w:val="20"/>
    </w:rPr>
  </w:style>
  <w:style w:type="paragraph" w:styleId="TOC9">
    <w:name w:val="toc 9"/>
    <w:basedOn w:val="Normal"/>
    <w:next w:val="Normal"/>
    <w:autoRedefine/>
    <w:uiPriority w:val="39"/>
    <w:semiHidden/>
    <w:unhideWhenUsed/>
    <w:rsid w:val="00663E40"/>
    <w:pPr>
      <w:ind w:left="1760"/>
    </w:pPr>
    <w:rPr>
      <w:rFonts w:asciiTheme="minorHAnsi" w:hAnsiTheme="minorHAnsi"/>
      <w:sz w:val="20"/>
      <w:szCs w:val="20"/>
    </w:rPr>
  </w:style>
  <w:style w:type="paragraph" w:styleId="Footer">
    <w:name w:val="footer"/>
    <w:basedOn w:val="Normal"/>
    <w:link w:val="FooterChar"/>
    <w:uiPriority w:val="99"/>
    <w:unhideWhenUsed/>
    <w:rsid w:val="00A648C3"/>
    <w:pPr>
      <w:tabs>
        <w:tab w:val="center" w:pos="4513"/>
        <w:tab w:val="right" w:pos="9026"/>
      </w:tabs>
      <w:spacing w:line="240" w:lineRule="auto"/>
    </w:pPr>
  </w:style>
  <w:style w:type="character" w:customStyle="1" w:styleId="FooterChar">
    <w:name w:val="Footer Char"/>
    <w:basedOn w:val="DefaultParagraphFont"/>
    <w:link w:val="Footer"/>
    <w:uiPriority w:val="99"/>
    <w:rsid w:val="00A648C3"/>
    <w:rPr>
      <w:rFonts w:ascii="Arial" w:eastAsia="Arial" w:hAnsi="Arial" w:cs="Arial"/>
      <w:kern w:val="0"/>
      <w:sz w:val="22"/>
      <w:szCs w:val="22"/>
      <w:lang w:eastAsia="en-GB"/>
      <w14:ligatures w14:val="none"/>
    </w:rPr>
  </w:style>
  <w:style w:type="character" w:styleId="PageNumber">
    <w:name w:val="page number"/>
    <w:basedOn w:val="DefaultParagraphFont"/>
    <w:uiPriority w:val="99"/>
    <w:semiHidden/>
    <w:unhideWhenUsed/>
    <w:rsid w:val="00A648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31</TotalTime>
  <Pages>16</Pages>
  <Words>4741</Words>
  <Characters>27027</Characters>
  <Application>Microsoft Office Word</Application>
  <DocSecurity>0</DocSecurity>
  <Lines>225</Lines>
  <Paragraphs>63</Paragraphs>
  <ScaleCrop>false</ScaleCrop>
  <Company/>
  <LinksUpToDate>false</LinksUpToDate>
  <CharactersWithSpaces>31705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Petrica Marin (2333794)</dc:creator>
  <cp:keywords/>
  <dc:description/>
  <cp:lastModifiedBy>Petrica Marin (2333794)</cp:lastModifiedBy>
  <cp:revision>28</cp:revision>
  <dcterms:created xsi:type="dcterms:W3CDTF">2026-07-19T16:19:00Z</dcterms:created>
  <dcterms:modified xsi:type="dcterms:W3CDTF">2026-07-19T16:53:00Z</dcterms:modified>
</cp:coreProperties>
</file>