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615EA99" wp14:paraId="5081ED1E" wp14:textId="28072CF1">
      <w:pPr>
        <w:pStyle w:val="Heading1"/>
        <w:keepNext w:val="1"/>
        <w:keepLines w:val="1"/>
        <w:spacing w:before="0" w:beforeAutospacing="off" w:after="0" w:afterAutospacing="off"/>
        <w:rPr>
          <w:rFonts w:ascii="Aptos" w:hAnsi="Aptos" w:eastAsia="Aptos" w:cs="Aptos"/>
          <w:b w:val="0"/>
          <w:bCs w:val="0"/>
          <w:i w:val="0"/>
          <w:iCs w:val="0"/>
          <w:caps w:val="0"/>
          <w:smallCaps w:val="0"/>
          <w:noProof w:val="0"/>
          <w:color w:val="0F4761" w:themeColor="accent1" w:themeTint="FF" w:themeShade="BF"/>
          <w:sz w:val="32"/>
          <w:szCs w:val="32"/>
          <w:lang w:val="en-GB"/>
        </w:rPr>
      </w:pPr>
      <w:r w:rsidRPr="2615EA99" w:rsidR="474C3ECC">
        <w:rPr>
          <w:rFonts w:ascii="Aptos" w:hAnsi="Aptos" w:eastAsia="Aptos" w:cs="Aptos"/>
          <w:b w:val="1"/>
          <w:bCs w:val="1"/>
          <w:i w:val="0"/>
          <w:iCs w:val="0"/>
          <w:caps w:val="0"/>
          <w:smallCaps w:val="0"/>
          <w:noProof w:val="0"/>
          <w:color w:val="0F4761" w:themeColor="accent1" w:themeTint="FF" w:themeShade="BF"/>
          <w:sz w:val="32"/>
          <w:szCs w:val="32"/>
          <w:lang w:val="en-GB"/>
        </w:rPr>
        <w:t xml:space="preserve">CHAPTER 4 – Findings and Discussion </w:t>
      </w:r>
    </w:p>
    <w:p xmlns:wp14="http://schemas.microsoft.com/office/word/2010/wordml" w:rsidP="2615EA99" wp14:paraId="4A46CEEE" wp14:textId="0E8D05DC">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5EA99" w:rsidR="474C3E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615EA99" wp14:paraId="02C8CCCB" wp14:textId="07A3F931">
      <w:pPr>
        <w:pStyle w:val="Heading2"/>
        <w:keepNext w:val="1"/>
        <w:keepLines w:val="1"/>
        <w:spacing w:before="40" w:beforeAutospacing="off" w:after="0" w:afterAutospacing="off" w:line="360" w:lineRule="auto"/>
        <w:jc w:val="both"/>
        <w:rPr>
          <w:rFonts w:ascii="Aptos" w:hAnsi="Aptos" w:eastAsia="Aptos" w:cs="Aptos"/>
          <w:b w:val="0"/>
          <w:bCs w:val="0"/>
          <w:i w:val="0"/>
          <w:iCs w:val="0"/>
          <w:caps w:val="0"/>
          <w:smallCaps w:val="0"/>
          <w:noProof w:val="0"/>
          <w:color w:val="2F5496"/>
          <w:sz w:val="24"/>
          <w:szCs w:val="24"/>
          <w:lang w:val="en-GB"/>
        </w:rPr>
      </w:pPr>
      <w:r w:rsidRPr="2615EA99" w:rsidR="474C3ECC">
        <w:rPr>
          <w:rFonts w:ascii="Aptos" w:hAnsi="Aptos" w:eastAsia="Aptos" w:cs="Aptos"/>
          <w:b w:val="0"/>
          <w:bCs w:val="0"/>
          <w:i w:val="0"/>
          <w:iCs w:val="0"/>
          <w:caps w:val="0"/>
          <w:smallCaps w:val="0"/>
          <w:noProof w:val="0"/>
          <w:color w:val="2F5496"/>
          <w:sz w:val="24"/>
          <w:szCs w:val="24"/>
          <w:lang w:val="en-GB"/>
        </w:rPr>
        <w:t xml:space="preserve">4.1 – Introduction </w:t>
      </w:r>
    </w:p>
    <w:p xmlns:wp14="http://schemas.microsoft.com/office/word/2010/wordml" w:rsidP="2615EA99" wp14:paraId="2A50A01F" wp14:textId="6A3B5607">
      <w:pPr>
        <w:pStyle w:val="Heading1"/>
        <w:keepNext w:val="1"/>
        <w:keepLines w:val="1"/>
        <w:spacing w:before="0" w:beforeAutospacing="off" w:after="0" w:afterAutospacing="off"/>
        <w:rPr>
          <w:rFonts w:ascii="Arial" w:hAnsi="Arial" w:eastAsia="Arial" w:cs="Arial"/>
          <w:b w:val="0"/>
          <w:bCs w:val="0"/>
          <w:i w:val="0"/>
          <w:iCs w:val="0"/>
          <w:caps w:val="0"/>
          <w:smallCaps w:val="0"/>
          <w:noProof w:val="0"/>
          <w:color w:val="0F4761" w:themeColor="accent1" w:themeTint="FF" w:themeShade="BF"/>
          <w:sz w:val="32"/>
          <w:szCs w:val="32"/>
          <w:lang w:val="en-GB"/>
        </w:rPr>
      </w:pPr>
      <w:r w:rsidRPr="2615EA99" w:rsidR="474C3ECC">
        <w:rPr>
          <w:rFonts w:ascii="Arial" w:hAnsi="Arial" w:eastAsia="Arial" w:cs="Arial"/>
          <w:b w:val="1"/>
          <w:bCs w:val="1"/>
          <w:i w:val="0"/>
          <w:iCs w:val="0"/>
          <w:caps w:val="0"/>
          <w:smallCaps w:val="0"/>
          <w:noProof w:val="0"/>
          <w:color w:val="0F4761" w:themeColor="accent1" w:themeTint="FF" w:themeShade="BF"/>
          <w:sz w:val="32"/>
          <w:szCs w:val="32"/>
          <w:lang w:val="en-GB"/>
        </w:rPr>
        <w:t xml:space="preserve"> </w:t>
      </w:r>
    </w:p>
    <w:p xmlns:wp14="http://schemas.microsoft.com/office/word/2010/wordml" w:rsidP="2615EA99" wp14:paraId="7BD1DC82" wp14:textId="6821B6B5">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 xml:space="preserve">In this chapter </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4,</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 xml:space="preserve"> it will be critically analysing the definitions of thematic analysis and different themes.  I have used the theme evaluating information credibility, effective research practices and social avoidance and withdrawal.</w:t>
      </w:r>
    </w:p>
    <w:p xmlns:wp14="http://schemas.microsoft.com/office/word/2010/wordml" w:rsidP="2615EA99" wp14:paraId="2F9D3911" wp14:textId="59539100">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5EA99" w:rsidR="474C3E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615EA99" wp14:paraId="6AECDECC" wp14:textId="31A83DC3">
      <w:pPr>
        <w:pStyle w:val="Heading2"/>
        <w:keepNext w:val="1"/>
        <w:keepLines w:val="1"/>
        <w:spacing w:before="40" w:beforeAutospacing="off" w:after="0" w:afterAutospacing="off" w:line="360" w:lineRule="auto"/>
        <w:jc w:val="both"/>
        <w:rPr>
          <w:rFonts w:ascii="Aptos" w:hAnsi="Aptos" w:eastAsia="Aptos" w:cs="Aptos"/>
          <w:b w:val="0"/>
          <w:bCs w:val="0"/>
          <w:i w:val="0"/>
          <w:iCs w:val="0"/>
          <w:caps w:val="0"/>
          <w:smallCaps w:val="0"/>
          <w:noProof w:val="0"/>
          <w:color w:val="2F5496"/>
          <w:sz w:val="24"/>
          <w:szCs w:val="24"/>
          <w:lang w:val="en-GB"/>
        </w:rPr>
      </w:pPr>
      <w:r w:rsidRPr="2615EA99" w:rsidR="474C3ECC">
        <w:rPr>
          <w:rFonts w:ascii="Aptos" w:hAnsi="Aptos" w:eastAsia="Aptos" w:cs="Aptos"/>
          <w:b w:val="0"/>
          <w:bCs w:val="0"/>
          <w:i w:val="0"/>
          <w:iCs w:val="0"/>
          <w:caps w:val="0"/>
          <w:smallCaps w:val="0"/>
          <w:noProof w:val="0"/>
          <w:color w:val="2F5496"/>
          <w:sz w:val="24"/>
          <w:szCs w:val="24"/>
          <w:lang w:val="en-GB"/>
        </w:rPr>
        <w:t xml:space="preserve">4.2 – Thematic Analysis </w:t>
      </w:r>
    </w:p>
    <w:p xmlns:wp14="http://schemas.microsoft.com/office/word/2010/wordml" w:rsidP="2615EA99" wp14:paraId="790C4506" wp14:textId="3569F783">
      <w:pPr>
        <w:pStyle w:val="Heading1"/>
        <w:keepNext w:val="1"/>
        <w:keepLines w:val="1"/>
        <w:spacing w:before="0" w:beforeAutospacing="off" w:after="0" w:afterAutospacing="off"/>
        <w:ind w:left="220" w:right="0"/>
        <w:rPr>
          <w:rFonts w:ascii="Arial" w:hAnsi="Arial" w:eastAsia="Arial" w:cs="Arial"/>
          <w:b w:val="0"/>
          <w:bCs w:val="0"/>
          <w:i w:val="0"/>
          <w:iCs w:val="0"/>
          <w:caps w:val="0"/>
          <w:smallCaps w:val="0"/>
          <w:noProof w:val="0"/>
          <w:color w:val="0F4761" w:themeColor="accent1" w:themeTint="FF" w:themeShade="BF"/>
          <w:sz w:val="32"/>
          <w:szCs w:val="32"/>
          <w:lang w:val="en-GB"/>
        </w:rPr>
      </w:pPr>
      <w:r w:rsidRPr="2615EA99" w:rsidR="474C3ECC">
        <w:rPr>
          <w:rFonts w:ascii="Arial" w:hAnsi="Arial" w:eastAsia="Arial" w:cs="Arial"/>
          <w:b w:val="1"/>
          <w:bCs w:val="1"/>
          <w:i w:val="0"/>
          <w:iCs w:val="0"/>
          <w:caps w:val="0"/>
          <w:smallCaps w:val="0"/>
          <w:noProof w:val="0"/>
          <w:color w:val="0F4761" w:themeColor="accent1" w:themeTint="FF" w:themeShade="BF"/>
          <w:sz w:val="32"/>
          <w:szCs w:val="32"/>
          <w:lang w:val="en-GB"/>
        </w:rPr>
        <w:t xml:space="preserve"> </w:t>
      </w:r>
    </w:p>
    <w:p xmlns:wp14="http://schemas.microsoft.com/office/word/2010/wordml" w:rsidP="2615EA99" wp14:paraId="2794B119" wp14:textId="5612AD10">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5EA99" w:rsidR="474C3ECC">
        <w:rPr>
          <w:rFonts w:ascii="Symbol" w:hAnsi="Symbol" w:eastAsia="Symbol" w:cs="Symbol"/>
          <w:b w:val="0"/>
          <w:bCs w:val="0"/>
          <w:i w:val="0"/>
          <w:iCs w:val="0"/>
          <w:caps w:val="0"/>
          <w:smallCaps w:val="0"/>
          <w:noProof w:val="0"/>
          <w:color w:val="000000" w:themeColor="text1" w:themeTint="FF" w:themeShade="FF"/>
          <w:sz w:val="24"/>
          <w:szCs w:val="24"/>
          <w:lang w:val="en-GB"/>
        </w:rPr>
        <w:t>·</w:t>
      </w:r>
      <w:r w:rsidRPr="2615EA99" w:rsidR="474C3E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5EA99" w:rsidR="474C3EC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Definition of Thematic Analysis:</w:t>
      </w:r>
    </w:p>
    <w:p xmlns:wp14="http://schemas.microsoft.com/office/word/2010/wordml" w:rsidP="2615EA99" wp14:paraId="1F632039" wp14:textId="00346E25">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In the context of secondary research, thematic analysis is a qualitive method used to identify, analyse and interpret patterns or themes with existing data and literature. It is the process of systematically reviewing and coding existing qualitative data sources (Kalpokas,2024).</w:t>
      </w:r>
    </w:p>
    <w:p xmlns:wp14="http://schemas.microsoft.com/office/word/2010/wordml" w:rsidP="2615EA99" wp14:paraId="5029FF7F" wp14:textId="6B7D76D9">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5EA99" w:rsidR="474C3ECC">
        <w:rPr>
          <w:rFonts w:ascii="Symbol" w:hAnsi="Symbol" w:eastAsia="Symbol" w:cs="Symbol"/>
          <w:b w:val="0"/>
          <w:bCs w:val="0"/>
          <w:i w:val="0"/>
          <w:iCs w:val="0"/>
          <w:caps w:val="0"/>
          <w:smallCaps w:val="0"/>
          <w:noProof w:val="0"/>
          <w:color w:val="000000" w:themeColor="text1" w:themeTint="FF" w:themeShade="FF"/>
          <w:sz w:val="24"/>
          <w:szCs w:val="24"/>
          <w:lang w:val="en-GB"/>
        </w:rPr>
        <w:t>·</w:t>
      </w:r>
      <w:r w:rsidRPr="2615EA99" w:rsidR="474C3E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5EA99" w:rsidR="474C3EC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Link to Coding/Results Table:</w:t>
      </w:r>
    </w:p>
    <w:p xmlns:wp14="http://schemas.microsoft.com/office/word/2010/wordml" w:rsidP="2615EA99" wp14:paraId="5DF2C68A" wp14:textId="383A9240">
      <w:pPr>
        <w:pStyle w:val="ListParagraph"/>
        <w:numPr>
          <w:ilvl w:val="0"/>
          <w:numId w:val="1"/>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This method was applied to reviewed literature by reading and re-reading selected studies, reports and documents to understand their content, context and key findings. Extracted meaningful units from each study to assign codes, then related codes into broader themes that captured patterns across the literature. The themes were then refined which went onto been able to create a results table. Lastly interpreted what the themes meant in relation to my research question (Snyder, 2019).</w:t>
      </w:r>
    </w:p>
    <w:p xmlns:wp14="http://schemas.microsoft.com/office/word/2010/wordml" w:rsidP="2615EA99" wp14:paraId="30CD040F" wp14:textId="6722C8B3">
      <w:pPr>
        <w:pStyle w:val="ListParagraph"/>
        <w:numPr>
          <w:ilvl w:val="0"/>
          <w:numId w:val="1"/>
        </w:num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The themes identified include several recurring themes reflecting psychological, behavioural, environmental and interpersonal factors influencing social relationship development. The themes were social avoidance and withdrawal, low self-esteem and negative self-perception, peer rejection and social stigma, family and parental influence, coping mechanisms and social skills deficit's role of school environment and intervention and protective factors (Dey, 2022).</w:t>
      </w:r>
    </w:p>
    <w:p xmlns:wp14="http://schemas.microsoft.com/office/word/2010/wordml" w:rsidP="2615EA99" wp14:paraId="424E47DA" wp14:textId="4B79ACDA">
      <w:pPr>
        <w:pStyle w:val="Normal"/>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115BC601" wp14:textId="54FD3737">
      <w:pPr>
        <w:pStyle w:val="Normal"/>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012D52B0" wp14:textId="14500ACB">
      <w:pPr>
        <w:pStyle w:val="ListParagraph"/>
        <w:numPr>
          <w:ilvl w:val="0"/>
          <w:numId w:val="1"/>
        </w:numPr>
        <w:spacing w:before="0" w:beforeAutospacing="off" w:after="160" w:afterAutospacing="off" w:line="360" w:lineRule="auto"/>
        <w:jc w:val="both"/>
        <w:rPr>
          <w:rFonts w:ascii="Aptos" w:hAnsi="Aptos" w:eastAsia="Aptos" w:cs="Aptos"/>
          <w:b w:val="0"/>
          <w:bCs w:val="0"/>
          <w:i w:val="0"/>
          <w:iCs w:val="0"/>
          <w:caps w:val="0"/>
          <w:smallCaps w:val="0"/>
          <w:noProof w:val="0"/>
          <w:color w:val="2F5496"/>
          <w:sz w:val="24"/>
          <w:szCs w:val="24"/>
          <w:lang w:val="en-GB"/>
        </w:rPr>
      </w:pPr>
      <w:r w:rsidRPr="2615EA99" w:rsidR="474C3ECC">
        <w:rPr>
          <w:rFonts w:ascii="Aptos" w:hAnsi="Aptos" w:eastAsia="Aptos" w:cs="Aptos"/>
          <w:b w:val="0"/>
          <w:bCs w:val="0"/>
          <w:i w:val="0"/>
          <w:iCs w:val="0"/>
          <w:caps w:val="0"/>
          <w:smallCaps w:val="0"/>
          <w:noProof w:val="0"/>
          <w:color w:val="2F5496"/>
          <w:sz w:val="24"/>
          <w:szCs w:val="24"/>
          <w:lang w:val="en-GB"/>
        </w:rPr>
        <w:t>4.3 – Theme 1 (</w:t>
      </w:r>
      <w:r w:rsidRPr="2615EA99" w:rsidR="474C3ECC">
        <w:rPr>
          <w:rFonts w:ascii="Arial" w:hAnsi="Arial" w:eastAsia="Arial" w:cs="Arial"/>
          <w:b w:val="1"/>
          <w:bCs w:val="1"/>
          <w:i w:val="0"/>
          <w:iCs w:val="0"/>
          <w:caps w:val="0"/>
          <w:smallCaps w:val="0"/>
          <w:noProof w:val="0"/>
          <w:color w:val="000000" w:themeColor="text1" w:themeTint="FF" w:themeShade="FF"/>
          <w:sz w:val="22"/>
          <w:szCs w:val="22"/>
          <w:lang w:val="en-GB"/>
        </w:rPr>
        <w:t>evaluating information credibility</w:t>
      </w:r>
      <w:r w:rsidRPr="2615EA99" w:rsidR="474C3ECC">
        <w:rPr>
          <w:rFonts w:ascii="Aptos" w:hAnsi="Aptos" w:eastAsia="Aptos" w:cs="Aptos"/>
          <w:b w:val="0"/>
          <w:bCs w:val="0"/>
          <w:i w:val="0"/>
          <w:iCs w:val="0"/>
          <w:caps w:val="0"/>
          <w:smallCaps w:val="0"/>
          <w:noProof w:val="0"/>
          <w:color w:val="2F5496"/>
          <w:sz w:val="24"/>
          <w:szCs w:val="24"/>
          <w:lang w:val="en-GB"/>
        </w:rPr>
        <w:t xml:space="preserve">) </w:t>
      </w:r>
    </w:p>
    <w:p xmlns:wp14="http://schemas.microsoft.com/office/word/2010/wordml" w:rsidP="2615EA99" wp14:paraId="4CE1E2DC" wp14:textId="5ABA3902">
      <w:pPr>
        <w:pStyle w:val="Heading1"/>
        <w:keepNext w:val="1"/>
        <w:keepLines w:val="1"/>
        <w:spacing w:before="0" w:beforeAutospacing="off" w:after="0" w:afterAutospacing="off"/>
        <w:ind w:left="220" w:right="0"/>
        <w:rPr>
          <w:rFonts w:ascii="Arial" w:hAnsi="Arial" w:eastAsia="Arial" w:cs="Arial"/>
          <w:b w:val="0"/>
          <w:bCs w:val="0"/>
          <w:i w:val="0"/>
          <w:iCs w:val="0"/>
          <w:caps w:val="0"/>
          <w:smallCaps w:val="0"/>
          <w:noProof w:val="0"/>
          <w:color w:val="0F4761" w:themeColor="accent1" w:themeTint="FF" w:themeShade="BF"/>
          <w:sz w:val="28"/>
          <w:szCs w:val="28"/>
          <w:lang w:val="en-GB"/>
        </w:rPr>
      </w:pPr>
      <w:r w:rsidRPr="2615EA99" w:rsidR="474C3ECC">
        <w:rPr>
          <w:rFonts w:ascii="Arial" w:hAnsi="Arial" w:eastAsia="Arial" w:cs="Arial"/>
          <w:b w:val="1"/>
          <w:bCs w:val="1"/>
          <w:i w:val="0"/>
          <w:iCs w:val="0"/>
          <w:caps w:val="0"/>
          <w:smallCaps w:val="0"/>
          <w:noProof w:val="0"/>
          <w:color w:val="0F4761" w:themeColor="accent1" w:themeTint="FF" w:themeShade="BF"/>
          <w:sz w:val="28"/>
          <w:szCs w:val="28"/>
          <w:lang w:val="en-GB"/>
        </w:rPr>
        <w:t xml:space="preserve"> </w:t>
      </w:r>
    </w:p>
    <w:p xmlns:wp14="http://schemas.microsoft.com/office/word/2010/wordml" w:rsidP="2615EA99" wp14:paraId="0F7DE229" wp14:textId="1E5E6F91">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 xml:space="preserve">Definition </w:t>
      </w:r>
    </w:p>
    <w:p xmlns:wp14="http://schemas.microsoft.com/office/word/2010/wordml" w:rsidP="2615EA99" wp14:paraId="3A6D4D45" wp14:textId="143AE462">
      <w:pPr>
        <w:pStyle w:val="ListParagraph"/>
        <w:numPr>
          <w:ilvl w:val="0"/>
          <w:numId w:val="2"/>
        </w:numPr>
        <w:spacing w:before="0" w:beforeAutospacing="off" w:after="0" w:afterAutospacing="off" w:line="360" w:lineRule="auto"/>
        <w:ind w:left="360" w:right="0" w:hanging="36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615EA99" w:rsidR="474C3ECC">
        <w:rPr>
          <w:rFonts w:ascii="Aptos" w:hAnsi="Aptos" w:eastAsia="Aptos" w:cs="Aptos"/>
          <w:b w:val="1"/>
          <w:bCs w:val="1"/>
          <w:i w:val="0"/>
          <w:iCs w:val="0"/>
          <w:caps w:val="0"/>
          <w:smallCaps w:val="0"/>
          <w:noProof w:val="0"/>
          <w:color w:val="000000" w:themeColor="text1" w:themeTint="FF" w:themeShade="FF"/>
          <w:sz w:val="24"/>
          <w:szCs w:val="24"/>
          <w:lang w:val="en-GB"/>
        </w:rPr>
        <w:t>Definition:</w:t>
      </w:r>
    </w:p>
    <w:p xmlns:wp14="http://schemas.microsoft.com/office/word/2010/wordml" w:rsidP="2615EA99" wp14:paraId="6C895690" wp14:textId="4FC08C74">
      <w:pPr>
        <w:pStyle w:val="ListParagraph"/>
        <w:numPr>
          <w:ilvl w:val="1"/>
          <w:numId w:val="2"/>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When evaluating information credibility, the theme followed was authority, accuracy, objectivity, currency and relevance. When evaluating information credibility on whether children with diagnosed anxiety struggle to form social relationships, it is important to consider authority, ensuring sources are peer-reviewed and written by qualified experts. Accuracy involves checking the validity, reliability, and proper use of diagnostic criteria. Objectivity requires awareness of potential bias or conflicts of interest that could distort findings. Currency focuses on using recent research to reflect current understanding of childhood anxiety and social functioning. Relevance ensures the information directly applies to the target population and clearly links anxiety to children's social development (Dean, 2024).</w:t>
      </w:r>
    </w:p>
    <w:p xmlns:wp14="http://schemas.microsoft.com/office/word/2010/wordml" w:rsidP="2615EA99" wp14:paraId="76EF1BB4" wp14:textId="7073CEFF">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Background Information</w:t>
      </w:r>
    </w:p>
    <w:p xmlns:wp14="http://schemas.microsoft.com/office/word/2010/wordml" w:rsidP="2615EA99" wp14:paraId="6826AE07" wp14:textId="7B0A5783">
      <w:pPr>
        <w:pStyle w:val="ListParagraph"/>
        <w:numPr>
          <w:ilvl w:val="0"/>
          <w:numId w:val="3"/>
        </w:numPr>
        <w:spacing w:before="0" w:beforeAutospacing="off" w:after="0" w:afterAutospacing="off" w:line="360" w:lineRule="auto"/>
        <w:ind w:left="360" w:right="0" w:hanging="36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615EA99" w:rsidR="474C3ECC">
        <w:rPr>
          <w:rFonts w:ascii="Aptos" w:hAnsi="Aptos" w:eastAsia="Aptos" w:cs="Aptos"/>
          <w:b w:val="1"/>
          <w:bCs w:val="1"/>
          <w:i w:val="0"/>
          <w:iCs w:val="0"/>
          <w:caps w:val="0"/>
          <w:smallCaps w:val="0"/>
          <w:noProof w:val="0"/>
          <w:color w:val="000000" w:themeColor="text1" w:themeTint="FF" w:themeShade="FF"/>
          <w:sz w:val="24"/>
          <w:szCs w:val="24"/>
          <w:lang w:val="en-GB"/>
        </w:rPr>
        <w:t>Historical/Contextual Background:</w:t>
      </w:r>
    </w:p>
    <w:p xmlns:wp14="http://schemas.microsoft.com/office/word/2010/wordml" w:rsidP="2615EA99" wp14:paraId="20469019" wp14:textId="4A43061B">
      <w:pPr>
        <w:pStyle w:val="ListParagraph"/>
        <w:numPr>
          <w:ilvl w:val="1"/>
          <w:numId w:val="3"/>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Evaluating information credibility is a critical skill, to ensure that conclusions are based on reliable, accurate and relevant evidence. When researching about children with diagnosed anxiety and social relationships it has been important to assess sources to determine how anxiety effects social functioning. Credible information came from several sources including peer reviewed journals. Accurate and objective evaluation of evidence has helped distinguish well supported findings. Ensuring a good timeline of research has also been important (Ryan, 2022)</w:t>
      </w:r>
    </w:p>
    <w:p xmlns:wp14="http://schemas.microsoft.com/office/word/2010/wordml" w:rsidP="2615EA99" wp14:paraId="1B10210A" wp14:textId="7C0A7D8A">
      <w:pPr>
        <w:pStyle w:val="ListParagraph"/>
        <w:numPr>
          <w:ilvl w:val="1"/>
          <w:numId w:val="3"/>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Historically, childhood anxiety was often overlooked or misunderstood, with early research labelling anxious children as timid rather than clinically affected. Key developments such as anna Freuds work on defence mechanisms and john Bowlby's attachment theory, highlighted the role of early relationships in emotional regulation (Hall,2024)</w:t>
      </w:r>
    </w:p>
    <w:p xmlns:wp14="http://schemas.microsoft.com/office/word/2010/wordml" w:rsidP="2615EA99" wp14:paraId="08AFFE76" wp14:textId="3A624DDD">
      <w:pPr>
        <w:pStyle w:val="Normal"/>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4499DB8F" wp14:textId="0DA4F4F6">
      <w:pPr>
        <w:pStyle w:val="Normal"/>
        <w:spacing w:before="0" w:beforeAutospacing="off" w:after="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2FD3F391" wp14:textId="790D87C5">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Impact on Research Question</w:t>
      </w:r>
    </w:p>
    <w:p xmlns:wp14="http://schemas.microsoft.com/office/word/2010/wordml" w:rsidP="2615EA99" wp14:paraId="1693E42D" wp14:textId="0ABCD153">
      <w:pPr>
        <w:spacing w:before="0" w:beforeAutospacing="off" w:after="0" w:afterAutospacing="off" w:line="360" w:lineRule="auto"/>
        <w:ind w:left="0" w:right="0" w:hanging="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15EA99" wp14:paraId="101622CE" wp14:textId="6D565C54">
      <w:pPr>
        <w:pStyle w:val="ListParagraph"/>
        <w:numPr>
          <w:ilvl w:val="0"/>
          <w:numId w:val="4"/>
        </w:numPr>
        <w:spacing w:before="0" w:beforeAutospacing="off" w:after="0" w:afterAutospacing="off" w:line="360" w:lineRule="auto"/>
        <w:ind w:left="360" w:right="0" w:hanging="36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615EA99" w:rsidR="474C3ECC">
        <w:rPr>
          <w:rFonts w:ascii="Aptos" w:hAnsi="Aptos" w:eastAsia="Aptos" w:cs="Aptos"/>
          <w:b w:val="1"/>
          <w:bCs w:val="1"/>
          <w:i w:val="0"/>
          <w:iCs w:val="0"/>
          <w:caps w:val="0"/>
          <w:smallCaps w:val="0"/>
          <w:noProof w:val="0"/>
          <w:color w:val="000000" w:themeColor="text1" w:themeTint="FF" w:themeShade="FF"/>
          <w:sz w:val="24"/>
          <w:szCs w:val="24"/>
          <w:lang w:val="en-GB"/>
        </w:rPr>
        <w:t>Relevance to Title/Research Question:</w:t>
      </w:r>
    </w:p>
    <w:p xmlns:wp14="http://schemas.microsoft.com/office/word/2010/wordml" w:rsidP="2615EA99" wp14:paraId="7BD9FF5A" wp14:textId="1BEEB830">
      <w:pPr>
        <w:pStyle w:val="ListParagraph"/>
        <w:numPr>
          <w:ilvl w:val="1"/>
          <w:numId w:val="4"/>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Evaluating the credibility of information is crucial when researching whether children with diagnosed anxiety struggle to form social relationships. Studies vary in methodology, diagnostic criteria and sample populations and some sources maybe biased or outdated. By critically assessing the reliability, validity, and relevance of research, secondary studies can provide accurate insights into how anxiety affects peer interactions, ensuring conclusions are based on trustworthy evidence rather than anecdote or poorly conducted research (York, 2025)</w:t>
      </w:r>
    </w:p>
    <w:p xmlns:wp14="http://schemas.microsoft.com/office/word/2010/wordml" w:rsidP="2615EA99" wp14:paraId="7B066EC8" wp14:textId="0786F314">
      <w:pPr>
        <w:pStyle w:val="ListParagraph"/>
        <w:numPr>
          <w:ilvl w:val="1"/>
          <w:numId w:val="4"/>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The importance is ensuring findings are based on reliable sources and valid evidence. By focusing on credible research, conclusions are more accurate and meaningful providing solid foundation for understanding social challenges and guiding effective interventions (McCloud et al., 2023)</w:t>
      </w:r>
    </w:p>
    <w:p xmlns:wp14="http://schemas.microsoft.com/office/word/2010/wordml" w:rsidP="2615EA99" wp14:paraId="32A1E6B4" wp14:textId="5C64A741">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Statistical Information</w:t>
      </w:r>
    </w:p>
    <w:p xmlns:wp14="http://schemas.microsoft.com/office/word/2010/wordml" w:rsidP="2615EA99" wp14:paraId="51D88194" wp14:textId="691EFAF7">
      <w:pPr>
        <w:pStyle w:val="ListParagraph"/>
        <w:numPr>
          <w:ilvl w:val="0"/>
          <w:numId w:val="5"/>
        </w:numPr>
        <w:spacing w:before="0" w:beforeAutospacing="off" w:after="0" w:afterAutospacing="off" w:line="360" w:lineRule="auto"/>
        <w:ind w:left="360" w:right="0" w:hanging="36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615EA99" w:rsidR="474C3ECC">
        <w:rPr>
          <w:rFonts w:ascii="Aptos" w:hAnsi="Aptos" w:eastAsia="Aptos" w:cs="Aptos"/>
          <w:b w:val="1"/>
          <w:bCs w:val="1"/>
          <w:i w:val="0"/>
          <w:iCs w:val="0"/>
          <w:caps w:val="0"/>
          <w:smallCaps w:val="0"/>
          <w:noProof w:val="0"/>
          <w:color w:val="000000" w:themeColor="text1" w:themeTint="FF" w:themeShade="FF"/>
          <w:sz w:val="24"/>
          <w:szCs w:val="24"/>
          <w:lang w:val="en-GB"/>
        </w:rPr>
        <w:t>Data and Statistics:</w:t>
      </w:r>
    </w:p>
    <w:p xmlns:wp14="http://schemas.microsoft.com/office/word/2010/wordml" w:rsidP="2615EA99" wp14:paraId="367A2E89" wp14:textId="0B9D3E0C">
      <w:pPr>
        <w:pStyle w:val="ListParagraph"/>
        <w:keepNext w:val="1"/>
        <w:keepLines w:val="1"/>
        <w:numPr>
          <w:ilvl w:val="1"/>
          <w:numId w:val="5"/>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A study found that children with a clinical anxiety disorder were less liked by their peers compared to children without diagnosed disorders ( Kendall, 2007). Massive surge in referrals for children with anxiety, in England 2023-24 there were about 204,526 new referrals for children aged 17 and under wore than double the number in 2019-20 (Children's Commissioner, 2024).</w:t>
      </w:r>
    </w:p>
    <w:p xmlns:wp14="http://schemas.microsoft.com/office/word/2010/wordml" w:rsidP="2615EA99" wp14:paraId="0DBDDC21" wp14:textId="5CA1AAC8">
      <w:pPr>
        <w:pStyle w:val="ListParagraph"/>
        <w:keepNext w:val="1"/>
        <w:keepLines w:val="1"/>
        <w:numPr>
          <w:ilvl w:val="1"/>
          <w:numId w:val="5"/>
        </w:numPr>
        <w:spacing w:before="0" w:beforeAutospacing="off" w:after="0" w:afterAutospacing="off" w:line="360" w:lineRule="auto"/>
        <w:ind w:left="1080" w:right="0" w:hanging="360"/>
        <w:jc w:val="left"/>
        <w:rPr>
          <w:rFonts w:ascii="Aptos" w:hAnsi="Aptos" w:eastAsia="Aptos" w:cs="Aptos"/>
          <w:b w:val="0"/>
          <w:bCs w:val="0"/>
          <w:i w:val="0"/>
          <w:iCs w:val="0"/>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Theories, Policies, and Legislation</w:t>
      </w:r>
    </w:p>
    <w:p xmlns:wp14="http://schemas.microsoft.com/office/word/2010/wordml" w:rsidP="2615EA99" wp14:paraId="544EDC87" wp14:textId="46FD42B9">
      <w:pPr>
        <w:pStyle w:val="ListParagraph"/>
        <w:numPr>
          <w:ilvl w:val="0"/>
          <w:numId w:val="6"/>
        </w:numPr>
        <w:spacing w:before="0" w:beforeAutospacing="off" w:after="0" w:afterAutospacing="off" w:line="360" w:lineRule="auto"/>
        <w:ind w:left="360" w:right="0" w:hanging="360"/>
        <w:rPr>
          <w:rFonts w:ascii="Aptos" w:hAnsi="Aptos" w:eastAsia="Aptos" w:cs="Aptos"/>
          <w:b w:val="0"/>
          <w:bCs w:val="0"/>
          <w:i w:val="0"/>
          <w:iCs w:val="0"/>
          <w:caps w:val="0"/>
          <w:smallCaps w:val="0"/>
          <w:noProof w:val="0"/>
          <w:color w:val="000000" w:themeColor="text1" w:themeTint="FF" w:themeShade="FF"/>
          <w:sz w:val="22"/>
          <w:szCs w:val="22"/>
          <w:lang w:val="en-GB"/>
        </w:rPr>
      </w:pPr>
      <w:r w:rsidRPr="2615EA99" w:rsidR="474C3ECC">
        <w:rPr>
          <w:rFonts w:ascii="Aptos" w:hAnsi="Aptos" w:eastAsia="Aptos" w:cs="Aptos"/>
          <w:b w:val="1"/>
          <w:bCs w:val="1"/>
          <w:i w:val="0"/>
          <w:iCs w:val="0"/>
          <w:caps w:val="0"/>
          <w:smallCaps w:val="0"/>
          <w:noProof w:val="0"/>
          <w:color w:val="000000" w:themeColor="text1" w:themeTint="FF" w:themeShade="FF"/>
          <w:sz w:val="22"/>
          <w:szCs w:val="22"/>
          <w:lang w:val="en-GB"/>
        </w:rPr>
        <w:t>Theoretical Framework:</w:t>
      </w:r>
    </w:p>
    <w:p xmlns:wp14="http://schemas.microsoft.com/office/word/2010/wordml" w:rsidP="2615EA99" wp14:paraId="5C9A637F" wp14:textId="4B656811">
      <w:pPr>
        <w:pStyle w:val="ListParagraph"/>
        <w:numPr>
          <w:ilvl w:val="1"/>
          <w:numId w:val="6"/>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 xml:space="preserve">Several theories explain how individuals evaluate information credibility. One wide theory is, Critical literacy theory, widely used in UK education. Emphasises the ability to question, analyse and interpret information by considering issues such as bias, perspective and power (O’Byrne, 2018). </w:t>
      </w:r>
    </w:p>
    <w:p xmlns:wp14="http://schemas.microsoft.com/office/word/2010/wordml" w:rsidP="2615EA99" wp14:paraId="0E3D90E3" wp14:textId="4E3C2467">
      <w:pPr>
        <w:pStyle w:val="ListParagraph"/>
        <w:numPr>
          <w:ilvl w:val="1"/>
          <w:numId w:val="6"/>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Critical literacy theory applies to the theme of evaluating information credibility by emphasising the importance of questioning, analysing and interpreting information rather than accepting it at face value. This relates to the research question by highlighting how limited confidence or heightened fear of judgement may hinder ability to critically evaluate social cues or information shared by peers, leading to misinterpretation intentions or overestimate threats. As a result, anxious children may struggle to distinguish between trustworthy and untrustworthy social information, which can increase misunderstandings and reinforce and reinforce social withdrawal. Developing critical literacy skills, there could support autistic children in navigating social information more effectively and forming more positive, trustworthy relationships (Birmingham, 2024)</w:t>
      </w:r>
    </w:p>
    <w:p xmlns:wp14="http://schemas.microsoft.com/office/word/2010/wordml" w:rsidP="2615EA99" wp14:paraId="5FCCA6C9" wp14:textId="76AA5C23">
      <w:pPr>
        <w:pStyle w:val="ListParagraph"/>
        <w:numPr>
          <w:ilvl w:val="0"/>
          <w:numId w:val="6"/>
        </w:numPr>
        <w:spacing w:before="0" w:beforeAutospacing="off" w:after="0" w:afterAutospacing="off" w:line="360" w:lineRule="auto"/>
        <w:ind w:left="360" w:right="0" w:hanging="360"/>
        <w:rPr>
          <w:rFonts w:ascii="Aptos" w:hAnsi="Aptos" w:eastAsia="Aptos" w:cs="Aptos"/>
          <w:b w:val="0"/>
          <w:bCs w:val="0"/>
          <w:i w:val="0"/>
          <w:iCs w:val="0"/>
          <w:caps w:val="0"/>
          <w:smallCaps w:val="0"/>
          <w:noProof w:val="0"/>
          <w:color w:val="000000" w:themeColor="text1" w:themeTint="FF" w:themeShade="FF"/>
          <w:sz w:val="22"/>
          <w:szCs w:val="22"/>
          <w:lang w:val="en-GB"/>
        </w:rPr>
      </w:pPr>
      <w:r w:rsidRPr="2615EA99" w:rsidR="474C3ECC">
        <w:rPr>
          <w:rFonts w:ascii="Aptos" w:hAnsi="Aptos" w:eastAsia="Aptos" w:cs="Aptos"/>
          <w:b w:val="1"/>
          <w:bCs w:val="1"/>
          <w:i w:val="0"/>
          <w:iCs w:val="0"/>
          <w:caps w:val="0"/>
          <w:smallCaps w:val="0"/>
          <w:noProof w:val="0"/>
          <w:color w:val="000000" w:themeColor="text1" w:themeTint="FF" w:themeShade="FF"/>
          <w:sz w:val="22"/>
          <w:szCs w:val="22"/>
          <w:lang w:val="en-GB"/>
        </w:rPr>
        <w:t>Policy and Legislation:</w:t>
      </w:r>
    </w:p>
    <w:p xmlns:wp14="http://schemas.microsoft.com/office/word/2010/wordml" w:rsidP="2615EA99" wp14:paraId="5FD3BFA0" wp14:textId="1D5926EA">
      <w:pPr>
        <w:pStyle w:val="ListParagraph"/>
        <w:numPr>
          <w:ilvl w:val="1"/>
          <w:numId w:val="6"/>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The children and families act 2014 and the education act 2002 emphasises the importance of digital literacy and critical thinking skills as part of the national curriculum, encouraging schools to teach students how to assess the reliability of information online (GOV UK, 2022)</w:t>
      </w:r>
    </w:p>
    <w:p xmlns:wp14="http://schemas.microsoft.com/office/word/2010/wordml" w:rsidP="2615EA99" wp14:paraId="150ED29E" wp14:textId="6913A52D">
      <w:pPr>
        <w:pStyle w:val="ListParagraph"/>
        <w:numPr>
          <w:ilvl w:val="1"/>
          <w:numId w:val="6"/>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The children and families act 2014 and the education act 2002 both have implications for evaluating information credibility and support children with diagnosed anxiety. The education act 2022 established statutory responsibilities for schools to promote pupils' well-being and equip them with skills such as critical thinking and digital literacy (Emerson, 2023). The children and families act 2014 strengthens this theme by emphasising support for children with special education needs or mental health difficulties including anxiety, ensuring they have access to tailored learning and guidance (Petty, 2024).</w:t>
      </w:r>
    </w:p>
    <w:p xmlns:wp14="http://schemas.microsoft.com/office/word/2010/wordml" w:rsidP="2615EA99" wp14:paraId="2271692F" wp14:textId="27B689C3">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Implications</w:t>
      </w:r>
    </w:p>
    <w:p xmlns:wp14="http://schemas.microsoft.com/office/word/2010/wordml" w:rsidP="2615EA99" wp14:paraId="5CF881FD" wp14:textId="37986CD8">
      <w:pPr>
        <w:pStyle w:val="ListParagraph"/>
        <w:numPr>
          <w:ilvl w:val="0"/>
          <w:numId w:val="7"/>
        </w:numPr>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615EA99" w:rsidR="474C3ECC">
        <w:rPr>
          <w:rFonts w:ascii="Aptos" w:hAnsi="Aptos" w:eastAsia="Aptos" w:cs="Aptos"/>
          <w:b w:val="1"/>
          <w:bCs w:val="1"/>
          <w:i w:val="0"/>
          <w:iCs w:val="0"/>
          <w:caps w:val="0"/>
          <w:smallCaps w:val="0"/>
          <w:noProof w:val="0"/>
          <w:color w:val="000000" w:themeColor="text1" w:themeTint="FF" w:themeShade="FF"/>
          <w:sz w:val="22"/>
          <w:szCs w:val="22"/>
          <w:lang w:val="en-GB"/>
        </w:rPr>
        <w:t>Positive and Negative Implications:</w:t>
      </w:r>
    </w:p>
    <w:p xmlns:wp14="http://schemas.microsoft.com/office/word/2010/wordml" w:rsidP="2615EA99" wp14:paraId="2A5B47DE" wp14:textId="71A3E35B">
      <w:pPr>
        <w:pStyle w:val="ListParagraph"/>
        <w:numPr>
          <w:ilvl w:val="1"/>
          <w:numId w:val="7"/>
        </w:num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Evaluating information credibility has important implications for understand how children with diagnosed anxiety may struggle to form social relationships. Anxious children often experience heightened fear of judgement and social rejection, which can make them more cautious or distrustful in social interactions. If they also have difficulty critically assessing the reliability of social information such as interpreting peers' intentions, online messages or social cues they misread neutral or positive interactions as negative, reinforcing avoidance and withdrawal (oliver, 2015)</w:t>
      </w:r>
    </w:p>
    <w:p xmlns:wp14="http://schemas.microsoft.com/office/word/2010/wordml" w:rsidP="2615EA99" wp14:paraId="142D6273" wp14:textId="6A9C6702">
      <w:pPr>
        <w:pStyle w:val="ListParagraph"/>
        <w:numPr>
          <w:ilvl w:val="1"/>
          <w:numId w:val="7"/>
        </w:numPr>
        <w:spacing w:before="0" w:beforeAutospacing="off" w:after="0" w:afterAutospacing="off" w:line="360" w:lineRule="auto"/>
        <w:ind w:left="144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Evaluating information credibility can have positive and negative impacts on children with anxiety. Positively, developing the skills can help autistic children navigate social interactions more confidentially, reduce misunderstandings and build safer more trustworthy relationships. The downside is excessive scrutiny or mistrust of social information may increase social avoidance, heighten anxiety and make children reluctant to engage with peers (com, 2023)</w:t>
      </w:r>
    </w:p>
    <w:p xmlns:wp14="http://schemas.microsoft.com/office/word/2010/wordml" w:rsidP="2615EA99" wp14:paraId="475904FC" wp14:textId="2BEAA7C9">
      <w:pPr>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p>
    <w:p xmlns:wp14="http://schemas.microsoft.com/office/word/2010/wordml" w:rsidP="2615EA99" wp14:paraId="1F26B6D1" wp14:textId="47302F50">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Examples from Your Articles</w:t>
      </w:r>
    </w:p>
    <w:p xmlns:wp14="http://schemas.microsoft.com/office/word/2010/wordml" w:rsidP="2615EA99" wp14:paraId="16832001" wp14:textId="349EE0B2">
      <w:pPr>
        <w:spacing w:before="0" w:beforeAutospacing="off" w:after="16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5EA99" w:rsidR="474C3E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615EA99" wp14:paraId="3704DC29" wp14:textId="6C8D0443">
      <w:pPr>
        <w:pStyle w:val="ListParagraph"/>
        <w:numPr>
          <w:ilvl w:val="0"/>
          <w:numId w:val="8"/>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How to find the papers you need to read, importance of evaluating and fact checking information and quick guides with examples, talks on how with many papers been published every day it can be a task to work out relevance on findings and how as a researcher you must evaluate information and how Boolean can help with searches promoting evaluating information credibility. The articles all agree with the same guidance to achieving relevance. This helps to answer my research question by guiding me to relevant findings. These examples from my results summary support the theme by making sure the information found is essential as it helps to determine whether sources are credible, accurate and trustworthy.</w:t>
      </w:r>
    </w:p>
    <w:p xmlns:wp14="http://schemas.microsoft.com/office/word/2010/wordml" w:rsidP="2615EA99" wp14:paraId="1536A6F2" wp14:textId="75D0BA1A">
      <w:pPr>
        <w:keepNext w:val="1"/>
        <w:keepLines w:val="1"/>
        <w:spacing w:before="40" w:beforeAutospacing="off" w:after="0" w:afterAutospacing="off" w:line="360" w:lineRule="auto"/>
        <w:jc w:val="both"/>
        <w:rPr>
          <w:rFonts w:ascii="Aptos" w:hAnsi="Aptos" w:eastAsia="Aptos" w:cs="Aptos"/>
          <w:b w:val="0"/>
          <w:bCs w:val="0"/>
          <w:i w:val="0"/>
          <w:iCs w:val="0"/>
          <w:caps w:val="0"/>
          <w:smallCaps w:val="0"/>
          <w:noProof w:val="0"/>
          <w:color w:val="0F4761" w:themeColor="accent1" w:themeTint="FF" w:themeShade="BF"/>
          <w:sz w:val="24"/>
          <w:szCs w:val="24"/>
          <w:lang w:val="en-GB"/>
        </w:rPr>
      </w:pPr>
    </w:p>
    <w:p xmlns:wp14="http://schemas.microsoft.com/office/word/2010/wordml" w:rsidP="2615EA99" wp14:paraId="7DD9DEF0" wp14:textId="1664ECA2">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Connections to Other Themes</w:t>
      </w:r>
    </w:p>
    <w:p xmlns:wp14="http://schemas.microsoft.com/office/word/2010/wordml" w:rsidP="2615EA99" wp14:paraId="403E4C1D" wp14:textId="663B5600">
      <w:pPr>
        <w:pStyle w:val="ListParagraph"/>
        <w:numPr>
          <w:ilvl w:val="0"/>
          <w:numId w:val="9"/>
        </w:numPr>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615EA99" w:rsidR="474C3ECC">
        <w:rPr>
          <w:rFonts w:ascii="Aptos" w:hAnsi="Aptos" w:eastAsia="Aptos" w:cs="Aptos"/>
          <w:b w:val="1"/>
          <w:bCs w:val="1"/>
          <w:i w:val="0"/>
          <w:iCs w:val="0"/>
          <w:caps w:val="0"/>
          <w:smallCaps w:val="0"/>
          <w:noProof w:val="0"/>
          <w:color w:val="000000" w:themeColor="text1" w:themeTint="FF" w:themeShade="FF"/>
          <w:sz w:val="22"/>
          <w:szCs w:val="22"/>
          <w:lang w:val="en-GB"/>
        </w:rPr>
        <w:t>Interconnections:</w:t>
      </w:r>
    </w:p>
    <w:p xmlns:wp14="http://schemas.microsoft.com/office/word/2010/wordml" w:rsidP="2615EA99" wp14:paraId="6D4AE594" wp14:textId="7B8E629C">
      <w:pPr>
        <w:pStyle w:val="Heading2"/>
        <w:keepNext w:val="1"/>
        <w:keepLines w:val="1"/>
        <w:spacing w:before="40" w:beforeAutospacing="off" w:after="0" w:afterAutospacing="off" w:line="360" w:lineRule="auto"/>
        <w:jc w:val="both"/>
        <w:rPr>
          <w:rFonts w:ascii="Aptos" w:hAnsi="Aptos" w:eastAsia="Aptos" w:cs="Aptos"/>
          <w:b w:val="0"/>
          <w:bCs w:val="0"/>
          <w:i w:val="0"/>
          <w:iCs w:val="0"/>
          <w:caps w:val="0"/>
          <w:smallCaps w:val="0"/>
          <w:noProof w:val="0"/>
          <w:color w:val="2F5496"/>
          <w:sz w:val="24"/>
          <w:szCs w:val="24"/>
          <w:lang w:val="en-GB"/>
        </w:rPr>
      </w:pPr>
      <w:r w:rsidRPr="2615EA99" w:rsidR="474C3ECC">
        <w:rPr>
          <w:rFonts w:ascii="Aptos" w:hAnsi="Aptos" w:eastAsia="Aptos" w:cs="Aptos"/>
          <w:b w:val="0"/>
          <w:bCs w:val="0"/>
          <w:i w:val="0"/>
          <w:iCs w:val="0"/>
          <w:caps w:val="0"/>
          <w:smallCaps w:val="0"/>
          <w:noProof w:val="0"/>
          <w:color w:val="2F5496"/>
          <w:sz w:val="24"/>
          <w:szCs w:val="24"/>
          <w:lang w:val="en-GB"/>
        </w:rPr>
        <w:t>4.4 – Theme 2 (</w:t>
      </w:r>
      <w:r w:rsidRPr="2615EA99" w:rsidR="474C3ECC">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effective research practices</w:t>
      </w:r>
      <w:r w:rsidRPr="2615EA99" w:rsidR="474C3ECC">
        <w:rPr>
          <w:rFonts w:ascii="Aptos" w:hAnsi="Aptos" w:eastAsia="Aptos" w:cs="Aptos"/>
          <w:b w:val="0"/>
          <w:bCs w:val="0"/>
          <w:i w:val="0"/>
          <w:iCs w:val="0"/>
          <w:caps w:val="0"/>
          <w:smallCaps w:val="0"/>
          <w:noProof w:val="0"/>
          <w:color w:val="2F5496"/>
          <w:sz w:val="24"/>
          <w:szCs w:val="24"/>
          <w:lang w:val="en-GB"/>
        </w:rPr>
        <w:t xml:space="preserve">) (1,150 words approx.) </w:t>
      </w:r>
    </w:p>
    <w:p xmlns:wp14="http://schemas.microsoft.com/office/word/2010/wordml" w:rsidP="2615EA99" wp14:paraId="7A3C2D20" wp14:textId="1CC82CAE">
      <w:pPr>
        <w:pStyle w:val="Heading1"/>
        <w:keepNext w:val="1"/>
        <w:keepLines w:val="1"/>
        <w:spacing w:before="0" w:beforeAutospacing="off" w:after="0" w:afterAutospacing="off" w:line="360" w:lineRule="auto"/>
        <w:ind w:left="720"/>
        <w:jc w:val="left"/>
        <w:rPr>
          <w:rFonts w:ascii="Arial" w:hAnsi="Arial" w:eastAsia="Arial" w:cs="Arial"/>
          <w:b w:val="0"/>
          <w:bCs w:val="0"/>
          <w:i w:val="0"/>
          <w:iCs w:val="0"/>
          <w:caps w:val="0"/>
          <w:smallCaps w:val="0"/>
          <w:noProof w:val="0"/>
          <w:color w:val="0F4761" w:themeColor="accent1" w:themeTint="FF" w:themeShade="BF"/>
          <w:sz w:val="22"/>
          <w:szCs w:val="22"/>
          <w:lang w:val="en-GB"/>
        </w:rPr>
      </w:pPr>
      <w:r w:rsidRPr="2615EA99" w:rsidR="474C3ECC">
        <w:rPr>
          <w:rFonts w:ascii="Arial" w:hAnsi="Arial" w:eastAsia="Arial" w:cs="Arial"/>
          <w:b w:val="1"/>
          <w:bCs w:val="1"/>
          <w:i w:val="0"/>
          <w:iCs w:val="0"/>
          <w:caps w:val="0"/>
          <w:smallCaps w:val="0"/>
          <w:noProof w:val="0"/>
          <w:color w:val="0F4761" w:themeColor="accent1" w:themeTint="FF" w:themeShade="BF"/>
          <w:sz w:val="22"/>
          <w:szCs w:val="22"/>
          <w:lang w:val="en-GB"/>
        </w:rPr>
        <w:t xml:space="preserve"> </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The theme of evaluating information credibility closely intersects with other themes in this dissertation such as social cognition, peer interaction and emotional regulation. Together they highlight that social difficulties in anxious children are not isolated but emerge from interconnected cognitive, emotional and informational process</w:t>
      </w:r>
      <w:r w:rsidRPr="2615EA99" w:rsidR="474C3ECC">
        <w:rPr>
          <w:rFonts w:ascii="Arial" w:hAnsi="Arial" w:eastAsia="Arial" w:cs="Arial"/>
          <w:b w:val="0"/>
          <w:bCs w:val="0"/>
          <w:i w:val="0"/>
          <w:iCs w:val="0"/>
          <w:caps w:val="0"/>
          <w:smallCaps w:val="0"/>
          <w:noProof w:val="0"/>
          <w:color w:val="0F4761" w:themeColor="accent1" w:themeTint="FF" w:themeShade="BF"/>
          <w:sz w:val="22"/>
          <w:szCs w:val="22"/>
          <w:lang w:val="en-GB"/>
        </w:rPr>
        <w:t xml:space="preserve"> (Pearcey et al., 2020).</w:t>
      </w:r>
    </w:p>
    <w:p xmlns:wp14="http://schemas.microsoft.com/office/word/2010/wordml" w:rsidP="2615EA99" wp14:paraId="217E7633" wp14:textId="4D9DDFE7">
      <w:pPr>
        <w:keepNext w:val="1"/>
        <w:keepLines w:val="1"/>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15EA99" wp14:paraId="25B88E81" wp14:textId="3DB27962">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 xml:space="preserve">Definition </w:t>
      </w:r>
    </w:p>
    <w:p xmlns:wp14="http://schemas.microsoft.com/office/word/2010/wordml" w:rsidP="2615EA99" wp14:paraId="60C8ADAC" wp14:textId="3F9257C7">
      <w:pPr>
        <w:pStyle w:val="ListParagraph"/>
        <w:numPr>
          <w:ilvl w:val="0"/>
          <w:numId w:val="2"/>
        </w:numPr>
        <w:spacing w:before="0" w:beforeAutospacing="off" w:after="0" w:afterAutospacing="off" w:line="360" w:lineRule="auto"/>
        <w:ind w:left="360" w:right="0" w:hanging="36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615EA99" w:rsidR="474C3ECC">
        <w:rPr>
          <w:rFonts w:ascii="Aptos" w:hAnsi="Aptos" w:eastAsia="Aptos" w:cs="Aptos"/>
          <w:b w:val="1"/>
          <w:bCs w:val="1"/>
          <w:i w:val="0"/>
          <w:iCs w:val="0"/>
          <w:caps w:val="0"/>
          <w:smallCaps w:val="0"/>
          <w:noProof w:val="0"/>
          <w:color w:val="000000" w:themeColor="text1" w:themeTint="FF" w:themeShade="FF"/>
          <w:sz w:val="24"/>
          <w:szCs w:val="24"/>
          <w:lang w:val="en-GB"/>
        </w:rPr>
        <w:t>Definition:</w:t>
      </w:r>
    </w:p>
    <w:p xmlns:wp14="http://schemas.microsoft.com/office/word/2010/wordml" w:rsidP="2615EA99" wp14:paraId="31B16E70" wp14:textId="38B6C23E">
      <w:pPr>
        <w:spacing w:before="0" w:beforeAutospacing="off" w:after="0" w:afterAutospacing="off" w:line="360" w:lineRule="auto"/>
        <w:ind w:left="36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Effective research practices are systematic methods for gathering, evaluating and using information in a reliable and ethical way. They include clearly defining research questions, using credible sources, applying rigorous data collection methods and analysing findings objectively. Key terms include methodology, data validity, peer review and bias (UKRIO, 2025)</w:t>
      </w:r>
    </w:p>
    <w:p xmlns:wp14="http://schemas.microsoft.com/office/word/2010/wordml" w:rsidP="2615EA99" wp14:paraId="6DF65287" wp14:textId="713A3015">
      <w:pPr>
        <w:spacing w:before="0" w:beforeAutospacing="off" w:after="0" w:afterAutospacing="off" w:line="360" w:lineRule="auto"/>
        <w:ind w:left="360" w:right="0" w:hanging="36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615EA99" wp14:paraId="2DAB9DBF" wp14:textId="25600FCF">
      <w:pPr>
        <w:spacing w:before="0" w:beforeAutospacing="off" w:after="0" w:afterAutospacing="off" w:line="360" w:lineRule="auto"/>
        <w:ind w:left="360" w:right="0" w:hanging="36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615EA99" wp14:paraId="45706EF9" wp14:textId="460C52A0">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Background Information</w:t>
      </w:r>
    </w:p>
    <w:p xmlns:wp14="http://schemas.microsoft.com/office/word/2010/wordml" w:rsidP="2615EA99" wp14:paraId="0F7902EB" wp14:textId="7E15C91E">
      <w:pPr>
        <w:pStyle w:val="ListParagraph"/>
        <w:numPr>
          <w:ilvl w:val="0"/>
          <w:numId w:val="3"/>
        </w:numPr>
        <w:spacing w:before="0" w:beforeAutospacing="off" w:after="0" w:afterAutospacing="off" w:line="360" w:lineRule="auto"/>
        <w:ind w:left="360" w:right="0" w:hanging="36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615EA99" w:rsidR="474C3ECC">
        <w:rPr>
          <w:rFonts w:ascii="Aptos" w:hAnsi="Aptos" w:eastAsia="Aptos" w:cs="Aptos"/>
          <w:b w:val="1"/>
          <w:bCs w:val="1"/>
          <w:i w:val="0"/>
          <w:iCs w:val="0"/>
          <w:caps w:val="0"/>
          <w:smallCaps w:val="0"/>
          <w:noProof w:val="0"/>
          <w:color w:val="000000" w:themeColor="text1" w:themeTint="FF" w:themeShade="FF"/>
          <w:sz w:val="24"/>
          <w:szCs w:val="24"/>
          <w:lang w:val="en-GB"/>
        </w:rPr>
        <w:t>Historical/Contextual Background:</w:t>
      </w:r>
    </w:p>
    <w:p xmlns:wp14="http://schemas.microsoft.com/office/word/2010/wordml" w:rsidP="2615EA99" wp14:paraId="7991F7C2" wp14:textId="72962E20">
      <w:p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Effective research practices have evolved over centuries, beginning with early scientific pioneers who emphasized observation, evidence and reproducibility. The formalization of the scientific method in the 17</w:t>
      </w:r>
      <w:r w:rsidRPr="2615EA99" w:rsidR="474C3EC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 xml:space="preserve"> century laid the groundwork for structured inquiry, while the 20</w:t>
      </w:r>
      <w:r w:rsidRPr="2615EA99" w:rsidR="474C3EC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 xml:space="preserve"> century introduced ethical frameworks such as the Nuremberg code and later research integrity standards to prevent misuse of data and protect participants. In recent decades, the rise of digital technologies, open science, and peer review reforms has strengthened transparency and accountability, shaping the modern principles of rigorous, ethical and verifiable research (Stewart, 2024).</w:t>
      </w:r>
    </w:p>
    <w:p xmlns:wp14="http://schemas.microsoft.com/office/word/2010/wordml" w:rsidP="2615EA99" wp14:paraId="6CA28594" wp14:textId="3DE2D75D">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Impact on Research Question</w:t>
      </w:r>
    </w:p>
    <w:p xmlns:wp14="http://schemas.microsoft.com/office/word/2010/wordml" w:rsidP="2615EA99" wp14:paraId="3877F748" wp14:textId="764FAB2B">
      <w:pPr>
        <w:pStyle w:val="ListParagraph"/>
        <w:numPr>
          <w:ilvl w:val="0"/>
          <w:numId w:val="4"/>
        </w:numPr>
        <w:spacing w:before="0" w:beforeAutospacing="off" w:after="0" w:afterAutospacing="off" w:line="360" w:lineRule="auto"/>
        <w:ind w:left="360" w:right="0" w:hanging="36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615EA99" w:rsidR="474C3ECC">
        <w:rPr>
          <w:rFonts w:ascii="Aptos" w:hAnsi="Aptos" w:eastAsia="Aptos" w:cs="Aptos"/>
          <w:b w:val="1"/>
          <w:bCs w:val="1"/>
          <w:i w:val="0"/>
          <w:iCs w:val="0"/>
          <w:caps w:val="0"/>
          <w:smallCaps w:val="0"/>
          <w:noProof w:val="0"/>
          <w:color w:val="000000" w:themeColor="text1" w:themeTint="FF" w:themeShade="FF"/>
          <w:sz w:val="24"/>
          <w:szCs w:val="24"/>
          <w:lang w:val="en-GB"/>
        </w:rPr>
        <w:t>Relevance to Title/Research Question:</w:t>
      </w:r>
    </w:p>
    <w:p xmlns:wp14="http://schemas.microsoft.com/office/word/2010/wordml" w:rsidP="2615EA99" wp14:paraId="69F5C187" wp14:textId="159EF676">
      <w:p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Effective research practices directly shape how reliably we can understand whether children with diagnosed anxiety struggle to form social relationships. Clear research questions, valid measures of anxiety and social functioning, and the use of unbiased, ethically gathered data to ensure that findings truly reflect children's experiences rather than assumptions or methodological flaws. This theme is significant because poor research design could misinterpret the challenges these children face, while rigorous methods allow practitioners, educators and families to base support strategies based on evidence that is accurate, ethical and meaningful (Kovshoff, 2019).</w:t>
      </w:r>
    </w:p>
    <w:p xmlns:wp14="http://schemas.microsoft.com/office/word/2010/wordml" w:rsidP="2615EA99" wp14:paraId="39E25D56" wp14:textId="7ED86D9E">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Statistical Information</w:t>
      </w:r>
    </w:p>
    <w:p xmlns:wp14="http://schemas.microsoft.com/office/word/2010/wordml" w:rsidP="2615EA99" wp14:paraId="514F9252" wp14:textId="759A3EB4">
      <w:pPr>
        <w:pStyle w:val="ListParagraph"/>
        <w:numPr>
          <w:ilvl w:val="0"/>
          <w:numId w:val="5"/>
        </w:numPr>
        <w:spacing w:before="0" w:beforeAutospacing="off" w:after="0" w:afterAutospacing="off" w:line="360" w:lineRule="auto"/>
        <w:ind w:left="360" w:right="0" w:hanging="36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615EA99" w:rsidR="474C3ECC">
        <w:rPr>
          <w:rFonts w:ascii="Aptos" w:hAnsi="Aptos" w:eastAsia="Aptos" w:cs="Aptos"/>
          <w:b w:val="1"/>
          <w:bCs w:val="1"/>
          <w:i w:val="0"/>
          <w:iCs w:val="0"/>
          <w:caps w:val="0"/>
          <w:smallCaps w:val="0"/>
          <w:noProof w:val="0"/>
          <w:color w:val="000000" w:themeColor="text1" w:themeTint="FF" w:themeShade="FF"/>
          <w:sz w:val="24"/>
          <w:szCs w:val="24"/>
          <w:lang w:val="en-GB"/>
        </w:rPr>
        <w:t>Data and Statistics:</w:t>
      </w:r>
    </w:p>
    <w:p xmlns:wp14="http://schemas.microsoft.com/office/word/2010/wordml" w:rsidP="2615EA99" wp14:paraId="43829726" wp14:textId="53689617">
      <w:pPr>
        <w:pStyle w:val="ListParagraph"/>
        <w:numPr>
          <w:ilvl w:val="1"/>
          <w:numId w:val="5"/>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In England about 20.3% of children aged 8 to 16 were estimated to have a probable mental disorder in 2023 according to NHS data (NHS Digital, 2023). Among those young people identified, a disproportionately large share face financial and social barriers, over 26% of children with a probable disorder had a parent who couldn't afford out of school activities (NHS England, 2023). At the same time the NHS referrals to child and adolescent mental health services (CAMHS) for anxiety have more than doubled since before the Covid-19 pandemic: in 2023-24 there were over204,000 referral's for under 17s where anxiety was the prime reason (Gregory, 2024)</w:t>
      </w:r>
    </w:p>
    <w:p xmlns:wp14="http://schemas.microsoft.com/office/word/2010/wordml" w:rsidP="2615EA99" wp14:paraId="2C94139A" wp14:textId="4C596FB5">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Theories, Policies, and Legislation</w:t>
      </w:r>
    </w:p>
    <w:p xmlns:wp14="http://schemas.microsoft.com/office/word/2010/wordml" w:rsidP="2615EA99" wp14:paraId="5ACF9A56" wp14:textId="583A6996">
      <w:pPr>
        <w:pStyle w:val="ListParagraph"/>
        <w:numPr>
          <w:ilvl w:val="0"/>
          <w:numId w:val="6"/>
        </w:numPr>
        <w:spacing w:before="0" w:beforeAutospacing="off" w:after="0" w:afterAutospacing="off" w:line="360" w:lineRule="auto"/>
        <w:ind w:left="360" w:right="0" w:hanging="360"/>
        <w:rPr>
          <w:rFonts w:ascii="Aptos" w:hAnsi="Aptos" w:eastAsia="Aptos" w:cs="Aptos"/>
          <w:b w:val="0"/>
          <w:bCs w:val="0"/>
          <w:i w:val="0"/>
          <w:iCs w:val="0"/>
          <w:caps w:val="0"/>
          <w:smallCaps w:val="0"/>
          <w:noProof w:val="0"/>
          <w:color w:val="000000" w:themeColor="text1" w:themeTint="FF" w:themeShade="FF"/>
          <w:sz w:val="22"/>
          <w:szCs w:val="22"/>
          <w:lang w:val="en-GB"/>
        </w:rPr>
      </w:pPr>
      <w:r w:rsidRPr="2615EA99" w:rsidR="474C3ECC">
        <w:rPr>
          <w:rFonts w:ascii="Aptos" w:hAnsi="Aptos" w:eastAsia="Aptos" w:cs="Aptos"/>
          <w:b w:val="1"/>
          <w:bCs w:val="1"/>
          <w:i w:val="0"/>
          <w:iCs w:val="0"/>
          <w:caps w:val="0"/>
          <w:smallCaps w:val="0"/>
          <w:noProof w:val="0"/>
          <w:color w:val="000000" w:themeColor="text1" w:themeTint="FF" w:themeShade="FF"/>
          <w:sz w:val="22"/>
          <w:szCs w:val="22"/>
          <w:lang w:val="en-GB"/>
        </w:rPr>
        <w:t>Theoretical Framework:</w:t>
      </w:r>
    </w:p>
    <w:p xmlns:wp14="http://schemas.microsoft.com/office/word/2010/wordml" w:rsidP="2615EA99" wp14:paraId="05A7144E" wp14:textId="272248CC">
      <w:pPr>
        <w:spacing w:before="0" w:beforeAutospacing="off" w:after="0" w:afterAutospacing="off" w:line="360" w:lineRule="auto"/>
        <w:ind w:left="720" w:right="0" w:hanging="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Several key theories help explain why children with diagnosed anxiety may struggle to form social relationships. Cognitive behavioural theory highlights how anxious children often interpret social situations negatively, leading to avoidance, attachment theory suggests that insecure early relationships can make late peer connections more difficult and social learning theory proposes that limited exposure to positive social experiences can reduce social confidence and skills. Together these theories show how anxiety can hinder social relationship building and they demonstrate the importance of effective research practices to accurately measure thoughts, behaviours and social experiences so conclusions are reliable and not based on assumptions (Leigh, 2024).</w:t>
      </w:r>
    </w:p>
    <w:p xmlns:wp14="http://schemas.microsoft.com/office/word/2010/wordml" w:rsidP="2615EA99" wp14:paraId="0D85E581" wp14:textId="7AC4567C">
      <w:pPr>
        <w:pStyle w:val="ListParagraph"/>
        <w:numPr>
          <w:ilvl w:val="0"/>
          <w:numId w:val="6"/>
        </w:numPr>
        <w:spacing w:before="0" w:beforeAutospacing="off" w:after="0" w:afterAutospacing="off" w:line="360" w:lineRule="auto"/>
        <w:ind w:left="360" w:right="0" w:hanging="360"/>
        <w:rPr>
          <w:rFonts w:ascii="Aptos" w:hAnsi="Aptos" w:eastAsia="Aptos" w:cs="Aptos"/>
          <w:b w:val="0"/>
          <w:bCs w:val="0"/>
          <w:i w:val="0"/>
          <w:iCs w:val="0"/>
          <w:caps w:val="0"/>
          <w:smallCaps w:val="0"/>
          <w:noProof w:val="0"/>
          <w:color w:val="000000" w:themeColor="text1" w:themeTint="FF" w:themeShade="FF"/>
          <w:sz w:val="22"/>
          <w:szCs w:val="22"/>
          <w:lang w:val="en-GB"/>
        </w:rPr>
      </w:pPr>
      <w:r w:rsidRPr="2615EA99" w:rsidR="474C3ECC">
        <w:rPr>
          <w:rFonts w:ascii="Aptos" w:hAnsi="Aptos" w:eastAsia="Aptos" w:cs="Aptos"/>
          <w:b w:val="1"/>
          <w:bCs w:val="1"/>
          <w:i w:val="0"/>
          <w:iCs w:val="0"/>
          <w:caps w:val="0"/>
          <w:smallCaps w:val="0"/>
          <w:noProof w:val="0"/>
          <w:color w:val="000000" w:themeColor="text1" w:themeTint="FF" w:themeShade="FF"/>
          <w:sz w:val="22"/>
          <w:szCs w:val="22"/>
          <w:lang w:val="en-GB"/>
        </w:rPr>
        <w:t>Policy and Legislation:</w:t>
      </w:r>
    </w:p>
    <w:p xmlns:wp14="http://schemas.microsoft.com/office/word/2010/wordml" w:rsidP="2615EA99" wp14:paraId="46EE3B08" wp14:textId="0DA4DE2B">
      <w:pPr>
        <w:pStyle w:val="ListParagraph"/>
        <w:numPr>
          <w:ilvl w:val="1"/>
          <w:numId w:val="6"/>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The concordat to support research integrity (revised 2019, refreshed 2025) is national framework that sets out five core commitments (such as ensuring rigour and integrity, embedding a strong research culture, and handling misconduct) that researchers, institutions, and funders must follow. By aligning with the concordat, organisations reinforce good governance, transparency, ethical standards, and mutual accountability, which are essential for maintaining trust in UK research. The concordat promotes rigorous methods, ethical governance, transparency, and careful handling of sensitive data- all crucial when working with children, where safeguarding, informed consent and trustworthy reporting are essential. This reduces the risk of bias or harm and improves the quality of evidence about children's emotional wellbeing and social development. (GOVUK 2023). UKRI open access policy, from 1 April 2022, UK research and innovation (UKRI) requires that peer- reviewed research articles funded by UKRI must be made immediately open access under a creative commons licence, and from 1 January 2024 this requirement extends to monographs, book chapters and edited collections. This policy promotes transparency, broad dissemination, and reproducibility of publicly funded research, ensuring that the outputs of UKRI-funded work are accessible to other researchers and the public. The UKRI open access policy ensures that findings on children's anxiety, family dynamics, and peer relationships are freely available to practitioners, educators, clinicians and policy makers which accelerate the translation of research into real world support (UK, 2020).</w:t>
      </w:r>
    </w:p>
    <w:p xmlns:wp14="http://schemas.microsoft.com/office/word/2010/wordml" w:rsidP="2615EA99" wp14:paraId="3614F72C" wp14:textId="1798B4EE">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Implications</w:t>
      </w:r>
    </w:p>
    <w:p xmlns:wp14="http://schemas.microsoft.com/office/word/2010/wordml" w:rsidP="2615EA99" wp14:paraId="0883C46C" wp14:textId="6507223B">
      <w:pPr>
        <w:pStyle w:val="ListParagraph"/>
        <w:numPr>
          <w:ilvl w:val="0"/>
          <w:numId w:val="15"/>
        </w:numPr>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615EA99" w:rsidR="474C3ECC">
        <w:rPr>
          <w:rFonts w:ascii="Aptos" w:hAnsi="Aptos" w:eastAsia="Aptos" w:cs="Aptos"/>
          <w:b w:val="1"/>
          <w:bCs w:val="1"/>
          <w:i w:val="0"/>
          <w:iCs w:val="0"/>
          <w:caps w:val="0"/>
          <w:smallCaps w:val="0"/>
          <w:noProof w:val="0"/>
          <w:color w:val="000000" w:themeColor="text1" w:themeTint="FF" w:themeShade="FF"/>
          <w:sz w:val="22"/>
          <w:szCs w:val="22"/>
          <w:lang w:val="en-GB"/>
        </w:rPr>
        <w:t>Positive and Negative Implications:</w:t>
      </w:r>
    </w:p>
    <w:p xmlns:wp14="http://schemas.microsoft.com/office/word/2010/wordml" w:rsidP="2615EA99" wp14:paraId="1451F18A" wp14:textId="65AE7B0A">
      <w:pPr>
        <w:pStyle w:val="ListParagraph"/>
        <w:numPr>
          <w:ilvl w:val="1"/>
          <w:numId w:val="15"/>
        </w:num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Effective research practice in the UK over the last 10 years has improved the quality of evidence on whether children with diagnosed anxiety struggle to form social relationships by ensuring that studies are ethically sound, methodologically rigorous, and transparently reported. Stronger ethical frameworks and data protection standards mean researchers must use clearer consent processes, protect children's wellbeing and use validated measures of anxiety and social functioning. Policies promoting research integrity and open access also encourage better study design, replication and public sharing's of findings. As a result, recent UK research is more reliable in showing how anxiety can influence children's confidence, peer interactions, and relationship-building, helping schools, clinicians and families develop more effective support strategies grounded in trustworthy evidence (Hudson, 2020).Effective research brings both positive and negative impacts when studying whether children with diagnosed struggle to form social relationships. On the positive side stronger ethical standards, validated measures, and transparent reporting mean research is more trustworthy, protects children's wellbeing and produces clearer evidence that can guide support in schools and clinical settings. Open access requirements also help practitioners access findings quickly, improving early identification and interventions. However strict data protections rules and ethical processes can also slow down studies, limit access to sensitive data, or reduce sample sizes, making it harder to capture the full complexity of children's social experiences. Additionally, highly controlled research settings may not always reflect children's real life social environments. Together these factors create a balanced picture, effective research practice improves quality and safety but can also introduce practice constraints that shape when we can learn about anxious children's relationships (Chico, 2018).</w:t>
      </w:r>
    </w:p>
    <w:p xmlns:wp14="http://schemas.microsoft.com/office/word/2010/wordml" w:rsidP="2615EA99" wp14:paraId="2F32573C" wp14:textId="13FBC784">
      <w:pPr>
        <w:spacing w:before="0" w:beforeAutospacing="off" w:after="0" w:afterAutospacing="off" w:line="360" w:lineRule="auto"/>
        <w:ind w:left="720"/>
        <w:jc w:val="left"/>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645BFCC6" wp14:textId="0CA9DBE2">
      <w:pPr>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p>
    <w:p xmlns:wp14="http://schemas.microsoft.com/office/word/2010/wordml" w:rsidP="2615EA99" wp14:paraId="3F55022D" wp14:textId="6E59F191">
      <w:pPr>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p>
    <w:p xmlns:wp14="http://schemas.microsoft.com/office/word/2010/wordml" w:rsidP="2615EA99" wp14:paraId="12060744" wp14:textId="1EAE4A5C">
      <w:pPr>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p>
    <w:p xmlns:wp14="http://schemas.microsoft.com/office/word/2010/wordml" w:rsidP="2615EA99" wp14:paraId="543ECA32" wp14:textId="45480989">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Examples from Your Articles</w:t>
      </w:r>
    </w:p>
    <w:p xmlns:wp14="http://schemas.microsoft.com/office/word/2010/wordml" w:rsidP="2615EA99" wp14:paraId="19BABC26" wp14:textId="350193B1">
      <w:pPr>
        <w:pStyle w:val="ListParagraph"/>
        <w:numPr>
          <w:ilvl w:val="0"/>
          <w:numId w:val="8"/>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How to find the papers you need to read, importance of evaluating and fact checking information and quick guides with examples, talks on how with many papers been published every day it can be a task to work out relevance on findings and how as a researcher you must evaluate information and how Boolean can help with searches promoting evaluating information credibility. The articles all agree with the same guidance to achieving relevance. This helps to answer my research question by guiding me to relevant findings. These examples from my results summary support the theme by making sure the information found is essential as it helps to determine whether sources are credible, accurate and trustworthy. These examples relate to theme of effective research practice by ensuring that the sources are credible, accurate and appropriate for strong, evidence-based conclusions.</w:t>
      </w:r>
    </w:p>
    <w:p xmlns:wp14="http://schemas.microsoft.com/office/word/2010/wordml" w:rsidP="2615EA99" wp14:paraId="16B14F0C" wp14:textId="35BFB721">
      <w:pPr>
        <w:keepNext w:val="1"/>
        <w:keepLines w:val="1"/>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15EA99" wp14:paraId="3B725C44" wp14:textId="7746E037">
      <w:pPr>
        <w:spacing w:before="0" w:beforeAutospacing="off" w:after="16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5EA99" w:rsidR="474C3E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615EA99" wp14:paraId="48DAD970" wp14:textId="3471C001">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Connections to Other Themes</w:t>
      </w:r>
    </w:p>
    <w:p xmlns:wp14="http://schemas.microsoft.com/office/word/2010/wordml" w:rsidP="2615EA99" wp14:paraId="7DFCD063" wp14:textId="41FAF6F8">
      <w:pPr>
        <w:pStyle w:val="ListParagraph"/>
        <w:numPr>
          <w:ilvl w:val="0"/>
          <w:numId w:val="17"/>
        </w:numPr>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615EA99" w:rsidR="474C3ECC">
        <w:rPr>
          <w:rFonts w:ascii="Aptos" w:hAnsi="Aptos" w:eastAsia="Aptos" w:cs="Aptos"/>
          <w:b w:val="1"/>
          <w:bCs w:val="1"/>
          <w:i w:val="0"/>
          <w:iCs w:val="0"/>
          <w:caps w:val="0"/>
          <w:smallCaps w:val="0"/>
          <w:noProof w:val="0"/>
          <w:color w:val="000000" w:themeColor="text1" w:themeTint="FF" w:themeShade="FF"/>
          <w:sz w:val="22"/>
          <w:szCs w:val="22"/>
          <w:lang w:val="en-GB"/>
        </w:rPr>
        <w:t>Interconnections:</w:t>
      </w:r>
    </w:p>
    <w:p xmlns:wp14="http://schemas.microsoft.com/office/word/2010/wordml" w:rsidP="2615EA99" wp14:paraId="36E8FF2F" wp14:textId="0F527794">
      <w:pPr>
        <w:pStyle w:val="ListParagraph"/>
        <w:numPr>
          <w:ilvl w:val="1"/>
          <w:numId w:val="17"/>
        </w:num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The theme connects closely with other themes that are essential when studying whether children with anxiety struggle to form social relationships. It links to child's development, which provides concepts such as social competence, peer attachment, and emotional regulation, helping to understand how anxiety affects behaviour. It also connects with mental health and wellbeing. A further connection is ethics and safeguarding which involves terms such as informed consent, assent, vulnerability, and data confidentiality, all crucial when research children. Also, research methodology relates including terms like validity, reliability, sampling and longitudinal design, ensuring the findings are trustworthy (Happé, 2018).</w:t>
      </w:r>
    </w:p>
    <w:p xmlns:wp14="http://schemas.microsoft.com/office/word/2010/wordml" w:rsidP="2615EA99" wp14:paraId="1FE71397" wp14:textId="764B1998">
      <w:pPr>
        <w:spacing w:before="0" w:beforeAutospacing="off" w:after="0" w:afterAutospacing="off" w:line="360" w:lineRule="auto"/>
        <w:ind w:left="1440"/>
        <w:jc w:val="left"/>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615EA99" wp14:paraId="5004E3A4" wp14:textId="23B7D741">
      <w:pPr>
        <w:pStyle w:val="Heading2"/>
        <w:keepNext w:val="1"/>
        <w:keepLines w:val="1"/>
        <w:spacing w:before="40" w:beforeAutospacing="off" w:after="0" w:afterAutospacing="off" w:line="360" w:lineRule="auto"/>
        <w:jc w:val="both"/>
        <w:rPr>
          <w:rFonts w:ascii="Aptos" w:hAnsi="Aptos" w:eastAsia="Aptos" w:cs="Aptos"/>
          <w:b w:val="0"/>
          <w:bCs w:val="0"/>
          <w:i w:val="0"/>
          <w:iCs w:val="0"/>
          <w:caps w:val="0"/>
          <w:smallCaps w:val="0"/>
          <w:noProof w:val="0"/>
          <w:color w:val="2F5496"/>
          <w:sz w:val="24"/>
          <w:szCs w:val="24"/>
          <w:lang w:val="en-GB"/>
        </w:rPr>
      </w:pPr>
      <w:r w:rsidRPr="2615EA99" w:rsidR="474C3ECC">
        <w:rPr>
          <w:rFonts w:ascii="Aptos" w:hAnsi="Aptos" w:eastAsia="Aptos" w:cs="Aptos"/>
          <w:b w:val="0"/>
          <w:bCs w:val="0"/>
          <w:i w:val="0"/>
          <w:iCs w:val="0"/>
          <w:caps w:val="0"/>
          <w:smallCaps w:val="0"/>
          <w:noProof w:val="0"/>
          <w:color w:val="2F5496"/>
          <w:sz w:val="24"/>
          <w:szCs w:val="24"/>
          <w:lang w:val="en-GB"/>
        </w:rPr>
        <w:t>4.5 – Theme 3 (</w:t>
      </w:r>
      <w:r w:rsidRPr="2615EA99" w:rsidR="474C3E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social avoidance and withdrawal</w:t>
      </w:r>
      <w:r w:rsidRPr="2615EA99" w:rsidR="474C3ECC">
        <w:rPr>
          <w:rFonts w:ascii="Aptos" w:hAnsi="Aptos" w:eastAsia="Aptos" w:cs="Aptos"/>
          <w:b w:val="0"/>
          <w:bCs w:val="0"/>
          <w:i w:val="0"/>
          <w:iCs w:val="0"/>
          <w:caps w:val="0"/>
          <w:smallCaps w:val="0"/>
          <w:noProof w:val="0"/>
          <w:color w:val="2F5496"/>
          <w:sz w:val="24"/>
          <w:szCs w:val="24"/>
          <w:lang w:val="en-GB"/>
        </w:rPr>
        <w:t xml:space="preserve">) (1,150 words approx.) </w:t>
      </w:r>
    </w:p>
    <w:p xmlns:wp14="http://schemas.microsoft.com/office/word/2010/wordml" w:rsidP="2615EA99" wp14:paraId="6D642BCA" wp14:textId="07D33E2A">
      <w:pPr>
        <w:pStyle w:val="Heading1"/>
        <w:keepNext w:val="1"/>
        <w:keepLines w:val="1"/>
        <w:spacing w:before="0" w:beforeAutospacing="off" w:after="0" w:afterAutospacing="off"/>
        <w:ind w:left="220" w:right="0"/>
        <w:rPr>
          <w:rFonts w:ascii="Aptos" w:hAnsi="Aptos" w:eastAsia="Aptos" w:cs="Aptos"/>
          <w:b w:val="0"/>
          <w:bCs w:val="0"/>
          <w:i w:val="0"/>
          <w:iCs w:val="0"/>
          <w:caps w:val="0"/>
          <w:smallCaps w:val="0"/>
          <w:noProof w:val="0"/>
          <w:color w:val="0F4761" w:themeColor="accent1" w:themeTint="FF" w:themeShade="BF"/>
          <w:sz w:val="28"/>
          <w:szCs w:val="28"/>
          <w:lang w:val="en-GB"/>
        </w:rPr>
      </w:pPr>
      <w:r w:rsidRPr="2615EA99" w:rsidR="474C3ECC">
        <w:rPr>
          <w:rFonts w:ascii="Aptos" w:hAnsi="Aptos" w:eastAsia="Aptos" w:cs="Aptos"/>
          <w:b w:val="1"/>
          <w:bCs w:val="1"/>
          <w:i w:val="0"/>
          <w:iCs w:val="0"/>
          <w:caps w:val="0"/>
          <w:smallCaps w:val="0"/>
          <w:noProof w:val="0"/>
          <w:color w:val="0F4761" w:themeColor="accent1" w:themeTint="FF" w:themeShade="BF"/>
          <w:sz w:val="28"/>
          <w:szCs w:val="28"/>
          <w:lang w:val="en-GB"/>
        </w:rPr>
        <w:t xml:space="preserve"> </w:t>
      </w:r>
    </w:p>
    <w:p xmlns:wp14="http://schemas.microsoft.com/office/word/2010/wordml" w:rsidP="2615EA99" wp14:paraId="5C340605" wp14:textId="43B9AFB2">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 xml:space="preserve">Definition </w:t>
      </w:r>
    </w:p>
    <w:p xmlns:wp14="http://schemas.microsoft.com/office/word/2010/wordml" w:rsidP="2615EA99" wp14:paraId="6D5F3C38" wp14:textId="1AD882BB">
      <w:pPr>
        <w:pStyle w:val="ListParagraph"/>
        <w:numPr>
          <w:ilvl w:val="0"/>
          <w:numId w:val="2"/>
        </w:numPr>
        <w:spacing w:before="0" w:beforeAutospacing="off" w:after="0" w:afterAutospacing="off" w:line="360" w:lineRule="auto"/>
        <w:ind w:left="360" w:right="0" w:hanging="36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615EA99" w:rsidR="474C3ECC">
        <w:rPr>
          <w:rFonts w:ascii="Aptos" w:hAnsi="Aptos" w:eastAsia="Aptos" w:cs="Aptos"/>
          <w:b w:val="1"/>
          <w:bCs w:val="1"/>
          <w:i w:val="0"/>
          <w:iCs w:val="0"/>
          <w:caps w:val="0"/>
          <w:smallCaps w:val="0"/>
          <w:noProof w:val="0"/>
          <w:color w:val="000000" w:themeColor="text1" w:themeTint="FF" w:themeShade="FF"/>
          <w:sz w:val="24"/>
          <w:szCs w:val="24"/>
          <w:lang w:val="en-GB"/>
        </w:rPr>
        <w:t>Definition:</w:t>
      </w:r>
    </w:p>
    <w:p xmlns:wp14="http://schemas.microsoft.com/office/word/2010/wordml" w:rsidP="2615EA99" wp14:paraId="63B261FC" wp14:textId="518A0301">
      <w:p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Social avoidance and withdrawal are defined as a pattern of deliberately avoiding social interactions or retreating from social situations often due to fear, anxiety or confidence in settings. In children, this may manifest as reluctance to join peers, minimal eye contact, or preference for solitary activities. Specific terminology related to the theme includes social inhibition, peer isolation, shyness, social anxiety, avoidant behaviour, reticence and emotional withdrawal. These terms help researchers distinguish between typical cautious behaviour and clinically significant patterns that may impact social development and mental health (Ooi, 2021).</w:t>
      </w:r>
    </w:p>
    <w:p xmlns:wp14="http://schemas.microsoft.com/office/word/2010/wordml" w:rsidP="2615EA99" wp14:paraId="684130C3" wp14:textId="29B0FD41">
      <w:pPr>
        <w:spacing w:before="0" w:beforeAutospacing="off" w:after="0" w:afterAutospacing="off" w:line="360" w:lineRule="auto"/>
        <w:ind w:left="1080" w:right="0" w:hanging="36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615EA99" wp14:paraId="49361DE4" wp14:textId="3F77E437">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Background Information</w:t>
      </w:r>
    </w:p>
    <w:p xmlns:wp14="http://schemas.microsoft.com/office/word/2010/wordml" w:rsidP="2615EA99" wp14:paraId="6B785725" wp14:textId="69787905">
      <w:pPr>
        <w:pStyle w:val="ListParagraph"/>
        <w:numPr>
          <w:ilvl w:val="0"/>
          <w:numId w:val="3"/>
        </w:numPr>
        <w:spacing w:before="0" w:beforeAutospacing="off" w:after="0" w:afterAutospacing="off" w:line="360" w:lineRule="auto"/>
        <w:ind w:left="360" w:right="0" w:hanging="36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615EA99" w:rsidR="474C3ECC">
        <w:rPr>
          <w:rFonts w:ascii="Aptos" w:hAnsi="Aptos" w:eastAsia="Aptos" w:cs="Aptos"/>
          <w:b w:val="1"/>
          <w:bCs w:val="1"/>
          <w:i w:val="0"/>
          <w:iCs w:val="0"/>
          <w:caps w:val="0"/>
          <w:smallCaps w:val="0"/>
          <w:noProof w:val="0"/>
          <w:color w:val="000000" w:themeColor="text1" w:themeTint="FF" w:themeShade="FF"/>
          <w:sz w:val="24"/>
          <w:szCs w:val="24"/>
          <w:lang w:val="en-GB"/>
        </w:rPr>
        <w:t>Historical/Contextual Background:</w:t>
      </w:r>
    </w:p>
    <w:p xmlns:wp14="http://schemas.microsoft.com/office/word/2010/wordml" w:rsidP="2615EA99" wp14:paraId="03675FDC" wp14:textId="22C419E4">
      <w:p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Social avoidance and withdrawal refer to patterns in which individuals consistently steer away from social interactions or reduce their involvement in social activities. These behaviours can stem from factors such as anxiety, low self-esteem, past negative experiences, neurodevelopment and mental health conditions. Over time, persistent withdrawal can impact emotional wellbeing, limit social skills development and reinforce feelings of isolation making it an important area of study in psychology and mental health (Halldorsson et al., 2022). Historically, social avoidance and withdrawal have been discussed since early psychiatric and psychological writings, often linked to shyness or nervous disorders. Over time, especially through the rise of social psychology and clinical research in the 20</w:t>
      </w:r>
      <w:r w:rsidRPr="2615EA99" w:rsidR="474C3EC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 xml:space="preserve"> century, these behaviours came to be understood as key features of conditions like social anxiety disorder, depression and neurodevelopment differences. Which has shaped how clinicians and researchers' approach assessment and support today (Wake et al., 2024).</w:t>
      </w:r>
    </w:p>
    <w:p xmlns:wp14="http://schemas.microsoft.com/office/word/2010/wordml" w:rsidP="2615EA99" wp14:paraId="4C8E444A" wp14:textId="253B2B86">
      <w:pPr>
        <w:spacing w:before="0" w:beforeAutospacing="off" w:after="0" w:afterAutospacing="off" w:line="360" w:lineRule="auto"/>
        <w:ind w:left="720" w:right="0" w:hanging="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615EA99" wp14:paraId="0393AD45" wp14:textId="7DAD3D78">
      <w:pPr>
        <w:spacing w:before="0" w:beforeAutospacing="off" w:after="0" w:afterAutospacing="off" w:line="360" w:lineRule="auto"/>
        <w:ind w:left="720" w:right="0" w:hanging="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615EA99" wp14:paraId="456E62AC" wp14:textId="5D5801C4">
      <w:pPr>
        <w:spacing w:before="0" w:beforeAutospacing="off" w:after="0" w:afterAutospacing="off" w:line="360" w:lineRule="auto"/>
        <w:ind w:left="720" w:right="0" w:hanging="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2615EA99" wp14:paraId="30F89EC7" wp14:textId="6A45593C">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Impact on Research Question</w:t>
      </w:r>
    </w:p>
    <w:p xmlns:wp14="http://schemas.microsoft.com/office/word/2010/wordml" w:rsidP="2615EA99" wp14:paraId="5F066D2B" wp14:textId="40929C9D">
      <w:pPr>
        <w:pStyle w:val="ListParagraph"/>
        <w:numPr>
          <w:ilvl w:val="0"/>
          <w:numId w:val="4"/>
        </w:numPr>
        <w:spacing w:before="0" w:beforeAutospacing="off" w:after="0" w:afterAutospacing="off" w:line="360" w:lineRule="auto"/>
        <w:ind w:left="360" w:right="0" w:hanging="36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615EA99" w:rsidR="474C3ECC">
        <w:rPr>
          <w:rFonts w:ascii="Aptos" w:hAnsi="Aptos" w:eastAsia="Aptos" w:cs="Aptos"/>
          <w:b w:val="1"/>
          <w:bCs w:val="1"/>
          <w:i w:val="0"/>
          <w:iCs w:val="0"/>
          <w:caps w:val="0"/>
          <w:smallCaps w:val="0"/>
          <w:noProof w:val="0"/>
          <w:color w:val="000000" w:themeColor="text1" w:themeTint="FF" w:themeShade="FF"/>
          <w:sz w:val="24"/>
          <w:szCs w:val="24"/>
          <w:lang w:val="en-GB"/>
        </w:rPr>
        <w:t>Relevance to Title/Research Question:</w:t>
      </w:r>
    </w:p>
    <w:p xmlns:wp14="http://schemas.microsoft.com/office/word/2010/wordml" w:rsidP="2615EA99" wp14:paraId="7401BE03" wp14:textId="42334A93">
      <w:pPr>
        <w:spacing w:before="0" w:beforeAutospacing="off" w:after="0" w:afterAutospacing="off" w:line="360" w:lineRule="auto"/>
        <w:ind w:left="360" w:right="0" w:hanging="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The theme of social avoidance and withdrawal has long been studied in psychology, originally linked to temperamental traits such as shyness and behavioural inhibition identified in the mid-20</w:t>
      </w:r>
      <w:r w:rsidRPr="2615EA99" w:rsidR="474C3ECC">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 xml:space="preserve"> century. Early research focused on identifying children who were naturally reserved or fearful in in novel situations, emphasizing innate temperament rather than clinical concern. Over time, particularly in the last two decades, the focus has expanded to include links with childhood anxiety disorders, peer relationships, and long-term social development, with increasing recognition of environmental and familial influences. In the UK, this has been reflected in longitudinal cohort studies and clinical research that examine how early social withdrawal can predict difficulties in friendships, academic engagement, and emotional wellbeing, highlighting both development and mental health perspectives (Murray et al., 2018).</w:t>
      </w:r>
    </w:p>
    <w:p xmlns:wp14="http://schemas.microsoft.com/office/word/2010/wordml" w:rsidP="2615EA99" wp14:paraId="6E352343" wp14:textId="0719FF44">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Statistical Information</w:t>
      </w:r>
    </w:p>
    <w:p xmlns:wp14="http://schemas.microsoft.com/office/word/2010/wordml" w:rsidP="2615EA99" wp14:paraId="6788D5B2" wp14:textId="1C73310E">
      <w:pPr>
        <w:pStyle w:val="ListParagraph"/>
        <w:numPr>
          <w:ilvl w:val="0"/>
          <w:numId w:val="5"/>
        </w:numPr>
        <w:spacing w:before="0" w:beforeAutospacing="off" w:after="0" w:afterAutospacing="off" w:line="360" w:lineRule="auto"/>
        <w:ind w:left="360" w:right="0" w:hanging="36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2615EA99" w:rsidR="474C3ECC">
        <w:rPr>
          <w:rFonts w:ascii="Aptos" w:hAnsi="Aptos" w:eastAsia="Aptos" w:cs="Aptos"/>
          <w:b w:val="1"/>
          <w:bCs w:val="1"/>
          <w:i w:val="0"/>
          <w:iCs w:val="0"/>
          <w:caps w:val="0"/>
          <w:smallCaps w:val="0"/>
          <w:noProof w:val="0"/>
          <w:color w:val="000000" w:themeColor="text1" w:themeTint="FF" w:themeShade="FF"/>
          <w:sz w:val="24"/>
          <w:szCs w:val="24"/>
          <w:lang w:val="en-GB"/>
        </w:rPr>
        <w:t>Data and Statistics:</w:t>
      </w:r>
    </w:p>
    <w:p xmlns:wp14="http://schemas.microsoft.com/office/word/2010/wordml" w:rsidP="2615EA99" wp14:paraId="2F1DBF1B" wp14:textId="62677BE5">
      <w:p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In the UK, recent data highlights the relevance of social avoidance and withdrawal in children's mental health. According to the NHS England (2023), 20.3% of children aged 8-16 had a probable metal disorder, with anxiety being the most common. Population studies indicate that around 3-4% of children exhibit high social anxiety, a key factor linked to social withdrawal. Additionally, the office for national statistics (2023) reports that 34.9% of children aged 10-15 experienced some form of in-person bullying, which can exacerbate avoidance behaviours. These statistics illustrate that a substantial proportion of UK children are at risk of social withdrawal due to anxiety or negative peer experiences, underlining the importance of targeted research and interventions (NHS Digital, 2023b). Statistics from the UK is that over one third of children aged 10-15 reported experienced in person bullying in the past year (ONS,2023). This high prevalence is striking because it highlights a widespread risk factor for social avoidance and withdrawal, yet it challenges assumptions that bullying is limited to a small minority. The implication is that many children may develop anxiety or retreat from social interactions as a coping mechanism, potentially affecting their peer relationships and overall wellbeing. His underscores the need for research and interventions that address both mental health and social environments, rather than focusing solely on individual traits (Office for National Statistics, 2024)</w:t>
      </w:r>
    </w:p>
    <w:p xmlns:wp14="http://schemas.microsoft.com/office/word/2010/wordml" w:rsidP="2615EA99" wp14:paraId="6E94AB28" wp14:textId="5D32DA99">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Theories, Policies, and Legislation</w:t>
      </w:r>
    </w:p>
    <w:p xmlns:wp14="http://schemas.microsoft.com/office/word/2010/wordml" w:rsidP="2615EA99" wp14:paraId="11DE613A" wp14:textId="6E50300A">
      <w:pPr>
        <w:pStyle w:val="ListParagraph"/>
        <w:numPr>
          <w:ilvl w:val="0"/>
          <w:numId w:val="6"/>
        </w:numPr>
        <w:spacing w:before="0" w:beforeAutospacing="off" w:after="0" w:afterAutospacing="off" w:line="360" w:lineRule="auto"/>
        <w:ind w:left="360" w:right="0" w:hanging="360"/>
        <w:rPr>
          <w:rFonts w:ascii="Aptos" w:hAnsi="Aptos" w:eastAsia="Aptos" w:cs="Aptos"/>
          <w:b w:val="0"/>
          <w:bCs w:val="0"/>
          <w:i w:val="0"/>
          <w:iCs w:val="0"/>
          <w:caps w:val="0"/>
          <w:smallCaps w:val="0"/>
          <w:noProof w:val="0"/>
          <w:color w:val="000000" w:themeColor="text1" w:themeTint="FF" w:themeShade="FF"/>
          <w:sz w:val="22"/>
          <w:szCs w:val="22"/>
          <w:lang w:val="en-GB"/>
        </w:rPr>
      </w:pPr>
      <w:r w:rsidRPr="2615EA99" w:rsidR="474C3ECC">
        <w:rPr>
          <w:rFonts w:ascii="Aptos" w:hAnsi="Aptos" w:eastAsia="Aptos" w:cs="Aptos"/>
          <w:b w:val="1"/>
          <w:bCs w:val="1"/>
          <w:i w:val="0"/>
          <w:iCs w:val="0"/>
          <w:caps w:val="0"/>
          <w:smallCaps w:val="0"/>
          <w:noProof w:val="0"/>
          <w:color w:val="000000" w:themeColor="text1" w:themeTint="FF" w:themeShade="FF"/>
          <w:sz w:val="22"/>
          <w:szCs w:val="22"/>
          <w:lang w:val="en-GB"/>
        </w:rPr>
        <w:t>Theoretical Framework:</w:t>
      </w:r>
    </w:p>
    <w:p xmlns:wp14="http://schemas.microsoft.com/office/word/2010/wordml" w:rsidP="2615EA99" wp14:paraId="23ED03CD" wp14:textId="4B182375">
      <w:pPr>
        <w:spacing w:before="0" w:beforeAutospacing="off" w:after="0" w:afterAutospacing="off" w:line="360" w:lineRule="auto"/>
        <w:ind w:left="720" w:right="0" w:hanging="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The study of social avoidance and withdrawal in children with anxiety can be framed using several relevant theories. Attachment theory suggest that insecure attachment patterns can contribute to social withdrawal, as children may struggle to trust peers and form close relationships (Cherry, 2025). Behavioural inhibition theory persists that children with a temperament marked by heightened sensitivity to novelty are more likely to experience anxiety and avoid social situations (White et al., 2011). Cognitive behavioural theory explains how anxious thought patterns such as fear of negative evaluation, lead to avoidance and hinder social engagement (Parvez, 2019).</w:t>
      </w:r>
    </w:p>
    <w:p xmlns:wp14="http://schemas.microsoft.com/office/word/2010/wordml" w:rsidP="2615EA99" wp14:paraId="617995C4" wp14:textId="2FC8BC1B">
      <w:pPr>
        <w:pStyle w:val="ListParagraph"/>
        <w:numPr>
          <w:ilvl w:val="0"/>
          <w:numId w:val="6"/>
        </w:numPr>
        <w:spacing w:before="0" w:beforeAutospacing="off" w:after="0" w:afterAutospacing="off" w:line="360" w:lineRule="auto"/>
        <w:ind w:left="360" w:right="0" w:hanging="360"/>
        <w:rPr>
          <w:rFonts w:ascii="Aptos" w:hAnsi="Aptos" w:eastAsia="Aptos" w:cs="Aptos"/>
          <w:b w:val="0"/>
          <w:bCs w:val="0"/>
          <w:i w:val="0"/>
          <w:iCs w:val="0"/>
          <w:caps w:val="0"/>
          <w:smallCaps w:val="0"/>
          <w:noProof w:val="0"/>
          <w:color w:val="000000" w:themeColor="text1" w:themeTint="FF" w:themeShade="FF"/>
          <w:sz w:val="22"/>
          <w:szCs w:val="22"/>
          <w:lang w:val="en-GB"/>
        </w:rPr>
      </w:pPr>
      <w:r w:rsidRPr="2615EA99" w:rsidR="474C3ECC">
        <w:rPr>
          <w:rFonts w:ascii="Aptos" w:hAnsi="Aptos" w:eastAsia="Aptos" w:cs="Aptos"/>
          <w:b w:val="1"/>
          <w:bCs w:val="1"/>
          <w:i w:val="0"/>
          <w:iCs w:val="0"/>
          <w:caps w:val="0"/>
          <w:smallCaps w:val="0"/>
          <w:noProof w:val="0"/>
          <w:color w:val="000000" w:themeColor="text1" w:themeTint="FF" w:themeShade="FF"/>
          <w:sz w:val="22"/>
          <w:szCs w:val="22"/>
          <w:lang w:val="en-GB"/>
        </w:rPr>
        <w:t>Policy and Legislation:</w:t>
      </w:r>
    </w:p>
    <w:p xmlns:wp14="http://schemas.microsoft.com/office/word/2010/wordml" w:rsidP="2615EA99" wp14:paraId="788F1E94" wp14:textId="6D6AD8D4">
      <w:pPr>
        <w:pStyle w:val="ListParagraph"/>
        <w:numPr>
          <w:ilvl w:val="1"/>
          <w:numId w:val="6"/>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Children and families act 2014 focuses on supporting children with special educational needs and disabilities including mental and health difficulties and emotional needs. Ensuring schools provide appropriate support that can reduce social withdrawal (Gov.UK, 2014). Data protection act 2018 &amp; UK GDPR is relevant for research involving children, ensuring that personal and sensitive data on mental health and social behaviours are collected, stored and shared responsibly (Lamba, 2024). The children and families act 2014 has a significant impact addressing social avoidance and withdrawal in children with anxiety by mandating that schools and local authorities identify and support children with special educational needs and disabilities. By requiring individualized education, health and care (EHC) plans, that act ensures that children at risk of social withdrawal due to their anxiety receive targeted support, such as social skills interventions, counselling and peer mentoring programmes. This proactive approach helps reduce isolation, promotes engagement with peers, and improves relationship building opportunities, ultimately mitigating the negative social and emotional consequences of anxiety (Department of Education, 2014). The data protection act 2018 and UK GDPR impacts research on social avoidance and withdrawal in children with anxiety by ensuring that personal and sensitive data such as mental health records and social behavioural assessments are collected, stored and shared responsibly. Researchers must obtain informed consent, protect confidentiality and anonymise data when possible. While these regulations safeguard children's privacy and wellbeing, they can also create practical challenges, such as limiting access to detailed information or adding administrative requirements. They promote ethical research practices that protect participants while supporting reliable findings on how anxiety effects children (ICO, 2023).</w:t>
      </w:r>
    </w:p>
    <w:p xmlns:wp14="http://schemas.microsoft.com/office/word/2010/wordml" w:rsidP="2615EA99" wp14:paraId="1521574D" wp14:textId="7EB67769">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Implications</w:t>
      </w:r>
    </w:p>
    <w:p xmlns:wp14="http://schemas.microsoft.com/office/word/2010/wordml" w:rsidP="2615EA99" wp14:paraId="3E846E7C" wp14:textId="0BBEA2B5">
      <w:pPr>
        <w:pStyle w:val="ListParagraph"/>
        <w:numPr>
          <w:ilvl w:val="0"/>
          <w:numId w:val="23"/>
        </w:numPr>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615EA99" w:rsidR="474C3ECC">
        <w:rPr>
          <w:rFonts w:ascii="Aptos" w:hAnsi="Aptos" w:eastAsia="Aptos" w:cs="Aptos"/>
          <w:b w:val="1"/>
          <w:bCs w:val="1"/>
          <w:i w:val="0"/>
          <w:iCs w:val="0"/>
          <w:caps w:val="0"/>
          <w:smallCaps w:val="0"/>
          <w:noProof w:val="0"/>
          <w:color w:val="000000" w:themeColor="text1" w:themeTint="FF" w:themeShade="FF"/>
          <w:sz w:val="22"/>
          <w:szCs w:val="22"/>
          <w:lang w:val="en-GB"/>
        </w:rPr>
        <w:t>Positive and Negative Implications:</w:t>
      </w:r>
    </w:p>
    <w:p xmlns:wp14="http://schemas.microsoft.com/office/word/2010/wordml" w:rsidP="2615EA99" wp14:paraId="599BCD4E" wp14:textId="7559BE3F">
      <w:pPr>
        <w:spacing w:before="0" w:beforeAutospacing="off" w:after="0" w:afterAutospacing="off" w:line="360" w:lineRule="auto"/>
        <w:ind w:left="72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The theme of social avoidance and withdrawal has important implications for researching whether children with diagnosed anxiety struggle to form social relationships. It highlights the need to use ethical, sensitive methods that protect vulnerable participants while accurately capturing social behaviours. Researchers must consider how anxiety influences peer interactions, ensuring assessments reflect real life social contexts. The theme also underscores the importance of longitudinal and multi-informant approaches, as social withdrawal may vary across settings and over time, affecting both the validity and applicability of findings or interventions (Ooi, 2021b). Focusing on social avoidance and withdrawal in children with anxiety has positive impacts such as improving understanding of how anxiety effects peer relationships and guiding targeted interventions to support social skills and emotional wellbeing. However, it also has negative impacts including the risks of labelling or stigmatizing children, and the practical challenges of conducting research with vulnerable participants while maintaining ethical and data protection standards. Together these factors highlight the need for careful, balanced approaches in both research and practice (Ooi, 2021c).</w:t>
      </w:r>
    </w:p>
    <w:p xmlns:wp14="http://schemas.microsoft.com/office/word/2010/wordml" w:rsidP="2615EA99" wp14:paraId="496D3CB9" wp14:textId="502C8700">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Examples from Your Articles</w:t>
      </w:r>
    </w:p>
    <w:p xmlns:wp14="http://schemas.microsoft.com/office/word/2010/wordml" w:rsidP="2615EA99" wp14:paraId="40A1BB2C" wp14:textId="3C678567">
      <w:pPr>
        <w:pStyle w:val="ListParagraph"/>
        <w:numPr>
          <w:ilvl w:val="0"/>
          <w:numId w:val="8"/>
        </w:numPr>
        <w:spacing w:before="0" w:beforeAutospacing="off" w:after="0" w:afterAutospacing="off" w:line="360" w:lineRule="auto"/>
        <w:ind w:left="1080" w:right="0" w:hanging="36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How to find the papers you need to read, importance of evaluating and fact checking information and quick guides with examples, talks on how with many papers been published every day it can be a task to work out relevance on findings and how as a researcher you must evaluate information and how Boolean can help with searches promoting evaluating information credibility. The articles all agree with the same guidance to achieving relevance. This helps to answer my research question by guiding me to relevant findings. These examples from my results summary support the theme by making sure the information found is essential as it helps to determine whether sources are credible, accurate and trustworthy. These examples relate to theme of effective research practice by ensuring that the sources are credible, accurate and appropriate for strong, evidence-based conclusions. Evaluating and fact checking these sources are crucial because it helps to ensure that accurate evidence is presented which is crucial when studying behaviours like social withdrawal that can be influenced by many psychological, social and development factors.</w:t>
      </w:r>
    </w:p>
    <w:p xmlns:wp14="http://schemas.microsoft.com/office/word/2010/wordml" w:rsidP="2615EA99" wp14:paraId="04F7351A" wp14:textId="457D0624">
      <w:pPr>
        <w:spacing w:before="0" w:beforeAutospacing="off" w:after="0" w:afterAutospacing="off" w:line="360" w:lineRule="auto"/>
        <w:ind w:left="720" w:right="0" w:hanging="360"/>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05080972" wp14:textId="54B57F6E">
      <w:pPr>
        <w:spacing w:before="0" w:beforeAutospacing="off" w:after="0" w:afterAutospacing="off"/>
        <w:ind w:left="1080" w:right="0"/>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r w:rsidRPr="2615EA99" w:rsidR="474C3ECC">
        <w:rPr>
          <w:rStyle w:val="ListParagraph"/>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2615EA99" wp14:paraId="688315F0" wp14:textId="2E007E22">
      <w:pPr>
        <w:pStyle w:val="Heading4"/>
        <w:keepNext w:val="1"/>
        <w:keepLines w:val="1"/>
        <w:spacing w:before="40" w:beforeAutospacing="off" w:after="0" w:afterAutospacing="off" w:line="360" w:lineRule="auto"/>
        <w:jc w:val="both"/>
        <w:rPr>
          <w:rFonts w:ascii="Aptos" w:hAnsi="Aptos" w:eastAsia="Aptos" w:cs="Aptos"/>
          <w:b w:val="0"/>
          <w:bCs w:val="0"/>
          <w:i w:val="1"/>
          <w:iCs w:val="1"/>
          <w:caps w:val="0"/>
          <w:smallCaps w:val="0"/>
          <w:noProof w:val="0"/>
          <w:color w:val="2F5496"/>
          <w:sz w:val="22"/>
          <w:szCs w:val="22"/>
          <w:lang w:val="en-GB"/>
        </w:rPr>
      </w:pPr>
      <w:r w:rsidRPr="2615EA99" w:rsidR="474C3ECC">
        <w:rPr>
          <w:rFonts w:ascii="Aptos" w:hAnsi="Aptos" w:eastAsia="Aptos" w:cs="Aptos"/>
          <w:b w:val="0"/>
          <w:bCs w:val="0"/>
          <w:i w:val="1"/>
          <w:iCs w:val="1"/>
          <w:caps w:val="0"/>
          <w:smallCaps w:val="0"/>
          <w:noProof w:val="0"/>
          <w:color w:val="2F5496"/>
          <w:sz w:val="22"/>
          <w:szCs w:val="22"/>
          <w:lang w:val="en-GB"/>
        </w:rPr>
        <w:t>Connections to Other Themes</w:t>
      </w:r>
    </w:p>
    <w:p xmlns:wp14="http://schemas.microsoft.com/office/word/2010/wordml" w:rsidP="2615EA99" wp14:paraId="2D6E34A7" wp14:textId="31103174">
      <w:pPr>
        <w:pStyle w:val="ListParagraph"/>
        <w:numPr>
          <w:ilvl w:val="0"/>
          <w:numId w:val="25"/>
        </w:numPr>
        <w:spacing w:before="0" w:beforeAutospacing="off" w:after="0" w:afterAutospacing="off" w:line="360" w:lineRule="auto"/>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2615EA99" w:rsidR="474C3ECC">
        <w:rPr>
          <w:rFonts w:ascii="Aptos" w:hAnsi="Aptos" w:eastAsia="Aptos" w:cs="Aptos"/>
          <w:b w:val="1"/>
          <w:bCs w:val="1"/>
          <w:i w:val="0"/>
          <w:iCs w:val="0"/>
          <w:caps w:val="0"/>
          <w:smallCaps w:val="0"/>
          <w:noProof w:val="0"/>
          <w:color w:val="000000" w:themeColor="text1" w:themeTint="FF" w:themeShade="FF"/>
          <w:sz w:val="22"/>
          <w:szCs w:val="22"/>
          <w:lang w:val="en-GB"/>
        </w:rPr>
        <w:t>Interconnections:</w:t>
      </w:r>
    </w:p>
    <w:p xmlns:wp14="http://schemas.microsoft.com/office/word/2010/wordml" w:rsidP="2615EA99" wp14:paraId="38E99440" wp14:textId="493A4FB0">
      <w:pPr>
        <w:spacing w:before="0" w:beforeAutospacing="off" w:after="0" w:afterAutospacing="off" w:line="360" w:lineRule="auto"/>
        <w:ind w:left="144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The theme of social voidance and withdrawal overlaps with the theme of peer perception and rejection as children who withdraw from social interactions are more likely to be perceived as shy, unfriendly or different from their peers. This perception can increase the risk of social rejection or exclusion, which in tun reinforces withdrawal behaviours. In effect, avoidance and negative peer perceptions can create a cycle where children feel socially isolated, further limiting their opportunities to develop positive peer relationships (Henricks et al., 2021). The theme of social avoidance and withdrawal and peer perception and rejection overlap because children who withdraw from social interactions are more likely to be seen as shy or different to their peers. This can lead to social rejection, which reinforces avoidance behaviours creating a cycle where anxiety, withdrawal and negative peer experiences continuously influence and amplify each other (Tillfors et al., 2012)</w:t>
      </w:r>
    </w:p>
    <w:p xmlns:wp14="http://schemas.microsoft.com/office/word/2010/wordml" w:rsidP="2615EA99" wp14:paraId="5CD5CB2E" wp14:textId="30333EF9">
      <w:pPr>
        <w:pStyle w:val="Heading2"/>
        <w:keepNext w:val="1"/>
        <w:keepLines w:val="1"/>
        <w:spacing w:before="40" w:beforeAutospacing="off" w:after="0" w:afterAutospacing="off" w:line="360" w:lineRule="auto"/>
        <w:jc w:val="both"/>
        <w:rPr>
          <w:rFonts w:ascii="Aptos" w:hAnsi="Aptos" w:eastAsia="Aptos" w:cs="Aptos"/>
          <w:b w:val="0"/>
          <w:bCs w:val="0"/>
          <w:i w:val="0"/>
          <w:iCs w:val="0"/>
          <w:caps w:val="0"/>
          <w:smallCaps w:val="0"/>
          <w:noProof w:val="0"/>
          <w:color w:val="2F5496"/>
          <w:sz w:val="24"/>
          <w:szCs w:val="24"/>
          <w:lang w:val="en-GB"/>
        </w:rPr>
      </w:pPr>
      <w:r w:rsidRPr="2615EA99" w:rsidR="474C3ECC">
        <w:rPr>
          <w:rFonts w:ascii="Aptos" w:hAnsi="Aptos" w:eastAsia="Aptos" w:cs="Aptos"/>
          <w:b w:val="0"/>
          <w:bCs w:val="0"/>
          <w:i w:val="0"/>
          <w:iCs w:val="0"/>
          <w:caps w:val="0"/>
          <w:smallCaps w:val="0"/>
          <w:noProof w:val="0"/>
          <w:color w:val="2F5496"/>
          <w:sz w:val="24"/>
          <w:szCs w:val="24"/>
          <w:lang w:val="en-GB"/>
        </w:rPr>
        <w:t xml:space="preserve">4.6 – Chapter Conclusion </w:t>
      </w:r>
    </w:p>
    <w:p xmlns:wp14="http://schemas.microsoft.com/office/word/2010/wordml" w:rsidP="2615EA99" wp14:paraId="79EB100F" wp14:textId="2D329D41">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 xml:space="preserve"> In conclusion in this chapter, critically analysing the definitions of thematic analysis and themes underscores its value as a flexible yet systematic method for exploring qualitive data. By evaluating different themes, </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i</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 xml:space="preserve"> was able to consider how patterns are </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interpreted</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 xml:space="preserve"> and connected to the research question. While also recognising that theme </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selection</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 xml:space="preserve"> can be influenced by researcher perspective. This reflection highlights the importance of transparency and rigor in both defining and applying thematic analysis to ensure credible and meaningful findings. </w:t>
      </w:r>
      <w:r w:rsidRPr="2615EA99" w:rsidR="11D1E36C">
        <w:rPr>
          <w:rFonts w:ascii="Arial" w:hAnsi="Arial" w:eastAsia="Arial" w:cs="Arial"/>
          <w:b w:val="0"/>
          <w:bCs w:val="0"/>
          <w:i w:val="0"/>
          <w:iCs w:val="0"/>
          <w:caps w:val="0"/>
          <w:smallCaps w:val="0"/>
          <w:noProof w:val="0"/>
          <w:color w:val="000000" w:themeColor="text1" w:themeTint="FF" w:themeShade="FF"/>
          <w:sz w:val="22"/>
          <w:szCs w:val="22"/>
          <w:lang w:val="en-GB"/>
        </w:rPr>
        <w:t>The following chapter 5</w:t>
      </w:r>
      <w:r w:rsidRPr="2615EA99" w:rsidR="474C3ECC">
        <w:rPr>
          <w:rFonts w:ascii="Arial" w:hAnsi="Arial" w:eastAsia="Arial" w:cs="Arial"/>
          <w:b w:val="0"/>
          <w:bCs w:val="0"/>
          <w:i w:val="0"/>
          <w:iCs w:val="0"/>
          <w:caps w:val="0"/>
          <w:smallCaps w:val="0"/>
          <w:noProof w:val="0"/>
          <w:color w:val="000000" w:themeColor="text1" w:themeTint="FF" w:themeShade="FF"/>
          <w:sz w:val="22"/>
          <w:szCs w:val="22"/>
          <w:lang w:val="en-GB"/>
        </w:rPr>
        <w:t xml:space="preserve"> will evaluate current literature in relation to conclusion and recommendations.</w:t>
      </w:r>
    </w:p>
    <w:p xmlns:wp14="http://schemas.microsoft.com/office/word/2010/wordml" w:rsidP="2615EA99" wp14:paraId="6A733FAF" wp14:textId="32A13CE1">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6BCBB890" wp14:textId="57E221E7">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49710CE7" wp14:textId="51240692">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7BA47564" wp14:textId="4CD63CEF">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2DF8CCDD" wp14:textId="6AA467A1">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7A4EAE75" wp14:textId="50A2ED84">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63B593FD" wp14:textId="1F38D07C">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64D0C852" wp14:textId="5E7A28F8">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776981E3" wp14:textId="4E8B3F1A">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6F2099D1" wp14:textId="4A628763">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312474D2" wp14:textId="4A3F68D8">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207D4AC5" wp14:textId="1904A5A9">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509C1C5B" wp14:textId="00277C32">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47273725" wp14:textId="58471498">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225B8423" wp14:textId="5C27C233">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02E06BF7" wp14:textId="7C9BDBAA">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71F2F380" wp14:textId="4ABA7BD9">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41F26369" wp14:textId="334F23A2">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52CE108A" wp14:textId="190E0F2C">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38D3EA6D" wp14:textId="02BFDA2C">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064992B0" wp14:textId="14BA039B">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5779AE18" wp14:textId="38E686E5">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48BB2507" wp14:textId="5717E42B">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143BD6D1" wp14:textId="154372CB">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12F0AF85" wp14:textId="7800C648">
      <w:pPr>
        <w:pStyle w:val="Normal"/>
        <w:keepNext w:val="1"/>
        <w:keepLines w:val="1"/>
        <w:rPr>
          <w:rFonts w:ascii="Arial" w:hAnsi="Arial" w:eastAsia="Arial" w:cs="Arial"/>
          <w:b w:val="0"/>
          <w:bCs w:val="0"/>
          <w:i w:val="0"/>
          <w:iCs w:val="0"/>
          <w:caps w:val="0"/>
          <w:smallCaps w:val="0"/>
          <w:noProof w:val="0"/>
          <w:color w:val="000000" w:themeColor="text1" w:themeTint="FF" w:themeShade="FF"/>
          <w:sz w:val="40"/>
          <w:szCs w:val="40"/>
          <w:lang w:val="en-GB"/>
        </w:rPr>
      </w:pPr>
      <w:r w:rsidRPr="2615EA99" w:rsidR="5080EB5E">
        <w:rPr>
          <w:rFonts w:ascii="Arial" w:hAnsi="Arial" w:eastAsia="Arial" w:cs="Arial"/>
          <w:b w:val="0"/>
          <w:bCs w:val="0"/>
          <w:i w:val="0"/>
          <w:iCs w:val="0"/>
          <w:caps w:val="0"/>
          <w:smallCaps w:val="0"/>
          <w:noProof w:val="0"/>
          <w:color w:val="000000" w:themeColor="text1" w:themeTint="FF" w:themeShade="FF"/>
          <w:sz w:val="40"/>
          <w:szCs w:val="40"/>
          <w:lang w:val="en-GB"/>
        </w:rPr>
        <w:t xml:space="preserve">References </w:t>
      </w:r>
    </w:p>
    <w:p xmlns:wp14="http://schemas.microsoft.com/office/word/2010/wordml" w:rsidP="2615EA99" wp14:paraId="128AB363" wp14:textId="51095111">
      <w:pPr>
        <w:spacing w:before="0" w:beforeAutospacing="off" w:after="240" w:afterAutospacing="off" w:line="360" w:lineRule="auto"/>
      </w:pPr>
      <w:r w:rsidRPr="2615EA99" w:rsidR="5080EB5E">
        <w:rPr>
          <w:rFonts w:ascii="Arial" w:hAnsi="Arial" w:eastAsia="Arial" w:cs="Arial"/>
          <w:noProof w:val="0"/>
          <w:sz w:val="24"/>
          <w:szCs w:val="24"/>
          <w:lang w:val="en-GB"/>
        </w:rPr>
        <w:t xml:space="preserve">Birmingham, U. of (2024). </w:t>
      </w:r>
      <w:r w:rsidRPr="2615EA99" w:rsidR="5080EB5E">
        <w:rPr>
          <w:rFonts w:ascii="Arial" w:hAnsi="Arial" w:eastAsia="Arial" w:cs="Arial"/>
          <w:i w:val="1"/>
          <w:iCs w:val="1"/>
          <w:noProof w:val="0"/>
          <w:sz w:val="24"/>
          <w:szCs w:val="24"/>
          <w:lang w:val="en-GB"/>
        </w:rPr>
        <w:t>New link between news literacy and civic engagement in UK children revealed</w:t>
      </w:r>
      <w:r w:rsidRPr="2615EA99" w:rsidR="5080EB5E">
        <w:rPr>
          <w:rFonts w:ascii="Arial" w:hAnsi="Arial" w:eastAsia="Arial" w:cs="Arial"/>
          <w:noProof w:val="0"/>
          <w:sz w:val="24"/>
          <w:szCs w:val="24"/>
          <w:lang w:val="en-GB"/>
        </w:rPr>
        <w:t xml:space="preserve">. [online] University of Birmingham. Available at: </w:t>
      </w:r>
      <w:hyperlink r:id="R87eb154bc3374005">
        <w:r w:rsidRPr="2615EA99" w:rsidR="5080EB5E">
          <w:rPr>
            <w:rStyle w:val="Hyperlink"/>
            <w:rFonts w:ascii="Arial" w:hAnsi="Arial" w:eastAsia="Arial" w:cs="Arial"/>
            <w:noProof w:val="0"/>
            <w:sz w:val="24"/>
            <w:szCs w:val="24"/>
            <w:lang w:val="en-GB"/>
          </w:rPr>
          <w:t>https://www.birmingham.ac.uk/news/2024/new-link-between-news-literacy-and-civic-engagement-in-uk-children-revealed</w:t>
        </w:r>
      </w:hyperlink>
      <w:r w:rsidRPr="2615EA99" w:rsidR="5080EB5E">
        <w:rPr>
          <w:rFonts w:ascii="Arial" w:hAnsi="Arial" w:eastAsia="Arial" w:cs="Arial"/>
          <w:noProof w:val="0"/>
          <w:sz w:val="24"/>
          <w:szCs w:val="24"/>
          <w:lang w:val="en-GB"/>
        </w:rPr>
        <w:t xml:space="preserve"> [Accessed 10 Nov. 2025].</w:t>
      </w:r>
    </w:p>
    <w:p xmlns:wp14="http://schemas.microsoft.com/office/word/2010/wordml" w:rsidP="2615EA99" wp14:paraId="1184E8A6" wp14:textId="5E280B1B">
      <w:pPr>
        <w:spacing w:before="0" w:beforeAutospacing="off" w:after="240" w:afterAutospacing="off" w:line="360" w:lineRule="auto"/>
      </w:pPr>
      <w:r w:rsidRPr="2615EA99" w:rsidR="5080EB5E">
        <w:rPr>
          <w:rFonts w:ascii="Arial" w:hAnsi="Arial" w:eastAsia="Arial" w:cs="Arial"/>
          <w:noProof w:val="0"/>
          <w:sz w:val="24"/>
          <w:szCs w:val="24"/>
          <w:lang w:val="en-GB"/>
        </w:rPr>
        <w:t xml:space="preserve">Cherry, K. (2025). </w:t>
      </w:r>
      <w:r w:rsidRPr="2615EA99" w:rsidR="5080EB5E">
        <w:rPr>
          <w:rFonts w:ascii="Arial" w:hAnsi="Arial" w:eastAsia="Arial" w:cs="Arial"/>
          <w:i w:val="1"/>
          <w:iCs w:val="1"/>
          <w:noProof w:val="0"/>
          <w:sz w:val="24"/>
          <w:szCs w:val="24"/>
          <w:lang w:val="en-GB"/>
        </w:rPr>
        <w:t>What is attachment theory?</w:t>
      </w:r>
      <w:r w:rsidRPr="2615EA99" w:rsidR="5080EB5E">
        <w:rPr>
          <w:rFonts w:ascii="Arial" w:hAnsi="Arial" w:eastAsia="Arial" w:cs="Arial"/>
          <w:noProof w:val="0"/>
          <w:sz w:val="24"/>
          <w:szCs w:val="24"/>
          <w:lang w:val="en-GB"/>
        </w:rPr>
        <w:t xml:space="preserve"> [online] Verywell Mind. Available at: </w:t>
      </w:r>
      <w:hyperlink r:id="R78fc0a2445664fa8">
        <w:r w:rsidRPr="2615EA99" w:rsidR="5080EB5E">
          <w:rPr>
            <w:rStyle w:val="Hyperlink"/>
            <w:rFonts w:ascii="Arial" w:hAnsi="Arial" w:eastAsia="Arial" w:cs="Arial"/>
            <w:noProof w:val="0"/>
            <w:sz w:val="24"/>
            <w:szCs w:val="24"/>
            <w:lang w:val="en-GB"/>
          </w:rPr>
          <w:t>https://www.verywellmind.com/what-is-attachment-theory-2795337</w:t>
        </w:r>
      </w:hyperlink>
      <w:r w:rsidRPr="2615EA99" w:rsidR="5080EB5E">
        <w:rPr>
          <w:rFonts w:ascii="Arial" w:hAnsi="Arial" w:eastAsia="Arial" w:cs="Arial"/>
          <w:noProof w:val="0"/>
          <w:sz w:val="24"/>
          <w:szCs w:val="24"/>
          <w:lang w:val="en-GB"/>
        </w:rPr>
        <w:t xml:space="preserve"> [Accessed 17 Nov. 2025].</w:t>
      </w:r>
    </w:p>
    <w:p xmlns:wp14="http://schemas.microsoft.com/office/word/2010/wordml" w:rsidP="2615EA99" wp14:paraId="390F79FD" wp14:textId="5EA98317">
      <w:pPr>
        <w:spacing w:before="0" w:beforeAutospacing="off" w:after="240" w:afterAutospacing="off" w:line="360" w:lineRule="auto"/>
      </w:pPr>
      <w:r w:rsidRPr="2615EA99" w:rsidR="5080EB5E">
        <w:rPr>
          <w:rFonts w:ascii="Arial" w:hAnsi="Arial" w:eastAsia="Arial" w:cs="Arial"/>
          <w:noProof w:val="0"/>
          <w:sz w:val="24"/>
          <w:szCs w:val="24"/>
          <w:lang w:val="en-GB"/>
        </w:rPr>
        <w:t xml:space="preserve">Chico, V. (2018). The Impact of the General Data Protection Regulation on Health Research. </w:t>
      </w:r>
      <w:r w:rsidRPr="2615EA99" w:rsidR="5080EB5E">
        <w:rPr>
          <w:rFonts w:ascii="Arial" w:hAnsi="Arial" w:eastAsia="Arial" w:cs="Arial"/>
          <w:i w:val="1"/>
          <w:iCs w:val="1"/>
          <w:noProof w:val="0"/>
          <w:sz w:val="24"/>
          <w:szCs w:val="24"/>
          <w:lang w:val="en-GB"/>
        </w:rPr>
        <w:t>British Medical Bulletin</w:t>
      </w:r>
      <w:r w:rsidRPr="2615EA99" w:rsidR="5080EB5E">
        <w:rPr>
          <w:rFonts w:ascii="Arial" w:hAnsi="Arial" w:eastAsia="Arial" w:cs="Arial"/>
          <w:noProof w:val="0"/>
          <w:sz w:val="24"/>
          <w:szCs w:val="24"/>
          <w:lang w:val="en-GB"/>
        </w:rPr>
        <w:t>, 128(1), pp.109–118. doi:https://doi.org/10.1093/bmb/ldy038.</w:t>
      </w:r>
    </w:p>
    <w:p xmlns:wp14="http://schemas.microsoft.com/office/word/2010/wordml" w:rsidP="2615EA99" wp14:paraId="28557AA9" wp14:textId="2BEFF624">
      <w:pPr>
        <w:spacing w:before="0" w:beforeAutospacing="off" w:after="240" w:afterAutospacing="off" w:line="360" w:lineRule="auto"/>
      </w:pPr>
      <w:r w:rsidRPr="2615EA99" w:rsidR="5080EB5E">
        <w:rPr>
          <w:rFonts w:ascii="Arial" w:hAnsi="Arial" w:eastAsia="Arial" w:cs="Arial"/>
          <w:noProof w:val="0"/>
          <w:sz w:val="24"/>
          <w:szCs w:val="24"/>
          <w:lang w:val="en-GB"/>
        </w:rPr>
        <w:t xml:space="preserve">Children's Commissioner (2024). </w:t>
      </w:r>
      <w:r w:rsidRPr="2615EA99" w:rsidR="5080EB5E">
        <w:rPr>
          <w:rFonts w:ascii="Arial" w:hAnsi="Arial" w:eastAsia="Arial" w:cs="Arial"/>
          <w:i w:val="1"/>
          <w:iCs w:val="1"/>
          <w:noProof w:val="0"/>
          <w:sz w:val="24"/>
          <w:szCs w:val="24"/>
          <w:lang w:val="en-GB"/>
        </w:rPr>
        <w:t>Children’s Commissioner responds to new figures on children referred to mental health support for anxiety   | Children’s Commissioner for England</w:t>
      </w:r>
      <w:r w:rsidRPr="2615EA99" w:rsidR="5080EB5E">
        <w:rPr>
          <w:rFonts w:ascii="Arial" w:hAnsi="Arial" w:eastAsia="Arial" w:cs="Arial"/>
          <w:noProof w:val="0"/>
          <w:sz w:val="24"/>
          <w:szCs w:val="24"/>
          <w:lang w:val="en-GB"/>
        </w:rPr>
        <w:t xml:space="preserve">. [online] Children’s Commissioner for England. Available at: </w:t>
      </w:r>
      <w:hyperlink r:id="R4ab0309035424202">
        <w:r w:rsidRPr="2615EA99" w:rsidR="5080EB5E">
          <w:rPr>
            <w:rStyle w:val="Hyperlink"/>
            <w:rFonts w:ascii="Arial" w:hAnsi="Arial" w:eastAsia="Arial" w:cs="Arial"/>
            <w:noProof w:val="0"/>
            <w:sz w:val="24"/>
            <w:szCs w:val="24"/>
            <w:lang w:val="en-GB"/>
          </w:rPr>
          <w:t>https://www.childrenscommissioner.gov.uk/blog/childrens-commissioner-responds-to-new-figures-on-children-referred-to-mental-health-support-for-anxiety/</w:t>
        </w:r>
      </w:hyperlink>
      <w:r w:rsidRPr="2615EA99" w:rsidR="5080EB5E">
        <w:rPr>
          <w:rFonts w:ascii="Arial" w:hAnsi="Arial" w:eastAsia="Arial" w:cs="Arial"/>
          <w:noProof w:val="0"/>
          <w:sz w:val="24"/>
          <w:szCs w:val="24"/>
          <w:lang w:val="en-GB"/>
        </w:rPr>
        <w:t xml:space="preserve"> [Accessed 3 Nov. 2025].</w:t>
      </w:r>
    </w:p>
    <w:p xmlns:wp14="http://schemas.microsoft.com/office/word/2010/wordml" w:rsidP="2615EA99" wp14:paraId="786B13CE" wp14:textId="5DADEC34">
      <w:pPr>
        <w:spacing w:before="0" w:beforeAutospacing="off" w:after="240" w:afterAutospacing="off" w:line="360" w:lineRule="auto"/>
      </w:pPr>
      <w:r w:rsidRPr="2615EA99" w:rsidR="5080EB5E">
        <w:rPr>
          <w:rFonts w:ascii="Arial" w:hAnsi="Arial" w:eastAsia="Arial" w:cs="Arial"/>
          <w:noProof w:val="0"/>
          <w:sz w:val="24"/>
          <w:szCs w:val="24"/>
          <w:lang w:val="en-GB"/>
        </w:rPr>
        <w:t xml:space="preserve">Chiu, K., Argyris Stringaris and Leigh, E. (2024). Social anxiety symptoms and their relationship with suicidal ideation and depressive symptoms in adolescents: A prospective study. </w:t>
      </w:r>
      <w:r w:rsidRPr="2615EA99" w:rsidR="5080EB5E">
        <w:rPr>
          <w:rFonts w:ascii="Arial" w:hAnsi="Arial" w:eastAsia="Arial" w:cs="Arial"/>
          <w:i w:val="1"/>
          <w:iCs w:val="1"/>
          <w:noProof w:val="0"/>
          <w:sz w:val="24"/>
          <w:szCs w:val="24"/>
          <w:lang w:val="en-GB"/>
        </w:rPr>
        <w:t>JCPP Advances</w:t>
      </w:r>
      <w:r w:rsidRPr="2615EA99" w:rsidR="5080EB5E">
        <w:rPr>
          <w:rFonts w:ascii="Arial" w:hAnsi="Arial" w:eastAsia="Arial" w:cs="Arial"/>
          <w:noProof w:val="0"/>
          <w:sz w:val="24"/>
          <w:szCs w:val="24"/>
          <w:lang w:val="en-GB"/>
        </w:rPr>
        <w:t>, 2(1). doi:https://doi.org/10.1002/jcv2.12249.</w:t>
      </w:r>
    </w:p>
    <w:p xmlns:wp14="http://schemas.microsoft.com/office/word/2010/wordml" w:rsidP="2615EA99" wp14:paraId="5081624D" wp14:textId="173CD96C">
      <w:pPr>
        <w:spacing w:before="0" w:beforeAutospacing="off" w:after="240" w:afterAutospacing="off" w:line="360" w:lineRule="auto"/>
      </w:pPr>
      <w:r w:rsidRPr="2615EA99" w:rsidR="5080EB5E">
        <w:rPr>
          <w:rFonts w:ascii="Arial" w:hAnsi="Arial" w:eastAsia="Arial" w:cs="Arial"/>
          <w:noProof w:val="0"/>
          <w:sz w:val="24"/>
          <w:szCs w:val="24"/>
          <w:lang w:val="en-GB"/>
        </w:rPr>
        <w:t xml:space="preserve">com, of (2023). </w:t>
      </w:r>
      <w:r w:rsidRPr="2615EA99" w:rsidR="5080EB5E">
        <w:rPr>
          <w:rFonts w:ascii="Arial" w:hAnsi="Arial" w:eastAsia="Arial" w:cs="Arial"/>
          <w:i w:val="1"/>
          <w:iCs w:val="1"/>
          <w:noProof w:val="0"/>
          <w:sz w:val="24"/>
          <w:szCs w:val="24"/>
          <w:lang w:val="en-GB"/>
        </w:rPr>
        <w:t>Children’s Media Lives</w:t>
      </w:r>
      <w:r w:rsidRPr="2615EA99" w:rsidR="5080EB5E">
        <w:rPr>
          <w:rFonts w:ascii="Arial" w:hAnsi="Arial" w:eastAsia="Arial" w:cs="Arial"/>
          <w:noProof w:val="0"/>
          <w:sz w:val="24"/>
          <w:szCs w:val="24"/>
          <w:lang w:val="en-GB"/>
        </w:rPr>
        <w:t xml:space="preserve">. [online] </w:t>
      </w:r>
      <w:hyperlink r:id="R982c729d60ec4c88">
        <w:r w:rsidRPr="2615EA99" w:rsidR="5080EB5E">
          <w:rPr>
            <w:rStyle w:val="Hyperlink"/>
            <w:rFonts w:ascii="Arial" w:hAnsi="Arial" w:eastAsia="Arial" w:cs="Arial"/>
            <w:noProof w:val="0"/>
            <w:sz w:val="24"/>
            <w:szCs w:val="24"/>
            <w:lang w:val="en-GB"/>
          </w:rPr>
          <w:t>www.ofcom.org.uk</w:t>
        </w:r>
      </w:hyperlink>
      <w:r w:rsidRPr="2615EA99" w:rsidR="5080EB5E">
        <w:rPr>
          <w:rFonts w:ascii="Arial" w:hAnsi="Arial" w:eastAsia="Arial" w:cs="Arial"/>
          <w:noProof w:val="0"/>
          <w:sz w:val="24"/>
          <w:szCs w:val="24"/>
          <w:lang w:val="en-GB"/>
        </w:rPr>
        <w:t xml:space="preserve">. Available at: </w:t>
      </w:r>
      <w:hyperlink r:id="Rd0918e87bd404443">
        <w:r w:rsidRPr="2615EA99" w:rsidR="5080EB5E">
          <w:rPr>
            <w:rStyle w:val="Hyperlink"/>
            <w:rFonts w:ascii="Arial" w:hAnsi="Arial" w:eastAsia="Arial" w:cs="Arial"/>
            <w:noProof w:val="0"/>
            <w:sz w:val="24"/>
            <w:szCs w:val="24"/>
            <w:lang w:val="en-GB"/>
          </w:rPr>
          <w:t>https://www.ofcom.org.uk/media-use-and-attitudes/media-habits-children/childrens-media-lives</w:t>
        </w:r>
      </w:hyperlink>
      <w:r w:rsidRPr="2615EA99" w:rsidR="5080EB5E">
        <w:rPr>
          <w:rFonts w:ascii="Arial" w:hAnsi="Arial" w:eastAsia="Arial" w:cs="Arial"/>
          <w:noProof w:val="0"/>
          <w:sz w:val="24"/>
          <w:szCs w:val="24"/>
          <w:lang w:val="en-GB"/>
        </w:rPr>
        <w:t xml:space="preserve"> [Accessed 10 Nov. 2025].</w:t>
      </w:r>
    </w:p>
    <w:p xmlns:wp14="http://schemas.microsoft.com/office/word/2010/wordml" w:rsidP="2615EA99" wp14:paraId="276D05AE" wp14:textId="1E3DC79E">
      <w:pPr>
        <w:spacing w:before="0" w:beforeAutospacing="off" w:after="240" w:afterAutospacing="off" w:line="360" w:lineRule="auto"/>
      </w:pPr>
      <w:r w:rsidRPr="2615EA99" w:rsidR="5080EB5E">
        <w:rPr>
          <w:rFonts w:ascii="Arial" w:hAnsi="Arial" w:eastAsia="Arial" w:cs="Arial"/>
          <w:noProof w:val="0"/>
          <w:sz w:val="24"/>
          <w:szCs w:val="24"/>
          <w:lang w:val="en-GB"/>
        </w:rPr>
        <w:t xml:space="preserve">Creswell, C., Waite, P. and Hudson, J. (2020). Practitioner review: anxiety disorders in children and young people – assessment and treatment. </w:t>
      </w:r>
      <w:r w:rsidRPr="2615EA99" w:rsidR="5080EB5E">
        <w:rPr>
          <w:rFonts w:ascii="Arial" w:hAnsi="Arial" w:eastAsia="Arial" w:cs="Arial"/>
          <w:i w:val="1"/>
          <w:iCs w:val="1"/>
          <w:noProof w:val="0"/>
          <w:sz w:val="24"/>
          <w:szCs w:val="24"/>
          <w:lang w:val="en-GB"/>
        </w:rPr>
        <w:t>Journal of Child Psychology and Psychiatry and Allied Disciplines</w:t>
      </w:r>
      <w:r w:rsidRPr="2615EA99" w:rsidR="5080EB5E">
        <w:rPr>
          <w:rFonts w:ascii="Arial" w:hAnsi="Arial" w:eastAsia="Arial" w:cs="Arial"/>
          <w:noProof w:val="0"/>
          <w:sz w:val="24"/>
          <w:szCs w:val="24"/>
          <w:lang w:val="en-GB"/>
        </w:rPr>
        <w:t>, 61(6), pp.628–643. doi:https://doi.org/10.1111/jcpp.13186.</w:t>
      </w:r>
    </w:p>
    <w:p xmlns:wp14="http://schemas.microsoft.com/office/word/2010/wordml" w:rsidP="2615EA99" wp14:paraId="572AED2C" wp14:textId="6C320B36">
      <w:pPr>
        <w:spacing w:before="0" w:beforeAutospacing="off" w:after="240" w:afterAutospacing="off" w:line="360" w:lineRule="auto"/>
      </w:pPr>
      <w:r w:rsidRPr="2615EA99" w:rsidR="5080EB5E">
        <w:rPr>
          <w:rFonts w:ascii="Arial" w:hAnsi="Arial" w:eastAsia="Arial" w:cs="Arial"/>
          <w:noProof w:val="0"/>
          <w:sz w:val="24"/>
          <w:szCs w:val="24"/>
          <w:lang w:val="en-GB"/>
        </w:rPr>
        <w:t xml:space="preserve">Dean, J. (2024). </w:t>
      </w:r>
      <w:r w:rsidRPr="2615EA99" w:rsidR="5080EB5E">
        <w:rPr>
          <w:rFonts w:ascii="Arial" w:hAnsi="Arial" w:eastAsia="Arial" w:cs="Arial"/>
          <w:i w:val="1"/>
          <w:iCs w:val="1"/>
          <w:noProof w:val="0"/>
          <w:sz w:val="24"/>
          <w:szCs w:val="24"/>
          <w:lang w:val="en-GB"/>
        </w:rPr>
        <w:t>Subject Guides: Critical Evaluation: Criteria Checklist Approach: CRAAP</w:t>
      </w:r>
      <w:r w:rsidRPr="2615EA99" w:rsidR="5080EB5E">
        <w:rPr>
          <w:rFonts w:ascii="Arial" w:hAnsi="Arial" w:eastAsia="Arial" w:cs="Arial"/>
          <w:noProof w:val="0"/>
          <w:sz w:val="24"/>
          <w:szCs w:val="24"/>
          <w:lang w:val="en-GB"/>
        </w:rPr>
        <w:t xml:space="preserve">. [online] libguides.bcu.ac.uk. Available at: </w:t>
      </w:r>
      <w:hyperlink r:id="R7ff024dfbb1b49cb">
        <w:r w:rsidRPr="2615EA99" w:rsidR="5080EB5E">
          <w:rPr>
            <w:rStyle w:val="Hyperlink"/>
            <w:rFonts w:ascii="Arial" w:hAnsi="Arial" w:eastAsia="Arial" w:cs="Arial"/>
            <w:noProof w:val="0"/>
            <w:sz w:val="24"/>
            <w:szCs w:val="24"/>
            <w:lang w:val="en-GB"/>
          </w:rPr>
          <w:t>https://libguides.bcu.ac.uk/critical-evaluation/checklist-approach</w:t>
        </w:r>
      </w:hyperlink>
      <w:r w:rsidRPr="2615EA99" w:rsidR="5080EB5E">
        <w:rPr>
          <w:rFonts w:ascii="Arial" w:hAnsi="Arial" w:eastAsia="Arial" w:cs="Arial"/>
          <w:noProof w:val="0"/>
          <w:sz w:val="24"/>
          <w:szCs w:val="24"/>
          <w:lang w:val="en-GB"/>
        </w:rPr>
        <w:t xml:space="preserve"> [Accessed 3 Nov. 2025].</w:t>
      </w:r>
    </w:p>
    <w:p xmlns:wp14="http://schemas.microsoft.com/office/word/2010/wordml" w:rsidP="2615EA99" wp14:paraId="54D5620F" wp14:textId="60EE00CB">
      <w:pPr>
        <w:spacing w:before="0" w:beforeAutospacing="off" w:after="240" w:afterAutospacing="off" w:line="360" w:lineRule="auto"/>
      </w:pPr>
      <w:r w:rsidRPr="2615EA99" w:rsidR="5080EB5E">
        <w:rPr>
          <w:rFonts w:ascii="Arial" w:hAnsi="Arial" w:eastAsia="Arial" w:cs="Arial"/>
          <w:noProof w:val="0"/>
          <w:sz w:val="24"/>
          <w:szCs w:val="24"/>
          <w:lang w:val="en-GB"/>
        </w:rPr>
        <w:t xml:space="preserve">Department of Education (2014). </w:t>
      </w:r>
      <w:r w:rsidRPr="2615EA99" w:rsidR="5080EB5E">
        <w:rPr>
          <w:rFonts w:ascii="Arial" w:hAnsi="Arial" w:eastAsia="Arial" w:cs="Arial"/>
          <w:i w:val="1"/>
          <w:iCs w:val="1"/>
          <w:noProof w:val="0"/>
          <w:sz w:val="24"/>
          <w:szCs w:val="24"/>
          <w:lang w:val="en-GB"/>
        </w:rPr>
        <w:t>The young person’s guide to the Children and Families Act 2014</w:t>
      </w:r>
      <w:r w:rsidRPr="2615EA99" w:rsidR="5080EB5E">
        <w:rPr>
          <w:rFonts w:ascii="Arial" w:hAnsi="Arial" w:eastAsia="Arial" w:cs="Arial"/>
          <w:noProof w:val="0"/>
          <w:sz w:val="24"/>
          <w:szCs w:val="24"/>
          <w:lang w:val="en-GB"/>
        </w:rPr>
        <w:t xml:space="preserve">. [online] </w:t>
      </w:r>
      <w:r w:rsidRPr="2615EA99" w:rsidR="5080EB5E">
        <w:rPr>
          <w:rFonts w:ascii="Arial" w:hAnsi="Arial" w:eastAsia="Arial" w:cs="Arial"/>
          <w:i w:val="1"/>
          <w:iCs w:val="1"/>
          <w:noProof w:val="0"/>
          <w:sz w:val="24"/>
          <w:szCs w:val="24"/>
          <w:lang w:val="en-GB"/>
        </w:rPr>
        <w:t>GOV.UK</w:t>
      </w:r>
      <w:r w:rsidRPr="2615EA99" w:rsidR="5080EB5E">
        <w:rPr>
          <w:rFonts w:ascii="Arial" w:hAnsi="Arial" w:eastAsia="Arial" w:cs="Arial"/>
          <w:noProof w:val="0"/>
          <w:sz w:val="24"/>
          <w:szCs w:val="24"/>
          <w:lang w:val="en-GB"/>
        </w:rPr>
        <w:t xml:space="preserve">. Available at: </w:t>
      </w:r>
      <w:hyperlink r:id="Re36f0551a01b4634">
        <w:r w:rsidRPr="2615EA99" w:rsidR="5080EB5E">
          <w:rPr>
            <w:rStyle w:val="Hyperlink"/>
            <w:rFonts w:ascii="Arial" w:hAnsi="Arial" w:eastAsia="Arial" w:cs="Arial"/>
            <w:noProof w:val="0"/>
            <w:sz w:val="24"/>
            <w:szCs w:val="24"/>
            <w:lang w:val="en-GB"/>
          </w:rPr>
          <w:t>https://assets.publishing.service.gov.uk/government/uploads/system/uploads/attachment_data/file/359681/Young_Person_s_Guide_to_the_Children_and_Families_Act.pdf</w:t>
        </w:r>
      </w:hyperlink>
      <w:r w:rsidRPr="2615EA99" w:rsidR="5080EB5E">
        <w:rPr>
          <w:rFonts w:ascii="Arial" w:hAnsi="Arial" w:eastAsia="Arial" w:cs="Arial"/>
          <w:noProof w:val="0"/>
          <w:sz w:val="24"/>
          <w:szCs w:val="24"/>
          <w:lang w:val="en-GB"/>
        </w:rPr>
        <w:t xml:space="preserve"> [Accessed 17 Nov. 2025].</w:t>
      </w:r>
    </w:p>
    <w:p xmlns:wp14="http://schemas.microsoft.com/office/word/2010/wordml" w:rsidP="2615EA99" wp14:paraId="50A3730E" wp14:textId="26F503DB">
      <w:pPr>
        <w:spacing w:before="0" w:beforeAutospacing="off" w:after="240" w:afterAutospacing="off" w:line="360" w:lineRule="auto"/>
      </w:pPr>
      <w:r w:rsidRPr="2615EA99" w:rsidR="5080EB5E">
        <w:rPr>
          <w:rFonts w:ascii="Arial" w:hAnsi="Arial" w:eastAsia="Arial" w:cs="Arial"/>
          <w:noProof w:val="0"/>
          <w:sz w:val="24"/>
          <w:szCs w:val="24"/>
          <w:lang w:val="en-GB"/>
        </w:rPr>
        <w:t xml:space="preserve">Emerson, E. (2023). </w:t>
      </w:r>
      <w:r w:rsidRPr="2615EA99" w:rsidR="5080EB5E">
        <w:rPr>
          <w:rFonts w:ascii="Arial" w:hAnsi="Arial" w:eastAsia="Arial" w:cs="Arial"/>
          <w:i w:val="1"/>
          <w:iCs w:val="1"/>
          <w:noProof w:val="0"/>
          <w:sz w:val="24"/>
          <w:szCs w:val="24"/>
          <w:lang w:val="en-GB"/>
        </w:rPr>
        <w:t>Breaking Down The Education Act 2002: A Comprehensive Summary</w:t>
      </w:r>
      <w:r w:rsidRPr="2615EA99" w:rsidR="5080EB5E">
        <w:rPr>
          <w:rFonts w:ascii="Arial" w:hAnsi="Arial" w:eastAsia="Arial" w:cs="Arial"/>
          <w:noProof w:val="0"/>
          <w:sz w:val="24"/>
          <w:szCs w:val="24"/>
          <w:lang w:val="en-GB"/>
        </w:rPr>
        <w:t xml:space="preserve">. [online] exquisitiveeducation.com. Available at: </w:t>
      </w:r>
      <w:hyperlink r:id="R0b16ee5d2dd341cd">
        <w:r w:rsidRPr="2615EA99" w:rsidR="5080EB5E">
          <w:rPr>
            <w:rStyle w:val="Hyperlink"/>
            <w:rFonts w:ascii="Arial" w:hAnsi="Arial" w:eastAsia="Arial" w:cs="Arial"/>
            <w:noProof w:val="0"/>
            <w:sz w:val="24"/>
            <w:szCs w:val="24"/>
            <w:lang w:val="en-GB"/>
          </w:rPr>
          <w:t>https://exquisitiveeducation.com/what-is-the-education-act-2002-summary/</w:t>
        </w:r>
      </w:hyperlink>
      <w:r w:rsidRPr="2615EA99" w:rsidR="5080EB5E">
        <w:rPr>
          <w:rFonts w:ascii="Arial" w:hAnsi="Arial" w:eastAsia="Arial" w:cs="Arial"/>
          <w:noProof w:val="0"/>
          <w:sz w:val="24"/>
          <w:szCs w:val="24"/>
          <w:lang w:val="en-GB"/>
        </w:rPr>
        <w:t xml:space="preserve"> [Accessed 10 Nov. 2025].</w:t>
      </w:r>
    </w:p>
    <w:p xmlns:wp14="http://schemas.microsoft.com/office/word/2010/wordml" w:rsidP="2615EA99" wp14:paraId="0ECD3B64" wp14:textId="011E179D">
      <w:pPr>
        <w:spacing w:before="0" w:beforeAutospacing="off" w:after="240" w:afterAutospacing="off" w:line="360" w:lineRule="auto"/>
      </w:pPr>
      <w:r w:rsidRPr="2615EA99" w:rsidR="5080EB5E">
        <w:rPr>
          <w:rFonts w:ascii="Arial" w:hAnsi="Arial" w:eastAsia="Arial" w:cs="Arial"/>
          <w:noProof w:val="0"/>
          <w:sz w:val="24"/>
          <w:szCs w:val="24"/>
          <w:lang w:val="en-GB"/>
        </w:rPr>
        <w:t xml:space="preserve">Gov.UK (2014). </w:t>
      </w:r>
      <w:r w:rsidRPr="2615EA99" w:rsidR="5080EB5E">
        <w:rPr>
          <w:rFonts w:ascii="Arial" w:hAnsi="Arial" w:eastAsia="Arial" w:cs="Arial"/>
          <w:i w:val="1"/>
          <w:iCs w:val="1"/>
          <w:noProof w:val="0"/>
          <w:sz w:val="24"/>
          <w:szCs w:val="24"/>
          <w:lang w:val="en-GB"/>
        </w:rPr>
        <w:t>Children and Families Act 2014</w:t>
      </w:r>
      <w:r w:rsidRPr="2615EA99" w:rsidR="5080EB5E">
        <w:rPr>
          <w:rFonts w:ascii="Arial" w:hAnsi="Arial" w:eastAsia="Arial" w:cs="Arial"/>
          <w:noProof w:val="0"/>
          <w:sz w:val="24"/>
          <w:szCs w:val="24"/>
          <w:lang w:val="en-GB"/>
        </w:rPr>
        <w:t xml:space="preserve">. [online] legislation.gov.uk. Available at: </w:t>
      </w:r>
      <w:hyperlink r:id="Reac05325a75344a6">
        <w:r w:rsidRPr="2615EA99" w:rsidR="5080EB5E">
          <w:rPr>
            <w:rStyle w:val="Hyperlink"/>
            <w:rFonts w:ascii="Arial" w:hAnsi="Arial" w:eastAsia="Arial" w:cs="Arial"/>
            <w:noProof w:val="0"/>
            <w:sz w:val="24"/>
            <w:szCs w:val="24"/>
            <w:lang w:val="en-GB"/>
          </w:rPr>
          <w:t>https://www.legislation.gov.uk/ukpga/2014/6/contents</w:t>
        </w:r>
      </w:hyperlink>
      <w:r w:rsidRPr="2615EA99" w:rsidR="5080EB5E">
        <w:rPr>
          <w:rFonts w:ascii="Arial" w:hAnsi="Arial" w:eastAsia="Arial" w:cs="Arial"/>
          <w:noProof w:val="0"/>
          <w:sz w:val="24"/>
          <w:szCs w:val="24"/>
          <w:lang w:val="en-GB"/>
        </w:rPr>
        <w:t xml:space="preserve"> [Accessed 17 Nov. 2025].</w:t>
      </w:r>
    </w:p>
    <w:p xmlns:wp14="http://schemas.microsoft.com/office/word/2010/wordml" w:rsidP="2615EA99" wp14:paraId="1A3E53E6" wp14:textId="670618AD">
      <w:pPr>
        <w:spacing w:before="0" w:beforeAutospacing="off" w:after="240" w:afterAutospacing="off" w:line="360" w:lineRule="auto"/>
      </w:pPr>
      <w:r w:rsidRPr="2615EA99" w:rsidR="5080EB5E">
        <w:rPr>
          <w:rFonts w:ascii="Arial" w:hAnsi="Arial" w:eastAsia="Arial" w:cs="Arial"/>
          <w:noProof w:val="0"/>
          <w:sz w:val="24"/>
          <w:szCs w:val="24"/>
          <w:lang w:val="en-GB"/>
        </w:rPr>
        <w:t xml:space="preserve">Gregory, A. (2024). </w:t>
      </w:r>
      <w:r w:rsidRPr="2615EA99" w:rsidR="5080EB5E">
        <w:rPr>
          <w:rFonts w:ascii="Arial" w:hAnsi="Arial" w:eastAsia="Arial" w:cs="Arial"/>
          <w:i w:val="1"/>
          <w:iCs w:val="1"/>
          <w:noProof w:val="0"/>
          <w:sz w:val="24"/>
          <w:szCs w:val="24"/>
          <w:lang w:val="en-GB"/>
        </w:rPr>
        <w:t>NHS referrals for anxiety in children more than double pre-Covid levels</w:t>
      </w:r>
      <w:r w:rsidRPr="2615EA99" w:rsidR="5080EB5E">
        <w:rPr>
          <w:rFonts w:ascii="Arial" w:hAnsi="Arial" w:eastAsia="Arial" w:cs="Arial"/>
          <w:noProof w:val="0"/>
          <w:sz w:val="24"/>
          <w:szCs w:val="24"/>
          <w:lang w:val="en-GB"/>
        </w:rPr>
        <w:t xml:space="preserve">. [online] the Guardian. Available at: </w:t>
      </w:r>
      <w:hyperlink r:id="R601659b4a0504478">
        <w:r w:rsidRPr="2615EA99" w:rsidR="5080EB5E">
          <w:rPr>
            <w:rStyle w:val="Hyperlink"/>
            <w:rFonts w:ascii="Arial" w:hAnsi="Arial" w:eastAsia="Arial" w:cs="Arial"/>
            <w:noProof w:val="0"/>
            <w:sz w:val="24"/>
            <w:szCs w:val="24"/>
            <w:lang w:val="en-GB"/>
          </w:rPr>
          <w:t>https://www.theguardian.com/society/article/2024/aug/27/nhs-referrals-for-anxiety-in-children-more-than-double-pre-covid-levels-england</w:t>
        </w:r>
      </w:hyperlink>
      <w:r w:rsidRPr="2615EA99" w:rsidR="5080EB5E">
        <w:rPr>
          <w:rFonts w:ascii="Arial" w:hAnsi="Arial" w:eastAsia="Arial" w:cs="Arial"/>
          <w:noProof w:val="0"/>
          <w:sz w:val="24"/>
          <w:szCs w:val="24"/>
          <w:lang w:val="en-GB"/>
        </w:rPr>
        <w:t xml:space="preserve"> [Accessed 15 Nov. 2025].</w:t>
      </w:r>
    </w:p>
    <w:p xmlns:wp14="http://schemas.microsoft.com/office/word/2010/wordml" w:rsidP="2615EA99" wp14:paraId="6CF65DB8" wp14:textId="5C592012">
      <w:pPr>
        <w:spacing w:before="0" w:beforeAutospacing="off" w:after="240" w:afterAutospacing="off" w:line="360" w:lineRule="auto"/>
      </w:pPr>
      <w:r w:rsidRPr="2615EA99" w:rsidR="5080EB5E">
        <w:rPr>
          <w:rFonts w:ascii="Arial" w:hAnsi="Arial" w:eastAsia="Arial" w:cs="Arial"/>
          <w:noProof w:val="0"/>
          <w:sz w:val="24"/>
          <w:szCs w:val="24"/>
          <w:lang w:val="en-GB"/>
        </w:rPr>
        <w:t xml:space="preserve">Halldorsson, B., Waite, P., Harvey, K., Pearcey, S. and Creswell, C. (2022). In the moment social experiences and perceptions of children with social anxiety disorder: A qualitative study. </w:t>
      </w:r>
      <w:r w:rsidRPr="2615EA99" w:rsidR="5080EB5E">
        <w:rPr>
          <w:rFonts w:ascii="Arial" w:hAnsi="Arial" w:eastAsia="Arial" w:cs="Arial"/>
          <w:i w:val="1"/>
          <w:iCs w:val="1"/>
          <w:noProof w:val="0"/>
          <w:sz w:val="24"/>
          <w:szCs w:val="24"/>
          <w:lang w:val="en-GB"/>
        </w:rPr>
        <w:t>British Journal of Clinical Psychology</w:t>
      </w:r>
      <w:r w:rsidRPr="2615EA99" w:rsidR="5080EB5E">
        <w:rPr>
          <w:rFonts w:ascii="Arial" w:hAnsi="Arial" w:eastAsia="Arial" w:cs="Arial"/>
          <w:noProof w:val="0"/>
          <w:sz w:val="24"/>
          <w:szCs w:val="24"/>
          <w:lang w:val="en-GB"/>
        </w:rPr>
        <w:t>, 62(1). doi:https://doi.org/10.1111/bjc.12393.</w:t>
      </w:r>
    </w:p>
    <w:p xmlns:wp14="http://schemas.microsoft.com/office/word/2010/wordml" w:rsidP="2615EA99" wp14:paraId="4B258711" wp14:textId="1A2158C8">
      <w:pPr>
        <w:spacing w:before="0" w:beforeAutospacing="off" w:after="240" w:afterAutospacing="off" w:line="360" w:lineRule="auto"/>
      </w:pPr>
      <w:r w:rsidRPr="2615EA99" w:rsidR="5080EB5E">
        <w:rPr>
          <w:rFonts w:ascii="Arial" w:hAnsi="Arial" w:eastAsia="Arial" w:cs="Arial"/>
          <w:noProof w:val="0"/>
          <w:sz w:val="24"/>
          <w:szCs w:val="24"/>
          <w:lang w:val="en-GB"/>
        </w:rPr>
        <w:t xml:space="preserve">Hecker, J. and Kalpokas, N. (2024). </w:t>
      </w:r>
      <w:r w:rsidRPr="2615EA99" w:rsidR="5080EB5E">
        <w:rPr>
          <w:rFonts w:ascii="Arial" w:hAnsi="Arial" w:eastAsia="Arial" w:cs="Arial"/>
          <w:i w:val="1"/>
          <w:iCs w:val="1"/>
          <w:noProof w:val="0"/>
          <w:sz w:val="24"/>
          <w:szCs w:val="24"/>
          <w:lang w:val="en-GB"/>
        </w:rPr>
        <w:t>Thematic Analysis of Secondary Data | Identifying Patterns</w:t>
      </w:r>
      <w:r w:rsidRPr="2615EA99" w:rsidR="5080EB5E">
        <w:rPr>
          <w:rFonts w:ascii="Arial" w:hAnsi="Arial" w:eastAsia="Arial" w:cs="Arial"/>
          <w:noProof w:val="0"/>
          <w:sz w:val="24"/>
          <w:szCs w:val="24"/>
          <w:lang w:val="en-GB"/>
        </w:rPr>
        <w:t xml:space="preserve">. [online] ATLAS.ti. Available at: </w:t>
      </w:r>
      <w:hyperlink r:id="R29bb9a54f94b456a">
        <w:r w:rsidRPr="2615EA99" w:rsidR="5080EB5E">
          <w:rPr>
            <w:rStyle w:val="Hyperlink"/>
            <w:rFonts w:ascii="Arial" w:hAnsi="Arial" w:eastAsia="Arial" w:cs="Arial"/>
            <w:noProof w:val="0"/>
            <w:sz w:val="24"/>
            <w:szCs w:val="24"/>
            <w:lang w:val="en-GB"/>
          </w:rPr>
          <w:t>https://atlasti.com/guides/thematic-analysis/thematic-analysis-secondary-data</w:t>
        </w:r>
      </w:hyperlink>
      <w:r w:rsidRPr="2615EA99" w:rsidR="5080EB5E">
        <w:rPr>
          <w:rFonts w:ascii="Arial" w:hAnsi="Arial" w:eastAsia="Arial" w:cs="Arial"/>
          <w:noProof w:val="0"/>
          <w:sz w:val="24"/>
          <w:szCs w:val="24"/>
          <w:lang w:val="en-GB"/>
        </w:rPr>
        <w:t xml:space="preserve"> [Accessed 3 Nov. 2025].</w:t>
      </w:r>
    </w:p>
    <w:p xmlns:wp14="http://schemas.microsoft.com/office/word/2010/wordml" w:rsidP="2615EA99" wp14:paraId="236D92B5" wp14:textId="69C7EFED">
      <w:pPr>
        <w:spacing w:before="0" w:beforeAutospacing="off" w:after="240" w:afterAutospacing="off" w:line="360" w:lineRule="auto"/>
      </w:pPr>
      <w:r w:rsidRPr="2615EA99" w:rsidR="5080EB5E">
        <w:rPr>
          <w:rFonts w:ascii="Arial" w:hAnsi="Arial" w:eastAsia="Arial" w:cs="Arial"/>
          <w:noProof w:val="0"/>
          <w:sz w:val="24"/>
          <w:szCs w:val="24"/>
          <w:lang w:val="en-GB"/>
        </w:rPr>
        <w:t xml:space="preserve">Henricks, L.A., Pouwels, J.L., Lansu, T.A.M., Lange, W., Becker, E.S. and Klein, A.M. (2021). Prospective associations between social status and social anxiety in early adolescence. </w:t>
      </w:r>
      <w:r w:rsidRPr="2615EA99" w:rsidR="5080EB5E">
        <w:rPr>
          <w:rFonts w:ascii="Arial" w:hAnsi="Arial" w:eastAsia="Arial" w:cs="Arial"/>
          <w:i w:val="1"/>
          <w:iCs w:val="1"/>
          <w:noProof w:val="0"/>
          <w:sz w:val="24"/>
          <w:szCs w:val="24"/>
          <w:lang w:val="en-GB"/>
        </w:rPr>
        <w:t>British Journal of Developmental Psychology</w:t>
      </w:r>
      <w:r w:rsidRPr="2615EA99" w:rsidR="5080EB5E">
        <w:rPr>
          <w:rFonts w:ascii="Arial" w:hAnsi="Arial" w:eastAsia="Arial" w:cs="Arial"/>
          <w:noProof w:val="0"/>
          <w:sz w:val="24"/>
          <w:szCs w:val="24"/>
          <w:lang w:val="en-GB"/>
        </w:rPr>
        <w:t>, 39(3). doi:https://doi.org/10.1111/bjdp.12374.</w:t>
      </w:r>
    </w:p>
    <w:p xmlns:wp14="http://schemas.microsoft.com/office/word/2010/wordml" w:rsidP="2615EA99" wp14:paraId="35B11981" wp14:textId="06029014">
      <w:pPr>
        <w:spacing w:before="0" w:beforeAutospacing="off" w:after="240" w:afterAutospacing="off" w:line="360" w:lineRule="auto"/>
      </w:pPr>
      <w:r w:rsidRPr="2615EA99" w:rsidR="5080EB5E">
        <w:rPr>
          <w:rFonts w:ascii="Arial" w:hAnsi="Arial" w:eastAsia="Arial" w:cs="Arial"/>
          <w:noProof w:val="0"/>
          <w:sz w:val="24"/>
          <w:szCs w:val="24"/>
          <w:lang w:val="en-GB"/>
        </w:rPr>
        <w:t xml:space="preserve">ICO (2023). </w:t>
      </w:r>
      <w:r w:rsidRPr="2615EA99" w:rsidR="5080EB5E">
        <w:rPr>
          <w:rFonts w:ascii="Arial" w:hAnsi="Arial" w:eastAsia="Arial" w:cs="Arial"/>
          <w:i w:val="1"/>
          <w:iCs w:val="1"/>
          <w:noProof w:val="0"/>
          <w:sz w:val="24"/>
          <w:szCs w:val="24"/>
          <w:lang w:val="en-GB"/>
        </w:rPr>
        <w:t>What should our general approach to processing children’s personal data be?</w:t>
      </w:r>
      <w:r w:rsidRPr="2615EA99" w:rsidR="5080EB5E">
        <w:rPr>
          <w:rFonts w:ascii="Arial" w:hAnsi="Arial" w:eastAsia="Arial" w:cs="Arial"/>
          <w:noProof w:val="0"/>
          <w:sz w:val="24"/>
          <w:szCs w:val="24"/>
          <w:lang w:val="en-GB"/>
        </w:rPr>
        <w:t xml:space="preserve"> [online] ico.org.uk. Available at: </w:t>
      </w:r>
      <w:hyperlink r:id="Rd121a5460c4a4ff1">
        <w:r w:rsidRPr="2615EA99" w:rsidR="5080EB5E">
          <w:rPr>
            <w:rStyle w:val="Hyperlink"/>
            <w:rFonts w:ascii="Arial" w:hAnsi="Arial" w:eastAsia="Arial" w:cs="Arial"/>
            <w:noProof w:val="0"/>
            <w:sz w:val="24"/>
            <w:szCs w:val="24"/>
            <w:lang w:val="en-GB"/>
          </w:rPr>
          <w:t>https://ico.org.uk/for-organisations/uk-gdpr-guidance-and-resources/childrens-information/children-and-the-uk-gdpr/what-should-our-general-approach-to-processing-children-s-personal-data-be/</w:t>
        </w:r>
      </w:hyperlink>
      <w:r w:rsidRPr="2615EA99" w:rsidR="5080EB5E">
        <w:rPr>
          <w:rFonts w:ascii="Arial" w:hAnsi="Arial" w:eastAsia="Arial" w:cs="Arial"/>
          <w:noProof w:val="0"/>
          <w:sz w:val="24"/>
          <w:szCs w:val="24"/>
          <w:lang w:val="en-GB"/>
        </w:rPr>
        <w:t xml:space="preserve"> [Accessed 17 Nov. 2025].</w:t>
      </w:r>
    </w:p>
    <w:p xmlns:wp14="http://schemas.microsoft.com/office/word/2010/wordml" w:rsidP="2615EA99" wp14:paraId="1B194FA0" wp14:textId="16AE76A3">
      <w:pPr>
        <w:spacing w:before="0" w:beforeAutospacing="off" w:after="240" w:afterAutospacing="off" w:line="360" w:lineRule="auto"/>
      </w:pPr>
      <w:r w:rsidRPr="2615EA99" w:rsidR="5080EB5E">
        <w:rPr>
          <w:rFonts w:ascii="Arial" w:hAnsi="Arial" w:eastAsia="Arial" w:cs="Arial"/>
          <w:noProof w:val="0"/>
          <w:sz w:val="24"/>
          <w:szCs w:val="24"/>
          <w:lang w:val="en-GB"/>
        </w:rPr>
        <w:t xml:space="preserve">joannahall8053 (2024). </w:t>
      </w:r>
      <w:r w:rsidRPr="2615EA99" w:rsidR="5080EB5E">
        <w:rPr>
          <w:rFonts w:ascii="Arial" w:hAnsi="Arial" w:eastAsia="Arial" w:cs="Arial"/>
          <w:i w:val="1"/>
          <w:iCs w:val="1"/>
          <w:noProof w:val="0"/>
          <w:sz w:val="24"/>
          <w:szCs w:val="24"/>
          <w:lang w:val="en-GB"/>
        </w:rPr>
        <w:t>Journey into Attachment: Bowlby Meets Freud’s Anna</w:t>
      </w:r>
      <w:r w:rsidRPr="2615EA99" w:rsidR="5080EB5E">
        <w:rPr>
          <w:rFonts w:ascii="Arial" w:hAnsi="Arial" w:eastAsia="Arial" w:cs="Arial"/>
          <w:noProof w:val="0"/>
          <w:sz w:val="24"/>
          <w:szCs w:val="24"/>
          <w:lang w:val="en-GB"/>
        </w:rPr>
        <w:t xml:space="preserve">. [online] Jo Naxton. Available at: </w:t>
      </w:r>
      <w:hyperlink r:id="R8fce23e3bfb5413d">
        <w:r w:rsidRPr="2615EA99" w:rsidR="5080EB5E">
          <w:rPr>
            <w:rStyle w:val="Hyperlink"/>
            <w:rFonts w:ascii="Arial" w:hAnsi="Arial" w:eastAsia="Arial" w:cs="Arial"/>
            <w:noProof w:val="0"/>
            <w:sz w:val="24"/>
            <w:szCs w:val="24"/>
            <w:lang w:val="en-GB"/>
          </w:rPr>
          <w:t>https://www.jonaxtonpsychotherapies.co.uk/post/journey-into-attachment-bowlby-meets-freud-s-anna</w:t>
        </w:r>
      </w:hyperlink>
      <w:r w:rsidRPr="2615EA99" w:rsidR="5080EB5E">
        <w:rPr>
          <w:rFonts w:ascii="Arial" w:hAnsi="Arial" w:eastAsia="Arial" w:cs="Arial"/>
          <w:noProof w:val="0"/>
          <w:sz w:val="24"/>
          <w:szCs w:val="24"/>
          <w:lang w:val="en-GB"/>
        </w:rPr>
        <w:t xml:space="preserve"> [Accessed 3 Nov. 2025].</w:t>
      </w:r>
    </w:p>
    <w:p xmlns:wp14="http://schemas.microsoft.com/office/word/2010/wordml" w:rsidP="2615EA99" wp14:paraId="12538879" wp14:textId="7FD96347">
      <w:pPr>
        <w:spacing w:before="0" w:beforeAutospacing="off" w:after="240" w:afterAutospacing="off" w:line="360" w:lineRule="auto"/>
      </w:pPr>
      <w:r w:rsidRPr="2615EA99" w:rsidR="5080EB5E">
        <w:rPr>
          <w:rFonts w:ascii="Arial" w:hAnsi="Arial" w:eastAsia="Arial" w:cs="Arial"/>
          <w:noProof w:val="0"/>
          <w:sz w:val="24"/>
          <w:szCs w:val="24"/>
          <w:lang w:val="en-GB"/>
        </w:rPr>
        <w:t xml:space="preserve">Lamba, S. (2024). </w:t>
      </w:r>
      <w:r w:rsidRPr="2615EA99" w:rsidR="5080EB5E">
        <w:rPr>
          <w:rFonts w:ascii="Arial" w:hAnsi="Arial" w:eastAsia="Arial" w:cs="Arial"/>
          <w:i w:val="1"/>
          <w:iCs w:val="1"/>
          <w:noProof w:val="0"/>
          <w:sz w:val="24"/>
          <w:szCs w:val="24"/>
          <w:lang w:val="en-GB"/>
        </w:rPr>
        <w:t>Key Things to Know About the Data Protection Act 2018</w:t>
      </w:r>
      <w:r w:rsidRPr="2615EA99" w:rsidR="5080EB5E">
        <w:rPr>
          <w:rFonts w:ascii="Arial" w:hAnsi="Arial" w:eastAsia="Arial" w:cs="Arial"/>
          <w:noProof w:val="0"/>
          <w:sz w:val="24"/>
          <w:szCs w:val="24"/>
          <w:lang w:val="en-GB"/>
        </w:rPr>
        <w:t xml:space="preserve">. [online] LegalVision UK. Available at: </w:t>
      </w:r>
      <w:hyperlink r:id="Rabf7b344dd9a4429">
        <w:r w:rsidRPr="2615EA99" w:rsidR="5080EB5E">
          <w:rPr>
            <w:rStyle w:val="Hyperlink"/>
            <w:rFonts w:ascii="Arial" w:hAnsi="Arial" w:eastAsia="Arial" w:cs="Arial"/>
            <w:noProof w:val="0"/>
            <w:sz w:val="24"/>
            <w:szCs w:val="24"/>
            <w:lang w:val="en-GB"/>
          </w:rPr>
          <w:t>https://legalvision.co.uk/data-privacy-it/key-things-data-protection-act-2018/</w:t>
        </w:r>
      </w:hyperlink>
      <w:r w:rsidRPr="2615EA99" w:rsidR="5080EB5E">
        <w:rPr>
          <w:rFonts w:ascii="Arial" w:hAnsi="Arial" w:eastAsia="Arial" w:cs="Arial"/>
          <w:noProof w:val="0"/>
          <w:sz w:val="24"/>
          <w:szCs w:val="24"/>
          <w:lang w:val="en-GB"/>
        </w:rPr>
        <w:t xml:space="preserve"> [Accessed 17 Nov. 2025].</w:t>
      </w:r>
    </w:p>
    <w:p xmlns:wp14="http://schemas.microsoft.com/office/word/2010/wordml" w:rsidP="2615EA99" wp14:paraId="00EF0B4D" wp14:textId="7BD19D70">
      <w:pPr>
        <w:spacing w:before="0" w:beforeAutospacing="off" w:after="240" w:afterAutospacing="off" w:line="360" w:lineRule="auto"/>
      </w:pPr>
      <w:r w:rsidRPr="2615EA99" w:rsidR="5080EB5E">
        <w:rPr>
          <w:rFonts w:ascii="Arial" w:hAnsi="Arial" w:eastAsia="Arial" w:cs="Arial"/>
          <w:noProof w:val="0"/>
          <w:sz w:val="24"/>
          <w:szCs w:val="24"/>
          <w:lang w:val="en-GB"/>
        </w:rPr>
        <w:t xml:space="preserve">McCloud, R.F., Bekalu, M.A., Vaughan, T., Maranta, L., Peck, E. and Viswanath, K. (2023). Evidence for Decision-Making: The Importance of Systematic Data Collection as an Essential Component of Responsive Feedback. </w:t>
      </w:r>
      <w:r w:rsidRPr="2615EA99" w:rsidR="5080EB5E">
        <w:rPr>
          <w:rFonts w:ascii="Arial" w:hAnsi="Arial" w:eastAsia="Arial" w:cs="Arial"/>
          <w:i w:val="1"/>
          <w:iCs w:val="1"/>
          <w:noProof w:val="0"/>
          <w:sz w:val="24"/>
          <w:szCs w:val="24"/>
          <w:lang w:val="en-GB"/>
        </w:rPr>
        <w:t>Global Health: Science and Practice</w:t>
      </w:r>
      <w:r w:rsidRPr="2615EA99" w:rsidR="5080EB5E">
        <w:rPr>
          <w:rFonts w:ascii="Arial" w:hAnsi="Arial" w:eastAsia="Arial" w:cs="Arial"/>
          <w:noProof w:val="0"/>
          <w:sz w:val="24"/>
          <w:szCs w:val="24"/>
          <w:lang w:val="en-GB"/>
        </w:rPr>
        <w:t>, 11(2). doi:https://doi.org/10.9745/GHSP-D-22-00246.</w:t>
      </w:r>
    </w:p>
    <w:p xmlns:wp14="http://schemas.microsoft.com/office/word/2010/wordml" w:rsidP="2615EA99" wp14:paraId="3626D5BA" wp14:textId="5F8FACBD">
      <w:pPr>
        <w:spacing w:before="0" w:beforeAutospacing="off" w:after="240" w:afterAutospacing="off" w:line="360" w:lineRule="auto"/>
      </w:pPr>
      <w:r w:rsidRPr="2615EA99" w:rsidR="5080EB5E">
        <w:rPr>
          <w:rFonts w:ascii="Arial" w:hAnsi="Arial" w:eastAsia="Arial" w:cs="Arial"/>
          <w:noProof w:val="0"/>
          <w:sz w:val="24"/>
          <w:szCs w:val="24"/>
          <w:lang w:val="en-GB"/>
        </w:rPr>
        <w:t xml:space="preserve">Mishra, S. and Dey, A.K. (2022). Understanding and Identifying ‘themes’ in Qualitative Case Study Research. </w:t>
      </w:r>
      <w:r w:rsidRPr="2615EA99" w:rsidR="5080EB5E">
        <w:rPr>
          <w:rFonts w:ascii="Arial" w:hAnsi="Arial" w:eastAsia="Arial" w:cs="Arial"/>
          <w:i w:val="1"/>
          <w:iCs w:val="1"/>
          <w:noProof w:val="0"/>
          <w:sz w:val="24"/>
          <w:szCs w:val="24"/>
          <w:lang w:val="en-GB"/>
        </w:rPr>
        <w:t>South Asian Journal of Business and Management Cases</w:t>
      </w:r>
      <w:r w:rsidRPr="2615EA99" w:rsidR="5080EB5E">
        <w:rPr>
          <w:rFonts w:ascii="Arial" w:hAnsi="Arial" w:eastAsia="Arial" w:cs="Arial"/>
          <w:noProof w:val="0"/>
          <w:sz w:val="24"/>
          <w:szCs w:val="24"/>
          <w:lang w:val="en-GB"/>
        </w:rPr>
        <w:t xml:space="preserve">, [online] 11(3), pp.187–192. Available at: </w:t>
      </w:r>
      <w:hyperlink r:id="R650f1ffb98aa4797">
        <w:r w:rsidRPr="2615EA99" w:rsidR="5080EB5E">
          <w:rPr>
            <w:rStyle w:val="Hyperlink"/>
            <w:rFonts w:ascii="Arial" w:hAnsi="Arial" w:eastAsia="Arial" w:cs="Arial"/>
            <w:noProof w:val="0"/>
            <w:sz w:val="24"/>
            <w:szCs w:val="24"/>
            <w:lang w:val="en-GB"/>
          </w:rPr>
          <w:t>https://journals.sagepub.com/doi/full/10.1177/22779779221134659</w:t>
        </w:r>
      </w:hyperlink>
      <w:r w:rsidRPr="2615EA99" w:rsidR="5080EB5E">
        <w:rPr>
          <w:rFonts w:ascii="Arial" w:hAnsi="Arial" w:eastAsia="Arial" w:cs="Arial"/>
          <w:noProof w:val="0"/>
          <w:sz w:val="24"/>
          <w:szCs w:val="24"/>
          <w:lang w:val="en-GB"/>
        </w:rPr>
        <w:t xml:space="preserve"> [Accessed 3 Nov. 2025].</w:t>
      </w:r>
    </w:p>
    <w:p xmlns:wp14="http://schemas.microsoft.com/office/word/2010/wordml" w:rsidP="2615EA99" wp14:paraId="48909A9F" wp14:textId="1021F0C2">
      <w:pPr>
        <w:spacing w:before="0" w:beforeAutospacing="off" w:after="240" w:afterAutospacing="off" w:line="360" w:lineRule="auto"/>
      </w:pPr>
      <w:r w:rsidRPr="2615EA99" w:rsidR="5080EB5E">
        <w:rPr>
          <w:rFonts w:ascii="Arial" w:hAnsi="Arial" w:eastAsia="Arial" w:cs="Arial"/>
          <w:noProof w:val="0"/>
          <w:sz w:val="24"/>
          <w:szCs w:val="24"/>
          <w:lang w:val="en-GB"/>
        </w:rPr>
        <w:t xml:space="preserve">Murray, L., Jennings, S., Mortimer, A., Prout, A., Melhuish, E., Hughes, C., Duncan, J., Holmes, J., Dishington, C. and Cooper, P.J. (2018). The impact of early-years provision in Children’s Centres (EPICC) on child cognitive and socio-emotional development: study protocol for a randomised controlled trial. </w:t>
      </w:r>
      <w:r w:rsidRPr="2615EA99" w:rsidR="5080EB5E">
        <w:rPr>
          <w:rFonts w:ascii="Arial" w:hAnsi="Arial" w:eastAsia="Arial" w:cs="Arial"/>
          <w:i w:val="1"/>
          <w:iCs w:val="1"/>
          <w:noProof w:val="0"/>
          <w:sz w:val="24"/>
          <w:szCs w:val="24"/>
          <w:lang w:val="en-GB"/>
        </w:rPr>
        <w:t>Trials</w:t>
      </w:r>
      <w:r w:rsidRPr="2615EA99" w:rsidR="5080EB5E">
        <w:rPr>
          <w:rFonts w:ascii="Arial" w:hAnsi="Arial" w:eastAsia="Arial" w:cs="Arial"/>
          <w:noProof w:val="0"/>
          <w:sz w:val="24"/>
          <w:szCs w:val="24"/>
          <w:lang w:val="en-GB"/>
        </w:rPr>
        <w:t>, 19(1). doi:https://doi.org/10.1186/s13063-018-2700-x.</w:t>
      </w:r>
    </w:p>
    <w:p xmlns:wp14="http://schemas.microsoft.com/office/word/2010/wordml" w:rsidP="2615EA99" wp14:paraId="3A815B3A" wp14:textId="2F8DE039">
      <w:pPr>
        <w:spacing w:before="0" w:beforeAutospacing="off" w:after="240" w:afterAutospacing="off" w:line="360" w:lineRule="auto"/>
      </w:pPr>
      <w:r w:rsidRPr="2615EA99" w:rsidR="5080EB5E">
        <w:rPr>
          <w:rFonts w:ascii="Arial" w:hAnsi="Arial" w:eastAsia="Arial" w:cs="Arial"/>
          <w:noProof w:val="0"/>
          <w:sz w:val="24"/>
          <w:szCs w:val="24"/>
          <w:lang w:val="en-GB"/>
        </w:rPr>
        <w:t xml:space="preserve">NHS Digital (2023a). </w:t>
      </w:r>
      <w:r w:rsidRPr="2615EA99" w:rsidR="5080EB5E">
        <w:rPr>
          <w:rFonts w:ascii="Arial" w:hAnsi="Arial" w:eastAsia="Arial" w:cs="Arial"/>
          <w:i w:val="1"/>
          <w:iCs w:val="1"/>
          <w:noProof w:val="0"/>
          <w:sz w:val="24"/>
          <w:szCs w:val="24"/>
          <w:lang w:val="en-GB"/>
        </w:rPr>
        <w:t>Mental health of children and young people in england, 2023 - wave 4 follow up to the 2017 survey</w:t>
      </w:r>
      <w:r w:rsidRPr="2615EA99" w:rsidR="5080EB5E">
        <w:rPr>
          <w:rFonts w:ascii="Arial" w:hAnsi="Arial" w:eastAsia="Arial" w:cs="Arial"/>
          <w:noProof w:val="0"/>
          <w:sz w:val="24"/>
          <w:szCs w:val="24"/>
          <w:lang w:val="en-GB"/>
        </w:rPr>
        <w:t xml:space="preserve">. [online] NHS Digital. Available at: </w:t>
      </w:r>
      <w:hyperlink r:id="R34c209cdf6254772">
        <w:r w:rsidRPr="2615EA99" w:rsidR="5080EB5E">
          <w:rPr>
            <w:rStyle w:val="Hyperlink"/>
            <w:rFonts w:ascii="Arial" w:hAnsi="Arial" w:eastAsia="Arial" w:cs="Arial"/>
            <w:noProof w:val="0"/>
            <w:sz w:val="24"/>
            <w:szCs w:val="24"/>
            <w:lang w:val="en-GB"/>
          </w:rPr>
          <w:t>https://digital.nhs.uk/data-and-information/publications/statistical/mental-health-of-children-and-young-people-in-england/2023-wave-4-follow-up</w:t>
        </w:r>
      </w:hyperlink>
      <w:r w:rsidRPr="2615EA99" w:rsidR="5080EB5E">
        <w:rPr>
          <w:rFonts w:ascii="Arial" w:hAnsi="Arial" w:eastAsia="Arial" w:cs="Arial"/>
          <w:noProof w:val="0"/>
          <w:sz w:val="24"/>
          <w:szCs w:val="24"/>
          <w:lang w:val="en-GB"/>
        </w:rPr>
        <w:t xml:space="preserve"> [Accessed 15 Nov. 2025].</w:t>
      </w:r>
    </w:p>
    <w:p xmlns:wp14="http://schemas.microsoft.com/office/word/2010/wordml" w:rsidP="2615EA99" wp14:paraId="0D6E7EF9" wp14:textId="59677000">
      <w:pPr>
        <w:spacing w:before="0" w:beforeAutospacing="off" w:after="240" w:afterAutospacing="off" w:line="360" w:lineRule="auto"/>
      </w:pPr>
      <w:r w:rsidRPr="2615EA99" w:rsidR="5080EB5E">
        <w:rPr>
          <w:rFonts w:ascii="Arial" w:hAnsi="Arial" w:eastAsia="Arial" w:cs="Arial"/>
          <w:noProof w:val="0"/>
          <w:sz w:val="24"/>
          <w:szCs w:val="24"/>
          <w:lang w:val="en-GB"/>
        </w:rPr>
        <w:t xml:space="preserve">NHS Digital (2023b). </w:t>
      </w:r>
      <w:r w:rsidRPr="2615EA99" w:rsidR="5080EB5E">
        <w:rPr>
          <w:rFonts w:ascii="Arial" w:hAnsi="Arial" w:eastAsia="Arial" w:cs="Arial"/>
          <w:i w:val="1"/>
          <w:iCs w:val="1"/>
          <w:noProof w:val="0"/>
          <w:sz w:val="24"/>
          <w:szCs w:val="24"/>
          <w:lang w:val="en-GB"/>
        </w:rPr>
        <w:t>Mental health of children and young people in england, 2023 - wave 4 follow up to the 2017 survey</w:t>
      </w:r>
      <w:r w:rsidRPr="2615EA99" w:rsidR="5080EB5E">
        <w:rPr>
          <w:rFonts w:ascii="Arial" w:hAnsi="Arial" w:eastAsia="Arial" w:cs="Arial"/>
          <w:noProof w:val="0"/>
          <w:sz w:val="24"/>
          <w:szCs w:val="24"/>
          <w:lang w:val="en-GB"/>
        </w:rPr>
        <w:t xml:space="preserve">. [online] NHS Digital. Available at: </w:t>
      </w:r>
      <w:hyperlink r:id="Rc6518c4615f24166">
        <w:r w:rsidRPr="2615EA99" w:rsidR="5080EB5E">
          <w:rPr>
            <w:rStyle w:val="Hyperlink"/>
            <w:rFonts w:ascii="Arial" w:hAnsi="Arial" w:eastAsia="Arial" w:cs="Arial"/>
            <w:noProof w:val="0"/>
            <w:sz w:val="24"/>
            <w:szCs w:val="24"/>
            <w:lang w:val="en-GB"/>
          </w:rPr>
          <w:t>https://digital.nhs.uk/data-and-information/publications/statistical/mental-health-of-children-and-young-people-in-england/2023-wave-4-follow-up</w:t>
        </w:r>
      </w:hyperlink>
      <w:r w:rsidRPr="2615EA99" w:rsidR="5080EB5E">
        <w:rPr>
          <w:rFonts w:ascii="Arial" w:hAnsi="Arial" w:eastAsia="Arial" w:cs="Arial"/>
          <w:noProof w:val="0"/>
          <w:sz w:val="24"/>
          <w:szCs w:val="24"/>
          <w:lang w:val="en-GB"/>
        </w:rPr>
        <w:t xml:space="preserve"> [Accessed 17 Nov. 2025].</w:t>
      </w:r>
    </w:p>
    <w:p xmlns:wp14="http://schemas.microsoft.com/office/word/2010/wordml" w:rsidP="2615EA99" wp14:paraId="5BF29607" wp14:textId="4125F409">
      <w:pPr>
        <w:spacing w:before="0" w:beforeAutospacing="off" w:after="240" w:afterAutospacing="off" w:line="360" w:lineRule="auto"/>
      </w:pPr>
      <w:r w:rsidRPr="2615EA99" w:rsidR="5080EB5E">
        <w:rPr>
          <w:rFonts w:ascii="Arial" w:hAnsi="Arial" w:eastAsia="Arial" w:cs="Arial"/>
          <w:noProof w:val="0"/>
          <w:sz w:val="24"/>
          <w:szCs w:val="24"/>
          <w:lang w:val="en-GB"/>
        </w:rPr>
        <w:t xml:space="preserve">NHS England (2023). </w:t>
      </w:r>
      <w:r w:rsidRPr="2615EA99" w:rsidR="5080EB5E">
        <w:rPr>
          <w:rFonts w:ascii="Arial" w:hAnsi="Arial" w:eastAsia="Arial" w:cs="Arial"/>
          <w:i w:val="1"/>
          <w:iCs w:val="1"/>
          <w:noProof w:val="0"/>
          <w:sz w:val="24"/>
          <w:szCs w:val="24"/>
          <w:lang w:val="en-GB"/>
        </w:rPr>
        <w:t>One in Five Children and Young People Had a Probable Mental Disorder in 2023</w:t>
      </w:r>
      <w:r w:rsidRPr="2615EA99" w:rsidR="5080EB5E">
        <w:rPr>
          <w:rFonts w:ascii="Arial" w:hAnsi="Arial" w:eastAsia="Arial" w:cs="Arial"/>
          <w:noProof w:val="0"/>
          <w:sz w:val="24"/>
          <w:szCs w:val="24"/>
          <w:lang w:val="en-GB"/>
        </w:rPr>
        <w:t xml:space="preserve">. [online] </w:t>
      </w:r>
      <w:hyperlink r:id="R5fba82c7ed244d84">
        <w:r w:rsidRPr="2615EA99" w:rsidR="5080EB5E">
          <w:rPr>
            <w:rStyle w:val="Hyperlink"/>
            <w:rFonts w:ascii="Arial" w:hAnsi="Arial" w:eastAsia="Arial" w:cs="Arial"/>
            <w:noProof w:val="0"/>
            <w:sz w:val="24"/>
            <w:szCs w:val="24"/>
            <w:lang w:val="en-GB"/>
          </w:rPr>
          <w:t>www.england.nhs.uk</w:t>
        </w:r>
      </w:hyperlink>
      <w:r w:rsidRPr="2615EA99" w:rsidR="5080EB5E">
        <w:rPr>
          <w:rFonts w:ascii="Arial" w:hAnsi="Arial" w:eastAsia="Arial" w:cs="Arial"/>
          <w:noProof w:val="0"/>
          <w:sz w:val="24"/>
          <w:szCs w:val="24"/>
          <w:lang w:val="en-GB"/>
        </w:rPr>
        <w:t xml:space="preserve">. Available at: </w:t>
      </w:r>
      <w:hyperlink r:id="R7ff717c56ec8400b">
        <w:r w:rsidRPr="2615EA99" w:rsidR="5080EB5E">
          <w:rPr>
            <w:rStyle w:val="Hyperlink"/>
            <w:rFonts w:ascii="Arial" w:hAnsi="Arial" w:eastAsia="Arial" w:cs="Arial"/>
            <w:noProof w:val="0"/>
            <w:sz w:val="24"/>
            <w:szCs w:val="24"/>
            <w:lang w:val="en-GB"/>
          </w:rPr>
          <w:t>https://www.england.nhs.uk/2023/11/one-in-five-children-and-young-people-had-a-probable-mental-disorder-in-2023/</w:t>
        </w:r>
      </w:hyperlink>
      <w:r w:rsidRPr="2615EA99" w:rsidR="5080EB5E">
        <w:rPr>
          <w:rFonts w:ascii="Arial" w:hAnsi="Arial" w:eastAsia="Arial" w:cs="Arial"/>
          <w:noProof w:val="0"/>
          <w:sz w:val="24"/>
          <w:szCs w:val="24"/>
          <w:lang w:val="en-GB"/>
        </w:rPr>
        <w:t xml:space="preserve"> [Accessed 15 Nov. 2025].</w:t>
      </w:r>
    </w:p>
    <w:p xmlns:wp14="http://schemas.microsoft.com/office/word/2010/wordml" w:rsidP="2615EA99" wp14:paraId="7DC52C5A" wp14:textId="3810F8C7">
      <w:pPr>
        <w:spacing w:before="0" w:beforeAutospacing="off" w:after="240" w:afterAutospacing="off" w:line="360" w:lineRule="auto"/>
      </w:pPr>
      <w:r w:rsidRPr="2615EA99" w:rsidR="5080EB5E">
        <w:rPr>
          <w:rFonts w:ascii="Arial" w:hAnsi="Arial" w:eastAsia="Arial" w:cs="Arial"/>
          <w:noProof w:val="0"/>
          <w:sz w:val="24"/>
          <w:szCs w:val="24"/>
          <w:lang w:val="en-GB"/>
        </w:rPr>
        <w:t xml:space="preserve">O’Byrne, I. (2018). </w:t>
      </w:r>
      <w:r w:rsidRPr="2615EA99" w:rsidR="5080EB5E">
        <w:rPr>
          <w:rFonts w:ascii="Arial" w:hAnsi="Arial" w:eastAsia="Arial" w:cs="Arial"/>
          <w:i w:val="1"/>
          <w:iCs w:val="1"/>
          <w:noProof w:val="0"/>
          <w:sz w:val="24"/>
          <w:szCs w:val="24"/>
          <w:lang w:val="en-GB"/>
        </w:rPr>
        <w:t>What is ‘Critical Literacy’ in Education?</w:t>
      </w:r>
      <w:r w:rsidRPr="2615EA99" w:rsidR="5080EB5E">
        <w:rPr>
          <w:rFonts w:ascii="Arial" w:hAnsi="Arial" w:eastAsia="Arial" w:cs="Arial"/>
          <w:noProof w:val="0"/>
          <w:sz w:val="24"/>
          <w:szCs w:val="24"/>
          <w:lang w:val="en-GB"/>
        </w:rPr>
        <w:t xml:space="preserve"> [online] W. Ian O’Byrne. Available at: </w:t>
      </w:r>
      <w:hyperlink r:id="Reff9804a3c13473e">
        <w:r w:rsidRPr="2615EA99" w:rsidR="5080EB5E">
          <w:rPr>
            <w:rStyle w:val="Hyperlink"/>
            <w:rFonts w:ascii="Arial" w:hAnsi="Arial" w:eastAsia="Arial" w:cs="Arial"/>
            <w:noProof w:val="0"/>
            <w:sz w:val="24"/>
            <w:szCs w:val="24"/>
            <w:lang w:val="en-GB"/>
          </w:rPr>
          <w:t>https://wiobyrne.com/critical-literacy/</w:t>
        </w:r>
      </w:hyperlink>
      <w:r w:rsidRPr="2615EA99" w:rsidR="5080EB5E">
        <w:rPr>
          <w:rFonts w:ascii="Arial" w:hAnsi="Arial" w:eastAsia="Arial" w:cs="Arial"/>
          <w:noProof w:val="0"/>
          <w:sz w:val="24"/>
          <w:szCs w:val="24"/>
          <w:lang w:val="en-GB"/>
        </w:rPr>
        <w:t xml:space="preserve"> [Accessed 10 Nov. 2025].</w:t>
      </w:r>
    </w:p>
    <w:p xmlns:wp14="http://schemas.microsoft.com/office/word/2010/wordml" w:rsidP="2615EA99" wp14:paraId="525FBB97" wp14:textId="5BC9FDD7">
      <w:pPr>
        <w:spacing w:before="0" w:beforeAutospacing="off" w:after="240" w:afterAutospacing="off" w:line="360" w:lineRule="auto"/>
      </w:pPr>
      <w:r w:rsidRPr="2615EA99" w:rsidR="5080EB5E">
        <w:rPr>
          <w:rFonts w:ascii="Arial" w:hAnsi="Arial" w:eastAsia="Arial" w:cs="Arial"/>
          <w:noProof w:val="0"/>
          <w:sz w:val="24"/>
          <w:szCs w:val="24"/>
          <w:lang w:val="en-GB"/>
        </w:rPr>
        <w:t xml:space="preserve">Office for National Statistics (2024). </w:t>
      </w:r>
      <w:r w:rsidRPr="2615EA99" w:rsidR="5080EB5E">
        <w:rPr>
          <w:rFonts w:ascii="Arial" w:hAnsi="Arial" w:eastAsia="Arial" w:cs="Arial"/>
          <w:i w:val="1"/>
          <w:iCs w:val="1"/>
          <w:noProof w:val="0"/>
          <w:sz w:val="24"/>
          <w:szCs w:val="24"/>
          <w:lang w:val="en-GB"/>
        </w:rPr>
        <w:t>Bullying and Online Experiences among Children in England and Wales - Office for National Statistics</w:t>
      </w:r>
      <w:r w:rsidRPr="2615EA99" w:rsidR="5080EB5E">
        <w:rPr>
          <w:rFonts w:ascii="Arial" w:hAnsi="Arial" w:eastAsia="Arial" w:cs="Arial"/>
          <w:noProof w:val="0"/>
          <w:sz w:val="24"/>
          <w:szCs w:val="24"/>
          <w:lang w:val="en-GB"/>
        </w:rPr>
        <w:t xml:space="preserve">. [online] Office for National Statistics. Available at: </w:t>
      </w:r>
      <w:hyperlink r:id="Rcc374eec41d14653">
        <w:r w:rsidRPr="2615EA99" w:rsidR="5080EB5E">
          <w:rPr>
            <w:rStyle w:val="Hyperlink"/>
            <w:rFonts w:ascii="Arial" w:hAnsi="Arial" w:eastAsia="Arial" w:cs="Arial"/>
            <w:noProof w:val="0"/>
            <w:sz w:val="24"/>
            <w:szCs w:val="24"/>
            <w:lang w:val="en-GB"/>
          </w:rPr>
          <w:t>https://www.ons.gov.uk/peoplepopulationandcommunity/crimeandjustice/bulletins/bullyingandonlineexperiencesamongchildreninenglandandwales/yearendingmarch2023</w:t>
        </w:r>
      </w:hyperlink>
      <w:r w:rsidRPr="2615EA99" w:rsidR="5080EB5E">
        <w:rPr>
          <w:rFonts w:ascii="Arial" w:hAnsi="Arial" w:eastAsia="Arial" w:cs="Arial"/>
          <w:noProof w:val="0"/>
          <w:sz w:val="24"/>
          <w:szCs w:val="24"/>
          <w:lang w:val="en-GB"/>
        </w:rPr>
        <w:t xml:space="preserve"> [Accessed 17 Nov. 2025].</w:t>
      </w:r>
    </w:p>
    <w:p xmlns:wp14="http://schemas.microsoft.com/office/word/2010/wordml" w:rsidP="2615EA99" wp14:paraId="58164C45" wp14:textId="3AADDCD6">
      <w:pPr>
        <w:spacing w:before="0" w:beforeAutospacing="off" w:after="240" w:afterAutospacing="off" w:line="360" w:lineRule="auto"/>
      </w:pPr>
      <w:r w:rsidRPr="2615EA99" w:rsidR="5080EB5E">
        <w:rPr>
          <w:rFonts w:ascii="Arial" w:hAnsi="Arial" w:eastAsia="Arial" w:cs="Arial"/>
          <w:noProof w:val="0"/>
          <w:sz w:val="24"/>
          <w:szCs w:val="24"/>
          <w:lang w:val="en-GB"/>
        </w:rPr>
        <w:t xml:space="preserve">oliver, chris (2015). </w:t>
      </w:r>
      <w:r w:rsidRPr="2615EA99" w:rsidR="5080EB5E">
        <w:rPr>
          <w:rFonts w:ascii="Arial" w:hAnsi="Arial" w:eastAsia="Arial" w:cs="Arial"/>
          <w:i w:val="1"/>
          <w:iCs w:val="1"/>
          <w:noProof w:val="0"/>
          <w:sz w:val="24"/>
          <w:szCs w:val="24"/>
          <w:lang w:val="en-GB"/>
        </w:rPr>
        <w:t>Anxiety A Guide for Parents</w:t>
      </w:r>
      <w:r w:rsidRPr="2615EA99" w:rsidR="5080EB5E">
        <w:rPr>
          <w:rFonts w:ascii="Arial" w:hAnsi="Arial" w:eastAsia="Arial" w:cs="Arial"/>
          <w:noProof w:val="0"/>
          <w:sz w:val="24"/>
          <w:szCs w:val="24"/>
          <w:lang w:val="en-GB"/>
        </w:rPr>
        <w:t xml:space="preserve">. [online] Available at: </w:t>
      </w:r>
      <w:hyperlink r:id="R84a9e6acb5c24ce3">
        <w:r w:rsidRPr="2615EA99" w:rsidR="5080EB5E">
          <w:rPr>
            <w:rStyle w:val="Hyperlink"/>
            <w:rFonts w:ascii="Arial" w:hAnsi="Arial" w:eastAsia="Arial" w:cs="Arial"/>
            <w:noProof w:val="0"/>
            <w:sz w:val="24"/>
            <w:szCs w:val="24"/>
            <w:lang w:val="en-GB"/>
          </w:rPr>
          <w:t>https://cerebra.org.uk/wp-content/uploads/2023/03/anxiety-2023.pdf</w:t>
        </w:r>
      </w:hyperlink>
      <w:r w:rsidRPr="2615EA99" w:rsidR="5080EB5E">
        <w:rPr>
          <w:rFonts w:ascii="Arial" w:hAnsi="Arial" w:eastAsia="Arial" w:cs="Arial"/>
          <w:noProof w:val="0"/>
          <w:sz w:val="24"/>
          <w:szCs w:val="24"/>
          <w:lang w:val="en-GB"/>
        </w:rPr>
        <w:t xml:space="preserve"> [Accessed 10 Nov. 2025].</w:t>
      </w:r>
    </w:p>
    <w:p xmlns:wp14="http://schemas.microsoft.com/office/word/2010/wordml" w:rsidP="2615EA99" wp14:paraId="66329CFC" wp14:textId="1E3355F2">
      <w:pPr>
        <w:spacing w:before="0" w:beforeAutospacing="off" w:after="240" w:afterAutospacing="off" w:line="360" w:lineRule="auto"/>
      </w:pPr>
      <w:r w:rsidRPr="2615EA99" w:rsidR="5080EB5E">
        <w:rPr>
          <w:rFonts w:ascii="Arial" w:hAnsi="Arial" w:eastAsia="Arial" w:cs="Arial"/>
          <w:noProof w:val="0"/>
          <w:sz w:val="24"/>
          <w:szCs w:val="24"/>
          <w:lang w:val="en-GB"/>
        </w:rPr>
        <w:t xml:space="preserve">Ooi, J. (2021a). Behavioural Inhibition and Childhood Anxiety: Interventions and the Role of Peer Relationships. </w:t>
      </w:r>
      <w:r w:rsidRPr="2615EA99" w:rsidR="5080EB5E">
        <w:rPr>
          <w:rFonts w:ascii="Arial" w:hAnsi="Arial" w:eastAsia="Arial" w:cs="Arial"/>
          <w:i w:val="1"/>
          <w:iCs w:val="1"/>
          <w:noProof w:val="0"/>
          <w:sz w:val="24"/>
          <w:szCs w:val="24"/>
          <w:lang w:val="en-GB"/>
        </w:rPr>
        <w:t>Uea.ac.uk</w:t>
      </w:r>
      <w:r w:rsidRPr="2615EA99" w:rsidR="5080EB5E">
        <w:rPr>
          <w:rFonts w:ascii="Arial" w:hAnsi="Arial" w:eastAsia="Arial" w:cs="Arial"/>
          <w:noProof w:val="0"/>
          <w:sz w:val="24"/>
          <w:szCs w:val="24"/>
          <w:lang w:val="en-GB"/>
        </w:rPr>
        <w:t>, [online] 2(1). doi:https://ueaeprints.uea.ac.uk/id/eprint/82237/1/2021OoiJClinPsyD.pdf.</w:t>
      </w:r>
    </w:p>
    <w:p xmlns:wp14="http://schemas.microsoft.com/office/word/2010/wordml" w:rsidP="2615EA99" wp14:paraId="29A259AF" wp14:textId="01B2F528">
      <w:pPr>
        <w:spacing w:before="0" w:beforeAutospacing="off" w:after="240" w:afterAutospacing="off" w:line="360" w:lineRule="auto"/>
      </w:pPr>
      <w:r w:rsidRPr="2615EA99" w:rsidR="5080EB5E">
        <w:rPr>
          <w:rFonts w:ascii="Arial" w:hAnsi="Arial" w:eastAsia="Arial" w:cs="Arial"/>
          <w:noProof w:val="0"/>
          <w:sz w:val="24"/>
          <w:szCs w:val="24"/>
          <w:lang w:val="en-GB"/>
        </w:rPr>
        <w:t xml:space="preserve">Ooi, J. (2021b). Behavioural Inhibition and Childhood Anxiety: Interventions and the Role of Peer Relationships. </w:t>
      </w:r>
      <w:r w:rsidRPr="2615EA99" w:rsidR="5080EB5E">
        <w:rPr>
          <w:rFonts w:ascii="Arial" w:hAnsi="Arial" w:eastAsia="Arial" w:cs="Arial"/>
          <w:i w:val="1"/>
          <w:iCs w:val="1"/>
          <w:noProof w:val="0"/>
          <w:sz w:val="24"/>
          <w:szCs w:val="24"/>
          <w:lang w:val="en-GB"/>
        </w:rPr>
        <w:t>Uea.ac.uk</w:t>
      </w:r>
      <w:r w:rsidRPr="2615EA99" w:rsidR="5080EB5E">
        <w:rPr>
          <w:rFonts w:ascii="Arial" w:hAnsi="Arial" w:eastAsia="Arial" w:cs="Arial"/>
          <w:noProof w:val="0"/>
          <w:sz w:val="24"/>
          <w:szCs w:val="24"/>
          <w:lang w:val="en-GB"/>
        </w:rPr>
        <w:t>, [online] 2(1). doi:https://ueaeprints.uea.ac.uk/id/eprint/82237/1/2021OoiJClinPsyD.pdf.</w:t>
      </w:r>
    </w:p>
    <w:p xmlns:wp14="http://schemas.microsoft.com/office/word/2010/wordml" w:rsidP="2615EA99" wp14:paraId="1F8BDDF8" wp14:textId="795B42CF">
      <w:pPr>
        <w:spacing w:before="0" w:beforeAutospacing="off" w:after="240" w:afterAutospacing="off" w:line="360" w:lineRule="auto"/>
      </w:pPr>
      <w:r w:rsidRPr="2615EA99" w:rsidR="5080EB5E">
        <w:rPr>
          <w:rFonts w:ascii="Arial" w:hAnsi="Arial" w:eastAsia="Arial" w:cs="Arial"/>
          <w:noProof w:val="0"/>
          <w:sz w:val="24"/>
          <w:szCs w:val="24"/>
          <w:lang w:val="en-GB"/>
        </w:rPr>
        <w:t xml:space="preserve">Ooi, J. (2021c). Behavioural Inhibition and Childhood Anxiety: Interventions and the Role of Peer Relationships. </w:t>
      </w:r>
      <w:r w:rsidRPr="2615EA99" w:rsidR="5080EB5E">
        <w:rPr>
          <w:rFonts w:ascii="Arial" w:hAnsi="Arial" w:eastAsia="Arial" w:cs="Arial"/>
          <w:i w:val="1"/>
          <w:iCs w:val="1"/>
          <w:noProof w:val="0"/>
          <w:sz w:val="24"/>
          <w:szCs w:val="24"/>
          <w:lang w:val="en-GB"/>
        </w:rPr>
        <w:t>Uea.ac.uk</w:t>
      </w:r>
      <w:r w:rsidRPr="2615EA99" w:rsidR="5080EB5E">
        <w:rPr>
          <w:rFonts w:ascii="Arial" w:hAnsi="Arial" w:eastAsia="Arial" w:cs="Arial"/>
          <w:noProof w:val="0"/>
          <w:sz w:val="24"/>
          <w:szCs w:val="24"/>
          <w:lang w:val="en-GB"/>
        </w:rPr>
        <w:t>, [online] 4(2). doi:https://ueaeprints.uea.ac.uk/id/eprint/82237/1/2021OoiJClinPsyD.pdf.</w:t>
      </w:r>
    </w:p>
    <w:p xmlns:wp14="http://schemas.microsoft.com/office/word/2010/wordml" w:rsidP="2615EA99" wp14:paraId="2FE47AF0" wp14:textId="52533682">
      <w:pPr>
        <w:spacing w:before="0" w:beforeAutospacing="off" w:after="240" w:afterAutospacing="off" w:line="360" w:lineRule="auto"/>
      </w:pPr>
      <w:r w:rsidRPr="2615EA99" w:rsidR="5080EB5E">
        <w:rPr>
          <w:rFonts w:ascii="Arial" w:hAnsi="Arial" w:eastAsia="Arial" w:cs="Arial"/>
          <w:noProof w:val="0"/>
          <w:sz w:val="24"/>
          <w:szCs w:val="24"/>
          <w:lang w:val="en-GB"/>
        </w:rPr>
        <w:t xml:space="preserve">Parvez, H. (2019). </w:t>
      </w:r>
      <w:r w:rsidRPr="2615EA99" w:rsidR="5080EB5E">
        <w:rPr>
          <w:rFonts w:ascii="Arial" w:hAnsi="Arial" w:eastAsia="Arial" w:cs="Arial"/>
          <w:i w:val="1"/>
          <w:iCs w:val="1"/>
          <w:noProof w:val="0"/>
          <w:sz w:val="24"/>
          <w:szCs w:val="24"/>
          <w:lang w:val="en-GB"/>
        </w:rPr>
        <w:t>Cognitive Behavioural Theory explained</w:t>
      </w:r>
      <w:r w:rsidRPr="2615EA99" w:rsidR="5080EB5E">
        <w:rPr>
          <w:rFonts w:ascii="Arial" w:hAnsi="Arial" w:eastAsia="Arial" w:cs="Arial"/>
          <w:noProof w:val="0"/>
          <w:sz w:val="24"/>
          <w:szCs w:val="24"/>
          <w:lang w:val="en-GB"/>
        </w:rPr>
        <w:t xml:space="preserve">. [online] PsychMechanics. Available at: </w:t>
      </w:r>
      <w:hyperlink r:id="Rdd797d73cd4c42fa">
        <w:r w:rsidRPr="2615EA99" w:rsidR="5080EB5E">
          <w:rPr>
            <w:rStyle w:val="Hyperlink"/>
            <w:rFonts w:ascii="Arial" w:hAnsi="Arial" w:eastAsia="Arial" w:cs="Arial"/>
            <w:noProof w:val="0"/>
            <w:sz w:val="24"/>
            <w:szCs w:val="24"/>
            <w:lang w:val="en-GB"/>
          </w:rPr>
          <w:t>https://www.psychmechanics.com/cognitive-behavioural-theory-cbt-in/</w:t>
        </w:r>
      </w:hyperlink>
      <w:r w:rsidRPr="2615EA99" w:rsidR="5080EB5E">
        <w:rPr>
          <w:rFonts w:ascii="Arial" w:hAnsi="Arial" w:eastAsia="Arial" w:cs="Arial"/>
          <w:noProof w:val="0"/>
          <w:sz w:val="24"/>
          <w:szCs w:val="24"/>
          <w:lang w:val="en-GB"/>
        </w:rPr>
        <w:t xml:space="preserve"> [Accessed 17 Nov. 2025].</w:t>
      </w:r>
    </w:p>
    <w:p xmlns:wp14="http://schemas.microsoft.com/office/word/2010/wordml" w:rsidP="2615EA99" wp14:paraId="19D83F08" wp14:textId="2E4530D6">
      <w:pPr>
        <w:spacing w:before="0" w:beforeAutospacing="off" w:after="240" w:afterAutospacing="off" w:line="360" w:lineRule="auto"/>
      </w:pPr>
      <w:r w:rsidRPr="2615EA99" w:rsidR="5080EB5E">
        <w:rPr>
          <w:rFonts w:ascii="Arial" w:hAnsi="Arial" w:eastAsia="Arial" w:cs="Arial"/>
          <w:noProof w:val="0"/>
          <w:sz w:val="24"/>
          <w:szCs w:val="24"/>
          <w:lang w:val="en-GB"/>
        </w:rPr>
        <w:t xml:space="preserve">Pearcey, S., Gordon, K., Chakrabarti, B., Dodd, H., Halldorsson, B. and Creswell, C. (2020). Research Review: The relationship between social anxiety and social cognition in children and adolescents: a systematic review and meta‐analysis. </w:t>
      </w:r>
      <w:r w:rsidRPr="2615EA99" w:rsidR="5080EB5E">
        <w:rPr>
          <w:rFonts w:ascii="Arial" w:hAnsi="Arial" w:eastAsia="Arial" w:cs="Arial"/>
          <w:i w:val="1"/>
          <w:iCs w:val="1"/>
          <w:noProof w:val="0"/>
          <w:sz w:val="24"/>
          <w:szCs w:val="24"/>
          <w:lang w:val="en-GB"/>
        </w:rPr>
        <w:t>Journal of Child Psychology and Psychiatry</w:t>
      </w:r>
      <w:r w:rsidRPr="2615EA99" w:rsidR="5080EB5E">
        <w:rPr>
          <w:rFonts w:ascii="Arial" w:hAnsi="Arial" w:eastAsia="Arial" w:cs="Arial"/>
          <w:noProof w:val="0"/>
          <w:sz w:val="24"/>
          <w:szCs w:val="24"/>
          <w:lang w:val="en-GB"/>
        </w:rPr>
        <w:t>, 62(7). doi:https://doi.org/10.1111/jcpp.13310.</w:t>
      </w:r>
    </w:p>
    <w:p xmlns:wp14="http://schemas.microsoft.com/office/word/2010/wordml" w:rsidP="2615EA99" wp14:paraId="36D70076" wp14:textId="21E2CBDB">
      <w:pPr>
        <w:spacing w:before="0" w:beforeAutospacing="off" w:after="240" w:afterAutospacing="off" w:line="360" w:lineRule="auto"/>
      </w:pPr>
      <w:r w:rsidRPr="2615EA99" w:rsidR="5080EB5E">
        <w:rPr>
          <w:rFonts w:ascii="Arial" w:hAnsi="Arial" w:eastAsia="Arial" w:cs="Arial"/>
          <w:noProof w:val="0"/>
          <w:sz w:val="24"/>
          <w:szCs w:val="24"/>
          <w:lang w:val="en-GB"/>
        </w:rPr>
        <w:t xml:space="preserve">Petty, L. (2024). </w:t>
      </w:r>
      <w:r w:rsidRPr="2615EA99" w:rsidR="5080EB5E">
        <w:rPr>
          <w:rFonts w:ascii="Arial" w:hAnsi="Arial" w:eastAsia="Arial" w:cs="Arial"/>
          <w:i w:val="1"/>
          <w:iCs w:val="1"/>
          <w:noProof w:val="0"/>
          <w:sz w:val="24"/>
          <w:szCs w:val="24"/>
          <w:lang w:val="en-GB"/>
        </w:rPr>
        <w:t>Summary of the Children and Families Act 2014</w:t>
      </w:r>
      <w:r w:rsidRPr="2615EA99" w:rsidR="5080EB5E">
        <w:rPr>
          <w:rFonts w:ascii="Arial" w:hAnsi="Arial" w:eastAsia="Arial" w:cs="Arial"/>
          <w:noProof w:val="0"/>
          <w:sz w:val="24"/>
          <w:szCs w:val="24"/>
          <w:lang w:val="en-GB"/>
        </w:rPr>
        <w:t xml:space="preserve">. [online] The Hub | High Speed Training. Available at: </w:t>
      </w:r>
      <w:hyperlink r:id="Rfb6ee34105b04efe">
        <w:r w:rsidRPr="2615EA99" w:rsidR="5080EB5E">
          <w:rPr>
            <w:rStyle w:val="Hyperlink"/>
            <w:rFonts w:ascii="Arial" w:hAnsi="Arial" w:eastAsia="Arial" w:cs="Arial"/>
            <w:noProof w:val="0"/>
            <w:sz w:val="24"/>
            <w:szCs w:val="24"/>
            <w:lang w:val="en-GB"/>
          </w:rPr>
          <w:t>https://www.highspeedtraining.co.uk/hub/children-and-families-act-2014/</w:t>
        </w:r>
      </w:hyperlink>
      <w:r w:rsidRPr="2615EA99" w:rsidR="5080EB5E">
        <w:rPr>
          <w:rFonts w:ascii="Arial" w:hAnsi="Arial" w:eastAsia="Arial" w:cs="Arial"/>
          <w:noProof w:val="0"/>
          <w:sz w:val="24"/>
          <w:szCs w:val="24"/>
          <w:lang w:val="en-GB"/>
        </w:rPr>
        <w:t xml:space="preserve"> [Accessed 10 Nov. 2025].</w:t>
      </w:r>
    </w:p>
    <w:p xmlns:wp14="http://schemas.microsoft.com/office/word/2010/wordml" w:rsidP="2615EA99" wp14:paraId="2DA1DDDB" wp14:textId="4BFAB3DD">
      <w:pPr>
        <w:spacing w:before="0" w:beforeAutospacing="off" w:after="240" w:afterAutospacing="off" w:line="360" w:lineRule="auto"/>
      </w:pPr>
      <w:r w:rsidRPr="2615EA99" w:rsidR="5080EB5E">
        <w:rPr>
          <w:rFonts w:ascii="Arial" w:hAnsi="Arial" w:eastAsia="Arial" w:cs="Arial"/>
          <w:noProof w:val="0"/>
          <w:sz w:val="24"/>
          <w:szCs w:val="24"/>
          <w:lang w:val="en-GB"/>
        </w:rPr>
        <w:t xml:space="preserve">Pickard, H., Happé, F. and Mandy, W. (2018). Navigating the social world: The role of social competence, peer victimisation and friendship quality in the development of social anxiety in childhood. </w:t>
      </w:r>
      <w:r w:rsidRPr="2615EA99" w:rsidR="5080EB5E">
        <w:rPr>
          <w:rFonts w:ascii="Arial" w:hAnsi="Arial" w:eastAsia="Arial" w:cs="Arial"/>
          <w:i w:val="1"/>
          <w:iCs w:val="1"/>
          <w:noProof w:val="0"/>
          <w:sz w:val="24"/>
          <w:szCs w:val="24"/>
          <w:lang w:val="en-GB"/>
        </w:rPr>
        <w:t>Journal of Anxiety Disorders</w:t>
      </w:r>
      <w:r w:rsidRPr="2615EA99" w:rsidR="5080EB5E">
        <w:rPr>
          <w:rFonts w:ascii="Arial" w:hAnsi="Arial" w:eastAsia="Arial" w:cs="Arial"/>
          <w:noProof w:val="0"/>
          <w:sz w:val="24"/>
          <w:szCs w:val="24"/>
          <w:lang w:val="en-GB"/>
        </w:rPr>
        <w:t>, 60(5), pp.1–10. doi:https://doi.org/10.1016/j.janxdis.2018.09.002.</w:t>
      </w:r>
    </w:p>
    <w:p xmlns:wp14="http://schemas.microsoft.com/office/word/2010/wordml" w:rsidP="2615EA99" wp14:paraId="3C543345" wp14:textId="2433641D">
      <w:pPr>
        <w:spacing w:before="0" w:beforeAutospacing="off" w:after="240" w:afterAutospacing="off" w:line="360" w:lineRule="auto"/>
      </w:pPr>
      <w:r w:rsidRPr="2615EA99" w:rsidR="5080EB5E">
        <w:rPr>
          <w:rFonts w:ascii="Arial" w:hAnsi="Arial" w:eastAsia="Arial" w:cs="Arial"/>
          <w:noProof w:val="0"/>
          <w:sz w:val="24"/>
          <w:szCs w:val="24"/>
          <w:lang w:val="en-GB"/>
        </w:rPr>
        <w:t xml:space="preserve">Pickering, L., Hadwin, J.A. and Kovshoff, H. (2019). The Role of Peers in the Development of Social Anxiety in Adolescent Girls: a Systematic Review. </w:t>
      </w:r>
      <w:r w:rsidRPr="2615EA99" w:rsidR="5080EB5E">
        <w:rPr>
          <w:rFonts w:ascii="Arial" w:hAnsi="Arial" w:eastAsia="Arial" w:cs="Arial"/>
          <w:i w:val="1"/>
          <w:iCs w:val="1"/>
          <w:noProof w:val="0"/>
          <w:sz w:val="24"/>
          <w:szCs w:val="24"/>
          <w:lang w:val="en-GB"/>
        </w:rPr>
        <w:t>Adolescent Research Review</w:t>
      </w:r>
      <w:r w:rsidRPr="2615EA99" w:rsidR="5080EB5E">
        <w:rPr>
          <w:rFonts w:ascii="Arial" w:hAnsi="Arial" w:eastAsia="Arial" w:cs="Arial"/>
          <w:noProof w:val="0"/>
          <w:sz w:val="24"/>
          <w:szCs w:val="24"/>
          <w:lang w:val="en-GB"/>
        </w:rPr>
        <w:t>, [online] 5(5). doi:https://doi.org/10.1007/s40894-019-00117-x.</w:t>
      </w:r>
    </w:p>
    <w:p xmlns:wp14="http://schemas.microsoft.com/office/word/2010/wordml" w:rsidP="2615EA99" wp14:paraId="601C79F3" wp14:textId="46AD4A46">
      <w:pPr>
        <w:spacing w:before="0" w:beforeAutospacing="off" w:after="240" w:afterAutospacing="off" w:line="360" w:lineRule="auto"/>
      </w:pPr>
      <w:r w:rsidRPr="2615EA99" w:rsidR="5080EB5E">
        <w:rPr>
          <w:rFonts w:ascii="Arial" w:hAnsi="Arial" w:eastAsia="Arial" w:cs="Arial"/>
          <w:noProof w:val="0"/>
          <w:sz w:val="24"/>
          <w:szCs w:val="24"/>
          <w:lang w:val="en-GB"/>
        </w:rPr>
        <w:t xml:space="preserve">Ryan, E. (2022). </w:t>
      </w:r>
      <w:r w:rsidRPr="2615EA99" w:rsidR="5080EB5E">
        <w:rPr>
          <w:rFonts w:ascii="Arial" w:hAnsi="Arial" w:eastAsia="Arial" w:cs="Arial"/>
          <w:i w:val="1"/>
          <w:iCs w:val="1"/>
          <w:noProof w:val="0"/>
          <w:sz w:val="24"/>
          <w:szCs w:val="24"/>
          <w:lang w:val="en-GB"/>
        </w:rPr>
        <w:t>Evaluating Sources | Methods &amp; Examples</w:t>
      </w:r>
      <w:r w:rsidRPr="2615EA99" w:rsidR="5080EB5E">
        <w:rPr>
          <w:rFonts w:ascii="Arial" w:hAnsi="Arial" w:eastAsia="Arial" w:cs="Arial"/>
          <w:noProof w:val="0"/>
          <w:sz w:val="24"/>
          <w:szCs w:val="24"/>
          <w:lang w:val="en-GB"/>
        </w:rPr>
        <w:t xml:space="preserve">. [online] Scribbr. Available at: </w:t>
      </w:r>
      <w:hyperlink r:id="R03abb3c3cc4a43ea">
        <w:r w:rsidRPr="2615EA99" w:rsidR="5080EB5E">
          <w:rPr>
            <w:rStyle w:val="Hyperlink"/>
            <w:rFonts w:ascii="Arial" w:hAnsi="Arial" w:eastAsia="Arial" w:cs="Arial"/>
            <w:noProof w:val="0"/>
            <w:sz w:val="24"/>
            <w:szCs w:val="24"/>
            <w:lang w:val="en-GB"/>
          </w:rPr>
          <w:t>https://www.scribbr.com/working-with-sources/evaluating-sources/</w:t>
        </w:r>
      </w:hyperlink>
      <w:r w:rsidRPr="2615EA99" w:rsidR="5080EB5E">
        <w:rPr>
          <w:rFonts w:ascii="Arial" w:hAnsi="Arial" w:eastAsia="Arial" w:cs="Arial"/>
          <w:noProof w:val="0"/>
          <w:sz w:val="24"/>
          <w:szCs w:val="24"/>
          <w:lang w:val="en-GB"/>
        </w:rPr>
        <w:t xml:space="preserve"> [Accessed 3 Nov. 2025].</w:t>
      </w:r>
    </w:p>
    <w:p xmlns:wp14="http://schemas.microsoft.com/office/word/2010/wordml" w:rsidP="2615EA99" wp14:paraId="329B512D" wp14:textId="56AD3667">
      <w:pPr>
        <w:spacing w:before="0" w:beforeAutospacing="off" w:after="240" w:afterAutospacing="off" w:line="360" w:lineRule="auto"/>
      </w:pPr>
      <w:r w:rsidRPr="2615EA99" w:rsidR="5080EB5E">
        <w:rPr>
          <w:rFonts w:ascii="Arial" w:hAnsi="Arial" w:eastAsia="Arial" w:cs="Arial"/>
          <w:noProof w:val="0"/>
          <w:sz w:val="24"/>
          <w:szCs w:val="24"/>
          <w:lang w:val="en-GB"/>
        </w:rPr>
        <w:t xml:space="preserve">Snyder, H. (2019). Literature review as a research methodology: An overview and guidelines. </w:t>
      </w:r>
      <w:r w:rsidRPr="2615EA99" w:rsidR="5080EB5E">
        <w:rPr>
          <w:rFonts w:ascii="Arial" w:hAnsi="Arial" w:eastAsia="Arial" w:cs="Arial"/>
          <w:i w:val="1"/>
          <w:iCs w:val="1"/>
          <w:noProof w:val="0"/>
          <w:sz w:val="24"/>
          <w:szCs w:val="24"/>
          <w:lang w:val="en-GB"/>
        </w:rPr>
        <w:t>Journal of Business Research</w:t>
      </w:r>
      <w:r w:rsidRPr="2615EA99" w:rsidR="5080EB5E">
        <w:rPr>
          <w:rFonts w:ascii="Arial" w:hAnsi="Arial" w:eastAsia="Arial" w:cs="Arial"/>
          <w:noProof w:val="0"/>
          <w:sz w:val="24"/>
          <w:szCs w:val="24"/>
          <w:lang w:val="en-GB"/>
        </w:rPr>
        <w:t>, [online] 104(1), pp.333–339. doi:https://doi.org/10.1016/j.jbusres.2019.07.039.</w:t>
      </w:r>
    </w:p>
    <w:p xmlns:wp14="http://schemas.microsoft.com/office/word/2010/wordml" w:rsidP="2615EA99" wp14:paraId="4EED5F7D" wp14:textId="01E8E408">
      <w:pPr>
        <w:spacing w:before="0" w:beforeAutospacing="off" w:after="240" w:afterAutospacing="off" w:line="360" w:lineRule="auto"/>
      </w:pPr>
      <w:r w:rsidRPr="2615EA99" w:rsidR="5080EB5E">
        <w:rPr>
          <w:rFonts w:ascii="Arial" w:hAnsi="Arial" w:eastAsia="Arial" w:cs="Arial"/>
          <w:noProof w:val="0"/>
          <w:sz w:val="24"/>
          <w:szCs w:val="24"/>
          <w:lang w:val="en-GB"/>
        </w:rPr>
        <w:t xml:space="preserve">Stewart, K. (2024). </w:t>
      </w:r>
      <w:r w:rsidRPr="2615EA99" w:rsidR="5080EB5E">
        <w:rPr>
          <w:rFonts w:ascii="Arial" w:hAnsi="Arial" w:eastAsia="Arial" w:cs="Arial"/>
          <w:i w:val="1"/>
          <w:iCs w:val="1"/>
          <w:noProof w:val="0"/>
          <w:sz w:val="24"/>
          <w:szCs w:val="24"/>
          <w:lang w:val="en-GB"/>
        </w:rPr>
        <w:t>Nuremberg Code | History, Date, &amp; 10 Points | Britannica</w:t>
      </w:r>
      <w:r w:rsidRPr="2615EA99" w:rsidR="5080EB5E">
        <w:rPr>
          <w:rFonts w:ascii="Arial" w:hAnsi="Arial" w:eastAsia="Arial" w:cs="Arial"/>
          <w:noProof w:val="0"/>
          <w:sz w:val="24"/>
          <w:szCs w:val="24"/>
          <w:lang w:val="en-GB"/>
        </w:rPr>
        <w:t xml:space="preserve">. [online] </w:t>
      </w:r>
      <w:hyperlink r:id="R9d249ca3cf834a42">
        <w:r w:rsidRPr="2615EA99" w:rsidR="5080EB5E">
          <w:rPr>
            <w:rStyle w:val="Hyperlink"/>
            <w:rFonts w:ascii="Arial" w:hAnsi="Arial" w:eastAsia="Arial" w:cs="Arial"/>
            <w:noProof w:val="0"/>
            <w:sz w:val="24"/>
            <w:szCs w:val="24"/>
            <w:lang w:val="en-GB"/>
          </w:rPr>
          <w:t>www.britannica.com</w:t>
        </w:r>
      </w:hyperlink>
      <w:r w:rsidRPr="2615EA99" w:rsidR="5080EB5E">
        <w:rPr>
          <w:rFonts w:ascii="Arial" w:hAnsi="Arial" w:eastAsia="Arial" w:cs="Arial"/>
          <w:noProof w:val="0"/>
          <w:sz w:val="24"/>
          <w:szCs w:val="24"/>
          <w:lang w:val="en-GB"/>
        </w:rPr>
        <w:t xml:space="preserve">. Available at: </w:t>
      </w:r>
      <w:hyperlink r:id="R056a1fd7cf4b4d20">
        <w:r w:rsidRPr="2615EA99" w:rsidR="5080EB5E">
          <w:rPr>
            <w:rStyle w:val="Hyperlink"/>
            <w:rFonts w:ascii="Arial" w:hAnsi="Arial" w:eastAsia="Arial" w:cs="Arial"/>
            <w:noProof w:val="0"/>
            <w:sz w:val="24"/>
            <w:szCs w:val="24"/>
            <w:lang w:val="en-GB"/>
          </w:rPr>
          <w:t>https://www.britannica.com/topic/Nuremberg-Code</w:t>
        </w:r>
      </w:hyperlink>
      <w:r w:rsidRPr="2615EA99" w:rsidR="5080EB5E">
        <w:rPr>
          <w:rFonts w:ascii="Arial" w:hAnsi="Arial" w:eastAsia="Arial" w:cs="Arial"/>
          <w:noProof w:val="0"/>
          <w:sz w:val="24"/>
          <w:szCs w:val="24"/>
          <w:lang w:val="en-GB"/>
        </w:rPr>
        <w:t xml:space="preserve"> [Accessed 19 Nov. 2025].</w:t>
      </w:r>
    </w:p>
    <w:p xmlns:wp14="http://schemas.microsoft.com/office/word/2010/wordml" w:rsidP="2615EA99" wp14:paraId="719ABDAA" wp14:textId="76E63C27">
      <w:pPr>
        <w:spacing w:before="0" w:beforeAutospacing="off" w:after="240" w:afterAutospacing="off" w:line="360" w:lineRule="auto"/>
      </w:pPr>
      <w:r w:rsidRPr="2615EA99" w:rsidR="5080EB5E">
        <w:rPr>
          <w:rFonts w:ascii="Arial" w:hAnsi="Arial" w:eastAsia="Arial" w:cs="Arial"/>
          <w:noProof w:val="0"/>
          <w:sz w:val="24"/>
          <w:szCs w:val="24"/>
          <w:lang w:val="en-GB"/>
        </w:rPr>
        <w:t xml:space="preserve">Tillfors, M., Persson, S., Willén, M. and Burk, W.J. (2012). Prospective links between social anxiety and adolescent peer relations. </w:t>
      </w:r>
      <w:r w:rsidRPr="2615EA99" w:rsidR="5080EB5E">
        <w:rPr>
          <w:rFonts w:ascii="Arial" w:hAnsi="Arial" w:eastAsia="Arial" w:cs="Arial"/>
          <w:i w:val="1"/>
          <w:iCs w:val="1"/>
          <w:noProof w:val="0"/>
          <w:sz w:val="24"/>
          <w:szCs w:val="24"/>
          <w:lang w:val="en-GB"/>
        </w:rPr>
        <w:t>Journal of Adolescence</w:t>
      </w:r>
      <w:r w:rsidRPr="2615EA99" w:rsidR="5080EB5E">
        <w:rPr>
          <w:rFonts w:ascii="Arial" w:hAnsi="Arial" w:eastAsia="Arial" w:cs="Arial"/>
          <w:noProof w:val="0"/>
          <w:sz w:val="24"/>
          <w:szCs w:val="24"/>
          <w:lang w:val="en-GB"/>
        </w:rPr>
        <w:t>, 35(5), pp.1255–1263. doi:https://doi.org/10.1016/j.adolescence.2012.04.008.</w:t>
      </w:r>
    </w:p>
    <w:p xmlns:wp14="http://schemas.microsoft.com/office/word/2010/wordml" w:rsidP="2615EA99" wp14:paraId="564010D9" wp14:textId="4B56F4EC">
      <w:pPr>
        <w:spacing w:before="0" w:beforeAutospacing="off" w:after="240" w:afterAutospacing="off" w:line="360" w:lineRule="auto"/>
      </w:pPr>
      <w:r w:rsidRPr="2615EA99" w:rsidR="5080EB5E">
        <w:rPr>
          <w:rFonts w:ascii="Arial" w:hAnsi="Arial" w:eastAsia="Arial" w:cs="Arial"/>
          <w:noProof w:val="0"/>
          <w:sz w:val="24"/>
          <w:szCs w:val="24"/>
          <w:lang w:val="en-GB"/>
        </w:rPr>
        <w:t xml:space="preserve">uk, gov (2022). </w:t>
      </w:r>
      <w:r w:rsidRPr="2615EA99" w:rsidR="5080EB5E">
        <w:rPr>
          <w:rFonts w:ascii="Arial" w:hAnsi="Arial" w:eastAsia="Arial" w:cs="Arial"/>
          <w:i w:val="1"/>
          <w:iCs w:val="1"/>
          <w:noProof w:val="0"/>
          <w:sz w:val="24"/>
          <w:szCs w:val="24"/>
          <w:lang w:val="en-GB"/>
        </w:rPr>
        <w:t>Skills and Post-16 Education Act 2022 Impact Assessment</w:t>
      </w:r>
      <w:r w:rsidRPr="2615EA99" w:rsidR="5080EB5E">
        <w:rPr>
          <w:rFonts w:ascii="Arial" w:hAnsi="Arial" w:eastAsia="Arial" w:cs="Arial"/>
          <w:noProof w:val="0"/>
          <w:sz w:val="24"/>
          <w:szCs w:val="24"/>
          <w:lang w:val="en-GB"/>
        </w:rPr>
        <w:t xml:space="preserve">. [online] Available at: </w:t>
      </w:r>
      <w:hyperlink r:id="R3107b9f929504ec2">
        <w:r w:rsidRPr="2615EA99" w:rsidR="5080EB5E">
          <w:rPr>
            <w:rStyle w:val="Hyperlink"/>
            <w:rFonts w:ascii="Arial" w:hAnsi="Arial" w:eastAsia="Arial" w:cs="Arial"/>
            <w:noProof w:val="0"/>
            <w:sz w:val="24"/>
            <w:szCs w:val="24"/>
            <w:lang w:val="en-GB"/>
          </w:rPr>
          <w:t>https://assets.publishing.service.gov.uk/media/62c81017d3bf7f3004d17f73/Skills_Bill_impact_assessment.pdf</w:t>
        </w:r>
      </w:hyperlink>
      <w:r w:rsidRPr="2615EA99" w:rsidR="5080EB5E">
        <w:rPr>
          <w:rFonts w:ascii="Arial" w:hAnsi="Arial" w:eastAsia="Arial" w:cs="Arial"/>
          <w:noProof w:val="0"/>
          <w:sz w:val="24"/>
          <w:szCs w:val="24"/>
          <w:lang w:val="en-GB"/>
        </w:rPr>
        <w:t xml:space="preserve"> [Accessed 10 Nov. 2025].</w:t>
      </w:r>
    </w:p>
    <w:p xmlns:wp14="http://schemas.microsoft.com/office/word/2010/wordml" w:rsidP="2615EA99" wp14:paraId="3B6B8F71" wp14:textId="7C67A54C">
      <w:pPr>
        <w:spacing w:before="0" w:beforeAutospacing="off" w:after="240" w:afterAutospacing="off" w:line="360" w:lineRule="auto"/>
      </w:pPr>
      <w:r w:rsidRPr="2615EA99" w:rsidR="5080EB5E">
        <w:rPr>
          <w:rFonts w:ascii="Arial" w:hAnsi="Arial" w:eastAsia="Arial" w:cs="Arial"/>
          <w:noProof w:val="0"/>
          <w:sz w:val="24"/>
          <w:szCs w:val="24"/>
          <w:lang w:val="en-GB"/>
        </w:rPr>
        <w:t xml:space="preserve">uk, gov (2023). </w:t>
      </w:r>
      <w:r w:rsidRPr="2615EA99" w:rsidR="5080EB5E">
        <w:rPr>
          <w:rFonts w:ascii="Arial" w:hAnsi="Arial" w:eastAsia="Arial" w:cs="Arial"/>
          <w:i w:val="1"/>
          <w:iCs w:val="1"/>
          <w:noProof w:val="0"/>
          <w:sz w:val="24"/>
          <w:szCs w:val="24"/>
          <w:lang w:val="en-GB"/>
        </w:rPr>
        <w:t>Guidance to implement the Concordat to Support Research Integrity within government</w:t>
      </w:r>
      <w:r w:rsidRPr="2615EA99" w:rsidR="5080EB5E">
        <w:rPr>
          <w:rFonts w:ascii="Arial" w:hAnsi="Arial" w:eastAsia="Arial" w:cs="Arial"/>
          <w:noProof w:val="0"/>
          <w:sz w:val="24"/>
          <w:szCs w:val="24"/>
          <w:lang w:val="en-GB"/>
        </w:rPr>
        <w:t xml:space="preserve">. [online] GOV.UK. Available at: </w:t>
      </w:r>
      <w:hyperlink r:id="R546b3c1a1ec4478d">
        <w:r w:rsidRPr="2615EA99" w:rsidR="5080EB5E">
          <w:rPr>
            <w:rStyle w:val="Hyperlink"/>
            <w:rFonts w:ascii="Arial" w:hAnsi="Arial" w:eastAsia="Arial" w:cs="Arial"/>
            <w:noProof w:val="0"/>
            <w:sz w:val="24"/>
            <w:szCs w:val="24"/>
            <w:lang w:val="en-GB"/>
          </w:rPr>
          <w:t>https://www.gov.uk/government/publications/implementing-the-concordat-to-support-research-integrity-within-government/guidance-to-implement-the-concordat-to-support-research-integrity-within-government</w:t>
        </w:r>
      </w:hyperlink>
      <w:r w:rsidRPr="2615EA99" w:rsidR="5080EB5E">
        <w:rPr>
          <w:rFonts w:ascii="Arial" w:hAnsi="Arial" w:eastAsia="Arial" w:cs="Arial"/>
          <w:noProof w:val="0"/>
          <w:sz w:val="24"/>
          <w:szCs w:val="24"/>
          <w:lang w:val="en-GB"/>
        </w:rPr>
        <w:t xml:space="preserve"> [Accessed 17 Nov. 2025].</w:t>
      </w:r>
    </w:p>
    <w:p xmlns:wp14="http://schemas.microsoft.com/office/word/2010/wordml" w:rsidP="2615EA99" wp14:paraId="05646E2A" wp14:textId="3FEC6AAB">
      <w:pPr>
        <w:spacing w:before="0" w:beforeAutospacing="off" w:after="240" w:afterAutospacing="off" w:line="360" w:lineRule="auto"/>
      </w:pPr>
      <w:r w:rsidRPr="2615EA99" w:rsidR="5080EB5E">
        <w:rPr>
          <w:rFonts w:ascii="Arial" w:hAnsi="Arial" w:eastAsia="Arial" w:cs="Arial"/>
          <w:noProof w:val="0"/>
          <w:sz w:val="24"/>
          <w:szCs w:val="24"/>
          <w:lang w:val="en-GB"/>
        </w:rPr>
        <w:t xml:space="preserve">UK, I. (2020). </w:t>
      </w:r>
      <w:r w:rsidRPr="2615EA99" w:rsidR="5080EB5E">
        <w:rPr>
          <w:rFonts w:ascii="Arial" w:hAnsi="Arial" w:eastAsia="Arial" w:cs="Arial"/>
          <w:i w:val="1"/>
          <w:iCs w:val="1"/>
          <w:noProof w:val="0"/>
          <w:sz w:val="24"/>
          <w:szCs w:val="24"/>
          <w:lang w:val="en-GB"/>
        </w:rPr>
        <w:t>UKRI launches consultation on open access policy</w:t>
      </w:r>
      <w:r w:rsidRPr="2615EA99" w:rsidR="5080EB5E">
        <w:rPr>
          <w:rFonts w:ascii="Arial" w:hAnsi="Arial" w:eastAsia="Arial" w:cs="Arial"/>
          <w:noProof w:val="0"/>
          <w:sz w:val="24"/>
          <w:szCs w:val="24"/>
          <w:lang w:val="en-GB"/>
        </w:rPr>
        <w:t xml:space="preserve">. [online] GOV.UK. Available at: </w:t>
      </w:r>
      <w:hyperlink r:id="R7467ffff3f744b88">
        <w:r w:rsidRPr="2615EA99" w:rsidR="5080EB5E">
          <w:rPr>
            <w:rStyle w:val="Hyperlink"/>
            <w:rFonts w:ascii="Arial" w:hAnsi="Arial" w:eastAsia="Arial" w:cs="Arial"/>
            <w:noProof w:val="0"/>
            <w:sz w:val="24"/>
            <w:szCs w:val="24"/>
            <w:lang w:val="en-GB"/>
          </w:rPr>
          <w:t>https://www.gov.uk/government/news/ukri-launches-consultation-on-open-access-policy</w:t>
        </w:r>
      </w:hyperlink>
      <w:r w:rsidRPr="2615EA99" w:rsidR="5080EB5E">
        <w:rPr>
          <w:rFonts w:ascii="Arial" w:hAnsi="Arial" w:eastAsia="Arial" w:cs="Arial"/>
          <w:noProof w:val="0"/>
          <w:sz w:val="24"/>
          <w:szCs w:val="24"/>
          <w:lang w:val="en-GB"/>
        </w:rPr>
        <w:t xml:space="preserve"> [Accessed 17 Nov. 2025].</w:t>
      </w:r>
    </w:p>
    <w:p xmlns:wp14="http://schemas.microsoft.com/office/word/2010/wordml" w:rsidP="2615EA99" wp14:paraId="45E8B23E" wp14:textId="760275D0">
      <w:pPr>
        <w:spacing w:before="0" w:beforeAutospacing="off" w:after="240" w:afterAutospacing="off" w:line="360" w:lineRule="auto"/>
      </w:pPr>
      <w:r w:rsidRPr="2615EA99" w:rsidR="5080EB5E">
        <w:rPr>
          <w:rFonts w:ascii="Arial" w:hAnsi="Arial" w:eastAsia="Arial" w:cs="Arial"/>
          <w:noProof w:val="0"/>
          <w:sz w:val="24"/>
          <w:szCs w:val="24"/>
          <w:lang w:val="en-GB"/>
        </w:rPr>
        <w:t xml:space="preserve">UKRIO (2025). </w:t>
      </w:r>
      <w:r w:rsidRPr="2615EA99" w:rsidR="5080EB5E">
        <w:rPr>
          <w:rFonts w:ascii="Arial" w:hAnsi="Arial" w:eastAsia="Arial" w:cs="Arial"/>
          <w:i w:val="1"/>
          <w:iCs w:val="1"/>
          <w:noProof w:val="0"/>
          <w:sz w:val="24"/>
          <w:szCs w:val="24"/>
          <w:lang w:val="en-GB"/>
        </w:rPr>
        <w:t>What is Research Integrity? - UK Research Integrity Office</w:t>
      </w:r>
      <w:r w:rsidRPr="2615EA99" w:rsidR="5080EB5E">
        <w:rPr>
          <w:rFonts w:ascii="Arial" w:hAnsi="Arial" w:eastAsia="Arial" w:cs="Arial"/>
          <w:noProof w:val="0"/>
          <w:sz w:val="24"/>
          <w:szCs w:val="24"/>
          <w:lang w:val="en-GB"/>
        </w:rPr>
        <w:t xml:space="preserve">. [online] UKRIO. Available at: </w:t>
      </w:r>
      <w:hyperlink r:id="R813aeecefd2e41d7">
        <w:r w:rsidRPr="2615EA99" w:rsidR="5080EB5E">
          <w:rPr>
            <w:rStyle w:val="Hyperlink"/>
            <w:rFonts w:ascii="Arial" w:hAnsi="Arial" w:eastAsia="Arial" w:cs="Arial"/>
            <w:noProof w:val="0"/>
            <w:sz w:val="24"/>
            <w:szCs w:val="24"/>
            <w:lang w:val="en-GB"/>
          </w:rPr>
          <w:t>https://ukrio.org/research-integrity/what-is-research-integrity/</w:t>
        </w:r>
      </w:hyperlink>
      <w:r w:rsidRPr="2615EA99" w:rsidR="5080EB5E">
        <w:rPr>
          <w:rFonts w:ascii="Arial" w:hAnsi="Arial" w:eastAsia="Arial" w:cs="Arial"/>
          <w:noProof w:val="0"/>
          <w:sz w:val="24"/>
          <w:szCs w:val="24"/>
          <w:lang w:val="en-GB"/>
        </w:rPr>
        <w:t xml:space="preserve"> [Accessed 15 Nov. 2025].</w:t>
      </w:r>
    </w:p>
    <w:p xmlns:wp14="http://schemas.microsoft.com/office/word/2010/wordml" w:rsidP="2615EA99" wp14:paraId="61C891B0" wp14:textId="0572C4B9">
      <w:pPr>
        <w:spacing w:before="0" w:beforeAutospacing="off" w:after="240" w:afterAutospacing="off" w:line="360" w:lineRule="auto"/>
      </w:pPr>
      <w:r w:rsidRPr="2615EA99" w:rsidR="5080EB5E">
        <w:rPr>
          <w:rFonts w:ascii="Arial" w:hAnsi="Arial" w:eastAsia="Arial" w:cs="Arial"/>
          <w:noProof w:val="0"/>
          <w:sz w:val="24"/>
          <w:szCs w:val="24"/>
          <w:lang w:val="en-GB"/>
        </w:rPr>
        <w:t xml:space="preserve">Verduin, T.L. and Kendall, P.C. (2007). Peer Perceptions and Liking of Children with Anxiety Disorders. </w:t>
      </w:r>
      <w:r w:rsidRPr="2615EA99" w:rsidR="5080EB5E">
        <w:rPr>
          <w:rFonts w:ascii="Arial" w:hAnsi="Arial" w:eastAsia="Arial" w:cs="Arial"/>
          <w:i w:val="1"/>
          <w:iCs w:val="1"/>
          <w:noProof w:val="0"/>
          <w:sz w:val="24"/>
          <w:szCs w:val="24"/>
          <w:lang w:val="en-GB"/>
        </w:rPr>
        <w:t>Journal of Abnormal Child Psychology</w:t>
      </w:r>
      <w:r w:rsidRPr="2615EA99" w:rsidR="5080EB5E">
        <w:rPr>
          <w:rFonts w:ascii="Arial" w:hAnsi="Arial" w:eastAsia="Arial" w:cs="Arial"/>
          <w:noProof w:val="0"/>
          <w:sz w:val="24"/>
          <w:szCs w:val="24"/>
          <w:lang w:val="en-GB"/>
        </w:rPr>
        <w:t>, 36(4), pp.459–469. doi:https://doi.org/10.1007/s10802-007-9192-6.</w:t>
      </w:r>
    </w:p>
    <w:p xmlns:wp14="http://schemas.microsoft.com/office/word/2010/wordml" w:rsidP="2615EA99" wp14:paraId="449ED0A8" wp14:textId="41B49856">
      <w:pPr>
        <w:spacing w:before="0" w:beforeAutospacing="off" w:after="240" w:afterAutospacing="off" w:line="360" w:lineRule="auto"/>
      </w:pPr>
      <w:r w:rsidRPr="2615EA99" w:rsidR="5080EB5E">
        <w:rPr>
          <w:rFonts w:ascii="Arial" w:hAnsi="Arial" w:eastAsia="Arial" w:cs="Arial"/>
          <w:noProof w:val="0"/>
          <w:sz w:val="24"/>
          <w:szCs w:val="24"/>
          <w:lang w:val="en-GB"/>
        </w:rPr>
        <w:t xml:space="preserve">Wake, S., Hedger, N., van Reekum, C.M. and Dodd, H. (2024). The effect of social anxiety on threat acquisition and extinction: a systematic review and meta-analysis. </w:t>
      </w:r>
      <w:r w:rsidRPr="2615EA99" w:rsidR="5080EB5E">
        <w:rPr>
          <w:rFonts w:ascii="Arial" w:hAnsi="Arial" w:eastAsia="Arial" w:cs="Arial"/>
          <w:i w:val="1"/>
          <w:iCs w:val="1"/>
          <w:noProof w:val="0"/>
          <w:sz w:val="24"/>
          <w:szCs w:val="24"/>
          <w:lang w:val="en-GB"/>
        </w:rPr>
        <w:t>PeerJ</w:t>
      </w:r>
      <w:r w:rsidRPr="2615EA99" w:rsidR="5080EB5E">
        <w:rPr>
          <w:rFonts w:ascii="Arial" w:hAnsi="Arial" w:eastAsia="Arial" w:cs="Arial"/>
          <w:noProof w:val="0"/>
          <w:sz w:val="24"/>
          <w:szCs w:val="24"/>
          <w:lang w:val="en-GB"/>
        </w:rPr>
        <w:t>, [online] 12(5), p.e17262. doi:https://doi.org/10.7717/peerj.17262.</w:t>
      </w:r>
    </w:p>
    <w:p xmlns:wp14="http://schemas.microsoft.com/office/word/2010/wordml" w:rsidP="2615EA99" wp14:paraId="25FA58A5" wp14:textId="3E0F80DD">
      <w:pPr>
        <w:spacing w:before="0" w:beforeAutospacing="off" w:after="240" w:afterAutospacing="off" w:line="360" w:lineRule="auto"/>
      </w:pPr>
      <w:r w:rsidRPr="2615EA99" w:rsidR="5080EB5E">
        <w:rPr>
          <w:rFonts w:ascii="Arial" w:hAnsi="Arial" w:eastAsia="Arial" w:cs="Arial"/>
          <w:noProof w:val="0"/>
          <w:sz w:val="24"/>
          <w:szCs w:val="24"/>
          <w:lang w:val="en-GB"/>
        </w:rPr>
        <w:t xml:space="preserve">White, L.K., McDermott, J.M., Degnan, K.A., Henderson, H.A. and Fox, N.A. (2011). Behavioral Inhibition and Anxiety: The Moderating Roles of Inhibitory Control and Attention Shifting. </w:t>
      </w:r>
      <w:r w:rsidRPr="2615EA99" w:rsidR="5080EB5E">
        <w:rPr>
          <w:rFonts w:ascii="Arial" w:hAnsi="Arial" w:eastAsia="Arial" w:cs="Arial"/>
          <w:i w:val="1"/>
          <w:iCs w:val="1"/>
          <w:noProof w:val="0"/>
          <w:sz w:val="24"/>
          <w:szCs w:val="24"/>
          <w:lang w:val="en-GB"/>
        </w:rPr>
        <w:t>Journal of Abnormal Child Psychology</w:t>
      </w:r>
      <w:r w:rsidRPr="2615EA99" w:rsidR="5080EB5E">
        <w:rPr>
          <w:rFonts w:ascii="Arial" w:hAnsi="Arial" w:eastAsia="Arial" w:cs="Arial"/>
          <w:noProof w:val="0"/>
          <w:sz w:val="24"/>
          <w:szCs w:val="24"/>
          <w:lang w:val="en-GB"/>
        </w:rPr>
        <w:t>, [online] 39(5), pp.735–747. doi:https://doi.org/10.1007/s10802-011-9490-x.</w:t>
      </w:r>
    </w:p>
    <w:p xmlns:wp14="http://schemas.microsoft.com/office/word/2010/wordml" w:rsidP="2615EA99" wp14:paraId="2BB16269" wp14:textId="5A632E3C">
      <w:pPr>
        <w:spacing w:before="0" w:beforeAutospacing="off" w:after="240" w:afterAutospacing="off" w:line="360" w:lineRule="auto"/>
      </w:pPr>
      <w:r w:rsidRPr="2615EA99" w:rsidR="5080EB5E">
        <w:rPr>
          <w:rFonts w:ascii="Arial" w:hAnsi="Arial" w:eastAsia="Arial" w:cs="Arial"/>
          <w:noProof w:val="0"/>
          <w:sz w:val="24"/>
          <w:szCs w:val="24"/>
          <w:lang w:val="en-GB"/>
        </w:rPr>
        <w:t xml:space="preserve">York, U. of (2025). </w:t>
      </w:r>
      <w:r w:rsidRPr="2615EA99" w:rsidR="5080EB5E">
        <w:rPr>
          <w:rFonts w:ascii="Arial" w:hAnsi="Arial" w:eastAsia="Arial" w:cs="Arial"/>
          <w:i w:val="1"/>
          <w:iCs w:val="1"/>
          <w:noProof w:val="0"/>
          <w:sz w:val="24"/>
          <w:szCs w:val="24"/>
          <w:lang w:val="en-GB"/>
        </w:rPr>
        <w:t>Critical Evaluation (COM00031M) 2025-26 - Module Catalogue, Student home, University of York</w:t>
      </w:r>
      <w:r w:rsidRPr="2615EA99" w:rsidR="5080EB5E">
        <w:rPr>
          <w:rFonts w:ascii="Arial" w:hAnsi="Arial" w:eastAsia="Arial" w:cs="Arial"/>
          <w:noProof w:val="0"/>
          <w:sz w:val="24"/>
          <w:szCs w:val="24"/>
          <w:lang w:val="en-GB"/>
        </w:rPr>
        <w:t xml:space="preserve">. [online] York.ac.uk. Available at: </w:t>
      </w:r>
      <w:hyperlink r:id="R5318eb0cf43d43d9">
        <w:r w:rsidRPr="2615EA99" w:rsidR="5080EB5E">
          <w:rPr>
            <w:rStyle w:val="Hyperlink"/>
            <w:rFonts w:ascii="Arial" w:hAnsi="Arial" w:eastAsia="Arial" w:cs="Arial"/>
            <w:noProof w:val="0"/>
            <w:sz w:val="24"/>
            <w:szCs w:val="24"/>
            <w:lang w:val="en-GB"/>
          </w:rPr>
          <w:t>https://www.york.ac.uk/students/studying/manage/programmes/module-catalogue/module/COM00031M/</w:t>
        </w:r>
      </w:hyperlink>
      <w:r w:rsidRPr="2615EA99" w:rsidR="5080EB5E">
        <w:rPr>
          <w:rFonts w:ascii="Arial" w:hAnsi="Arial" w:eastAsia="Arial" w:cs="Arial"/>
          <w:noProof w:val="0"/>
          <w:sz w:val="24"/>
          <w:szCs w:val="24"/>
          <w:lang w:val="en-GB"/>
        </w:rPr>
        <w:t xml:space="preserve"> [Accessed 3 Nov. 2025].</w:t>
      </w:r>
    </w:p>
    <w:p xmlns:wp14="http://schemas.microsoft.com/office/word/2010/wordml" w:rsidP="2615EA99" wp14:paraId="03CBA3DA" wp14:textId="0905DC43">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79615C5F" wp14:textId="0DED2877">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58CC279E" wp14:textId="593471DB">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5DA93832" wp14:textId="002DF9BB">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5E9D5E37" wp14:textId="5C8BBA06">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0367AD22" wp14:textId="7149AFF8">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08D39E23" wp14:textId="1A6C994F">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120D9B14" wp14:textId="179567D9">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7A12EA3D" wp14:textId="18ED3F0D">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51594680" wp14:textId="3A5093EE">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4B4C1612" wp14:textId="0A473630">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14C27728" wp14:textId="0EE35B55">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03F7206F" wp14:textId="45B2ACF4">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43FA34B2" wp14:textId="1958E840">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5940039A" wp14:textId="1B551578">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7AFE4B62" wp14:textId="164D3314">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6955A8AF" wp14:textId="2D6A71F0">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077D5A41" wp14:textId="2013713C">
      <w:pPr>
        <w:pStyle w:val="Heading1"/>
        <w:keepNext w:val="1"/>
        <w:keepLines w:val="1"/>
        <w:spacing w:before="0" w:beforeAutospacing="off" w:after="0" w:afterAutospacing="off"/>
        <w:rPr>
          <w:rFonts w:ascii="Aptos" w:hAnsi="Aptos" w:eastAsia="Aptos" w:cs="Aptos"/>
          <w:b w:val="0"/>
          <w:bCs w:val="0"/>
          <w:i w:val="0"/>
          <w:iCs w:val="0"/>
          <w:caps w:val="0"/>
          <w:smallCaps w:val="0"/>
          <w:noProof w:val="0"/>
          <w:color w:val="0F4761" w:themeColor="accent1" w:themeTint="FF" w:themeShade="BF"/>
          <w:sz w:val="32"/>
          <w:szCs w:val="32"/>
          <w:lang w:val="en-GB"/>
        </w:rPr>
      </w:pPr>
      <w:r w:rsidRPr="2615EA99" w:rsidR="5080EB5E">
        <w:rPr>
          <w:rFonts w:ascii="Aptos" w:hAnsi="Aptos" w:eastAsia="Aptos" w:cs="Aptos"/>
          <w:b w:val="1"/>
          <w:bCs w:val="1"/>
          <w:i w:val="0"/>
          <w:iCs w:val="0"/>
          <w:caps w:val="0"/>
          <w:smallCaps w:val="0"/>
          <w:noProof w:val="0"/>
          <w:color w:val="0F4761" w:themeColor="accent1" w:themeTint="FF" w:themeShade="BF"/>
          <w:sz w:val="32"/>
          <w:szCs w:val="32"/>
          <w:lang w:val="en-GB"/>
        </w:rPr>
        <w:t>CHAPTER 5 – Conclusion and Recommendations (1,000 words approx.)</w:t>
      </w:r>
    </w:p>
    <w:p xmlns:wp14="http://schemas.microsoft.com/office/word/2010/wordml" w:rsidP="2615EA99" wp14:paraId="101C57D2" wp14:textId="06394E0C">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5EA99" w:rsidR="5080EB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615EA99" wp14:paraId="4D047D1A" wp14:textId="7FFC05AB">
      <w:pPr>
        <w:pStyle w:val="Heading2"/>
        <w:keepNext w:val="1"/>
        <w:keepLines w:val="1"/>
        <w:spacing w:before="40" w:beforeAutospacing="off" w:after="0" w:afterAutospacing="off" w:line="360" w:lineRule="auto"/>
        <w:jc w:val="both"/>
        <w:rPr>
          <w:rFonts w:ascii="Aptos" w:hAnsi="Aptos" w:eastAsia="Aptos" w:cs="Aptos"/>
          <w:b w:val="0"/>
          <w:bCs w:val="0"/>
          <w:i w:val="0"/>
          <w:iCs w:val="0"/>
          <w:caps w:val="0"/>
          <w:smallCaps w:val="0"/>
          <w:noProof w:val="0"/>
          <w:color w:val="2F5496"/>
          <w:sz w:val="24"/>
          <w:szCs w:val="24"/>
          <w:lang w:val="en-GB"/>
        </w:rPr>
      </w:pPr>
      <w:r w:rsidRPr="2615EA99" w:rsidR="5080EB5E">
        <w:rPr>
          <w:rFonts w:ascii="Aptos" w:hAnsi="Aptos" w:eastAsia="Aptos" w:cs="Aptos"/>
          <w:b w:val="0"/>
          <w:bCs w:val="0"/>
          <w:i w:val="0"/>
          <w:iCs w:val="0"/>
          <w:caps w:val="0"/>
          <w:smallCaps w:val="0"/>
          <w:noProof w:val="0"/>
          <w:color w:val="2F5496"/>
          <w:sz w:val="24"/>
          <w:szCs w:val="24"/>
          <w:lang w:val="en-GB"/>
        </w:rPr>
        <w:t xml:space="preserve">5.1 – Overall Conclusion (200 words approx.) </w:t>
      </w:r>
    </w:p>
    <w:p xmlns:wp14="http://schemas.microsoft.com/office/word/2010/wordml" w:rsidP="2615EA99" wp14:paraId="757C12E0" wp14:textId="75A818CB">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5EA99" w:rsidR="5080EB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615EA99" wp14:paraId="7824679B" wp14:textId="6BD349C2">
      <w:pPr>
        <w:pStyle w:val="ListParagraph"/>
        <w:numPr>
          <w:ilvl w:val="0"/>
          <w:numId w:val="26"/>
        </w:numPr>
        <w:spacing w:before="0" w:beforeAutospacing="off" w:after="0" w:afterAutospacing="off" w:line="36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r w:rsidRPr="2615EA99" w:rsidR="5080EB5E">
        <w:rPr>
          <w:rFonts w:ascii="Aptos" w:hAnsi="Aptos" w:eastAsia="Aptos" w:cs="Aptos"/>
          <w:b w:val="1"/>
          <w:bCs w:val="1"/>
          <w:i w:val="0"/>
          <w:iCs w:val="0"/>
          <w:caps w:val="0"/>
          <w:smallCaps w:val="0"/>
          <w:noProof w:val="0"/>
          <w:color w:val="000000" w:themeColor="text1" w:themeTint="FF" w:themeShade="FF"/>
          <w:sz w:val="22"/>
          <w:szCs w:val="22"/>
          <w:lang w:val="en-GB"/>
        </w:rPr>
        <w:t>Purpose of the Conclusion:</w:t>
      </w:r>
    </w:p>
    <w:p xmlns:wp14="http://schemas.microsoft.com/office/word/2010/wordml" w:rsidP="2615EA99" wp14:paraId="7DA48279" wp14:textId="055FDD6F">
      <w:pPr>
        <w:pStyle w:val="ListParagraph"/>
        <w:numPr>
          <w:ilvl w:val="1"/>
          <w:numId w:val="26"/>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The dissertation highlights that children diagnosed with anxiety often face significant barriers to forming and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social relationships, stemming from underlying psychological and behavioural mechanisms such as heightened threat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perception</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avoidance, and reduced social confidence. By understanding how these mechanisms interfere with social engagement, the research underscores the importance of early identification and targeted interventions that address both the symptoms of anxiety and the relational challenges that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accompany</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it. Ultimately, supporting anxious children in developing stronger social skills and emotional resilience is essential for prompting healthier peer relationships and long-term well-</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being.</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Across the dissertation, each chapter contributes to a coherent thematic account of how childhood anxiety affects social relationships formation. The literature review situates the topic historically, tracing how early development psychology framed anxious behaviours as maladaptive social avoidance and how contemporary research refines the understanding through cognitive behavioural and interpersonal models. The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methodology</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chapter details the development of key analytical codes- such as avoidance, perceived threat, peer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evaluation</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and relational withdrawal through inductive thematic coding. Other chapters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how these codes converged into overreaching themes, including the internal mechanisms that sustain anxiety, the external barrier within peer environments, and the bidirectional relationship between symptoms and social experiences. The chapters also integrate themes showing how they interconnect to illustrate a cyclical pattern in which anxiety both constrains social engagement and is reinforced by negative relational outcomes, underscoring the need for targeted, mechanism focused interventions. The research aims focus was to understand how children’s anxiety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impacts</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their friendships. This aim was successfully achieved as the findings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indicate</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clear evidence</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to address this aim. The research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covered different areas that all linked back to children,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anxiety</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and relationships. These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were met through a systematic exploration of children's experiences of anxiety and its impact on social relationships.</w:t>
      </w:r>
    </w:p>
    <w:p xmlns:wp14="http://schemas.microsoft.com/office/word/2010/wordml" w:rsidP="2615EA99" wp14:paraId="7E795791" wp14:textId="744D96AD">
      <w:pPr>
        <w:spacing w:before="0" w:beforeAutospacing="off" w:after="0" w:afterAutospacing="off" w:line="360" w:lineRule="auto"/>
        <w:ind w:left="144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615EA99" wp14:paraId="1BBE4117" wp14:textId="62C7C90D">
      <w:pPr>
        <w:pStyle w:val="ListParagraph"/>
        <w:numPr>
          <w:ilvl w:val="0"/>
          <w:numId w:val="26"/>
        </w:numPr>
        <w:spacing w:before="0" w:beforeAutospacing="off" w:after="0" w:afterAutospacing="off" w:line="360" w:lineRule="auto"/>
        <w:jc w:val="both"/>
        <w:rPr>
          <w:rFonts w:ascii="Aptos" w:hAnsi="Aptos" w:eastAsia="Aptos" w:cs="Aptos"/>
          <w:b w:val="0"/>
          <w:bCs w:val="0"/>
          <w:i w:val="0"/>
          <w:iCs w:val="0"/>
          <w:caps w:val="0"/>
          <w:smallCaps w:val="0"/>
          <w:noProof w:val="0"/>
          <w:color w:val="2F5496"/>
          <w:sz w:val="24"/>
          <w:szCs w:val="24"/>
          <w:lang w:val="en-GB"/>
        </w:rPr>
      </w:pPr>
      <w:r w:rsidRPr="2615EA99" w:rsidR="5080EB5E">
        <w:rPr>
          <w:rFonts w:ascii="Aptos" w:hAnsi="Aptos" w:eastAsia="Aptos" w:cs="Aptos"/>
          <w:b w:val="0"/>
          <w:bCs w:val="0"/>
          <w:i w:val="0"/>
          <w:iCs w:val="0"/>
          <w:caps w:val="0"/>
          <w:smallCaps w:val="0"/>
          <w:noProof w:val="0"/>
          <w:color w:val="2F5496"/>
          <w:sz w:val="24"/>
          <w:szCs w:val="24"/>
          <w:lang w:val="en-GB"/>
        </w:rPr>
        <w:t xml:space="preserve">5.2 – Recommendations (800 words approx.) </w:t>
      </w:r>
    </w:p>
    <w:p xmlns:wp14="http://schemas.microsoft.com/office/word/2010/wordml" w:rsidP="2615EA99" wp14:paraId="6343D76B" wp14:textId="74FA107F">
      <w:pPr>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615EA99" w:rsidR="5080EB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615EA99" wp14:paraId="16EBDC12" wp14:textId="6D33534B">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615EA99" w:rsidR="5080EB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615EA99" w:rsidR="5080EB5E">
        <w:rPr>
          <w:rFonts w:ascii="Aptos" w:hAnsi="Aptos" w:eastAsia="Aptos" w:cs="Aptos"/>
          <w:b w:val="1"/>
          <w:bCs w:val="1"/>
          <w:i w:val="0"/>
          <w:iCs w:val="0"/>
          <w:caps w:val="0"/>
          <w:smallCaps w:val="0"/>
          <w:noProof w:val="0"/>
          <w:color w:val="0F4761" w:themeColor="accent1" w:themeTint="FF" w:themeShade="BF"/>
          <w:sz w:val="28"/>
          <w:szCs w:val="28"/>
          <w:lang w:val="en-GB"/>
        </w:rPr>
        <w:t xml:space="preserve">5.2.1 – Recommendation 1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Future practice should prioritise early, school-based interventions that specifically target both anxiety symptoms and the social skills difficulties that commonly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accompany</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them. This includes implementing evidence-based programmes that teach emotional regulation, confidence building, peer interaction skills alongside creating supportive classroom environments where children feel safe to practice social engagement. Professionals, teachers and mental health workers, parents should work collaboratively to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identify</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showing early signs of anxiety and provide consistent, relationship-focused support across settings. Strengthening these will help children build secure peer connections and reduce the long-term social impacts of anxiety </w:t>
      </w:r>
      <w:r w:rsidRPr="2615EA99" w:rsidR="5080EB5E">
        <w:rPr>
          <w:rFonts w:ascii="Arial" w:hAnsi="Arial" w:eastAsia="Arial" w:cs="Arial"/>
          <w:b w:val="0"/>
          <w:bCs w:val="0"/>
          <w:i w:val="0"/>
          <w:iCs w:val="0"/>
          <w:caps w:val="0"/>
          <w:smallCaps w:val="0"/>
          <w:noProof w:val="0"/>
          <w:color w:val="000000" w:themeColor="text1" w:themeTint="FF" w:themeShade="FF"/>
          <w:sz w:val="24"/>
          <w:szCs w:val="24"/>
          <w:lang w:val="en-GB"/>
        </w:rPr>
        <w:t>(NICE, 2013). While school and community offer support for children with anxiety, several barriers exist. Limited resources, such a strained staff and funding can restrict programme delivery, while accessibility issues and stigma may reduce participation. Variation in anxiety severity and reliance on parental involvement can further limit effectiveness. These challenges can be addressed by providing targeted staff training, integrating flexible delivery options, raising awareness to reduce stigma and tailoring interventions to individual needs ensuring that all children regardless of severity or home support can benefit (Cortina et al., 2019).</w:t>
      </w:r>
    </w:p>
    <w:p xmlns:wp14="http://schemas.microsoft.com/office/word/2010/wordml" w:rsidP="2615EA99" wp14:paraId="04490AB5" wp14:textId="03EF07A9">
      <w:pPr>
        <w:pStyle w:val="Heading1"/>
        <w:keepNext w:val="1"/>
        <w:keepLines w:val="1"/>
        <w:spacing w:before="0" w:beforeAutospacing="off" w:after="0" w:afterAutospacing="off"/>
        <w:ind w:left="220" w:right="0"/>
        <w:rPr>
          <w:rFonts w:ascii="Aptos" w:hAnsi="Aptos" w:eastAsia="Aptos" w:cs="Aptos"/>
          <w:b w:val="0"/>
          <w:bCs w:val="0"/>
          <w:i w:val="0"/>
          <w:iCs w:val="0"/>
          <w:caps w:val="0"/>
          <w:smallCaps w:val="0"/>
          <w:noProof w:val="0"/>
          <w:color w:val="0F4761" w:themeColor="accent1" w:themeTint="FF" w:themeShade="BF"/>
          <w:sz w:val="28"/>
          <w:szCs w:val="28"/>
          <w:lang w:val="en-GB"/>
        </w:rPr>
      </w:pPr>
      <w:r w:rsidRPr="2615EA99" w:rsidR="5080EB5E">
        <w:rPr>
          <w:rFonts w:ascii="Aptos" w:hAnsi="Aptos" w:eastAsia="Aptos" w:cs="Aptos"/>
          <w:b w:val="1"/>
          <w:bCs w:val="1"/>
          <w:i w:val="0"/>
          <w:iCs w:val="0"/>
          <w:caps w:val="0"/>
          <w:smallCaps w:val="0"/>
          <w:noProof w:val="0"/>
          <w:color w:val="0F4761" w:themeColor="accent1" w:themeTint="FF" w:themeShade="BF"/>
          <w:sz w:val="28"/>
          <w:szCs w:val="28"/>
          <w:lang w:val="en-GB"/>
        </w:rPr>
        <w:t xml:space="preserve"> </w:t>
      </w:r>
    </w:p>
    <w:p xmlns:wp14="http://schemas.microsoft.com/office/word/2010/wordml" w:rsidP="2615EA99" wp14:paraId="03D87D64" wp14:textId="275FBFC0">
      <w:pPr>
        <w:pStyle w:val="Heading1"/>
        <w:keepNext w:val="1"/>
        <w:keepLines w:val="1"/>
        <w:spacing w:before="0" w:beforeAutospacing="off" w:after="0" w:afterAutospacing="off"/>
        <w:ind w:left="220" w:right="0"/>
        <w:rPr>
          <w:rFonts w:ascii="Aptos" w:hAnsi="Aptos" w:eastAsia="Aptos" w:cs="Aptos"/>
          <w:b w:val="0"/>
          <w:bCs w:val="0"/>
          <w:i w:val="0"/>
          <w:iCs w:val="0"/>
          <w:caps w:val="0"/>
          <w:smallCaps w:val="0"/>
          <w:noProof w:val="0"/>
          <w:color w:val="0F4761" w:themeColor="accent1" w:themeTint="FF" w:themeShade="BF"/>
          <w:sz w:val="28"/>
          <w:szCs w:val="28"/>
          <w:lang w:val="en-GB"/>
        </w:rPr>
      </w:pPr>
      <w:r w:rsidRPr="2615EA99" w:rsidR="5080EB5E">
        <w:rPr>
          <w:rFonts w:ascii="Aptos" w:hAnsi="Aptos" w:eastAsia="Aptos" w:cs="Aptos"/>
          <w:b w:val="1"/>
          <w:bCs w:val="1"/>
          <w:i w:val="0"/>
          <w:iCs w:val="0"/>
          <w:caps w:val="0"/>
          <w:smallCaps w:val="0"/>
          <w:noProof w:val="0"/>
          <w:color w:val="0F4761" w:themeColor="accent1" w:themeTint="FF" w:themeShade="BF"/>
          <w:sz w:val="28"/>
          <w:szCs w:val="28"/>
          <w:lang w:val="en-GB"/>
        </w:rPr>
        <w:t xml:space="preserve">5.2.2 – Recommendation 2 </w:t>
      </w:r>
    </w:p>
    <w:p xmlns:wp14="http://schemas.microsoft.com/office/word/2010/wordml" w:rsidP="2615EA99" wp14:paraId="3366AC33" wp14:textId="21CE8DD7">
      <w:pPr>
        <w:keepNext w:val="1"/>
        <w:keepLines w:val="1"/>
        <w:rPr>
          <w:rFonts w:ascii="Arial" w:hAnsi="Arial" w:eastAsia="Arial" w:cs="Arial"/>
          <w:b w:val="0"/>
          <w:bCs w:val="0"/>
          <w:i w:val="0"/>
          <w:iCs w:val="0"/>
          <w:caps w:val="0"/>
          <w:smallCaps w:val="0"/>
          <w:noProof w:val="0"/>
          <w:color w:val="000000" w:themeColor="text1" w:themeTint="FF" w:themeShade="FF"/>
          <w:sz w:val="24"/>
          <w:szCs w:val="24"/>
          <w:lang w:val="en-GB"/>
        </w:rPr>
      </w:pP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A key recommendation for future practice in addressing </w:t>
      </w:r>
      <w:r w:rsidRPr="2615EA99" w:rsidR="224F760A">
        <w:rPr>
          <w:rFonts w:ascii="Arial" w:hAnsi="Arial" w:eastAsia="Arial" w:cs="Arial"/>
          <w:b w:val="0"/>
          <w:bCs w:val="0"/>
          <w:i w:val="0"/>
          <w:iCs w:val="0"/>
          <w:caps w:val="0"/>
          <w:smallCaps w:val="0"/>
          <w:noProof w:val="0"/>
          <w:color w:val="000000" w:themeColor="text1" w:themeTint="FF" w:themeShade="FF"/>
          <w:sz w:val="22"/>
          <w:szCs w:val="22"/>
          <w:lang w:val="en-GB"/>
        </w:rPr>
        <w:t>children's</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anxiety and social relationships in the UK is to implement integrated, school-based skills and anxiety interventions. These programmes should combine cognitive-behavioural therapy techniques structured with peer interaction activities, helping children build confidence, manage anxiety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symptoms</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and develop positive relationships in safe, supportive environments. Incorporating parental involvement and teacher training ensures that strategies are reinforced both at home and school. Digital or blended delivery options could further improve accessibility for children who struggle with in person participation, ensuring wider reach and consistency of support (NICE, 2013b). Implementing school based social skills and anxiety interventions face several barriers. Resource limitations, such as insufficient trained staff and funding, can restrict programme delivery. Accessibility issues may prevent some children from </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participating</w:t>
      </w: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 xml:space="preserve">, particularly those with severe anxiety or from disadvantaged backgrounds. Stigma around mental health can reduce engagement from both children and parents, and reliance on parental involvement may limit effectiveness if support at home is inconsistent. These challenges can be overcome by training school staff, using flexibly delivery methods such as blended online and in person sessions, raising awareness to reduce stigma and tailoring interventions to meet individual needs, ensuring that children with varying levels of anxiety and support can benefit </w:t>
      </w:r>
      <w:r w:rsidRPr="2615EA99" w:rsidR="5080EB5E">
        <w:rPr>
          <w:rFonts w:ascii="Arial" w:hAnsi="Arial" w:eastAsia="Arial" w:cs="Arial"/>
          <w:b w:val="0"/>
          <w:bCs w:val="0"/>
          <w:i w:val="0"/>
          <w:iCs w:val="0"/>
          <w:caps w:val="0"/>
          <w:smallCaps w:val="0"/>
          <w:noProof w:val="0"/>
          <w:color w:val="000000" w:themeColor="text1" w:themeTint="FF" w:themeShade="FF"/>
          <w:sz w:val="24"/>
          <w:szCs w:val="24"/>
          <w:lang w:val="en-GB"/>
        </w:rPr>
        <w:t>(Cortina et al., 2019b).</w:t>
      </w:r>
    </w:p>
    <w:p xmlns:wp14="http://schemas.microsoft.com/office/word/2010/wordml" w:rsidP="2615EA99" wp14:paraId="5E1336EF" wp14:textId="0F4F88EA">
      <w:pPr>
        <w:pStyle w:val="Heading1"/>
        <w:keepNext w:val="1"/>
        <w:keepLines w:val="1"/>
        <w:spacing w:before="0" w:beforeAutospacing="off" w:after="0" w:afterAutospacing="off"/>
        <w:ind w:left="220" w:right="0"/>
        <w:rPr>
          <w:rFonts w:ascii="Aptos" w:hAnsi="Aptos" w:eastAsia="Aptos" w:cs="Aptos"/>
          <w:b w:val="0"/>
          <w:bCs w:val="0"/>
          <w:i w:val="0"/>
          <w:iCs w:val="0"/>
          <w:caps w:val="0"/>
          <w:smallCaps w:val="0"/>
          <w:noProof w:val="0"/>
          <w:color w:val="0F4761" w:themeColor="accent1" w:themeTint="FF" w:themeShade="BF"/>
          <w:sz w:val="28"/>
          <w:szCs w:val="28"/>
          <w:lang w:val="en-GB"/>
        </w:rPr>
      </w:pPr>
      <w:r w:rsidRPr="2615EA99" w:rsidR="5080EB5E">
        <w:rPr>
          <w:rFonts w:ascii="Aptos" w:hAnsi="Aptos" w:eastAsia="Aptos" w:cs="Aptos"/>
          <w:b w:val="1"/>
          <w:bCs w:val="1"/>
          <w:i w:val="0"/>
          <w:iCs w:val="0"/>
          <w:caps w:val="0"/>
          <w:smallCaps w:val="0"/>
          <w:noProof w:val="0"/>
          <w:color w:val="0F4761" w:themeColor="accent1" w:themeTint="FF" w:themeShade="BF"/>
          <w:sz w:val="28"/>
          <w:szCs w:val="28"/>
          <w:lang w:val="en-GB"/>
        </w:rPr>
        <w:t xml:space="preserve"> </w:t>
      </w:r>
    </w:p>
    <w:p xmlns:wp14="http://schemas.microsoft.com/office/word/2010/wordml" w:rsidP="2615EA99" wp14:paraId="5A06C690" wp14:textId="19EE6C77">
      <w:pPr>
        <w:pStyle w:val="Heading1"/>
        <w:keepNext w:val="1"/>
        <w:keepLines w:val="1"/>
        <w:spacing w:before="0" w:beforeAutospacing="off" w:after="0" w:afterAutospacing="off"/>
        <w:ind w:left="220" w:right="0"/>
        <w:rPr>
          <w:rFonts w:ascii="Aptos" w:hAnsi="Aptos" w:eastAsia="Aptos" w:cs="Aptos"/>
          <w:b w:val="0"/>
          <w:bCs w:val="0"/>
          <w:i w:val="0"/>
          <w:iCs w:val="0"/>
          <w:caps w:val="0"/>
          <w:smallCaps w:val="0"/>
          <w:noProof w:val="0"/>
          <w:color w:val="0F4761" w:themeColor="accent1" w:themeTint="FF" w:themeShade="BF"/>
          <w:sz w:val="28"/>
          <w:szCs w:val="28"/>
          <w:lang w:val="en-GB"/>
        </w:rPr>
      </w:pPr>
      <w:r w:rsidRPr="2615EA99" w:rsidR="5080EB5E">
        <w:rPr>
          <w:rFonts w:ascii="Aptos" w:hAnsi="Aptos" w:eastAsia="Aptos" w:cs="Aptos"/>
          <w:b w:val="1"/>
          <w:bCs w:val="1"/>
          <w:i w:val="0"/>
          <w:iCs w:val="0"/>
          <w:caps w:val="0"/>
          <w:smallCaps w:val="0"/>
          <w:noProof w:val="0"/>
          <w:color w:val="0F4761" w:themeColor="accent1" w:themeTint="FF" w:themeShade="BF"/>
          <w:sz w:val="28"/>
          <w:szCs w:val="28"/>
          <w:lang w:val="en-GB"/>
        </w:rPr>
        <w:t xml:space="preserve">5.2.3 – Recommendation 3 </w:t>
      </w:r>
    </w:p>
    <w:p xmlns:wp14="http://schemas.microsoft.com/office/word/2010/wordml" w:rsidP="2615EA99" wp14:paraId="44FEC858" wp14:textId="6F754D61">
      <w:pPr>
        <w:keepNext w:val="1"/>
        <w:keepLines w:val="1"/>
        <w:rPr>
          <w:rFonts w:ascii="Arial" w:hAnsi="Arial" w:eastAsia="Arial" w:cs="Arial"/>
          <w:b w:val="0"/>
          <w:bCs w:val="0"/>
          <w:i w:val="0"/>
          <w:iCs w:val="0"/>
          <w:caps w:val="0"/>
          <w:smallCaps w:val="0"/>
          <w:noProof w:val="0"/>
          <w:color w:val="000000" w:themeColor="text1" w:themeTint="FF" w:themeShade="FF"/>
          <w:sz w:val="24"/>
          <w:szCs w:val="24"/>
          <w:lang w:val="en-GB"/>
        </w:rPr>
      </w:pPr>
      <w:r w:rsidRPr="2615EA99" w:rsidR="5080EB5E">
        <w:rPr>
          <w:rFonts w:ascii="Arial" w:hAnsi="Arial" w:eastAsia="Arial" w:cs="Arial"/>
          <w:b w:val="0"/>
          <w:bCs w:val="0"/>
          <w:i w:val="0"/>
          <w:iCs w:val="0"/>
          <w:caps w:val="0"/>
          <w:smallCaps w:val="0"/>
          <w:noProof w:val="0"/>
          <w:color w:val="000000" w:themeColor="text1" w:themeTint="FF" w:themeShade="FF"/>
          <w:sz w:val="22"/>
          <w:szCs w:val="22"/>
          <w:lang w:val="en-GB"/>
        </w:rPr>
        <w:t>A key recommendation for future practice is implementing early screening and targeted support within schools to identify children at risk of anxiety and social difficulties before problems escalate. This could involve brief assessments by school counsellors or mental health professionals, followed by tailored interventions such as small group social skills programmes or one to one cognitive behaviour therapy sessions. Integrating these supports within the school day can normalise help seeking, reduce stigma, and allow children to practice social interactions in a safe, familiar environment. Collaboration with parents ensure strategies are reinforced at home, promoting consistency and long-term improvements in social functioning (</w:t>
      </w:r>
      <w:r w:rsidRPr="2615EA99" w:rsidR="5080EB5E">
        <w:rPr>
          <w:rFonts w:ascii="Arial" w:hAnsi="Arial" w:eastAsia="Arial" w:cs="Arial"/>
          <w:b w:val="0"/>
          <w:bCs w:val="0"/>
          <w:i w:val="0"/>
          <w:iCs w:val="0"/>
          <w:caps w:val="0"/>
          <w:smallCaps w:val="0"/>
          <w:noProof w:val="0"/>
          <w:color w:val="000000" w:themeColor="text1" w:themeTint="FF" w:themeShade="FF"/>
          <w:sz w:val="24"/>
          <w:szCs w:val="24"/>
          <w:lang w:val="en-GB"/>
        </w:rPr>
        <w:t>Green et al., 2022). Implementing early screening and targeted support faces several barriers. Resource constraints, such as limited school counsellors, funding and time can hinder widespread assessment and intervention. Stigma around mental health may prevent children or parents from engaging with support, while variation in anxiety severity means standardised programmes may not suit all children. Additionally, parental engagement can be inconsistent, reducing reinforcement or strategies at home. These challenges can be addressed by providing staff training, integrating flexible or digital interventions, running awareness campaigns to reduce stigma, and tailored support to individual needs, ensuring that children with differing levels of anxiety and home support can benefit (Halliday, 2025).</w:t>
      </w:r>
    </w:p>
    <w:p xmlns:wp14="http://schemas.microsoft.com/office/word/2010/wordml" w:rsidP="2615EA99" wp14:paraId="081FE49D" wp14:textId="53F3D8BA">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2615EA99" w:rsidR="6CB4C7F0">
        <w:rPr>
          <w:rFonts w:ascii="Arial" w:hAnsi="Arial" w:eastAsia="Arial" w:cs="Arial"/>
          <w:b w:val="0"/>
          <w:bCs w:val="0"/>
          <w:i w:val="0"/>
          <w:iCs w:val="0"/>
          <w:caps w:val="0"/>
          <w:smallCaps w:val="0"/>
          <w:noProof w:val="0"/>
          <w:color w:val="000000" w:themeColor="text1" w:themeTint="FF" w:themeShade="FF"/>
          <w:sz w:val="40"/>
          <w:szCs w:val="40"/>
          <w:lang w:val="en-GB"/>
        </w:rPr>
        <w:t>References</w:t>
      </w:r>
      <w:r w:rsidRPr="2615EA99" w:rsidR="6CB4C7F0">
        <w:rPr>
          <w:rFonts w:ascii="Arial" w:hAnsi="Arial" w:eastAsia="Arial" w:cs="Arial"/>
          <w:b w:val="0"/>
          <w:bCs w:val="0"/>
          <w:i w:val="0"/>
          <w:iCs w:val="0"/>
          <w:caps w:val="0"/>
          <w:smallCaps w:val="0"/>
          <w:noProof w:val="0"/>
          <w:color w:val="000000" w:themeColor="text1" w:themeTint="FF" w:themeShade="FF"/>
          <w:sz w:val="40"/>
          <w:szCs w:val="40"/>
          <w:lang w:val="en-GB"/>
        </w:rPr>
        <w:t xml:space="preserve"> </w:t>
      </w:r>
    </w:p>
    <w:p xmlns:wp14="http://schemas.microsoft.com/office/word/2010/wordml" w:rsidP="2615EA99" wp14:paraId="1EDC19EA" wp14:textId="19374E24">
      <w:pPr>
        <w:spacing w:before="0" w:beforeAutospacing="off" w:after="240" w:afterAutospacing="off" w:line="360" w:lineRule="auto"/>
        <w:jc w:val="both"/>
      </w:pPr>
      <w:r w:rsidRPr="2615EA99" w:rsidR="6CB4C7F0">
        <w:rPr>
          <w:rFonts w:ascii="Arial" w:hAnsi="Arial" w:eastAsia="Arial" w:cs="Arial"/>
          <w:noProof w:val="0"/>
          <w:sz w:val="24"/>
          <w:szCs w:val="24"/>
          <w:lang w:val="en-GB"/>
        </w:rPr>
        <w:t xml:space="preserve">Cortina, M., Shipman, J., Saunders, F., Day, L., Blades, R., Smith, J. and Wolpert, M. (2019a). Embedding interagency working between schools and mental health specialists: A service evaluation of the Mental Health Services and Schools and Colleges Link Programme workshops - UCL Discovery. </w:t>
      </w:r>
      <w:r w:rsidRPr="2615EA99" w:rsidR="6CB4C7F0">
        <w:rPr>
          <w:rFonts w:ascii="Arial" w:hAnsi="Arial" w:eastAsia="Arial" w:cs="Arial"/>
          <w:i w:val="1"/>
          <w:iCs w:val="1"/>
          <w:noProof w:val="0"/>
          <w:sz w:val="24"/>
          <w:szCs w:val="24"/>
          <w:lang w:val="en-GB"/>
        </w:rPr>
        <w:t>Ucl.ac.uk</w:t>
      </w:r>
      <w:r w:rsidRPr="2615EA99" w:rsidR="6CB4C7F0">
        <w:rPr>
          <w:rFonts w:ascii="Arial" w:hAnsi="Arial" w:eastAsia="Arial" w:cs="Arial"/>
          <w:noProof w:val="0"/>
          <w:sz w:val="24"/>
          <w:szCs w:val="24"/>
          <w:lang w:val="en-GB"/>
        </w:rPr>
        <w:t>, [online] 6(1). doi:https://discovery.ucl.ac.uk/id/eprint/10075881/8/Wolpert_Embedding%20interagency%20working%20between%20schools%20and%20mental%20health%20specialists_AAM.pdf.</w:t>
      </w:r>
    </w:p>
    <w:p xmlns:wp14="http://schemas.microsoft.com/office/word/2010/wordml" w:rsidP="2615EA99" wp14:paraId="0C286196" wp14:textId="49530C72">
      <w:pPr>
        <w:spacing w:before="0" w:beforeAutospacing="off" w:after="240" w:afterAutospacing="off" w:line="360" w:lineRule="auto"/>
        <w:jc w:val="both"/>
      </w:pPr>
      <w:r w:rsidRPr="2615EA99" w:rsidR="6CB4C7F0">
        <w:rPr>
          <w:rFonts w:ascii="Arial" w:hAnsi="Arial" w:eastAsia="Arial" w:cs="Arial"/>
          <w:noProof w:val="0"/>
          <w:sz w:val="24"/>
          <w:szCs w:val="24"/>
          <w:lang w:val="en-GB"/>
        </w:rPr>
        <w:t xml:space="preserve">Cortina, M., Shipman, J., Saunders, F., Day, L., Blades, R., Smith, J. and Wolpert, M. (2019b). Embedding interagency working between schools and mental health specialists: A service evaluation of the Mental Health Services and Schools and Colleges Link Programme workshops - UCL Discovery. </w:t>
      </w:r>
      <w:r w:rsidRPr="2615EA99" w:rsidR="6CB4C7F0">
        <w:rPr>
          <w:rFonts w:ascii="Arial" w:hAnsi="Arial" w:eastAsia="Arial" w:cs="Arial"/>
          <w:i w:val="1"/>
          <w:iCs w:val="1"/>
          <w:noProof w:val="0"/>
          <w:sz w:val="24"/>
          <w:szCs w:val="24"/>
          <w:lang w:val="en-GB"/>
        </w:rPr>
        <w:t>Ucl.ac.uk</w:t>
      </w:r>
      <w:r w:rsidRPr="2615EA99" w:rsidR="6CB4C7F0">
        <w:rPr>
          <w:rFonts w:ascii="Arial" w:hAnsi="Arial" w:eastAsia="Arial" w:cs="Arial"/>
          <w:noProof w:val="0"/>
          <w:sz w:val="24"/>
          <w:szCs w:val="24"/>
          <w:lang w:val="en-GB"/>
        </w:rPr>
        <w:t>, [online] 2(1). doi:https://discovery.ucl.ac.uk/id/eprint/10075881/8/Wolpert_Embedding%20interagency%20working%20between%20schools%20and%20mental%20health%20specialists_AAM.pdf.</w:t>
      </w:r>
    </w:p>
    <w:p xmlns:wp14="http://schemas.microsoft.com/office/word/2010/wordml" w:rsidP="2615EA99" wp14:paraId="51DE82F2" wp14:textId="70747DF7">
      <w:pPr>
        <w:spacing w:before="0" w:beforeAutospacing="off" w:after="240" w:afterAutospacing="off" w:line="360" w:lineRule="auto"/>
        <w:jc w:val="both"/>
      </w:pPr>
      <w:r w:rsidRPr="2615EA99" w:rsidR="6CB4C7F0">
        <w:rPr>
          <w:rFonts w:ascii="Arial" w:hAnsi="Arial" w:eastAsia="Arial" w:cs="Arial"/>
          <w:noProof w:val="0"/>
          <w:sz w:val="24"/>
          <w:szCs w:val="24"/>
          <w:lang w:val="en-GB"/>
        </w:rPr>
        <w:t xml:space="preserve">Creswell, C., Chessell, C. and Halliday, G. (2025). Parent-led cognitive behaviour therapy for child anxiety problems: overcoming challenges to increase access to effective treatment. </w:t>
      </w:r>
      <w:r w:rsidRPr="2615EA99" w:rsidR="6CB4C7F0">
        <w:rPr>
          <w:rFonts w:ascii="Arial" w:hAnsi="Arial" w:eastAsia="Arial" w:cs="Arial"/>
          <w:i w:val="1"/>
          <w:iCs w:val="1"/>
          <w:noProof w:val="0"/>
          <w:sz w:val="24"/>
          <w:szCs w:val="24"/>
          <w:lang w:val="en-GB"/>
        </w:rPr>
        <w:t>Behavioural and Cognitive Psychotherapy</w:t>
      </w:r>
      <w:r w:rsidRPr="2615EA99" w:rsidR="6CB4C7F0">
        <w:rPr>
          <w:rFonts w:ascii="Arial" w:hAnsi="Arial" w:eastAsia="Arial" w:cs="Arial"/>
          <w:noProof w:val="0"/>
          <w:sz w:val="24"/>
          <w:szCs w:val="24"/>
          <w:lang w:val="en-GB"/>
        </w:rPr>
        <w:t>, [online] 51(6), pp.1–21. doi:https://doi.org/10.1017/S1352465822000546.</w:t>
      </w:r>
    </w:p>
    <w:p xmlns:wp14="http://schemas.microsoft.com/office/word/2010/wordml" w:rsidP="2615EA99" wp14:paraId="70686D5D" wp14:textId="74F28D23">
      <w:pPr>
        <w:spacing w:before="0" w:beforeAutospacing="off" w:after="240" w:afterAutospacing="off" w:line="360" w:lineRule="auto"/>
        <w:jc w:val="both"/>
      </w:pPr>
      <w:r w:rsidRPr="2615EA99" w:rsidR="6CB4C7F0">
        <w:rPr>
          <w:rFonts w:ascii="Arial" w:hAnsi="Arial" w:eastAsia="Arial" w:cs="Arial"/>
          <w:noProof w:val="0"/>
          <w:sz w:val="24"/>
          <w:szCs w:val="24"/>
          <w:lang w:val="en-GB"/>
        </w:rPr>
        <w:t xml:space="preserve">Green, I., Reardon, T., Button, R., Williamson, V., Halliday, G., Hill, C., Larkin, M., Sniehotta, F.F., Ukoumunne, O.C., Ford, T., Spence, S.H., Stallard, P. and Creswell, C. (2022). Increasing Access to Evidence‐based Treatment for Child Anxiety Problems: Online Parent‐led CBT for Children Identified via Schools. </w:t>
      </w:r>
      <w:r w:rsidRPr="2615EA99" w:rsidR="6CB4C7F0">
        <w:rPr>
          <w:rFonts w:ascii="Arial" w:hAnsi="Arial" w:eastAsia="Arial" w:cs="Arial"/>
          <w:i w:val="1"/>
          <w:iCs w:val="1"/>
          <w:noProof w:val="0"/>
          <w:sz w:val="24"/>
          <w:szCs w:val="24"/>
          <w:lang w:val="en-GB"/>
        </w:rPr>
        <w:t>Child and Adolescent Mental Health</w:t>
      </w:r>
      <w:r w:rsidRPr="2615EA99" w:rsidR="6CB4C7F0">
        <w:rPr>
          <w:rFonts w:ascii="Arial" w:hAnsi="Arial" w:eastAsia="Arial" w:cs="Arial"/>
          <w:noProof w:val="0"/>
          <w:sz w:val="24"/>
          <w:szCs w:val="24"/>
          <w:lang w:val="en-GB"/>
        </w:rPr>
        <w:t>, [online] 28(1). doi:https://doi.org/10.1111/camh.12612.</w:t>
      </w:r>
    </w:p>
    <w:p xmlns:wp14="http://schemas.microsoft.com/office/word/2010/wordml" w:rsidP="2615EA99" wp14:paraId="47037743" wp14:textId="7C591AFE">
      <w:pPr>
        <w:spacing w:before="0" w:beforeAutospacing="off" w:after="240" w:afterAutospacing="off" w:line="360" w:lineRule="auto"/>
        <w:jc w:val="both"/>
      </w:pPr>
      <w:r w:rsidRPr="2615EA99" w:rsidR="6CB4C7F0">
        <w:rPr>
          <w:rFonts w:ascii="Arial" w:hAnsi="Arial" w:eastAsia="Arial" w:cs="Arial"/>
          <w:noProof w:val="0"/>
          <w:sz w:val="24"/>
          <w:szCs w:val="24"/>
          <w:lang w:val="en-GB"/>
        </w:rPr>
        <w:t xml:space="preserve">NICE (2013a). </w:t>
      </w:r>
      <w:r w:rsidRPr="2615EA99" w:rsidR="6CB4C7F0">
        <w:rPr>
          <w:rFonts w:ascii="Arial" w:hAnsi="Arial" w:eastAsia="Arial" w:cs="Arial"/>
          <w:i w:val="1"/>
          <w:iCs w:val="1"/>
          <w:noProof w:val="0"/>
          <w:sz w:val="24"/>
          <w:szCs w:val="24"/>
          <w:lang w:val="en-GB"/>
        </w:rPr>
        <w:t>Social anxiety disorder: Recognition, assessment and treatment</w:t>
      </w:r>
      <w:r w:rsidRPr="2615EA99" w:rsidR="6CB4C7F0">
        <w:rPr>
          <w:rFonts w:ascii="Arial" w:hAnsi="Arial" w:eastAsia="Arial" w:cs="Arial"/>
          <w:noProof w:val="0"/>
          <w:sz w:val="24"/>
          <w:szCs w:val="24"/>
          <w:lang w:val="en-GB"/>
        </w:rPr>
        <w:t xml:space="preserve">. [online] Nice.org.uk. Available at: </w:t>
      </w:r>
      <w:hyperlink r:id="Rb5aba94c25624706">
        <w:r w:rsidRPr="2615EA99" w:rsidR="6CB4C7F0">
          <w:rPr>
            <w:rStyle w:val="Hyperlink"/>
            <w:rFonts w:ascii="Arial" w:hAnsi="Arial" w:eastAsia="Arial" w:cs="Arial"/>
            <w:noProof w:val="0"/>
            <w:sz w:val="24"/>
            <w:szCs w:val="24"/>
            <w:lang w:val="en-GB"/>
          </w:rPr>
          <w:t>https://www.nice.org.uk/guidance/cg159</w:t>
        </w:r>
      </w:hyperlink>
      <w:r w:rsidRPr="2615EA99" w:rsidR="6CB4C7F0">
        <w:rPr>
          <w:rFonts w:ascii="Arial" w:hAnsi="Arial" w:eastAsia="Arial" w:cs="Arial"/>
          <w:noProof w:val="0"/>
          <w:sz w:val="24"/>
          <w:szCs w:val="24"/>
          <w:lang w:val="en-GB"/>
        </w:rPr>
        <w:t xml:space="preserve"> [Accessed 20 Nov. 2025].</w:t>
      </w:r>
    </w:p>
    <w:p xmlns:wp14="http://schemas.microsoft.com/office/word/2010/wordml" w:rsidP="2615EA99" wp14:paraId="7A7EB2CA" wp14:textId="41CCE594">
      <w:pPr>
        <w:spacing w:before="0" w:beforeAutospacing="off" w:after="240" w:afterAutospacing="off" w:line="360" w:lineRule="auto"/>
        <w:jc w:val="both"/>
      </w:pPr>
      <w:r w:rsidRPr="2615EA99" w:rsidR="6CB4C7F0">
        <w:rPr>
          <w:rFonts w:ascii="Arial" w:hAnsi="Arial" w:eastAsia="Arial" w:cs="Arial"/>
          <w:noProof w:val="0"/>
          <w:sz w:val="24"/>
          <w:szCs w:val="24"/>
          <w:lang w:val="en-GB"/>
        </w:rPr>
        <w:t xml:space="preserve">NICE (2013b). </w:t>
      </w:r>
      <w:r w:rsidRPr="2615EA99" w:rsidR="6CB4C7F0">
        <w:rPr>
          <w:rFonts w:ascii="Arial" w:hAnsi="Arial" w:eastAsia="Arial" w:cs="Arial"/>
          <w:i w:val="1"/>
          <w:iCs w:val="1"/>
          <w:noProof w:val="0"/>
          <w:sz w:val="24"/>
          <w:szCs w:val="24"/>
          <w:lang w:val="en-GB"/>
        </w:rPr>
        <w:t>Social anxiety disorder: Recognition, assessment and treatment</w:t>
      </w:r>
      <w:r w:rsidRPr="2615EA99" w:rsidR="6CB4C7F0">
        <w:rPr>
          <w:rFonts w:ascii="Arial" w:hAnsi="Arial" w:eastAsia="Arial" w:cs="Arial"/>
          <w:noProof w:val="0"/>
          <w:sz w:val="24"/>
          <w:szCs w:val="24"/>
          <w:lang w:val="en-GB"/>
        </w:rPr>
        <w:t xml:space="preserve">. [online] Nice.org.uk. Available at: </w:t>
      </w:r>
      <w:hyperlink r:id="Rd76c4599d06d4ca4">
        <w:r w:rsidRPr="2615EA99" w:rsidR="6CB4C7F0">
          <w:rPr>
            <w:rStyle w:val="Hyperlink"/>
            <w:rFonts w:ascii="Arial" w:hAnsi="Arial" w:eastAsia="Arial" w:cs="Arial"/>
            <w:noProof w:val="0"/>
            <w:sz w:val="24"/>
            <w:szCs w:val="24"/>
            <w:lang w:val="en-GB"/>
          </w:rPr>
          <w:t>https://www.nice.org.uk/guidance/cg159</w:t>
        </w:r>
      </w:hyperlink>
      <w:r w:rsidRPr="2615EA99" w:rsidR="6CB4C7F0">
        <w:rPr>
          <w:rFonts w:ascii="Arial" w:hAnsi="Arial" w:eastAsia="Arial" w:cs="Arial"/>
          <w:noProof w:val="0"/>
          <w:sz w:val="24"/>
          <w:szCs w:val="24"/>
          <w:lang w:val="en-GB"/>
        </w:rPr>
        <w:t xml:space="preserve"> [Accessed 20 Nov. 2025].</w:t>
      </w:r>
    </w:p>
    <w:p xmlns:wp14="http://schemas.microsoft.com/office/word/2010/wordml" w:rsidP="2615EA99" wp14:paraId="6EC9A0BE" wp14:textId="1C0A8C99">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2615EA99" wp14:paraId="66412B8F" wp14:textId="46A44FBB">
      <w:pPr>
        <w:spacing w:before="0" w:beforeAutospacing="off" w:after="240" w:afterAutospacing="off" w:line="360" w:lineRule="auto"/>
        <w:rPr>
          <w:rFonts w:ascii="Arial" w:hAnsi="Arial" w:eastAsia="Arial" w:cs="Arial"/>
          <w:noProof w:val="0"/>
          <w:sz w:val="24"/>
          <w:szCs w:val="24"/>
          <w:lang w:val="en-GB"/>
        </w:rPr>
      </w:pPr>
    </w:p>
    <w:p xmlns:wp14="http://schemas.microsoft.com/office/word/2010/wordml" w:rsidP="2615EA99" wp14:paraId="7984F45D" wp14:textId="60B9D48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161671C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6">
    <w:nsid w:val="3c2d71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2ccda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a8b8cc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49eeb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097b5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4550c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b7780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c103e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00dff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a475a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fea1e2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cdbf3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9aad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a8f49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f0bc6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60797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af405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726c3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5871d8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94029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fd85e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4e83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d09d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de47c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4a85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c14bd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831C7B"/>
    <w:rsid w:val="11BE05E3"/>
    <w:rsid w:val="11D1E36C"/>
    <w:rsid w:val="224F760A"/>
    <w:rsid w:val="2615EA99"/>
    <w:rsid w:val="2E0A19FD"/>
    <w:rsid w:val="3F34C661"/>
    <w:rsid w:val="4556C18A"/>
    <w:rsid w:val="474C3ECC"/>
    <w:rsid w:val="48831C7B"/>
    <w:rsid w:val="5080EB5E"/>
    <w:rsid w:val="5F861530"/>
    <w:rsid w:val="6CB4C7F0"/>
    <w:rsid w:val="6DDAC47D"/>
    <w:rsid w:val="7665E9E7"/>
    <w:rsid w:val="77F58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31C7B"/>
  <w15:chartTrackingRefBased/>
  <w15:docId w15:val="{8D61F7A3-1F49-4C56-863E-143EB4D8D3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615EA9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615EA9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2615EA99"/>
    <w:pPr>
      <w:spacing/>
      <w:ind w:left="720"/>
      <w:contextualSpacing/>
    </w:pPr>
  </w:style>
  <w:style w:type="paragraph" w:styleId="Heading4">
    <w:uiPriority w:val="9"/>
    <w:name w:val="heading 4"/>
    <w:basedOn w:val="Normal"/>
    <w:next w:val="Normal"/>
    <w:unhideWhenUsed/>
    <w:qFormat/>
    <w:rsid w:val="2615EA9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2615EA9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irmingham.ac.uk/news/2024/new-link-between-news-literacy-and-civic-engagement-in-uk-children-revealed" TargetMode="External" Id="R87eb154bc3374005" /><Relationship Type="http://schemas.openxmlformats.org/officeDocument/2006/relationships/hyperlink" Target="https://www.verywellmind.com/what-is-attachment-theory-2795337" TargetMode="External" Id="R78fc0a2445664fa8" /><Relationship Type="http://schemas.openxmlformats.org/officeDocument/2006/relationships/hyperlink" Target="https://www.childrenscommissioner.gov.uk/blog/childrens-commissioner-responds-to-new-figures-on-children-referred-to-mental-health-support-for-anxiety/" TargetMode="External" Id="R4ab0309035424202" /><Relationship Type="http://schemas.openxmlformats.org/officeDocument/2006/relationships/hyperlink" Target="https://www.ofcom.org.uk" TargetMode="External" Id="R982c729d60ec4c88" /><Relationship Type="http://schemas.openxmlformats.org/officeDocument/2006/relationships/hyperlink" Target="https://www.ofcom.org.uk/media-use-and-attitudes/media-habits-children/childrens-media-lives" TargetMode="External" Id="Rd0918e87bd404443" /><Relationship Type="http://schemas.openxmlformats.org/officeDocument/2006/relationships/hyperlink" Target="https://libguides.bcu.ac.uk/critical-evaluation/checklist-approach" TargetMode="External" Id="R7ff024dfbb1b49cb" /><Relationship Type="http://schemas.openxmlformats.org/officeDocument/2006/relationships/hyperlink" Target="https://assets.publishing.service.gov.uk/government/uploads/system/uploads/attachment_data/file/359681/Young_Person_s_Guide_to_the_Children_and_Families_Act.pdf" TargetMode="External" Id="Re36f0551a01b4634" /><Relationship Type="http://schemas.openxmlformats.org/officeDocument/2006/relationships/hyperlink" Target="https://exquisitiveeducation.com/what-is-the-education-act-2002-summary/" TargetMode="External" Id="R0b16ee5d2dd341cd" /><Relationship Type="http://schemas.openxmlformats.org/officeDocument/2006/relationships/hyperlink" Target="https://www.legislation.gov.uk/ukpga/2014/6/contents" TargetMode="External" Id="Reac05325a75344a6" /><Relationship Type="http://schemas.openxmlformats.org/officeDocument/2006/relationships/hyperlink" Target="https://www.theguardian.com/society/article/2024/aug/27/nhs-referrals-for-anxiety-in-children-more-than-double-pre-covid-levels-england" TargetMode="External" Id="R601659b4a0504478" /><Relationship Type="http://schemas.openxmlformats.org/officeDocument/2006/relationships/hyperlink" Target="https://atlasti.com/guides/thematic-analysis/thematic-analysis-secondary-data" TargetMode="External" Id="R29bb9a54f94b456a" /><Relationship Type="http://schemas.openxmlformats.org/officeDocument/2006/relationships/hyperlink" Target="https://ico.org.uk/for-organisations/uk-gdpr-guidance-and-resources/childrens-information/children-and-the-uk-gdpr/what-should-our-general-approach-to-processing-children-s-personal-data-be/" TargetMode="External" Id="Rd121a5460c4a4ff1" /><Relationship Type="http://schemas.openxmlformats.org/officeDocument/2006/relationships/hyperlink" Target="https://www.jonaxtonpsychotherapies.co.uk/post/journey-into-attachment-bowlby-meets-freud-s-anna" TargetMode="External" Id="R8fce23e3bfb5413d" /><Relationship Type="http://schemas.openxmlformats.org/officeDocument/2006/relationships/hyperlink" Target="https://legalvision.co.uk/data-privacy-it/key-things-data-protection-act-2018/" TargetMode="External" Id="Rabf7b344dd9a4429" /><Relationship Type="http://schemas.openxmlformats.org/officeDocument/2006/relationships/hyperlink" Target="https://journals.sagepub.com/doi/full/10.1177/22779779221134659" TargetMode="External" Id="R650f1ffb98aa4797" /><Relationship Type="http://schemas.openxmlformats.org/officeDocument/2006/relationships/hyperlink" Target="https://digital.nhs.uk/data-and-information/publications/statistical/mental-health-of-children-and-young-people-in-england/2023-wave-4-follow-up" TargetMode="External" Id="R34c209cdf6254772" /><Relationship Type="http://schemas.openxmlformats.org/officeDocument/2006/relationships/hyperlink" Target="https://digital.nhs.uk/data-and-information/publications/statistical/mental-health-of-children-and-young-people-in-england/2023-wave-4-follow-up" TargetMode="External" Id="Rc6518c4615f24166" /><Relationship Type="http://schemas.openxmlformats.org/officeDocument/2006/relationships/hyperlink" Target="https://www.england.nhs.uk" TargetMode="External" Id="R5fba82c7ed244d84" /><Relationship Type="http://schemas.openxmlformats.org/officeDocument/2006/relationships/hyperlink" Target="https://www.england.nhs.uk/2023/11/one-in-five-children-and-young-people-had-a-probable-mental-disorder-in-2023/" TargetMode="External" Id="R7ff717c56ec8400b" /><Relationship Type="http://schemas.openxmlformats.org/officeDocument/2006/relationships/hyperlink" Target="https://wiobyrne.com/critical-literacy/" TargetMode="External" Id="Reff9804a3c13473e" /><Relationship Type="http://schemas.openxmlformats.org/officeDocument/2006/relationships/hyperlink" Target="https://www.ons.gov.uk/peoplepopulationandcommunity/crimeandjustice/bulletins/bullyingandonlineexperiencesamongchildreninenglandandwales/yearendingmarch2023" TargetMode="External" Id="Rcc374eec41d14653" /><Relationship Type="http://schemas.openxmlformats.org/officeDocument/2006/relationships/hyperlink" Target="https://cerebra.org.uk/wp-content/uploads/2023/03/anxiety-2023.pdf" TargetMode="External" Id="R84a9e6acb5c24ce3" /><Relationship Type="http://schemas.openxmlformats.org/officeDocument/2006/relationships/hyperlink" Target="https://www.psychmechanics.com/cognitive-behavioural-theory-cbt-in/" TargetMode="External" Id="Rdd797d73cd4c42fa" /><Relationship Type="http://schemas.openxmlformats.org/officeDocument/2006/relationships/hyperlink" Target="https://www.highspeedtraining.co.uk/hub/children-and-families-act-2014/" TargetMode="External" Id="Rfb6ee34105b04efe" /><Relationship Type="http://schemas.openxmlformats.org/officeDocument/2006/relationships/hyperlink" Target="https://www.scribbr.com/working-with-sources/evaluating-sources/" TargetMode="External" Id="R03abb3c3cc4a43ea" /><Relationship Type="http://schemas.openxmlformats.org/officeDocument/2006/relationships/hyperlink" Target="https://www.britannica.com" TargetMode="External" Id="R9d249ca3cf834a42" /><Relationship Type="http://schemas.openxmlformats.org/officeDocument/2006/relationships/hyperlink" Target="https://www.britannica.com/topic/Nuremberg-Code" TargetMode="External" Id="R056a1fd7cf4b4d20" /><Relationship Type="http://schemas.openxmlformats.org/officeDocument/2006/relationships/hyperlink" Target="https://assets.publishing.service.gov.uk/media/62c81017d3bf7f3004d17f73/Skills_Bill_impact_assessment.pdf" TargetMode="External" Id="R3107b9f929504ec2" /><Relationship Type="http://schemas.openxmlformats.org/officeDocument/2006/relationships/hyperlink" Target="https://www.gov.uk/government/publications/implementing-the-concordat-to-support-research-integrity-within-government/guidance-to-implement-the-concordat-to-support-research-integrity-within-government" TargetMode="External" Id="R546b3c1a1ec4478d" /><Relationship Type="http://schemas.openxmlformats.org/officeDocument/2006/relationships/hyperlink" Target="https://www.gov.uk/government/news/ukri-launches-consultation-on-open-access-policy" TargetMode="External" Id="R7467ffff3f744b88" /><Relationship Type="http://schemas.openxmlformats.org/officeDocument/2006/relationships/hyperlink" Target="https://ukrio.org/research-integrity/what-is-research-integrity/" TargetMode="External" Id="R813aeecefd2e41d7" /><Relationship Type="http://schemas.openxmlformats.org/officeDocument/2006/relationships/hyperlink" Target="https://www.york.ac.uk/students/studying/manage/programmes/module-catalogue/module/COM00031M/" TargetMode="External" Id="R5318eb0cf43d43d9" /><Relationship Type="http://schemas.openxmlformats.org/officeDocument/2006/relationships/hyperlink" Target="https://www.nice.org.uk/guidance/cg159" TargetMode="External" Id="Rb5aba94c25624706" /><Relationship Type="http://schemas.openxmlformats.org/officeDocument/2006/relationships/hyperlink" Target="https://www.nice.org.uk/guidance/cg159" TargetMode="External" Id="Rd76c4599d06d4ca4" /><Relationship Type="http://schemas.openxmlformats.org/officeDocument/2006/relationships/numbering" Target="/word/numbering.xml" Id="R2d5b6324cbe54b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Clancy (2222649)</dc:creator>
  <keywords/>
  <dc:description/>
  <lastModifiedBy>Jade Clancy (2222649)</lastModifiedBy>
  <revision>2</revision>
  <dcterms:created xsi:type="dcterms:W3CDTF">2025-11-20T12:22:17.3097128Z</dcterms:created>
  <dcterms:modified xsi:type="dcterms:W3CDTF">2025-11-20T12:29:53.7669288Z</dcterms:modified>
</coreProperties>
</file>