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AF56F1" w:rsidRDefault="00AF56F1" w:rsidP="00AF56F1">
      <w:pPr>
        <w:pStyle w:val="NormalWeb"/>
        <w:spacing w:before="0" w:beforeAutospacing="0" w:after="0" w:afterAutospacing="0"/>
        <w:ind w:left="-180" w:right="-334"/>
      </w:pPr>
      <w:r>
        <w:rPr>
          <w:noProof/>
          <w:lang w:val="en-US"/>
        </w:rPr>
        <w:drawing>
          <wp:inline distT="0" distB="0" distL="0" distR="0">
            <wp:extent cx="1905000" cy="638175"/>
            <wp:effectExtent l="19050" t="19050" r="19050" b="28575"/>
            <wp:docPr id="19"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AF56F1" w:rsidRDefault="00AF56F1" w:rsidP="00AF56F1">
      <w:pPr>
        <w:pStyle w:val="NormalWeb"/>
        <w:spacing w:before="0" w:beforeAutospacing="0" w:after="0" w:afterAutospacing="0"/>
        <w:ind w:left="-180" w:right="-334"/>
      </w:pPr>
    </w:p>
    <w:p w:rsidR="00AF56F1" w:rsidRDefault="00AF56F1" w:rsidP="00AF56F1">
      <w:pPr>
        <w:pStyle w:val="NormalWeb"/>
        <w:spacing w:before="0" w:beforeAutospacing="0" w:after="0" w:afterAutospacing="0"/>
        <w:ind w:left="-180" w:right="-334"/>
      </w:pPr>
    </w:p>
    <w:p w:rsidR="00AF56F1" w:rsidRDefault="00AF56F1" w:rsidP="00AF56F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AF56F1" w:rsidRPr="00230F35" w:rsidRDefault="00AF56F1" w:rsidP="00AF56F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AF56F1" w:rsidRPr="00230F35" w:rsidRDefault="00AF56F1" w:rsidP="00AF56F1">
      <w:pPr>
        <w:rPr>
          <w:rFonts w:ascii="Arial" w:hAnsi="Arial" w:cs="Arial"/>
          <w:sz w:val="28"/>
          <w:szCs w:val="28"/>
          <w:lang w:val="cy-GB"/>
        </w:rPr>
      </w:pPr>
    </w:p>
    <w:p w:rsidR="00AF56F1" w:rsidRDefault="00AF56F1" w:rsidP="00AF56F1">
      <w:pPr>
        <w:pStyle w:val="Heading3"/>
        <w:jc w:val="center"/>
        <w:rPr>
          <w:lang w:val="cy-GB"/>
        </w:rPr>
      </w:pPr>
      <w:r>
        <w:rPr>
          <w:lang w:val="cy-GB"/>
        </w:rPr>
        <w:t>THIS SHEET MUST BE THE FIRST PAGE OF THE ASSIGNMENT YOU ARE SUBMITTING  (DO NOT SEND AS A SEPARATE FILE)</w:t>
      </w:r>
    </w:p>
    <w:p w:rsidR="00AF56F1" w:rsidRDefault="00AF56F1" w:rsidP="00AF56F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AF56F1" w:rsidRPr="00230F35" w:rsidTr="007B1E86">
        <w:trPr>
          <w:trHeight w:val="614"/>
        </w:trPr>
        <w:tc>
          <w:tcPr>
            <w:tcW w:w="8856" w:type="dxa"/>
            <w:gridSpan w:val="5"/>
          </w:tcPr>
          <w:p w:rsidR="00AF56F1" w:rsidRPr="00230F35" w:rsidRDefault="00AF56F1" w:rsidP="007B1E8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F56F1" w:rsidRPr="00230F35" w:rsidTr="007B1E86">
        <w:trPr>
          <w:trHeight w:val="718"/>
        </w:trPr>
        <w:tc>
          <w:tcPr>
            <w:tcW w:w="8856" w:type="dxa"/>
            <w:gridSpan w:val="5"/>
          </w:tcPr>
          <w:p w:rsidR="00AF56F1" w:rsidRDefault="00AF56F1" w:rsidP="007B1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AF56F1" w:rsidRPr="009117B1" w:rsidRDefault="009117B1" w:rsidP="007B1E86">
            <w:pPr>
              <w:pStyle w:val="NormalWeb"/>
              <w:spacing w:before="0" w:beforeAutospacing="0" w:after="0" w:afterAutospacing="0"/>
              <w:ind w:right="34"/>
              <w:rPr>
                <w:rFonts w:ascii="Arial" w:hAnsi="Arial" w:cs="Arial"/>
                <w:sz w:val="22"/>
                <w:szCs w:val="22"/>
                <w:lang w:val="en-US"/>
              </w:rPr>
            </w:pPr>
            <w:r>
              <w:rPr>
                <w:rFonts w:ascii="Arial" w:hAnsi="Arial" w:cs="Arial"/>
                <w:sz w:val="22"/>
                <w:szCs w:val="22"/>
                <w:lang w:val="en-US"/>
              </w:rPr>
              <w:t>Clinton Briar</w:t>
            </w:r>
          </w:p>
        </w:tc>
      </w:tr>
      <w:tr w:rsidR="00AF56F1" w:rsidRPr="00230F35" w:rsidTr="007B1E86">
        <w:trPr>
          <w:trHeight w:val="849"/>
        </w:trPr>
        <w:tc>
          <w:tcPr>
            <w:tcW w:w="4788" w:type="dxa"/>
          </w:tcPr>
          <w:p w:rsidR="00AF56F1" w:rsidRPr="00230F35" w:rsidRDefault="00AF56F1" w:rsidP="007B1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rsidR="00AF56F1" w:rsidRPr="009117B1" w:rsidRDefault="009117B1" w:rsidP="007B1E86">
            <w:pPr>
              <w:pStyle w:val="NormalWeb"/>
              <w:spacing w:before="0" w:beforeAutospacing="0" w:after="0" w:afterAutospacing="0"/>
              <w:ind w:right="34"/>
              <w:rPr>
                <w:rFonts w:ascii="Arial" w:hAnsi="Arial" w:cs="Arial"/>
                <w:sz w:val="22"/>
                <w:szCs w:val="22"/>
                <w:lang w:val="en-US"/>
              </w:rPr>
            </w:pPr>
            <w:r>
              <w:rPr>
                <w:rFonts w:ascii="Arial" w:hAnsi="Arial" w:cs="Arial"/>
                <w:sz w:val="22"/>
                <w:szCs w:val="22"/>
                <w:lang w:val="en-US"/>
              </w:rPr>
              <w:t>HPCA7009</w:t>
            </w:r>
          </w:p>
          <w:p w:rsidR="00AF56F1" w:rsidRDefault="00AF56F1" w:rsidP="007B1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rsidR="00AF56F1" w:rsidRPr="009117B1" w:rsidRDefault="009117B1" w:rsidP="007B1E86">
            <w:pPr>
              <w:pStyle w:val="NormalWeb"/>
              <w:spacing w:before="0" w:beforeAutospacing="0" w:after="0" w:afterAutospacing="0"/>
              <w:ind w:right="34"/>
              <w:rPr>
                <w:rFonts w:ascii="Arial" w:hAnsi="Arial" w:cs="Arial"/>
                <w:sz w:val="22"/>
                <w:szCs w:val="22"/>
                <w:lang w:val="en-US"/>
              </w:rPr>
            </w:pPr>
            <w:r>
              <w:rPr>
                <w:rFonts w:ascii="Arial" w:hAnsi="Arial" w:cs="Arial"/>
                <w:sz w:val="22"/>
                <w:szCs w:val="22"/>
                <w:lang w:val="en-US"/>
              </w:rPr>
              <w:t xml:space="preserve">Skyscapes, Cosmology, and Archaeology </w:t>
            </w:r>
          </w:p>
          <w:p w:rsidR="00AF56F1" w:rsidRPr="00230F35" w:rsidRDefault="00AF56F1" w:rsidP="007B1E86">
            <w:pPr>
              <w:pStyle w:val="NormalWeb"/>
              <w:spacing w:before="0" w:beforeAutospacing="0" w:after="0" w:afterAutospacing="0"/>
              <w:ind w:right="34"/>
              <w:rPr>
                <w:rFonts w:ascii="Arial" w:hAnsi="Arial" w:cs="Arial"/>
                <w:sz w:val="22"/>
                <w:szCs w:val="22"/>
              </w:rPr>
            </w:pPr>
          </w:p>
        </w:tc>
        <w:tc>
          <w:tcPr>
            <w:tcW w:w="2266" w:type="dxa"/>
            <w:gridSpan w:val="3"/>
          </w:tcPr>
          <w:p w:rsidR="00AF56F1" w:rsidRDefault="00AF56F1" w:rsidP="007B1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9117B1" w:rsidRPr="00230F35" w:rsidRDefault="009117B1" w:rsidP="007B1E86">
            <w:pPr>
              <w:pStyle w:val="NormalWeb"/>
              <w:spacing w:before="0" w:beforeAutospacing="0" w:after="0" w:afterAutospacing="0"/>
              <w:ind w:right="34"/>
              <w:rPr>
                <w:rFonts w:ascii="Arial" w:hAnsi="Arial" w:cs="Arial"/>
                <w:sz w:val="22"/>
                <w:szCs w:val="22"/>
              </w:rPr>
            </w:pPr>
            <w:r>
              <w:rPr>
                <w:rFonts w:ascii="Arial" w:hAnsi="Arial" w:cs="Arial"/>
                <w:sz w:val="22"/>
                <w:szCs w:val="22"/>
              </w:rPr>
              <w:t>1804735</w:t>
            </w:r>
          </w:p>
        </w:tc>
        <w:tc>
          <w:tcPr>
            <w:tcW w:w="1802" w:type="dxa"/>
          </w:tcPr>
          <w:p w:rsidR="00AF56F1" w:rsidRPr="00230F35" w:rsidRDefault="00AF56F1" w:rsidP="007B1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AF56F1" w:rsidRPr="00230F35" w:rsidRDefault="00AF56F1" w:rsidP="007B1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F56F1" w:rsidRPr="00230F35" w:rsidTr="007B1E86">
        <w:trPr>
          <w:trHeight w:val="1139"/>
        </w:trPr>
        <w:tc>
          <w:tcPr>
            <w:tcW w:w="8856" w:type="dxa"/>
            <w:gridSpan w:val="5"/>
          </w:tcPr>
          <w:p w:rsidR="00AF56F1" w:rsidRPr="00230F35" w:rsidRDefault="00AF56F1" w:rsidP="007B1E86">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rsidR="00AF56F1" w:rsidRPr="009117B1" w:rsidRDefault="009117B1" w:rsidP="007B1E86">
            <w:pPr>
              <w:pStyle w:val="NormalWeb"/>
              <w:spacing w:before="0" w:beforeAutospacing="0" w:after="0" w:afterAutospacing="0"/>
              <w:ind w:right="34"/>
              <w:rPr>
                <w:rFonts w:ascii="Arial" w:hAnsi="Arial" w:cs="Arial"/>
                <w:sz w:val="22"/>
                <w:szCs w:val="22"/>
                <w:lang w:val="en-US"/>
              </w:rPr>
            </w:pPr>
            <w:r>
              <w:rPr>
                <w:rFonts w:ascii="Arial" w:hAnsi="Arial" w:cs="Arial"/>
                <w:sz w:val="22"/>
                <w:szCs w:val="22"/>
                <w:lang w:val="en-US"/>
              </w:rPr>
              <w:t>Fabio Silva, Kim Malville, Bernadette Brady</w:t>
            </w:r>
          </w:p>
          <w:p w:rsidR="00AF56F1" w:rsidRDefault="00AF56F1" w:rsidP="007B1E86">
            <w:pPr>
              <w:pStyle w:val="NormalWeb"/>
              <w:spacing w:before="0" w:beforeAutospacing="0" w:after="0" w:afterAutospacing="0"/>
              <w:ind w:right="34"/>
              <w:rPr>
                <w:rFonts w:ascii="Arial" w:hAnsi="Arial" w:cs="Arial"/>
                <w:sz w:val="22"/>
                <w:szCs w:val="22"/>
              </w:rPr>
            </w:pPr>
          </w:p>
          <w:p w:rsidR="00AF56F1" w:rsidRPr="00230F35" w:rsidRDefault="00AF56F1" w:rsidP="007B1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9117B1">
              <w:rPr>
                <w:rFonts w:ascii="Arial" w:hAnsi="Arial" w:cs="Arial"/>
                <w:sz w:val="22"/>
                <w:szCs w:val="22"/>
              </w:rPr>
              <w:t xml:space="preserve"> July 29, 2019</w:t>
            </w:r>
          </w:p>
        </w:tc>
      </w:tr>
      <w:tr w:rsidR="00AF56F1" w:rsidRPr="00230F35" w:rsidTr="007B1E86">
        <w:trPr>
          <w:trHeight w:val="978"/>
        </w:trPr>
        <w:tc>
          <w:tcPr>
            <w:tcW w:w="8856" w:type="dxa"/>
            <w:gridSpan w:val="5"/>
            <w:tcBorders>
              <w:bottom w:val="single" w:sz="4" w:space="0" w:color="000000"/>
            </w:tcBorders>
          </w:tcPr>
          <w:p w:rsidR="00AF56F1" w:rsidRDefault="00AF56F1" w:rsidP="007B1E86">
            <w:pPr>
              <w:rPr>
                <w:rFonts w:ascii="Arial" w:hAnsi="Arial" w:cs="Arial"/>
                <w:sz w:val="22"/>
              </w:rPr>
            </w:pPr>
            <w:r>
              <w:rPr>
                <w:rFonts w:ascii="Arial" w:hAnsi="Arial" w:cs="Arial"/>
                <w:sz w:val="22"/>
              </w:rPr>
              <w:t>If your module has multiple submissions please indicate which piece of work this is.</w:t>
            </w:r>
          </w:p>
          <w:p w:rsidR="00AF56F1" w:rsidRDefault="00AF56F1" w:rsidP="007B1E86">
            <w:pPr>
              <w:rPr>
                <w:rFonts w:ascii="Arial" w:hAnsi="Arial" w:cs="Arial"/>
                <w:sz w:val="22"/>
              </w:rPr>
            </w:pPr>
          </w:p>
          <w:p w:rsidR="00AF56F1" w:rsidRPr="00230F35" w:rsidRDefault="00AF56F1" w:rsidP="009117B1">
            <w:pPr>
              <w:rPr>
                <w:rFonts w:ascii="Arial" w:hAnsi="Arial" w:cs="Arial"/>
                <w:sz w:val="22"/>
              </w:rPr>
            </w:pPr>
            <w:r w:rsidRPr="00230F35">
              <w:rPr>
                <w:rFonts w:ascii="Arial" w:hAnsi="Arial" w:cs="Arial"/>
                <w:sz w:val="22"/>
              </w:rPr>
              <w:t>1</w:t>
            </w:r>
            <w:r w:rsidRPr="00230F35">
              <w:rPr>
                <w:rFonts w:ascii="Arial" w:hAnsi="Arial" w:cs="Arial"/>
                <w:sz w:val="22"/>
                <w:vertAlign w:val="superscript"/>
              </w:rPr>
              <w:t xml:space="preserve">st </w:t>
            </w:r>
            <w:r w:rsidR="009A5A75" w:rsidRPr="00230F35">
              <w:rPr>
                <w:rFonts w:ascii="Arial" w:hAnsi="Arial" w:cs="Arial"/>
                <w:sz w:val="22"/>
              </w:rPr>
              <w:fldChar w:fldCharType="begin">
                <w:ffData>
                  <w:name w:val="Check13"/>
                  <w:enabled/>
                  <w:calcOnExit w:val="0"/>
                  <w:checkBox>
                    <w:sizeAuto/>
                    <w:default w:val="0"/>
                  </w:checkBox>
                </w:ffData>
              </w:fldChar>
            </w:r>
            <w:bookmarkStart w:id="0" w:name="Check13"/>
            <w:r w:rsidRPr="00230F35">
              <w:rPr>
                <w:rFonts w:ascii="Arial" w:hAnsi="Arial" w:cs="Arial"/>
                <w:sz w:val="22"/>
              </w:rPr>
              <w:instrText xml:space="preserve"> FORMCHECKBOX </w:instrText>
            </w:r>
            <w:r w:rsidR="009A5A75" w:rsidRPr="00230F35">
              <w:rPr>
                <w:rFonts w:ascii="Arial" w:hAnsi="Arial" w:cs="Arial"/>
                <w:sz w:val="22"/>
              </w:rPr>
            </w:r>
            <w:r w:rsidR="009A5A75" w:rsidRPr="00230F35">
              <w:rPr>
                <w:rFonts w:ascii="Arial" w:hAnsi="Arial" w:cs="Arial"/>
                <w:sz w:val="22"/>
              </w:rPr>
              <w:fldChar w:fldCharType="end"/>
            </w:r>
            <w:bookmarkEnd w:id="0"/>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009117B1" w:rsidRPr="009117B1">
              <w:rPr>
                <w:rFonts w:ascii="Arial" w:hAnsi="Arial" w:cs="Arial"/>
                <w:sz w:val="28"/>
                <w:szCs w:val="28"/>
              </w:rPr>
              <w:sym w:font="Wingdings" w:char="F0FE"/>
            </w:r>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009A5A75" w:rsidRPr="00230F35">
              <w:rPr>
                <w:rFonts w:ascii="Arial" w:hAnsi="Arial" w:cs="Arial"/>
                <w:sz w:val="22"/>
              </w:rPr>
              <w:fldChar w:fldCharType="begin">
                <w:ffData>
                  <w:name w:val="Check15"/>
                  <w:enabled/>
                  <w:calcOnExit w:val="0"/>
                  <w:checkBox>
                    <w:sizeAuto/>
                    <w:default w:val="0"/>
                  </w:checkBox>
                </w:ffData>
              </w:fldChar>
            </w:r>
            <w:bookmarkStart w:id="1" w:name="Check15"/>
            <w:r w:rsidRPr="00230F35">
              <w:rPr>
                <w:rFonts w:ascii="Arial" w:hAnsi="Arial" w:cs="Arial"/>
                <w:sz w:val="22"/>
              </w:rPr>
              <w:instrText xml:space="preserve"> FORMCHECKBOX </w:instrText>
            </w:r>
            <w:r w:rsidR="009A5A75" w:rsidRPr="00230F35">
              <w:rPr>
                <w:rFonts w:ascii="Arial" w:hAnsi="Arial" w:cs="Arial"/>
                <w:sz w:val="22"/>
              </w:rPr>
            </w:r>
            <w:r w:rsidR="009A5A75" w:rsidRPr="00230F35">
              <w:rPr>
                <w:rFonts w:ascii="Arial" w:hAnsi="Arial" w:cs="Arial"/>
                <w:sz w:val="22"/>
              </w:rPr>
              <w:fldChar w:fldCharType="end"/>
            </w:r>
            <w:bookmarkEnd w:id="1"/>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009A5A75" w:rsidRPr="00230F35">
              <w:rPr>
                <w:rFonts w:ascii="Arial" w:hAnsi="Arial" w:cs="Arial"/>
                <w:sz w:val="22"/>
              </w:rPr>
              <w:fldChar w:fldCharType="begin">
                <w:ffData>
                  <w:name w:val="Check16"/>
                  <w:enabled/>
                  <w:calcOnExit w:val="0"/>
                  <w:checkBox>
                    <w:sizeAuto/>
                    <w:default w:val="0"/>
                  </w:checkBox>
                </w:ffData>
              </w:fldChar>
            </w:r>
            <w:bookmarkStart w:id="2" w:name="Check16"/>
            <w:r w:rsidRPr="00230F35">
              <w:rPr>
                <w:rFonts w:ascii="Arial" w:hAnsi="Arial" w:cs="Arial"/>
                <w:sz w:val="22"/>
              </w:rPr>
              <w:instrText xml:space="preserve"> FORMCHECKBOX </w:instrText>
            </w:r>
            <w:r w:rsidR="009A5A75" w:rsidRPr="00230F35">
              <w:rPr>
                <w:rFonts w:ascii="Arial" w:hAnsi="Arial" w:cs="Arial"/>
                <w:sz w:val="22"/>
              </w:rPr>
            </w:r>
            <w:r w:rsidR="009A5A75" w:rsidRPr="00230F35">
              <w:rPr>
                <w:rFonts w:ascii="Arial" w:hAnsi="Arial" w:cs="Arial"/>
                <w:sz w:val="22"/>
              </w:rPr>
              <w:fldChar w:fldCharType="end"/>
            </w:r>
            <w:bookmarkEnd w:id="2"/>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009A5A75" w:rsidRPr="00230F35">
              <w:rPr>
                <w:rFonts w:ascii="Arial" w:hAnsi="Arial" w:cs="Arial"/>
                <w:sz w:val="22"/>
              </w:rPr>
              <w:fldChar w:fldCharType="begin">
                <w:ffData>
                  <w:name w:val="Check17"/>
                  <w:enabled/>
                  <w:calcOnExit w:val="0"/>
                  <w:checkBox>
                    <w:sizeAuto/>
                    <w:default w:val="0"/>
                  </w:checkBox>
                </w:ffData>
              </w:fldChar>
            </w:r>
            <w:bookmarkStart w:id="3" w:name="Check17"/>
            <w:r w:rsidRPr="00230F35">
              <w:rPr>
                <w:rFonts w:ascii="Arial" w:hAnsi="Arial" w:cs="Arial"/>
                <w:sz w:val="22"/>
              </w:rPr>
              <w:instrText xml:space="preserve"> FORMCHECKBOX </w:instrText>
            </w:r>
            <w:r w:rsidR="009A5A75" w:rsidRPr="00230F35">
              <w:rPr>
                <w:rFonts w:ascii="Arial" w:hAnsi="Arial" w:cs="Arial"/>
                <w:sz w:val="22"/>
              </w:rPr>
            </w:r>
            <w:r w:rsidR="009A5A75" w:rsidRPr="00230F35">
              <w:rPr>
                <w:rFonts w:ascii="Arial" w:hAnsi="Arial" w:cs="Arial"/>
                <w:sz w:val="22"/>
              </w:rPr>
              <w:fldChar w:fldCharType="end"/>
            </w:r>
            <w:bookmarkEnd w:id="3"/>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009A5A75" w:rsidRPr="00230F35">
              <w:rPr>
                <w:rFonts w:ascii="Arial" w:hAnsi="Arial" w:cs="Arial"/>
                <w:sz w:val="22"/>
              </w:rPr>
              <w:fldChar w:fldCharType="begin">
                <w:ffData>
                  <w:name w:val="Check18"/>
                  <w:enabled/>
                  <w:calcOnExit w:val="0"/>
                  <w:checkBox>
                    <w:sizeAuto/>
                    <w:default w:val="0"/>
                  </w:checkBox>
                </w:ffData>
              </w:fldChar>
            </w:r>
            <w:bookmarkStart w:id="4" w:name="Check18"/>
            <w:r w:rsidRPr="00230F35">
              <w:rPr>
                <w:rFonts w:ascii="Arial" w:hAnsi="Arial" w:cs="Arial"/>
                <w:sz w:val="22"/>
              </w:rPr>
              <w:instrText xml:space="preserve"> FORMCHECKBOX </w:instrText>
            </w:r>
            <w:r w:rsidR="009A5A75" w:rsidRPr="00230F35">
              <w:rPr>
                <w:rFonts w:ascii="Arial" w:hAnsi="Arial" w:cs="Arial"/>
                <w:sz w:val="22"/>
              </w:rPr>
            </w:r>
            <w:r w:rsidR="009A5A75" w:rsidRPr="00230F35">
              <w:rPr>
                <w:rFonts w:ascii="Arial" w:hAnsi="Arial" w:cs="Arial"/>
                <w:sz w:val="22"/>
              </w:rPr>
              <w:fldChar w:fldCharType="end"/>
            </w:r>
            <w:bookmarkEnd w:id="4"/>
          </w:p>
        </w:tc>
      </w:tr>
      <w:tr w:rsidR="00AF56F1" w:rsidRPr="00230F35" w:rsidTr="007B1E86">
        <w:trPr>
          <w:trHeight w:val="978"/>
        </w:trPr>
        <w:tc>
          <w:tcPr>
            <w:tcW w:w="8856" w:type="dxa"/>
            <w:gridSpan w:val="5"/>
            <w:shd w:val="clear" w:color="auto" w:fill="D9D9D9"/>
          </w:tcPr>
          <w:p w:rsidR="00AF56F1" w:rsidRPr="00230F35" w:rsidRDefault="00AF56F1" w:rsidP="007B1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AF56F1" w:rsidRDefault="00AF56F1" w:rsidP="007B1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9117B1">
              <w:rPr>
                <w:rFonts w:ascii="Arial" w:hAnsi="Arial" w:cs="Arial"/>
                <w:sz w:val="22"/>
                <w:szCs w:val="22"/>
              </w:rPr>
              <w:t>Clinton Briar</w:t>
            </w:r>
            <w:r w:rsidRPr="00230F35">
              <w:rPr>
                <w:rFonts w:ascii="Arial" w:hAnsi="Arial" w:cs="Arial"/>
                <w:sz w:val="22"/>
                <w:szCs w:val="22"/>
              </w:rPr>
              <w:t>……………………………………………</w:t>
            </w:r>
          </w:p>
          <w:p w:rsidR="00AF56F1" w:rsidRDefault="00AF56F1" w:rsidP="007B1E8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AF56F1" w:rsidRPr="00230F35" w:rsidRDefault="00AF56F1" w:rsidP="007B1E8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F56F1" w:rsidRPr="00230F35" w:rsidTr="007B1E86">
        <w:trPr>
          <w:trHeight w:val="3972"/>
        </w:trPr>
        <w:tc>
          <w:tcPr>
            <w:tcW w:w="8856" w:type="dxa"/>
            <w:gridSpan w:val="5"/>
          </w:tcPr>
          <w:p w:rsidR="00AF56F1" w:rsidRDefault="00AF56F1" w:rsidP="007B1E86">
            <w:pPr>
              <w:rPr>
                <w:rFonts w:ascii="Arial" w:hAnsi="Arial"/>
                <w:b/>
              </w:rPr>
            </w:pPr>
          </w:p>
          <w:p w:rsidR="00AF56F1" w:rsidRPr="00116CE6" w:rsidRDefault="00AF56F1" w:rsidP="007B1E8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AF56F1" w:rsidRPr="00116CE6" w:rsidTr="007B1E86">
              <w:tc>
                <w:tcPr>
                  <w:tcW w:w="6970" w:type="dxa"/>
                </w:tcPr>
                <w:p w:rsidR="00AF56F1" w:rsidRPr="00116CE6" w:rsidRDefault="00AF56F1" w:rsidP="007B1E86">
                  <w:pPr>
                    <w:rPr>
                      <w:rFonts w:ascii="Arial" w:hAnsi="Arial"/>
                      <w:sz w:val="20"/>
                      <w:szCs w:val="20"/>
                    </w:rPr>
                  </w:pPr>
                </w:p>
                <w:p w:rsidR="00AF56F1" w:rsidRPr="00116CE6" w:rsidRDefault="00AF56F1" w:rsidP="007B1E8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F56F1" w:rsidRPr="00116CE6" w:rsidRDefault="00AF56F1" w:rsidP="007B1E86">
                  <w:pPr>
                    <w:rPr>
                      <w:rFonts w:ascii="Arial" w:hAnsi="Arial"/>
                      <w:sz w:val="20"/>
                      <w:szCs w:val="20"/>
                    </w:rPr>
                  </w:pPr>
                </w:p>
              </w:tc>
            </w:tr>
            <w:tr w:rsidR="00AF56F1" w:rsidRPr="00116CE6" w:rsidTr="007B1E86">
              <w:tc>
                <w:tcPr>
                  <w:tcW w:w="6970" w:type="dxa"/>
                </w:tcPr>
                <w:p w:rsidR="00AF56F1" w:rsidRPr="00116CE6" w:rsidRDefault="00AF56F1" w:rsidP="007B1E86">
                  <w:pPr>
                    <w:rPr>
                      <w:rFonts w:ascii="Arial" w:hAnsi="Arial"/>
                      <w:sz w:val="20"/>
                      <w:szCs w:val="20"/>
                    </w:rPr>
                  </w:pPr>
                </w:p>
                <w:p w:rsidR="00AF56F1" w:rsidRPr="00116CE6" w:rsidRDefault="00AF56F1" w:rsidP="007B1E8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AF56F1" w:rsidRPr="00116CE6" w:rsidRDefault="00AF56F1" w:rsidP="007B1E86">
                  <w:pPr>
                    <w:rPr>
                      <w:rFonts w:ascii="Arial" w:hAnsi="Arial"/>
                      <w:sz w:val="20"/>
                      <w:szCs w:val="20"/>
                    </w:rPr>
                  </w:pPr>
                </w:p>
              </w:tc>
            </w:tr>
            <w:tr w:rsidR="00AF56F1" w:rsidRPr="00116CE6" w:rsidTr="007B1E86">
              <w:tc>
                <w:tcPr>
                  <w:tcW w:w="6970" w:type="dxa"/>
                </w:tcPr>
                <w:p w:rsidR="00AF56F1" w:rsidRPr="006367FD" w:rsidRDefault="00AF56F1" w:rsidP="007B1E86">
                  <w:pPr>
                    <w:rPr>
                      <w:rFonts w:ascii="Arial" w:hAnsi="Arial"/>
                      <w:color w:val="000000"/>
                      <w:sz w:val="20"/>
                      <w:szCs w:val="20"/>
                    </w:rPr>
                  </w:pPr>
                  <w:r w:rsidRPr="006367FD">
                    <w:rPr>
                      <w:rFonts w:ascii="Arial" w:hAnsi="Arial"/>
                      <w:color w:val="000000"/>
                      <w:sz w:val="20"/>
                      <w:szCs w:val="20"/>
                    </w:rPr>
                    <w:t xml:space="preserve">Agreed Internal Mark: </w:t>
                  </w:r>
                </w:p>
                <w:p w:rsidR="00AF56F1" w:rsidRPr="00E14D2E" w:rsidRDefault="00AF56F1" w:rsidP="007B1E86">
                  <w:pPr>
                    <w:rPr>
                      <w:rFonts w:ascii="Arial" w:hAnsi="Arial"/>
                      <w:sz w:val="20"/>
                      <w:szCs w:val="20"/>
                      <w:highlight w:val="yellow"/>
                    </w:rPr>
                  </w:pPr>
                </w:p>
              </w:tc>
              <w:tc>
                <w:tcPr>
                  <w:tcW w:w="1660" w:type="dxa"/>
                </w:tcPr>
                <w:p w:rsidR="00AF56F1" w:rsidRPr="00E14D2E" w:rsidRDefault="00AF56F1" w:rsidP="007B1E86">
                  <w:pPr>
                    <w:rPr>
                      <w:rFonts w:ascii="Arial" w:hAnsi="Arial"/>
                      <w:sz w:val="20"/>
                      <w:szCs w:val="20"/>
                      <w:highlight w:val="yellow"/>
                    </w:rPr>
                  </w:pPr>
                </w:p>
              </w:tc>
            </w:tr>
            <w:tr w:rsidR="00AF56F1" w:rsidRPr="00116CE6" w:rsidTr="007B1E86">
              <w:tc>
                <w:tcPr>
                  <w:tcW w:w="6970" w:type="dxa"/>
                </w:tcPr>
                <w:p w:rsidR="00AF56F1" w:rsidRPr="00116CE6" w:rsidRDefault="00AF56F1" w:rsidP="007B1E86">
                  <w:pPr>
                    <w:rPr>
                      <w:rFonts w:ascii="Arial" w:hAnsi="Arial"/>
                      <w:sz w:val="20"/>
                      <w:szCs w:val="20"/>
                    </w:rPr>
                  </w:pPr>
                </w:p>
                <w:p w:rsidR="00AF56F1" w:rsidRPr="00116CE6" w:rsidRDefault="00AF56F1" w:rsidP="007B1E8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F56F1" w:rsidRPr="00116CE6" w:rsidRDefault="00AF56F1" w:rsidP="007B1E86">
                  <w:pPr>
                    <w:rPr>
                      <w:rFonts w:ascii="Arial" w:hAnsi="Arial"/>
                      <w:sz w:val="20"/>
                      <w:szCs w:val="20"/>
                    </w:rPr>
                  </w:pPr>
                </w:p>
              </w:tc>
            </w:tr>
            <w:tr w:rsidR="00AF56F1" w:rsidRPr="00116CE6" w:rsidTr="007B1E86">
              <w:tc>
                <w:tcPr>
                  <w:tcW w:w="6970" w:type="dxa"/>
                </w:tcPr>
                <w:p w:rsidR="00AF56F1" w:rsidRDefault="00AF56F1" w:rsidP="007B1E86">
                  <w:pPr>
                    <w:rPr>
                      <w:rFonts w:ascii="Arial" w:hAnsi="Arial"/>
                      <w:sz w:val="20"/>
                      <w:szCs w:val="20"/>
                    </w:rPr>
                  </w:pPr>
                </w:p>
                <w:p w:rsidR="00AF56F1" w:rsidRPr="00022345" w:rsidRDefault="00AF56F1" w:rsidP="007B1E86">
                  <w:pPr>
                    <w:rPr>
                      <w:rFonts w:ascii="Arial" w:hAnsi="Arial"/>
                      <w:b/>
                      <w:sz w:val="20"/>
                      <w:szCs w:val="20"/>
                    </w:rPr>
                  </w:pPr>
                  <w:r w:rsidRPr="00022345">
                    <w:rPr>
                      <w:rFonts w:ascii="Arial" w:hAnsi="Arial"/>
                      <w:b/>
                      <w:sz w:val="20"/>
                      <w:szCs w:val="20"/>
                    </w:rPr>
                    <w:t>Final Mark</w:t>
                  </w:r>
                </w:p>
                <w:p w:rsidR="00AF56F1" w:rsidRPr="00116CE6" w:rsidRDefault="00AF56F1" w:rsidP="007B1E86">
                  <w:pPr>
                    <w:rPr>
                      <w:rFonts w:ascii="Arial" w:hAnsi="Arial"/>
                      <w:sz w:val="20"/>
                      <w:szCs w:val="20"/>
                    </w:rPr>
                  </w:pPr>
                </w:p>
              </w:tc>
              <w:tc>
                <w:tcPr>
                  <w:tcW w:w="1660" w:type="dxa"/>
                </w:tcPr>
                <w:p w:rsidR="00AF56F1" w:rsidRPr="00116CE6" w:rsidRDefault="00AF56F1" w:rsidP="007B1E86">
                  <w:pPr>
                    <w:rPr>
                      <w:rFonts w:ascii="Arial" w:hAnsi="Arial"/>
                      <w:sz w:val="20"/>
                      <w:szCs w:val="20"/>
                    </w:rPr>
                  </w:pPr>
                </w:p>
              </w:tc>
            </w:tr>
          </w:tbl>
          <w:p w:rsidR="00AF56F1" w:rsidRDefault="00AF56F1" w:rsidP="007B1E86">
            <w:pPr>
              <w:pStyle w:val="NormalWeb"/>
              <w:spacing w:before="0" w:beforeAutospacing="0" w:after="0" w:afterAutospacing="0"/>
              <w:ind w:left="142" w:right="34"/>
              <w:rPr>
                <w:rFonts w:ascii="Arial" w:hAnsi="Arial" w:cs="Arial"/>
                <w:b/>
                <w:sz w:val="22"/>
                <w:szCs w:val="22"/>
              </w:rPr>
            </w:pPr>
          </w:p>
          <w:p w:rsidR="00AF56F1" w:rsidRPr="00230F35" w:rsidRDefault="00AF56F1" w:rsidP="007B1E8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F56F1" w:rsidRDefault="00AF56F1" w:rsidP="007B1E86">
            <w:pPr>
              <w:pStyle w:val="NormalWeb"/>
              <w:spacing w:before="0" w:beforeAutospacing="0" w:after="0" w:afterAutospacing="0"/>
              <w:rPr>
                <w:rFonts w:ascii="Arial" w:hAnsi="Arial" w:cs="Arial"/>
                <w:b/>
                <w:sz w:val="22"/>
                <w:szCs w:val="22"/>
              </w:rPr>
            </w:pPr>
          </w:p>
          <w:p w:rsidR="00AF56F1" w:rsidRDefault="00AF56F1" w:rsidP="007B1E86">
            <w:pPr>
              <w:pStyle w:val="NormalWeb"/>
              <w:spacing w:before="0" w:beforeAutospacing="0" w:after="0" w:afterAutospacing="0"/>
              <w:rPr>
                <w:rFonts w:ascii="Arial" w:hAnsi="Arial" w:cs="Arial"/>
                <w:b/>
                <w:sz w:val="22"/>
                <w:szCs w:val="22"/>
              </w:rPr>
            </w:pPr>
          </w:p>
          <w:p w:rsidR="00AF56F1" w:rsidRDefault="00AF56F1" w:rsidP="007B1E86">
            <w:pPr>
              <w:pStyle w:val="NormalWeb"/>
              <w:spacing w:before="0" w:beforeAutospacing="0" w:after="0" w:afterAutospacing="0"/>
              <w:rPr>
                <w:rFonts w:ascii="Arial" w:hAnsi="Arial" w:cs="Arial"/>
                <w:b/>
                <w:sz w:val="22"/>
                <w:szCs w:val="22"/>
              </w:rPr>
            </w:pPr>
          </w:p>
          <w:p w:rsidR="00AF56F1" w:rsidRDefault="00AF56F1" w:rsidP="007B1E86">
            <w:pPr>
              <w:pStyle w:val="NormalWeb"/>
              <w:spacing w:before="0" w:beforeAutospacing="0" w:after="0" w:afterAutospacing="0"/>
              <w:rPr>
                <w:rFonts w:ascii="Arial" w:hAnsi="Arial" w:cs="Arial"/>
                <w:b/>
                <w:sz w:val="22"/>
                <w:szCs w:val="22"/>
              </w:rPr>
            </w:pPr>
          </w:p>
          <w:p w:rsidR="00AF56F1" w:rsidRPr="00230F35" w:rsidRDefault="00AF56F1" w:rsidP="007B1E8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AF56F1" w:rsidRDefault="00AF56F1" w:rsidP="007B1E8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AF56F1" w:rsidRPr="00001C3B" w:rsidRDefault="00AF56F1" w:rsidP="007B1E86">
            <w:pPr>
              <w:pStyle w:val="NormalWeb"/>
              <w:rPr>
                <w:rFonts w:ascii="Arial" w:hAnsi="Arial" w:cs="Arial"/>
                <w:sz w:val="22"/>
                <w:szCs w:val="22"/>
              </w:rPr>
            </w:pPr>
          </w:p>
        </w:tc>
      </w:tr>
      <w:tr w:rsidR="00AF56F1" w:rsidRPr="00230F35" w:rsidTr="007B1E86">
        <w:trPr>
          <w:trHeight w:val="492"/>
        </w:trPr>
        <w:tc>
          <w:tcPr>
            <w:tcW w:w="6768" w:type="dxa"/>
            <w:gridSpan w:val="3"/>
          </w:tcPr>
          <w:p w:rsidR="00AF56F1" w:rsidRPr="00230F35" w:rsidRDefault="00AF56F1" w:rsidP="007B1E8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AF56F1" w:rsidRPr="00230F35" w:rsidRDefault="00AF56F1" w:rsidP="007B1E86">
            <w:pPr>
              <w:pStyle w:val="NormalWeb"/>
              <w:spacing w:after="0"/>
              <w:ind w:left="142" w:right="34"/>
              <w:rPr>
                <w:rFonts w:ascii="Arial" w:hAnsi="Arial" w:cs="Arial"/>
                <w:sz w:val="22"/>
                <w:szCs w:val="22"/>
              </w:rPr>
            </w:pPr>
            <w:r w:rsidRPr="00230F35">
              <w:rPr>
                <w:rFonts w:ascii="Arial" w:hAnsi="Arial" w:cs="Arial"/>
                <w:sz w:val="22"/>
                <w:szCs w:val="22"/>
              </w:rPr>
              <w:t>Date:</w:t>
            </w:r>
          </w:p>
        </w:tc>
      </w:tr>
      <w:tr w:rsidR="00AF56F1" w:rsidRPr="002F467C" w:rsidTr="007B1E86">
        <w:tc>
          <w:tcPr>
            <w:tcW w:w="8856" w:type="dxa"/>
            <w:gridSpan w:val="5"/>
          </w:tcPr>
          <w:p w:rsidR="00AF56F1" w:rsidRPr="00230F35" w:rsidRDefault="00AF56F1" w:rsidP="007B1E86">
            <w:pPr>
              <w:pStyle w:val="NormalWeb"/>
              <w:spacing w:before="0" w:beforeAutospacing="0" w:after="0" w:afterAutospacing="0"/>
              <w:ind w:right="-334"/>
              <w:rPr>
                <w:rFonts w:ascii="Arial" w:hAnsi="Arial" w:cs="Arial"/>
                <w:bCs/>
                <w:i/>
                <w:sz w:val="22"/>
                <w:szCs w:val="22"/>
              </w:rPr>
            </w:pPr>
          </w:p>
          <w:p w:rsidR="00AF56F1" w:rsidRPr="00230F35" w:rsidRDefault="00AF56F1" w:rsidP="007B1E8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AF56F1" w:rsidRPr="00230F35" w:rsidRDefault="00AF56F1" w:rsidP="007B1E86">
            <w:pPr>
              <w:pStyle w:val="NormalWeb"/>
              <w:spacing w:before="0" w:beforeAutospacing="0" w:after="0" w:afterAutospacing="0"/>
              <w:ind w:right="-334"/>
              <w:rPr>
                <w:rFonts w:ascii="Arial" w:hAnsi="Arial" w:cs="Arial"/>
                <w:b/>
                <w:bCs/>
                <w:sz w:val="22"/>
                <w:szCs w:val="22"/>
              </w:rPr>
            </w:pPr>
          </w:p>
          <w:p w:rsidR="00AF56F1" w:rsidRPr="00230F35" w:rsidRDefault="00AF56F1" w:rsidP="007B1E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AF56F1" w:rsidRPr="00230F35" w:rsidRDefault="00AF56F1" w:rsidP="007B1E86">
            <w:pPr>
              <w:pStyle w:val="NormalWeb"/>
              <w:spacing w:before="0" w:beforeAutospacing="0" w:after="0" w:afterAutospacing="0"/>
              <w:ind w:right="-334"/>
              <w:rPr>
                <w:rFonts w:ascii="Arial" w:hAnsi="Arial" w:cs="Arial"/>
                <w:bCs/>
                <w:sz w:val="22"/>
                <w:szCs w:val="22"/>
              </w:rPr>
            </w:pPr>
          </w:p>
          <w:p w:rsidR="00AF56F1" w:rsidRPr="00230F35" w:rsidRDefault="00AF56F1" w:rsidP="007B1E86">
            <w:pPr>
              <w:pStyle w:val="NormalWeb"/>
              <w:spacing w:before="0" w:beforeAutospacing="0" w:after="0" w:afterAutospacing="0"/>
              <w:ind w:right="-334"/>
              <w:rPr>
                <w:rFonts w:ascii="Arial" w:hAnsi="Arial" w:cs="Arial"/>
                <w:bCs/>
                <w:sz w:val="22"/>
                <w:szCs w:val="22"/>
              </w:rPr>
            </w:pPr>
          </w:p>
          <w:p w:rsidR="00AF56F1" w:rsidRPr="00230F35" w:rsidRDefault="00AF56F1" w:rsidP="007B1E86">
            <w:pPr>
              <w:pStyle w:val="NormalWeb"/>
              <w:spacing w:before="0" w:beforeAutospacing="0" w:after="0" w:afterAutospacing="0"/>
              <w:ind w:right="-334"/>
              <w:rPr>
                <w:rFonts w:ascii="Arial" w:hAnsi="Arial" w:cs="Arial"/>
                <w:bCs/>
                <w:sz w:val="22"/>
                <w:szCs w:val="22"/>
              </w:rPr>
            </w:pPr>
          </w:p>
        </w:tc>
      </w:tr>
      <w:tr w:rsidR="00AF56F1" w:rsidRPr="002F467C" w:rsidTr="007B1E86">
        <w:trPr>
          <w:trHeight w:val="720"/>
        </w:trPr>
        <w:tc>
          <w:tcPr>
            <w:tcW w:w="5211" w:type="dxa"/>
            <w:gridSpan w:val="2"/>
          </w:tcPr>
          <w:p w:rsidR="00AF56F1" w:rsidRPr="00230F35" w:rsidRDefault="00AF56F1" w:rsidP="007B1E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AF56F1" w:rsidRPr="00230F35" w:rsidRDefault="00AF56F1" w:rsidP="007B1E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F56F1" w:rsidRPr="002F467C" w:rsidTr="007B1E86">
        <w:trPr>
          <w:trHeight w:val="720"/>
        </w:trPr>
        <w:tc>
          <w:tcPr>
            <w:tcW w:w="8856" w:type="dxa"/>
            <w:gridSpan w:val="5"/>
          </w:tcPr>
          <w:p w:rsidR="00AF56F1" w:rsidRPr="006367FD" w:rsidRDefault="00AF56F1" w:rsidP="007B1E86">
            <w:pPr>
              <w:rPr>
                <w:rFonts w:ascii="Arial" w:hAnsi="Arial" w:cs="Arial"/>
                <w:b/>
                <w:sz w:val="22"/>
              </w:rPr>
            </w:pPr>
            <w:r w:rsidRPr="006367FD">
              <w:rPr>
                <w:rFonts w:ascii="Arial" w:hAnsi="Arial" w:cs="Arial"/>
                <w:b/>
                <w:sz w:val="22"/>
              </w:rPr>
              <w:t>AGREED INTERNAL MARK (where necessary):</w:t>
            </w:r>
          </w:p>
          <w:p w:rsidR="00AF56F1" w:rsidRPr="006367FD" w:rsidRDefault="00AF56F1" w:rsidP="007B1E86">
            <w:pPr>
              <w:rPr>
                <w:rFonts w:ascii="Arial" w:hAnsi="Arial" w:cs="Arial"/>
                <w:b/>
                <w:sz w:val="22"/>
              </w:rPr>
            </w:pPr>
          </w:p>
          <w:p w:rsidR="00AF56F1" w:rsidRDefault="00AF56F1" w:rsidP="007B1E86">
            <w:pPr>
              <w:rPr>
                <w:rFonts w:ascii="Arial" w:hAnsi="Arial" w:cs="Arial"/>
                <w:b/>
                <w:sz w:val="22"/>
              </w:rPr>
            </w:pPr>
            <w:r w:rsidRPr="006367FD">
              <w:rPr>
                <w:rFonts w:ascii="Arial" w:hAnsi="Arial" w:cs="Arial"/>
                <w:b/>
                <w:sz w:val="22"/>
              </w:rPr>
              <w:t>Comment on process of arriving at agreed mark:</w:t>
            </w:r>
          </w:p>
          <w:p w:rsidR="00AF56F1" w:rsidRDefault="00AF56F1" w:rsidP="007B1E86">
            <w:pPr>
              <w:rPr>
                <w:rFonts w:ascii="Arial" w:hAnsi="Arial" w:cs="Arial"/>
                <w:b/>
                <w:sz w:val="22"/>
              </w:rPr>
            </w:pPr>
          </w:p>
          <w:p w:rsidR="00AF56F1" w:rsidRDefault="00AF56F1" w:rsidP="007B1E86">
            <w:pPr>
              <w:rPr>
                <w:rFonts w:ascii="Arial" w:hAnsi="Arial" w:cs="Arial"/>
                <w:b/>
                <w:sz w:val="22"/>
              </w:rPr>
            </w:pPr>
          </w:p>
          <w:p w:rsidR="00AF56F1" w:rsidRDefault="00AF56F1" w:rsidP="007B1E86">
            <w:pPr>
              <w:rPr>
                <w:rFonts w:ascii="Arial" w:hAnsi="Arial" w:cs="Arial"/>
                <w:b/>
                <w:sz w:val="22"/>
              </w:rPr>
            </w:pPr>
          </w:p>
          <w:p w:rsidR="00AF56F1" w:rsidRDefault="00AF56F1" w:rsidP="007B1E86">
            <w:pPr>
              <w:rPr>
                <w:rFonts w:ascii="Arial" w:hAnsi="Arial" w:cs="Arial"/>
                <w:b/>
                <w:sz w:val="22"/>
              </w:rPr>
            </w:pPr>
          </w:p>
          <w:p w:rsidR="00AF56F1" w:rsidRDefault="00AF56F1" w:rsidP="007B1E86">
            <w:pPr>
              <w:rPr>
                <w:rFonts w:ascii="Arial" w:hAnsi="Arial" w:cs="Arial"/>
                <w:b/>
                <w:sz w:val="22"/>
              </w:rPr>
            </w:pPr>
          </w:p>
          <w:p w:rsidR="00AF56F1" w:rsidRDefault="00AF56F1" w:rsidP="007B1E86">
            <w:pPr>
              <w:rPr>
                <w:rFonts w:ascii="Arial" w:hAnsi="Arial" w:cs="Arial"/>
                <w:b/>
                <w:sz w:val="22"/>
              </w:rPr>
            </w:pPr>
          </w:p>
          <w:p w:rsidR="00AF56F1" w:rsidRDefault="00AF56F1" w:rsidP="007B1E86">
            <w:pPr>
              <w:rPr>
                <w:rFonts w:ascii="Arial" w:hAnsi="Arial" w:cs="Arial"/>
                <w:b/>
                <w:sz w:val="22"/>
              </w:rPr>
            </w:pPr>
          </w:p>
          <w:p w:rsidR="00AF56F1" w:rsidRPr="00B34964" w:rsidRDefault="00AF56F1" w:rsidP="007B1E86">
            <w:pPr>
              <w:rPr>
                <w:rFonts w:ascii="Arial" w:hAnsi="Arial" w:cs="Arial"/>
                <w:b/>
                <w:sz w:val="22"/>
              </w:rPr>
            </w:pPr>
          </w:p>
        </w:tc>
      </w:tr>
      <w:tr w:rsidR="00AF56F1" w:rsidRPr="002F467C" w:rsidTr="007B1E86">
        <w:trPr>
          <w:trHeight w:val="720"/>
        </w:trPr>
        <w:tc>
          <w:tcPr>
            <w:tcW w:w="8856" w:type="dxa"/>
            <w:gridSpan w:val="5"/>
          </w:tcPr>
          <w:p w:rsidR="00AF56F1" w:rsidRPr="00B34964" w:rsidRDefault="00AF56F1" w:rsidP="007B1E86">
            <w:pPr>
              <w:rPr>
                <w:rFonts w:ascii="Arial" w:hAnsi="Arial" w:cs="Arial"/>
                <w:b/>
                <w:sz w:val="22"/>
              </w:rPr>
            </w:pPr>
            <w:r w:rsidRPr="00B34964">
              <w:rPr>
                <w:rFonts w:ascii="Arial" w:hAnsi="Arial" w:cs="Arial"/>
                <w:b/>
                <w:sz w:val="22"/>
              </w:rPr>
              <w:lastRenderedPageBreak/>
              <w:t>External Examiner’s comments (if relevant)</w:t>
            </w:r>
          </w:p>
          <w:p w:rsidR="00AF56F1" w:rsidRDefault="00AF56F1" w:rsidP="007B1E86">
            <w:pPr>
              <w:pStyle w:val="NormalWeb"/>
              <w:spacing w:before="0" w:beforeAutospacing="0" w:after="0" w:afterAutospacing="0"/>
              <w:ind w:right="-334"/>
              <w:rPr>
                <w:rFonts w:ascii="Arial" w:hAnsi="Arial" w:cs="Arial"/>
                <w:bCs/>
                <w:sz w:val="22"/>
                <w:szCs w:val="22"/>
              </w:rPr>
            </w:pPr>
          </w:p>
          <w:p w:rsidR="00AF56F1" w:rsidRDefault="00AF56F1" w:rsidP="007B1E86">
            <w:pPr>
              <w:pStyle w:val="NormalWeb"/>
              <w:spacing w:before="0" w:beforeAutospacing="0" w:after="0" w:afterAutospacing="0"/>
              <w:ind w:right="-334"/>
              <w:rPr>
                <w:rFonts w:ascii="Arial" w:hAnsi="Arial" w:cs="Arial"/>
                <w:bCs/>
                <w:sz w:val="22"/>
                <w:szCs w:val="22"/>
              </w:rPr>
            </w:pPr>
          </w:p>
          <w:p w:rsidR="00AF56F1" w:rsidRDefault="00AF56F1" w:rsidP="007B1E86">
            <w:pPr>
              <w:pStyle w:val="NormalWeb"/>
              <w:spacing w:before="0" w:beforeAutospacing="0" w:after="0" w:afterAutospacing="0"/>
              <w:ind w:right="-334"/>
              <w:rPr>
                <w:rFonts w:ascii="Arial" w:hAnsi="Arial" w:cs="Arial"/>
                <w:bCs/>
                <w:sz w:val="22"/>
                <w:szCs w:val="22"/>
              </w:rPr>
            </w:pPr>
          </w:p>
          <w:p w:rsidR="00AF56F1" w:rsidRDefault="00AF56F1" w:rsidP="007B1E86">
            <w:pPr>
              <w:pStyle w:val="NormalWeb"/>
              <w:spacing w:before="0" w:beforeAutospacing="0" w:after="0" w:afterAutospacing="0"/>
              <w:ind w:right="-334"/>
              <w:rPr>
                <w:rFonts w:ascii="Arial" w:hAnsi="Arial" w:cs="Arial"/>
                <w:bCs/>
                <w:sz w:val="22"/>
                <w:szCs w:val="22"/>
              </w:rPr>
            </w:pPr>
          </w:p>
          <w:p w:rsidR="00AF56F1" w:rsidRPr="00230F35" w:rsidRDefault="00AF56F1" w:rsidP="007B1E86">
            <w:pPr>
              <w:pStyle w:val="NormalWeb"/>
              <w:spacing w:before="0" w:beforeAutospacing="0" w:after="0" w:afterAutospacing="0"/>
              <w:ind w:right="-334"/>
              <w:rPr>
                <w:rFonts w:ascii="Arial" w:hAnsi="Arial" w:cs="Arial"/>
                <w:bCs/>
                <w:sz w:val="22"/>
                <w:szCs w:val="22"/>
              </w:rPr>
            </w:pPr>
          </w:p>
          <w:p w:rsidR="00AF56F1" w:rsidRPr="00230F35" w:rsidRDefault="00AF56F1" w:rsidP="007B1E86">
            <w:pPr>
              <w:pStyle w:val="NormalWeb"/>
              <w:spacing w:before="0" w:beforeAutospacing="0" w:after="0" w:afterAutospacing="0"/>
              <w:ind w:right="-334"/>
              <w:rPr>
                <w:rFonts w:ascii="Arial" w:hAnsi="Arial" w:cs="Arial"/>
                <w:bCs/>
                <w:sz w:val="22"/>
                <w:szCs w:val="22"/>
              </w:rPr>
            </w:pPr>
          </w:p>
          <w:p w:rsidR="00AF56F1" w:rsidRPr="00230F35" w:rsidRDefault="00AF56F1" w:rsidP="007B1E86">
            <w:pPr>
              <w:pStyle w:val="NormalWeb"/>
              <w:spacing w:before="0" w:beforeAutospacing="0" w:after="0" w:afterAutospacing="0"/>
              <w:ind w:right="-334"/>
              <w:rPr>
                <w:rFonts w:ascii="Arial" w:hAnsi="Arial" w:cs="Arial"/>
                <w:bCs/>
                <w:sz w:val="22"/>
                <w:szCs w:val="22"/>
              </w:rPr>
            </w:pPr>
          </w:p>
        </w:tc>
      </w:tr>
      <w:tr w:rsidR="00AF56F1" w:rsidRPr="002F467C" w:rsidTr="007B1E86">
        <w:trPr>
          <w:trHeight w:val="720"/>
        </w:trPr>
        <w:tc>
          <w:tcPr>
            <w:tcW w:w="5211" w:type="dxa"/>
            <w:gridSpan w:val="2"/>
          </w:tcPr>
          <w:p w:rsidR="00AF56F1" w:rsidRPr="00230F35" w:rsidRDefault="00AF56F1" w:rsidP="007B1E86">
            <w:pPr>
              <w:rPr>
                <w:rFonts w:ascii="Arial" w:hAnsi="Arial" w:cs="Arial"/>
                <w:sz w:val="22"/>
              </w:rPr>
            </w:pPr>
            <w:r w:rsidRPr="00230F35">
              <w:rPr>
                <w:rFonts w:ascii="Arial" w:hAnsi="Arial" w:cs="Arial"/>
                <w:sz w:val="22"/>
              </w:rPr>
              <w:t>External Examiner’s Signature:</w:t>
            </w:r>
          </w:p>
        </w:tc>
        <w:tc>
          <w:tcPr>
            <w:tcW w:w="3645" w:type="dxa"/>
            <w:gridSpan w:val="3"/>
          </w:tcPr>
          <w:p w:rsidR="00AF56F1" w:rsidRPr="00230F35" w:rsidRDefault="00AF56F1" w:rsidP="007B1E86">
            <w:pPr>
              <w:rPr>
                <w:rFonts w:ascii="Arial" w:hAnsi="Arial" w:cs="Arial"/>
                <w:sz w:val="22"/>
              </w:rPr>
            </w:pPr>
            <w:r w:rsidRPr="00230F35">
              <w:rPr>
                <w:rFonts w:ascii="Arial" w:hAnsi="Arial" w:cs="Arial"/>
                <w:sz w:val="22"/>
              </w:rPr>
              <w:t>Date:</w:t>
            </w:r>
          </w:p>
        </w:tc>
      </w:tr>
    </w:tbl>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AF56F1" w:rsidRDefault="00AF56F1" w:rsidP="0072050B">
      <w:pPr>
        <w:jc w:val="left"/>
        <w:rPr>
          <w:rFonts w:ascii="Times New Roman" w:hAnsi="Times New Roman" w:cs="Times New Roman"/>
          <w:b/>
          <w:i/>
          <w:sz w:val="28"/>
          <w:szCs w:val="28"/>
        </w:rPr>
      </w:pPr>
    </w:p>
    <w:p w:rsidR="00F76D7C" w:rsidRPr="002B7CEA" w:rsidRDefault="002A58A6" w:rsidP="0072050B">
      <w:pPr>
        <w:jc w:val="left"/>
        <w:rPr>
          <w:rFonts w:ascii="Times New Roman" w:hAnsi="Times New Roman" w:cs="Times New Roman"/>
          <w:b/>
          <w:i/>
          <w:sz w:val="28"/>
          <w:szCs w:val="28"/>
        </w:rPr>
      </w:pPr>
      <w:r w:rsidRPr="002B7CEA">
        <w:rPr>
          <w:rFonts w:ascii="Times New Roman" w:hAnsi="Times New Roman" w:cs="Times New Roman"/>
          <w:b/>
          <w:i/>
          <w:noProof/>
          <w:sz w:val="28"/>
          <w:szCs w:val="28"/>
        </w:rPr>
        <w:lastRenderedPageBreak/>
        <w:drawing>
          <wp:anchor distT="0" distB="0" distL="114300" distR="114300" simplePos="0" relativeHeight="251661312" behindDoc="0" locked="0" layoutInCell="1" allowOverlap="1">
            <wp:simplePos x="0" y="0"/>
            <wp:positionH relativeFrom="column">
              <wp:posOffset>38100</wp:posOffset>
            </wp:positionH>
            <wp:positionV relativeFrom="paragraph">
              <wp:posOffset>3990975</wp:posOffset>
            </wp:positionV>
            <wp:extent cx="3352800" cy="2962275"/>
            <wp:effectExtent l="19050" t="0" r="0" b="0"/>
            <wp:wrapSquare wrapText="bothSides"/>
            <wp:docPr id="3" name="Picture 2" descr="C:\Users\Ideapad\Pictures\Screenshots\Screenshot (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deapad\Pictures\Screenshots\Screenshot (19).png"/>
                    <pic:cNvPicPr>
                      <a:picLocks noChangeAspect="1" noChangeArrowheads="1"/>
                    </pic:cNvPicPr>
                  </pic:nvPicPr>
                  <pic:blipFill>
                    <a:blip r:embed="rId8" cstate="print"/>
                    <a:srcRect l="41503" t="9350" b="5413"/>
                    <a:stretch>
                      <a:fillRect/>
                    </a:stretch>
                  </pic:blipFill>
                  <pic:spPr bwMode="auto">
                    <a:xfrm>
                      <a:off x="0" y="0"/>
                      <a:ext cx="3352800" cy="2962275"/>
                    </a:xfrm>
                    <a:prstGeom prst="rect">
                      <a:avLst/>
                    </a:prstGeom>
                    <a:noFill/>
                    <a:ln w="9525">
                      <a:noFill/>
                      <a:miter lim="800000"/>
                      <a:headEnd/>
                      <a:tailEnd/>
                    </a:ln>
                  </pic:spPr>
                </pic:pic>
              </a:graphicData>
            </a:graphic>
          </wp:anchor>
        </w:drawing>
      </w:r>
      <w:r w:rsidR="009117B1">
        <w:rPr>
          <w:rFonts w:ascii="Times New Roman" w:hAnsi="Times New Roman" w:cs="Times New Roman"/>
          <w:b/>
          <w:i/>
          <w:sz w:val="28"/>
          <w:szCs w:val="28"/>
        </w:rPr>
        <w:t xml:space="preserve">Skyscapes, Cosmology, and Archaeology, </w:t>
      </w:r>
      <w:r w:rsidR="0072050B">
        <w:rPr>
          <w:rFonts w:ascii="Times New Roman" w:hAnsi="Times New Roman" w:cs="Times New Roman"/>
          <w:b/>
          <w:i/>
          <w:sz w:val="28"/>
          <w:szCs w:val="28"/>
        </w:rPr>
        <w:t xml:space="preserve">Assignment 2: </w:t>
      </w:r>
      <w:r w:rsidR="00F76D7C" w:rsidRPr="002B7CEA">
        <w:rPr>
          <w:rFonts w:ascii="Times New Roman" w:hAnsi="Times New Roman" w:cs="Times New Roman"/>
          <w:b/>
          <w:i/>
          <w:sz w:val="28"/>
          <w:szCs w:val="28"/>
        </w:rPr>
        <w:t>Research Project</w:t>
      </w:r>
    </w:p>
    <w:p w:rsidR="00F76D7C" w:rsidRPr="009117B1" w:rsidRDefault="00F76D7C" w:rsidP="002B7CEA">
      <w:pPr>
        <w:jc w:val="right"/>
        <w:rPr>
          <w:rFonts w:ascii="Times New Roman" w:hAnsi="Times New Roman" w:cs="Times New Roman"/>
          <w:b/>
          <w:sz w:val="18"/>
          <w:szCs w:val="18"/>
        </w:rPr>
      </w:pPr>
      <w:r w:rsidRPr="009117B1">
        <w:rPr>
          <w:rFonts w:ascii="Times New Roman" w:hAnsi="Times New Roman" w:cs="Times New Roman"/>
          <w:b/>
          <w:sz w:val="18"/>
          <w:szCs w:val="18"/>
        </w:rPr>
        <w:t>Clinton Briar</w:t>
      </w:r>
    </w:p>
    <w:p w:rsidR="00F76D7C" w:rsidRDefault="00154E5B" w:rsidP="00FA1D8D">
      <w:pPr>
        <w:jc w:val="lef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simplePos x="0" y="0"/>
            <wp:positionH relativeFrom="column">
              <wp:posOffset>1969770</wp:posOffset>
            </wp:positionH>
            <wp:positionV relativeFrom="paragraph">
              <wp:posOffset>182880</wp:posOffset>
            </wp:positionV>
            <wp:extent cx="3997960" cy="2057400"/>
            <wp:effectExtent l="19050" t="0" r="2540" b="0"/>
            <wp:wrapSquare wrapText="bothSides"/>
            <wp:docPr id="1" name="Picture 1" descr="Dur-Kurigalzu, ziggurat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r-Kurigalzu, ziggurat view."/>
                    <pic:cNvPicPr>
                      <a:picLocks noChangeAspect="1" noChangeArrowheads="1"/>
                    </pic:cNvPicPr>
                  </pic:nvPicPr>
                  <pic:blipFill>
                    <a:blip r:embed="rId9" cstate="print"/>
                    <a:srcRect l="7217" t="3045" r="10104" b="31558"/>
                    <a:stretch>
                      <a:fillRect/>
                    </a:stretch>
                  </pic:blipFill>
                  <pic:spPr bwMode="auto">
                    <a:xfrm>
                      <a:off x="0" y="0"/>
                      <a:ext cx="3997960" cy="2057400"/>
                    </a:xfrm>
                    <a:prstGeom prst="rect">
                      <a:avLst/>
                    </a:prstGeom>
                    <a:noFill/>
                    <a:ln w="9525">
                      <a:noFill/>
                      <a:miter lim="800000"/>
                      <a:headEnd/>
                      <a:tailEnd/>
                    </a:ln>
                  </pic:spPr>
                </pic:pic>
              </a:graphicData>
            </a:graphic>
          </wp:anchor>
        </w:drawing>
      </w:r>
      <w:r w:rsidR="009A5A75">
        <w:rPr>
          <w:rFonts w:ascii="Times New Roman" w:hAnsi="Times New Roman" w:cs="Times New Roman"/>
          <w:noProof/>
          <w:sz w:val="24"/>
          <w:szCs w:val="24"/>
        </w:rPr>
        <w:pict>
          <v:shapetype id="_x0000_t32" coordsize="21600,21600" o:spt="32" o:oned="t" path="m,l21600,21600e" filled="f">
            <v:path arrowok="t" fillok="f" o:connecttype="none"/>
            <o:lock v:ext="edit" shapetype="t"/>
          </v:shapetype>
          <v:shape id="_x0000_s1049" type="#_x0000_t32" style="position:absolute;margin-left:-.5pt;margin-top:4.2pt;width:475.25pt;height:1.2pt;z-index:251699200;mso-position-horizontal-relative:text;mso-position-vertical-relative:text" o:connectortype="straight" strokeweight="2pt"/>
        </w:pict>
      </w:r>
    </w:p>
    <w:p w:rsidR="002B7CEA" w:rsidRDefault="009A5A75" w:rsidP="00FA1D8D">
      <w:pPr>
        <w:jc w:val="left"/>
        <w:rPr>
          <w:rFonts w:ascii="Times New Roman" w:hAnsi="Times New Roman" w:cs="Times New Roman"/>
          <w:sz w:val="24"/>
          <w:szCs w:val="24"/>
        </w:rPr>
      </w:pPr>
      <w:r>
        <w:rPr>
          <w:rFonts w:ascii="Times New Roman" w:hAnsi="Times New Roman" w:cs="Times New Roman"/>
          <w:noProof/>
          <w:sz w:val="24"/>
          <w:szCs w:val="24"/>
          <w:lang w:eastAsia="zh-TW"/>
        </w:rPr>
        <w:pict>
          <v:shapetype id="_x0000_t202" coordsize="21600,21600" o:spt="202" path="m,l,21600r21600,l21600,xe">
            <v:stroke joinstyle="miter"/>
            <v:path gradientshapeok="t" o:connecttype="rect"/>
          </v:shapetype>
          <v:shape id="_x0000_s1028" type="#_x0000_t202" style="position:absolute;margin-left:162.75pt;margin-top:163.3pt;width:312pt;height:31.7pt;z-index:251660288;mso-width-relative:margin;mso-height-relative:margin" stroked="f">
            <v:textbox style="mso-next-textbox:#_x0000_s1028">
              <w:txbxContent>
                <w:p w:rsidR="0042465C" w:rsidRPr="00154E5B" w:rsidRDefault="0042465C" w:rsidP="00154E5B">
                  <w:pPr>
                    <w:pStyle w:val="ng-binding"/>
                    <w:shd w:val="clear" w:color="auto" w:fill="FFFFFF"/>
                    <w:spacing w:before="0" w:beforeAutospacing="0" w:afterAutospacing="0" w:line="240" w:lineRule="exact"/>
                    <w:rPr>
                      <w:rFonts w:ascii="Times New Roman" w:hAnsi="Times New Roman" w:cs="Times New Roman"/>
                      <w:color w:val="000000" w:themeColor="text1"/>
                      <w:sz w:val="18"/>
                      <w:szCs w:val="18"/>
                    </w:rPr>
                  </w:pPr>
                  <w:r w:rsidRPr="00154E5B">
                    <w:rPr>
                      <w:rFonts w:ascii="Times New Roman" w:hAnsi="Times New Roman" w:cs="Times New Roman"/>
                      <w:b/>
                      <w:color w:val="000000" w:themeColor="text1"/>
                      <w:sz w:val="18"/>
                      <w:szCs w:val="18"/>
                    </w:rPr>
                    <w:t>Figure 1.</w:t>
                  </w:r>
                  <w:r w:rsidRPr="00154E5B">
                    <w:rPr>
                      <w:rFonts w:ascii="Times New Roman" w:hAnsi="Times New Roman" w:cs="Times New Roman"/>
                      <w:color w:val="000000" w:themeColor="text1"/>
                      <w:sz w:val="18"/>
                      <w:szCs w:val="18"/>
                    </w:rPr>
                    <w:t xml:space="preserve"> </w:t>
                  </w:r>
                  <w:r>
                    <w:rPr>
                      <w:rFonts w:ascii="Times New Roman" w:hAnsi="Times New Roman" w:cs="Times New Roman"/>
                      <w:color w:val="000000" w:themeColor="text1"/>
                      <w:sz w:val="18"/>
                      <w:szCs w:val="18"/>
                    </w:rPr>
                    <w:t xml:space="preserve"> </w:t>
                  </w:r>
                  <w:r w:rsidRPr="00154E5B">
                    <w:rPr>
                      <w:rFonts w:ascii="Times New Roman" w:hAnsi="Times New Roman" w:cs="Times New Roman"/>
                      <w:color w:val="000000" w:themeColor="text1"/>
                      <w:sz w:val="18"/>
                      <w:szCs w:val="18"/>
                    </w:rPr>
                    <w:t xml:space="preserve">The south-east face of the </w:t>
                  </w:r>
                  <w:r w:rsidRPr="00154E5B">
                    <w:rPr>
                      <w:rFonts w:ascii="Times New Roman" w:hAnsi="Times New Roman" w:cs="Times New Roman"/>
                      <w:i/>
                      <w:color w:val="000000" w:themeColor="text1"/>
                      <w:sz w:val="18"/>
                      <w:szCs w:val="18"/>
                    </w:rPr>
                    <w:t>Eugal</w:t>
                  </w:r>
                  <w:r w:rsidRPr="00154E5B">
                    <w:rPr>
                      <w:rFonts w:ascii="Times New Roman" w:hAnsi="Times New Roman" w:cs="Times New Roman"/>
                      <w:color w:val="000000" w:themeColor="text1"/>
                      <w:sz w:val="18"/>
                      <w:szCs w:val="18"/>
                    </w:rPr>
                    <w:t xml:space="preserve"> ziggurat at Dūr-Kurigalzu</w:t>
                  </w:r>
                  <w:r>
                    <w:rPr>
                      <w:rFonts w:ascii="Times New Roman" w:hAnsi="Times New Roman" w:cs="Times New Roman"/>
                      <w:color w:val="000000" w:themeColor="text1"/>
                      <w:sz w:val="18"/>
                      <w:szCs w:val="18"/>
                    </w:rPr>
                    <w:t>. Tim</w:t>
                  </w:r>
                  <w:r w:rsidRPr="00154E5B">
                    <w:rPr>
                      <w:rFonts w:ascii="Times New Roman" w:hAnsi="Times New Roman" w:cs="Times New Roman"/>
                      <w:color w:val="000000" w:themeColor="text1"/>
                      <w:sz w:val="18"/>
                      <w:szCs w:val="18"/>
                    </w:rPr>
                    <w:t xml:space="preserve"> Clayden (1986) URN: OAID00a1e.</w:t>
                  </w:r>
                </w:p>
                <w:p w:rsidR="0042465C" w:rsidRDefault="0042465C"/>
              </w:txbxContent>
            </v:textbox>
            <w10:wrap type="square"/>
          </v:shape>
        </w:pict>
      </w:r>
      <w:r w:rsidR="00F76D7C">
        <w:rPr>
          <w:rFonts w:ascii="Times New Roman" w:hAnsi="Times New Roman" w:cs="Times New Roman"/>
          <w:sz w:val="24"/>
          <w:szCs w:val="24"/>
        </w:rPr>
        <w:tab/>
      </w:r>
      <w:r w:rsidR="00F31771">
        <w:rPr>
          <w:rFonts w:ascii="Times New Roman" w:hAnsi="Times New Roman" w:cs="Times New Roman"/>
          <w:sz w:val="24"/>
          <w:szCs w:val="24"/>
        </w:rPr>
        <w:t xml:space="preserve">Built over </w:t>
      </w:r>
      <w:r w:rsidR="0072050B">
        <w:rPr>
          <w:rFonts w:ascii="Times New Roman" w:hAnsi="Times New Roman" w:cs="Times New Roman"/>
          <w:sz w:val="24"/>
          <w:szCs w:val="24"/>
        </w:rPr>
        <w:t>3,000 y</w:t>
      </w:r>
      <w:r w:rsidR="00F31771">
        <w:rPr>
          <w:rFonts w:ascii="Times New Roman" w:hAnsi="Times New Roman" w:cs="Times New Roman"/>
          <w:sz w:val="24"/>
          <w:szCs w:val="24"/>
        </w:rPr>
        <w:t xml:space="preserve">ears ago (c. </w:t>
      </w:r>
      <w:r w:rsidR="001B205A">
        <w:rPr>
          <w:rFonts w:ascii="Times New Roman" w:hAnsi="Times New Roman" w:cs="Times New Roman"/>
          <w:sz w:val="24"/>
          <w:szCs w:val="24"/>
        </w:rPr>
        <w:t>1380</w:t>
      </w:r>
      <w:r w:rsidR="00CE7EDA">
        <w:rPr>
          <w:rFonts w:ascii="Times New Roman" w:hAnsi="Times New Roman" w:cs="Times New Roman"/>
          <w:sz w:val="24"/>
          <w:szCs w:val="24"/>
        </w:rPr>
        <w:t xml:space="preserve"> </w:t>
      </w:r>
      <w:r w:rsidR="00F31771">
        <w:rPr>
          <w:rFonts w:ascii="Times New Roman" w:hAnsi="Times New Roman" w:cs="Times New Roman"/>
          <w:sz w:val="24"/>
          <w:szCs w:val="24"/>
        </w:rPr>
        <w:t xml:space="preserve">BCE), the </w:t>
      </w:r>
      <w:r w:rsidR="007F0309" w:rsidRPr="007F0309">
        <w:rPr>
          <w:rFonts w:ascii="Times New Roman" w:hAnsi="Times New Roman" w:cs="Times New Roman"/>
          <w:i/>
          <w:sz w:val="24"/>
          <w:szCs w:val="24"/>
        </w:rPr>
        <w:t>E</w:t>
      </w:r>
      <w:r w:rsidR="00C07E1F">
        <w:rPr>
          <w:rFonts w:ascii="Times New Roman" w:hAnsi="Times New Roman" w:cs="Times New Roman"/>
          <w:i/>
          <w:sz w:val="24"/>
          <w:szCs w:val="24"/>
        </w:rPr>
        <w:t>ugal</w:t>
      </w:r>
      <w:r w:rsidR="004D27CD" w:rsidRPr="004D27CD">
        <w:t xml:space="preserve"> </w:t>
      </w:r>
      <w:r w:rsidR="007F0309">
        <w:rPr>
          <w:rFonts w:ascii="Times New Roman" w:hAnsi="Times New Roman" w:cs="Times New Roman"/>
          <w:sz w:val="24"/>
          <w:szCs w:val="24"/>
        </w:rPr>
        <w:t xml:space="preserve">(Sum. </w:t>
      </w:r>
      <w:r w:rsidR="007F0309" w:rsidRPr="00CE7EDA">
        <w:rPr>
          <w:rFonts w:ascii="Times New Roman" w:hAnsi="Times New Roman" w:cs="Times New Roman"/>
          <w:i/>
          <w:sz w:val="24"/>
          <w:szCs w:val="24"/>
        </w:rPr>
        <w:t>é.</w:t>
      </w:r>
      <w:r w:rsidR="00C07E1F" w:rsidRPr="00CE7EDA">
        <w:rPr>
          <w:rFonts w:ascii="Times New Roman" w:hAnsi="Times New Roman" w:cs="Times New Roman"/>
          <w:i/>
          <w:sz w:val="24"/>
          <w:szCs w:val="24"/>
        </w:rPr>
        <w:t>u.gal</w:t>
      </w:r>
      <w:r w:rsidR="007F0309">
        <w:rPr>
          <w:rFonts w:ascii="Times New Roman" w:hAnsi="Times New Roman" w:cs="Times New Roman"/>
          <w:sz w:val="24"/>
          <w:szCs w:val="24"/>
        </w:rPr>
        <w:t xml:space="preserve">) </w:t>
      </w:r>
      <w:r w:rsidR="00F31771">
        <w:rPr>
          <w:rFonts w:ascii="Times New Roman" w:hAnsi="Times New Roman" w:cs="Times New Roman"/>
          <w:sz w:val="24"/>
          <w:szCs w:val="24"/>
        </w:rPr>
        <w:t>ziggurat at Dūr-Kurigalzu in</w:t>
      </w:r>
      <w:r w:rsidR="00714E8D">
        <w:rPr>
          <w:rFonts w:ascii="Times New Roman" w:hAnsi="Times New Roman" w:cs="Times New Roman"/>
          <w:sz w:val="24"/>
          <w:szCs w:val="24"/>
        </w:rPr>
        <w:t xml:space="preserve"> southern</w:t>
      </w:r>
      <w:r w:rsidR="00F31771">
        <w:rPr>
          <w:rFonts w:ascii="Times New Roman" w:hAnsi="Times New Roman" w:cs="Times New Roman"/>
          <w:sz w:val="24"/>
          <w:szCs w:val="24"/>
        </w:rPr>
        <w:t xml:space="preserve"> </w:t>
      </w:r>
      <w:r w:rsidR="009A5A07">
        <w:rPr>
          <w:rFonts w:ascii="Times New Roman" w:hAnsi="Times New Roman" w:cs="Times New Roman"/>
          <w:sz w:val="24"/>
          <w:szCs w:val="24"/>
        </w:rPr>
        <w:t>Iraq</w:t>
      </w:r>
      <w:r w:rsidR="00F31771">
        <w:rPr>
          <w:rFonts w:ascii="Times New Roman" w:hAnsi="Times New Roman" w:cs="Times New Roman"/>
          <w:sz w:val="24"/>
          <w:szCs w:val="24"/>
        </w:rPr>
        <w:t xml:space="preserve"> </w:t>
      </w:r>
      <w:r w:rsidR="004D27CD">
        <w:rPr>
          <w:rFonts w:ascii="Times New Roman" w:hAnsi="Times New Roman" w:cs="Times New Roman"/>
          <w:sz w:val="24"/>
          <w:szCs w:val="24"/>
        </w:rPr>
        <w:t xml:space="preserve">(Fig. </w:t>
      </w:r>
      <w:r w:rsidR="001B205A">
        <w:rPr>
          <w:rFonts w:ascii="Times New Roman" w:hAnsi="Times New Roman" w:cs="Times New Roman"/>
          <w:sz w:val="24"/>
          <w:szCs w:val="24"/>
        </w:rPr>
        <w:t>1</w:t>
      </w:r>
      <w:r w:rsidR="004D27CD">
        <w:rPr>
          <w:rFonts w:ascii="Times New Roman" w:hAnsi="Times New Roman" w:cs="Times New Roman"/>
          <w:sz w:val="24"/>
          <w:szCs w:val="24"/>
        </w:rPr>
        <w:t xml:space="preserve">) </w:t>
      </w:r>
      <w:r w:rsidR="00F31771">
        <w:rPr>
          <w:rFonts w:ascii="Times New Roman" w:hAnsi="Times New Roman" w:cs="Times New Roman"/>
          <w:sz w:val="24"/>
          <w:szCs w:val="24"/>
        </w:rPr>
        <w:t>still dominates the landscape.</w:t>
      </w:r>
      <w:r w:rsidR="003F732B">
        <w:rPr>
          <w:rStyle w:val="FootnoteReference"/>
          <w:rFonts w:ascii="Times New Roman" w:hAnsi="Times New Roman" w:cs="Times New Roman"/>
          <w:sz w:val="24"/>
          <w:szCs w:val="24"/>
        </w:rPr>
        <w:footnoteReference w:id="2"/>
      </w:r>
      <w:r w:rsidR="00F31771">
        <w:rPr>
          <w:rFonts w:ascii="Times New Roman" w:hAnsi="Times New Roman" w:cs="Times New Roman"/>
          <w:sz w:val="24"/>
          <w:szCs w:val="24"/>
        </w:rPr>
        <w:t xml:space="preserve"> Although in a heavily deteriorated state, the original ziggurat can be viewed using satellite imagery from Google Earth, along with modern reconstruction efforts and other buildings unearthed during archaeological excavations at Dūr-Kurigalzu</w:t>
      </w:r>
      <w:r w:rsidR="009A5A07">
        <w:rPr>
          <w:rFonts w:ascii="Times New Roman" w:hAnsi="Times New Roman" w:cs="Times New Roman"/>
          <w:sz w:val="24"/>
          <w:szCs w:val="24"/>
        </w:rPr>
        <w:t xml:space="preserve"> (Fig. 2)</w:t>
      </w:r>
      <w:r w:rsidR="00F31771">
        <w:rPr>
          <w:rFonts w:ascii="Times New Roman" w:hAnsi="Times New Roman" w:cs="Times New Roman"/>
          <w:sz w:val="24"/>
          <w:szCs w:val="24"/>
        </w:rPr>
        <w:t>. A primary antecedent to Western astronomy and astrology can be traced back to records of observations, formulae, and calculations produced by Mesopotamian culture.</w:t>
      </w:r>
      <w:r w:rsidR="009A5A07">
        <w:rPr>
          <w:rStyle w:val="FootnoteReference"/>
          <w:rFonts w:ascii="Times New Roman" w:hAnsi="Times New Roman" w:cs="Times New Roman"/>
          <w:sz w:val="24"/>
          <w:szCs w:val="24"/>
        </w:rPr>
        <w:footnoteReference w:id="3"/>
      </w:r>
      <w:r w:rsidR="00F31771">
        <w:rPr>
          <w:rFonts w:ascii="Times New Roman" w:hAnsi="Times New Roman" w:cs="Times New Roman"/>
          <w:sz w:val="24"/>
          <w:szCs w:val="24"/>
        </w:rPr>
        <w:t xml:space="preserve"> </w:t>
      </w:r>
    </w:p>
    <w:p w:rsidR="003E5190" w:rsidRDefault="009A5A75"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30" type="#_x0000_t202" style="position:absolute;margin-left:-261.05pt;margin-top:237.1pt;width:251.45pt;height:44.3pt;z-index:251662336;mso-width-relative:margin;mso-height-relative:margin" stroked="f">
            <v:textbox style="mso-next-textbox:#_x0000_s1030">
              <w:txbxContent>
                <w:p w:rsidR="0042465C" w:rsidRPr="004B2DBA" w:rsidRDefault="0042465C" w:rsidP="00B62EE5">
                  <w:pPr>
                    <w:spacing w:line="240" w:lineRule="exact"/>
                    <w:jc w:val="left"/>
                    <w:rPr>
                      <w:sz w:val="18"/>
                      <w:szCs w:val="18"/>
                    </w:rPr>
                  </w:pPr>
                  <w:r w:rsidRPr="004B2DBA">
                    <w:rPr>
                      <w:rFonts w:ascii="Times New Roman" w:hAnsi="Times New Roman" w:cs="Times New Roman"/>
                      <w:b/>
                      <w:color w:val="000000" w:themeColor="text1"/>
                      <w:sz w:val="18"/>
                      <w:szCs w:val="18"/>
                    </w:rPr>
                    <w:t>Figure 2.</w:t>
                  </w:r>
                  <w:r w:rsidRPr="004B2DBA">
                    <w:rPr>
                      <w:rFonts w:ascii="Times New Roman" w:hAnsi="Times New Roman" w:cs="Times New Roman"/>
                      <w:color w:val="000000" w:themeColor="text1"/>
                      <w:sz w:val="18"/>
                      <w:szCs w:val="18"/>
                    </w:rPr>
                    <w:t xml:space="preserve">  Author’s Google Earth Pro image of the ziggurat at </w:t>
                  </w:r>
                  <w:r w:rsidRPr="004B2DBA">
                    <w:rPr>
                      <w:rFonts w:ascii="Times New Roman" w:hAnsi="Times New Roman" w:cs="Times New Roman"/>
                      <w:sz w:val="18"/>
                      <w:szCs w:val="18"/>
                    </w:rPr>
                    <w:t>Dūr-Kurigalzu with temples, courtyards, palaces, and houses. The ziggurat is shown in alignment with the cardinal directions.</w:t>
                  </w:r>
                </w:p>
              </w:txbxContent>
            </v:textbox>
            <w10:wrap type="square"/>
          </v:shape>
        </w:pict>
      </w:r>
      <w:r w:rsidR="002B7CEA">
        <w:rPr>
          <w:rFonts w:ascii="Times New Roman" w:hAnsi="Times New Roman" w:cs="Times New Roman"/>
          <w:sz w:val="24"/>
          <w:szCs w:val="24"/>
        </w:rPr>
        <w:tab/>
      </w:r>
      <w:r w:rsidR="00F31771">
        <w:rPr>
          <w:rFonts w:ascii="Times New Roman" w:hAnsi="Times New Roman" w:cs="Times New Roman"/>
          <w:sz w:val="24"/>
          <w:szCs w:val="24"/>
        </w:rPr>
        <w:t xml:space="preserve">Recent </w:t>
      </w:r>
      <w:r w:rsidR="00684F76">
        <w:rPr>
          <w:rFonts w:ascii="Times New Roman" w:hAnsi="Times New Roman" w:cs="Times New Roman"/>
          <w:sz w:val="24"/>
          <w:szCs w:val="24"/>
        </w:rPr>
        <w:t xml:space="preserve">archaeoastronomical </w:t>
      </w:r>
      <w:r w:rsidR="00F31771">
        <w:rPr>
          <w:rFonts w:ascii="Times New Roman" w:hAnsi="Times New Roman" w:cs="Times New Roman"/>
          <w:sz w:val="24"/>
          <w:szCs w:val="24"/>
        </w:rPr>
        <w:t xml:space="preserve">scholarship, employing both on-the-ground and Google Earth research, has suggested possible </w:t>
      </w:r>
      <w:r w:rsidR="001E5CF0">
        <w:rPr>
          <w:rFonts w:ascii="Times New Roman" w:hAnsi="Times New Roman" w:cs="Times New Roman"/>
          <w:sz w:val="24"/>
          <w:szCs w:val="24"/>
        </w:rPr>
        <w:t xml:space="preserve">solar, </w:t>
      </w:r>
      <w:r w:rsidR="00F31771">
        <w:rPr>
          <w:rFonts w:ascii="Times New Roman" w:hAnsi="Times New Roman" w:cs="Times New Roman"/>
          <w:sz w:val="24"/>
          <w:szCs w:val="24"/>
        </w:rPr>
        <w:t>lunar</w:t>
      </w:r>
      <w:r w:rsidR="001E5CF0">
        <w:rPr>
          <w:rFonts w:ascii="Times New Roman" w:hAnsi="Times New Roman" w:cs="Times New Roman"/>
          <w:sz w:val="24"/>
          <w:szCs w:val="24"/>
        </w:rPr>
        <w:t>, and planetary</w:t>
      </w:r>
      <w:r w:rsidR="00F31771">
        <w:rPr>
          <w:rFonts w:ascii="Times New Roman" w:hAnsi="Times New Roman" w:cs="Times New Roman"/>
          <w:sz w:val="24"/>
          <w:szCs w:val="24"/>
        </w:rPr>
        <w:t xml:space="preserve"> orientations for some ziggurats.</w:t>
      </w:r>
      <w:r w:rsidR="009A5A07">
        <w:rPr>
          <w:rStyle w:val="FootnoteReference"/>
          <w:rFonts w:ascii="Times New Roman" w:hAnsi="Times New Roman" w:cs="Times New Roman"/>
          <w:sz w:val="24"/>
          <w:szCs w:val="24"/>
        </w:rPr>
        <w:footnoteReference w:id="4"/>
      </w:r>
      <w:r w:rsidR="00F31771">
        <w:rPr>
          <w:rFonts w:ascii="Times New Roman" w:hAnsi="Times New Roman" w:cs="Times New Roman"/>
          <w:sz w:val="24"/>
          <w:szCs w:val="24"/>
        </w:rPr>
        <w:t xml:space="preserve"> </w:t>
      </w:r>
      <w:r w:rsidR="00684F76">
        <w:rPr>
          <w:rFonts w:ascii="Times New Roman" w:hAnsi="Times New Roman" w:cs="Times New Roman"/>
          <w:sz w:val="24"/>
          <w:szCs w:val="24"/>
        </w:rPr>
        <w:t>Arch</w:t>
      </w:r>
      <w:r w:rsidR="001B205A">
        <w:rPr>
          <w:rFonts w:ascii="Times New Roman" w:hAnsi="Times New Roman" w:cs="Times New Roman"/>
          <w:sz w:val="24"/>
          <w:szCs w:val="24"/>
        </w:rPr>
        <w:t>aeoastronomy may be defined as</w:t>
      </w:r>
      <w:r w:rsidR="00684F76">
        <w:rPr>
          <w:rFonts w:ascii="Times New Roman" w:hAnsi="Times New Roman" w:cs="Times New Roman"/>
          <w:sz w:val="24"/>
          <w:szCs w:val="24"/>
        </w:rPr>
        <w:t>, ‘</w:t>
      </w:r>
      <w:r w:rsidR="001B205A">
        <w:rPr>
          <w:rFonts w:ascii="Times New Roman" w:hAnsi="Times New Roman" w:cs="Times New Roman"/>
          <w:sz w:val="24"/>
          <w:szCs w:val="24"/>
        </w:rPr>
        <w:t xml:space="preserve">…the </w:t>
      </w:r>
      <w:r w:rsidR="00684F76" w:rsidRPr="00684F76">
        <w:rPr>
          <w:rFonts w:ascii="Times New Roman" w:hAnsi="Times New Roman" w:cs="Times New Roman"/>
          <w:sz w:val="24"/>
          <w:szCs w:val="24"/>
        </w:rPr>
        <w:t>study of beliefs and practices concerning the sky in the past, and especially in prehistory, and the uses to which people’s knowledge of the skies were put</w:t>
      </w:r>
      <w:r w:rsidR="00684F76">
        <w:rPr>
          <w:rFonts w:ascii="Times New Roman" w:hAnsi="Times New Roman" w:cs="Times New Roman"/>
          <w:sz w:val="24"/>
          <w:szCs w:val="24"/>
        </w:rPr>
        <w:t>.’</w:t>
      </w:r>
      <w:r w:rsidR="00684F76">
        <w:rPr>
          <w:rStyle w:val="FootnoteReference"/>
          <w:rFonts w:ascii="Times New Roman" w:hAnsi="Times New Roman" w:cs="Times New Roman"/>
          <w:sz w:val="24"/>
          <w:szCs w:val="24"/>
        </w:rPr>
        <w:footnoteReference w:id="5"/>
      </w:r>
      <w:r w:rsidR="00684F76">
        <w:rPr>
          <w:rFonts w:ascii="Times New Roman" w:hAnsi="Times New Roman" w:cs="Times New Roman"/>
          <w:sz w:val="24"/>
          <w:szCs w:val="24"/>
        </w:rPr>
        <w:t xml:space="preserve"> </w:t>
      </w:r>
      <w:r w:rsidR="00F31771">
        <w:rPr>
          <w:rFonts w:ascii="Times New Roman" w:hAnsi="Times New Roman" w:cs="Times New Roman"/>
          <w:sz w:val="24"/>
          <w:szCs w:val="24"/>
        </w:rPr>
        <w:t xml:space="preserve">It is the intention of this work to explore the possibility of celestial orientations for certain locations on the ziggurat at Dūr-Kurigalzu, as well as possible light with shade </w:t>
      </w:r>
      <w:r w:rsidR="00F31771">
        <w:rPr>
          <w:rFonts w:ascii="Times New Roman" w:hAnsi="Times New Roman" w:cs="Times New Roman"/>
          <w:sz w:val="24"/>
          <w:szCs w:val="24"/>
        </w:rPr>
        <w:lastRenderedPageBreak/>
        <w:t>phenomena cast upon both the ziggurat and the nearby temples and palaces.</w:t>
      </w:r>
    </w:p>
    <w:p w:rsidR="002A58A6" w:rsidRDefault="002A58A6" w:rsidP="002A58A6">
      <w:pPr>
        <w:ind w:firstLine="420"/>
        <w:jc w:val="left"/>
        <w:rPr>
          <w:rFonts w:ascii="Times New Roman" w:hAnsi="Times New Roman" w:cs="Times New Roman"/>
          <w:sz w:val="24"/>
          <w:szCs w:val="24"/>
        </w:rPr>
      </w:pPr>
      <w:r>
        <w:rPr>
          <w:rFonts w:ascii="Times New Roman" w:hAnsi="Times New Roman" w:cs="Times New Roman"/>
          <w:sz w:val="24"/>
          <w:szCs w:val="24"/>
        </w:rPr>
        <w:t xml:space="preserve">Dūr-Kurigalzu (Arabic: </w:t>
      </w:r>
      <w:r w:rsidRPr="007F0309">
        <w:rPr>
          <w:rFonts w:ascii="Times New Roman" w:hAnsi="Times New Roman" w:cs="Times New Roman"/>
          <w:i/>
          <w:sz w:val="24"/>
          <w:szCs w:val="24"/>
        </w:rPr>
        <w:t>‘Aqar qūf</w:t>
      </w:r>
      <w:r>
        <w:rPr>
          <w:rFonts w:ascii="Times New Roman" w:hAnsi="Times New Roman" w:cs="Times New Roman"/>
          <w:sz w:val="24"/>
          <w:szCs w:val="24"/>
        </w:rPr>
        <w:t xml:space="preserve">) is located near the confluence of Tigris and Euphrates rivers approximately 30 km to the west of modern-day Baghdad, Iraq. The approximately 5 km long city was constructed in a rectangular shape on a limestone ridge which runs from north-west to south-east. The deteriorated ziggurat structure served as a landmark for over a thousand years and was often mistaken for the Tower of Babel by </w:t>
      </w:r>
      <w:r w:rsidR="00F76D7C">
        <w:rPr>
          <w:rFonts w:ascii="Times New Roman" w:hAnsi="Times New Roman" w:cs="Times New Roman"/>
          <w:sz w:val="24"/>
          <w:szCs w:val="24"/>
        </w:rPr>
        <w:t>travelers</w:t>
      </w:r>
      <w:r w:rsidR="001760E5">
        <w:rPr>
          <w:rFonts w:ascii="Times New Roman" w:hAnsi="Times New Roman" w:cs="Times New Roman"/>
          <w:sz w:val="24"/>
          <w:szCs w:val="24"/>
        </w:rPr>
        <w:t>.</w:t>
      </w:r>
      <w:r w:rsidR="001760E5">
        <w:rPr>
          <w:rStyle w:val="FootnoteReference"/>
          <w:rFonts w:ascii="Times New Roman" w:hAnsi="Times New Roman" w:cs="Times New Roman"/>
          <w:sz w:val="24"/>
          <w:szCs w:val="24"/>
        </w:rPr>
        <w:footnoteReference w:id="6"/>
      </w:r>
    </w:p>
    <w:p w:rsidR="00333B0D" w:rsidRDefault="009A5A75"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45" type="#_x0000_t202" style="position:absolute;margin-left:2.4pt;margin-top:344.25pt;width:297pt;height:25.35pt;z-index:251696128;mso-width-relative:margin;mso-height-relative:margin" filled="f" stroked="f">
            <v:textbox style="mso-next-textbox:#_x0000_s1045">
              <w:txbxContent>
                <w:p w:rsidR="0042465C" w:rsidRPr="004B2DBA" w:rsidRDefault="0042465C" w:rsidP="004B2DBA">
                  <w:pPr>
                    <w:spacing w:line="240" w:lineRule="exact"/>
                    <w:jc w:val="center"/>
                    <w:rPr>
                      <w:sz w:val="18"/>
                      <w:szCs w:val="18"/>
                    </w:rPr>
                  </w:pPr>
                  <w:r w:rsidRPr="004B2DBA">
                    <w:rPr>
                      <w:rFonts w:ascii="Times New Roman" w:hAnsi="Times New Roman" w:cs="Times New Roman"/>
                      <w:b/>
                      <w:color w:val="000000" w:themeColor="text1"/>
                      <w:sz w:val="18"/>
                      <w:szCs w:val="18"/>
                    </w:rPr>
                    <w:t>Figure 3.</w:t>
                  </w:r>
                  <w:r w:rsidRPr="004B2DBA">
                    <w:rPr>
                      <w:rFonts w:ascii="Times New Roman" w:hAnsi="Times New Roman" w:cs="Times New Roman"/>
                      <w:color w:val="000000" w:themeColor="text1"/>
                      <w:sz w:val="18"/>
                      <w:szCs w:val="18"/>
                    </w:rPr>
                    <w:t xml:space="preserve">  Map of </w:t>
                  </w:r>
                  <w:r w:rsidRPr="004B2DBA">
                    <w:rPr>
                      <w:rFonts w:ascii="Times New Roman" w:hAnsi="Times New Roman" w:cs="Times New Roman"/>
                      <w:sz w:val="18"/>
                      <w:szCs w:val="18"/>
                    </w:rPr>
                    <w:t>Dūr-Kurigalzu. Malko (2017), p. 480.</w:t>
                  </w:r>
                </w:p>
              </w:txbxContent>
            </v:textbox>
            <w10:wrap type="square"/>
          </v:shape>
        </w:pict>
      </w:r>
      <w:r w:rsidR="002A58A6">
        <w:rPr>
          <w:rFonts w:ascii="Times New Roman" w:hAnsi="Times New Roman" w:cs="Times New Roman"/>
          <w:noProof/>
          <w:sz w:val="24"/>
          <w:szCs w:val="24"/>
        </w:rPr>
        <w:drawing>
          <wp:anchor distT="0" distB="0" distL="114300" distR="114300" simplePos="0" relativeHeight="251693056" behindDoc="0" locked="0" layoutInCell="1" allowOverlap="1">
            <wp:simplePos x="0" y="0"/>
            <wp:positionH relativeFrom="column">
              <wp:posOffset>86360</wp:posOffset>
            </wp:positionH>
            <wp:positionV relativeFrom="paragraph">
              <wp:posOffset>66675</wp:posOffset>
            </wp:positionV>
            <wp:extent cx="3703955" cy="4143375"/>
            <wp:effectExtent l="19050" t="0" r="0" b="0"/>
            <wp:wrapSquare wrapText="bothSides"/>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1035" t="20989" r="1035"/>
                    <a:stretch>
                      <a:fillRect/>
                    </a:stretch>
                  </pic:blipFill>
                  <pic:spPr bwMode="auto">
                    <a:xfrm>
                      <a:off x="0" y="0"/>
                      <a:ext cx="3703955" cy="4143375"/>
                    </a:xfrm>
                    <a:prstGeom prst="rect">
                      <a:avLst/>
                    </a:prstGeom>
                    <a:noFill/>
                    <a:ln w="9525">
                      <a:noFill/>
                      <a:miter lim="800000"/>
                      <a:headEnd/>
                      <a:tailEnd/>
                    </a:ln>
                  </pic:spPr>
                </pic:pic>
              </a:graphicData>
            </a:graphic>
          </wp:anchor>
        </w:drawing>
      </w:r>
      <w:r w:rsidR="002A58A6">
        <w:rPr>
          <w:rFonts w:ascii="Times New Roman" w:hAnsi="Times New Roman" w:cs="Times New Roman"/>
          <w:noProof/>
          <w:sz w:val="24"/>
          <w:szCs w:val="24"/>
        </w:rPr>
        <w:drawing>
          <wp:anchor distT="0" distB="0" distL="114300" distR="114300" simplePos="0" relativeHeight="251697152" behindDoc="0" locked="0" layoutInCell="1" allowOverlap="1">
            <wp:simplePos x="0" y="0"/>
            <wp:positionH relativeFrom="column">
              <wp:posOffset>-1162050</wp:posOffset>
            </wp:positionH>
            <wp:positionV relativeFrom="paragraph">
              <wp:posOffset>171451</wp:posOffset>
            </wp:positionV>
            <wp:extent cx="462643" cy="647700"/>
            <wp:effectExtent l="19050" t="0" r="0" b="0"/>
            <wp:wrapNone/>
            <wp:docPr id="2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srcRect/>
                    <a:stretch>
                      <a:fillRect/>
                    </a:stretch>
                  </pic:blipFill>
                  <pic:spPr bwMode="auto">
                    <a:xfrm>
                      <a:off x="0" y="0"/>
                      <a:ext cx="462643" cy="647700"/>
                    </a:xfrm>
                    <a:prstGeom prst="rect">
                      <a:avLst/>
                    </a:prstGeom>
                    <a:noFill/>
                    <a:ln w="9525">
                      <a:noFill/>
                      <a:miter lim="800000"/>
                      <a:headEnd/>
                      <a:tailEnd/>
                    </a:ln>
                  </pic:spPr>
                </pic:pic>
              </a:graphicData>
            </a:graphic>
          </wp:anchor>
        </w:drawing>
      </w:r>
      <w:r w:rsidR="001760E5">
        <w:rPr>
          <w:rFonts w:ascii="Times New Roman" w:hAnsi="Times New Roman" w:cs="Times New Roman"/>
          <w:sz w:val="24"/>
          <w:szCs w:val="24"/>
        </w:rPr>
        <w:tab/>
      </w:r>
      <w:r w:rsidR="005B2EB9">
        <w:rPr>
          <w:rFonts w:ascii="Times New Roman" w:hAnsi="Times New Roman" w:cs="Times New Roman"/>
          <w:sz w:val="24"/>
          <w:szCs w:val="24"/>
        </w:rPr>
        <w:t xml:space="preserve">Excavations began </w:t>
      </w:r>
      <w:r w:rsidR="00803D7F">
        <w:rPr>
          <w:rFonts w:ascii="Times New Roman" w:hAnsi="Times New Roman" w:cs="Times New Roman"/>
          <w:sz w:val="24"/>
          <w:szCs w:val="24"/>
        </w:rPr>
        <w:t xml:space="preserve">under the Iraqi government </w:t>
      </w:r>
      <w:r w:rsidR="005B2EB9">
        <w:rPr>
          <w:rFonts w:ascii="Times New Roman" w:hAnsi="Times New Roman" w:cs="Times New Roman"/>
          <w:sz w:val="24"/>
          <w:szCs w:val="24"/>
        </w:rPr>
        <w:t xml:space="preserve">in </w:t>
      </w:r>
      <w:r w:rsidR="00DF61A1">
        <w:rPr>
          <w:rFonts w:ascii="Times New Roman" w:hAnsi="Times New Roman" w:cs="Times New Roman"/>
          <w:sz w:val="24"/>
          <w:szCs w:val="24"/>
        </w:rPr>
        <w:t xml:space="preserve">1942 </w:t>
      </w:r>
      <w:r w:rsidR="00561410">
        <w:rPr>
          <w:rFonts w:ascii="Times New Roman" w:hAnsi="Times New Roman" w:cs="Times New Roman"/>
          <w:sz w:val="24"/>
          <w:szCs w:val="24"/>
        </w:rPr>
        <w:t>and have continued periodically</w:t>
      </w:r>
      <w:r w:rsidR="00DF61A1">
        <w:rPr>
          <w:rFonts w:ascii="Times New Roman" w:hAnsi="Times New Roman" w:cs="Times New Roman"/>
          <w:sz w:val="24"/>
          <w:szCs w:val="24"/>
        </w:rPr>
        <w:t xml:space="preserve">, with </w:t>
      </w:r>
      <w:r w:rsidR="00B62560">
        <w:rPr>
          <w:rFonts w:ascii="Times New Roman" w:hAnsi="Times New Roman" w:cs="Times New Roman"/>
          <w:sz w:val="24"/>
          <w:szCs w:val="24"/>
        </w:rPr>
        <w:t xml:space="preserve">the bulk </w:t>
      </w:r>
      <w:r w:rsidR="00DF61A1">
        <w:rPr>
          <w:rFonts w:ascii="Times New Roman" w:hAnsi="Times New Roman" w:cs="Times New Roman"/>
          <w:sz w:val="24"/>
          <w:szCs w:val="24"/>
        </w:rPr>
        <w:t xml:space="preserve">of the archaeological work at the ziggurat and temples occurring </w:t>
      </w:r>
      <w:r w:rsidR="00803D7F">
        <w:rPr>
          <w:rFonts w:ascii="Times New Roman" w:hAnsi="Times New Roman" w:cs="Times New Roman"/>
          <w:sz w:val="24"/>
          <w:szCs w:val="24"/>
        </w:rPr>
        <w:t>in the 1940s.</w:t>
      </w:r>
      <w:r w:rsidR="00B62560">
        <w:rPr>
          <w:rStyle w:val="FootnoteReference"/>
          <w:rFonts w:ascii="Times New Roman" w:hAnsi="Times New Roman" w:cs="Times New Roman"/>
          <w:sz w:val="24"/>
          <w:szCs w:val="24"/>
        </w:rPr>
        <w:footnoteReference w:id="7"/>
      </w:r>
      <w:r w:rsidR="00561410">
        <w:rPr>
          <w:rFonts w:ascii="Times New Roman" w:hAnsi="Times New Roman" w:cs="Times New Roman"/>
          <w:sz w:val="24"/>
          <w:szCs w:val="24"/>
        </w:rPr>
        <w:t xml:space="preserve"> The last excavation report was published in 2006 and the current state </w:t>
      </w:r>
      <w:r w:rsidR="002C240D">
        <w:rPr>
          <w:rFonts w:ascii="Times New Roman" w:hAnsi="Times New Roman" w:cs="Times New Roman"/>
          <w:sz w:val="24"/>
          <w:szCs w:val="24"/>
        </w:rPr>
        <w:t xml:space="preserve">of </w:t>
      </w:r>
      <w:r w:rsidR="00333B0D">
        <w:rPr>
          <w:rFonts w:ascii="Times New Roman" w:hAnsi="Times New Roman" w:cs="Times New Roman"/>
          <w:sz w:val="24"/>
          <w:szCs w:val="24"/>
        </w:rPr>
        <w:t xml:space="preserve">archaeological </w:t>
      </w:r>
      <w:r w:rsidR="002C240D">
        <w:rPr>
          <w:rFonts w:ascii="Times New Roman" w:hAnsi="Times New Roman" w:cs="Times New Roman"/>
          <w:sz w:val="24"/>
          <w:szCs w:val="24"/>
        </w:rPr>
        <w:t xml:space="preserve">research </w:t>
      </w:r>
      <w:r w:rsidR="00333B0D">
        <w:rPr>
          <w:rFonts w:ascii="Times New Roman" w:hAnsi="Times New Roman" w:cs="Times New Roman"/>
          <w:sz w:val="24"/>
          <w:szCs w:val="24"/>
        </w:rPr>
        <w:t xml:space="preserve">at the site </w:t>
      </w:r>
      <w:r w:rsidR="002C240D">
        <w:rPr>
          <w:rFonts w:ascii="Times New Roman" w:hAnsi="Times New Roman" w:cs="Times New Roman"/>
          <w:sz w:val="24"/>
          <w:szCs w:val="24"/>
        </w:rPr>
        <w:t>is unknown, owing to geo-political unrest</w:t>
      </w:r>
      <w:r w:rsidR="00333B0D">
        <w:rPr>
          <w:rFonts w:ascii="Times New Roman" w:hAnsi="Times New Roman" w:cs="Times New Roman"/>
          <w:sz w:val="24"/>
          <w:szCs w:val="24"/>
        </w:rPr>
        <w:t xml:space="preserve"> in the region</w:t>
      </w:r>
      <w:r w:rsidR="002C240D">
        <w:rPr>
          <w:rFonts w:ascii="Times New Roman" w:hAnsi="Times New Roman" w:cs="Times New Roman"/>
          <w:sz w:val="24"/>
          <w:szCs w:val="24"/>
        </w:rPr>
        <w:t>.</w:t>
      </w:r>
      <w:r w:rsidR="005E0287">
        <w:rPr>
          <w:rStyle w:val="FootnoteReference"/>
          <w:rFonts w:ascii="Times New Roman" w:hAnsi="Times New Roman" w:cs="Times New Roman"/>
          <w:sz w:val="24"/>
          <w:szCs w:val="24"/>
        </w:rPr>
        <w:footnoteReference w:id="8"/>
      </w:r>
      <w:r w:rsidR="001F5785">
        <w:rPr>
          <w:rFonts w:ascii="Times New Roman" w:hAnsi="Times New Roman" w:cs="Times New Roman"/>
          <w:sz w:val="24"/>
          <w:szCs w:val="24"/>
        </w:rPr>
        <w:t xml:space="preserve"> </w:t>
      </w:r>
      <w:r w:rsidR="00B471B6">
        <w:rPr>
          <w:rFonts w:ascii="Times New Roman" w:hAnsi="Times New Roman" w:cs="Times New Roman"/>
          <w:sz w:val="24"/>
          <w:szCs w:val="24"/>
        </w:rPr>
        <w:t xml:space="preserve">While the modern landscape consists of desert and some fields, the ancient landscape at Dūr-Kurigalzu was quite different. </w:t>
      </w:r>
      <w:r w:rsidR="002C240D">
        <w:rPr>
          <w:rFonts w:ascii="Times New Roman" w:hAnsi="Times New Roman" w:cs="Times New Roman"/>
          <w:sz w:val="24"/>
          <w:szCs w:val="24"/>
        </w:rPr>
        <w:t>The north-eastern area around the city was heavily forested and t</w:t>
      </w:r>
      <w:r w:rsidR="00B471B6">
        <w:rPr>
          <w:rFonts w:ascii="Times New Roman" w:hAnsi="Times New Roman" w:cs="Times New Roman"/>
          <w:sz w:val="24"/>
          <w:szCs w:val="24"/>
        </w:rPr>
        <w:t xml:space="preserve">he limestone ridge upon which the city was founded </w:t>
      </w:r>
      <w:r w:rsidR="00461BE0">
        <w:rPr>
          <w:rFonts w:ascii="Times New Roman" w:hAnsi="Times New Roman" w:cs="Times New Roman"/>
          <w:sz w:val="24"/>
          <w:szCs w:val="24"/>
        </w:rPr>
        <w:t>was</w:t>
      </w:r>
      <w:r w:rsidR="00B471B6">
        <w:rPr>
          <w:rFonts w:ascii="Times New Roman" w:hAnsi="Times New Roman" w:cs="Times New Roman"/>
          <w:sz w:val="24"/>
          <w:szCs w:val="24"/>
        </w:rPr>
        <w:t xml:space="preserve"> south of the now dry lake </w:t>
      </w:r>
      <w:r w:rsidR="002C240D" w:rsidRPr="004B2DBA">
        <w:rPr>
          <w:rFonts w:ascii="Times New Roman" w:hAnsi="Times New Roman" w:cs="Times New Roman"/>
          <w:i/>
          <w:sz w:val="24"/>
          <w:szCs w:val="24"/>
        </w:rPr>
        <w:t>‘Aqar qūf</w:t>
      </w:r>
      <w:r w:rsidR="00461BE0">
        <w:rPr>
          <w:rFonts w:ascii="Times New Roman" w:hAnsi="Times New Roman" w:cs="Times New Roman"/>
          <w:sz w:val="24"/>
          <w:szCs w:val="24"/>
        </w:rPr>
        <w:t xml:space="preserve"> with canals and waterways that ran through various parts of the city</w:t>
      </w:r>
      <w:r w:rsidR="00F76D7C">
        <w:rPr>
          <w:rFonts w:ascii="Times New Roman" w:hAnsi="Times New Roman" w:cs="Times New Roman"/>
          <w:sz w:val="24"/>
          <w:szCs w:val="24"/>
        </w:rPr>
        <w:t xml:space="preserve"> (Fig. </w:t>
      </w:r>
      <w:r w:rsidR="004B2DBA">
        <w:rPr>
          <w:rFonts w:ascii="Times New Roman" w:hAnsi="Times New Roman" w:cs="Times New Roman"/>
          <w:sz w:val="24"/>
          <w:szCs w:val="24"/>
        </w:rPr>
        <w:t>3</w:t>
      </w:r>
      <w:r w:rsidR="00F76D7C">
        <w:rPr>
          <w:rFonts w:ascii="Times New Roman" w:hAnsi="Times New Roman" w:cs="Times New Roman"/>
          <w:sz w:val="24"/>
          <w:szCs w:val="24"/>
        </w:rPr>
        <w:t>)</w:t>
      </w:r>
      <w:r w:rsidR="00461BE0">
        <w:rPr>
          <w:rFonts w:ascii="Times New Roman" w:hAnsi="Times New Roman" w:cs="Times New Roman"/>
          <w:sz w:val="24"/>
          <w:szCs w:val="24"/>
        </w:rPr>
        <w:t>.</w:t>
      </w:r>
      <w:r w:rsidR="009A5A07">
        <w:rPr>
          <w:rStyle w:val="FootnoteReference"/>
          <w:rFonts w:ascii="Times New Roman" w:hAnsi="Times New Roman" w:cs="Times New Roman"/>
          <w:sz w:val="24"/>
          <w:szCs w:val="24"/>
        </w:rPr>
        <w:footnoteReference w:id="9"/>
      </w:r>
    </w:p>
    <w:p w:rsidR="009D5947" w:rsidRDefault="001F5785" w:rsidP="00FA1D8D">
      <w:pPr>
        <w:jc w:val="left"/>
        <w:rPr>
          <w:rFonts w:ascii="Times New Roman" w:hAnsi="Times New Roman" w:cs="Times New Roman"/>
          <w:sz w:val="24"/>
          <w:szCs w:val="24"/>
        </w:rPr>
      </w:pPr>
      <w:r>
        <w:rPr>
          <w:rFonts w:ascii="Times New Roman" w:hAnsi="Times New Roman" w:cs="Times New Roman"/>
          <w:sz w:val="24"/>
          <w:szCs w:val="24"/>
        </w:rPr>
        <w:tab/>
      </w:r>
      <w:r w:rsidR="00333B0D">
        <w:rPr>
          <w:rFonts w:ascii="Times New Roman" w:hAnsi="Times New Roman" w:cs="Times New Roman"/>
          <w:sz w:val="24"/>
          <w:szCs w:val="24"/>
        </w:rPr>
        <w:t>Dūr-Kurigalzu was founded by</w:t>
      </w:r>
      <w:r w:rsidR="009D52CD">
        <w:rPr>
          <w:rFonts w:ascii="Times New Roman" w:hAnsi="Times New Roman" w:cs="Times New Roman"/>
          <w:sz w:val="24"/>
          <w:szCs w:val="24"/>
        </w:rPr>
        <w:t xml:space="preserve"> the </w:t>
      </w:r>
      <w:r w:rsidR="00BB2FCA">
        <w:rPr>
          <w:rFonts w:ascii="Times New Roman" w:hAnsi="Times New Roman" w:cs="Times New Roman"/>
          <w:sz w:val="24"/>
          <w:szCs w:val="24"/>
        </w:rPr>
        <w:t>17</w:t>
      </w:r>
      <w:r w:rsidR="009D52CD" w:rsidRPr="00BB2FCA">
        <w:rPr>
          <w:rFonts w:ascii="Times New Roman" w:hAnsi="Times New Roman" w:cs="Times New Roman"/>
          <w:sz w:val="24"/>
          <w:szCs w:val="24"/>
          <w:vertAlign w:val="superscript"/>
        </w:rPr>
        <w:t>th</w:t>
      </w:r>
      <w:r w:rsidR="009D52CD">
        <w:rPr>
          <w:rFonts w:ascii="Times New Roman" w:hAnsi="Times New Roman" w:cs="Times New Roman"/>
          <w:sz w:val="24"/>
          <w:szCs w:val="24"/>
        </w:rPr>
        <w:t xml:space="preserve"> king in the Kassite dynasty,</w:t>
      </w:r>
      <w:r w:rsidR="00333B0D">
        <w:rPr>
          <w:rFonts w:ascii="Times New Roman" w:hAnsi="Times New Roman" w:cs="Times New Roman"/>
          <w:sz w:val="24"/>
          <w:szCs w:val="24"/>
        </w:rPr>
        <w:t xml:space="preserve"> Kurigalzu I</w:t>
      </w:r>
      <w:r w:rsidR="00C8324A" w:rsidRPr="00C8324A">
        <w:rPr>
          <w:rFonts w:ascii="Times New Roman" w:hAnsi="Times New Roman" w:cs="Times New Roman"/>
          <w:sz w:val="24"/>
          <w:szCs w:val="24"/>
        </w:rPr>
        <w:t xml:space="preserve"> </w:t>
      </w:r>
      <w:r w:rsidR="00966F00">
        <w:rPr>
          <w:rFonts w:ascii="Times New Roman" w:hAnsi="Times New Roman" w:cs="Times New Roman"/>
          <w:sz w:val="24"/>
          <w:szCs w:val="24"/>
        </w:rPr>
        <w:t>(x 1375 BCE)</w:t>
      </w:r>
      <w:r w:rsidR="009D52CD">
        <w:rPr>
          <w:rFonts w:ascii="Times New Roman" w:hAnsi="Times New Roman" w:cs="Times New Roman"/>
          <w:sz w:val="24"/>
          <w:szCs w:val="24"/>
        </w:rPr>
        <w:t>.</w:t>
      </w:r>
      <w:r w:rsidR="00BB2FCA">
        <w:rPr>
          <w:rStyle w:val="FootnoteReference"/>
          <w:rFonts w:ascii="Times New Roman" w:hAnsi="Times New Roman" w:cs="Times New Roman"/>
          <w:sz w:val="24"/>
          <w:szCs w:val="24"/>
        </w:rPr>
        <w:footnoteReference w:id="10"/>
      </w:r>
      <w:r w:rsidR="009D52CD">
        <w:rPr>
          <w:rFonts w:ascii="Times New Roman" w:hAnsi="Times New Roman" w:cs="Times New Roman"/>
          <w:sz w:val="24"/>
          <w:szCs w:val="24"/>
        </w:rPr>
        <w:t xml:space="preserve"> Although they </w:t>
      </w:r>
      <w:r>
        <w:rPr>
          <w:rFonts w:ascii="Times New Roman" w:hAnsi="Times New Roman" w:cs="Times New Roman"/>
          <w:sz w:val="24"/>
          <w:szCs w:val="24"/>
        </w:rPr>
        <w:t>were</w:t>
      </w:r>
      <w:r w:rsidR="009D52CD">
        <w:rPr>
          <w:rFonts w:ascii="Times New Roman" w:hAnsi="Times New Roman" w:cs="Times New Roman"/>
          <w:sz w:val="24"/>
          <w:szCs w:val="24"/>
        </w:rPr>
        <w:t xml:space="preserve"> a foreign dynasty, a hallmark of Kassite rule in Babylonia was </w:t>
      </w:r>
      <w:r w:rsidR="00504410">
        <w:rPr>
          <w:rFonts w:ascii="Times New Roman" w:hAnsi="Times New Roman" w:cs="Times New Roman"/>
          <w:sz w:val="24"/>
          <w:szCs w:val="24"/>
        </w:rPr>
        <w:t xml:space="preserve">a strong emphasis on older traditions. The formula of a king founding a city and naming it after himself as ‘Fortress </w:t>
      </w:r>
      <w:r w:rsidR="00A13DA6">
        <w:rPr>
          <w:rFonts w:ascii="Times New Roman" w:hAnsi="Times New Roman" w:cs="Times New Roman"/>
          <w:sz w:val="24"/>
          <w:szCs w:val="24"/>
        </w:rPr>
        <w:t xml:space="preserve">(Akk. </w:t>
      </w:r>
      <w:r w:rsidR="00A13DA6" w:rsidRPr="00A13DA6">
        <w:rPr>
          <w:rFonts w:ascii="Times New Roman" w:hAnsi="Times New Roman" w:cs="Times New Roman"/>
          <w:i/>
          <w:sz w:val="24"/>
          <w:szCs w:val="24"/>
        </w:rPr>
        <w:t>dūr</w:t>
      </w:r>
      <w:r w:rsidR="00A13DA6">
        <w:rPr>
          <w:rFonts w:ascii="Times New Roman" w:hAnsi="Times New Roman" w:cs="Times New Roman"/>
          <w:sz w:val="24"/>
          <w:szCs w:val="24"/>
        </w:rPr>
        <w:t xml:space="preserve">) </w:t>
      </w:r>
      <w:r w:rsidR="00504410">
        <w:rPr>
          <w:rFonts w:ascii="Times New Roman" w:hAnsi="Times New Roman" w:cs="Times New Roman"/>
          <w:sz w:val="24"/>
          <w:szCs w:val="24"/>
        </w:rPr>
        <w:t xml:space="preserve">of (king’s name)’ </w:t>
      </w:r>
      <w:r w:rsidR="00A13DA6">
        <w:rPr>
          <w:rFonts w:ascii="Times New Roman" w:hAnsi="Times New Roman" w:cs="Times New Roman"/>
          <w:sz w:val="24"/>
          <w:szCs w:val="24"/>
        </w:rPr>
        <w:t>was established in the Old Babylonian period (c. 2000-1500 BCE).</w:t>
      </w:r>
      <w:r w:rsidR="009A5A07">
        <w:rPr>
          <w:rStyle w:val="FootnoteReference"/>
          <w:rFonts w:ascii="Times New Roman" w:hAnsi="Times New Roman" w:cs="Times New Roman"/>
          <w:sz w:val="24"/>
          <w:szCs w:val="24"/>
        </w:rPr>
        <w:footnoteReference w:id="11"/>
      </w:r>
      <w:r w:rsidR="00A13DA6">
        <w:rPr>
          <w:rFonts w:ascii="Times New Roman" w:hAnsi="Times New Roman" w:cs="Times New Roman"/>
          <w:sz w:val="24"/>
          <w:szCs w:val="24"/>
        </w:rPr>
        <w:t xml:space="preserve"> The cult of Enlil </w:t>
      </w:r>
      <w:r w:rsidR="005F5F8F">
        <w:rPr>
          <w:rFonts w:ascii="Times New Roman" w:hAnsi="Times New Roman" w:cs="Times New Roman"/>
          <w:sz w:val="24"/>
          <w:szCs w:val="24"/>
        </w:rPr>
        <w:t>and the pantheon of Nippur were</w:t>
      </w:r>
      <w:r w:rsidR="00A13DA6">
        <w:rPr>
          <w:rFonts w:ascii="Times New Roman" w:hAnsi="Times New Roman" w:cs="Times New Roman"/>
          <w:sz w:val="24"/>
          <w:szCs w:val="24"/>
        </w:rPr>
        <w:t xml:space="preserve"> rejuvenated under the Kassities, even with the then-</w:t>
      </w:r>
      <w:r w:rsidR="00031DF3">
        <w:rPr>
          <w:rFonts w:ascii="Times New Roman" w:hAnsi="Times New Roman" w:cs="Times New Roman"/>
          <w:sz w:val="24"/>
          <w:szCs w:val="24"/>
        </w:rPr>
        <w:t>widening prominence of Marduk.</w:t>
      </w:r>
      <w:r w:rsidR="009A256D">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t>
      </w:r>
      <w:r w:rsidR="00031DF3">
        <w:rPr>
          <w:rFonts w:ascii="Times New Roman" w:hAnsi="Times New Roman" w:cs="Times New Roman"/>
          <w:sz w:val="24"/>
          <w:szCs w:val="24"/>
        </w:rPr>
        <w:t xml:space="preserve">The Kassite </w:t>
      </w:r>
      <w:r w:rsidR="00031DF3">
        <w:rPr>
          <w:rFonts w:ascii="Times New Roman" w:hAnsi="Times New Roman" w:cs="Times New Roman"/>
          <w:sz w:val="24"/>
          <w:szCs w:val="24"/>
        </w:rPr>
        <w:lastRenderedPageBreak/>
        <w:t xml:space="preserve">dynasty was the longest </w:t>
      </w:r>
      <w:r w:rsidR="00966F00">
        <w:rPr>
          <w:rFonts w:ascii="Times New Roman" w:hAnsi="Times New Roman" w:cs="Times New Roman"/>
          <w:sz w:val="24"/>
          <w:szCs w:val="24"/>
        </w:rPr>
        <w:t>surviving</w:t>
      </w:r>
      <w:r w:rsidR="00031DF3">
        <w:rPr>
          <w:rFonts w:ascii="Times New Roman" w:hAnsi="Times New Roman" w:cs="Times New Roman"/>
          <w:sz w:val="24"/>
          <w:szCs w:val="24"/>
        </w:rPr>
        <w:t xml:space="preserve"> dynasty in Babylonian history </w:t>
      </w:r>
      <w:r w:rsidR="00966F00">
        <w:rPr>
          <w:rFonts w:ascii="Times New Roman" w:hAnsi="Times New Roman" w:cs="Times New Roman"/>
          <w:sz w:val="24"/>
          <w:szCs w:val="24"/>
        </w:rPr>
        <w:t xml:space="preserve">(c. 567 years) </w:t>
      </w:r>
      <w:r w:rsidR="00031DF3">
        <w:rPr>
          <w:rFonts w:ascii="Times New Roman" w:hAnsi="Times New Roman" w:cs="Times New Roman"/>
          <w:sz w:val="24"/>
          <w:szCs w:val="24"/>
        </w:rPr>
        <w:t>and reconstruction efforts were prevalent, but Dūr-Kurigalzu is the only known city</w:t>
      </w:r>
      <w:r w:rsidR="00966F00">
        <w:rPr>
          <w:rFonts w:ascii="Times New Roman" w:hAnsi="Times New Roman" w:cs="Times New Roman"/>
          <w:sz w:val="24"/>
          <w:szCs w:val="24"/>
        </w:rPr>
        <w:t xml:space="preserve"> in both the archaeological and textual record </w:t>
      </w:r>
      <w:r w:rsidR="00031DF3">
        <w:rPr>
          <w:rFonts w:ascii="Times New Roman" w:hAnsi="Times New Roman" w:cs="Times New Roman"/>
          <w:sz w:val="24"/>
          <w:szCs w:val="24"/>
        </w:rPr>
        <w:t>to be built</w:t>
      </w:r>
      <w:r w:rsidR="00966F00">
        <w:rPr>
          <w:rFonts w:ascii="Times New Roman" w:hAnsi="Times New Roman" w:cs="Times New Roman"/>
          <w:sz w:val="24"/>
          <w:szCs w:val="24"/>
        </w:rPr>
        <w:t xml:space="preserve"> during Kassite rule.</w:t>
      </w:r>
      <w:r w:rsidR="00B62EE5">
        <w:rPr>
          <w:rStyle w:val="FootnoteReference"/>
          <w:rFonts w:ascii="Times New Roman" w:hAnsi="Times New Roman" w:cs="Times New Roman"/>
          <w:sz w:val="24"/>
          <w:szCs w:val="24"/>
        </w:rPr>
        <w:footnoteReference w:id="13"/>
      </w:r>
      <w:r w:rsidR="00FD0B73">
        <w:rPr>
          <w:rFonts w:ascii="Times New Roman" w:hAnsi="Times New Roman" w:cs="Times New Roman"/>
          <w:sz w:val="24"/>
          <w:szCs w:val="24"/>
        </w:rPr>
        <w:t xml:space="preserve"> Estimates for the population at Dūr-Kurigalzu ranges from 20,000 to 100,000.</w:t>
      </w:r>
      <w:r w:rsidR="009A256D">
        <w:rPr>
          <w:rStyle w:val="FootnoteReference"/>
          <w:rFonts w:ascii="Times New Roman" w:hAnsi="Times New Roman" w:cs="Times New Roman"/>
          <w:sz w:val="24"/>
          <w:szCs w:val="24"/>
        </w:rPr>
        <w:footnoteReference w:id="14"/>
      </w:r>
      <w:r w:rsidR="005B414D">
        <w:rPr>
          <w:rFonts w:ascii="Times New Roman" w:hAnsi="Times New Roman" w:cs="Times New Roman"/>
          <w:sz w:val="24"/>
          <w:szCs w:val="24"/>
        </w:rPr>
        <w:t xml:space="preserve"> It was burned by the Elamites </w:t>
      </w:r>
      <w:r w:rsidR="009F2C00">
        <w:rPr>
          <w:rFonts w:ascii="Times New Roman" w:hAnsi="Times New Roman" w:cs="Times New Roman"/>
          <w:sz w:val="24"/>
          <w:szCs w:val="24"/>
        </w:rPr>
        <w:t>(</w:t>
      </w:r>
      <w:r w:rsidR="005B414D">
        <w:rPr>
          <w:rFonts w:ascii="Times New Roman" w:hAnsi="Times New Roman" w:cs="Times New Roman"/>
          <w:sz w:val="24"/>
          <w:szCs w:val="24"/>
        </w:rPr>
        <w:t>c. 1170</w:t>
      </w:r>
      <w:r w:rsidR="009F2C00">
        <w:rPr>
          <w:rFonts w:ascii="Times New Roman" w:hAnsi="Times New Roman" w:cs="Times New Roman"/>
          <w:sz w:val="24"/>
          <w:szCs w:val="24"/>
        </w:rPr>
        <w:t>)</w:t>
      </w:r>
      <w:r w:rsidR="005B414D">
        <w:rPr>
          <w:rFonts w:ascii="Times New Roman" w:hAnsi="Times New Roman" w:cs="Times New Roman"/>
          <w:sz w:val="24"/>
          <w:szCs w:val="24"/>
        </w:rPr>
        <w:t xml:space="preserve"> and la</w:t>
      </w:r>
      <w:r w:rsidR="00824569">
        <w:rPr>
          <w:rFonts w:ascii="Times New Roman" w:hAnsi="Times New Roman" w:cs="Times New Roman"/>
          <w:sz w:val="24"/>
          <w:szCs w:val="24"/>
        </w:rPr>
        <w:t xml:space="preserve">st </w:t>
      </w:r>
      <w:r w:rsidR="005B414D">
        <w:rPr>
          <w:rFonts w:ascii="Times New Roman" w:hAnsi="Times New Roman" w:cs="Times New Roman"/>
          <w:sz w:val="24"/>
          <w:szCs w:val="24"/>
        </w:rPr>
        <w:t xml:space="preserve">inhabited </w:t>
      </w:r>
      <w:r w:rsidR="009F2C00">
        <w:rPr>
          <w:rFonts w:ascii="Times New Roman" w:hAnsi="Times New Roman" w:cs="Times New Roman"/>
          <w:sz w:val="24"/>
          <w:szCs w:val="24"/>
        </w:rPr>
        <w:t>during the Neo-Babylonian period (c. 1000-600 BCE).</w:t>
      </w:r>
      <w:r w:rsidR="00F76D7C">
        <w:rPr>
          <w:rStyle w:val="FootnoteReference"/>
          <w:rFonts w:ascii="Times New Roman" w:hAnsi="Times New Roman" w:cs="Times New Roman"/>
          <w:sz w:val="24"/>
          <w:szCs w:val="24"/>
        </w:rPr>
        <w:footnoteReference w:id="15"/>
      </w:r>
      <w:r w:rsidR="009F2C00">
        <w:rPr>
          <w:rFonts w:ascii="Times New Roman" w:hAnsi="Times New Roman" w:cs="Times New Roman"/>
          <w:sz w:val="24"/>
          <w:szCs w:val="24"/>
        </w:rPr>
        <w:t xml:space="preserve"> There is archaeological evidence for </w:t>
      </w:r>
      <w:r w:rsidR="005F5F8F">
        <w:rPr>
          <w:rFonts w:ascii="Times New Roman" w:hAnsi="Times New Roman" w:cs="Times New Roman"/>
          <w:sz w:val="24"/>
          <w:szCs w:val="24"/>
        </w:rPr>
        <w:t>limited</w:t>
      </w:r>
      <w:r w:rsidR="009F2C00">
        <w:rPr>
          <w:rFonts w:ascii="Times New Roman" w:hAnsi="Times New Roman" w:cs="Times New Roman"/>
          <w:sz w:val="24"/>
          <w:szCs w:val="24"/>
        </w:rPr>
        <w:t xml:space="preserve"> </w:t>
      </w:r>
      <w:r w:rsidR="005F5F8F">
        <w:rPr>
          <w:rFonts w:ascii="Times New Roman" w:hAnsi="Times New Roman" w:cs="Times New Roman"/>
          <w:sz w:val="24"/>
          <w:szCs w:val="24"/>
        </w:rPr>
        <w:t>occupation</w:t>
      </w:r>
      <w:r w:rsidR="009F2C00">
        <w:rPr>
          <w:rFonts w:ascii="Times New Roman" w:hAnsi="Times New Roman" w:cs="Times New Roman"/>
          <w:sz w:val="24"/>
          <w:szCs w:val="24"/>
        </w:rPr>
        <w:t xml:space="preserve"> at the site in the following periods, but</w:t>
      </w:r>
      <w:r w:rsidR="005F5F8F">
        <w:rPr>
          <w:rFonts w:ascii="Times New Roman" w:hAnsi="Times New Roman" w:cs="Times New Roman"/>
          <w:sz w:val="24"/>
          <w:szCs w:val="24"/>
        </w:rPr>
        <w:t xml:space="preserve"> the name</w:t>
      </w:r>
      <w:r w:rsidR="009F2C00">
        <w:rPr>
          <w:rFonts w:ascii="Times New Roman" w:hAnsi="Times New Roman" w:cs="Times New Roman"/>
          <w:sz w:val="24"/>
          <w:szCs w:val="24"/>
        </w:rPr>
        <w:t xml:space="preserve"> </w:t>
      </w:r>
      <w:r w:rsidR="005F5F8F">
        <w:rPr>
          <w:rFonts w:ascii="Times New Roman" w:hAnsi="Times New Roman" w:cs="Times New Roman"/>
          <w:sz w:val="24"/>
          <w:szCs w:val="24"/>
        </w:rPr>
        <w:t xml:space="preserve">Dūr-Kurigalzu (during the Neo-Babylonian period, abbreviated to Dūr-Galzu) disappears from the archaeological record and the name </w:t>
      </w:r>
      <w:r w:rsidR="005F5F8F" w:rsidRPr="00B62EE5">
        <w:rPr>
          <w:rFonts w:ascii="Times New Roman" w:hAnsi="Times New Roman" w:cs="Times New Roman"/>
          <w:i/>
          <w:sz w:val="24"/>
          <w:szCs w:val="24"/>
        </w:rPr>
        <w:t>‘Aqar qūf</w:t>
      </w:r>
      <w:r w:rsidR="005F5F8F">
        <w:rPr>
          <w:rFonts w:ascii="Times New Roman" w:hAnsi="Times New Roman" w:cs="Times New Roman"/>
          <w:sz w:val="24"/>
          <w:szCs w:val="24"/>
        </w:rPr>
        <w:t xml:space="preserve"> </w:t>
      </w:r>
      <w:r w:rsidR="00824569">
        <w:rPr>
          <w:rFonts w:ascii="Times New Roman" w:hAnsi="Times New Roman" w:cs="Times New Roman"/>
          <w:sz w:val="24"/>
          <w:szCs w:val="24"/>
        </w:rPr>
        <w:t xml:space="preserve">first </w:t>
      </w:r>
      <w:r w:rsidR="005F5F8F">
        <w:rPr>
          <w:rFonts w:ascii="Times New Roman" w:hAnsi="Times New Roman" w:cs="Times New Roman"/>
          <w:sz w:val="24"/>
          <w:szCs w:val="24"/>
        </w:rPr>
        <w:t>appears</w:t>
      </w:r>
      <w:r w:rsidR="00824569">
        <w:rPr>
          <w:rFonts w:ascii="Times New Roman" w:hAnsi="Times New Roman" w:cs="Times New Roman"/>
          <w:sz w:val="24"/>
          <w:szCs w:val="24"/>
        </w:rPr>
        <w:t xml:space="preserve"> about 1000 CE during the Abbasid Caliphate (750-1258 CE).</w:t>
      </w:r>
      <w:r w:rsidR="009A256D">
        <w:rPr>
          <w:rStyle w:val="FootnoteReference"/>
          <w:rFonts w:ascii="Times New Roman" w:hAnsi="Times New Roman" w:cs="Times New Roman"/>
          <w:sz w:val="24"/>
          <w:szCs w:val="24"/>
        </w:rPr>
        <w:footnoteReference w:id="16"/>
      </w:r>
      <w:r w:rsidR="00C8324A" w:rsidRPr="00C8324A">
        <w:rPr>
          <w:rFonts w:ascii="Times New Roman" w:hAnsi="Times New Roman" w:cs="Times New Roman"/>
          <w:noProof/>
          <w:sz w:val="24"/>
          <w:szCs w:val="24"/>
        </w:rPr>
        <w:t xml:space="preserve"> </w:t>
      </w:r>
    </w:p>
    <w:p w:rsidR="003C412E" w:rsidRDefault="009A5A75"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31" type="#_x0000_t202" style="position:absolute;margin-left:17.25pt;margin-top:306.75pt;width:423pt;height:23.25pt;z-index:251666432;mso-width-relative:margin;mso-height-relative:margin" stroked="f">
            <v:textbox style="mso-next-textbox:#_x0000_s1031">
              <w:txbxContent>
                <w:p w:rsidR="0042465C" w:rsidRDefault="0042465C" w:rsidP="00B62EE5">
                  <w:pPr>
                    <w:jc w:val="center"/>
                  </w:pPr>
                  <w:r w:rsidRPr="004B2DBA">
                    <w:rPr>
                      <w:rFonts w:ascii="Times New Roman" w:hAnsi="Times New Roman" w:cs="Times New Roman"/>
                      <w:b/>
                      <w:color w:val="000000" w:themeColor="text1"/>
                      <w:sz w:val="18"/>
                      <w:szCs w:val="18"/>
                    </w:rPr>
                    <w:t>Figure</w:t>
                  </w:r>
                  <w:r>
                    <w:rPr>
                      <w:rFonts w:ascii="Times New Roman" w:hAnsi="Times New Roman" w:cs="Times New Roman"/>
                      <w:b/>
                      <w:color w:val="000000" w:themeColor="text1"/>
                      <w:sz w:val="18"/>
                      <w:szCs w:val="18"/>
                    </w:rPr>
                    <w:t xml:space="preserve"> 4</w:t>
                  </w:r>
                  <w:r w:rsidRPr="004B2DBA">
                    <w:rPr>
                      <w:rFonts w:ascii="Times New Roman" w:hAnsi="Times New Roman" w:cs="Times New Roman"/>
                      <w:b/>
                      <w:color w:val="000000" w:themeColor="text1"/>
                      <w:sz w:val="18"/>
                      <w:szCs w:val="18"/>
                    </w:rPr>
                    <w:t>.</w:t>
                  </w:r>
                  <w:r w:rsidRPr="004B2DBA">
                    <w:rPr>
                      <w:rFonts w:ascii="Times New Roman" w:hAnsi="Times New Roman" w:cs="Times New Roman"/>
                      <w:color w:val="000000" w:themeColor="text1"/>
                      <w:sz w:val="18"/>
                      <w:szCs w:val="18"/>
                    </w:rPr>
                    <w:t xml:space="preserve">  Map of </w:t>
                  </w:r>
                  <w:r>
                    <w:rPr>
                      <w:rFonts w:ascii="Times New Roman" w:hAnsi="Times New Roman" w:cs="Times New Roman"/>
                      <w:color w:val="000000" w:themeColor="text1"/>
                      <w:sz w:val="18"/>
                      <w:szCs w:val="18"/>
                    </w:rPr>
                    <w:t xml:space="preserve">the ziggurat and temple complex at </w:t>
                  </w:r>
                  <w:r w:rsidRPr="004B2DBA">
                    <w:rPr>
                      <w:rFonts w:ascii="Times New Roman" w:hAnsi="Times New Roman" w:cs="Times New Roman"/>
                      <w:sz w:val="18"/>
                      <w:szCs w:val="18"/>
                    </w:rPr>
                    <w:t xml:space="preserve">Dūr-Kurigalzu. </w:t>
                  </w:r>
                  <w:r>
                    <w:rPr>
                      <w:rFonts w:ascii="Times New Roman" w:hAnsi="Times New Roman" w:cs="Times New Roman"/>
                      <w:sz w:val="18"/>
                      <w:szCs w:val="18"/>
                    </w:rPr>
                    <w:t>Clayden</w:t>
                  </w:r>
                  <w:r w:rsidRPr="004B2DBA">
                    <w:rPr>
                      <w:rFonts w:ascii="Times New Roman" w:hAnsi="Times New Roman" w:cs="Times New Roman"/>
                      <w:sz w:val="18"/>
                      <w:szCs w:val="18"/>
                    </w:rPr>
                    <w:t xml:space="preserve"> (2017), p. 4</w:t>
                  </w:r>
                  <w:r>
                    <w:rPr>
                      <w:rFonts w:ascii="Times New Roman" w:hAnsi="Times New Roman" w:cs="Times New Roman"/>
                      <w:sz w:val="18"/>
                      <w:szCs w:val="18"/>
                    </w:rPr>
                    <w:t>55</w:t>
                  </w:r>
                  <w:r w:rsidRPr="004B2DBA">
                    <w:rPr>
                      <w:rFonts w:ascii="Times New Roman" w:hAnsi="Times New Roman" w:cs="Times New Roman"/>
                      <w:sz w:val="18"/>
                      <w:szCs w:val="18"/>
                    </w:rPr>
                    <w:t>.</w:t>
                  </w:r>
                </w:p>
              </w:txbxContent>
            </v:textbox>
            <w10:wrap type="square"/>
          </v:shape>
        </w:pict>
      </w:r>
      <w:r w:rsidR="00A25139">
        <w:rPr>
          <w:rFonts w:ascii="Times New Roman" w:hAnsi="Times New Roman" w:cs="Times New Roman"/>
          <w:noProof/>
          <w:sz w:val="24"/>
          <w:szCs w:val="24"/>
        </w:rPr>
        <w:drawing>
          <wp:anchor distT="0" distB="0" distL="114300" distR="114300" simplePos="0" relativeHeight="251695104" behindDoc="0" locked="0" layoutInCell="1" allowOverlap="1">
            <wp:simplePos x="0" y="0"/>
            <wp:positionH relativeFrom="column">
              <wp:posOffset>151765</wp:posOffset>
            </wp:positionH>
            <wp:positionV relativeFrom="paragraph">
              <wp:posOffset>57150</wp:posOffset>
            </wp:positionV>
            <wp:extent cx="5400675" cy="3825875"/>
            <wp:effectExtent l="19050" t="0" r="9525" b="0"/>
            <wp:wrapSquare wrapText="bothSides"/>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srcRect t="5041" r="1419" b="5041"/>
                    <a:stretch>
                      <a:fillRect/>
                    </a:stretch>
                  </pic:blipFill>
                  <pic:spPr bwMode="auto">
                    <a:xfrm>
                      <a:off x="0" y="0"/>
                      <a:ext cx="5400675" cy="3825875"/>
                    </a:xfrm>
                    <a:prstGeom prst="rect">
                      <a:avLst/>
                    </a:prstGeom>
                    <a:noFill/>
                    <a:ln w="9525">
                      <a:noFill/>
                      <a:miter lim="800000"/>
                      <a:headEnd/>
                      <a:tailEnd/>
                    </a:ln>
                  </pic:spPr>
                </pic:pic>
              </a:graphicData>
            </a:graphic>
          </wp:anchor>
        </w:drawing>
      </w:r>
      <w:r w:rsidR="001F5785">
        <w:rPr>
          <w:rFonts w:ascii="Times New Roman" w:hAnsi="Times New Roman" w:cs="Times New Roman"/>
          <w:sz w:val="24"/>
          <w:szCs w:val="24"/>
        </w:rPr>
        <w:tab/>
        <w:t xml:space="preserve">The </w:t>
      </w:r>
      <w:r w:rsidR="0074540A" w:rsidRPr="0074540A">
        <w:rPr>
          <w:rFonts w:ascii="Times New Roman" w:hAnsi="Times New Roman" w:cs="Times New Roman"/>
          <w:i/>
          <w:sz w:val="24"/>
          <w:szCs w:val="24"/>
        </w:rPr>
        <w:t>Eugal</w:t>
      </w:r>
      <w:r w:rsidR="0074540A">
        <w:rPr>
          <w:rFonts w:ascii="Times New Roman" w:hAnsi="Times New Roman" w:cs="Times New Roman"/>
          <w:sz w:val="24"/>
          <w:szCs w:val="24"/>
        </w:rPr>
        <w:t xml:space="preserve"> temple of Enlil in the </w:t>
      </w:r>
      <w:r w:rsidR="001F5785">
        <w:rPr>
          <w:rFonts w:ascii="Times New Roman" w:hAnsi="Times New Roman" w:cs="Times New Roman"/>
          <w:sz w:val="24"/>
          <w:szCs w:val="24"/>
        </w:rPr>
        <w:t>ziggurat at Dūr-Kurigalzu was called ‘</w:t>
      </w:r>
      <w:r w:rsidR="0074540A">
        <w:rPr>
          <w:rFonts w:ascii="Times New Roman" w:hAnsi="Times New Roman" w:cs="Times New Roman"/>
          <w:sz w:val="24"/>
          <w:szCs w:val="24"/>
        </w:rPr>
        <w:t xml:space="preserve">House of the </w:t>
      </w:r>
      <w:r w:rsidR="00B26ABB">
        <w:rPr>
          <w:rFonts w:ascii="Times New Roman" w:hAnsi="Times New Roman" w:cs="Times New Roman"/>
          <w:sz w:val="24"/>
          <w:szCs w:val="24"/>
        </w:rPr>
        <w:t>Great</w:t>
      </w:r>
      <w:r w:rsidR="0074540A">
        <w:rPr>
          <w:rFonts w:ascii="Times New Roman" w:hAnsi="Times New Roman" w:cs="Times New Roman"/>
          <w:sz w:val="24"/>
          <w:szCs w:val="24"/>
        </w:rPr>
        <w:t xml:space="preserve"> Lord’ (Sum. </w:t>
      </w:r>
      <w:r w:rsidR="0074540A" w:rsidRPr="00DF1B9A">
        <w:rPr>
          <w:rFonts w:ascii="Times New Roman" w:hAnsi="Times New Roman" w:cs="Times New Roman"/>
          <w:i/>
          <w:sz w:val="24"/>
          <w:szCs w:val="24"/>
        </w:rPr>
        <w:t>é.u.gal</w:t>
      </w:r>
      <w:r w:rsidR="0074540A">
        <w:rPr>
          <w:rFonts w:ascii="Times New Roman" w:hAnsi="Times New Roman" w:cs="Times New Roman"/>
          <w:sz w:val="24"/>
          <w:szCs w:val="24"/>
        </w:rPr>
        <w:t>)</w:t>
      </w:r>
      <w:r w:rsidR="001F5785">
        <w:rPr>
          <w:rFonts w:ascii="Times New Roman" w:hAnsi="Times New Roman" w:cs="Times New Roman"/>
          <w:sz w:val="24"/>
          <w:szCs w:val="24"/>
        </w:rPr>
        <w:t xml:space="preserve"> and the façade of the temple complex was likely lined with moulded mud-brick.</w:t>
      </w:r>
      <w:r w:rsidR="001F5785">
        <w:rPr>
          <w:rStyle w:val="FootnoteReference"/>
          <w:rFonts w:ascii="Times New Roman" w:hAnsi="Times New Roman" w:cs="Times New Roman"/>
          <w:sz w:val="24"/>
          <w:szCs w:val="24"/>
        </w:rPr>
        <w:footnoteReference w:id="17"/>
      </w:r>
      <w:r w:rsidR="001F5785">
        <w:rPr>
          <w:rFonts w:ascii="Times New Roman" w:hAnsi="Times New Roman" w:cs="Times New Roman"/>
          <w:sz w:val="24"/>
          <w:szCs w:val="24"/>
        </w:rPr>
        <w:t xml:space="preserve"> The approximately 69x69 m ziggurat </w:t>
      </w:r>
      <w:r w:rsidR="009A256D">
        <w:rPr>
          <w:rFonts w:ascii="Times New Roman" w:hAnsi="Times New Roman" w:cs="Times New Roman"/>
          <w:sz w:val="24"/>
          <w:szCs w:val="24"/>
        </w:rPr>
        <w:t xml:space="preserve">(Fig. </w:t>
      </w:r>
      <w:r w:rsidR="00BB2645">
        <w:rPr>
          <w:rFonts w:ascii="Times New Roman" w:hAnsi="Times New Roman" w:cs="Times New Roman"/>
          <w:sz w:val="24"/>
          <w:szCs w:val="24"/>
        </w:rPr>
        <w:t>4</w:t>
      </w:r>
      <w:r w:rsidR="009A256D">
        <w:rPr>
          <w:rFonts w:ascii="Times New Roman" w:hAnsi="Times New Roman" w:cs="Times New Roman"/>
          <w:sz w:val="24"/>
          <w:szCs w:val="24"/>
        </w:rPr>
        <w:t xml:space="preserve">) </w:t>
      </w:r>
      <w:r w:rsidR="001F5785">
        <w:rPr>
          <w:rFonts w:ascii="Times New Roman" w:hAnsi="Times New Roman" w:cs="Times New Roman"/>
          <w:sz w:val="24"/>
          <w:szCs w:val="24"/>
        </w:rPr>
        <w:t>was founded upon virgin soil, followed by a layer of red soil, and a layer of fine sand.</w:t>
      </w:r>
      <w:r w:rsidR="009A256D">
        <w:rPr>
          <w:rStyle w:val="FootnoteReference"/>
          <w:rFonts w:ascii="Times New Roman" w:hAnsi="Times New Roman" w:cs="Times New Roman"/>
          <w:sz w:val="24"/>
          <w:szCs w:val="24"/>
        </w:rPr>
        <w:footnoteReference w:id="18"/>
      </w:r>
      <w:r w:rsidR="001F5785">
        <w:rPr>
          <w:rFonts w:ascii="Times New Roman" w:hAnsi="Times New Roman" w:cs="Times New Roman"/>
          <w:sz w:val="24"/>
          <w:szCs w:val="24"/>
        </w:rPr>
        <w:t xml:space="preserve"> It had two to four tiers and was surrounded by a temenos wall with the main entrance to the south-east.</w:t>
      </w:r>
      <w:r w:rsidR="009A256D">
        <w:rPr>
          <w:rStyle w:val="FootnoteReference"/>
          <w:rFonts w:ascii="Times New Roman" w:hAnsi="Times New Roman" w:cs="Times New Roman"/>
          <w:sz w:val="24"/>
          <w:szCs w:val="24"/>
        </w:rPr>
        <w:footnoteReference w:id="19"/>
      </w:r>
      <w:r w:rsidR="001F5785">
        <w:rPr>
          <w:rFonts w:ascii="Times New Roman" w:hAnsi="Times New Roman" w:cs="Times New Roman"/>
          <w:sz w:val="24"/>
          <w:szCs w:val="24"/>
        </w:rPr>
        <w:t xml:space="preserve"> The reconstruction efforts by the </w:t>
      </w:r>
      <w:r w:rsidR="00B62EE5">
        <w:rPr>
          <w:rFonts w:ascii="Times New Roman" w:hAnsi="Times New Roman" w:cs="Times New Roman"/>
          <w:sz w:val="24"/>
          <w:szCs w:val="24"/>
        </w:rPr>
        <w:t>Iraqi government</w:t>
      </w:r>
      <w:r w:rsidR="001F5785">
        <w:rPr>
          <w:rFonts w:ascii="Times New Roman" w:hAnsi="Times New Roman" w:cs="Times New Roman"/>
          <w:sz w:val="24"/>
          <w:szCs w:val="24"/>
        </w:rPr>
        <w:t xml:space="preserve"> beginning in </w:t>
      </w:r>
      <w:r w:rsidR="00B62EE5">
        <w:rPr>
          <w:rFonts w:ascii="Times New Roman" w:hAnsi="Times New Roman" w:cs="Times New Roman"/>
          <w:sz w:val="24"/>
          <w:szCs w:val="24"/>
        </w:rPr>
        <w:t>the 1960s</w:t>
      </w:r>
      <w:r w:rsidR="001F5785">
        <w:rPr>
          <w:rFonts w:ascii="Times New Roman" w:hAnsi="Times New Roman" w:cs="Times New Roman"/>
          <w:sz w:val="24"/>
          <w:szCs w:val="24"/>
        </w:rPr>
        <w:t xml:space="preserve"> constructed a </w:t>
      </w:r>
      <w:r w:rsidR="00BB2645">
        <w:rPr>
          <w:rFonts w:ascii="Times New Roman" w:hAnsi="Times New Roman" w:cs="Times New Roman"/>
          <w:sz w:val="24"/>
          <w:szCs w:val="24"/>
        </w:rPr>
        <w:t>54 m</w:t>
      </w:r>
      <w:r w:rsidR="001F5785">
        <w:rPr>
          <w:rFonts w:ascii="Times New Roman" w:hAnsi="Times New Roman" w:cs="Times New Roman"/>
          <w:sz w:val="24"/>
          <w:szCs w:val="24"/>
        </w:rPr>
        <w:t xml:space="preserve"> long axial staircase, but excavators claim that the axial staircase was flanked by two others on each side similar to the ziggurat at Ur.</w:t>
      </w:r>
      <w:r w:rsidR="001F5785">
        <w:rPr>
          <w:rStyle w:val="FootnoteReference"/>
          <w:rFonts w:ascii="Times New Roman" w:hAnsi="Times New Roman" w:cs="Times New Roman"/>
          <w:sz w:val="24"/>
          <w:szCs w:val="24"/>
        </w:rPr>
        <w:footnoteReference w:id="20"/>
      </w:r>
      <w:r w:rsidR="001F5785">
        <w:rPr>
          <w:rFonts w:ascii="Times New Roman" w:hAnsi="Times New Roman" w:cs="Times New Roman"/>
          <w:sz w:val="24"/>
          <w:szCs w:val="24"/>
        </w:rPr>
        <w:t xml:space="preserve"> The four corners of the ziggurat at Dūr-Kurigalzu </w:t>
      </w:r>
      <w:r w:rsidR="001F5785">
        <w:rPr>
          <w:rFonts w:ascii="Times New Roman" w:hAnsi="Times New Roman" w:cs="Times New Roman"/>
          <w:sz w:val="24"/>
          <w:szCs w:val="24"/>
        </w:rPr>
        <w:lastRenderedPageBreak/>
        <w:t>are very closely aligned with the cardinal directions. Constructed from layers of mud-brick and reed m</w:t>
      </w:r>
      <w:r w:rsidR="004D27CD">
        <w:rPr>
          <w:rFonts w:ascii="Times New Roman" w:hAnsi="Times New Roman" w:cs="Times New Roman"/>
          <w:sz w:val="24"/>
          <w:szCs w:val="24"/>
        </w:rPr>
        <w:t>ats</w:t>
      </w:r>
      <w:r w:rsidR="001F5785">
        <w:rPr>
          <w:rFonts w:ascii="Times New Roman" w:hAnsi="Times New Roman" w:cs="Times New Roman"/>
          <w:sz w:val="24"/>
          <w:szCs w:val="24"/>
        </w:rPr>
        <w:t>, the height of the ziggurat is currently about 45 m and it is estimated that the maximum height would have been 69 m.</w:t>
      </w:r>
      <w:r w:rsidR="009A256D">
        <w:rPr>
          <w:rStyle w:val="FootnoteReference"/>
          <w:rFonts w:ascii="Times New Roman" w:hAnsi="Times New Roman" w:cs="Times New Roman"/>
          <w:sz w:val="24"/>
          <w:szCs w:val="24"/>
        </w:rPr>
        <w:footnoteReference w:id="21"/>
      </w:r>
      <w:r w:rsidR="001F5785">
        <w:rPr>
          <w:rFonts w:ascii="Times New Roman" w:hAnsi="Times New Roman" w:cs="Times New Roman"/>
          <w:sz w:val="24"/>
          <w:szCs w:val="24"/>
        </w:rPr>
        <w:t xml:space="preserve"> Within the complex</w:t>
      </w:r>
      <w:r w:rsidR="00A045DF">
        <w:rPr>
          <w:rFonts w:ascii="Times New Roman" w:hAnsi="Times New Roman" w:cs="Times New Roman"/>
          <w:sz w:val="24"/>
          <w:szCs w:val="24"/>
        </w:rPr>
        <w:t>,</w:t>
      </w:r>
      <w:r w:rsidR="001F5785">
        <w:rPr>
          <w:rFonts w:ascii="Times New Roman" w:hAnsi="Times New Roman" w:cs="Times New Roman"/>
          <w:sz w:val="24"/>
          <w:szCs w:val="24"/>
        </w:rPr>
        <w:t xml:space="preserve"> </w:t>
      </w:r>
      <w:r w:rsidR="00A045DF">
        <w:rPr>
          <w:rFonts w:ascii="Times New Roman" w:hAnsi="Times New Roman" w:cs="Times New Roman"/>
          <w:sz w:val="24"/>
          <w:szCs w:val="24"/>
        </w:rPr>
        <w:t xml:space="preserve">there </w:t>
      </w:r>
      <w:r w:rsidR="001F5785">
        <w:rPr>
          <w:rFonts w:ascii="Times New Roman" w:hAnsi="Times New Roman" w:cs="Times New Roman"/>
          <w:sz w:val="24"/>
          <w:szCs w:val="24"/>
        </w:rPr>
        <w:t xml:space="preserve">are three divisions </w:t>
      </w:r>
      <w:r w:rsidR="0074540A">
        <w:rPr>
          <w:rFonts w:ascii="Times New Roman" w:hAnsi="Times New Roman" w:cs="Times New Roman"/>
          <w:sz w:val="24"/>
          <w:szCs w:val="24"/>
        </w:rPr>
        <w:t>devoted</w:t>
      </w:r>
      <w:r w:rsidR="001F5785">
        <w:rPr>
          <w:rFonts w:ascii="Times New Roman" w:hAnsi="Times New Roman" w:cs="Times New Roman"/>
          <w:sz w:val="24"/>
          <w:szCs w:val="24"/>
        </w:rPr>
        <w:t xml:space="preserve"> to Enlil</w:t>
      </w:r>
      <w:r w:rsidR="00DF1B9A">
        <w:rPr>
          <w:rFonts w:ascii="Times New Roman" w:hAnsi="Times New Roman" w:cs="Times New Roman"/>
          <w:sz w:val="24"/>
          <w:szCs w:val="24"/>
        </w:rPr>
        <w:t>,</w:t>
      </w:r>
      <w:r w:rsidR="001F5785">
        <w:rPr>
          <w:rFonts w:ascii="Times New Roman" w:hAnsi="Times New Roman" w:cs="Times New Roman"/>
          <w:sz w:val="24"/>
          <w:szCs w:val="24"/>
        </w:rPr>
        <w:t xml:space="preserve"> Ninlil, and Ninurta</w:t>
      </w:r>
      <w:r w:rsidR="00B453F1">
        <w:rPr>
          <w:rFonts w:ascii="Times New Roman" w:hAnsi="Times New Roman" w:cs="Times New Roman"/>
          <w:sz w:val="24"/>
          <w:szCs w:val="24"/>
        </w:rPr>
        <w:t>.</w:t>
      </w:r>
      <w:r w:rsidR="00F952A3">
        <w:rPr>
          <w:rStyle w:val="FootnoteReference"/>
          <w:rFonts w:ascii="Times New Roman" w:hAnsi="Times New Roman" w:cs="Times New Roman"/>
          <w:sz w:val="24"/>
          <w:szCs w:val="24"/>
        </w:rPr>
        <w:footnoteReference w:id="22"/>
      </w:r>
      <w:r w:rsidR="001F5785">
        <w:rPr>
          <w:rFonts w:ascii="Times New Roman" w:hAnsi="Times New Roman" w:cs="Times New Roman"/>
          <w:sz w:val="24"/>
          <w:szCs w:val="24"/>
        </w:rPr>
        <w:t xml:space="preserve"> Enlil was exalted above the other deities within the complex and the </w:t>
      </w:r>
      <w:r w:rsidR="0074540A" w:rsidRPr="0074540A">
        <w:rPr>
          <w:rFonts w:ascii="Times New Roman" w:hAnsi="Times New Roman" w:cs="Times New Roman"/>
          <w:i/>
          <w:sz w:val="24"/>
          <w:szCs w:val="24"/>
        </w:rPr>
        <w:t>Eugal</w:t>
      </w:r>
      <w:r w:rsidR="001F5785">
        <w:rPr>
          <w:rFonts w:ascii="Times New Roman" w:hAnsi="Times New Roman" w:cs="Times New Roman"/>
          <w:sz w:val="24"/>
          <w:szCs w:val="24"/>
        </w:rPr>
        <w:t xml:space="preserve"> could refer to the entire temple complex. Unique to the ziggurat at Dūr-Kurigalzu, near the base of the axial staircase was platform constructed from solid brick.</w:t>
      </w:r>
      <w:r w:rsidR="009A256D">
        <w:rPr>
          <w:rStyle w:val="FootnoteReference"/>
          <w:rFonts w:ascii="Times New Roman" w:hAnsi="Times New Roman" w:cs="Times New Roman"/>
          <w:sz w:val="24"/>
          <w:szCs w:val="24"/>
        </w:rPr>
        <w:footnoteReference w:id="23"/>
      </w:r>
      <w:r w:rsidR="001F5785">
        <w:rPr>
          <w:rFonts w:ascii="Times New Roman" w:hAnsi="Times New Roman" w:cs="Times New Roman"/>
          <w:sz w:val="24"/>
          <w:szCs w:val="24"/>
        </w:rPr>
        <w:t xml:space="preserve"> The use of the platform is unknown and it is almost encompassed by courtyards, temples, palaces, and houses.</w:t>
      </w:r>
    </w:p>
    <w:p w:rsidR="00DD23E0" w:rsidRDefault="008C62F9" w:rsidP="00407527">
      <w:pPr>
        <w:pStyle w:val="Default"/>
        <w:rPr>
          <w:rFonts w:ascii="Times New Roman" w:hAnsi="Times New Roman" w:cs="Times New Roman"/>
        </w:rPr>
      </w:pPr>
      <w:r>
        <w:rPr>
          <w:rFonts w:ascii="Times New Roman" w:hAnsi="Times New Roman" w:cs="Times New Roman"/>
        </w:rPr>
        <w:tab/>
      </w:r>
      <w:r w:rsidR="001F5785">
        <w:rPr>
          <w:rFonts w:ascii="Times New Roman" w:hAnsi="Times New Roman" w:cs="Times New Roman"/>
        </w:rPr>
        <w:t xml:space="preserve">The practice of Babylonian astrology and astronomy is attested in texts recording observations in </w:t>
      </w:r>
      <w:r w:rsidR="00B06497">
        <w:rPr>
          <w:rFonts w:ascii="Times New Roman" w:hAnsi="Times New Roman" w:cs="Times New Roman"/>
        </w:rPr>
        <w:t>the second millennium BCE</w:t>
      </w:r>
      <w:r w:rsidR="001F5785">
        <w:rPr>
          <w:rFonts w:ascii="Times New Roman" w:hAnsi="Times New Roman" w:cs="Times New Roman"/>
        </w:rPr>
        <w:t>.</w:t>
      </w:r>
      <w:r w:rsidR="00B06497">
        <w:rPr>
          <w:rStyle w:val="FootnoteReference"/>
          <w:rFonts w:ascii="Times New Roman" w:hAnsi="Times New Roman" w:cs="Times New Roman"/>
        </w:rPr>
        <w:footnoteReference w:id="24"/>
      </w:r>
      <w:r w:rsidR="001F5785">
        <w:rPr>
          <w:rFonts w:ascii="Times New Roman" w:hAnsi="Times New Roman" w:cs="Times New Roman"/>
        </w:rPr>
        <w:t xml:space="preserve"> This </w:t>
      </w:r>
      <w:r w:rsidR="00407527">
        <w:rPr>
          <w:rFonts w:ascii="Times New Roman" w:hAnsi="Times New Roman" w:cs="Times New Roman"/>
        </w:rPr>
        <w:t>celestial</w:t>
      </w:r>
      <w:r w:rsidR="001F5785">
        <w:rPr>
          <w:rFonts w:ascii="Times New Roman" w:hAnsi="Times New Roman" w:cs="Times New Roman"/>
        </w:rPr>
        <w:t xml:space="preserve"> knowledge has </w:t>
      </w:r>
      <w:r w:rsidR="000B209D">
        <w:rPr>
          <w:rFonts w:ascii="Times New Roman" w:hAnsi="Times New Roman" w:cs="Times New Roman"/>
        </w:rPr>
        <w:t>led s</w:t>
      </w:r>
      <w:r w:rsidR="00B06497">
        <w:rPr>
          <w:rFonts w:ascii="Times New Roman" w:hAnsi="Times New Roman" w:cs="Times New Roman"/>
        </w:rPr>
        <w:t>cholars</w:t>
      </w:r>
      <w:r w:rsidR="000B209D">
        <w:rPr>
          <w:rFonts w:ascii="Times New Roman" w:hAnsi="Times New Roman" w:cs="Times New Roman"/>
        </w:rPr>
        <w:t xml:space="preserve"> to suggest possible celestial alignments </w:t>
      </w:r>
      <w:r w:rsidR="00407527">
        <w:rPr>
          <w:rFonts w:ascii="Times New Roman" w:hAnsi="Times New Roman" w:cs="Times New Roman"/>
        </w:rPr>
        <w:t xml:space="preserve">and orientations </w:t>
      </w:r>
      <w:r w:rsidR="000B209D">
        <w:rPr>
          <w:rFonts w:ascii="Times New Roman" w:hAnsi="Times New Roman" w:cs="Times New Roman"/>
        </w:rPr>
        <w:t>for some ziggurats.</w:t>
      </w:r>
      <w:r w:rsidR="00A16AA7">
        <w:rPr>
          <w:rFonts w:ascii="Times New Roman" w:hAnsi="Times New Roman" w:cs="Times New Roman"/>
        </w:rPr>
        <w:t xml:space="preserve"> </w:t>
      </w:r>
      <w:r w:rsidR="00A16AA7" w:rsidRPr="00A16AA7">
        <w:rPr>
          <w:rFonts w:ascii="Times New Roman" w:hAnsi="Times New Roman" w:cs="Times New Roman"/>
        </w:rPr>
        <w:t>Amelia Carolina Sparavigna</w:t>
      </w:r>
      <w:r w:rsidR="00A16AA7">
        <w:rPr>
          <w:rFonts w:ascii="Times New Roman" w:hAnsi="Times New Roman" w:cs="Times New Roman"/>
        </w:rPr>
        <w:t xml:space="preserve"> employed Google Earth imagery, Ephemeris software, and </w:t>
      </w:r>
      <w:r w:rsidR="001B35BD">
        <w:rPr>
          <w:rFonts w:ascii="Times New Roman" w:hAnsi="Times New Roman" w:cs="Times New Roman"/>
        </w:rPr>
        <w:t xml:space="preserve">a discussion concerning Babylonian astrology-astronomy to suggest an </w:t>
      </w:r>
      <w:r w:rsidR="00CF48D0">
        <w:rPr>
          <w:rFonts w:ascii="Times New Roman" w:hAnsi="Times New Roman" w:cs="Times New Roman"/>
        </w:rPr>
        <w:t xml:space="preserve">alignment towards a major lunar standstill for the ziggurat </w:t>
      </w:r>
      <w:r w:rsidR="00796FD2">
        <w:rPr>
          <w:rFonts w:ascii="Times New Roman" w:hAnsi="Times New Roman" w:cs="Times New Roman"/>
        </w:rPr>
        <w:t xml:space="preserve">dedicated to the moon-god (Sum. </w:t>
      </w:r>
      <w:r w:rsidR="00796FD2" w:rsidRPr="00A5439F">
        <w:rPr>
          <w:rFonts w:ascii="Times New Roman" w:hAnsi="Times New Roman" w:cs="Times New Roman"/>
          <w:i/>
        </w:rPr>
        <w:t>Nanna</w:t>
      </w:r>
      <w:r w:rsidR="00796FD2">
        <w:rPr>
          <w:rFonts w:ascii="Times New Roman" w:hAnsi="Times New Roman" w:cs="Times New Roman"/>
        </w:rPr>
        <w:t xml:space="preserve">, Akk. </w:t>
      </w:r>
      <w:r w:rsidR="00796FD2" w:rsidRPr="00A5439F">
        <w:rPr>
          <w:rFonts w:ascii="Times New Roman" w:hAnsi="Times New Roman" w:cs="Times New Roman"/>
          <w:i/>
        </w:rPr>
        <w:t>Sîn</w:t>
      </w:r>
      <w:r w:rsidR="00796FD2">
        <w:rPr>
          <w:rFonts w:ascii="Times New Roman" w:hAnsi="Times New Roman" w:cs="Times New Roman"/>
        </w:rPr>
        <w:t xml:space="preserve">) </w:t>
      </w:r>
      <w:r w:rsidR="00CF48D0">
        <w:rPr>
          <w:rFonts w:ascii="Times New Roman" w:hAnsi="Times New Roman" w:cs="Times New Roman"/>
        </w:rPr>
        <w:t xml:space="preserve">at Ur, as well as demonstrate that </w:t>
      </w:r>
      <w:r w:rsidR="00717A1F">
        <w:rPr>
          <w:rFonts w:ascii="Times New Roman" w:hAnsi="Times New Roman" w:cs="Times New Roman"/>
        </w:rPr>
        <w:t>both the ziggurat at Ur and the ziggurat</w:t>
      </w:r>
      <w:r w:rsidR="00CF48D0">
        <w:rPr>
          <w:rFonts w:ascii="Times New Roman" w:hAnsi="Times New Roman" w:cs="Times New Roman"/>
        </w:rPr>
        <w:t xml:space="preserve"> at Dūr-Untash </w:t>
      </w:r>
      <w:r w:rsidR="00717A1F">
        <w:rPr>
          <w:rFonts w:ascii="Times New Roman" w:hAnsi="Times New Roman" w:cs="Times New Roman"/>
        </w:rPr>
        <w:t>in Elam are</w:t>
      </w:r>
      <w:r w:rsidR="00CF48D0">
        <w:rPr>
          <w:rFonts w:ascii="Times New Roman" w:hAnsi="Times New Roman" w:cs="Times New Roman"/>
        </w:rPr>
        <w:t xml:space="preserve"> aligned to the cardinal directions.</w:t>
      </w:r>
      <w:r w:rsidR="009A256D">
        <w:rPr>
          <w:rStyle w:val="FootnoteReference"/>
          <w:rFonts w:ascii="Times New Roman" w:hAnsi="Times New Roman" w:cs="Times New Roman"/>
        </w:rPr>
        <w:footnoteReference w:id="25"/>
      </w:r>
      <w:r w:rsidR="00407527">
        <w:rPr>
          <w:rFonts w:ascii="Times New Roman" w:hAnsi="Times New Roman" w:cs="Times New Roman"/>
        </w:rPr>
        <w:t xml:space="preserve"> Along with a historical discussion concerning ziggurats, Davide Nadali and Andrea Polcaro employed fieldwork, topographical maps, and </w:t>
      </w:r>
      <w:r w:rsidR="00134062">
        <w:rPr>
          <w:rFonts w:ascii="Times New Roman" w:hAnsi="Times New Roman" w:cs="Times New Roman"/>
        </w:rPr>
        <w:t xml:space="preserve">Google Earth </w:t>
      </w:r>
      <w:r w:rsidR="00407527">
        <w:rPr>
          <w:rFonts w:ascii="Times New Roman" w:hAnsi="Times New Roman" w:cs="Times New Roman"/>
        </w:rPr>
        <w:t>imagery to also suggest a major lunar standstill alignment for</w:t>
      </w:r>
      <w:r w:rsidR="00134062">
        <w:rPr>
          <w:rFonts w:ascii="Times New Roman" w:hAnsi="Times New Roman" w:cs="Times New Roman"/>
        </w:rPr>
        <w:t xml:space="preserve"> the ziggurat at Ur, as well as </w:t>
      </w:r>
      <w:r w:rsidR="00C84BE0">
        <w:rPr>
          <w:rFonts w:ascii="Times New Roman" w:hAnsi="Times New Roman" w:cs="Times New Roman"/>
        </w:rPr>
        <w:t xml:space="preserve">suggesting </w:t>
      </w:r>
      <w:r w:rsidR="00134062">
        <w:rPr>
          <w:rFonts w:ascii="Times New Roman" w:hAnsi="Times New Roman" w:cs="Times New Roman"/>
        </w:rPr>
        <w:t xml:space="preserve">a solar orientation for the </w:t>
      </w:r>
      <w:r w:rsidR="00A5439F" w:rsidRPr="00A5439F">
        <w:rPr>
          <w:rFonts w:ascii="Times New Roman" w:hAnsi="Times New Roman" w:cs="Times New Roman"/>
          <w:i/>
        </w:rPr>
        <w:t>Ebabbar</w:t>
      </w:r>
      <w:r w:rsidR="00A5439F">
        <w:rPr>
          <w:rFonts w:ascii="Times New Roman" w:hAnsi="Times New Roman" w:cs="Times New Roman"/>
        </w:rPr>
        <w:t xml:space="preserve"> </w:t>
      </w:r>
      <w:r w:rsidR="00134062">
        <w:rPr>
          <w:rFonts w:ascii="Times New Roman" w:hAnsi="Times New Roman" w:cs="Times New Roman"/>
        </w:rPr>
        <w:t xml:space="preserve">ziggurat dedicated to the sun-god (Sum. </w:t>
      </w:r>
      <w:r w:rsidR="00134062" w:rsidRPr="00A5439F">
        <w:rPr>
          <w:rFonts w:ascii="Times New Roman" w:hAnsi="Times New Roman" w:cs="Times New Roman"/>
          <w:i/>
        </w:rPr>
        <w:t>Utu</w:t>
      </w:r>
      <w:r w:rsidR="00134062">
        <w:rPr>
          <w:rFonts w:ascii="Times New Roman" w:hAnsi="Times New Roman" w:cs="Times New Roman"/>
        </w:rPr>
        <w:t xml:space="preserve">, Akk. </w:t>
      </w:r>
      <w:r w:rsidR="00134062" w:rsidRPr="00A5439F">
        <w:rPr>
          <w:rFonts w:ascii="Times New Roman" w:hAnsi="Times New Roman" w:cs="Times New Roman"/>
          <w:i/>
        </w:rPr>
        <w:t>Šamaš</w:t>
      </w:r>
      <w:r w:rsidR="00134062">
        <w:rPr>
          <w:rFonts w:ascii="Times New Roman" w:hAnsi="Times New Roman" w:cs="Times New Roman"/>
        </w:rPr>
        <w:t>) at Larsa orientated towards the Summer Solstice.</w:t>
      </w:r>
      <w:r w:rsidR="009A256D">
        <w:rPr>
          <w:rStyle w:val="FootnoteReference"/>
          <w:rFonts w:ascii="Times New Roman" w:hAnsi="Times New Roman" w:cs="Times New Roman"/>
        </w:rPr>
        <w:footnoteReference w:id="26"/>
      </w:r>
      <w:r w:rsidR="008E4FE7">
        <w:rPr>
          <w:rFonts w:ascii="Times New Roman" w:hAnsi="Times New Roman" w:cs="Times New Roman"/>
        </w:rPr>
        <w:t xml:space="preserve"> </w:t>
      </w:r>
    </w:p>
    <w:p w:rsidR="00B06497" w:rsidRDefault="00DD23E0" w:rsidP="00407527">
      <w:pPr>
        <w:pStyle w:val="Default"/>
        <w:rPr>
          <w:rFonts w:ascii="Times New Roman" w:hAnsi="Times New Roman" w:cs="Times New Roman"/>
        </w:rPr>
      </w:pPr>
      <w:r>
        <w:rPr>
          <w:rFonts w:ascii="Times New Roman" w:hAnsi="Times New Roman" w:cs="Times New Roman"/>
        </w:rPr>
        <w:tab/>
      </w:r>
      <w:r w:rsidR="005924DE">
        <w:rPr>
          <w:rFonts w:ascii="Times New Roman" w:hAnsi="Times New Roman" w:cs="Times New Roman"/>
        </w:rPr>
        <w:t>A</w:t>
      </w:r>
      <w:r w:rsidR="00C84BE0">
        <w:rPr>
          <w:rFonts w:ascii="Times New Roman" w:hAnsi="Times New Roman" w:cs="Times New Roman"/>
        </w:rPr>
        <w:t xml:space="preserve"> survey and analysis of possible celestial orientations concerning ziggurats was conducted by Vance Tiede</w:t>
      </w:r>
      <w:r w:rsidR="005E4D21">
        <w:rPr>
          <w:rFonts w:ascii="Times New Roman" w:hAnsi="Times New Roman" w:cs="Times New Roman"/>
        </w:rPr>
        <w:t xml:space="preserve">, who employed a discussion on Mesopotamian astrology-astronomy, site plans, Google Earth, and Starrynight Pro Plus 6 in order to suggest </w:t>
      </w:r>
      <w:r w:rsidR="002C7A62">
        <w:rPr>
          <w:rFonts w:ascii="Times New Roman" w:hAnsi="Times New Roman" w:cs="Times New Roman"/>
        </w:rPr>
        <w:t>several orientations from various positions located on a sample of four ziggurats</w:t>
      </w:r>
      <w:r w:rsidR="00571A7A">
        <w:rPr>
          <w:rFonts w:ascii="Times New Roman" w:hAnsi="Times New Roman" w:cs="Times New Roman"/>
        </w:rPr>
        <w:t xml:space="preserve"> and one temple</w:t>
      </w:r>
      <w:r w:rsidR="002C7A62">
        <w:rPr>
          <w:rFonts w:ascii="Times New Roman" w:hAnsi="Times New Roman" w:cs="Times New Roman"/>
        </w:rPr>
        <w:t xml:space="preserve">. Tiede suggested </w:t>
      </w:r>
      <w:r w:rsidR="00FE5AB0">
        <w:rPr>
          <w:rFonts w:ascii="Times New Roman" w:hAnsi="Times New Roman" w:cs="Times New Roman"/>
        </w:rPr>
        <w:t>orientations towards</w:t>
      </w:r>
      <w:r w:rsidR="002C7A62">
        <w:rPr>
          <w:rFonts w:ascii="Times New Roman" w:hAnsi="Times New Roman" w:cs="Times New Roman"/>
        </w:rPr>
        <w:t xml:space="preserve"> midwinter major lunar standstill </w:t>
      </w:r>
      <w:r w:rsidR="00ED1794">
        <w:rPr>
          <w:rFonts w:ascii="Times New Roman" w:hAnsi="Times New Roman" w:cs="Times New Roman"/>
        </w:rPr>
        <w:t>rise, midwinter minor lunar standstill, and mid</w:t>
      </w:r>
      <w:r w:rsidR="00FE5AB0">
        <w:rPr>
          <w:rFonts w:ascii="Times New Roman" w:hAnsi="Times New Roman" w:cs="Times New Roman"/>
        </w:rPr>
        <w:t xml:space="preserve">winter major lunar standstill zenith passage </w:t>
      </w:r>
      <w:r w:rsidR="00ED1794">
        <w:rPr>
          <w:rFonts w:ascii="Times New Roman" w:hAnsi="Times New Roman" w:cs="Times New Roman"/>
        </w:rPr>
        <w:t>for the ziggurat at Ur</w:t>
      </w:r>
      <w:r w:rsidR="00FE5AB0">
        <w:rPr>
          <w:rFonts w:ascii="Times New Roman" w:hAnsi="Times New Roman" w:cs="Times New Roman"/>
        </w:rPr>
        <w:t>.</w:t>
      </w:r>
      <w:r w:rsidR="00ED1794">
        <w:rPr>
          <w:rFonts w:ascii="Times New Roman" w:hAnsi="Times New Roman" w:cs="Times New Roman"/>
        </w:rPr>
        <w:t xml:space="preserve"> </w:t>
      </w:r>
      <w:r w:rsidR="00FE5AB0">
        <w:rPr>
          <w:rFonts w:ascii="Times New Roman" w:hAnsi="Times New Roman" w:cs="Times New Roman"/>
        </w:rPr>
        <w:t>He also suggested</w:t>
      </w:r>
      <w:r w:rsidR="00ED1794">
        <w:rPr>
          <w:rFonts w:ascii="Times New Roman" w:hAnsi="Times New Roman" w:cs="Times New Roman"/>
        </w:rPr>
        <w:t xml:space="preserve"> </w:t>
      </w:r>
      <w:r w:rsidR="00571A7A">
        <w:rPr>
          <w:rFonts w:ascii="Times New Roman" w:hAnsi="Times New Roman" w:cs="Times New Roman"/>
        </w:rPr>
        <w:t>orientation</w:t>
      </w:r>
      <w:r w:rsidR="00ED1794">
        <w:rPr>
          <w:rFonts w:ascii="Times New Roman" w:hAnsi="Times New Roman" w:cs="Times New Roman"/>
        </w:rPr>
        <w:t>s</w:t>
      </w:r>
      <w:r w:rsidR="00571A7A">
        <w:rPr>
          <w:rFonts w:ascii="Times New Roman" w:hAnsi="Times New Roman" w:cs="Times New Roman"/>
        </w:rPr>
        <w:t xml:space="preserve"> towards both the Summer Solstice sunrise tangent on horizon and Winter Solstice sunset tangent on horizon </w:t>
      </w:r>
      <w:r w:rsidR="00ED1794">
        <w:rPr>
          <w:rFonts w:ascii="Times New Roman" w:hAnsi="Times New Roman" w:cs="Times New Roman"/>
        </w:rPr>
        <w:t>for the ziggurat at As</w:t>
      </w:r>
      <w:r w:rsidR="00F2210C">
        <w:rPr>
          <w:rFonts w:ascii="Times New Roman" w:hAnsi="Times New Roman" w:cs="Times New Roman"/>
        </w:rPr>
        <w:t>s</w:t>
      </w:r>
      <w:r w:rsidR="00ED1794">
        <w:rPr>
          <w:rFonts w:ascii="Times New Roman" w:hAnsi="Times New Roman" w:cs="Times New Roman"/>
        </w:rPr>
        <w:t>ur.</w:t>
      </w:r>
      <w:r w:rsidR="00571A7A">
        <w:rPr>
          <w:rFonts w:ascii="Times New Roman" w:hAnsi="Times New Roman" w:cs="Times New Roman"/>
        </w:rPr>
        <w:t xml:space="preserve"> </w:t>
      </w:r>
      <w:r w:rsidR="00ED1794">
        <w:rPr>
          <w:rFonts w:ascii="Times New Roman" w:hAnsi="Times New Roman" w:cs="Times New Roman"/>
        </w:rPr>
        <w:t xml:space="preserve">Tiede suggested </w:t>
      </w:r>
      <w:r w:rsidR="00571A7A">
        <w:rPr>
          <w:rFonts w:ascii="Times New Roman" w:hAnsi="Times New Roman" w:cs="Times New Roman"/>
        </w:rPr>
        <w:t xml:space="preserve">an orientation towards both the </w:t>
      </w:r>
      <w:r w:rsidR="000D2655">
        <w:rPr>
          <w:rFonts w:ascii="Times New Roman" w:hAnsi="Times New Roman" w:cs="Times New Roman"/>
        </w:rPr>
        <w:t xml:space="preserve">Equinox sunrise and sunset tangent on horizon for the ziggurat at Chogha </w:t>
      </w:r>
      <w:r w:rsidR="00ED1794">
        <w:rPr>
          <w:rFonts w:ascii="Times New Roman" w:hAnsi="Times New Roman" w:cs="Times New Roman"/>
        </w:rPr>
        <w:t>Zanbil (Dūr-Untash)</w:t>
      </w:r>
      <w:r w:rsidR="00FE5AB0">
        <w:rPr>
          <w:rFonts w:ascii="Times New Roman" w:hAnsi="Times New Roman" w:cs="Times New Roman"/>
        </w:rPr>
        <w:t>, as well as</w:t>
      </w:r>
      <w:r w:rsidR="00ED1794">
        <w:rPr>
          <w:rFonts w:ascii="Times New Roman" w:hAnsi="Times New Roman" w:cs="Times New Roman"/>
        </w:rPr>
        <w:t xml:space="preserve"> </w:t>
      </w:r>
      <w:r w:rsidR="00D91712">
        <w:rPr>
          <w:rFonts w:ascii="Times New Roman" w:hAnsi="Times New Roman" w:cs="Times New Roman"/>
        </w:rPr>
        <w:t>orientation</w:t>
      </w:r>
      <w:r w:rsidR="00ED1794">
        <w:rPr>
          <w:rFonts w:ascii="Times New Roman" w:hAnsi="Times New Roman" w:cs="Times New Roman"/>
        </w:rPr>
        <w:t>s</w:t>
      </w:r>
      <w:r w:rsidR="00D91712">
        <w:rPr>
          <w:rFonts w:ascii="Times New Roman" w:hAnsi="Times New Roman" w:cs="Times New Roman"/>
        </w:rPr>
        <w:t xml:space="preserve"> towards Summer Solstice sunset last gleam</w:t>
      </w:r>
      <w:r w:rsidR="00FE5AB0">
        <w:rPr>
          <w:rFonts w:ascii="Times New Roman" w:hAnsi="Times New Roman" w:cs="Times New Roman"/>
        </w:rPr>
        <w:t>, Winter Solstice sunrise tangent</w:t>
      </w:r>
      <w:r w:rsidR="00D91712">
        <w:rPr>
          <w:rFonts w:ascii="Times New Roman" w:hAnsi="Times New Roman" w:cs="Times New Roman"/>
        </w:rPr>
        <w:t xml:space="preserve"> </w:t>
      </w:r>
      <w:r w:rsidR="00FE5AB0">
        <w:rPr>
          <w:rFonts w:ascii="Times New Roman" w:hAnsi="Times New Roman" w:cs="Times New Roman"/>
        </w:rPr>
        <w:t xml:space="preserve">on horizon, and Venus zenith passage for </w:t>
      </w:r>
      <w:r w:rsidR="008A36C1">
        <w:rPr>
          <w:rFonts w:ascii="Times New Roman" w:hAnsi="Times New Roman" w:cs="Times New Roman"/>
        </w:rPr>
        <w:t>the</w:t>
      </w:r>
      <w:r w:rsidR="00FE5AB0">
        <w:rPr>
          <w:rFonts w:ascii="Times New Roman" w:hAnsi="Times New Roman" w:cs="Times New Roman"/>
        </w:rPr>
        <w:t xml:space="preserve"> ziggurat </w:t>
      </w:r>
      <w:r w:rsidR="00717A1F">
        <w:rPr>
          <w:rFonts w:ascii="Times New Roman" w:hAnsi="Times New Roman" w:cs="Times New Roman"/>
        </w:rPr>
        <w:t xml:space="preserve">dedicated to Marduk </w:t>
      </w:r>
      <w:r w:rsidR="00FE5AB0">
        <w:rPr>
          <w:rFonts w:ascii="Times New Roman" w:hAnsi="Times New Roman" w:cs="Times New Roman"/>
        </w:rPr>
        <w:t xml:space="preserve">at </w:t>
      </w:r>
      <w:r w:rsidR="00FE5AB0" w:rsidRPr="00FE5AB0">
        <w:rPr>
          <w:rFonts w:ascii="Times New Roman" w:hAnsi="Times New Roman" w:cs="Times New Roman"/>
        </w:rPr>
        <w:t>Al-Hillah, Iraq</w:t>
      </w:r>
      <w:r w:rsidR="00FE5AB0">
        <w:rPr>
          <w:rFonts w:ascii="Times New Roman" w:hAnsi="Times New Roman" w:cs="Times New Roman"/>
        </w:rPr>
        <w:t>.</w:t>
      </w:r>
      <w:r w:rsidR="009578B7">
        <w:rPr>
          <w:rStyle w:val="FootnoteReference"/>
          <w:rFonts w:ascii="Times New Roman" w:hAnsi="Times New Roman" w:cs="Times New Roman"/>
        </w:rPr>
        <w:footnoteReference w:id="27"/>
      </w:r>
      <w:r w:rsidR="003F732B">
        <w:rPr>
          <w:rFonts w:ascii="Times New Roman" w:hAnsi="Times New Roman" w:cs="Times New Roman"/>
        </w:rPr>
        <w:t xml:space="preserve"> </w:t>
      </w:r>
    </w:p>
    <w:p w:rsidR="00407527" w:rsidRDefault="00F2210C" w:rsidP="00407527">
      <w:pPr>
        <w:pStyle w:val="Default"/>
      </w:pPr>
      <w:r>
        <w:rPr>
          <w:rFonts w:ascii="Times New Roman" w:hAnsi="Times New Roman" w:cs="Times New Roman"/>
        </w:rPr>
        <w:tab/>
      </w:r>
      <w:r w:rsidR="00B06497" w:rsidRPr="00A16AA7">
        <w:rPr>
          <w:rFonts w:ascii="Times New Roman" w:hAnsi="Times New Roman" w:cs="Times New Roman"/>
        </w:rPr>
        <w:t>Sparavigna</w:t>
      </w:r>
      <w:r w:rsidR="00B06497">
        <w:rPr>
          <w:rFonts w:ascii="Times New Roman" w:hAnsi="Times New Roman" w:cs="Times New Roman"/>
        </w:rPr>
        <w:t xml:space="preserve"> cites the general importance of the moon-god as background for the major lunar standstill orientation for the ziggurat at Ur, but notes that the seemingly precise alignment may be due to modern restoration.</w:t>
      </w:r>
      <w:r w:rsidR="00B06497">
        <w:rPr>
          <w:rStyle w:val="FootnoteReference"/>
          <w:rFonts w:ascii="Times New Roman" w:hAnsi="Times New Roman" w:cs="Times New Roman"/>
        </w:rPr>
        <w:footnoteReference w:id="28"/>
      </w:r>
      <w:r w:rsidR="00B06497">
        <w:rPr>
          <w:rFonts w:ascii="Times New Roman" w:hAnsi="Times New Roman" w:cs="Times New Roman"/>
        </w:rPr>
        <w:t xml:space="preserve"> Nadali and Polcaro suggest that the second of the twice yearly </w:t>
      </w:r>
      <w:r w:rsidR="00B06497" w:rsidRPr="004121B8">
        <w:rPr>
          <w:rFonts w:ascii="Times New Roman" w:hAnsi="Times New Roman" w:cs="Times New Roman"/>
          <w:i/>
        </w:rPr>
        <w:t>akītu</w:t>
      </w:r>
      <w:r w:rsidR="00B06497">
        <w:rPr>
          <w:rFonts w:ascii="Times New Roman" w:hAnsi="Times New Roman" w:cs="Times New Roman"/>
        </w:rPr>
        <w:t xml:space="preserve"> festival celebrated at the Spring and Autumn Equinoxes provides </w:t>
      </w:r>
      <w:r w:rsidR="00B06497">
        <w:rPr>
          <w:rFonts w:ascii="Times New Roman" w:hAnsi="Times New Roman" w:cs="Times New Roman"/>
        </w:rPr>
        <w:lastRenderedPageBreak/>
        <w:t>evidence for the major lunar standstill orientation at Ur.</w:t>
      </w:r>
      <w:r w:rsidR="00B06497">
        <w:rPr>
          <w:rStyle w:val="FootnoteReference"/>
          <w:rFonts w:ascii="Times New Roman" w:hAnsi="Times New Roman" w:cs="Times New Roman"/>
        </w:rPr>
        <w:footnoteReference w:id="29"/>
      </w:r>
      <w:r w:rsidR="00B06497">
        <w:rPr>
          <w:rFonts w:ascii="Times New Roman" w:hAnsi="Times New Roman" w:cs="Times New Roman"/>
        </w:rPr>
        <w:t xml:space="preserve"> While the moon-god was certainly important at Ur, the </w:t>
      </w:r>
      <w:r w:rsidR="00B06497" w:rsidRPr="004121B8">
        <w:rPr>
          <w:rFonts w:ascii="Times New Roman" w:hAnsi="Times New Roman" w:cs="Times New Roman"/>
          <w:i/>
        </w:rPr>
        <w:t>akītu</w:t>
      </w:r>
      <w:r w:rsidR="00B06497">
        <w:rPr>
          <w:rFonts w:ascii="Times New Roman" w:hAnsi="Times New Roman" w:cs="Times New Roman"/>
        </w:rPr>
        <w:t xml:space="preserve"> festival was celebrated at different times with a variety of emphases and is likely not evidence for a ziggurat to be orientated towards a major lunar standstill occurring every 18.6 years.</w:t>
      </w:r>
      <w:r w:rsidR="00B06497">
        <w:rPr>
          <w:rStyle w:val="FootnoteReference"/>
          <w:rFonts w:ascii="Times New Roman" w:hAnsi="Times New Roman" w:cs="Times New Roman"/>
        </w:rPr>
        <w:footnoteReference w:id="30"/>
      </w:r>
      <w:r w:rsidR="00B06497">
        <w:rPr>
          <w:rFonts w:ascii="Times New Roman" w:hAnsi="Times New Roman" w:cs="Times New Roman"/>
        </w:rPr>
        <w:t xml:space="preserve"> Despite the admitted lack of evidence for cultic solar activity during the Summer Solstice, Nadali and Polcaro suggest a solar orientation towards the Summer Solstice for the ziggurat at Larsa.</w:t>
      </w:r>
      <w:r w:rsidR="00B06497">
        <w:rPr>
          <w:rStyle w:val="FootnoteReference"/>
          <w:rFonts w:ascii="Times New Roman" w:hAnsi="Times New Roman" w:cs="Times New Roman"/>
        </w:rPr>
        <w:footnoteReference w:id="31"/>
      </w:r>
      <w:r w:rsidR="00B06497">
        <w:rPr>
          <w:rFonts w:ascii="Times New Roman" w:hAnsi="Times New Roman" w:cs="Times New Roman"/>
        </w:rPr>
        <w:t xml:space="preserve"> </w:t>
      </w:r>
      <w:r w:rsidR="0086463C">
        <w:rPr>
          <w:rFonts w:ascii="Times New Roman" w:hAnsi="Times New Roman" w:cs="Times New Roman"/>
        </w:rPr>
        <w:t>Tiede provides little to no ethnographic evidence to support the array of suggested orientations.</w:t>
      </w:r>
    </w:p>
    <w:p w:rsidR="000D20D4" w:rsidRDefault="009A5A75"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33" type="#_x0000_t202" style="position:absolute;margin-left:21.6pt;margin-top:159.6pt;width:178.2pt;height:57pt;z-index:251671552;mso-width-relative:margin;mso-height-relative:margin" stroked="f">
            <v:textbox style="mso-next-textbox:#_x0000_s1033">
              <w:txbxContent>
                <w:p w:rsidR="0042465C" w:rsidRPr="002659B1" w:rsidRDefault="0042465C" w:rsidP="002659B1">
                  <w:pPr>
                    <w:spacing w:line="240" w:lineRule="exact"/>
                    <w:jc w:val="left"/>
                    <w:rPr>
                      <w:sz w:val="18"/>
                      <w:szCs w:val="18"/>
                    </w:rPr>
                  </w:pPr>
                  <w:r w:rsidRPr="002659B1">
                    <w:rPr>
                      <w:rFonts w:ascii="Times New Roman" w:hAnsi="Times New Roman" w:cs="Times New Roman"/>
                      <w:b/>
                      <w:color w:val="000000" w:themeColor="text1"/>
                      <w:sz w:val="18"/>
                      <w:szCs w:val="18"/>
                    </w:rPr>
                    <w:t>Figure 5.</w:t>
                  </w:r>
                  <w:r w:rsidRPr="002659B1">
                    <w:rPr>
                      <w:rFonts w:ascii="Times New Roman" w:hAnsi="Times New Roman" w:cs="Times New Roman"/>
                      <w:color w:val="000000" w:themeColor="text1"/>
                      <w:sz w:val="18"/>
                      <w:szCs w:val="18"/>
                    </w:rPr>
                    <w:t xml:space="preserve">  Fragments of a glass plaque with stars and geometric shapes found in Palace P1 at </w:t>
                  </w:r>
                  <w:r w:rsidRPr="002659B1">
                    <w:rPr>
                      <w:rFonts w:ascii="Times New Roman" w:hAnsi="Times New Roman" w:cs="Times New Roman"/>
                      <w:sz w:val="18"/>
                      <w:szCs w:val="18"/>
                    </w:rPr>
                    <w:t>Dūr-Kurigalzu. Clayden (2017), p. 464.</w:t>
                  </w:r>
                </w:p>
                <w:p w:rsidR="0042465C" w:rsidRDefault="0042465C" w:rsidP="0004225C"/>
              </w:txbxContent>
            </v:textbox>
            <w10:wrap type="square"/>
          </v:shape>
        </w:pict>
      </w:r>
      <w:r w:rsidR="00CB5BCD">
        <w:rPr>
          <w:rFonts w:ascii="Times New Roman" w:hAnsi="Times New Roman" w:cs="Times New Roman"/>
          <w:noProof/>
          <w:sz w:val="24"/>
          <w:szCs w:val="24"/>
        </w:rPr>
        <w:drawing>
          <wp:anchor distT="0" distB="0" distL="114300" distR="114300" simplePos="0" relativeHeight="251667456" behindDoc="0" locked="0" layoutInCell="1" allowOverlap="1">
            <wp:simplePos x="0" y="0"/>
            <wp:positionH relativeFrom="column">
              <wp:posOffset>201930</wp:posOffset>
            </wp:positionH>
            <wp:positionV relativeFrom="paragraph">
              <wp:posOffset>-1303020</wp:posOffset>
            </wp:positionV>
            <wp:extent cx="2343150" cy="3276600"/>
            <wp:effectExtent l="19050" t="0" r="0" b="0"/>
            <wp:wrapSquare wrapText="bothSides"/>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a:stretch>
                      <a:fillRect/>
                    </a:stretch>
                  </pic:blipFill>
                  <pic:spPr bwMode="auto">
                    <a:xfrm>
                      <a:off x="0" y="0"/>
                      <a:ext cx="2343150" cy="3276600"/>
                    </a:xfrm>
                    <a:prstGeom prst="rect">
                      <a:avLst/>
                    </a:prstGeom>
                    <a:noFill/>
                    <a:ln w="9525">
                      <a:noFill/>
                      <a:miter lim="800000"/>
                      <a:headEnd/>
                      <a:tailEnd/>
                    </a:ln>
                  </pic:spPr>
                </pic:pic>
              </a:graphicData>
            </a:graphic>
          </wp:anchor>
        </w:drawing>
      </w:r>
      <w:r w:rsidR="00CB5BCD">
        <w:rPr>
          <w:rFonts w:ascii="Times New Roman" w:hAnsi="Times New Roman" w:cs="Times New Roman"/>
          <w:noProof/>
          <w:sz w:val="24"/>
          <w:szCs w:val="24"/>
        </w:rPr>
        <w:tab/>
      </w:r>
      <w:r w:rsidR="004B1290">
        <w:rPr>
          <w:rFonts w:ascii="Times New Roman" w:hAnsi="Times New Roman" w:cs="Times New Roman"/>
          <w:sz w:val="24"/>
          <w:szCs w:val="24"/>
        </w:rPr>
        <w:t>Desp</w:t>
      </w:r>
      <w:r w:rsidR="008A36C1">
        <w:rPr>
          <w:rFonts w:ascii="Times New Roman" w:hAnsi="Times New Roman" w:cs="Times New Roman"/>
          <w:sz w:val="24"/>
          <w:szCs w:val="24"/>
        </w:rPr>
        <w:t>ite some evidence that the inhabitants of Dūr-Kurigalzu were celestially aware, n</w:t>
      </w:r>
      <w:r w:rsidR="00717A1F">
        <w:rPr>
          <w:rFonts w:ascii="Times New Roman" w:hAnsi="Times New Roman" w:cs="Times New Roman"/>
          <w:sz w:val="24"/>
          <w:szCs w:val="24"/>
        </w:rPr>
        <w:t>o archaeoastronomical research has been published concerning the ziggurat at Dūr-Kurigalzu.</w:t>
      </w:r>
      <w:r w:rsidR="008A36C1">
        <w:rPr>
          <w:rFonts w:ascii="Times New Roman" w:hAnsi="Times New Roman" w:cs="Times New Roman"/>
          <w:sz w:val="24"/>
          <w:szCs w:val="24"/>
        </w:rPr>
        <w:t xml:space="preserve"> </w:t>
      </w:r>
      <w:r w:rsidR="003C412E">
        <w:rPr>
          <w:rFonts w:ascii="Times New Roman" w:hAnsi="Times New Roman" w:cs="Times New Roman"/>
          <w:sz w:val="24"/>
          <w:szCs w:val="24"/>
        </w:rPr>
        <w:t xml:space="preserve">A celestial interest may be suggested in the star elements </w:t>
      </w:r>
      <w:r w:rsidR="000E0658">
        <w:rPr>
          <w:rFonts w:ascii="Times New Roman" w:hAnsi="Times New Roman" w:cs="Times New Roman"/>
          <w:sz w:val="24"/>
          <w:szCs w:val="24"/>
        </w:rPr>
        <w:t xml:space="preserve">and </w:t>
      </w:r>
      <w:r w:rsidR="003C412E">
        <w:rPr>
          <w:rFonts w:ascii="Times New Roman" w:hAnsi="Times New Roman" w:cs="Times New Roman"/>
          <w:sz w:val="24"/>
          <w:szCs w:val="24"/>
        </w:rPr>
        <w:t xml:space="preserve">other geometric </w:t>
      </w:r>
      <w:r w:rsidR="000E0658">
        <w:rPr>
          <w:rFonts w:ascii="Times New Roman" w:hAnsi="Times New Roman" w:cs="Times New Roman"/>
          <w:sz w:val="24"/>
          <w:szCs w:val="24"/>
        </w:rPr>
        <w:t>designs on a fragmented 8 mm thick glass plaque</w:t>
      </w:r>
      <w:r w:rsidR="009A256D">
        <w:rPr>
          <w:rFonts w:ascii="Times New Roman" w:hAnsi="Times New Roman" w:cs="Times New Roman"/>
          <w:sz w:val="24"/>
          <w:szCs w:val="24"/>
        </w:rPr>
        <w:t xml:space="preserve"> (Fig. 5)</w:t>
      </w:r>
      <w:r w:rsidR="0033428D">
        <w:rPr>
          <w:rFonts w:ascii="Times New Roman" w:hAnsi="Times New Roman" w:cs="Times New Roman"/>
          <w:sz w:val="24"/>
          <w:szCs w:val="24"/>
        </w:rPr>
        <w:t xml:space="preserve"> found in palace P1</w:t>
      </w:r>
      <w:r w:rsidR="000E0658">
        <w:rPr>
          <w:rFonts w:ascii="Times New Roman" w:hAnsi="Times New Roman" w:cs="Times New Roman"/>
          <w:sz w:val="24"/>
          <w:szCs w:val="24"/>
        </w:rPr>
        <w:t>.</w:t>
      </w:r>
      <w:r w:rsidR="000E0658">
        <w:rPr>
          <w:rStyle w:val="FootnoteReference"/>
          <w:rFonts w:ascii="Times New Roman" w:hAnsi="Times New Roman" w:cs="Times New Roman"/>
          <w:sz w:val="24"/>
          <w:szCs w:val="24"/>
        </w:rPr>
        <w:footnoteReference w:id="32"/>
      </w:r>
      <w:r w:rsidR="000E0658">
        <w:rPr>
          <w:rFonts w:ascii="Times New Roman" w:hAnsi="Times New Roman" w:cs="Times New Roman"/>
          <w:sz w:val="24"/>
          <w:szCs w:val="24"/>
        </w:rPr>
        <w:t xml:space="preserve"> </w:t>
      </w:r>
      <w:r w:rsidR="00EE3AF8">
        <w:rPr>
          <w:rFonts w:ascii="Times New Roman" w:hAnsi="Times New Roman" w:cs="Times New Roman"/>
          <w:sz w:val="24"/>
          <w:szCs w:val="24"/>
        </w:rPr>
        <w:t xml:space="preserve">Fragments of a large statue of Kurigalzu I </w:t>
      </w:r>
      <w:r w:rsidR="00F20B52">
        <w:rPr>
          <w:rFonts w:ascii="Times New Roman" w:hAnsi="Times New Roman" w:cs="Times New Roman"/>
          <w:sz w:val="24"/>
          <w:szCs w:val="24"/>
        </w:rPr>
        <w:t xml:space="preserve">were found inscribed </w:t>
      </w:r>
      <w:r w:rsidR="004E2CBE">
        <w:rPr>
          <w:rFonts w:ascii="Times New Roman" w:hAnsi="Times New Roman" w:cs="Times New Roman"/>
          <w:sz w:val="24"/>
          <w:szCs w:val="24"/>
        </w:rPr>
        <w:t>with</w:t>
      </w:r>
      <w:r w:rsidR="00F20B52">
        <w:rPr>
          <w:rFonts w:ascii="Times New Roman" w:hAnsi="Times New Roman" w:cs="Times New Roman"/>
          <w:sz w:val="24"/>
          <w:szCs w:val="24"/>
        </w:rPr>
        <w:t xml:space="preserve"> Kassite Sumerian. An unusually non-formulaic royal inscription was recorded on the statue, but the text is fragmentary and the order in which the fragments should be read is not clear. However, two texts may be understood to suggest an awareness and possible involvement of Babylonian astrology-astronomy at Dūr-Kurigalzu</w:t>
      </w:r>
      <w:r w:rsidR="000D20D4">
        <w:rPr>
          <w:rFonts w:ascii="Times New Roman" w:hAnsi="Times New Roman" w:cs="Times New Roman"/>
          <w:sz w:val="24"/>
          <w:szCs w:val="24"/>
        </w:rPr>
        <w:t>. Referring to the moon-god</w:t>
      </w:r>
      <w:r w:rsidR="00E93E7D">
        <w:rPr>
          <w:rFonts w:ascii="Times New Roman" w:hAnsi="Times New Roman" w:cs="Times New Roman"/>
          <w:sz w:val="24"/>
          <w:szCs w:val="24"/>
        </w:rPr>
        <w:t>,</w:t>
      </w:r>
      <w:r w:rsidR="000D20D4">
        <w:rPr>
          <w:rFonts w:ascii="Times New Roman" w:hAnsi="Times New Roman" w:cs="Times New Roman"/>
          <w:sz w:val="24"/>
          <w:szCs w:val="24"/>
        </w:rPr>
        <w:t xml:space="preserve"> </w:t>
      </w:r>
      <w:r w:rsidR="00E93E7D">
        <w:rPr>
          <w:rFonts w:ascii="Times New Roman" w:hAnsi="Times New Roman" w:cs="Times New Roman"/>
          <w:sz w:val="24"/>
          <w:szCs w:val="24"/>
        </w:rPr>
        <w:t>Nanna</w:t>
      </w:r>
      <w:r w:rsidR="00EC0EE4">
        <w:rPr>
          <w:rFonts w:ascii="Times New Roman" w:hAnsi="Times New Roman" w:cs="Times New Roman"/>
          <w:sz w:val="24"/>
          <w:szCs w:val="24"/>
        </w:rPr>
        <w:t>,</w:t>
      </w:r>
      <w:r w:rsidR="000D20D4">
        <w:rPr>
          <w:rFonts w:ascii="Times New Roman" w:hAnsi="Times New Roman" w:cs="Times New Roman"/>
          <w:sz w:val="24"/>
          <w:szCs w:val="24"/>
        </w:rPr>
        <w:t xml:space="preserve"> a fragment states</w:t>
      </w:r>
      <w:r w:rsidR="00EC0EE4">
        <w:rPr>
          <w:rFonts w:ascii="Times New Roman" w:hAnsi="Times New Roman" w:cs="Times New Roman"/>
          <w:sz w:val="24"/>
          <w:szCs w:val="24"/>
        </w:rPr>
        <w:t>:</w:t>
      </w:r>
      <w:r w:rsidR="00F20B52">
        <w:rPr>
          <w:rFonts w:ascii="Times New Roman" w:hAnsi="Times New Roman" w:cs="Times New Roman"/>
          <w:sz w:val="24"/>
          <w:szCs w:val="24"/>
        </w:rPr>
        <w:t xml:space="preserve"> </w:t>
      </w:r>
    </w:p>
    <w:p w:rsidR="002659B1" w:rsidRDefault="002659B1" w:rsidP="00FA1D8D">
      <w:pPr>
        <w:jc w:val="left"/>
        <w:rPr>
          <w:rFonts w:ascii="Times New Roman" w:hAnsi="Times New Roman" w:cs="Times New Roman"/>
          <w:sz w:val="24"/>
          <w:szCs w:val="24"/>
        </w:rPr>
      </w:pPr>
    </w:p>
    <w:p w:rsidR="004B1290" w:rsidRDefault="001760E5" w:rsidP="001760E5">
      <w:pPr>
        <w:jc w:val="left"/>
        <w:rPr>
          <w:rFonts w:ascii="Times New Roman" w:hAnsi="Times New Roman" w:cs="Times New Roman"/>
          <w:sz w:val="24"/>
          <w:szCs w:val="24"/>
        </w:rPr>
      </w:pPr>
      <w:r>
        <w:rPr>
          <w:rFonts w:ascii="Times New Roman" w:hAnsi="Times New Roman" w:cs="Times New Roman"/>
          <w:sz w:val="24"/>
          <w:szCs w:val="24"/>
        </w:rPr>
        <w:tab/>
      </w:r>
      <w:r w:rsidR="00A045DF">
        <w:rPr>
          <w:rFonts w:ascii="Times New Roman" w:hAnsi="Times New Roman" w:cs="Times New Roman"/>
          <w:sz w:val="24"/>
          <w:szCs w:val="24"/>
        </w:rPr>
        <w:tab/>
      </w:r>
      <w:r w:rsidR="00F20B52">
        <w:rPr>
          <w:rFonts w:ascii="Times New Roman" w:hAnsi="Times New Roman" w:cs="Times New Roman"/>
          <w:sz w:val="24"/>
          <w:szCs w:val="24"/>
        </w:rPr>
        <w:t>‘(…) and the holy…they did not bring close,</w:t>
      </w:r>
      <w:r w:rsidR="004B1290">
        <w:rPr>
          <w:rFonts w:ascii="Times New Roman" w:hAnsi="Times New Roman" w:cs="Times New Roman"/>
          <w:sz w:val="24"/>
          <w:szCs w:val="24"/>
        </w:rPr>
        <w:t xml:space="preserve"> </w:t>
      </w:r>
      <w:r w:rsidR="00F20B52">
        <w:rPr>
          <w:rFonts w:ascii="Times New Roman" w:hAnsi="Times New Roman" w:cs="Times New Roman"/>
          <w:sz w:val="24"/>
          <w:szCs w:val="24"/>
        </w:rPr>
        <w:t>so</w:t>
      </w:r>
      <w:r>
        <w:rPr>
          <w:rFonts w:ascii="Times New Roman" w:hAnsi="Times New Roman" w:cs="Times New Roman"/>
          <w:sz w:val="24"/>
          <w:szCs w:val="24"/>
        </w:rPr>
        <w:t xml:space="preserve"> t</w:t>
      </w:r>
      <w:r w:rsidR="00F20B52">
        <w:rPr>
          <w:rFonts w:ascii="Times New Roman" w:hAnsi="Times New Roman" w:cs="Times New Roman"/>
          <w:sz w:val="24"/>
          <w:szCs w:val="24"/>
        </w:rPr>
        <w:t>hat they</w:t>
      </w:r>
      <w:r w:rsidR="0004225C">
        <w:rPr>
          <w:rFonts w:ascii="Times New Roman" w:hAnsi="Times New Roman" w:cs="Times New Roman"/>
          <w:sz w:val="24"/>
          <w:szCs w:val="24"/>
        </w:rPr>
        <w:t xml:space="preserve"> </w:t>
      </w:r>
      <w:r w:rsidR="00F20B52">
        <w:rPr>
          <w:rFonts w:ascii="Times New Roman" w:hAnsi="Times New Roman" w:cs="Times New Roman"/>
          <w:sz w:val="24"/>
          <w:szCs w:val="24"/>
        </w:rPr>
        <w:t xml:space="preserve">may not roar in </w:t>
      </w:r>
    </w:p>
    <w:p w:rsidR="004B1290" w:rsidRDefault="004B1290" w:rsidP="001760E5">
      <w:pPr>
        <w:jc w:val="left"/>
        <w:rPr>
          <w:rFonts w:ascii="Times New Roman" w:hAnsi="Times New Roman" w:cs="Times New Roman"/>
          <w:sz w:val="24"/>
          <w:szCs w:val="24"/>
        </w:rPr>
      </w:pPr>
      <w:r>
        <w:rPr>
          <w:rFonts w:ascii="Times New Roman" w:hAnsi="Times New Roman" w:cs="Times New Roman"/>
          <w:sz w:val="24"/>
          <w:szCs w:val="24"/>
        </w:rPr>
        <w:tab/>
      </w:r>
      <w:r w:rsidR="00A045DF">
        <w:rPr>
          <w:rFonts w:ascii="Times New Roman" w:hAnsi="Times New Roman" w:cs="Times New Roman"/>
          <w:sz w:val="24"/>
          <w:szCs w:val="24"/>
        </w:rPr>
        <w:tab/>
      </w:r>
      <w:r w:rsidR="00F20B52">
        <w:rPr>
          <w:rFonts w:ascii="Times New Roman" w:hAnsi="Times New Roman" w:cs="Times New Roman"/>
          <w:sz w:val="24"/>
          <w:szCs w:val="24"/>
        </w:rPr>
        <w:t>the zenith of the</w:t>
      </w:r>
      <w:r>
        <w:rPr>
          <w:rFonts w:ascii="Times New Roman" w:hAnsi="Times New Roman" w:cs="Times New Roman"/>
          <w:sz w:val="24"/>
          <w:szCs w:val="24"/>
        </w:rPr>
        <w:t xml:space="preserve"> </w:t>
      </w:r>
      <w:r w:rsidR="00E93E7D">
        <w:rPr>
          <w:rFonts w:ascii="Times New Roman" w:hAnsi="Times New Roman" w:cs="Times New Roman"/>
          <w:sz w:val="24"/>
          <w:szCs w:val="24"/>
        </w:rPr>
        <w:t>heavens!</w:t>
      </w:r>
      <w:r w:rsidR="00F20B52">
        <w:rPr>
          <w:rFonts w:ascii="Times New Roman" w:hAnsi="Times New Roman" w:cs="Times New Roman"/>
          <w:sz w:val="24"/>
          <w:szCs w:val="24"/>
        </w:rPr>
        <w:t xml:space="preserve"> Nanna who</w:t>
      </w:r>
      <w:r w:rsidR="00A56E6D">
        <w:rPr>
          <w:rFonts w:ascii="Times New Roman" w:hAnsi="Times New Roman" w:cs="Times New Roman"/>
          <w:sz w:val="24"/>
          <w:szCs w:val="24"/>
        </w:rPr>
        <w:t xml:space="preserve"> </w:t>
      </w:r>
      <w:r w:rsidR="00F20B52">
        <w:rPr>
          <w:rFonts w:ascii="Times New Roman" w:hAnsi="Times New Roman" w:cs="Times New Roman"/>
          <w:sz w:val="24"/>
          <w:szCs w:val="24"/>
        </w:rPr>
        <w:t>lights</w:t>
      </w:r>
      <w:r w:rsidR="0004225C">
        <w:rPr>
          <w:rFonts w:ascii="Times New Roman" w:hAnsi="Times New Roman" w:cs="Times New Roman"/>
          <w:sz w:val="24"/>
          <w:szCs w:val="24"/>
        </w:rPr>
        <w:t xml:space="preserve"> </w:t>
      </w:r>
      <w:r w:rsidR="00F20B52">
        <w:rPr>
          <w:rFonts w:ascii="Times New Roman" w:hAnsi="Times New Roman" w:cs="Times New Roman"/>
          <w:sz w:val="24"/>
          <w:szCs w:val="24"/>
        </w:rPr>
        <w:t>up the night, and</w:t>
      </w:r>
      <w:r>
        <w:rPr>
          <w:rFonts w:ascii="Times New Roman" w:hAnsi="Times New Roman" w:cs="Times New Roman"/>
          <w:sz w:val="24"/>
          <w:szCs w:val="24"/>
        </w:rPr>
        <w:t xml:space="preserve"> </w:t>
      </w:r>
      <w:r w:rsidR="00F20B52">
        <w:rPr>
          <w:rFonts w:ascii="Times New Roman" w:hAnsi="Times New Roman" w:cs="Times New Roman"/>
          <w:sz w:val="24"/>
          <w:szCs w:val="24"/>
        </w:rPr>
        <w:t xml:space="preserve">who </w:t>
      </w:r>
      <w:r w:rsidR="008A1509">
        <w:rPr>
          <w:rFonts w:ascii="Times New Roman" w:hAnsi="Times New Roman" w:cs="Times New Roman"/>
          <w:sz w:val="24"/>
          <w:szCs w:val="24"/>
        </w:rPr>
        <w:t>sleeps</w:t>
      </w:r>
    </w:p>
    <w:p w:rsidR="009D5947" w:rsidRDefault="004B1290" w:rsidP="001760E5">
      <w:pPr>
        <w:jc w:val="left"/>
        <w:rPr>
          <w:rFonts w:ascii="Times New Roman" w:hAnsi="Times New Roman" w:cs="Times New Roman"/>
          <w:sz w:val="24"/>
          <w:szCs w:val="24"/>
        </w:rPr>
      </w:pPr>
      <w:r>
        <w:rPr>
          <w:rFonts w:ascii="Times New Roman" w:hAnsi="Times New Roman" w:cs="Times New Roman"/>
          <w:sz w:val="24"/>
          <w:szCs w:val="24"/>
        </w:rPr>
        <w:tab/>
      </w:r>
      <w:r w:rsidR="00A045DF">
        <w:rPr>
          <w:rFonts w:ascii="Times New Roman" w:hAnsi="Times New Roman" w:cs="Times New Roman"/>
          <w:sz w:val="24"/>
          <w:szCs w:val="24"/>
        </w:rPr>
        <w:tab/>
      </w:r>
      <w:r w:rsidR="008A1509">
        <w:rPr>
          <w:rFonts w:ascii="Times New Roman" w:hAnsi="Times New Roman" w:cs="Times New Roman"/>
          <w:sz w:val="24"/>
          <w:szCs w:val="24"/>
        </w:rPr>
        <w:t>during the d</w:t>
      </w:r>
      <w:r w:rsidR="00F20B52">
        <w:rPr>
          <w:rFonts w:ascii="Times New Roman" w:hAnsi="Times New Roman" w:cs="Times New Roman"/>
          <w:sz w:val="24"/>
          <w:szCs w:val="24"/>
        </w:rPr>
        <w:t>ay like a lion</w:t>
      </w:r>
      <w:r w:rsidR="000D20D4">
        <w:rPr>
          <w:rFonts w:ascii="Times New Roman" w:hAnsi="Times New Roman" w:cs="Times New Roman"/>
          <w:sz w:val="24"/>
          <w:szCs w:val="24"/>
        </w:rPr>
        <w:t>; who</w:t>
      </w:r>
      <w:r>
        <w:rPr>
          <w:rFonts w:ascii="Times New Roman" w:hAnsi="Times New Roman" w:cs="Times New Roman"/>
          <w:sz w:val="24"/>
          <w:szCs w:val="24"/>
        </w:rPr>
        <w:t xml:space="preserve"> </w:t>
      </w:r>
      <w:r w:rsidR="000D20D4">
        <w:rPr>
          <w:rFonts w:ascii="Times New Roman" w:hAnsi="Times New Roman" w:cs="Times New Roman"/>
          <w:sz w:val="24"/>
          <w:szCs w:val="24"/>
        </w:rPr>
        <w:t>reveals the signs of the</w:t>
      </w:r>
      <w:r w:rsidR="008A1509">
        <w:rPr>
          <w:rFonts w:ascii="Times New Roman" w:hAnsi="Times New Roman" w:cs="Times New Roman"/>
          <w:sz w:val="24"/>
          <w:szCs w:val="24"/>
        </w:rPr>
        <w:t xml:space="preserve"> n</w:t>
      </w:r>
      <w:r w:rsidR="0004225C">
        <w:rPr>
          <w:rFonts w:ascii="Times New Roman" w:hAnsi="Times New Roman" w:cs="Times New Roman"/>
          <w:sz w:val="24"/>
          <w:szCs w:val="24"/>
        </w:rPr>
        <w:t>ight</w:t>
      </w:r>
      <w:r w:rsidR="000D20D4">
        <w:rPr>
          <w:rFonts w:ascii="Times New Roman" w:hAnsi="Times New Roman" w:cs="Times New Roman"/>
          <w:sz w:val="24"/>
          <w:szCs w:val="24"/>
        </w:rPr>
        <w:t>…’</w:t>
      </w:r>
      <w:r w:rsidR="000D20D4">
        <w:rPr>
          <w:rStyle w:val="FootnoteReference"/>
          <w:rFonts w:ascii="Times New Roman" w:hAnsi="Times New Roman" w:cs="Times New Roman"/>
          <w:sz w:val="24"/>
          <w:szCs w:val="24"/>
        </w:rPr>
        <w:footnoteReference w:id="33"/>
      </w:r>
    </w:p>
    <w:p w:rsidR="008A1509" w:rsidRPr="00F51035" w:rsidRDefault="008A1509" w:rsidP="008A1509">
      <w:pPr>
        <w:ind w:left="2100" w:hanging="2100"/>
        <w:jc w:val="left"/>
        <w:rPr>
          <w:rFonts w:ascii="Times New Roman" w:hAnsi="Times New Roman" w:cs="Times New Roman"/>
          <w:sz w:val="24"/>
          <w:szCs w:val="24"/>
        </w:rPr>
      </w:pPr>
    </w:p>
    <w:p w:rsidR="00EC0EE4" w:rsidRDefault="0004225C" w:rsidP="00FA1D8D">
      <w:pPr>
        <w:jc w:val="left"/>
        <w:rPr>
          <w:rFonts w:ascii="Times New Roman" w:hAnsi="Times New Roman" w:cs="Times New Roman"/>
          <w:sz w:val="24"/>
          <w:szCs w:val="24"/>
        </w:rPr>
      </w:pPr>
      <w:r>
        <w:rPr>
          <w:rFonts w:ascii="Times New Roman" w:hAnsi="Times New Roman" w:cs="Times New Roman"/>
          <w:sz w:val="24"/>
          <w:szCs w:val="24"/>
        </w:rPr>
        <w:tab/>
      </w:r>
      <w:r w:rsidR="00EC0EE4">
        <w:rPr>
          <w:rFonts w:ascii="Times New Roman" w:hAnsi="Times New Roman" w:cs="Times New Roman"/>
          <w:sz w:val="24"/>
          <w:szCs w:val="24"/>
        </w:rPr>
        <w:t xml:space="preserve">Another fragment </w:t>
      </w:r>
      <w:r w:rsidR="009A256D">
        <w:rPr>
          <w:rFonts w:ascii="Times New Roman" w:hAnsi="Times New Roman" w:cs="Times New Roman"/>
          <w:sz w:val="24"/>
          <w:szCs w:val="24"/>
        </w:rPr>
        <w:t xml:space="preserve">(Fig. 6) </w:t>
      </w:r>
      <w:r w:rsidR="00EC0EE4">
        <w:rPr>
          <w:rFonts w:ascii="Times New Roman" w:hAnsi="Times New Roman" w:cs="Times New Roman"/>
          <w:sz w:val="24"/>
          <w:szCs w:val="24"/>
        </w:rPr>
        <w:t>contained a more specific reference to Babylonian astrological and astronomical knowledge:</w:t>
      </w:r>
    </w:p>
    <w:p w:rsidR="00EC0EE4" w:rsidRDefault="00EC0EE4" w:rsidP="00FA1D8D">
      <w:pPr>
        <w:jc w:val="left"/>
        <w:rPr>
          <w:rFonts w:ascii="Times New Roman" w:hAnsi="Times New Roman" w:cs="Times New Roman"/>
          <w:sz w:val="24"/>
          <w:szCs w:val="24"/>
        </w:rPr>
      </w:pPr>
    </w:p>
    <w:p w:rsidR="00CB5BCD" w:rsidRDefault="001760E5" w:rsidP="00EC0EE4">
      <w:pPr>
        <w:jc w:val="left"/>
        <w:rPr>
          <w:rFonts w:ascii="Times New Roman" w:hAnsi="Times New Roman" w:cs="Times New Roman"/>
          <w:sz w:val="24"/>
          <w:szCs w:val="24"/>
        </w:rPr>
      </w:pPr>
      <w:r>
        <w:rPr>
          <w:rFonts w:ascii="Times New Roman" w:hAnsi="Times New Roman" w:cs="Times New Roman"/>
          <w:sz w:val="24"/>
          <w:szCs w:val="24"/>
        </w:rPr>
        <w:tab/>
      </w:r>
      <w:r w:rsidR="00E93E7D">
        <w:rPr>
          <w:rFonts w:ascii="Times New Roman" w:hAnsi="Times New Roman" w:cs="Times New Roman"/>
          <w:sz w:val="24"/>
          <w:szCs w:val="24"/>
        </w:rPr>
        <w:tab/>
      </w:r>
      <w:r w:rsidR="008A1509">
        <w:rPr>
          <w:rFonts w:ascii="Times New Roman" w:hAnsi="Times New Roman" w:cs="Times New Roman"/>
          <w:sz w:val="24"/>
          <w:szCs w:val="24"/>
        </w:rPr>
        <w:t>‘</w:t>
      </w:r>
      <w:r w:rsidR="00EC0EE4" w:rsidRPr="00EC0EE4">
        <w:rPr>
          <w:rFonts w:ascii="Times New Roman" w:hAnsi="Times New Roman" w:cs="Times New Roman"/>
          <w:sz w:val="24"/>
          <w:szCs w:val="24"/>
        </w:rPr>
        <w:t>While his radiance from horizon to zenith</w:t>
      </w:r>
      <w:r w:rsidR="004B1290">
        <w:rPr>
          <w:rFonts w:ascii="Times New Roman" w:hAnsi="Times New Roman" w:cs="Times New Roman"/>
          <w:sz w:val="24"/>
          <w:szCs w:val="24"/>
        </w:rPr>
        <w:t xml:space="preserve"> </w:t>
      </w:r>
      <w:r w:rsidR="00EC0EE4" w:rsidRPr="00EC0EE4">
        <w:rPr>
          <w:rFonts w:ascii="Times New Roman" w:hAnsi="Times New Roman" w:cs="Times New Roman"/>
          <w:sz w:val="24"/>
          <w:szCs w:val="24"/>
        </w:rPr>
        <w:t>covers</w:t>
      </w:r>
      <w:r>
        <w:rPr>
          <w:rFonts w:ascii="Times New Roman" w:hAnsi="Times New Roman" w:cs="Times New Roman"/>
          <w:sz w:val="24"/>
          <w:szCs w:val="24"/>
        </w:rPr>
        <w:t xml:space="preserve"> t</w:t>
      </w:r>
      <w:r w:rsidR="00EC0EE4" w:rsidRPr="00EC0EE4">
        <w:rPr>
          <w:rFonts w:ascii="Times New Roman" w:hAnsi="Times New Roman" w:cs="Times New Roman"/>
          <w:sz w:val="24"/>
          <w:szCs w:val="24"/>
        </w:rPr>
        <w:t>he black</w:t>
      </w:r>
      <w:r w:rsidR="0004225C">
        <w:rPr>
          <w:rFonts w:ascii="Times New Roman" w:hAnsi="Times New Roman" w:cs="Times New Roman"/>
          <w:sz w:val="24"/>
          <w:szCs w:val="24"/>
        </w:rPr>
        <w:t xml:space="preserve"> </w:t>
      </w:r>
      <w:r w:rsidR="00EC0EE4" w:rsidRPr="00EC0EE4">
        <w:rPr>
          <w:rFonts w:ascii="Times New Roman" w:hAnsi="Times New Roman" w:cs="Times New Roman"/>
          <w:sz w:val="24"/>
          <w:szCs w:val="24"/>
        </w:rPr>
        <w:t xml:space="preserve">headed people; </w:t>
      </w:r>
    </w:p>
    <w:p w:rsidR="00CB5BCD" w:rsidRDefault="00CB5BCD" w:rsidP="00EC0EE4">
      <w:pPr>
        <w:jc w:val="left"/>
        <w:rPr>
          <w:rFonts w:ascii="Times New Roman" w:hAnsi="Times New Roman" w:cs="Times New Roman"/>
          <w:sz w:val="24"/>
          <w:szCs w:val="24"/>
        </w:rPr>
      </w:pPr>
      <w:r>
        <w:rPr>
          <w:rFonts w:ascii="Times New Roman" w:hAnsi="Times New Roman" w:cs="Times New Roman"/>
          <w:sz w:val="24"/>
          <w:szCs w:val="24"/>
        </w:rPr>
        <w:tab/>
      </w:r>
      <w:r w:rsidR="00E93E7D">
        <w:rPr>
          <w:rFonts w:ascii="Times New Roman" w:hAnsi="Times New Roman" w:cs="Times New Roman"/>
          <w:sz w:val="24"/>
          <w:szCs w:val="24"/>
        </w:rPr>
        <w:tab/>
      </w:r>
      <w:r w:rsidR="00EC0EE4" w:rsidRPr="00EC0EE4">
        <w:rPr>
          <w:rFonts w:ascii="Times New Roman" w:hAnsi="Times New Roman" w:cs="Times New Roman"/>
          <w:sz w:val="24"/>
          <w:szCs w:val="24"/>
        </w:rPr>
        <w:t>so that the small watches</w:t>
      </w:r>
      <w:r w:rsidR="00EC0EE4">
        <w:rPr>
          <w:rFonts w:ascii="Times New Roman" w:hAnsi="Times New Roman" w:cs="Times New Roman"/>
          <w:sz w:val="24"/>
          <w:szCs w:val="24"/>
        </w:rPr>
        <w:t xml:space="preserve"> </w:t>
      </w:r>
      <w:r w:rsidR="00EC0EE4" w:rsidRPr="00EC0EE4">
        <w:rPr>
          <w:rFonts w:ascii="Times New Roman" w:hAnsi="Times New Roman" w:cs="Times New Roman"/>
          <w:sz w:val="24"/>
          <w:szCs w:val="24"/>
        </w:rPr>
        <w:t>are born, while looking at</w:t>
      </w:r>
      <w:r w:rsidR="00EC0EE4">
        <w:rPr>
          <w:rFonts w:ascii="Times New Roman" w:hAnsi="Times New Roman" w:cs="Times New Roman"/>
          <w:sz w:val="24"/>
          <w:szCs w:val="24"/>
        </w:rPr>
        <w:t xml:space="preserve"> </w:t>
      </w:r>
      <w:r w:rsidR="00EC0EE4" w:rsidRPr="00EC0EE4">
        <w:rPr>
          <w:rFonts w:ascii="Times New Roman" w:hAnsi="Times New Roman" w:cs="Times New Roman"/>
          <w:sz w:val="24"/>
          <w:szCs w:val="24"/>
        </w:rPr>
        <w:t>(?)</w:t>
      </w:r>
      <w:r w:rsidR="004B1290">
        <w:rPr>
          <w:rFonts w:ascii="Times New Roman" w:hAnsi="Times New Roman" w:cs="Times New Roman"/>
          <w:sz w:val="24"/>
          <w:szCs w:val="24"/>
        </w:rPr>
        <w:t xml:space="preserve"> </w:t>
      </w:r>
      <w:r w:rsidR="00EC0EE4" w:rsidRPr="00EC0EE4">
        <w:rPr>
          <w:rFonts w:ascii="Times New Roman" w:hAnsi="Times New Roman" w:cs="Times New Roman"/>
          <w:sz w:val="24"/>
          <w:szCs w:val="24"/>
        </w:rPr>
        <w:t xml:space="preserve">all the months, to </w:t>
      </w:r>
    </w:p>
    <w:p w:rsidR="000D20D4" w:rsidRDefault="00CB5BCD" w:rsidP="00EC0EE4">
      <w:pPr>
        <w:jc w:val="left"/>
        <w:rPr>
          <w:rFonts w:ascii="Times New Roman" w:hAnsi="Times New Roman" w:cs="Times New Roman"/>
          <w:sz w:val="24"/>
          <w:szCs w:val="24"/>
        </w:rPr>
      </w:pPr>
      <w:r>
        <w:rPr>
          <w:rFonts w:ascii="Times New Roman" w:hAnsi="Times New Roman" w:cs="Times New Roman"/>
          <w:sz w:val="24"/>
          <w:szCs w:val="24"/>
        </w:rPr>
        <w:tab/>
      </w:r>
      <w:r w:rsidR="00E93E7D">
        <w:rPr>
          <w:rFonts w:ascii="Times New Roman" w:hAnsi="Times New Roman" w:cs="Times New Roman"/>
          <w:sz w:val="24"/>
          <w:szCs w:val="24"/>
        </w:rPr>
        <w:tab/>
      </w:r>
      <w:r w:rsidR="00EC0EE4" w:rsidRPr="00EC0EE4">
        <w:rPr>
          <w:rFonts w:ascii="Times New Roman" w:hAnsi="Times New Roman" w:cs="Times New Roman"/>
          <w:sz w:val="24"/>
          <w:szCs w:val="24"/>
        </w:rPr>
        <w:t>plan the thirty days ...</w:t>
      </w:r>
      <w:r w:rsidR="009A256D">
        <w:rPr>
          <w:rStyle w:val="FootnoteReference"/>
          <w:rFonts w:ascii="Times New Roman" w:hAnsi="Times New Roman" w:cs="Times New Roman"/>
          <w:sz w:val="24"/>
          <w:szCs w:val="24"/>
        </w:rPr>
        <w:footnoteReference w:id="34"/>
      </w:r>
      <w:r w:rsidR="00EC0EE4" w:rsidRPr="00EC0EE4">
        <w:rPr>
          <w:rFonts w:ascii="Times New Roman" w:hAnsi="Times New Roman" w:cs="Times New Roman"/>
          <w:sz w:val="24"/>
          <w:szCs w:val="24"/>
        </w:rPr>
        <w:t xml:space="preserve"> </w:t>
      </w:r>
    </w:p>
    <w:p w:rsidR="008A1509" w:rsidRDefault="008A1509" w:rsidP="00EC0EE4">
      <w:pPr>
        <w:jc w:val="left"/>
        <w:rPr>
          <w:rFonts w:ascii="Times New Roman" w:hAnsi="Times New Roman" w:cs="Times New Roman"/>
          <w:sz w:val="24"/>
          <w:szCs w:val="24"/>
        </w:rPr>
      </w:pPr>
    </w:p>
    <w:p w:rsidR="005B414D" w:rsidRDefault="009A5A75" w:rsidP="00FA1D8D">
      <w:pPr>
        <w:jc w:val="left"/>
        <w:rPr>
          <w:rFonts w:ascii="Times New Roman" w:hAnsi="Times New Roman" w:cs="Times New Roman"/>
          <w:sz w:val="24"/>
          <w:szCs w:val="24"/>
        </w:rPr>
      </w:pPr>
      <w:r>
        <w:rPr>
          <w:rFonts w:ascii="Times New Roman" w:hAnsi="Times New Roman" w:cs="Times New Roman"/>
          <w:noProof/>
          <w:sz w:val="24"/>
          <w:szCs w:val="24"/>
        </w:rPr>
        <w:lastRenderedPageBreak/>
        <w:pict>
          <v:shape id="_x0000_s1052" type="#_x0000_t202" style="position:absolute;margin-left:-.6pt;margin-top:219.6pt;width:423.6pt;height:35.4pt;z-index:251706368;mso-width-relative:margin;mso-height-relative:margin" stroked="f">
            <v:textbox style="mso-next-textbox:#_x0000_s1052">
              <w:txbxContent>
                <w:p w:rsidR="0042465C" w:rsidRDefault="0042465C" w:rsidP="00616885">
                  <w:pPr>
                    <w:spacing w:line="240" w:lineRule="exact"/>
                    <w:jc w:val="left"/>
                    <w:rPr>
                      <w:sz w:val="18"/>
                      <w:szCs w:val="18"/>
                    </w:rPr>
                  </w:pPr>
                  <w:r w:rsidRPr="00616885">
                    <w:rPr>
                      <w:rFonts w:ascii="Times New Roman" w:hAnsi="Times New Roman" w:cs="Times New Roman"/>
                      <w:b/>
                      <w:color w:val="000000" w:themeColor="text1"/>
                      <w:sz w:val="18"/>
                      <w:szCs w:val="18"/>
                    </w:rPr>
                    <w:t>Figure 6.</w:t>
                  </w:r>
                  <w:r w:rsidRPr="00616885">
                    <w:rPr>
                      <w:rFonts w:ascii="Times New Roman" w:hAnsi="Times New Roman" w:cs="Times New Roman"/>
                      <w:color w:val="000000" w:themeColor="text1"/>
                      <w:sz w:val="18"/>
                      <w:szCs w:val="18"/>
                    </w:rPr>
                    <w:t xml:space="preserve">  Photograph and line drawing of </w:t>
                  </w:r>
                  <w:r w:rsidRPr="00616885">
                    <w:rPr>
                      <w:rFonts w:ascii="Times New Roman" w:hAnsi="Times New Roman" w:cs="Times New Roman"/>
                      <w:sz w:val="18"/>
                      <w:szCs w:val="18"/>
                    </w:rPr>
                    <w:t>Fragment B side b of the statue of Kurigalzu I with the translated text from Column II</w:t>
                  </w:r>
                  <w:r>
                    <w:rPr>
                      <w:rFonts w:ascii="Times New Roman" w:hAnsi="Times New Roman" w:cs="Times New Roman"/>
                      <w:sz w:val="18"/>
                      <w:szCs w:val="18"/>
                    </w:rPr>
                    <w:t>,</w:t>
                  </w:r>
                  <w:r w:rsidRPr="00616885">
                    <w:rPr>
                      <w:rFonts w:ascii="Times New Roman" w:hAnsi="Times New Roman" w:cs="Times New Roman"/>
                      <w:sz w:val="18"/>
                      <w:szCs w:val="18"/>
                    </w:rPr>
                    <w:t xml:space="preserve"> Lines 1-10 highlighted by the author. Veldhuis (2008), p. 37.</w:t>
                  </w:r>
                </w:p>
                <w:p w:rsidR="0042465C" w:rsidRPr="00616885" w:rsidRDefault="0042465C" w:rsidP="00616885">
                  <w:pPr>
                    <w:spacing w:line="240" w:lineRule="exact"/>
                    <w:jc w:val="left"/>
                    <w:rPr>
                      <w:sz w:val="18"/>
                      <w:szCs w:val="18"/>
                    </w:rPr>
                  </w:pPr>
                </w:p>
              </w:txbxContent>
            </v:textbox>
            <w10:wrap type="square"/>
          </v:shape>
        </w:pict>
      </w:r>
      <w:r>
        <w:rPr>
          <w:rFonts w:ascii="Times New Roman" w:hAnsi="Times New Roman" w:cs="Times New Roman"/>
          <w:noProof/>
          <w:sz w:val="24"/>
          <w:szCs w:val="24"/>
        </w:rPr>
        <w:pict>
          <v:rect id="_x0000_s1053" style="position:absolute;margin-left:291pt;margin-top:-211.2pt;width:51pt;height:208.8pt;z-index:251707392" filled="f" strokecolor="yellow" strokeweight="2.25pt"/>
        </w:pict>
      </w:r>
      <w:r w:rsidR="00CB5BCD">
        <w:rPr>
          <w:rFonts w:ascii="Times New Roman" w:hAnsi="Times New Roman" w:cs="Times New Roman"/>
          <w:noProof/>
          <w:sz w:val="24"/>
          <w:szCs w:val="24"/>
        </w:rPr>
        <w:drawing>
          <wp:anchor distT="0" distB="0" distL="114300" distR="114300" simplePos="0" relativeHeight="251703296" behindDoc="0" locked="0" layoutInCell="1" allowOverlap="1">
            <wp:simplePos x="0" y="0"/>
            <wp:positionH relativeFrom="column">
              <wp:posOffset>11430</wp:posOffset>
            </wp:positionH>
            <wp:positionV relativeFrom="paragraph">
              <wp:posOffset>22860</wp:posOffset>
            </wp:positionV>
            <wp:extent cx="2937510" cy="2689860"/>
            <wp:effectExtent l="19050" t="0" r="0" b="0"/>
            <wp:wrapSquare wrapText="bothSides"/>
            <wp:docPr id="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srcRect l="2900" t="21053" r="1450" b="5848"/>
                    <a:stretch>
                      <a:fillRect/>
                    </a:stretch>
                  </pic:blipFill>
                  <pic:spPr bwMode="auto">
                    <a:xfrm>
                      <a:off x="0" y="0"/>
                      <a:ext cx="2937510" cy="2689860"/>
                    </a:xfrm>
                    <a:prstGeom prst="rect">
                      <a:avLst/>
                    </a:prstGeom>
                    <a:noFill/>
                    <a:ln w="9525">
                      <a:noFill/>
                      <a:miter lim="800000"/>
                      <a:headEnd/>
                      <a:tailEnd/>
                    </a:ln>
                  </pic:spPr>
                </pic:pic>
              </a:graphicData>
            </a:graphic>
          </wp:anchor>
        </w:drawing>
      </w:r>
      <w:r w:rsidR="00CB5BCD" w:rsidRPr="00CB5BCD">
        <w:rPr>
          <w:rFonts w:ascii="Times New Roman" w:hAnsi="Times New Roman" w:cs="Times New Roman"/>
          <w:noProof/>
          <w:sz w:val="24"/>
          <w:szCs w:val="24"/>
        </w:rPr>
        <w:drawing>
          <wp:anchor distT="0" distB="0" distL="114300" distR="114300" simplePos="0" relativeHeight="251705344" behindDoc="0" locked="0" layoutInCell="1" allowOverlap="1">
            <wp:simplePos x="0" y="0"/>
            <wp:positionH relativeFrom="column">
              <wp:posOffset>3006090</wp:posOffset>
            </wp:positionH>
            <wp:positionV relativeFrom="paragraph">
              <wp:posOffset>22860</wp:posOffset>
            </wp:positionV>
            <wp:extent cx="2533650" cy="2689860"/>
            <wp:effectExtent l="19050" t="0" r="0" b="0"/>
            <wp:wrapSquare wrapText="bothSides"/>
            <wp:docPr id="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srcRect/>
                    <a:stretch>
                      <a:fillRect/>
                    </a:stretch>
                  </pic:blipFill>
                  <pic:spPr bwMode="auto">
                    <a:xfrm>
                      <a:off x="0" y="0"/>
                      <a:ext cx="2533650" cy="2689860"/>
                    </a:xfrm>
                    <a:prstGeom prst="rect">
                      <a:avLst/>
                    </a:prstGeom>
                    <a:noFill/>
                    <a:ln w="9525">
                      <a:noFill/>
                      <a:miter lim="800000"/>
                      <a:headEnd/>
                      <a:tailEnd/>
                    </a:ln>
                  </pic:spPr>
                </pic:pic>
              </a:graphicData>
            </a:graphic>
          </wp:anchor>
        </w:drawing>
      </w:r>
      <w:r w:rsidR="00616885">
        <w:rPr>
          <w:rFonts w:ascii="Times New Roman" w:hAnsi="Times New Roman" w:cs="Times New Roman"/>
          <w:sz w:val="24"/>
          <w:szCs w:val="24"/>
        </w:rPr>
        <w:tab/>
      </w:r>
      <w:r w:rsidR="008A36C1">
        <w:rPr>
          <w:rFonts w:ascii="Times New Roman" w:hAnsi="Times New Roman" w:cs="Times New Roman"/>
          <w:sz w:val="24"/>
          <w:szCs w:val="24"/>
        </w:rPr>
        <w:t>Th</w:t>
      </w:r>
      <w:r w:rsidR="0048206A">
        <w:rPr>
          <w:rFonts w:ascii="Times New Roman" w:hAnsi="Times New Roman" w:cs="Times New Roman"/>
          <w:sz w:val="24"/>
          <w:szCs w:val="24"/>
        </w:rPr>
        <w:t>ese two fragments of texts inscribed upon a colossal statute of Kurigalzu I provide evidence of an ancient people group possessing a knowledge of astro</w:t>
      </w:r>
      <w:r w:rsidR="00EA4747">
        <w:rPr>
          <w:rFonts w:ascii="Times New Roman" w:hAnsi="Times New Roman" w:cs="Times New Roman"/>
          <w:sz w:val="24"/>
          <w:szCs w:val="24"/>
        </w:rPr>
        <w:t>nom</w:t>
      </w:r>
      <w:r w:rsidR="0048206A">
        <w:rPr>
          <w:rFonts w:ascii="Times New Roman" w:hAnsi="Times New Roman" w:cs="Times New Roman"/>
          <w:sz w:val="24"/>
          <w:szCs w:val="24"/>
        </w:rPr>
        <w:t>y and thus an archaeoastronomical study of the ancient Babylonian skyscape in the second half of the second millennium BCE</w:t>
      </w:r>
      <w:r w:rsidR="00EA4747">
        <w:rPr>
          <w:rFonts w:ascii="Times New Roman" w:hAnsi="Times New Roman" w:cs="Times New Roman"/>
          <w:sz w:val="24"/>
          <w:szCs w:val="24"/>
        </w:rPr>
        <w:t xml:space="preserve"> at the ziggurat at Dūr-Kurigalzu</w:t>
      </w:r>
      <w:r w:rsidR="005924DE">
        <w:rPr>
          <w:rFonts w:ascii="Times New Roman" w:hAnsi="Times New Roman" w:cs="Times New Roman"/>
          <w:sz w:val="24"/>
          <w:szCs w:val="24"/>
        </w:rPr>
        <w:t xml:space="preserve"> is warranted</w:t>
      </w:r>
      <w:r w:rsidR="0048206A">
        <w:rPr>
          <w:rFonts w:ascii="Times New Roman" w:hAnsi="Times New Roman" w:cs="Times New Roman"/>
          <w:sz w:val="24"/>
          <w:szCs w:val="24"/>
        </w:rPr>
        <w:t>.</w:t>
      </w:r>
      <w:r w:rsidR="00C4220E">
        <w:rPr>
          <w:rFonts w:ascii="Times New Roman" w:hAnsi="Times New Roman" w:cs="Times New Roman"/>
          <w:sz w:val="24"/>
          <w:szCs w:val="24"/>
        </w:rPr>
        <w:t xml:space="preserve"> However, current geo-political issues prohibit fieldwork in the region. Therefore, this study </w:t>
      </w:r>
      <w:r w:rsidR="005924DE">
        <w:rPr>
          <w:rFonts w:ascii="Times New Roman" w:hAnsi="Times New Roman" w:cs="Times New Roman"/>
          <w:sz w:val="24"/>
          <w:szCs w:val="24"/>
        </w:rPr>
        <w:t>correlated</w:t>
      </w:r>
      <w:r w:rsidR="00C4220E">
        <w:rPr>
          <w:rFonts w:ascii="Times New Roman" w:hAnsi="Times New Roman" w:cs="Times New Roman"/>
          <w:sz w:val="24"/>
          <w:szCs w:val="24"/>
        </w:rPr>
        <w:t xml:space="preserve"> information from excavation reports </w:t>
      </w:r>
      <w:r w:rsidR="005231CE">
        <w:rPr>
          <w:rFonts w:ascii="Times New Roman" w:hAnsi="Times New Roman" w:cs="Times New Roman"/>
          <w:sz w:val="24"/>
          <w:szCs w:val="24"/>
        </w:rPr>
        <w:t>with</w:t>
      </w:r>
      <w:r w:rsidR="00C4220E">
        <w:rPr>
          <w:rFonts w:ascii="Times New Roman" w:hAnsi="Times New Roman" w:cs="Times New Roman"/>
          <w:sz w:val="24"/>
          <w:szCs w:val="24"/>
        </w:rPr>
        <w:t xml:space="preserve"> Google Earth Pro satellite imagery to measure the directions o</w:t>
      </w:r>
      <w:r w:rsidR="005231CE">
        <w:rPr>
          <w:rFonts w:ascii="Times New Roman" w:hAnsi="Times New Roman" w:cs="Times New Roman"/>
          <w:sz w:val="24"/>
          <w:szCs w:val="24"/>
        </w:rPr>
        <w:t>f</w:t>
      </w:r>
      <w:r w:rsidR="00C4220E">
        <w:rPr>
          <w:rFonts w:ascii="Times New Roman" w:hAnsi="Times New Roman" w:cs="Times New Roman"/>
          <w:sz w:val="24"/>
          <w:szCs w:val="24"/>
        </w:rPr>
        <w:t xml:space="preserve"> various locations on the ziggurat</w:t>
      </w:r>
      <w:r w:rsidR="00AD7DD7">
        <w:rPr>
          <w:rFonts w:ascii="Times New Roman" w:hAnsi="Times New Roman" w:cs="Times New Roman"/>
          <w:sz w:val="24"/>
          <w:szCs w:val="24"/>
        </w:rPr>
        <w:t xml:space="preserve"> (Fig. 7-11)</w:t>
      </w:r>
      <w:r w:rsidR="00C4220E">
        <w:rPr>
          <w:rFonts w:ascii="Times New Roman" w:hAnsi="Times New Roman" w:cs="Times New Roman"/>
          <w:sz w:val="24"/>
          <w:szCs w:val="24"/>
        </w:rPr>
        <w:t>.</w:t>
      </w:r>
      <w:r w:rsidR="00EA4747">
        <w:rPr>
          <w:rFonts w:ascii="Times New Roman" w:hAnsi="Times New Roman" w:cs="Times New Roman"/>
          <w:sz w:val="24"/>
          <w:szCs w:val="24"/>
        </w:rPr>
        <w:t xml:space="preserve"> Those measurements </w:t>
      </w:r>
      <w:r w:rsidR="005924DE">
        <w:rPr>
          <w:rFonts w:ascii="Times New Roman" w:hAnsi="Times New Roman" w:cs="Times New Roman"/>
          <w:sz w:val="24"/>
          <w:szCs w:val="24"/>
        </w:rPr>
        <w:t>were used to determine</w:t>
      </w:r>
      <w:r w:rsidR="00EA4747">
        <w:rPr>
          <w:rFonts w:ascii="Times New Roman" w:hAnsi="Times New Roman" w:cs="Times New Roman"/>
          <w:sz w:val="24"/>
          <w:szCs w:val="24"/>
        </w:rPr>
        <w:t xml:space="preserve"> declinations</w:t>
      </w:r>
      <w:r w:rsidR="00AD7DD7">
        <w:rPr>
          <w:rFonts w:ascii="Times New Roman" w:hAnsi="Times New Roman" w:cs="Times New Roman"/>
          <w:sz w:val="24"/>
          <w:szCs w:val="24"/>
        </w:rPr>
        <w:t xml:space="preserve"> </w:t>
      </w:r>
      <w:r w:rsidR="005924DE">
        <w:rPr>
          <w:rFonts w:ascii="Times New Roman" w:hAnsi="Times New Roman" w:cs="Times New Roman"/>
          <w:sz w:val="24"/>
          <w:szCs w:val="24"/>
        </w:rPr>
        <w:t>and</w:t>
      </w:r>
      <w:r w:rsidR="00EA4747">
        <w:rPr>
          <w:rFonts w:ascii="Times New Roman" w:hAnsi="Times New Roman" w:cs="Times New Roman"/>
          <w:sz w:val="24"/>
          <w:szCs w:val="24"/>
        </w:rPr>
        <w:t xml:space="preserve"> were </w:t>
      </w:r>
      <w:r w:rsidR="005924DE">
        <w:rPr>
          <w:rFonts w:ascii="Times New Roman" w:hAnsi="Times New Roman" w:cs="Times New Roman"/>
          <w:sz w:val="24"/>
          <w:szCs w:val="24"/>
        </w:rPr>
        <w:t>cross-referenced</w:t>
      </w:r>
      <w:r w:rsidR="00EA4747">
        <w:rPr>
          <w:rFonts w:ascii="Times New Roman" w:hAnsi="Times New Roman" w:cs="Times New Roman"/>
          <w:sz w:val="24"/>
          <w:szCs w:val="24"/>
        </w:rPr>
        <w:t xml:space="preserve"> in declination tables in order to</w:t>
      </w:r>
      <w:r w:rsidR="006C3715">
        <w:rPr>
          <w:rFonts w:ascii="Times New Roman" w:hAnsi="Times New Roman" w:cs="Times New Roman"/>
          <w:sz w:val="24"/>
          <w:szCs w:val="24"/>
        </w:rPr>
        <w:t xml:space="preserve"> determine any correspondence with the Dūr-Kurigalzu declinations and declinations </w:t>
      </w:r>
      <w:r w:rsidR="005924DE">
        <w:rPr>
          <w:rFonts w:ascii="Times New Roman" w:hAnsi="Times New Roman" w:cs="Times New Roman"/>
          <w:sz w:val="24"/>
          <w:szCs w:val="24"/>
        </w:rPr>
        <w:t>of</w:t>
      </w:r>
      <w:r w:rsidR="00EA4747">
        <w:rPr>
          <w:rFonts w:ascii="Times New Roman" w:hAnsi="Times New Roman" w:cs="Times New Roman"/>
          <w:sz w:val="24"/>
          <w:szCs w:val="24"/>
        </w:rPr>
        <w:t xml:space="preserve"> relevant celestial phenomena</w:t>
      </w:r>
      <w:r w:rsidR="006C3715">
        <w:rPr>
          <w:rFonts w:ascii="Times New Roman" w:hAnsi="Times New Roman" w:cs="Times New Roman"/>
          <w:sz w:val="24"/>
          <w:szCs w:val="24"/>
        </w:rPr>
        <w:t xml:space="preserve"> during the Kassite dynasty</w:t>
      </w:r>
      <w:r w:rsidR="00EA4747">
        <w:rPr>
          <w:rFonts w:ascii="Times New Roman" w:hAnsi="Times New Roman" w:cs="Times New Roman"/>
          <w:sz w:val="24"/>
          <w:szCs w:val="24"/>
        </w:rPr>
        <w:t>.</w:t>
      </w:r>
      <w:r w:rsidR="006C3715">
        <w:rPr>
          <w:rFonts w:ascii="Times New Roman" w:hAnsi="Times New Roman" w:cs="Times New Roman"/>
          <w:sz w:val="24"/>
          <w:szCs w:val="24"/>
        </w:rPr>
        <w:t xml:space="preserve"> </w:t>
      </w:r>
      <w:r w:rsidR="00893A79">
        <w:rPr>
          <w:rFonts w:ascii="Times New Roman" w:hAnsi="Times New Roman" w:cs="Times New Roman"/>
          <w:sz w:val="24"/>
          <w:szCs w:val="24"/>
        </w:rPr>
        <w:t>In order to view the movements of the luminaries and check declinations of sun/moon rises and sets during Summer and Winter Solstices, c</w:t>
      </w:r>
      <w:r w:rsidR="006C3715">
        <w:rPr>
          <w:rFonts w:ascii="Times New Roman" w:hAnsi="Times New Roman" w:cs="Times New Roman"/>
          <w:sz w:val="24"/>
          <w:szCs w:val="24"/>
        </w:rPr>
        <w:t>oordinates from Google Earth Pro were imputed into Stellarium software</w:t>
      </w:r>
      <w:r w:rsidR="00AD7DD7">
        <w:rPr>
          <w:rFonts w:ascii="Times New Roman" w:hAnsi="Times New Roman" w:cs="Times New Roman"/>
          <w:sz w:val="24"/>
          <w:szCs w:val="24"/>
        </w:rPr>
        <w:t xml:space="preserve"> (Fig.</w:t>
      </w:r>
      <w:r w:rsidR="006C3715">
        <w:rPr>
          <w:rFonts w:ascii="Times New Roman" w:hAnsi="Times New Roman" w:cs="Times New Roman"/>
          <w:sz w:val="24"/>
          <w:szCs w:val="24"/>
        </w:rPr>
        <w:t xml:space="preserve"> </w:t>
      </w:r>
      <w:r w:rsidR="001C7DF5">
        <w:rPr>
          <w:rFonts w:ascii="Times New Roman" w:hAnsi="Times New Roman" w:cs="Times New Roman"/>
          <w:sz w:val="24"/>
          <w:szCs w:val="24"/>
        </w:rPr>
        <w:t>16</w:t>
      </w:r>
      <w:r w:rsidR="00AD7DD7">
        <w:rPr>
          <w:rFonts w:ascii="Times New Roman" w:hAnsi="Times New Roman" w:cs="Times New Roman"/>
          <w:sz w:val="24"/>
          <w:szCs w:val="24"/>
        </w:rPr>
        <w:t xml:space="preserve">) </w:t>
      </w:r>
      <w:r w:rsidR="006C3715">
        <w:rPr>
          <w:rFonts w:ascii="Times New Roman" w:hAnsi="Times New Roman" w:cs="Times New Roman"/>
          <w:sz w:val="24"/>
          <w:szCs w:val="24"/>
        </w:rPr>
        <w:t>and the date was set back to</w:t>
      </w:r>
      <w:r w:rsidR="00947FD3">
        <w:rPr>
          <w:rFonts w:ascii="Times New Roman" w:hAnsi="Times New Roman" w:cs="Times New Roman"/>
          <w:sz w:val="24"/>
          <w:szCs w:val="24"/>
        </w:rPr>
        <w:t xml:space="preserve"> J</w:t>
      </w:r>
      <w:r w:rsidR="00893A79">
        <w:rPr>
          <w:rFonts w:ascii="Times New Roman" w:hAnsi="Times New Roman" w:cs="Times New Roman"/>
          <w:sz w:val="24"/>
          <w:szCs w:val="24"/>
        </w:rPr>
        <w:t>anuary</w:t>
      </w:r>
      <w:r w:rsidR="00947FD3">
        <w:rPr>
          <w:rFonts w:ascii="Times New Roman" w:hAnsi="Times New Roman" w:cs="Times New Roman"/>
          <w:sz w:val="24"/>
          <w:szCs w:val="24"/>
        </w:rPr>
        <w:t xml:space="preserve"> (Akk. </w:t>
      </w:r>
      <w:r w:rsidR="00947FD3" w:rsidRPr="00947FD3">
        <w:rPr>
          <w:rFonts w:ascii="Times New Roman" w:hAnsi="Times New Roman" w:cs="Times New Roman"/>
          <w:i/>
          <w:sz w:val="24"/>
          <w:szCs w:val="24"/>
        </w:rPr>
        <w:t>Ṭebētum</w:t>
      </w:r>
      <w:r w:rsidR="00947FD3">
        <w:rPr>
          <w:rFonts w:ascii="Times New Roman" w:hAnsi="Times New Roman" w:cs="Times New Roman"/>
          <w:sz w:val="24"/>
          <w:szCs w:val="24"/>
        </w:rPr>
        <w:t>)</w:t>
      </w:r>
      <w:r w:rsidR="00E93E7D">
        <w:rPr>
          <w:rFonts w:ascii="Times New Roman" w:hAnsi="Times New Roman" w:cs="Times New Roman"/>
          <w:sz w:val="24"/>
          <w:szCs w:val="24"/>
        </w:rPr>
        <w:t xml:space="preserve"> </w:t>
      </w:r>
      <w:r w:rsidR="00893A79">
        <w:rPr>
          <w:rFonts w:ascii="Times New Roman" w:hAnsi="Times New Roman" w:cs="Times New Roman"/>
          <w:sz w:val="24"/>
          <w:szCs w:val="24"/>
        </w:rPr>
        <w:t>1,</w:t>
      </w:r>
      <w:r w:rsidR="006C3715">
        <w:rPr>
          <w:rFonts w:ascii="Times New Roman" w:hAnsi="Times New Roman" w:cs="Times New Roman"/>
          <w:sz w:val="24"/>
          <w:szCs w:val="24"/>
        </w:rPr>
        <w:t xml:space="preserve"> 1380 BCE. Th</w:t>
      </w:r>
      <w:r w:rsidR="00E93E7D">
        <w:rPr>
          <w:rFonts w:ascii="Times New Roman" w:hAnsi="Times New Roman" w:cs="Times New Roman"/>
          <w:sz w:val="24"/>
          <w:szCs w:val="24"/>
        </w:rPr>
        <w:t>e selected date</w:t>
      </w:r>
      <w:r w:rsidR="006C3715">
        <w:rPr>
          <w:rFonts w:ascii="Times New Roman" w:hAnsi="Times New Roman" w:cs="Times New Roman"/>
          <w:sz w:val="24"/>
          <w:szCs w:val="24"/>
        </w:rPr>
        <w:t xml:space="preserve"> was five years before the death of king Kurigalzu I in 1375 BCE.</w:t>
      </w:r>
      <w:r w:rsidR="00893A79">
        <w:rPr>
          <w:rFonts w:ascii="Times New Roman" w:hAnsi="Times New Roman" w:cs="Times New Roman"/>
          <w:sz w:val="24"/>
          <w:szCs w:val="24"/>
        </w:rPr>
        <w:t xml:space="preserve"> </w:t>
      </w:r>
      <w:r w:rsidR="006C3715">
        <w:rPr>
          <w:rFonts w:ascii="Times New Roman" w:hAnsi="Times New Roman" w:cs="Times New Roman"/>
          <w:sz w:val="24"/>
          <w:szCs w:val="24"/>
        </w:rPr>
        <w:t xml:space="preserve"> </w:t>
      </w:r>
    </w:p>
    <w:p w:rsidR="004D6829" w:rsidRPr="00C670BF" w:rsidRDefault="00D053A4" w:rsidP="00FA1D8D">
      <w:pPr>
        <w:jc w:val="left"/>
        <w:rPr>
          <w:rFonts w:ascii="Times New Roman" w:hAnsi="Times New Roman" w:cs="Times New Roman"/>
          <w:sz w:val="24"/>
          <w:szCs w:val="24"/>
        </w:rPr>
      </w:pPr>
      <w:r>
        <w:rPr>
          <w:rFonts w:ascii="Times New Roman" w:hAnsi="Times New Roman" w:cs="Times New Roman"/>
          <w:sz w:val="24"/>
          <w:szCs w:val="24"/>
        </w:rPr>
        <w:tab/>
      </w:r>
      <w:r w:rsidR="008648B7">
        <w:rPr>
          <w:rFonts w:ascii="Times New Roman" w:hAnsi="Times New Roman" w:cs="Times New Roman"/>
          <w:sz w:val="24"/>
          <w:szCs w:val="24"/>
        </w:rPr>
        <w:t>Literature published concerning the ziggurat at Dūr-Kurigalzu states that t</w:t>
      </w:r>
      <w:r w:rsidR="00E2087B">
        <w:rPr>
          <w:rFonts w:ascii="Times New Roman" w:hAnsi="Times New Roman" w:cs="Times New Roman"/>
          <w:sz w:val="24"/>
          <w:szCs w:val="24"/>
        </w:rPr>
        <w:t xml:space="preserve">he </w:t>
      </w:r>
      <w:r w:rsidR="00636AAB">
        <w:rPr>
          <w:rFonts w:ascii="Times New Roman" w:hAnsi="Times New Roman" w:cs="Times New Roman"/>
          <w:sz w:val="24"/>
          <w:szCs w:val="24"/>
        </w:rPr>
        <w:t xml:space="preserve">four corners of the </w:t>
      </w:r>
      <w:r w:rsidR="00E2087B">
        <w:rPr>
          <w:rFonts w:ascii="Times New Roman" w:hAnsi="Times New Roman" w:cs="Times New Roman"/>
          <w:sz w:val="24"/>
          <w:szCs w:val="24"/>
        </w:rPr>
        <w:t xml:space="preserve">ziggurat </w:t>
      </w:r>
      <w:r w:rsidR="00636AAB">
        <w:rPr>
          <w:rFonts w:ascii="Times New Roman" w:hAnsi="Times New Roman" w:cs="Times New Roman"/>
          <w:sz w:val="24"/>
          <w:szCs w:val="24"/>
        </w:rPr>
        <w:t>are very closely aligned to the cardinal directions</w:t>
      </w:r>
      <w:r w:rsidR="00690A1B">
        <w:rPr>
          <w:rFonts w:ascii="Times New Roman" w:hAnsi="Times New Roman" w:cs="Times New Roman"/>
          <w:sz w:val="24"/>
          <w:szCs w:val="24"/>
        </w:rPr>
        <w:t xml:space="preserve"> </w:t>
      </w:r>
      <w:r w:rsidR="008648B7">
        <w:rPr>
          <w:rFonts w:ascii="Times New Roman" w:hAnsi="Times New Roman" w:cs="Times New Roman"/>
          <w:sz w:val="24"/>
          <w:szCs w:val="24"/>
        </w:rPr>
        <w:t>and this information was confirmed when measurements were taken</w:t>
      </w:r>
      <w:r w:rsidR="000C11BB">
        <w:rPr>
          <w:rFonts w:ascii="Times New Roman" w:hAnsi="Times New Roman" w:cs="Times New Roman"/>
          <w:sz w:val="24"/>
          <w:szCs w:val="24"/>
        </w:rPr>
        <w:t xml:space="preserve"> using the ruler tool in Google Earth Pro with 2010 satellite imagery</w:t>
      </w:r>
      <w:r w:rsidR="00690A1B">
        <w:rPr>
          <w:rFonts w:ascii="Times New Roman" w:hAnsi="Times New Roman" w:cs="Times New Roman"/>
          <w:sz w:val="24"/>
          <w:szCs w:val="24"/>
        </w:rPr>
        <w:t>.</w:t>
      </w:r>
      <w:r w:rsidR="00636AAB">
        <w:rPr>
          <w:rFonts w:ascii="Times New Roman" w:hAnsi="Times New Roman" w:cs="Times New Roman"/>
          <w:sz w:val="24"/>
          <w:szCs w:val="24"/>
        </w:rPr>
        <w:t xml:space="preserve"> </w:t>
      </w:r>
      <w:r w:rsidR="008648B7">
        <w:rPr>
          <w:rFonts w:ascii="Times New Roman" w:hAnsi="Times New Roman" w:cs="Times New Roman"/>
          <w:sz w:val="24"/>
          <w:szCs w:val="24"/>
        </w:rPr>
        <w:t>The l</w:t>
      </w:r>
      <w:r w:rsidR="000C11BB">
        <w:rPr>
          <w:rFonts w:ascii="Times New Roman" w:hAnsi="Times New Roman" w:cs="Times New Roman"/>
          <w:sz w:val="24"/>
          <w:szCs w:val="24"/>
        </w:rPr>
        <w:t>iterature</w:t>
      </w:r>
      <w:r w:rsidR="008648B7">
        <w:rPr>
          <w:rFonts w:ascii="Times New Roman" w:hAnsi="Times New Roman" w:cs="Times New Roman"/>
          <w:sz w:val="24"/>
          <w:szCs w:val="24"/>
        </w:rPr>
        <w:t xml:space="preserve"> </w:t>
      </w:r>
      <w:r w:rsidR="000C11BB">
        <w:rPr>
          <w:rFonts w:ascii="Times New Roman" w:hAnsi="Times New Roman" w:cs="Times New Roman"/>
          <w:sz w:val="24"/>
          <w:szCs w:val="24"/>
        </w:rPr>
        <w:t>claims</w:t>
      </w:r>
      <w:r w:rsidR="008648B7">
        <w:rPr>
          <w:rFonts w:ascii="Times New Roman" w:hAnsi="Times New Roman" w:cs="Times New Roman"/>
          <w:sz w:val="24"/>
          <w:szCs w:val="24"/>
        </w:rPr>
        <w:t xml:space="preserve"> that the ziggurat had two to four levels and the first level is partially reconstructed and visible in Google Earth</w:t>
      </w:r>
      <w:r w:rsidR="00AD7DD7">
        <w:rPr>
          <w:rFonts w:ascii="Times New Roman" w:hAnsi="Times New Roman" w:cs="Times New Roman"/>
          <w:sz w:val="24"/>
          <w:szCs w:val="24"/>
        </w:rPr>
        <w:t xml:space="preserve"> (Fig. 2)</w:t>
      </w:r>
      <w:r w:rsidR="008648B7">
        <w:rPr>
          <w:rFonts w:ascii="Times New Roman" w:hAnsi="Times New Roman" w:cs="Times New Roman"/>
          <w:sz w:val="24"/>
          <w:szCs w:val="24"/>
        </w:rPr>
        <w:t xml:space="preserve">. </w:t>
      </w:r>
      <w:r w:rsidR="00E2087B">
        <w:rPr>
          <w:rFonts w:ascii="Times New Roman" w:hAnsi="Times New Roman" w:cs="Times New Roman"/>
          <w:sz w:val="24"/>
          <w:szCs w:val="24"/>
        </w:rPr>
        <w:t xml:space="preserve">Measurements </w:t>
      </w:r>
      <w:r w:rsidR="00690A1B">
        <w:rPr>
          <w:rFonts w:ascii="Times New Roman" w:hAnsi="Times New Roman" w:cs="Times New Roman"/>
          <w:sz w:val="24"/>
          <w:szCs w:val="24"/>
        </w:rPr>
        <w:t xml:space="preserve">at the first level </w:t>
      </w:r>
      <w:r w:rsidR="00E2087B">
        <w:rPr>
          <w:rFonts w:ascii="Times New Roman" w:hAnsi="Times New Roman" w:cs="Times New Roman"/>
          <w:sz w:val="24"/>
          <w:szCs w:val="24"/>
        </w:rPr>
        <w:t>were taken from the four corners and</w:t>
      </w:r>
      <w:r w:rsidR="00690A1B">
        <w:rPr>
          <w:rFonts w:ascii="Times New Roman" w:hAnsi="Times New Roman" w:cs="Times New Roman"/>
          <w:sz w:val="24"/>
          <w:szCs w:val="24"/>
        </w:rPr>
        <w:t xml:space="preserve"> at</w:t>
      </w:r>
      <w:r w:rsidR="00E2087B">
        <w:rPr>
          <w:rFonts w:ascii="Times New Roman" w:hAnsi="Times New Roman" w:cs="Times New Roman"/>
          <w:sz w:val="24"/>
          <w:szCs w:val="24"/>
        </w:rPr>
        <w:t xml:space="preserve"> the top of the axial staircase in the </w:t>
      </w:r>
      <w:r w:rsidR="00636AAB">
        <w:rPr>
          <w:rFonts w:ascii="Times New Roman" w:hAnsi="Times New Roman" w:cs="Times New Roman"/>
          <w:sz w:val="24"/>
          <w:szCs w:val="24"/>
        </w:rPr>
        <w:t>southeast</w:t>
      </w:r>
      <w:r w:rsidR="00E2087B">
        <w:rPr>
          <w:rFonts w:ascii="Times New Roman" w:hAnsi="Times New Roman" w:cs="Times New Roman"/>
          <w:sz w:val="24"/>
          <w:szCs w:val="24"/>
        </w:rPr>
        <w:t>.</w:t>
      </w:r>
      <w:r w:rsidR="005231CE">
        <w:rPr>
          <w:rFonts w:ascii="Times New Roman" w:hAnsi="Times New Roman" w:cs="Times New Roman"/>
          <w:sz w:val="24"/>
          <w:szCs w:val="24"/>
        </w:rPr>
        <w:t xml:space="preserve"> The locations selected for measurement were not based upon any ethnographical data, but </w:t>
      </w:r>
      <w:r w:rsidR="00E93E7D">
        <w:rPr>
          <w:rFonts w:ascii="Times New Roman" w:hAnsi="Times New Roman" w:cs="Times New Roman"/>
          <w:sz w:val="24"/>
          <w:szCs w:val="24"/>
        </w:rPr>
        <w:t xml:space="preserve">rather </w:t>
      </w:r>
      <w:r w:rsidR="005231CE">
        <w:rPr>
          <w:rFonts w:ascii="Times New Roman" w:hAnsi="Times New Roman" w:cs="Times New Roman"/>
          <w:sz w:val="24"/>
          <w:szCs w:val="24"/>
        </w:rPr>
        <w:t xml:space="preserve">were selected based upon the suggested locations for celestial orientations at the ziggurats explored in the above-mentioned archaeoastronomical </w:t>
      </w:r>
      <w:r w:rsidR="00EA4747">
        <w:rPr>
          <w:rFonts w:ascii="Times New Roman" w:hAnsi="Times New Roman" w:cs="Times New Roman"/>
          <w:sz w:val="24"/>
          <w:szCs w:val="24"/>
        </w:rPr>
        <w:t>research.</w:t>
      </w:r>
      <w:r w:rsidR="00E2087B">
        <w:rPr>
          <w:rFonts w:ascii="Times New Roman" w:hAnsi="Times New Roman" w:cs="Times New Roman"/>
          <w:sz w:val="24"/>
          <w:szCs w:val="24"/>
        </w:rPr>
        <w:t xml:space="preserve"> </w:t>
      </w:r>
      <w:r w:rsidR="00636AAB">
        <w:rPr>
          <w:rFonts w:ascii="Times New Roman" w:hAnsi="Times New Roman" w:cs="Times New Roman"/>
          <w:sz w:val="24"/>
          <w:szCs w:val="24"/>
        </w:rPr>
        <w:t>These f</w:t>
      </w:r>
      <w:r w:rsidR="00BA51DE">
        <w:rPr>
          <w:rFonts w:ascii="Times New Roman" w:hAnsi="Times New Roman" w:cs="Times New Roman"/>
          <w:sz w:val="24"/>
          <w:szCs w:val="24"/>
        </w:rPr>
        <w:t xml:space="preserve">ive possible celestial orientation points were measured using </w:t>
      </w:r>
      <w:r w:rsidR="004D6829">
        <w:rPr>
          <w:rFonts w:ascii="Times New Roman" w:hAnsi="Times New Roman" w:cs="Times New Roman"/>
          <w:sz w:val="24"/>
          <w:szCs w:val="24"/>
        </w:rPr>
        <w:t xml:space="preserve">the latitude and longitude coordinates in </w:t>
      </w:r>
      <w:r w:rsidR="00E2087B">
        <w:rPr>
          <w:rFonts w:ascii="Times New Roman" w:hAnsi="Times New Roman" w:cs="Times New Roman"/>
          <w:sz w:val="24"/>
          <w:szCs w:val="24"/>
        </w:rPr>
        <w:t>Google Earth Pro.</w:t>
      </w:r>
      <w:r w:rsidR="00636AAB">
        <w:rPr>
          <w:rFonts w:ascii="Times New Roman" w:hAnsi="Times New Roman" w:cs="Times New Roman"/>
          <w:sz w:val="24"/>
          <w:szCs w:val="24"/>
        </w:rPr>
        <w:t xml:space="preserve"> </w:t>
      </w:r>
      <w:r w:rsidR="008F6E94">
        <w:rPr>
          <w:rFonts w:ascii="Times New Roman" w:hAnsi="Times New Roman" w:cs="Times New Roman"/>
          <w:sz w:val="24"/>
          <w:szCs w:val="24"/>
        </w:rPr>
        <w:t xml:space="preserve">All five measurements were taken from 89 m ‘eye altitude’ (how </w:t>
      </w:r>
      <w:r w:rsidR="005B5F31">
        <w:rPr>
          <w:rFonts w:ascii="Times New Roman" w:hAnsi="Times New Roman" w:cs="Times New Roman"/>
          <w:sz w:val="24"/>
          <w:szCs w:val="24"/>
        </w:rPr>
        <w:t>much</w:t>
      </w:r>
      <w:r w:rsidR="008F6E94">
        <w:rPr>
          <w:rFonts w:ascii="Times New Roman" w:hAnsi="Times New Roman" w:cs="Times New Roman"/>
          <w:sz w:val="24"/>
          <w:szCs w:val="24"/>
        </w:rPr>
        <w:t xml:space="preserve"> the imagery is zoomed in).</w:t>
      </w:r>
      <w:r w:rsidR="00AB5BAA">
        <w:rPr>
          <w:rFonts w:ascii="Times New Roman" w:hAnsi="Times New Roman" w:cs="Times New Roman"/>
          <w:sz w:val="24"/>
          <w:szCs w:val="24"/>
        </w:rPr>
        <w:t xml:space="preserve"> Pixel resolution on images from Google Earth are &gt;40 cm, therefore </w:t>
      </w:r>
      <w:r w:rsidR="00AB5BAA">
        <w:rPr>
          <w:rFonts w:ascii="Times New Roman" w:hAnsi="Times New Roman" w:cs="Times New Roman"/>
          <w:sz w:val="24"/>
          <w:szCs w:val="24"/>
        </w:rPr>
        <w:lastRenderedPageBreak/>
        <w:t xml:space="preserve">the liner measurement least error is </w:t>
      </w:r>
      <w:r w:rsidR="00AB5BAA" w:rsidRPr="00AB5BAA">
        <w:rPr>
          <w:rFonts w:ascii="Times New Roman" w:hAnsi="Times New Roman" w:cs="Times New Roman"/>
          <w:sz w:val="24"/>
          <w:szCs w:val="24"/>
        </w:rPr>
        <w:t>+</w:t>
      </w:r>
      <w:r w:rsidR="00AB5BAA">
        <w:rPr>
          <w:rFonts w:ascii="Times New Roman" w:hAnsi="Times New Roman" w:cs="Times New Roman"/>
          <w:sz w:val="24"/>
          <w:szCs w:val="24"/>
        </w:rPr>
        <w:t>40 cm / -40 cm.</w:t>
      </w:r>
      <w:r w:rsidR="00AB5BAA">
        <w:rPr>
          <w:rStyle w:val="FootnoteReference"/>
          <w:rFonts w:ascii="Times New Roman" w:hAnsi="Times New Roman" w:cs="Times New Roman"/>
          <w:sz w:val="24"/>
          <w:szCs w:val="24"/>
        </w:rPr>
        <w:footnoteReference w:id="35"/>
      </w:r>
      <w:r w:rsidR="00690A1B">
        <w:rPr>
          <w:rFonts w:ascii="Times New Roman" w:hAnsi="Times New Roman" w:cs="Times New Roman"/>
          <w:sz w:val="24"/>
          <w:szCs w:val="24"/>
        </w:rPr>
        <w:t xml:space="preserve"> </w:t>
      </w:r>
      <w:r w:rsidR="005F47CC">
        <w:rPr>
          <w:rFonts w:ascii="Times New Roman" w:hAnsi="Times New Roman" w:cs="Times New Roman"/>
          <w:sz w:val="24"/>
          <w:szCs w:val="24"/>
        </w:rPr>
        <w:t xml:space="preserve">True and magnetic north are not shown on </w:t>
      </w:r>
      <w:r w:rsidR="000C11BB">
        <w:rPr>
          <w:rFonts w:ascii="Times New Roman" w:hAnsi="Times New Roman" w:cs="Times New Roman"/>
          <w:sz w:val="24"/>
          <w:szCs w:val="24"/>
        </w:rPr>
        <w:t>Google Earth</w:t>
      </w:r>
      <w:r w:rsidR="00B948B9">
        <w:rPr>
          <w:rFonts w:ascii="Times New Roman" w:hAnsi="Times New Roman" w:cs="Times New Roman"/>
          <w:sz w:val="24"/>
          <w:szCs w:val="24"/>
        </w:rPr>
        <w:t>,</w:t>
      </w:r>
      <w:r w:rsidR="005F47CC">
        <w:rPr>
          <w:rFonts w:ascii="Times New Roman" w:hAnsi="Times New Roman" w:cs="Times New Roman"/>
          <w:sz w:val="24"/>
          <w:szCs w:val="24"/>
        </w:rPr>
        <w:t xml:space="preserve"> which uses a form of grid north </w:t>
      </w:r>
      <w:r w:rsidR="00B948B9">
        <w:rPr>
          <w:rFonts w:ascii="Times New Roman" w:hAnsi="Times New Roman" w:cs="Times New Roman"/>
          <w:sz w:val="24"/>
          <w:szCs w:val="24"/>
        </w:rPr>
        <w:t>that</w:t>
      </w:r>
      <w:r w:rsidR="005F47CC">
        <w:rPr>
          <w:rFonts w:ascii="Times New Roman" w:hAnsi="Times New Roman" w:cs="Times New Roman"/>
          <w:sz w:val="24"/>
          <w:szCs w:val="24"/>
        </w:rPr>
        <w:t xml:space="preserve"> coincides with true north.</w:t>
      </w:r>
      <w:r w:rsidR="005F47CC">
        <w:rPr>
          <w:rStyle w:val="FootnoteReference"/>
          <w:rFonts w:ascii="Times New Roman" w:hAnsi="Times New Roman" w:cs="Times New Roman"/>
          <w:sz w:val="24"/>
          <w:szCs w:val="24"/>
        </w:rPr>
        <w:footnoteReference w:id="36"/>
      </w:r>
      <w:r w:rsidR="005F47CC">
        <w:rPr>
          <w:rFonts w:ascii="Times New Roman" w:hAnsi="Times New Roman" w:cs="Times New Roman"/>
          <w:sz w:val="24"/>
          <w:szCs w:val="24"/>
        </w:rPr>
        <w:t xml:space="preserve"> </w:t>
      </w:r>
      <w:r w:rsidR="00690A1B">
        <w:rPr>
          <w:rFonts w:ascii="Times New Roman" w:hAnsi="Times New Roman" w:cs="Times New Roman"/>
          <w:sz w:val="24"/>
          <w:szCs w:val="24"/>
        </w:rPr>
        <w:t>The horizon in Mesopotamia was typically flat and Dūr-Kurigalzu is no exception. The horizon altitude is virtually nil (0.05 m). After measurements were obtained</w:t>
      </w:r>
      <w:r w:rsidR="006E4DA0">
        <w:rPr>
          <w:rFonts w:ascii="Times New Roman" w:hAnsi="Times New Roman" w:cs="Times New Roman"/>
          <w:sz w:val="24"/>
          <w:szCs w:val="24"/>
        </w:rPr>
        <w:t xml:space="preserve">, they were subtracted from 360 in order to determine azimuths. The azimuths, horizon altitudes, and latitudes were </w:t>
      </w:r>
      <w:r w:rsidR="00C670BF">
        <w:rPr>
          <w:rFonts w:ascii="Times New Roman" w:hAnsi="Times New Roman" w:cs="Times New Roman"/>
          <w:sz w:val="24"/>
          <w:szCs w:val="24"/>
        </w:rPr>
        <w:t xml:space="preserve">calculated </w:t>
      </w:r>
      <w:r w:rsidR="004D6829" w:rsidRPr="00C670BF">
        <w:rPr>
          <w:rFonts w:ascii="Times New Roman" w:hAnsi="Times New Roman" w:cs="Times New Roman"/>
          <w:sz w:val="24"/>
          <w:szCs w:val="24"/>
        </w:rPr>
        <w:t>in order to provide declinations</w:t>
      </w:r>
      <w:r w:rsidR="00AD7DD7">
        <w:rPr>
          <w:rFonts w:ascii="Times New Roman" w:hAnsi="Times New Roman" w:cs="Times New Roman"/>
          <w:sz w:val="24"/>
          <w:szCs w:val="24"/>
        </w:rPr>
        <w:t xml:space="preserve"> (Fig. </w:t>
      </w:r>
      <w:r w:rsidR="001C7DF5">
        <w:rPr>
          <w:rFonts w:ascii="Times New Roman" w:hAnsi="Times New Roman" w:cs="Times New Roman"/>
          <w:sz w:val="24"/>
          <w:szCs w:val="24"/>
        </w:rPr>
        <w:t>12</w:t>
      </w:r>
      <w:r w:rsidR="00AD7DD7">
        <w:rPr>
          <w:rFonts w:ascii="Times New Roman" w:hAnsi="Times New Roman" w:cs="Times New Roman"/>
          <w:sz w:val="24"/>
          <w:szCs w:val="24"/>
        </w:rPr>
        <w:t>)</w:t>
      </w:r>
      <w:r w:rsidR="004D6829" w:rsidRPr="00C670BF">
        <w:rPr>
          <w:rFonts w:ascii="Times New Roman" w:hAnsi="Times New Roman" w:cs="Times New Roman"/>
          <w:sz w:val="24"/>
          <w:szCs w:val="24"/>
        </w:rPr>
        <w:t>.</w:t>
      </w:r>
      <w:r w:rsidR="00C670BF">
        <w:rPr>
          <w:rStyle w:val="FootnoteReference"/>
          <w:rFonts w:ascii="Times New Roman" w:hAnsi="Times New Roman" w:cs="Times New Roman"/>
          <w:sz w:val="24"/>
          <w:szCs w:val="24"/>
        </w:rPr>
        <w:footnoteReference w:id="37"/>
      </w:r>
    </w:p>
    <w:p w:rsidR="003E5190" w:rsidRPr="00C670BF" w:rsidRDefault="007F0309" w:rsidP="00FA1D8D">
      <w:pPr>
        <w:jc w:val="left"/>
        <w:rPr>
          <w:rFonts w:ascii="Times New Roman" w:hAnsi="Times New Roman" w:cs="Times New Roman"/>
          <w:sz w:val="24"/>
          <w:szCs w:val="24"/>
        </w:rPr>
      </w:pPr>
      <w:r>
        <w:rPr>
          <w:rFonts w:ascii="Times New Roman" w:hAnsi="Times New Roman" w:cs="Times New Roman"/>
          <w:sz w:val="24"/>
          <w:szCs w:val="24"/>
        </w:rPr>
        <w:tab/>
      </w:r>
      <w:r w:rsidR="004D6829" w:rsidRPr="00C670BF">
        <w:rPr>
          <w:rFonts w:ascii="Times New Roman" w:hAnsi="Times New Roman" w:cs="Times New Roman"/>
          <w:sz w:val="24"/>
          <w:szCs w:val="24"/>
        </w:rPr>
        <w:t>Starting atop the axial staircase and attempting to measure down the center o</w:t>
      </w:r>
      <w:r w:rsidR="00DD03A6" w:rsidRPr="00C670BF">
        <w:rPr>
          <w:rFonts w:ascii="Times New Roman" w:hAnsi="Times New Roman" w:cs="Times New Roman"/>
          <w:sz w:val="24"/>
          <w:szCs w:val="24"/>
        </w:rPr>
        <w:t>f</w:t>
      </w:r>
      <w:r w:rsidR="004D6829" w:rsidRPr="00C670BF">
        <w:rPr>
          <w:rFonts w:ascii="Times New Roman" w:hAnsi="Times New Roman" w:cs="Times New Roman"/>
          <w:sz w:val="24"/>
          <w:szCs w:val="24"/>
        </w:rPr>
        <w:t xml:space="preserve"> the staircase</w:t>
      </w:r>
      <w:r w:rsidR="00AD7DD7">
        <w:rPr>
          <w:rFonts w:ascii="Times New Roman" w:hAnsi="Times New Roman" w:cs="Times New Roman"/>
          <w:sz w:val="24"/>
          <w:szCs w:val="24"/>
        </w:rPr>
        <w:t xml:space="preserve"> (Fig. 7)</w:t>
      </w:r>
      <w:r w:rsidR="004D6829" w:rsidRPr="00C670BF">
        <w:rPr>
          <w:rFonts w:ascii="Times New Roman" w:hAnsi="Times New Roman" w:cs="Times New Roman"/>
          <w:sz w:val="24"/>
          <w:szCs w:val="24"/>
        </w:rPr>
        <w:t xml:space="preserve"> provided a measurement of 140.70° SE</w:t>
      </w:r>
      <w:r w:rsidR="004D6829" w:rsidRPr="00C670BF">
        <w:rPr>
          <w:rFonts w:ascii="Times New Roman" w:hAnsi="Times New Roman" w:cs="Times New Roman"/>
          <w:sz w:val="24"/>
          <w:szCs w:val="24"/>
        </w:rPr>
        <w:tab/>
      </w:r>
      <w:r w:rsidR="00DD03A6" w:rsidRPr="00C670BF">
        <w:rPr>
          <w:rFonts w:ascii="Times New Roman" w:hAnsi="Times New Roman" w:cs="Times New Roman"/>
          <w:sz w:val="24"/>
          <w:szCs w:val="24"/>
        </w:rPr>
        <w:t>(</w:t>
      </w:r>
      <w:r w:rsidR="004D6829" w:rsidRPr="00C670BF">
        <w:rPr>
          <w:rFonts w:ascii="Times New Roman" w:hAnsi="Times New Roman" w:cs="Times New Roman"/>
          <w:sz w:val="24"/>
          <w:szCs w:val="24"/>
        </w:rPr>
        <w:t>33°21’12.47</w:t>
      </w:r>
      <w:r w:rsidR="007B1E86">
        <w:rPr>
          <w:rFonts w:ascii="Times New Roman" w:hAnsi="Times New Roman" w:cs="Times New Roman"/>
          <w:sz w:val="24"/>
          <w:szCs w:val="24"/>
        </w:rPr>
        <w:t>’’</w:t>
      </w:r>
      <w:r w:rsidR="00DD03A6" w:rsidRPr="00C670BF">
        <w:rPr>
          <w:rFonts w:ascii="Times New Roman" w:hAnsi="Times New Roman" w:cs="Times New Roman"/>
          <w:sz w:val="24"/>
          <w:szCs w:val="24"/>
        </w:rPr>
        <w:t xml:space="preserve"> </w:t>
      </w:r>
      <w:r w:rsidR="004D6829" w:rsidRPr="00C670BF">
        <w:rPr>
          <w:rFonts w:ascii="Times New Roman" w:hAnsi="Times New Roman" w:cs="Times New Roman"/>
          <w:sz w:val="24"/>
          <w:szCs w:val="24"/>
        </w:rPr>
        <w:t>N</w:t>
      </w:r>
      <w:r w:rsidR="00DD03A6" w:rsidRPr="00C670BF">
        <w:rPr>
          <w:rFonts w:ascii="Times New Roman" w:hAnsi="Times New Roman" w:cs="Times New Roman"/>
          <w:sz w:val="24"/>
          <w:szCs w:val="24"/>
        </w:rPr>
        <w:t xml:space="preserve">, </w:t>
      </w:r>
      <w:r w:rsidR="004D6829" w:rsidRPr="00C670BF">
        <w:rPr>
          <w:rFonts w:ascii="Times New Roman" w:hAnsi="Times New Roman" w:cs="Times New Roman"/>
          <w:sz w:val="24"/>
          <w:szCs w:val="24"/>
        </w:rPr>
        <w:t>44°12’09.13’’ E</w:t>
      </w:r>
      <w:r w:rsidR="00DD03A6" w:rsidRPr="00C670BF">
        <w:rPr>
          <w:rFonts w:ascii="Times New Roman" w:hAnsi="Times New Roman" w:cs="Times New Roman"/>
          <w:sz w:val="24"/>
          <w:szCs w:val="24"/>
        </w:rPr>
        <w:t xml:space="preserve">) with an azimuth of </w:t>
      </w:r>
      <w:r w:rsidR="004D6829" w:rsidRPr="00C670BF">
        <w:rPr>
          <w:rFonts w:ascii="Times New Roman" w:hAnsi="Times New Roman" w:cs="Times New Roman"/>
          <w:sz w:val="24"/>
          <w:szCs w:val="24"/>
        </w:rPr>
        <w:t>219.30</w:t>
      </w:r>
      <w:r w:rsidR="00DD03A6" w:rsidRPr="00C670BF">
        <w:rPr>
          <w:rFonts w:ascii="Times New Roman" w:hAnsi="Times New Roman" w:cs="Times New Roman"/>
          <w:sz w:val="24"/>
          <w:szCs w:val="24"/>
        </w:rPr>
        <w:t xml:space="preserve"> and a declination of </w:t>
      </w:r>
      <w:r w:rsidR="004D6829" w:rsidRPr="00C670BF">
        <w:rPr>
          <w:rFonts w:ascii="Times New Roman" w:hAnsi="Times New Roman" w:cs="Times New Roman"/>
          <w:sz w:val="24"/>
          <w:szCs w:val="24"/>
        </w:rPr>
        <w:t>-39.91</w:t>
      </w:r>
      <w:r w:rsidR="00DD03A6" w:rsidRPr="00C670BF">
        <w:rPr>
          <w:rFonts w:ascii="Times New Roman" w:hAnsi="Times New Roman" w:cs="Times New Roman"/>
          <w:sz w:val="24"/>
          <w:szCs w:val="24"/>
        </w:rPr>
        <w:t>.</w:t>
      </w:r>
      <w:r w:rsidR="00AD7DD7">
        <w:rPr>
          <w:rFonts w:ascii="Times New Roman" w:hAnsi="Times New Roman" w:cs="Times New Roman"/>
          <w:sz w:val="24"/>
          <w:szCs w:val="24"/>
        </w:rPr>
        <w:t xml:space="preserve"> </w:t>
      </w:r>
      <w:r w:rsidR="00DD03A6" w:rsidRPr="00C670BF">
        <w:rPr>
          <w:rFonts w:ascii="Times New Roman" w:hAnsi="Times New Roman" w:cs="Times New Roman"/>
          <w:sz w:val="24"/>
          <w:szCs w:val="24"/>
        </w:rPr>
        <w:t xml:space="preserve">Measuring from the north corner </w:t>
      </w:r>
      <w:r w:rsidR="00AD7DD7">
        <w:rPr>
          <w:rFonts w:ascii="Times New Roman" w:hAnsi="Times New Roman" w:cs="Times New Roman"/>
          <w:sz w:val="24"/>
          <w:szCs w:val="24"/>
        </w:rPr>
        <w:t xml:space="preserve">(Fig. 8) </w:t>
      </w:r>
      <w:r w:rsidR="00DD03A6" w:rsidRPr="00C670BF">
        <w:rPr>
          <w:rFonts w:ascii="Times New Roman" w:hAnsi="Times New Roman" w:cs="Times New Roman"/>
          <w:sz w:val="24"/>
          <w:szCs w:val="24"/>
        </w:rPr>
        <w:t>provided a measurement of 358.25° N (33°21’14.90’’N, 44°12’06.39’’ E) with an azimuth of 1.75 and a declination of +57.10.</w:t>
      </w:r>
      <w:r w:rsidR="00AD7DD7">
        <w:rPr>
          <w:rFonts w:ascii="Times New Roman" w:hAnsi="Times New Roman" w:cs="Times New Roman"/>
          <w:sz w:val="24"/>
          <w:szCs w:val="24"/>
        </w:rPr>
        <w:t xml:space="preserve"> </w:t>
      </w:r>
      <w:r w:rsidR="00DD03A6" w:rsidRPr="00C670BF">
        <w:rPr>
          <w:rFonts w:ascii="Times New Roman" w:hAnsi="Times New Roman" w:cs="Times New Roman"/>
          <w:sz w:val="24"/>
          <w:szCs w:val="24"/>
        </w:rPr>
        <w:t xml:space="preserve">Measuring from the south corner </w:t>
      </w:r>
      <w:r w:rsidR="00AD7DD7">
        <w:rPr>
          <w:rFonts w:ascii="Times New Roman" w:hAnsi="Times New Roman" w:cs="Times New Roman"/>
          <w:sz w:val="24"/>
          <w:szCs w:val="24"/>
        </w:rPr>
        <w:t xml:space="preserve">(Fig. 9) </w:t>
      </w:r>
      <w:r w:rsidR="00DD03A6" w:rsidRPr="00C670BF">
        <w:rPr>
          <w:rFonts w:ascii="Times New Roman" w:hAnsi="Times New Roman" w:cs="Times New Roman"/>
          <w:sz w:val="24"/>
          <w:szCs w:val="24"/>
        </w:rPr>
        <w:t>provided a measurement of 182.21° S (33°21’11.86’’N, 44°12’07.97’’ E) with an azimuth of 177.79 and a declination of -56.08.</w:t>
      </w:r>
      <w:r w:rsidR="00AD7DD7">
        <w:rPr>
          <w:rFonts w:ascii="Times New Roman" w:hAnsi="Times New Roman" w:cs="Times New Roman"/>
          <w:sz w:val="24"/>
          <w:szCs w:val="24"/>
        </w:rPr>
        <w:t xml:space="preserve"> </w:t>
      </w:r>
      <w:r w:rsidR="00DD03A6" w:rsidRPr="00C670BF">
        <w:rPr>
          <w:rFonts w:ascii="Times New Roman" w:hAnsi="Times New Roman" w:cs="Times New Roman"/>
          <w:sz w:val="24"/>
          <w:szCs w:val="24"/>
        </w:rPr>
        <w:t xml:space="preserve">Measuring from the east corner </w:t>
      </w:r>
      <w:r w:rsidR="00AD7DD7">
        <w:rPr>
          <w:rFonts w:ascii="Times New Roman" w:hAnsi="Times New Roman" w:cs="Times New Roman"/>
          <w:sz w:val="24"/>
          <w:szCs w:val="24"/>
        </w:rPr>
        <w:t xml:space="preserve">(Fig. 10) </w:t>
      </w:r>
      <w:r w:rsidR="00DD03A6" w:rsidRPr="00C670BF">
        <w:rPr>
          <w:rFonts w:ascii="Times New Roman" w:hAnsi="Times New Roman" w:cs="Times New Roman"/>
          <w:sz w:val="24"/>
          <w:szCs w:val="24"/>
        </w:rPr>
        <w:t>prov</w:t>
      </w:r>
      <w:r w:rsidR="00AD7DD7">
        <w:rPr>
          <w:rFonts w:ascii="Times New Roman" w:hAnsi="Times New Roman" w:cs="Times New Roman"/>
          <w:sz w:val="24"/>
          <w:szCs w:val="24"/>
        </w:rPr>
        <w:t xml:space="preserve">ided a measurement of 102.55° E </w:t>
      </w:r>
      <w:r w:rsidR="00DD03A6" w:rsidRPr="00C670BF">
        <w:rPr>
          <w:rFonts w:ascii="Times New Roman" w:hAnsi="Times New Roman" w:cs="Times New Roman"/>
          <w:sz w:val="24"/>
          <w:szCs w:val="24"/>
        </w:rPr>
        <w:t>(33°21’13.30’’N, 44°12’09.13’’ E</w:t>
      </w:r>
      <w:r w:rsidR="003E5190" w:rsidRPr="00C670BF">
        <w:rPr>
          <w:rFonts w:ascii="Times New Roman" w:hAnsi="Times New Roman" w:cs="Times New Roman"/>
          <w:sz w:val="24"/>
          <w:szCs w:val="24"/>
        </w:rPr>
        <w:t xml:space="preserve">) with an azimuth of </w:t>
      </w:r>
      <w:r w:rsidR="00DD03A6" w:rsidRPr="00C670BF">
        <w:rPr>
          <w:rFonts w:ascii="Times New Roman" w:hAnsi="Times New Roman" w:cs="Times New Roman"/>
          <w:sz w:val="24"/>
          <w:szCs w:val="24"/>
        </w:rPr>
        <w:t>257.45</w:t>
      </w:r>
      <w:r w:rsidR="003E5190" w:rsidRPr="00C670BF">
        <w:rPr>
          <w:rFonts w:ascii="Times New Roman" w:hAnsi="Times New Roman" w:cs="Times New Roman"/>
          <w:sz w:val="24"/>
          <w:szCs w:val="24"/>
        </w:rPr>
        <w:t xml:space="preserve"> and a declination of </w:t>
      </w:r>
      <w:r w:rsidR="00DD03A6" w:rsidRPr="00C670BF">
        <w:rPr>
          <w:rFonts w:ascii="Times New Roman" w:hAnsi="Times New Roman" w:cs="Times New Roman"/>
          <w:sz w:val="24"/>
          <w:szCs w:val="24"/>
        </w:rPr>
        <w:t>-10.18.</w:t>
      </w:r>
      <w:r w:rsidR="00AD7DD7">
        <w:rPr>
          <w:rFonts w:ascii="Times New Roman" w:hAnsi="Times New Roman" w:cs="Times New Roman"/>
          <w:sz w:val="24"/>
          <w:szCs w:val="24"/>
        </w:rPr>
        <w:t xml:space="preserve"> </w:t>
      </w:r>
      <w:r w:rsidR="003E5190" w:rsidRPr="00C670BF">
        <w:rPr>
          <w:rFonts w:ascii="Times New Roman" w:hAnsi="Times New Roman" w:cs="Times New Roman"/>
          <w:sz w:val="24"/>
          <w:szCs w:val="24"/>
        </w:rPr>
        <w:t xml:space="preserve">Measuring from the west corner </w:t>
      </w:r>
      <w:r w:rsidR="00AD7DD7">
        <w:rPr>
          <w:rFonts w:ascii="Times New Roman" w:hAnsi="Times New Roman" w:cs="Times New Roman"/>
          <w:sz w:val="24"/>
          <w:szCs w:val="24"/>
        </w:rPr>
        <w:t xml:space="preserve">(Fig. 11) </w:t>
      </w:r>
      <w:r w:rsidR="003E5190" w:rsidRPr="00C670BF">
        <w:rPr>
          <w:rFonts w:ascii="Times New Roman" w:hAnsi="Times New Roman" w:cs="Times New Roman"/>
          <w:sz w:val="24"/>
          <w:szCs w:val="24"/>
        </w:rPr>
        <w:t>provided a measurement of 274.26° W (33°21’13.62’’N, 44°12’06.34’’ E) with an azimuth of 85.74 and a declination of +3.83.</w:t>
      </w:r>
    </w:p>
    <w:p w:rsidR="00E57D6D" w:rsidRDefault="009A5A75"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34" type="#_x0000_t202" style="position:absolute;margin-left:6.5pt;margin-top:287.4pt;width:435.1pt;height:47.5pt;z-index:251673600;mso-width-relative:margin;mso-height-relative:margin" stroked="f">
            <v:textbox style="mso-next-textbox:#_x0000_s1034">
              <w:txbxContent>
                <w:p w:rsidR="0042465C" w:rsidRPr="000C75CD" w:rsidRDefault="0042465C" w:rsidP="007B1E86">
                  <w:pPr>
                    <w:spacing w:line="240" w:lineRule="exact"/>
                    <w:jc w:val="left"/>
                    <w:rPr>
                      <w:sz w:val="18"/>
                      <w:szCs w:val="18"/>
                    </w:rPr>
                  </w:pPr>
                  <w:r w:rsidRPr="000C75CD">
                    <w:rPr>
                      <w:rFonts w:ascii="Times New Roman" w:hAnsi="Times New Roman" w:cs="Times New Roman"/>
                      <w:b/>
                      <w:color w:val="000000" w:themeColor="text1"/>
                      <w:sz w:val="18"/>
                      <w:szCs w:val="18"/>
                    </w:rPr>
                    <w:t>Figure 7.</w:t>
                  </w:r>
                  <w:r w:rsidRPr="000C75CD">
                    <w:rPr>
                      <w:rFonts w:ascii="Times New Roman" w:hAnsi="Times New Roman" w:cs="Times New Roman"/>
                      <w:color w:val="000000" w:themeColor="text1"/>
                      <w:sz w:val="18"/>
                      <w:szCs w:val="18"/>
                    </w:rPr>
                    <w:t xml:space="preserve">  Author’s screenshot of the measurement of the axial staircase at the ziggurat at </w:t>
                  </w:r>
                  <w:r w:rsidRPr="000C75CD">
                    <w:rPr>
                      <w:rFonts w:ascii="Times New Roman" w:hAnsi="Times New Roman" w:cs="Times New Roman"/>
                      <w:sz w:val="18"/>
                      <w:szCs w:val="18"/>
                    </w:rPr>
                    <w:t>Dūr-Kurigalzu which</w:t>
                  </w:r>
                  <w:r w:rsidRPr="000C75CD">
                    <w:rPr>
                      <w:rFonts w:ascii="Times New Roman" w:hAnsi="Times New Roman" w:cs="Times New Roman"/>
                      <w:color w:val="000000" w:themeColor="text1"/>
                      <w:sz w:val="18"/>
                      <w:szCs w:val="18"/>
                    </w:rPr>
                    <w:t xml:space="preserve"> </w:t>
                  </w:r>
                  <w:r w:rsidRPr="000C75CD">
                    <w:rPr>
                      <w:rFonts w:ascii="Times New Roman" w:hAnsi="Times New Roman" w:cs="Times New Roman"/>
                      <w:sz w:val="18"/>
                      <w:szCs w:val="18"/>
                    </w:rPr>
                    <w:t>provided a measurement of 140.70° SE</w:t>
                  </w:r>
                  <w:r w:rsidRPr="000C75CD">
                    <w:rPr>
                      <w:rFonts w:ascii="Times New Roman" w:hAnsi="Times New Roman" w:cs="Times New Roman"/>
                      <w:sz w:val="18"/>
                      <w:szCs w:val="18"/>
                    </w:rPr>
                    <w:tab/>
                    <w:t>(33°21’12.47’’ N, 44°12’09.13’’ E).</w:t>
                  </w:r>
                  <w:r w:rsidR="00E93E7D">
                    <w:rPr>
                      <w:rFonts w:ascii="Times New Roman" w:hAnsi="Times New Roman" w:cs="Times New Roman"/>
                      <w:sz w:val="18"/>
                      <w:szCs w:val="18"/>
                    </w:rPr>
                    <w:t xml:space="preserve"> Image from Google Earth Pro</w:t>
                  </w:r>
                  <w:r w:rsidR="00986E1A">
                    <w:rPr>
                      <w:rFonts w:ascii="Times New Roman" w:hAnsi="Times New Roman" w:cs="Times New Roman"/>
                      <w:sz w:val="18"/>
                      <w:szCs w:val="18"/>
                    </w:rPr>
                    <w:t xml:space="preserve"> </w:t>
                  </w:r>
                  <w:r w:rsidR="00E93E7D">
                    <w:rPr>
                      <w:rFonts w:ascii="Times New Roman" w:hAnsi="Times New Roman" w:cs="Times New Roman"/>
                      <w:sz w:val="18"/>
                      <w:szCs w:val="18"/>
                    </w:rPr>
                    <w:t>©</w:t>
                  </w:r>
                </w:p>
                <w:p w:rsidR="0042465C" w:rsidRDefault="0042465C" w:rsidP="001760E5">
                  <w:pPr>
                    <w:jc w:val="left"/>
                  </w:pPr>
                </w:p>
              </w:txbxContent>
            </v:textbox>
            <w10:wrap type="square"/>
          </v:shape>
        </w:pict>
      </w:r>
      <w:r w:rsidR="007B1E86">
        <w:rPr>
          <w:rFonts w:ascii="Times New Roman" w:hAnsi="Times New Roman" w:cs="Times New Roman"/>
          <w:noProof/>
          <w:sz w:val="24"/>
          <w:szCs w:val="24"/>
        </w:rPr>
        <w:drawing>
          <wp:anchor distT="0" distB="0" distL="114300" distR="114300" simplePos="0" relativeHeight="251672576" behindDoc="0" locked="0" layoutInCell="1" allowOverlap="1">
            <wp:simplePos x="0" y="0"/>
            <wp:positionH relativeFrom="column">
              <wp:posOffset>-34290</wp:posOffset>
            </wp:positionH>
            <wp:positionV relativeFrom="paragraph">
              <wp:posOffset>281940</wp:posOffset>
            </wp:positionV>
            <wp:extent cx="5680710" cy="3185160"/>
            <wp:effectExtent l="19050" t="0" r="0" b="0"/>
            <wp:wrapSquare wrapText="bothSides"/>
            <wp:docPr id="9" name="Picture 7" descr="C:\Users\Ideapad\Pictures\Screenshots\Screenshot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deapad\Pictures\Screenshots\Screenshot (11).png"/>
                    <pic:cNvPicPr>
                      <a:picLocks noChangeAspect="1" noChangeArrowheads="1"/>
                    </pic:cNvPicPr>
                  </pic:nvPicPr>
                  <pic:blipFill>
                    <a:blip r:embed="rId16" cstate="print"/>
                    <a:srcRect l="14664" t="8858" b="5413"/>
                    <a:stretch>
                      <a:fillRect/>
                    </a:stretch>
                  </pic:blipFill>
                  <pic:spPr bwMode="auto">
                    <a:xfrm>
                      <a:off x="0" y="0"/>
                      <a:ext cx="5680710" cy="3185160"/>
                    </a:xfrm>
                    <a:prstGeom prst="rect">
                      <a:avLst/>
                    </a:prstGeom>
                    <a:noFill/>
                    <a:ln w="9525">
                      <a:noFill/>
                      <a:miter lim="800000"/>
                      <a:headEnd/>
                      <a:tailEnd/>
                    </a:ln>
                  </pic:spPr>
                </pic:pic>
              </a:graphicData>
            </a:graphic>
          </wp:anchor>
        </w:drawing>
      </w:r>
      <w:r w:rsidR="00E57D6D">
        <w:rPr>
          <w:rFonts w:ascii="Times New Roman" w:hAnsi="Times New Roman" w:cs="Times New Roman"/>
          <w:sz w:val="24"/>
          <w:szCs w:val="24"/>
        </w:rPr>
        <w:t xml:space="preserve">                                                                                                      </w:t>
      </w:r>
    </w:p>
    <w:p w:rsidR="00E57D6D" w:rsidRDefault="009A5A75" w:rsidP="00FA1D8D">
      <w:pPr>
        <w:jc w:val="left"/>
        <w:rPr>
          <w:rFonts w:ascii="Times New Roman" w:hAnsi="Times New Roman" w:cs="Times New Roman"/>
          <w:sz w:val="24"/>
          <w:szCs w:val="24"/>
        </w:rPr>
      </w:pPr>
      <w:r>
        <w:rPr>
          <w:rFonts w:ascii="Times New Roman" w:hAnsi="Times New Roman" w:cs="Times New Roman"/>
          <w:noProof/>
          <w:sz w:val="24"/>
          <w:szCs w:val="24"/>
        </w:rPr>
        <w:lastRenderedPageBreak/>
        <w:pict>
          <v:shape id="_x0000_s1036" type="#_x0000_t202" style="position:absolute;margin-left:-6.3pt;margin-top:606.6pt;width:453.8pt;height:64.2pt;z-index:251677696;mso-width-relative:margin;mso-height-relative:margin" stroked="f">
            <v:textbox style="mso-next-textbox:#_x0000_s1036">
              <w:txbxContent>
                <w:p w:rsidR="0042465C" w:rsidRPr="000C75CD" w:rsidRDefault="0042465C" w:rsidP="000C75CD">
                  <w:pPr>
                    <w:spacing w:line="240" w:lineRule="exact"/>
                    <w:jc w:val="left"/>
                    <w:rPr>
                      <w:sz w:val="18"/>
                      <w:szCs w:val="18"/>
                    </w:rPr>
                  </w:pPr>
                  <w:r w:rsidRPr="000C75CD">
                    <w:rPr>
                      <w:rFonts w:ascii="Times New Roman" w:hAnsi="Times New Roman" w:cs="Times New Roman"/>
                      <w:b/>
                      <w:color w:val="000000" w:themeColor="text1"/>
                      <w:sz w:val="18"/>
                      <w:szCs w:val="18"/>
                    </w:rPr>
                    <w:t>Figure 9.</w:t>
                  </w:r>
                  <w:r w:rsidRPr="000C75CD">
                    <w:rPr>
                      <w:rFonts w:ascii="Times New Roman" w:hAnsi="Times New Roman" w:cs="Times New Roman"/>
                      <w:color w:val="000000" w:themeColor="text1"/>
                      <w:sz w:val="18"/>
                      <w:szCs w:val="18"/>
                    </w:rPr>
                    <w:t xml:space="preserve">  Author’s screenshot of the measurement of the south corner the ziggurat at </w:t>
                  </w:r>
                  <w:r w:rsidRPr="000C75CD">
                    <w:rPr>
                      <w:rFonts w:ascii="Times New Roman" w:hAnsi="Times New Roman" w:cs="Times New Roman"/>
                      <w:sz w:val="18"/>
                      <w:szCs w:val="18"/>
                    </w:rPr>
                    <w:t>Dūr-Kurigalzu which</w:t>
                  </w:r>
                  <w:r w:rsidRPr="000C75CD">
                    <w:rPr>
                      <w:rFonts w:ascii="Times New Roman" w:hAnsi="Times New Roman" w:cs="Times New Roman"/>
                      <w:color w:val="000000" w:themeColor="text1"/>
                      <w:sz w:val="18"/>
                      <w:szCs w:val="18"/>
                    </w:rPr>
                    <w:t xml:space="preserve"> </w:t>
                  </w:r>
                  <w:r w:rsidRPr="000C75CD">
                    <w:rPr>
                      <w:rFonts w:ascii="Times New Roman" w:hAnsi="Times New Roman" w:cs="Times New Roman"/>
                      <w:sz w:val="18"/>
                      <w:szCs w:val="18"/>
                    </w:rPr>
                    <w:t>provided a measurement of 182.21° S (33°21’11.86’’N, 44°12’07.97’’ E).</w:t>
                  </w:r>
                  <w:r w:rsidR="00986E1A">
                    <w:rPr>
                      <w:rFonts w:ascii="Times New Roman" w:hAnsi="Times New Roman" w:cs="Times New Roman"/>
                      <w:sz w:val="18"/>
                      <w:szCs w:val="18"/>
                    </w:rPr>
                    <w:t xml:space="preserve"> Image from Google Earth Pro ©</w:t>
                  </w:r>
                </w:p>
              </w:txbxContent>
            </v:textbox>
            <w10:wrap type="square"/>
          </v:shape>
        </w:pict>
      </w:r>
      <w:r w:rsidR="000C75CD" w:rsidRPr="000C75CD">
        <w:rPr>
          <w:rFonts w:ascii="Times New Roman" w:hAnsi="Times New Roman" w:cs="Times New Roman"/>
          <w:noProof/>
          <w:sz w:val="24"/>
          <w:szCs w:val="24"/>
        </w:rPr>
        <w:drawing>
          <wp:anchor distT="0" distB="0" distL="114300" distR="114300" simplePos="0" relativeHeight="251709440" behindDoc="0" locked="0" layoutInCell="1" allowOverlap="1">
            <wp:simplePos x="0" y="0"/>
            <wp:positionH relativeFrom="column">
              <wp:posOffset>-102870</wp:posOffset>
            </wp:positionH>
            <wp:positionV relativeFrom="paragraph">
              <wp:posOffset>4130040</wp:posOffset>
            </wp:positionV>
            <wp:extent cx="5688330" cy="3230880"/>
            <wp:effectExtent l="19050" t="0" r="7620" b="0"/>
            <wp:wrapSquare wrapText="bothSides"/>
            <wp:docPr id="27" name="Picture 9" descr="C:\Users\Ideapad\Pictures\Screenshots\Screenshot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deapad\Pictures\Screenshots\Screenshot (13).png"/>
                    <pic:cNvPicPr>
                      <a:picLocks noChangeAspect="1" noChangeArrowheads="1"/>
                    </pic:cNvPicPr>
                  </pic:nvPicPr>
                  <pic:blipFill>
                    <a:blip r:embed="rId17" cstate="print"/>
                    <a:srcRect l="14941" t="8858" b="5413"/>
                    <a:stretch>
                      <a:fillRect/>
                    </a:stretch>
                  </pic:blipFill>
                  <pic:spPr bwMode="auto">
                    <a:xfrm>
                      <a:off x="0" y="0"/>
                      <a:ext cx="5688330" cy="3230880"/>
                    </a:xfrm>
                    <a:prstGeom prst="rect">
                      <a:avLst/>
                    </a:prstGeom>
                    <a:noFill/>
                    <a:ln w="9525">
                      <a:noFill/>
                      <a:miter lim="800000"/>
                      <a:headEnd/>
                      <a:tailEnd/>
                    </a:ln>
                  </pic:spPr>
                </pic:pic>
              </a:graphicData>
            </a:graphic>
          </wp:anchor>
        </w:drawing>
      </w:r>
      <w:r>
        <w:rPr>
          <w:rFonts w:ascii="Times New Roman" w:hAnsi="Times New Roman" w:cs="Times New Roman"/>
          <w:noProof/>
          <w:sz w:val="24"/>
          <w:szCs w:val="24"/>
        </w:rPr>
        <w:pict>
          <v:shape id="_x0000_s1035" type="#_x0000_t202" style="position:absolute;margin-left:-6.3pt;margin-top:256.7pt;width:453.8pt;height:38.5pt;z-index:251675648;mso-position-horizontal-relative:text;mso-position-vertical-relative:text;mso-width-relative:margin;mso-height-relative:margin" stroked="f">
            <v:textbox style="mso-next-textbox:#_x0000_s1035">
              <w:txbxContent>
                <w:p w:rsidR="0042465C" w:rsidRPr="000C75CD" w:rsidRDefault="0042465C" w:rsidP="000C75CD">
                  <w:pPr>
                    <w:spacing w:line="240" w:lineRule="exact"/>
                    <w:jc w:val="left"/>
                    <w:rPr>
                      <w:sz w:val="18"/>
                      <w:szCs w:val="18"/>
                    </w:rPr>
                  </w:pPr>
                  <w:r w:rsidRPr="000C75CD">
                    <w:rPr>
                      <w:rFonts w:ascii="Times New Roman" w:hAnsi="Times New Roman" w:cs="Times New Roman"/>
                      <w:b/>
                      <w:color w:val="000000" w:themeColor="text1"/>
                      <w:sz w:val="18"/>
                      <w:szCs w:val="18"/>
                    </w:rPr>
                    <w:t>Figure 8.</w:t>
                  </w:r>
                  <w:r w:rsidRPr="000C75CD">
                    <w:rPr>
                      <w:rFonts w:ascii="Times New Roman" w:hAnsi="Times New Roman" w:cs="Times New Roman"/>
                      <w:color w:val="000000" w:themeColor="text1"/>
                      <w:sz w:val="18"/>
                      <w:szCs w:val="18"/>
                    </w:rPr>
                    <w:t xml:space="preserve">  Author’s screenshot of the measurement of the north corner the ziggurat at </w:t>
                  </w:r>
                  <w:r w:rsidRPr="000C75CD">
                    <w:rPr>
                      <w:rFonts w:ascii="Times New Roman" w:hAnsi="Times New Roman" w:cs="Times New Roman"/>
                      <w:sz w:val="18"/>
                      <w:szCs w:val="18"/>
                    </w:rPr>
                    <w:t>Dūr-Kurigalzu which</w:t>
                  </w:r>
                  <w:r w:rsidRPr="000C75CD">
                    <w:rPr>
                      <w:rFonts w:ascii="Times New Roman" w:hAnsi="Times New Roman" w:cs="Times New Roman"/>
                      <w:color w:val="000000" w:themeColor="text1"/>
                      <w:sz w:val="18"/>
                      <w:szCs w:val="18"/>
                    </w:rPr>
                    <w:t xml:space="preserve"> </w:t>
                  </w:r>
                  <w:r w:rsidRPr="000C75CD">
                    <w:rPr>
                      <w:rFonts w:ascii="Times New Roman" w:hAnsi="Times New Roman" w:cs="Times New Roman"/>
                      <w:sz w:val="18"/>
                      <w:szCs w:val="18"/>
                    </w:rPr>
                    <w:t>provided a measurement of 358.25° N (33°21’14.90’’N, 44°12’06.39’’ E).</w:t>
                  </w:r>
                  <w:r w:rsidR="00986E1A">
                    <w:rPr>
                      <w:rFonts w:ascii="Times New Roman" w:hAnsi="Times New Roman" w:cs="Times New Roman"/>
                      <w:sz w:val="18"/>
                      <w:szCs w:val="18"/>
                    </w:rPr>
                    <w:t xml:space="preserve"> Image from Google Earth Pro ©</w:t>
                  </w:r>
                </w:p>
                <w:p w:rsidR="0042465C" w:rsidRPr="000C75CD" w:rsidRDefault="0042465C" w:rsidP="000C75CD"/>
              </w:txbxContent>
            </v:textbox>
            <w10:wrap type="square"/>
          </v:shape>
        </w:pict>
      </w:r>
      <w:r w:rsidR="007B1E86">
        <w:rPr>
          <w:rFonts w:ascii="Times New Roman" w:hAnsi="Times New Roman" w:cs="Times New Roman"/>
          <w:noProof/>
          <w:sz w:val="24"/>
          <w:szCs w:val="24"/>
        </w:rPr>
        <w:drawing>
          <wp:anchor distT="0" distB="0" distL="114300" distR="114300" simplePos="0" relativeHeight="251674624" behindDoc="0" locked="0" layoutInCell="1" allowOverlap="1">
            <wp:simplePos x="0" y="0"/>
            <wp:positionH relativeFrom="column">
              <wp:posOffset>-102870</wp:posOffset>
            </wp:positionH>
            <wp:positionV relativeFrom="paragraph">
              <wp:posOffset>-121920</wp:posOffset>
            </wp:positionV>
            <wp:extent cx="5805170" cy="3261360"/>
            <wp:effectExtent l="19050" t="0" r="5080" b="0"/>
            <wp:wrapSquare wrapText="bothSides"/>
            <wp:docPr id="10" name="Picture 8" descr="C:\Users\Ideapad\Pictures\Screenshots\Screenshot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Ideapad\Pictures\Screenshots\Screenshot (12).png"/>
                    <pic:cNvPicPr>
                      <a:picLocks noChangeAspect="1" noChangeArrowheads="1"/>
                    </pic:cNvPicPr>
                  </pic:nvPicPr>
                  <pic:blipFill>
                    <a:blip r:embed="rId18" cstate="print"/>
                    <a:srcRect l="14664" t="9350" b="5413"/>
                    <a:stretch>
                      <a:fillRect/>
                    </a:stretch>
                  </pic:blipFill>
                  <pic:spPr bwMode="auto">
                    <a:xfrm>
                      <a:off x="0" y="0"/>
                      <a:ext cx="5805170" cy="3261360"/>
                    </a:xfrm>
                    <a:prstGeom prst="rect">
                      <a:avLst/>
                    </a:prstGeom>
                    <a:noFill/>
                    <a:ln w="9525">
                      <a:noFill/>
                      <a:miter lim="800000"/>
                      <a:headEnd/>
                      <a:tailEnd/>
                    </a:ln>
                  </pic:spPr>
                </pic:pic>
              </a:graphicData>
            </a:graphic>
          </wp:anchor>
        </w:drawing>
      </w:r>
    </w:p>
    <w:p w:rsidR="00E57D6D" w:rsidRDefault="000C75CD" w:rsidP="00FA1D8D">
      <w:pPr>
        <w:jc w:val="left"/>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711488" behindDoc="0" locked="0" layoutInCell="1" allowOverlap="1">
            <wp:simplePos x="0" y="0"/>
            <wp:positionH relativeFrom="column">
              <wp:posOffset>26670</wp:posOffset>
            </wp:positionH>
            <wp:positionV relativeFrom="paragraph">
              <wp:posOffset>236220</wp:posOffset>
            </wp:positionV>
            <wp:extent cx="5680710" cy="3223260"/>
            <wp:effectExtent l="19050" t="0" r="0" b="0"/>
            <wp:wrapSquare wrapText="bothSides"/>
            <wp:docPr id="28" name="Picture 10" descr="C:\Users\Ideapad\Pictures\Screenshots\Screenshot (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Ideapad\Pictures\Screenshots\Screenshot (14).png"/>
                    <pic:cNvPicPr>
                      <a:picLocks noChangeAspect="1" noChangeArrowheads="1"/>
                    </pic:cNvPicPr>
                  </pic:nvPicPr>
                  <pic:blipFill>
                    <a:blip r:embed="rId19" cstate="print"/>
                    <a:srcRect l="14941" t="8858" b="5413"/>
                    <a:stretch>
                      <a:fillRect/>
                    </a:stretch>
                  </pic:blipFill>
                  <pic:spPr bwMode="auto">
                    <a:xfrm>
                      <a:off x="0" y="0"/>
                      <a:ext cx="5680710" cy="3223260"/>
                    </a:xfrm>
                    <a:prstGeom prst="rect">
                      <a:avLst/>
                    </a:prstGeom>
                    <a:noFill/>
                    <a:ln w="9525">
                      <a:noFill/>
                      <a:miter lim="800000"/>
                      <a:headEnd/>
                      <a:tailEnd/>
                    </a:ln>
                  </pic:spPr>
                </pic:pic>
              </a:graphicData>
            </a:graphic>
          </wp:anchor>
        </w:drawing>
      </w:r>
    </w:p>
    <w:p w:rsidR="000B7A69" w:rsidRDefault="009A5A75"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37" type="#_x0000_t202" style="position:absolute;margin-left:-2.7pt;margin-top:265.8pt;width:453.8pt;height:36.6pt;z-index:251678720;mso-width-relative:margin;mso-height-relative:margin" stroked="f">
            <v:textbox style="mso-next-textbox:#_x0000_s1037">
              <w:txbxContent>
                <w:p w:rsidR="0042465C" w:rsidRPr="00925950" w:rsidRDefault="0042465C" w:rsidP="00925950">
                  <w:pPr>
                    <w:spacing w:line="240" w:lineRule="exact"/>
                    <w:jc w:val="left"/>
                    <w:rPr>
                      <w:sz w:val="18"/>
                      <w:szCs w:val="18"/>
                    </w:rPr>
                  </w:pPr>
                  <w:r w:rsidRPr="00925950">
                    <w:rPr>
                      <w:rFonts w:ascii="Times New Roman" w:hAnsi="Times New Roman" w:cs="Times New Roman"/>
                      <w:b/>
                      <w:color w:val="000000" w:themeColor="text1"/>
                      <w:sz w:val="18"/>
                      <w:szCs w:val="18"/>
                    </w:rPr>
                    <w:t>Figure 10.</w:t>
                  </w:r>
                  <w:r w:rsidRPr="00925950">
                    <w:rPr>
                      <w:rFonts w:ascii="Times New Roman" w:hAnsi="Times New Roman" w:cs="Times New Roman"/>
                      <w:color w:val="000000" w:themeColor="text1"/>
                      <w:sz w:val="18"/>
                      <w:szCs w:val="18"/>
                    </w:rPr>
                    <w:t xml:space="preserve">  Author’s screenshot of the measurement of the east corner the ziggurat at </w:t>
                  </w:r>
                  <w:r w:rsidRPr="00925950">
                    <w:rPr>
                      <w:rFonts w:ascii="Times New Roman" w:hAnsi="Times New Roman" w:cs="Times New Roman"/>
                      <w:sz w:val="18"/>
                      <w:szCs w:val="18"/>
                    </w:rPr>
                    <w:t>Dūr-Kurigalzu which</w:t>
                  </w:r>
                  <w:r w:rsidRPr="00925950">
                    <w:rPr>
                      <w:rFonts w:ascii="Times New Roman" w:hAnsi="Times New Roman" w:cs="Times New Roman"/>
                      <w:color w:val="000000" w:themeColor="text1"/>
                      <w:sz w:val="18"/>
                      <w:szCs w:val="18"/>
                    </w:rPr>
                    <w:t xml:space="preserve"> </w:t>
                  </w:r>
                  <w:r w:rsidRPr="00925950">
                    <w:rPr>
                      <w:rFonts w:ascii="Times New Roman" w:hAnsi="Times New Roman" w:cs="Times New Roman"/>
                      <w:sz w:val="18"/>
                      <w:szCs w:val="18"/>
                    </w:rPr>
                    <w:t>provided a measurement of 102.55° E (33°21’13.30’’N, 44°12’09.13’’ E).</w:t>
                  </w:r>
                  <w:r w:rsidR="00986E1A">
                    <w:rPr>
                      <w:rFonts w:ascii="Times New Roman" w:hAnsi="Times New Roman" w:cs="Times New Roman"/>
                      <w:sz w:val="18"/>
                      <w:szCs w:val="18"/>
                    </w:rPr>
                    <w:t xml:space="preserve"> Image from Google Earth Pro ©</w:t>
                  </w:r>
                </w:p>
              </w:txbxContent>
            </v:textbox>
            <w10:wrap type="square"/>
          </v:shape>
        </w:pict>
      </w:r>
      <w:r>
        <w:rPr>
          <w:rFonts w:ascii="Times New Roman" w:hAnsi="Times New Roman" w:cs="Times New Roman"/>
          <w:noProof/>
          <w:sz w:val="24"/>
          <w:szCs w:val="24"/>
        </w:rPr>
        <w:pict>
          <v:shape id="_x0000_s1038" type="#_x0000_t202" style="position:absolute;margin-left:.9pt;margin-top:597.6pt;width:453.8pt;height:46.2pt;z-index:251681792;mso-width-relative:margin;mso-height-relative:margin" stroked="f">
            <v:textbox style="mso-next-textbox:#_x0000_s1038">
              <w:txbxContent>
                <w:p w:rsidR="0042465C" w:rsidRPr="00925950" w:rsidRDefault="0042465C" w:rsidP="00925950">
                  <w:pPr>
                    <w:spacing w:line="240" w:lineRule="exact"/>
                    <w:jc w:val="left"/>
                    <w:rPr>
                      <w:sz w:val="18"/>
                      <w:szCs w:val="18"/>
                    </w:rPr>
                  </w:pPr>
                  <w:r w:rsidRPr="00925950">
                    <w:rPr>
                      <w:rFonts w:ascii="Times New Roman" w:hAnsi="Times New Roman" w:cs="Times New Roman"/>
                      <w:b/>
                      <w:color w:val="000000" w:themeColor="text1"/>
                      <w:sz w:val="18"/>
                      <w:szCs w:val="18"/>
                    </w:rPr>
                    <w:t>Figure 11.</w:t>
                  </w:r>
                  <w:r w:rsidRPr="00925950">
                    <w:rPr>
                      <w:rFonts w:ascii="Times New Roman" w:hAnsi="Times New Roman" w:cs="Times New Roman"/>
                      <w:color w:val="000000" w:themeColor="text1"/>
                      <w:sz w:val="18"/>
                      <w:szCs w:val="18"/>
                    </w:rPr>
                    <w:t xml:space="preserve">  Author’s screenshot of the measurement of the west corner the ziggurat at </w:t>
                  </w:r>
                  <w:r w:rsidRPr="00925950">
                    <w:rPr>
                      <w:rFonts w:ascii="Times New Roman" w:hAnsi="Times New Roman" w:cs="Times New Roman"/>
                      <w:sz w:val="18"/>
                      <w:szCs w:val="18"/>
                    </w:rPr>
                    <w:t>Dūr-Kurigalzu which</w:t>
                  </w:r>
                  <w:r w:rsidRPr="00925950">
                    <w:rPr>
                      <w:rFonts w:ascii="Times New Roman" w:hAnsi="Times New Roman" w:cs="Times New Roman"/>
                      <w:color w:val="000000" w:themeColor="text1"/>
                      <w:sz w:val="18"/>
                      <w:szCs w:val="18"/>
                    </w:rPr>
                    <w:t xml:space="preserve"> </w:t>
                  </w:r>
                  <w:r w:rsidRPr="00925950">
                    <w:rPr>
                      <w:rFonts w:ascii="Times New Roman" w:hAnsi="Times New Roman" w:cs="Times New Roman"/>
                      <w:sz w:val="18"/>
                      <w:szCs w:val="18"/>
                    </w:rPr>
                    <w:t>provided a measurement of 274.26° W (33°21’13.62’’N, 44°12’06.34’’ E).</w:t>
                  </w:r>
                  <w:r w:rsidR="00986E1A">
                    <w:rPr>
                      <w:rFonts w:ascii="Times New Roman" w:hAnsi="Times New Roman" w:cs="Times New Roman"/>
                      <w:sz w:val="18"/>
                      <w:szCs w:val="18"/>
                    </w:rPr>
                    <w:t xml:space="preserve"> Image from Google Earth Pro ©</w:t>
                  </w:r>
                </w:p>
              </w:txbxContent>
            </v:textbox>
            <w10:wrap type="square"/>
          </v:shape>
        </w:pict>
      </w:r>
      <w:r w:rsidR="00925950">
        <w:rPr>
          <w:rFonts w:ascii="Times New Roman" w:hAnsi="Times New Roman" w:cs="Times New Roman"/>
          <w:noProof/>
          <w:sz w:val="24"/>
          <w:szCs w:val="24"/>
        </w:rPr>
        <w:drawing>
          <wp:anchor distT="0" distB="0" distL="114300" distR="114300" simplePos="0" relativeHeight="251713536" behindDoc="0" locked="0" layoutInCell="1" allowOverlap="1">
            <wp:simplePos x="0" y="0"/>
            <wp:positionH relativeFrom="column">
              <wp:posOffset>18415</wp:posOffset>
            </wp:positionH>
            <wp:positionV relativeFrom="paragraph">
              <wp:posOffset>4168140</wp:posOffset>
            </wp:positionV>
            <wp:extent cx="5688965" cy="3215640"/>
            <wp:effectExtent l="19050" t="0" r="6985" b="0"/>
            <wp:wrapSquare wrapText="bothSides"/>
            <wp:docPr id="29" name="Picture 11" descr="C:\Users\Ideapad\Pictures\Screenshots\Screenshot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deapad\Pictures\Screenshots\Screenshot (15).png"/>
                    <pic:cNvPicPr>
                      <a:picLocks noChangeAspect="1" noChangeArrowheads="1"/>
                    </pic:cNvPicPr>
                  </pic:nvPicPr>
                  <pic:blipFill>
                    <a:blip r:embed="rId20" cstate="print"/>
                    <a:srcRect l="14941" t="8858" b="5413"/>
                    <a:stretch>
                      <a:fillRect/>
                    </a:stretch>
                  </pic:blipFill>
                  <pic:spPr bwMode="auto">
                    <a:xfrm>
                      <a:off x="0" y="0"/>
                      <a:ext cx="5688965" cy="3215640"/>
                    </a:xfrm>
                    <a:prstGeom prst="rect">
                      <a:avLst/>
                    </a:prstGeom>
                    <a:noFill/>
                    <a:ln w="9525">
                      <a:noFill/>
                      <a:miter lim="800000"/>
                      <a:headEnd/>
                      <a:tailEnd/>
                    </a:ln>
                  </pic:spPr>
                </pic:pic>
              </a:graphicData>
            </a:graphic>
          </wp:anchor>
        </w:drawing>
      </w:r>
    </w:p>
    <w:p w:rsidR="000B7A69" w:rsidRDefault="000B7A69" w:rsidP="00FA1D8D">
      <w:pPr>
        <w:jc w:val="left"/>
        <w:rPr>
          <w:rFonts w:ascii="Times New Roman" w:hAnsi="Times New Roman" w:cs="Times New Roman"/>
          <w:sz w:val="24"/>
          <w:szCs w:val="24"/>
        </w:rPr>
      </w:pPr>
    </w:p>
    <w:p w:rsidR="003723ED" w:rsidRDefault="009A5A75" w:rsidP="00FA1D8D">
      <w:pPr>
        <w:jc w:val="left"/>
        <w:rPr>
          <w:rFonts w:ascii="Times New Roman" w:hAnsi="Times New Roman" w:cs="Times New Roman"/>
          <w:sz w:val="24"/>
          <w:szCs w:val="24"/>
        </w:rPr>
      </w:pPr>
      <w:r>
        <w:rPr>
          <w:rFonts w:ascii="Times New Roman" w:hAnsi="Times New Roman" w:cs="Times New Roman"/>
          <w:noProof/>
          <w:sz w:val="24"/>
          <w:szCs w:val="24"/>
        </w:rPr>
        <w:lastRenderedPageBreak/>
        <w:pict>
          <v:shape id="_x0000_s1039" type="#_x0000_t202" style="position:absolute;margin-left:3.6pt;margin-top:109.2pt;width:431.3pt;height:38.5pt;z-index:251683840;mso-width-relative:margin;mso-height-relative:margin" stroked="f">
            <v:textbox style="mso-next-textbox:#_x0000_s1039">
              <w:txbxContent>
                <w:p w:rsidR="0042465C" w:rsidRDefault="0042465C" w:rsidP="001C7DF5">
                  <w:pPr>
                    <w:spacing w:line="240" w:lineRule="exact"/>
                    <w:jc w:val="left"/>
                  </w:pPr>
                  <w:r w:rsidRPr="00925950">
                    <w:rPr>
                      <w:rFonts w:ascii="Times New Roman" w:hAnsi="Times New Roman" w:cs="Times New Roman"/>
                      <w:b/>
                      <w:color w:val="000000" w:themeColor="text1"/>
                      <w:sz w:val="18"/>
                      <w:szCs w:val="18"/>
                    </w:rPr>
                    <w:t>Figure 1</w:t>
                  </w:r>
                  <w:r>
                    <w:rPr>
                      <w:rFonts w:ascii="Times New Roman" w:hAnsi="Times New Roman" w:cs="Times New Roman"/>
                      <w:b/>
                      <w:color w:val="000000" w:themeColor="text1"/>
                      <w:sz w:val="18"/>
                      <w:szCs w:val="18"/>
                    </w:rPr>
                    <w:t>2</w:t>
                  </w:r>
                  <w:r w:rsidRPr="00925950">
                    <w:rPr>
                      <w:rFonts w:ascii="Times New Roman" w:hAnsi="Times New Roman" w:cs="Times New Roman"/>
                      <w:b/>
                      <w:color w:val="000000" w:themeColor="text1"/>
                      <w:sz w:val="18"/>
                      <w:szCs w:val="18"/>
                    </w:rPr>
                    <w:t>.</w:t>
                  </w:r>
                  <w:r w:rsidRPr="00925950">
                    <w:rPr>
                      <w:rFonts w:ascii="Times New Roman" w:hAnsi="Times New Roman" w:cs="Times New Roman"/>
                      <w:color w:val="000000" w:themeColor="text1"/>
                      <w:sz w:val="18"/>
                      <w:szCs w:val="18"/>
                    </w:rPr>
                    <w:t xml:space="preserve">  Author’s screenshot of the </w:t>
                  </w:r>
                  <w:r>
                    <w:rPr>
                      <w:rFonts w:ascii="Times New Roman" w:hAnsi="Times New Roman" w:cs="Times New Roman"/>
                      <w:color w:val="000000" w:themeColor="text1"/>
                      <w:sz w:val="18"/>
                      <w:szCs w:val="18"/>
                    </w:rPr>
                    <w:t xml:space="preserve">declinations calculated via azimuth, horizon altitude, and latitude from the </w:t>
                  </w:r>
                  <w:r w:rsidRPr="001B7496">
                    <w:rPr>
                      <w:rFonts w:ascii="Times New Roman" w:hAnsi="Times New Roman" w:cs="Times New Roman"/>
                      <w:i/>
                      <w:color w:val="000000" w:themeColor="text1"/>
                      <w:sz w:val="17"/>
                      <w:szCs w:val="17"/>
                    </w:rPr>
                    <w:t>Skyscape Calculations Spreadsheet</w:t>
                  </w:r>
                  <w:r>
                    <w:rPr>
                      <w:rFonts w:ascii="Times New Roman" w:hAnsi="Times New Roman" w:cs="Times New Roman"/>
                      <w:color w:val="000000" w:themeColor="text1"/>
                      <w:sz w:val="17"/>
                      <w:szCs w:val="17"/>
                    </w:rPr>
                    <w:t>,</w:t>
                  </w:r>
                  <w:r w:rsidRPr="00E8054B">
                    <w:rPr>
                      <w:rFonts w:ascii="Times New Roman" w:hAnsi="Times New Roman" w:cs="Times New Roman"/>
                      <w:color w:val="000000" w:themeColor="text1"/>
                      <w:sz w:val="17"/>
                      <w:szCs w:val="17"/>
                    </w:rPr>
                    <w:t xml:space="preserve"> Silva</w:t>
                  </w:r>
                  <w:r>
                    <w:rPr>
                      <w:rFonts w:ascii="Times New Roman" w:hAnsi="Times New Roman" w:cs="Times New Roman"/>
                      <w:color w:val="000000" w:themeColor="text1"/>
                      <w:sz w:val="17"/>
                      <w:szCs w:val="17"/>
                    </w:rPr>
                    <w:t xml:space="preserve"> (2016).</w:t>
                  </w:r>
                </w:p>
              </w:txbxContent>
            </v:textbox>
            <w10:wrap type="square"/>
          </v:shape>
        </w:pict>
      </w:r>
      <w:r w:rsidR="001B7496">
        <w:rPr>
          <w:rFonts w:ascii="Times New Roman" w:hAnsi="Times New Roman" w:cs="Times New Roman"/>
          <w:noProof/>
          <w:sz w:val="24"/>
          <w:szCs w:val="24"/>
        </w:rPr>
        <w:drawing>
          <wp:anchor distT="0" distB="0" distL="114300" distR="114300" simplePos="0" relativeHeight="251682816" behindDoc="0" locked="0" layoutInCell="1" allowOverlap="1">
            <wp:simplePos x="0" y="0"/>
            <wp:positionH relativeFrom="column">
              <wp:posOffset>18415</wp:posOffset>
            </wp:positionH>
            <wp:positionV relativeFrom="paragraph">
              <wp:posOffset>38100</wp:posOffset>
            </wp:positionV>
            <wp:extent cx="5455285" cy="1325880"/>
            <wp:effectExtent l="19050" t="0" r="0" b="0"/>
            <wp:wrapSquare wrapText="bothSides"/>
            <wp:docPr id="14" name="Picture 12" descr="C:\Users\Ideapad\Pictures\Screenshots\Screenshot (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Ideapad\Pictures\Screenshots\Screenshot (20).png"/>
                    <pic:cNvPicPr>
                      <a:picLocks noChangeAspect="1" noChangeArrowheads="1"/>
                    </pic:cNvPicPr>
                  </pic:nvPicPr>
                  <pic:blipFill>
                    <a:blip r:embed="rId21" cstate="print"/>
                    <a:srcRect l="3874" t="56102" r="60317" b="28543"/>
                    <a:stretch>
                      <a:fillRect/>
                    </a:stretch>
                  </pic:blipFill>
                  <pic:spPr bwMode="auto">
                    <a:xfrm>
                      <a:off x="0" y="0"/>
                      <a:ext cx="5455285" cy="1325880"/>
                    </a:xfrm>
                    <a:prstGeom prst="rect">
                      <a:avLst/>
                    </a:prstGeom>
                    <a:noFill/>
                    <a:ln w="9525">
                      <a:noFill/>
                      <a:miter lim="800000"/>
                      <a:headEnd/>
                      <a:tailEnd/>
                    </a:ln>
                  </pic:spPr>
                </pic:pic>
              </a:graphicData>
            </a:graphic>
          </wp:anchor>
        </w:drawing>
      </w:r>
      <w:r w:rsidR="00986E1A">
        <w:rPr>
          <w:rFonts w:ascii="Times New Roman" w:hAnsi="Times New Roman" w:cs="Times New Roman"/>
          <w:sz w:val="24"/>
          <w:szCs w:val="24"/>
        </w:rPr>
        <w:tab/>
      </w:r>
      <w:r w:rsidR="00416501">
        <w:rPr>
          <w:rFonts w:ascii="Times New Roman" w:hAnsi="Times New Roman" w:cs="Times New Roman"/>
          <w:sz w:val="24"/>
          <w:szCs w:val="24"/>
        </w:rPr>
        <w:t xml:space="preserve">The declinations for the points measured </w:t>
      </w:r>
      <w:r w:rsidR="003E6482">
        <w:rPr>
          <w:rFonts w:ascii="Times New Roman" w:hAnsi="Times New Roman" w:cs="Times New Roman"/>
          <w:sz w:val="24"/>
          <w:szCs w:val="24"/>
        </w:rPr>
        <w:t>(Fig. 1</w:t>
      </w:r>
      <w:r w:rsidR="008E77EA">
        <w:rPr>
          <w:rFonts w:ascii="Times New Roman" w:hAnsi="Times New Roman" w:cs="Times New Roman"/>
          <w:sz w:val="24"/>
          <w:szCs w:val="24"/>
        </w:rPr>
        <w:t>2</w:t>
      </w:r>
      <w:r w:rsidR="003E6482">
        <w:rPr>
          <w:rFonts w:ascii="Times New Roman" w:hAnsi="Times New Roman" w:cs="Times New Roman"/>
          <w:sz w:val="24"/>
          <w:szCs w:val="24"/>
        </w:rPr>
        <w:t xml:space="preserve">) </w:t>
      </w:r>
      <w:r w:rsidR="00416501">
        <w:rPr>
          <w:rFonts w:ascii="Times New Roman" w:hAnsi="Times New Roman" w:cs="Times New Roman"/>
          <w:sz w:val="24"/>
          <w:szCs w:val="24"/>
        </w:rPr>
        <w:t xml:space="preserve">were checked against solar, lunar, and stellar declination tables and no corresponding relevant celestial orientations were </w:t>
      </w:r>
      <w:r w:rsidR="00D46D07">
        <w:rPr>
          <w:rFonts w:ascii="Times New Roman" w:hAnsi="Times New Roman" w:cs="Times New Roman"/>
          <w:sz w:val="24"/>
          <w:szCs w:val="24"/>
        </w:rPr>
        <w:t>found</w:t>
      </w:r>
      <w:r w:rsidR="00416501">
        <w:rPr>
          <w:rFonts w:ascii="Times New Roman" w:hAnsi="Times New Roman" w:cs="Times New Roman"/>
          <w:sz w:val="24"/>
          <w:szCs w:val="24"/>
        </w:rPr>
        <w:t>.</w:t>
      </w:r>
      <w:r w:rsidR="003E6482">
        <w:rPr>
          <w:rStyle w:val="FootnoteReference"/>
          <w:rFonts w:ascii="Times New Roman" w:hAnsi="Times New Roman" w:cs="Times New Roman"/>
          <w:sz w:val="24"/>
          <w:szCs w:val="24"/>
        </w:rPr>
        <w:footnoteReference w:id="38"/>
      </w:r>
      <w:r w:rsidR="00CF78F3">
        <w:rPr>
          <w:rFonts w:ascii="Times New Roman" w:hAnsi="Times New Roman" w:cs="Times New Roman"/>
          <w:sz w:val="24"/>
          <w:szCs w:val="24"/>
        </w:rPr>
        <w:t xml:space="preserve"> Also, the measured points were viewed in Stellarium software and no </w:t>
      </w:r>
      <w:r w:rsidR="00D46D07">
        <w:rPr>
          <w:rFonts w:ascii="Times New Roman" w:hAnsi="Times New Roman" w:cs="Times New Roman"/>
          <w:sz w:val="24"/>
          <w:szCs w:val="24"/>
        </w:rPr>
        <w:t>celestial orientations were determined.</w:t>
      </w:r>
      <w:r w:rsidR="003E6482">
        <w:rPr>
          <w:rFonts w:ascii="Times New Roman" w:hAnsi="Times New Roman" w:cs="Times New Roman"/>
          <w:sz w:val="24"/>
          <w:szCs w:val="24"/>
        </w:rPr>
        <w:t xml:space="preserve"> However</w:t>
      </w:r>
      <w:r w:rsidR="00D46D07">
        <w:rPr>
          <w:rFonts w:ascii="Times New Roman" w:hAnsi="Times New Roman" w:cs="Times New Roman"/>
          <w:sz w:val="24"/>
          <w:szCs w:val="24"/>
        </w:rPr>
        <w:t xml:space="preserve">, </w:t>
      </w:r>
      <w:r w:rsidR="003E2149">
        <w:rPr>
          <w:rFonts w:ascii="Times New Roman" w:hAnsi="Times New Roman" w:cs="Times New Roman"/>
          <w:sz w:val="24"/>
          <w:szCs w:val="24"/>
        </w:rPr>
        <w:t>ethnographic</w:t>
      </w:r>
      <w:r w:rsidR="00BA32F0">
        <w:rPr>
          <w:rFonts w:ascii="Times New Roman" w:hAnsi="Times New Roman" w:cs="Times New Roman"/>
          <w:sz w:val="24"/>
          <w:szCs w:val="24"/>
        </w:rPr>
        <w:t xml:space="preserve"> evidence </w:t>
      </w:r>
      <w:r w:rsidR="003E6482">
        <w:rPr>
          <w:rFonts w:ascii="Times New Roman" w:hAnsi="Times New Roman" w:cs="Times New Roman"/>
          <w:sz w:val="24"/>
          <w:szCs w:val="24"/>
        </w:rPr>
        <w:t xml:space="preserve">and further skyscape research </w:t>
      </w:r>
      <w:r w:rsidR="00BA32F0">
        <w:rPr>
          <w:rFonts w:ascii="Times New Roman" w:hAnsi="Times New Roman" w:cs="Times New Roman"/>
          <w:sz w:val="24"/>
          <w:szCs w:val="24"/>
        </w:rPr>
        <w:t xml:space="preserve">may suggest that </w:t>
      </w:r>
      <w:r w:rsidR="00D46D07">
        <w:rPr>
          <w:rFonts w:ascii="Times New Roman" w:hAnsi="Times New Roman" w:cs="Times New Roman"/>
          <w:sz w:val="24"/>
          <w:szCs w:val="24"/>
        </w:rPr>
        <w:t xml:space="preserve">the alignment with the four cardinal points </w:t>
      </w:r>
      <w:r w:rsidR="003E6482">
        <w:rPr>
          <w:rFonts w:ascii="Times New Roman" w:hAnsi="Times New Roman" w:cs="Times New Roman"/>
          <w:sz w:val="24"/>
          <w:szCs w:val="24"/>
        </w:rPr>
        <w:t>a</w:t>
      </w:r>
      <w:r w:rsidR="00C47C16">
        <w:rPr>
          <w:rFonts w:ascii="Times New Roman" w:hAnsi="Times New Roman" w:cs="Times New Roman"/>
          <w:sz w:val="24"/>
          <w:szCs w:val="24"/>
        </w:rPr>
        <w:t xml:space="preserve">nd a historically </w:t>
      </w:r>
      <w:r w:rsidR="003E6482">
        <w:rPr>
          <w:rFonts w:ascii="Times New Roman" w:hAnsi="Times New Roman" w:cs="Times New Roman"/>
          <w:sz w:val="24"/>
          <w:szCs w:val="24"/>
        </w:rPr>
        <w:t xml:space="preserve">nuanced understanding </w:t>
      </w:r>
      <w:r w:rsidR="00C47C16">
        <w:rPr>
          <w:rFonts w:ascii="Times New Roman" w:hAnsi="Times New Roman" w:cs="Times New Roman"/>
          <w:sz w:val="24"/>
          <w:szCs w:val="24"/>
        </w:rPr>
        <w:t>of</w:t>
      </w:r>
      <w:r w:rsidR="003E6482">
        <w:rPr>
          <w:rFonts w:ascii="Times New Roman" w:hAnsi="Times New Roman" w:cs="Times New Roman"/>
          <w:sz w:val="24"/>
          <w:szCs w:val="24"/>
        </w:rPr>
        <w:t xml:space="preserve"> solar orientation are</w:t>
      </w:r>
      <w:r w:rsidR="00D46D07">
        <w:rPr>
          <w:rFonts w:ascii="Times New Roman" w:hAnsi="Times New Roman" w:cs="Times New Roman"/>
          <w:sz w:val="24"/>
          <w:szCs w:val="24"/>
        </w:rPr>
        <w:t xml:space="preserve"> feature</w:t>
      </w:r>
      <w:r w:rsidR="003E6482">
        <w:rPr>
          <w:rFonts w:ascii="Times New Roman" w:hAnsi="Times New Roman" w:cs="Times New Roman"/>
          <w:sz w:val="24"/>
          <w:szCs w:val="24"/>
        </w:rPr>
        <w:t>s</w:t>
      </w:r>
      <w:r w:rsidR="00D46D07">
        <w:rPr>
          <w:rFonts w:ascii="Times New Roman" w:hAnsi="Times New Roman" w:cs="Times New Roman"/>
          <w:sz w:val="24"/>
          <w:szCs w:val="24"/>
        </w:rPr>
        <w:t xml:space="preserve"> that </w:t>
      </w:r>
      <w:r w:rsidR="003E2149">
        <w:rPr>
          <w:rFonts w:ascii="Times New Roman" w:hAnsi="Times New Roman" w:cs="Times New Roman"/>
          <w:sz w:val="24"/>
          <w:szCs w:val="24"/>
        </w:rPr>
        <w:t xml:space="preserve">may </w:t>
      </w:r>
      <w:r w:rsidR="00D46D07">
        <w:rPr>
          <w:rFonts w:ascii="Times New Roman" w:hAnsi="Times New Roman" w:cs="Times New Roman"/>
          <w:sz w:val="24"/>
          <w:szCs w:val="24"/>
        </w:rPr>
        <w:t>hold</w:t>
      </w:r>
      <w:r w:rsidR="003E2149">
        <w:rPr>
          <w:rFonts w:ascii="Times New Roman" w:hAnsi="Times New Roman" w:cs="Times New Roman"/>
          <w:sz w:val="24"/>
          <w:szCs w:val="24"/>
        </w:rPr>
        <w:t xml:space="preserve"> </w:t>
      </w:r>
      <w:r w:rsidR="00A97C60">
        <w:rPr>
          <w:rFonts w:ascii="Times New Roman" w:hAnsi="Times New Roman" w:cs="Times New Roman"/>
          <w:sz w:val="24"/>
          <w:szCs w:val="24"/>
        </w:rPr>
        <w:t>archaeoastronom</w:t>
      </w:r>
      <w:r w:rsidR="00D46D07">
        <w:rPr>
          <w:rFonts w:ascii="Times New Roman" w:hAnsi="Times New Roman" w:cs="Times New Roman"/>
          <w:sz w:val="24"/>
          <w:szCs w:val="24"/>
        </w:rPr>
        <w:t>ical significance</w:t>
      </w:r>
      <w:r w:rsidR="00986E1A">
        <w:rPr>
          <w:rFonts w:ascii="Times New Roman" w:hAnsi="Times New Roman" w:cs="Times New Roman"/>
          <w:sz w:val="24"/>
          <w:szCs w:val="24"/>
        </w:rPr>
        <w:t xml:space="preserve"> for the </w:t>
      </w:r>
      <w:r w:rsidR="00986E1A" w:rsidRPr="00986E1A">
        <w:rPr>
          <w:rFonts w:ascii="Times New Roman" w:hAnsi="Times New Roman" w:cs="Times New Roman"/>
          <w:i/>
          <w:sz w:val="24"/>
          <w:szCs w:val="24"/>
        </w:rPr>
        <w:t>Eugal</w:t>
      </w:r>
      <w:r w:rsidR="00986E1A">
        <w:rPr>
          <w:rFonts w:ascii="Times New Roman" w:hAnsi="Times New Roman" w:cs="Times New Roman"/>
          <w:sz w:val="24"/>
          <w:szCs w:val="24"/>
        </w:rPr>
        <w:t xml:space="preserve"> ziggurat at Dūr-Kurigalzu</w:t>
      </w:r>
      <w:r w:rsidR="00D46D07">
        <w:rPr>
          <w:rFonts w:ascii="Times New Roman" w:hAnsi="Times New Roman" w:cs="Times New Roman"/>
          <w:sz w:val="24"/>
          <w:szCs w:val="24"/>
        </w:rPr>
        <w:t xml:space="preserve">. </w:t>
      </w:r>
    </w:p>
    <w:p w:rsidR="006B1115" w:rsidRDefault="003E6482" w:rsidP="00FA1D8D">
      <w:pPr>
        <w:jc w:val="left"/>
        <w:rPr>
          <w:rFonts w:ascii="Times New Roman" w:hAnsi="Times New Roman" w:cs="Times New Roman"/>
          <w:sz w:val="24"/>
          <w:szCs w:val="24"/>
        </w:rPr>
      </w:pPr>
      <w:r>
        <w:rPr>
          <w:rFonts w:ascii="Times New Roman" w:hAnsi="Times New Roman" w:cs="Times New Roman"/>
          <w:sz w:val="24"/>
          <w:szCs w:val="24"/>
        </w:rPr>
        <w:tab/>
      </w:r>
      <w:r w:rsidR="00D46D07">
        <w:rPr>
          <w:rFonts w:ascii="Times New Roman" w:hAnsi="Times New Roman" w:cs="Times New Roman"/>
          <w:sz w:val="24"/>
          <w:szCs w:val="24"/>
        </w:rPr>
        <w:t>Mesopotamian temples were often depicted as microcosms of the universe</w:t>
      </w:r>
      <w:r w:rsidR="00CD2CDA">
        <w:rPr>
          <w:rFonts w:ascii="Times New Roman" w:hAnsi="Times New Roman" w:cs="Times New Roman"/>
          <w:sz w:val="24"/>
          <w:szCs w:val="24"/>
        </w:rPr>
        <w:t xml:space="preserve"> and</w:t>
      </w:r>
      <w:r w:rsidR="00D46D07">
        <w:rPr>
          <w:rFonts w:ascii="Times New Roman" w:hAnsi="Times New Roman" w:cs="Times New Roman"/>
          <w:sz w:val="24"/>
          <w:szCs w:val="24"/>
        </w:rPr>
        <w:t xml:space="preserve"> performed an axis mundi functi</w:t>
      </w:r>
      <w:r w:rsidR="006B1115">
        <w:rPr>
          <w:rFonts w:ascii="Times New Roman" w:hAnsi="Times New Roman" w:cs="Times New Roman"/>
          <w:sz w:val="24"/>
          <w:szCs w:val="24"/>
        </w:rPr>
        <w:t xml:space="preserve">on as demonstrated by some of their names. </w:t>
      </w:r>
      <w:r w:rsidR="00337F07">
        <w:rPr>
          <w:rFonts w:ascii="Times New Roman" w:hAnsi="Times New Roman" w:cs="Times New Roman"/>
          <w:sz w:val="24"/>
          <w:szCs w:val="24"/>
        </w:rPr>
        <w:t xml:space="preserve">The </w:t>
      </w:r>
      <w:r w:rsidR="00B16682" w:rsidRPr="00B16682">
        <w:rPr>
          <w:rFonts w:ascii="Times New Roman" w:hAnsi="Times New Roman" w:cs="Times New Roman"/>
          <w:i/>
          <w:sz w:val="24"/>
          <w:szCs w:val="24"/>
        </w:rPr>
        <w:t>Eduranki</w:t>
      </w:r>
      <w:r w:rsidR="00B16682">
        <w:rPr>
          <w:rFonts w:ascii="Times New Roman" w:hAnsi="Times New Roman" w:cs="Times New Roman"/>
          <w:sz w:val="24"/>
          <w:szCs w:val="24"/>
        </w:rPr>
        <w:t xml:space="preserve"> </w:t>
      </w:r>
      <w:r w:rsidR="00337F07">
        <w:rPr>
          <w:rFonts w:ascii="Times New Roman" w:hAnsi="Times New Roman" w:cs="Times New Roman"/>
          <w:sz w:val="24"/>
          <w:szCs w:val="24"/>
        </w:rPr>
        <w:t>ziggurat at Larsa was known as, ‘House, Bo</w:t>
      </w:r>
      <w:r>
        <w:rPr>
          <w:rFonts w:ascii="Times New Roman" w:hAnsi="Times New Roman" w:cs="Times New Roman"/>
          <w:sz w:val="24"/>
          <w:szCs w:val="24"/>
        </w:rPr>
        <w:t>nd of Heaven and the Underworld</w:t>
      </w:r>
      <w:r w:rsidR="006B1115">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9"/>
      </w:r>
      <w:r w:rsidR="006B1115">
        <w:rPr>
          <w:rFonts w:ascii="Times New Roman" w:hAnsi="Times New Roman" w:cs="Times New Roman"/>
          <w:sz w:val="24"/>
          <w:szCs w:val="24"/>
        </w:rPr>
        <w:t xml:space="preserve"> </w:t>
      </w:r>
      <w:r w:rsidR="00B16682">
        <w:rPr>
          <w:rFonts w:ascii="Times New Roman" w:hAnsi="Times New Roman" w:cs="Times New Roman"/>
          <w:sz w:val="24"/>
          <w:szCs w:val="24"/>
        </w:rPr>
        <w:t xml:space="preserve">The </w:t>
      </w:r>
      <w:r w:rsidR="00B16682" w:rsidRPr="00B16682">
        <w:rPr>
          <w:rFonts w:ascii="Times New Roman" w:hAnsi="Times New Roman" w:cs="Times New Roman"/>
          <w:i/>
          <w:sz w:val="24"/>
          <w:szCs w:val="24"/>
        </w:rPr>
        <w:t>Etemenaki</w:t>
      </w:r>
      <w:r w:rsidR="00B16682">
        <w:rPr>
          <w:rFonts w:ascii="Times New Roman" w:hAnsi="Times New Roman" w:cs="Times New Roman"/>
          <w:sz w:val="24"/>
          <w:szCs w:val="24"/>
        </w:rPr>
        <w:t xml:space="preserve"> ziggurat for Marduk in Babylon was described as, ‘House, Foundation Platform of Heaven and the Underworld.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0"/>
      </w:r>
      <w:r w:rsidR="00B16682">
        <w:rPr>
          <w:rFonts w:ascii="Times New Roman" w:hAnsi="Times New Roman" w:cs="Times New Roman"/>
          <w:sz w:val="24"/>
          <w:szCs w:val="24"/>
        </w:rPr>
        <w:t xml:space="preserve"> </w:t>
      </w:r>
      <w:r w:rsidR="0095737D">
        <w:rPr>
          <w:rFonts w:ascii="Times New Roman" w:hAnsi="Times New Roman" w:cs="Times New Roman"/>
          <w:sz w:val="24"/>
          <w:szCs w:val="24"/>
        </w:rPr>
        <w:t xml:space="preserve">The </w:t>
      </w:r>
      <w:r w:rsidR="0095737D" w:rsidRPr="0095737D">
        <w:rPr>
          <w:rFonts w:ascii="Times New Roman" w:hAnsi="Times New Roman" w:cs="Times New Roman"/>
          <w:i/>
          <w:sz w:val="24"/>
          <w:szCs w:val="24"/>
        </w:rPr>
        <w:t>Egishlamsharshar</w:t>
      </w:r>
      <w:r w:rsidR="0095737D">
        <w:rPr>
          <w:rFonts w:ascii="Times New Roman" w:hAnsi="Times New Roman" w:cs="Times New Roman"/>
          <w:sz w:val="24"/>
          <w:szCs w:val="24"/>
        </w:rPr>
        <w:t xml:space="preserve"> ziggurat of Adad at Assur was known as, ‘House whe</w:t>
      </w:r>
      <w:r>
        <w:rPr>
          <w:rFonts w:ascii="Times New Roman" w:hAnsi="Times New Roman" w:cs="Times New Roman"/>
          <w:sz w:val="24"/>
          <w:szCs w:val="24"/>
        </w:rPr>
        <w:t>re Heaven and Underworld Mingle</w:t>
      </w:r>
      <w:r w:rsidR="0095737D">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1"/>
      </w:r>
      <w:r w:rsidR="0095737D">
        <w:rPr>
          <w:rFonts w:ascii="Times New Roman" w:hAnsi="Times New Roman" w:cs="Times New Roman"/>
          <w:sz w:val="24"/>
          <w:szCs w:val="24"/>
        </w:rPr>
        <w:t xml:space="preserve"> The ziggurat is often described as a mountain. The </w:t>
      </w:r>
      <w:r w:rsidR="0095737D" w:rsidRPr="00B16682">
        <w:rPr>
          <w:rFonts w:ascii="Times New Roman" w:hAnsi="Times New Roman" w:cs="Times New Roman"/>
          <w:i/>
          <w:sz w:val="24"/>
          <w:szCs w:val="24"/>
        </w:rPr>
        <w:t>Ekur</w:t>
      </w:r>
      <w:r w:rsidR="0095737D">
        <w:rPr>
          <w:rFonts w:ascii="Times New Roman" w:hAnsi="Times New Roman" w:cs="Times New Roman"/>
          <w:sz w:val="24"/>
          <w:szCs w:val="24"/>
        </w:rPr>
        <w:t xml:space="preserve"> ziggurat for Enlil at Nippur </w:t>
      </w:r>
      <w:r w:rsidR="007F0309">
        <w:rPr>
          <w:rFonts w:ascii="Times New Roman" w:hAnsi="Times New Roman" w:cs="Times New Roman"/>
          <w:sz w:val="24"/>
          <w:szCs w:val="24"/>
        </w:rPr>
        <w:t>was known as, ‘House, Mountain.’</w:t>
      </w:r>
      <w:r w:rsidR="007F0309">
        <w:rPr>
          <w:rStyle w:val="FootnoteReference"/>
          <w:rFonts w:ascii="Times New Roman" w:hAnsi="Times New Roman" w:cs="Times New Roman"/>
          <w:sz w:val="24"/>
          <w:szCs w:val="24"/>
        </w:rPr>
        <w:footnoteReference w:id="42"/>
      </w:r>
      <w:r w:rsidR="007F0309">
        <w:rPr>
          <w:rFonts w:ascii="Times New Roman" w:hAnsi="Times New Roman" w:cs="Times New Roman"/>
          <w:sz w:val="24"/>
          <w:szCs w:val="24"/>
        </w:rPr>
        <w:t xml:space="preserve"> </w:t>
      </w:r>
      <w:r w:rsidR="0095737D">
        <w:rPr>
          <w:rFonts w:ascii="Times New Roman" w:hAnsi="Times New Roman" w:cs="Times New Roman"/>
          <w:sz w:val="24"/>
          <w:szCs w:val="24"/>
        </w:rPr>
        <w:t xml:space="preserve">The </w:t>
      </w:r>
      <w:r w:rsidR="0095737D" w:rsidRPr="00CF5ED7">
        <w:rPr>
          <w:rFonts w:ascii="Times New Roman" w:hAnsi="Times New Roman" w:cs="Times New Roman"/>
          <w:i/>
          <w:sz w:val="24"/>
          <w:szCs w:val="24"/>
        </w:rPr>
        <w:t>Earattakisarra</w:t>
      </w:r>
      <w:r w:rsidR="0095737D" w:rsidRPr="00CF5ED7">
        <w:rPr>
          <w:rFonts w:ascii="Times New Roman" w:hAnsi="Times New Roman" w:cs="Times New Roman"/>
          <w:sz w:val="24"/>
          <w:szCs w:val="24"/>
        </w:rPr>
        <w:t xml:space="preserve"> </w:t>
      </w:r>
      <w:r w:rsidR="0095737D">
        <w:rPr>
          <w:rFonts w:ascii="Times New Roman" w:hAnsi="Times New Roman" w:cs="Times New Roman"/>
          <w:sz w:val="24"/>
          <w:szCs w:val="24"/>
        </w:rPr>
        <w:t>ziggurat at Assur was dedicated to Assur-Enlil and was known as ‘House, Mountain/Noblest of the Universe.</w:t>
      </w:r>
      <w:r w:rsidR="007F0309">
        <w:rPr>
          <w:rFonts w:ascii="Times New Roman" w:hAnsi="Times New Roman" w:cs="Times New Roman"/>
          <w:sz w:val="24"/>
          <w:szCs w:val="24"/>
        </w:rPr>
        <w:t>’</w:t>
      </w:r>
      <w:r w:rsidR="007F0309">
        <w:rPr>
          <w:rStyle w:val="FootnoteReference"/>
          <w:rFonts w:ascii="Times New Roman" w:hAnsi="Times New Roman" w:cs="Times New Roman"/>
          <w:sz w:val="24"/>
          <w:szCs w:val="24"/>
        </w:rPr>
        <w:footnoteReference w:id="43"/>
      </w:r>
      <w:r w:rsidR="007F0309">
        <w:rPr>
          <w:rFonts w:ascii="Times New Roman" w:hAnsi="Times New Roman" w:cs="Times New Roman"/>
          <w:sz w:val="24"/>
          <w:szCs w:val="24"/>
        </w:rPr>
        <w:t xml:space="preserve"> </w:t>
      </w:r>
      <w:r w:rsidR="00C07E1F">
        <w:rPr>
          <w:rFonts w:ascii="Times New Roman" w:hAnsi="Times New Roman" w:cs="Times New Roman"/>
          <w:sz w:val="24"/>
          <w:szCs w:val="24"/>
        </w:rPr>
        <w:t xml:space="preserve">As a </w:t>
      </w:r>
      <w:r w:rsidR="007F0309">
        <w:rPr>
          <w:rFonts w:ascii="Times New Roman" w:hAnsi="Times New Roman" w:cs="Times New Roman"/>
          <w:sz w:val="24"/>
          <w:szCs w:val="24"/>
        </w:rPr>
        <w:t>cosmic mountain and</w:t>
      </w:r>
      <w:r w:rsidR="00C07E1F">
        <w:rPr>
          <w:rFonts w:ascii="Times New Roman" w:hAnsi="Times New Roman" w:cs="Times New Roman"/>
          <w:sz w:val="24"/>
          <w:szCs w:val="24"/>
        </w:rPr>
        <w:t xml:space="preserve"> a microcosm of the universe</w:t>
      </w:r>
      <w:r w:rsidR="004D1485">
        <w:rPr>
          <w:rFonts w:ascii="Times New Roman" w:hAnsi="Times New Roman" w:cs="Times New Roman"/>
          <w:sz w:val="24"/>
          <w:szCs w:val="24"/>
        </w:rPr>
        <w:t>,</w:t>
      </w:r>
      <w:r w:rsidR="00C07E1F">
        <w:rPr>
          <w:rFonts w:ascii="Times New Roman" w:hAnsi="Times New Roman" w:cs="Times New Roman"/>
          <w:sz w:val="24"/>
          <w:szCs w:val="24"/>
        </w:rPr>
        <w:t xml:space="preserve"> the ziggurat is a stage or perhaps a backdrop upon which the deified celestial drama was performed.</w:t>
      </w:r>
      <w:r w:rsidR="00C07E1F">
        <w:rPr>
          <w:rStyle w:val="FootnoteReference"/>
          <w:rFonts w:ascii="Times New Roman" w:hAnsi="Times New Roman" w:cs="Times New Roman"/>
          <w:sz w:val="24"/>
          <w:szCs w:val="24"/>
        </w:rPr>
        <w:footnoteReference w:id="44"/>
      </w:r>
      <w:r w:rsidR="007F0309">
        <w:rPr>
          <w:rFonts w:ascii="Times New Roman" w:hAnsi="Times New Roman" w:cs="Times New Roman"/>
          <w:sz w:val="24"/>
          <w:szCs w:val="24"/>
        </w:rPr>
        <w:t xml:space="preserve"> When the sun rises in the east, reaches its zenith towards the south, and sets in the west at Dūr-Kurigalzu, this action was mirrored and visibly played out at the </w:t>
      </w:r>
      <w:r w:rsidR="007F0309" w:rsidRPr="007F0309">
        <w:rPr>
          <w:rFonts w:ascii="Times New Roman" w:hAnsi="Times New Roman" w:cs="Times New Roman"/>
          <w:i/>
          <w:sz w:val="24"/>
          <w:szCs w:val="24"/>
        </w:rPr>
        <w:t>Eugal</w:t>
      </w:r>
      <w:r w:rsidR="007F0309">
        <w:rPr>
          <w:rFonts w:ascii="Times New Roman" w:hAnsi="Times New Roman" w:cs="Times New Roman"/>
          <w:sz w:val="24"/>
          <w:szCs w:val="24"/>
        </w:rPr>
        <w:t xml:space="preserve"> ziggurat.</w:t>
      </w:r>
      <w:r w:rsidR="009329DD">
        <w:rPr>
          <w:rFonts w:ascii="Times New Roman" w:hAnsi="Times New Roman" w:cs="Times New Roman"/>
          <w:sz w:val="24"/>
          <w:szCs w:val="24"/>
        </w:rPr>
        <w:t xml:space="preserve"> This principle would include lunar and stellar movements as well.</w:t>
      </w:r>
      <w:r w:rsidR="00C07E1F">
        <w:rPr>
          <w:rFonts w:ascii="Times New Roman" w:hAnsi="Times New Roman" w:cs="Times New Roman"/>
          <w:sz w:val="24"/>
          <w:szCs w:val="24"/>
        </w:rPr>
        <w:t xml:space="preserve"> </w:t>
      </w:r>
    </w:p>
    <w:p w:rsidR="00692747" w:rsidRDefault="00692747" w:rsidP="00453C85">
      <w:pPr>
        <w:jc w:val="left"/>
        <w:rPr>
          <w:rFonts w:ascii="Times New Roman" w:hAnsi="Times New Roman" w:cs="Times New Roman"/>
          <w:sz w:val="24"/>
          <w:szCs w:val="24"/>
        </w:rPr>
      </w:pPr>
      <w:r>
        <w:rPr>
          <w:rFonts w:ascii="Times New Roman" w:hAnsi="Times New Roman" w:cs="Times New Roman"/>
          <w:sz w:val="24"/>
          <w:szCs w:val="24"/>
        </w:rPr>
        <w:tab/>
      </w:r>
      <w:r w:rsidR="00C07E1F">
        <w:rPr>
          <w:rFonts w:ascii="Times New Roman" w:hAnsi="Times New Roman" w:cs="Times New Roman"/>
          <w:sz w:val="24"/>
          <w:szCs w:val="24"/>
        </w:rPr>
        <w:t>The distinction between astrology and astronomy did not exist during the occupation of Dūr-Kurigalzu.</w:t>
      </w:r>
      <w:r w:rsidR="00C07E1F">
        <w:rPr>
          <w:rStyle w:val="FootnoteReference"/>
          <w:rFonts w:ascii="Times New Roman" w:hAnsi="Times New Roman" w:cs="Times New Roman"/>
          <w:sz w:val="24"/>
          <w:szCs w:val="24"/>
        </w:rPr>
        <w:footnoteReference w:id="45"/>
      </w:r>
      <w:r w:rsidR="00C07E1F">
        <w:rPr>
          <w:rFonts w:ascii="Times New Roman" w:hAnsi="Times New Roman" w:cs="Times New Roman"/>
          <w:sz w:val="24"/>
          <w:szCs w:val="24"/>
        </w:rPr>
        <w:t xml:space="preserve"> </w:t>
      </w:r>
      <w:r w:rsidR="006B1115" w:rsidRPr="0019181F">
        <w:rPr>
          <w:rFonts w:ascii="Times New Roman" w:hAnsi="Times New Roman" w:cs="Times New Roman"/>
          <w:sz w:val="24"/>
          <w:szCs w:val="24"/>
        </w:rPr>
        <w:t>The first celestial omen texts date from the Old Babylonian period</w:t>
      </w:r>
      <w:r w:rsidR="004D1485">
        <w:rPr>
          <w:rFonts w:ascii="Times New Roman" w:hAnsi="Times New Roman" w:cs="Times New Roman"/>
          <w:sz w:val="24"/>
          <w:szCs w:val="24"/>
        </w:rPr>
        <w:t xml:space="preserve"> (c. 2000-1500 BCE)</w:t>
      </w:r>
      <w:r w:rsidR="006B1115" w:rsidRPr="0019181F">
        <w:rPr>
          <w:rFonts w:ascii="Times New Roman" w:hAnsi="Times New Roman" w:cs="Times New Roman"/>
          <w:sz w:val="24"/>
          <w:szCs w:val="24"/>
        </w:rPr>
        <w:t>, concern lunar eclipses, and</w:t>
      </w:r>
      <w:r w:rsidR="006B1115">
        <w:rPr>
          <w:rFonts w:ascii="Times New Roman" w:hAnsi="Times New Roman" w:cs="Times New Roman"/>
          <w:sz w:val="24"/>
          <w:szCs w:val="24"/>
        </w:rPr>
        <w:t xml:space="preserve"> </w:t>
      </w:r>
      <w:r w:rsidR="006B1115" w:rsidRPr="0019181F">
        <w:rPr>
          <w:rFonts w:ascii="Times New Roman" w:hAnsi="Times New Roman" w:cs="Times New Roman"/>
          <w:sz w:val="24"/>
          <w:szCs w:val="24"/>
        </w:rPr>
        <w:t xml:space="preserve">may have served as </w:t>
      </w:r>
      <w:r w:rsidR="006B1115">
        <w:rPr>
          <w:rFonts w:ascii="Times New Roman" w:hAnsi="Times New Roman" w:cs="Times New Roman"/>
          <w:sz w:val="24"/>
          <w:szCs w:val="24"/>
        </w:rPr>
        <w:t>a prototype</w:t>
      </w:r>
      <w:r w:rsidR="006B1115" w:rsidRPr="0019181F">
        <w:rPr>
          <w:rFonts w:ascii="Times New Roman" w:hAnsi="Times New Roman" w:cs="Times New Roman"/>
          <w:sz w:val="24"/>
          <w:szCs w:val="24"/>
        </w:rPr>
        <w:t xml:space="preserve"> for a major celestial omen compendium (Akk. </w:t>
      </w:r>
      <w:r w:rsidR="006B1115" w:rsidRPr="0019181F">
        <w:rPr>
          <w:rFonts w:ascii="Times New Roman" w:hAnsi="Times New Roman" w:cs="Times New Roman"/>
          <w:i/>
          <w:sz w:val="24"/>
          <w:szCs w:val="24"/>
        </w:rPr>
        <w:t>Enūma Anu Enlil</w:t>
      </w:r>
      <w:r w:rsidR="006B1115" w:rsidRPr="0019181F">
        <w:rPr>
          <w:rFonts w:ascii="Times New Roman" w:hAnsi="Times New Roman" w:cs="Times New Roman"/>
          <w:sz w:val="24"/>
          <w:szCs w:val="24"/>
        </w:rPr>
        <w:t>).</w:t>
      </w:r>
      <w:r w:rsidR="006B1115" w:rsidRPr="0019181F">
        <w:rPr>
          <w:rStyle w:val="FootnoteReference"/>
          <w:rFonts w:ascii="Times New Roman" w:hAnsi="Times New Roman" w:cs="Times New Roman"/>
          <w:sz w:val="24"/>
          <w:szCs w:val="24"/>
        </w:rPr>
        <w:footnoteReference w:id="46"/>
      </w:r>
      <w:r>
        <w:rPr>
          <w:rFonts w:ascii="Times New Roman" w:hAnsi="Times New Roman" w:cs="Times New Roman"/>
          <w:sz w:val="24"/>
          <w:szCs w:val="24"/>
        </w:rPr>
        <w:t xml:space="preserve"> </w:t>
      </w:r>
      <w:r w:rsidR="006B1115" w:rsidRPr="0019181F">
        <w:rPr>
          <w:rFonts w:ascii="Times New Roman" w:hAnsi="Times New Roman" w:cs="Times New Roman"/>
          <w:i/>
          <w:sz w:val="24"/>
          <w:szCs w:val="24"/>
        </w:rPr>
        <w:t>Enūma Anu Enlil</w:t>
      </w:r>
      <w:r w:rsidR="006B1115" w:rsidRPr="0019181F">
        <w:rPr>
          <w:rFonts w:ascii="Times New Roman" w:hAnsi="Times New Roman" w:cs="Times New Roman"/>
          <w:sz w:val="24"/>
          <w:szCs w:val="24"/>
        </w:rPr>
        <w:t xml:space="preserve"> contains two </w:t>
      </w:r>
      <w:r w:rsidR="006B1115">
        <w:rPr>
          <w:rFonts w:ascii="Times New Roman" w:hAnsi="Times New Roman" w:cs="Times New Roman"/>
          <w:sz w:val="24"/>
          <w:szCs w:val="24"/>
        </w:rPr>
        <w:t>i</w:t>
      </w:r>
      <w:r w:rsidR="006B1115" w:rsidRPr="0019181F">
        <w:rPr>
          <w:rFonts w:ascii="Times New Roman" w:hAnsi="Times New Roman" w:cs="Times New Roman"/>
          <w:sz w:val="24"/>
          <w:szCs w:val="24"/>
        </w:rPr>
        <w:t>ntroductions, one in Sumerian and the other in Akkadian.</w:t>
      </w:r>
      <w:r w:rsidR="006B1115" w:rsidRPr="0019181F">
        <w:rPr>
          <w:rStyle w:val="FootnoteReference"/>
          <w:rFonts w:ascii="Times New Roman" w:hAnsi="Times New Roman" w:cs="Times New Roman"/>
          <w:sz w:val="24"/>
          <w:szCs w:val="24"/>
        </w:rPr>
        <w:footnoteReference w:id="47"/>
      </w:r>
      <w:r w:rsidR="006B1115" w:rsidRPr="0019181F">
        <w:rPr>
          <w:rFonts w:ascii="Times New Roman" w:hAnsi="Times New Roman" w:cs="Times New Roman"/>
          <w:sz w:val="24"/>
          <w:szCs w:val="24"/>
        </w:rPr>
        <w:t xml:space="preserve"> Both relate how the great gods </w:t>
      </w:r>
      <w:r w:rsidR="006B1115" w:rsidRPr="0019181F">
        <w:rPr>
          <w:rFonts w:ascii="Times New Roman" w:hAnsi="Times New Roman" w:cs="Times New Roman"/>
          <w:sz w:val="24"/>
          <w:szCs w:val="24"/>
        </w:rPr>
        <w:lastRenderedPageBreak/>
        <w:t xml:space="preserve">(Anu, Enlil, Enki) by their </w:t>
      </w:r>
      <w:r w:rsidR="006B1115">
        <w:rPr>
          <w:rFonts w:ascii="Times New Roman" w:hAnsi="Times New Roman" w:cs="Times New Roman"/>
          <w:sz w:val="24"/>
          <w:szCs w:val="24"/>
        </w:rPr>
        <w:t xml:space="preserve">cosmological </w:t>
      </w:r>
      <w:r w:rsidR="006B1115" w:rsidRPr="0019181F">
        <w:rPr>
          <w:rFonts w:ascii="Times New Roman" w:hAnsi="Times New Roman" w:cs="Times New Roman"/>
          <w:sz w:val="24"/>
          <w:szCs w:val="24"/>
        </w:rPr>
        <w:t xml:space="preserve">decision established the </w:t>
      </w:r>
      <w:r w:rsidR="006B1115">
        <w:rPr>
          <w:rFonts w:ascii="Times New Roman" w:hAnsi="Times New Roman" w:cs="Times New Roman"/>
          <w:sz w:val="24"/>
          <w:szCs w:val="24"/>
        </w:rPr>
        <w:t>‘</w:t>
      </w:r>
      <w:r w:rsidR="006B1115" w:rsidRPr="0019181F">
        <w:rPr>
          <w:rFonts w:ascii="Times New Roman" w:hAnsi="Times New Roman" w:cs="Times New Roman"/>
          <w:sz w:val="24"/>
          <w:szCs w:val="24"/>
        </w:rPr>
        <w:t>design</w:t>
      </w:r>
      <w:r w:rsidR="006B1115">
        <w:rPr>
          <w:rFonts w:ascii="Times New Roman" w:hAnsi="Times New Roman" w:cs="Times New Roman"/>
          <w:sz w:val="24"/>
          <w:szCs w:val="24"/>
        </w:rPr>
        <w:t>’</w:t>
      </w:r>
      <w:r w:rsidR="006B1115" w:rsidRPr="0019181F">
        <w:rPr>
          <w:rFonts w:ascii="Times New Roman" w:hAnsi="Times New Roman" w:cs="Times New Roman"/>
          <w:sz w:val="24"/>
          <w:szCs w:val="24"/>
        </w:rPr>
        <w:t xml:space="preserve"> </w:t>
      </w:r>
      <w:r w:rsidR="006B1115">
        <w:rPr>
          <w:rFonts w:ascii="Times New Roman" w:hAnsi="Times New Roman" w:cs="Times New Roman"/>
          <w:sz w:val="24"/>
          <w:szCs w:val="24"/>
        </w:rPr>
        <w:t xml:space="preserve">(Sum. </w:t>
      </w:r>
      <w:r w:rsidR="006B1115">
        <w:rPr>
          <w:rFonts w:ascii="Times New Roman" w:hAnsi="Times New Roman" w:cs="Times New Roman"/>
          <w:i/>
          <w:sz w:val="24"/>
          <w:szCs w:val="24"/>
        </w:rPr>
        <w:t>giš</w:t>
      </w:r>
      <w:r w:rsidR="006B1115" w:rsidRPr="00FF0FBE">
        <w:rPr>
          <w:rFonts w:ascii="Times New Roman" w:hAnsi="Times New Roman" w:cs="Times New Roman"/>
          <w:i/>
          <w:sz w:val="24"/>
          <w:szCs w:val="24"/>
        </w:rPr>
        <w:t>kur</w:t>
      </w:r>
      <w:r w:rsidR="006B1115">
        <w:rPr>
          <w:rFonts w:ascii="Times New Roman" w:hAnsi="Times New Roman" w:cs="Times New Roman"/>
          <w:sz w:val="24"/>
          <w:szCs w:val="24"/>
        </w:rPr>
        <w:t xml:space="preserve">, Akk. </w:t>
      </w:r>
      <w:r w:rsidR="006B1115" w:rsidRPr="00FF0FBE">
        <w:rPr>
          <w:rFonts w:ascii="Times New Roman" w:hAnsi="Times New Roman" w:cs="Times New Roman"/>
          <w:i/>
          <w:sz w:val="24"/>
          <w:szCs w:val="24"/>
        </w:rPr>
        <w:t>uṣurātu</w:t>
      </w:r>
      <w:r w:rsidR="006B1115">
        <w:rPr>
          <w:rFonts w:ascii="Times New Roman" w:hAnsi="Times New Roman" w:cs="Times New Roman"/>
          <w:sz w:val="24"/>
          <w:szCs w:val="24"/>
        </w:rPr>
        <w:t xml:space="preserve">) </w:t>
      </w:r>
      <w:r w:rsidR="006B1115" w:rsidRPr="0019181F">
        <w:rPr>
          <w:rFonts w:ascii="Times New Roman" w:hAnsi="Times New Roman" w:cs="Times New Roman"/>
          <w:sz w:val="24"/>
          <w:szCs w:val="24"/>
        </w:rPr>
        <w:t xml:space="preserve">of heaven and earth. The Sumerian introduction </w:t>
      </w:r>
      <w:r w:rsidR="006B1115">
        <w:rPr>
          <w:rFonts w:ascii="Times New Roman" w:hAnsi="Times New Roman" w:cs="Times New Roman"/>
          <w:sz w:val="24"/>
          <w:szCs w:val="24"/>
        </w:rPr>
        <w:t>relates</w:t>
      </w:r>
      <w:r w:rsidR="006B1115" w:rsidRPr="0019181F">
        <w:rPr>
          <w:rFonts w:ascii="Times New Roman" w:hAnsi="Times New Roman" w:cs="Times New Roman"/>
          <w:sz w:val="24"/>
          <w:szCs w:val="24"/>
        </w:rPr>
        <w:t xml:space="preserve"> the lunar aspect of creation and its use for determining months and the ‘sign’ (Sum. </w:t>
      </w:r>
      <w:r w:rsidR="006B1115" w:rsidRPr="0019181F">
        <w:rPr>
          <w:rFonts w:ascii="Times New Roman" w:hAnsi="Times New Roman" w:cs="Times New Roman"/>
          <w:i/>
          <w:sz w:val="24"/>
          <w:szCs w:val="24"/>
        </w:rPr>
        <w:t>giskim</w:t>
      </w:r>
      <w:r w:rsidR="006B1115" w:rsidRPr="0019181F">
        <w:rPr>
          <w:rFonts w:ascii="Times New Roman" w:hAnsi="Times New Roman" w:cs="Times New Roman"/>
          <w:sz w:val="24"/>
          <w:szCs w:val="24"/>
        </w:rPr>
        <w:t xml:space="preserve">) of heaven and earth to be seen. The Akkadian introduction </w:t>
      </w:r>
      <w:r w:rsidR="006B1115">
        <w:rPr>
          <w:rFonts w:ascii="Times New Roman" w:hAnsi="Times New Roman" w:cs="Times New Roman"/>
          <w:sz w:val="24"/>
          <w:szCs w:val="24"/>
        </w:rPr>
        <w:t>relates</w:t>
      </w:r>
      <w:r w:rsidR="006B1115" w:rsidRPr="0019181F">
        <w:rPr>
          <w:rFonts w:ascii="Times New Roman" w:hAnsi="Times New Roman" w:cs="Times New Roman"/>
          <w:sz w:val="24"/>
          <w:szCs w:val="24"/>
        </w:rPr>
        <w:t xml:space="preserve"> the solar aspect of creation by creating day</w:t>
      </w:r>
      <w:r w:rsidR="006B1115">
        <w:rPr>
          <w:rFonts w:ascii="Times New Roman" w:hAnsi="Times New Roman" w:cs="Times New Roman"/>
          <w:sz w:val="24"/>
          <w:szCs w:val="24"/>
        </w:rPr>
        <w:t>s</w:t>
      </w:r>
      <w:r w:rsidR="006B1115" w:rsidRPr="0019181F">
        <w:rPr>
          <w:rFonts w:ascii="Times New Roman" w:hAnsi="Times New Roman" w:cs="Times New Roman"/>
          <w:sz w:val="24"/>
          <w:szCs w:val="24"/>
        </w:rPr>
        <w:t xml:space="preserve"> and renewing months to be beheld by humanity via Shamash in his ‘gate.’</w:t>
      </w:r>
      <w:r w:rsidR="006B1115" w:rsidRPr="0019181F">
        <w:rPr>
          <w:rStyle w:val="FootnoteReference"/>
          <w:rFonts w:ascii="Times New Roman" w:hAnsi="Times New Roman" w:cs="Times New Roman"/>
          <w:sz w:val="24"/>
          <w:szCs w:val="24"/>
        </w:rPr>
        <w:footnoteReference w:id="48"/>
      </w:r>
      <w:r w:rsidR="006B1115" w:rsidRPr="0019181F">
        <w:rPr>
          <w:rFonts w:ascii="Times New Roman" w:hAnsi="Times New Roman" w:cs="Times New Roman"/>
          <w:sz w:val="24"/>
          <w:szCs w:val="24"/>
        </w:rPr>
        <w:t xml:space="preserve"> Additionally, the Akkadian solar introduction refers to the gods making Shamash (sun) appear regularly.</w:t>
      </w:r>
    </w:p>
    <w:p w:rsidR="009329DD" w:rsidRDefault="00DC7C1D" w:rsidP="009329DD">
      <w:pPr>
        <w:jc w:val="lef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5584" behindDoc="0" locked="0" layoutInCell="1" allowOverlap="1">
            <wp:simplePos x="0" y="0"/>
            <wp:positionH relativeFrom="column">
              <wp:posOffset>-126365</wp:posOffset>
            </wp:positionH>
            <wp:positionV relativeFrom="paragraph">
              <wp:posOffset>1965960</wp:posOffset>
            </wp:positionV>
            <wp:extent cx="3892550" cy="3124200"/>
            <wp:effectExtent l="19050" t="0" r="0" b="0"/>
            <wp:wrapSquare wrapText="bothSides"/>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srcRect r="5738"/>
                    <a:stretch>
                      <a:fillRect/>
                    </a:stretch>
                  </pic:blipFill>
                  <pic:spPr bwMode="auto">
                    <a:xfrm>
                      <a:off x="0" y="0"/>
                      <a:ext cx="3892550" cy="3124200"/>
                    </a:xfrm>
                    <a:prstGeom prst="rect">
                      <a:avLst/>
                    </a:prstGeom>
                    <a:noFill/>
                    <a:ln w="9525">
                      <a:noFill/>
                      <a:miter lim="800000"/>
                      <a:headEnd/>
                      <a:tailEnd/>
                    </a:ln>
                  </pic:spPr>
                </pic:pic>
              </a:graphicData>
            </a:graphic>
          </wp:anchor>
        </w:drawing>
      </w:r>
      <w:r w:rsidR="009329DD">
        <w:rPr>
          <w:rFonts w:ascii="Times New Roman" w:hAnsi="Times New Roman" w:cs="Times New Roman"/>
          <w:sz w:val="24"/>
          <w:szCs w:val="24"/>
        </w:rPr>
        <w:tab/>
      </w:r>
      <w:r w:rsidR="00692747">
        <w:rPr>
          <w:rFonts w:ascii="Times New Roman" w:hAnsi="Times New Roman" w:cs="Times New Roman"/>
          <w:sz w:val="24"/>
          <w:szCs w:val="24"/>
        </w:rPr>
        <w:t>Divine</w:t>
      </w:r>
      <w:r w:rsidR="00692747" w:rsidRPr="0019181F">
        <w:rPr>
          <w:rFonts w:ascii="Times New Roman" w:hAnsi="Times New Roman" w:cs="Times New Roman"/>
          <w:sz w:val="24"/>
          <w:szCs w:val="24"/>
        </w:rPr>
        <w:t xml:space="preserve"> caus</w:t>
      </w:r>
      <w:r w:rsidR="00692747">
        <w:rPr>
          <w:rFonts w:ascii="Times New Roman" w:hAnsi="Times New Roman" w:cs="Times New Roman"/>
          <w:sz w:val="24"/>
          <w:szCs w:val="24"/>
        </w:rPr>
        <w:t>ality in the</w:t>
      </w:r>
      <w:r w:rsidR="00692747" w:rsidRPr="0019181F">
        <w:rPr>
          <w:rFonts w:ascii="Times New Roman" w:hAnsi="Times New Roman" w:cs="Times New Roman"/>
          <w:sz w:val="24"/>
          <w:szCs w:val="24"/>
        </w:rPr>
        <w:t xml:space="preserve"> regular appearance </w:t>
      </w:r>
      <w:r w:rsidR="00692747" w:rsidRPr="00E9276A">
        <w:rPr>
          <w:rFonts w:ascii="Times New Roman" w:hAnsi="Times New Roman" w:cs="Times New Roman"/>
          <w:sz w:val="24"/>
          <w:szCs w:val="24"/>
        </w:rPr>
        <w:t xml:space="preserve">of the sun serves as an intricate example illustrating a connection between </w:t>
      </w:r>
      <w:r w:rsidR="009329DD">
        <w:rPr>
          <w:rFonts w:ascii="Times New Roman" w:hAnsi="Times New Roman" w:cs="Times New Roman"/>
          <w:sz w:val="24"/>
          <w:szCs w:val="24"/>
        </w:rPr>
        <w:t>celestial phenomena</w:t>
      </w:r>
      <w:r w:rsidR="00692747" w:rsidRPr="00E9276A">
        <w:rPr>
          <w:rFonts w:ascii="Times New Roman" w:hAnsi="Times New Roman" w:cs="Times New Roman"/>
          <w:sz w:val="24"/>
          <w:szCs w:val="24"/>
        </w:rPr>
        <w:t xml:space="preserve"> and divination, especially the divination </w:t>
      </w:r>
      <w:r w:rsidR="00692747" w:rsidRPr="00E9276A">
        <w:rPr>
          <w:rFonts w:ascii="Times New Roman" w:hAnsi="Times New Roman" w:cs="Times New Roman"/>
          <w:i/>
          <w:sz w:val="24"/>
          <w:szCs w:val="24"/>
        </w:rPr>
        <w:t>par excellence</w:t>
      </w:r>
      <w:r w:rsidR="00692747" w:rsidRPr="00E9276A">
        <w:rPr>
          <w:rFonts w:ascii="Times New Roman" w:hAnsi="Times New Roman" w:cs="Times New Roman"/>
          <w:sz w:val="24"/>
          <w:szCs w:val="24"/>
        </w:rPr>
        <w:t xml:space="preserve"> of extispicy</w:t>
      </w:r>
      <w:r w:rsidR="00692747">
        <w:rPr>
          <w:rFonts w:ascii="Times New Roman" w:hAnsi="Times New Roman" w:cs="Times New Roman"/>
          <w:sz w:val="24"/>
          <w:szCs w:val="24"/>
        </w:rPr>
        <w:t xml:space="preserve"> (divination via animal exta)</w:t>
      </w:r>
      <w:r w:rsidR="00692747" w:rsidRPr="00E9276A">
        <w:rPr>
          <w:rFonts w:ascii="Times New Roman" w:hAnsi="Times New Roman" w:cs="Times New Roman"/>
          <w:sz w:val="24"/>
          <w:szCs w:val="24"/>
        </w:rPr>
        <w:t>.</w:t>
      </w:r>
      <w:r w:rsidR="009329DD">
        <w:rPr>
          <w:rStyle w:val="FootnoteReference"/>
          <w:rFonts w:ascii="Times New Roman" w:hAnsi="Times New Roman" w:cs="Times New Roman"/>
          <w:sz w:val="24"/>
          <w:szCs w:val="24"/>
        </w:rPr>
        <w:footnoteReference w:id="49"/>
      </w:r>
      <w:r w:rsidR="00692747" w:rsidRPr="00E9276A">
        <w:rPr>
          <w:rFonts w:ascii="Times New Roman" w:hAnsi="Times New Roman" w:cs="Times New Roman"/>
          <w:sz w:val="24"/>
          <w:szCs w:val="24"/>
        </w:rPr>
        <w:t xml:space="preserve"> Shamash and Adad are known as, ‘Shamash, lord of the judgment, Adad, lord of the inspectio</w:t>
      </w:r>
      <w:r w:rsidR="00692747">
        <w:rPr>
          <w:rFonts w:ascii="Times New Roman" w:hAnsi="Times New Roman" w:cs="Times New Roman"/>
          <w:sz w:val="24"/>
          <w:szCs w:val="24"/>
        </w:rPr>
        <w:t>n</w:t>
      </w:r>
      <w:r w:rsidR="00692747" w:rsidRPr="00E9276A">
        <w:rPr>
          <w:rFonts w:ascii="Times New Roman" w:hAnsi="Times New Roman" w:cs="Times New Roman"/>
          <w:sz w:val="24"/>
          <w:szCs w:val="24"/>
        </w:rPr>
        <w:t>.</w:t>
      </w:r>
      <w:r w:rsidR="009329DD">
        <w:rPr>
          <w:rFonts w:ascii="Times New Roman" w:hAnsi="Times New Roman" w:cs="Times New Roman"/>
          <w:sz w:val="24"/>
          <w:szCs w:val="24"/>
        </w:rPr>
        <w:t>’</w:t>
      </w:r>
      <w:r w:rsidR="00692747" w:rsidRPr="00E9276A">
        <w:rPr>
          <w:rStyle w:val="FootnoteReference"/>
          <w:rFonts w:ascii="Times New Roman" w:hAnsi="Times New Roman" w:cs="Times New Roman"/>
          <w:sz w:val="24"/>
          <w:szCs w:val="24"/>
        </w:rPr>
        <w:footnoteReference w:id="50"/>
      </w:r>
      <w:r w:rsidR="00692747" w:rsidRPr="00E9276A">
        <w:rPr>
          <w:rFonts w:ascii="Times New Roman" w:hAnsi="Times New Roman" w:cs="Times New Roman"/>
          <w:sz w:val="24"/>
          <w:szCs w:val="24"/>
        </w:rPr>
        <w:t xml:space="preserve"> This type of divination</w:t>
      </w:r>
      <w:r w:rsidR="00692747">
        <w:rPr>
          <w:rFonts w:ascii="Times New Roman" w:hAnsi="Times New Roman" w:cs="Times New Roman"/>
          <w:sz w:val="24"/>
          <w:szCs w:val="24"/>
        </w:rPr>
        <w:t xml:space="preserve"> often </w:t>
      </w:r>
      <w:r w:rsidR="00692747" w:rsidRPr="00E9276A">
        <w:rPr>
          <w:rFonts w:ascii="Times New Roman" w:hAnsi="Times New Roman" w:cs="Times New Roman"/>
          <w:sz w:val="24"/>
          <w:szCs w:val="24"/>
        </w:rPr>
        <w:t>began in the evening, continued throughout the night, and concluded in the morning.</w:t>
      </w:r>
      <w:r w:rsidR="00692747" w:rsidRPr="00E9276A">
        <w:rPr>
          <w:rStyle w:val="FootnoteReference"/>
          <w:rFonts w:ascii="Times New Roman" w:hAnsi="Times New Roman" w:cs="Times New Roman"/>
          <w:sz w:val="24"/>
          <w:szCs w:val="24"/>
        </w:rPr>
        <w:footnoteReference w:id="51"/>
      </w:r>
      <w:r w:rsidR="009329DD">
        <w:rPr>
          <w:rFonts w:ascii="Times New Roman" w:hAnsi="Times New Roman" w:cs="Times New Roman"/>
          <w:sz w:val="24"/>
          <w:szCs w:val="24"/>
        </w:rPr>
        <w:t xml:space="preserve"> </w:t>
      </w:r>
      <w:r w:rsidR="009329DD" w:rsidRPr="00736E1B">
        <w:rPr>
          <w:rFonts w:ascii="Times New Roman" w:hAnsi="Times New Roman" w:cs="Times New Roman"/>
          <w:sz w:val="24"/>
          <w:szCs w:val="24"/>
        </w:rPr>
        <w:t>Extispicy prayers demonstrate that during his nightly passage, Shamash, along with other netherworld deities (e.g. Nergal, Ereshkigal, Ninazu, Namtar) convened to render oracular judgments.</w:t>
      </w:r>
      <w:r w:rsidR="009329DD" w:rsidRPr="00736E1B">
        <w:rPr>
          <w:rStyle w:val="FootnoteReference"/>
          <w:rFonts w:ascii="Times New Roman" w:hAnsi="Times New Roman" w:cs="Times New Roman"/>
          <w:sz w:val="24"/>
          <w:szCs w:val="24"/>
        </w:rPr>
        <w:footnoteReference w:id="52"/>
      </w:r>
      <w:r w:rsidR="009329DD" w:rsidRPr="00736E1B">
        <w:rPr>
          <w:rFonts w:ascii="Times New Roman" w:hAnsi="Times New Roman" w:cs="Times New Roman"/>
          <w:sz w:val="24"/>
          <w:szCs w:val="24"/>
        </w:rPr>
        <w:t xml:space="preserve"> </w:t>
      </w:r>
      <w:r w:rsidR="009329DD" w:rsidRPr="0019181F">
        <w:rPr>
          <w:rFonts w:ascii="Times New Roman" w:hAnsi="Times New Roman" w:cs="Times New Roman"/>
          <w:sz w:val="24"/>
          <w:szCs w:val="24"/>
        </w:rPr>
        <w:t xml:space="preserve">With the regular emergence of Shamash </w:t>
      </w:r>
      <w:r w:rsidR="009329DD">
        <w:rPr>
          <w:rFonts w:ascii="Times New Roman" w:hAnsi="Times New Roman" w:cs="Times New Roman"/>
          <w:sz w:val="24"/>
          <w:szCs w:val="24"/>
        </w:rPr>
        <w:t>in the morning</w:t>
      </w:r>
      <w:r w:rsidR="009329DD" w:rsidRPr="0019181F">
        <w:rPr>
          <w:rFonts w:ascii="Times New Roman" w:hAnsi="Times New Roman" w:cs="Times New Roman"/>
          <w:sz w:val="24"/>
          <w:szCs w:val="24"/>
        </w:rPr>
        <w:t xml:space="preserve"> through the eastern gate, the</w:t>
      </w:r>
      <w:r w:rsidR="009329DD">
        <w:rPr>
          <w:rFonts w:ascii="Times New Roman" w:hAnsi="Times New Roman" w:cs="Times New Roman"/>
          <w:sz w:val="24"/>
          <w:szCs w:val="24"/>
        </w:rPr>
        <w:t xml:space="preserve"> diviner (Akk.</w:t>
      </w:r>
      <w:r w:rsidR="009329DD" w:rsidRPr="0019181F">
        <w:rPr>
          <w:rFonts w:ascii="Times New Roman" w:hAnsi="Times New Roman" w:cs="Times New Roman"/>
          <w:sz w:val="24"/>
          <w:szCs w:val="24"/>
        </w:rPr>
        <w:t xml:space="preserve"> </w:t>
      </w:r>
      <w:r w:rsidR="009329DD" w:rsidRPr="0019181F">
        <w:rPr>
          <w:rFonts w:ascii="Times New Roman" w:hAnsi="Times New Roman" w:cs="Times New Roman"/>
          <w:i/>
          <w:sz w:val="24"/>
          <w:szCs w:val="24"/>
        </w:rPr>
        <w:t>bārû</w:t>
      </w:r>
      <w:r w:rsidR="009329DD">
        <w:rPr>
          <w:rFonts w:ascii="Times New Roman" w:hAnsi="Times New Roman" w:cs="Times New Roman"/>
          <w:sz w:val="24"/>
          <w:szCs w:val="24"/>
        </w:rPr>
        <w:t xml:space="preserve">) </w:t>
      </w:r>
      <w:r w:rsidR="009329DD" w:rsidRPr="0019181F">
        <w:rPr>
          <w:rFonts w:ascii="Times New Roman" w:hAnsi="Times New Roman" w:cs="Times New Roman"/>
          <w:sz w:val="24"/>
          <w:szCs w:val="24"/>
        </w:rPr>
        <w:t>would then sacrifice the animal and read the entrails, thus obtaining the oracular decision from the divine tribunal in the netherworld.</w:t>
      </w:r>
    </w:p>
    <w:p w:rsidR="00400368" w:rsidRDefault="009A5A75" w:rsidP="00DC7C1D">
      <w:pPr>
        <w:ind w:firstLine="420"/>
        <w:jc w:val="left"/>
        <w:rPr>
          <w:rFonts w:ascii="Times New Roman" w:hAnsi="Times New Roman" w:cs="Times New Roman"/>
          <w:sz w:val="24"/>
          <w:szCs w:val="24"/>
        </w:rPr>
      </w:pPr>
      <w:r>
        <w:rPr>
          <w:rFonts w:ascii="Times New Roman" w:hAnsi="Times New Roman" w:cs="Times New Roman"/>
          <w:noProof/>
          <w:sz w:val="24"/>
          <w:szCs w:val="24"/>
        </w:rPr>
        <w:pict>
          <v:shape id="_x0000_s1043" type="#_x0000_t202" style="position:absolute;left:0;text-align:left;margin-left:-307.65pt;margin-top:223.1pt;width:299.1pt;height:46.9pt;z-index:251691008;mso-width-relative:margin;mso-height-relative:margin" stroked="f">
            <v:textbox style="mso-next-textbox:#_x0000_s1043">
              <w:txbxContent>
                <w:p w:rsidR="0042465C" w:rsidRPr="00F81C88" w:rsidRDefault="0042465C" w:rsidP="001C7DF5">
                  <w:pPr>
                    <w:spacing w:line="240" w:lineRule="exact"/>
                    <w:jc w:val="left"/>
                    <w:rPr>
                      <w:sz w:val="18"/>
                      <w:szCs w:val="18"/>
                    </w:rPr>
                  </w:pPr>
                  <w:r w:rsidRPr="00F81C88">
                    <w:rPr>
                      <w:rFonts w:ascii="Times New Roman" w:hAnsi="Times New Roman" w:cs="Times New Roman"/>
                      <w:b/>
                      <w:color w:val="000000" w:themeColor="text1"/>
                      <w:sz w:val="18"/>
                      <w:szCs w:val="18"/>
                    </w:rPr>
                    <w:t>Figure 13.</w:t>
                  </w:r>
                  <w:r w:rsidRPr="00F81C88">
                    <w:rPr>
                      <w:rFonts w:ascii="Times New Roman" w:hAnsi="Times New Roman" w:cs="Times New Roman"/>
                      <w:color w:val="000000" w:themeColor="text1"/>
                      <w:sz w:val="18"/>
                      <w:szCs w:val="18"/>
                    </w:rPr>
                    <w:t xml:space="preserve">  Visualization of Mesopotamian cosmic geography illustrating the cycle of the celestial gods between worlds. </w:t>
                  </w:r>
                  <w:r w:rsidRPr="00F81C88">
                    <w:rPr>
                      <w:rFonts w:ascii="Times New Roman" w:hAnsi="Times New Roman" w:cs="Times New Roman"/>
                      <w:sz w:val="18"/>
                      <w:szCs w:val="18"/>
                    </w:rPr>
                    <w:t xml:space="preserve">Steinkeller, </w:t>
                  </w:r>
                  <w:r w:rsidRPr="00F81C88">
                    <w:rPr>
                      <w:rFonts w:ascii="Times New Roman" w:hAnsi="Times New Roman" w:cs="Times New Roman"/>
                      <w:color w:val="000000" w:themeColor="text1"/>
                      <w:sz w:val="18"/>
                      <w:szCs w:val="18"/>
                      <w:shd w:val="clear" w:color="auto" w:fill="FFFFFF"/>
                    </w:rPr>
                    <w:t>(2005), p. 47.</w:t>
                  </w:r>
                </w:p>
                <w:p w:rsidR="0042465C" w:rsidRPr="00F81C88" w:rsidRDefault="0042465C" w:rsidP="00686B3A"/>
              </w:txbxContent>
            </v:textbox>
            <w10:wrap type="square"/>
          </v:shape>
        </w:pict>
      </w:r>
      <w:r w:rsidR="00686B3A" w:rsidRPr="0019181F">
        <w:rPr>
          <w:rFonts w:ascii="Times New Roman" w:hAnsi="Times New Roman" w:cs="Times New Roman"/>
          <w:sz w:val="24"/>
          <w:szCs w:val="24"/>
        </w:rPr>
        <w:t>Mesopotamian cosmic geography may</w:t>
      </w:r>
      <w:r w:rsidR="00686B3A">
        <w:rPr>
          <w:rFonts w:ascii="Times New Roman" w:hAnsi="Times New Roman" w:cs="Times New Roman"/>
          <w:sz w:val="24"/>
          <w:szCs w:val="24"/>
        </w:rPr>
        <w:t xml:space="preserve"> </w:t>
      </w:r>
      <w:r w:rsidR="00686B3A" w:rsidRPr="0019181F">
        <w:rPr>
          <w:rFonts w:ascii="Times New Roman" w:hAnsi="Times New Roman" w:cs="Times New Roman"/>
          <w:sz w:val="24"/>
          <w:szCs w:val="24"/>
        </w:rPr>
        <w:t>be briefly summarized as a spherical</w:t>
      </w:r>
      <w:r w:rsidR="00686B3A">
        <w:rPr>
          <w:rFonts w:ascii="Times New Roman" w:hAnsi="Times New Roman" w:cs="Times New Roman"/>
          <w:sz w:val="24"/>
          <w:szCs w:val="24"/>
        </w:rPr>
        <w:t xml:space="preserve"> </w:t>
      </w:r>
      <w:r w:rsidR="00686B3A" w:rsidRPr="0019181F">
        <w:rPr>
          <w:rFonts w:ascii="Times New Roman" w:hAnsi="Times New Roman" w:cs="Times New Roman"/>
          <w:sz w:val="24"/>
          <w:szCs w:val="24"/>
        </w:rPr>
        <w:t xml:space="preserve">universe with ‘upper’ (Akk. </w:t>
      </w:r>
      <w:r w:rsidR="00686B3A" w:rsidRPr="0019181F">
        <w:rPr>
          <w:rFonts w:ascii="Times New Roman" w:hAnsi="Times New Roman" w:cs="Times New Roman"/>
          <w:i/>
          <w:sz w:val="24"/>
          <w:szCs w:val="24"/>
        </w:rPr>
        <w:t>elâti</w:t>
      </w:r>
      <w:r w:rsidR="00686B3A" w:rsidRPr="0019181F">
        <w:rPr>
          <w:rFonts w:ascii="Times New Roman" w:hAnsi="Times New Roman" w:cs="Times New Roman"/>
          <w:sz w:val="24"/>
          <w:szCs w:val="24"/>
        </w:rPr>
        <w:t>) and ‘lower’</w:t>
      </w:r>
      <w:r w:rsidR="00686B3A">
        <w:rPr>
          <w:rFonts w:ascii="Times New Roman" w:hAnsi="Times New Roman" w:cs="Times New Roman"/>
          <w:sz w:val="24"/>
          <w:szCs w:val="24"/>
        </w:rPr>
        <w:t xml:space="preserve"> </w:t>
      </w:r>
      <w:r w:rsidR="00686B3A" w:rsidRPr="0019181F">
        <w:rPr>
          <w:rFonts w:ascii="Times New Roman" w:hAnsi="Times New Roman" w:cs="Times New Roman"/>
          <w:sz w:val="24"/>
          <w:szCs w:val="24"/>
        </w:rPr>
        <w:t>(</w:t>
      </w:r>
      <w:r w:rsidR="00686B3A">
        <w:rPr>
          <w:rFonts w:ascii="Times New Roman" w:hAnsi="Times New Roman" w:cs="Times New Roman"/>
          <w:sz w:val="24"/>
          <w:szCs w:val="24"/>
        </w:rPr>
        <w:t xml:space="preserve">Akk. </w:t>
      </w:r>
      <w:r w:rsidR="00686B3A" w:rsidRPr="0019181F">
        <w:rPr>
          <w:rFonts w:ascii="Times New Roman" w:hAnsi="Times New Roman" w:cs="Times New Roman"/>
          <w:i/>
          <w:sz w:val="24"/>
          <w:szCs w:val="24"/>
        </w:rPr>
        <w:t>šaplâti</w:t>
      </w:r>
      <w:r w:rsidR="00686B3A" w:rsidRPr="0019181F">
        <w:rPr>
          <w:rFonts w:ascii="Times New Roman" w:hAnsi="Times New Roman" w:cs="Times New Roman"/>
          <w:sz w:val="24"/>
          <w:szCs w:val="24"/>
        </w:rPr>
        <w:t>) hemispheres.</w:t>
      </w:r>
      <w:r w:rsidR="00686B3A">
        <w:rPr>
          <w:rFonts w:ascii="Times New Roman" w:hAnsi="Times New Roman" w:cs="Times New Roman"/>
          <w:sz w:val="24"/>
          <w:szCs w:val="24"/>
        </w:rPr>
        <w:t xml:space="preserve"> </w:t>
      </w:r>
      <w:r w:rsidR="00686B3A" w:rsidRPr="0019181F">
        <w:rPr>
          <w:rFonts w:ascii="Times New Roman" w:hAnsi="Times New Roman" w:cs="Times New Roman"/>
          <w:sz w:val="24"/>
          <w:szCs w:val="24"/>
        </w:rPr>
        <w:t>The hemispheres were near</w:t>
      </w:r>
      <w:r w:rsidR="00DC7C1D">
        <w:rPr>
          <w:rFonts w:ascii="Times New Roman" w:hAnsi="Times New Roman" w:cs="Times New Roman"/>
          <w:sz w:val="24"/>
          <w:szCs w:val="24"/>
        </w:rPr>
        <w:t xml:space="preserve"> </w:t>
      </w:r>
      <w:r w:rsidR="00453C85" w:rsidRPr="0019181F">
        <w:rPr>
          <w:rFonts w:ascii="Times New Roman" w:hAnsi="Times New Roman" w:cs="Times New Roman"/>
          <w:sz w:val="24"/>
          <w:szCs w:val="24"/>
        </w:rPr>
        <w:t>mirror images of one another with both</w:t>
      </w:r>
      <w:r w:rsidR="00453C85">
        <w:rPr>
          <w:rFonts w:ascii="Times New Roman" w:hAnsi="Times New Roman" w:cs="Times New Roman"/>
          <w:sz w:val="24"/>
          <w:szCs w:val="24"/>
        </w:rPr>
        <w:t xml:space="preserve"> </w:t>
      </w:r>
      <w:r w:rsidR="00453C85" w:rsidRPr="0019181F">
        <w:rPr>
          <w:rFonts w:ascii="Times New Roman" w:hAnsi="Times New Roman" w:cs="Times New Roman"/>
          <w:sz w:val="24"/>
          <w:szCs w:val="24"/>
        </w:rPr>
        <w:t xml:space="preserve">hemispheres having their own sky and earth, but the upper was the dwelling of the living and the lower the dwelling of the dead, corresponding to an upper world and a netherworld (Fig. </w:t>
      </w:r>
      <w:r w:rsidR="009329DD">
        <w:rPr>
          <w:rFonts w:ascii="Times New Roman" w:hAnsi="Times New Roman" w:cs="Times New Roman"/>
          <w:sz w:val="24"/>
          <w:szCs w:val="24"/>
        </w:rPr>
        <w:t>1</w:t>
      </w:r>
      <w:r w:rsidR="00DC7C1D">
        <w:rPr>
          <w:rFonts w:ascii="Times New Roman" w:hAnsi="Times New Roman" w:cs="Times New Roman"/>
          <w:sz w:val="24"/>
          <w:szCs w:val="24"/>
        </w:rPr>
        <w:t>3</w:t>
      </w:r>
      <w:r w:rsidR="00453C85" w:rsidRPr="0019181F">
        <w:rPr>
          <w:rFonts w:ascii="Times New Roman" w:hAnsi="Times New Roman" w:cs="Times New Roman"/>
          <w:sz w:val="24"/>
          <w:szCs w:val="24"/>
        </w:rPr>
        <w:t xml:space="preserve">). The passage gate to the netherworld was thought to be in the west near the cedar </w:t>
      </w:r>
      <w:r w:rsidR="00453C85" w:rsidRPr="0019181F">
        <w:rPr>
          <w:rFonts w:ascii="Times New Roman" w:hAnsi="Times New Roman" w:cs="Times New Roman"/>
          <w:sz w:val="24"/>
          <w:szCs w:val="24"/>
        </w:rPr>
        <w:lastRenderedPageBreak/>
        <w:t xml:space="preserve">tree mountains on the Mediterranean coast and the </w:t>
      </w:r>
      <w:r w:rsidR="00453C85">
        <w:rPr>
          <w:rFonts w:ascii="Times New Roman" w:hAnsi="Times New Roman" w:cs="Times New Roman"/>
          <w:sz w:val="24"/>
          <w:szCs w:val="24"/>
        </w:rPr>
        <w:t xml:space="preserve">return </w:t>
      </w:r>
      <w:r w:rsidR="00453C85" w:rsidRPr="0019181F">
        <w:rPr>
          <w:rFonts w:ascii="Times New Roman" w:hAnsi="Times New Roman" w:cs="Times New Roman"/>
          <w:sz w:val="24"/>
          <w:szCs w:val="24"/>
        </w:rPr>
        <w:t>gate to the upper world was thought to be in the east near the hashur tree mountains by the Persian Gulf where the sea comingled with the waters from the</w:t>
      </w:r>
      <w:r w:rsidR="00453C85">
        <w:rPr>
          <w:rFonts w:ascii="Times New Roman" w:hAnsi="Times New Roman" w:cs="Times New Roman"/>
          <w:sz w:val="24"/>
          <w:szCs w:val="24"/>
        </w:rPr>
        <w:t xml:space="preserve"> primordial</w:t>
      </w:r>
      <w:r w:rsidR="00453C85" w:rsidRPr="0019181F">
        <w:rPr>
          <w:rFonts w:ascii="Times New Roman" w:hAnsi="Times New Roman" w:cs="Times New Roman"/>
          <w:sz w:val="24"/>
          <w:szCs w:val="24"/>
        </w:rPr>
        <w:t xml:space="preserve"> </w:t>
      </w:r>
      <w:r w:rsidR="00453C85" w:rsidRPr="0019181F">
        <w:rPr>
          <w:rFonts w:ascii="Times New Roman" w:hAnsi="Times New Roman" w:cs="Times New Roman"/>
          <w:i/>
          <w:sz w:val="24"/>
          <w:szCs w:val="24"/>
        </w:rPr>
        <w:t>abzu</w:t>
      </w:r>
      <w:r w:rsidR="00453C85" w:rsidRPr="0019181F">
        <w:rPr>
          <w:rFonts w:ascii="Times New Roman" w:hAnsi="Times New Roman" w:cs="Times New Roman"/>
          <w:sz w:val="24"/>
          <w:szCs w:val="24"/>
        </w:rPr>
        <w:t>.</w:t>
      </w:r>
      <w:r w:rsidR="00453C85" w:rsidRPr="0019181F">
        <w:rPr>
          <w:rStyle w:val="FootnoteReference"/>
          <w:rFonts w:ascii="Times New Roman" w:hAnsi="Times New Roman" w:cs="Times New Roman"/>
          <w:sz w:val="24"/>
          <w:szCs w:val="24"/>
        </w:rPr>
        <w:footnoteReference w:id="53"/>
      </w:r>
      <w:r w:rsidR="00453C85" w:rsidRPr="0019181F">
        <w:rPr>
          <w:rFonts w:ascii="Times New Roman" w:hAnsi="Times New Roman" w:cs="Times New Roman"/>
          <w:sz w:val="24"/>
          <w:szCs w:val="24"/>
        </w:rPr>
        <w:t xml:space="preserve"> </w:t>
      </w:r>
      <w:r w:rsidR="0072050B">
        <w:rPr>
          <w:rFonts w:ascii="Times New Roman" w:hAnsi="Times New Roman" w:cs="Times New Roman"/>
          <w:sz w:val="24"/>
          <w:szCs w:val="24"/>
        </w:rPr>
        <w:t>When Shamash descends into the netherworld</w:t>
      </w:r>
      <w:r w:rsidR="0072050B" w:rsidRPr="0072050B">
        <w:rPr>
          <w:rFonts w:ascii="Times New Roman" w:hAnsi="Times New Roman" w:cs="Times New Roman"/>
          <w:sz w:val="24"/>
          <w:szCs w:val="24"/>
        </w:rPr>
        <w:t>,</w:t>
      </w:r>
      <w:r w:rsidR="0072050B">
        <w:rPr>
          <w:rFonts w:ascii="Times New Roman" w:hAnsi="Times New Roman" w:cs="Times New Roman"/>
          <w:sz w:val="24"/>
          <w:szCs w:val="24"/>
        </w:rPr>
        <w:t xml:space="preserve"> ‘…</w:t>
      </w:r>
      <w:r w:rsidR="0072050B" w:rsidRPr="0072050B">
        <w:rPr>
          <w:rFonts w:ascii="Times New Roman" w:hAnsi="Times New Roman" w:cs="Times New Roman"/>
          <w:sz w:val="24"/>
          <w:szCs w:val="24"/>
        </w:rPr>
        <w:t>he is potenti</w:t>
      </w:r>
      <w:r w:rsidR="0072050B">
        <w:rPr>
          <w:rFonts w:ascii="Times New Roman" w:hAnsi="Times New Roman" w:cs="Times New Roman"/>
          <w:sz w:val="24"/>
          <w:szCs w:val="24"/>
        </w:rPr>
        <w:t>al future, an inf</w:t>
      </w:r>
      <w:r w:rsidR="0072050B" w:rsidRPr="0072050B">
        <w:rPr>
          <w:rFonts w:ascii="Times New Roman" w:hAnsi="Times New Roman" w:cs="Times New Roman"/>
          <w:sz w:val="24"/>
          <w:szCs w:val="24"/>
        </w:rPr>
        <w:t>i</w:t>
      </w:r>
      <w:r w:rsidR="0072050B">
        <w:rPr>
          <w:rFonts w:ascii="Times New Roman" w:hAnsi="Times New Roman" w:cs="Times New Roman"/>
          <w:sz w:val="24"/>
          <w:szCs w:val="24"/>
        </w:rPr>
        <w:t>ni</w:t>
      </w:r>
      <w:r w:rsidR="0072050B" w:rsidRPr="0072050B">
        <w:rPr>
          <w:rFonts w:ascii="Times New Roman" w:hAnsi="Times New Roman" w:cs="Times New Roman"/>
          <w:sz w:val="24"/>
          <w:szCs w:val="24"/>
        </w:rPr>
        <w:t>te sequence of days to come. At daybreak, when he returns to the upper world, he becomes the future realized</w:t>
      </w:r>
      <w:r w:rsidR="0072050B">
        <w:rPr>
          <w:rFonts w:ascii="Times New Roman" w:hAnsi="Times New Roman" w:cs="Times New Roman"/>
          <w:sz w:val="24"/>
          <w:szCs w:val="24"/>
        </w:rPr>
        <w:t>.’</w:t>
      </w:r>
      <w:r w:rsidR="0072050B">
        <w:rPr>
          <w:rStyle w:val="FootnoteReference"/>
          <w:rFonts w:ascii="Times New Roman" w:hAnsi="Times New Roman" w:cs="Times New Roman"/>
          <w:sz w:val="24"/>
          <w:szCs w:val="24"/>
        </w:rPr>
        <w:footnoteReference w:id="54"/>
      </w:r>
      <w:r w:rsidR="0072050B" w:rsidRPr="0072050B">
        <w:rPr>
          <w:rFonts w:ascii="Times New Roman" w:hAnsi="Times New Roman" w:cs="Times New Roman"/>
          <w:sz w:val="24"/>
          <w:szCs w:val="24"/>
        </w:rPr>
        <w:t xml:space="preserve"> </w:t>
      </w:r>
      <w:r w:rsidR="00453C85" w:rsidRPr="0019181F">
        <w:rPr>
          <w:rFonts w:ascii="Times New Roman" w:hAnsi="Times New Roman" w:cs="Times New Roman"/>
          <w:sz w:val="24"/>
          <w:szCs w:val="24"/>
        </w:rPr>
        <w:t xml:space="preserve">The sun-god Shamash </w:t>
      </w:r>
      <w:r w:rsidR="00453C85">
        <w:rPr>
          <w:rFonts w:ascii="Times New Roman" w:hAnsi="Times New Roman" w:cs="Times New Roman"/>
          <w:sz w:val="24"/>
          <w:szCs w:val="24"/>
        </w:rPr>
        <w:t xml:space="preserve">daily </w:t>
      </w:r>
      <w:r w:rsidR="00400368">
        <w:rPr>
          <w:rFonts w:ascii="Times New Roman" w:hAnsi="Times New Roman" w:cs="Times New Roman"/>
          <w:sz w:val="24"/>
          <w:szCs w:val="24"/>
        </w:rPr>
        <w:t xml:space="preserve">passed through these upper world and netherworld gates. This passage along the ecliptic </w:t>
      </w:r>
      <w:r w:rsidR="006A2ADC">
        <w:rPr>
          <w:rFonts w:ascii="Times New Roman" w:hAnsi="Times New Roman" w:cs="Times New Roman"/>
          <w:sz w:val="24"/>
          <w:szCs w:val="24"/>
        </w:rPr>
        <w:t xml:space="preserve">may have been visually illustrated at the ziggurat </w:t>
      </w:r>
      <w:r w:rsidR="009329DD">
        <w:rPr>
          <w:rFonts w:ascii="Times New Roman" w:hAnsi="Times New Roman" w:cs="Times New Roman"/>
          <w:sz w:val="24"/>
          <w:szCs w:val="24"/>
        </w:rPr>
        <w:t>and</w:t>
      </w:r>
      <w:r w:rsidR="00686B3A">
        <w:rPr>
          <w:rFonts w:ascii="Times New Roman" w:hAnsi="Times New Roman" w:cs="Times New Roman"/>
          <w:sz w:val="24"/>
          <w:szCs w:val="24"/>
        </w:rPr>
        <w:t xml:space="preserve"> </w:t>
      </w:r>
      <w:r w:rsidR="009329DD">
        <w:rPr>
          <w:rFonts w:ascii="Times New Roman" w:hAnsi="Times New Roman" w:cs="Times New Roman"/>
          <w:sz w:val="24"/>
          <w:szCs w:val="24"/>
        </w:rPr>
        <w:t xml:space="preserve">would have provided marked changes in the appearance of the </w:t>
      </w:r>
      <w:r w:rsidR="009329DD" w:rsidRPr="009329DD">
        <w:rPr>
          <w:rFonts w:ascii="Times New Roman" w:hAnsi="Times New Roman" w:cs="Times New Roman"/>
          <w:i/>
          <w:sz w:val="24"/>
          <w:szCs w:val="24"/>
        </w:rPr>
        <w:t>Eugal</w:t>
      </w:r>
      <w:r w:rsidR="009329DD">
        <w:rPr>
          <w:rFonts w:ascii="Times New Roman" w:hAnsi="Times New Roman" w:cs="Times New Roman"/>
          <w:sz w:val="24"/>
          <w:szCs w:val="24"/>
        </w:rPr>
        <w:t xml:space="preserve"> at different times throughout the day and night.</w:t>
      </w:r>
      <w:r w:rsidR="009329DD">
        <w:rPr>
          <w:rStyle w:val="FootnoteReference"/>
          <w:rFonts w:ascii="Times New Roman" w:hAnsi="Times New Roman" w:cs="Times New Roman"/>
          <w:sz w:val="24"/>
          <w:szCs w:val="24"/>
        </w:rPr>
        <w:footnoteReference w:id="55"/>
      </w:r>
      <w:r w:rsidR="00453C85">
        <w:rPr>
          <w:rFonts w:ascii="Times New Roman" w:hAnsi="Times New Roman" w:cs="Times New Roman"/>
          <w:sz w:val="24"/>
          <w:szCs w:val="24"/>
        </w:rPr>
        <w:t xml:space="preserve"> </w:t>
      </w:r>
    </w:p>
    <w:p w:rsidR="00614E90" w:rsidRDefault="00F81C88" w:rsidP="00453C85">
      <w:pPr>
        <w:jc w:val="lef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7632" behindDoc="0" locked="0" layoutInCell="1" allowOverlap="1">
            <wp:simplePos x="0" y="0"/>
            <wp:positionH relativeFrom="column">
              <wp:posOffset>-3810</wp:posOffset>
            </wp:positionH>
            <wp:positionV relativeFrom="paragraph">
              <wp:posOffset>2232660</wp:posOffset>
            </wp:positionV>
            <wp:extent cx="5731510" cy="1684020"/>
            <wp:effectExtent l="19050" t="0" r="2540" b="0"/>
            <wp:wrapSquare wrapText="bothSides"/>
            <wp:docPr id="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5731510" cy="1684020"/>
                    </a:xfrm>
                    <a:prstGeom prst="rect">
                      <a:avLst/>
                    </a:prstGeom>
                    <a:noFill/>
                    <a:ln w="9525">
                      <a:noFill/>
                      <a:miter lim="800000"/>
                      <a:headEnd/>
                      <a:tailEnd/>
                    </a:ln>
                  </pic:spPr>
                </pic:pic>
              </a:graphicData>
            </a:graphic>
          </wp:anchor>
        </w:drawing>
      </w:r>
      <w:r w:rsidR="00906D11">
        <w:rPr>
          <w:rFonts w:ascii="Times New Roman" w:hAnsi="Times New Roman" w:cs="Times New Roman"/>
          <w:sz w:val="24"/>
          <w:szCs w:val="24"/>
        </w:rPr>
        <w:tab/>
      </w:r>
      <w:r w:rsidR="00C47C16">
        <w:rPr>
          <w:rFonts w:ascii="Times New Roman" w:hAnsi="Times New Roman" w:cs="Times New Roman"/>
          <w:sz w:val="24"/>
          <w:szCs w:val="24"/>
        </w:rPr>
        <w:t>In the hot climate at</w:t>
      </w:r>
      <w:r w:rsidR="00614E90">
        <w:rPr>
          <w:rFonts w:ascii="Times New Roman" w:hAnsi="Times New Roman" w:cs="Times New Roman"/>
          <w:sz w:val="24"/>
          <w:szCs w:val="24"/>
        </w:rPr>
        <w:t xml:space="preserve"> Dūr-Kurigalzu</w:t>
      </w:r>
      <w:r w:rsidR="00C47C16">
        <w:rPr>
          <w:rFonts w:ascii="Times New Roman" w:hAnsi="Times New Roman" w:cs="Times New Roman"/>
          <w:sz w:val="24"/>
          <w:szCs w:val="24"/>
        </w:rPr>
        <w:t xml:space="preserve"> the shade of the ziggurat would have been a welcome physical relief and the shadow </w:t>
      </w:r>
      <w:r w:rsidR="000F2204">
        <w:rPr>
          <w:rFonts w:ascii="Times New Roman" w:hAnsi="Times New Roman" w:cs="Times New Roman"/>
          <w:sz w:val="24"/>
          <w:szCs w:val="24"/>
        </w:rPr>
        <w:t>cast</w:t>
      </w:r>
      <w:r w:rsidR="00C47C16">
        <w:rPr>
          <w:rFonts w:ascii="Times New Roman" w:hAnsi="Times New Roman" w:cs="Times New Roman"/>
          <w:sz w:val="24"/>
          <w:szCs w:val="24"/>
        </w:rPr>
        <w:t xml:space="preserve"> may have also symbolized divine benevolence</w:t>
      </w:r>
      <w:r w:rsidR="000F2204">
        <w:rPr>
          <w:rFonts w:ascii="Times New Roman" w:hAnsi="Times New Roman" w:cs="Times New Roman"/>
          <w:sz w:val="24"/>
          <w:szCs w:val="24"/>
        </w:rPr>
        <w:t xml:space="preserve"> as it moved across the city</w:t>
      </w:r>
      <w:r w:rsidR="00C47C16">
        <w:rPr>
          <w:rFonts w:ascii="Times New Roman" w:hAnsi="Times New Roman" w:cs="Times New Roman"/>
          <w:sz w:val="24"/>
          <w:szCs w:val="24"/>
        </w:rPr>
        <w:t>.</w:t>
      </w:r>
      <w:r w:rsidR="006568E9">
        <w:rPr>
          <w:rFonts w:ascii="Times New Roman" w:hAnsi="Times New Roman" w:cs="Times New Roman"/>
          <w:sz w:val="24"/>
          <w:szCs w:val="24"/>
        </w:rPr>
        <w:t xml:space="preserve"> </w:t>
      </w:r>
      <w:r w:rsidR="000F2204">
        <w:rPr>
          <w:rFonts w:ascii="Times New Roman" w:hAnsi="Times New Roman" w:cs="Times New Roman"/>
          <w:sz w:val="24"/>
          <w:szCs w:val="24"/>
        </w:rPr>
        <w:t xml:space="preserve">The shadowplay of light and shade at various points of the day would have been both visually stunning and perhaps religiously significant. Concerning the </w:t>
      </w:r>
      <w:r w:rsidR="009636D5">
        <w:rPr>
          <w:rFonts w:ascii="Times New Roman" w:hAnsi="Times New Roman" w:cs="Times New Roman"/>
          <w:sz w:val="24"/>
          <w:szCs w:val="24"/>
        </w:rPr>
        <w:t xml:space="preserve">ziggurat for Nanna-Suen at Ur, </w:t>
      </w:r>
      <w:r w:rsidR="000F2204">
        <w:rPr>
          <w:rFonts w:ascii="Times New Roman" w:hAnsi="Times New Roman" w:cs="Times New Roman"/>
          <w:sz w:val="24"/>
          <w:szCs w:val="24"/>
        </w:rPr>
        <w:t xml:space="preserve">Mary Shepperson demonstrated </w:t>
      </w:r>
      <w:r w:rsidR="00906D11">
        <w:rPr>
          <w:rFonts w:ascii="Times New Roman" w:hAnsi="Times New Roman" w:cs="Times New Roman"/>
          <w:sz w:val="24"/>
          <w:szCs w:val="24"/>
        </w:rPr>
        <w:t>a</w:t>
      </w:r>
      <w:r w:rsidR="000F2204">
        <w:rPr>
          <w:rFonts w:ascii="Times New Roman" w:hAnsi="Times New Roman" w:cs="Times New Roman"/>
          <w:sz w:val="24"/>
          <w:szCs w:val="24"/>
        </w:rPr>
        <w:t xml:space="preserve"> </w:t>
      </w:r>
      <w:r w:rsidR="009636D5">
        <w:rPr>
          <w:rFonts w:ascii="Times New Roman" w:hAnsi="Times New Roman" w:cs="Times New Roman"/>
          <w:sz w:val="24"/>
          <w:szCs w:val="24"/>
        </w:rPr>
        <w:t>marked contrast</w:t>
      </w:r>
      <w:r w:rsidR="00906D11">
        <w:rPr>
          <w:rFonts w:ascii="Times New Roman" w:hAnsi="Times New Roman" w:cs="Times New Roman"/>
          <w:sz w:val="24"/>
          <w:szCs w:val="24"/>
        </w:rPr>
        <w:t xml:space="preserve"> in the</w:t>
      </w:r>
      <w:r w:rsidR="009636D5">
        <w:rPr>
          <w:rFonts w:ascii="Times New Roman" w:hAnsi="Times New Roman" w:cs="Times New Roman"/>
          <w:sz w:val="24"/>
          <w:szCs w:val="24"/>
        </w:rPr>
        <w:t xml:space="preserve"> </w:t>
      </w:r>
      <w:r w:rsidR="000F2204">
        <w:rPr>
          <w:rFonts w:ascii="Times New Roman" w:hAnsi="Times New Roman" w:cs="Times New Roman"/>
          <w:sz w:val="24"/>
          <w:szCs w:val="24"/>
        </w:rPr>
        <w:t>illumination of the morning sun reflected upon the ziggurat and the evening light casting a heavy shadow</w:t>
      </w:r>
      <w:r w:rsidR="009636D5">
        <w:rPr>
          <w:rFonts w:ascii="Times New Roman" w:hAnsi="Times New Roman" w:cs="Times New Roman"/>
          <w:sz w:val="24"/>
          <w:szCs w:val="24"/>
        </w:rPr>
        <w:t xml:space="preserve"> darkening the ziggurat (Fig. </w:t>
      </w:r>
      <w:r w:rsidR="00502EE3">
        <w:rPr>
          <w:rFonts w:ascii="Times New Roman" w:hAnsi="Times New Roman" w:cs="Times New Roman"/>
          <w:sz w:val="24"/>
          <w:szCs w:val="24"/>
        </w:rPr>
        <w:t>14</w:t>
      </w:r>
      <w:r w:rsidR="009636D5">
        <w:rPr>
          <w:rFonts w:ascii="Times New Roman" w:hAnsi="Times New Roman" w:cs="Times New Roman"/>
          <w:sz w:val="24"/>
          <w:szCs w:val="24"/>
        </w:rPr>
        <w:t>).</w:t>
      </w:r>
      <w:r w:rsidR="000F2204">
        <w:rPr>
          <w:rFonts w:ascii="Times New Roman" w:hAnsi="Times New Roman" w:cs="Times New Roman"/>
          <w:sz w:val="24"/>
          <w:szCs w:val="24"/>
        </w:rPr>
        <w:t xml:space="preserve"> </w:t>
      </w:r>
      <w:r w:rsidR="009636D5">
        <w:rPr>
          <w:rFonts w:ascii="Times New Roman" w:hAnsi="Times New Roman" w:cs="Times New Roman"/>
          <w:sz w:val="24"/>
          <w:szCs w:val="24"/>
        </w:rPr>
        <w:t xml:space="preserve">A similar contrast would have occurred during a full moon. </w:t>
      </w:r>
      <w:r w:rsidR="006568E9">
        <w:rPr>
          <w:rFonts w:ascii="Times New Roman" w:hAnsi="Times New Roman" w:cs="Times New Roman"/>
          <w:sz w:val="24"/>
          <w:szCs w:val="24"/>
        </w:rPr>
        <w:t>An adjacent courtyard were one could have an unobstructed view of the ziggurat is a common architectural feature.</w:t>
      </w:r>
      <w:r w:rsidR="006568E9">
        <w:rPr>
          <w:rStyle w:val="FootnoteReference"/>
          <w:rFonts w:ascii="Times New Roman" w:hAnsi="Times New Roman" w:cs="Times New Roman"/>
          <w:sz w:val="24"/>
          <w:szCs w:val="24"/>
        </w:rPr>
        <w:footnoteReference w:id="56"/>
      </w:r>
      <w:r w:rsidR="006568E9">
        <w:rPr>
          <w:rFonts w:ascii="Times New Roman" w:hAnsi="Times New Roman" w:cs="Times New Roman"/>
          <w:sz w:val="24"/>
          <w:szCs w:val="24"/>
        </w:rPr>
        <w:t xml:space="preserve"> This may be a use of the solid brick platform near the base of the </w:t>
      </w:r>
      <w:r w:rsidR="00FC77F6" w:rsidRPr="00FC77F6">
        <w:rPr>
          <w:rFonts w:ascii="Times New Roman" w:hAnsi="Times New Roman" w:cs="Times New Roman"/>
          <w:i/>
          <w:sz w:val="24"/>
          <w:szCs w:val="24"/>
        </w:rPr>
        <w:t>Eugal’s</w:t>
      </w:r>
      <w:r w:rsidR="00FC77F6">
        <w:rPr>
          <w:rFonts w:ascii="Times New Roman" w:hAnsi="Times New Roman" w:cs="Times New Roman"/>
          <w:sz w:val="24"/>
          <w:szCs w:val="24"/>
        </w:rPr>
        <w:t xml:space="preserve"> </w:t>
      </w:r>
      <w:r w:rsidR="006568E9">
        <w:rPr>
          <w:rFonts w:ascii="Times New Roman" w:hAnsi="Times New Roman" w:cs="Times New Roman"/>
          <w:sz w:val="24"/>
          <w:szCs w:val="24"/>
        </w:rPr>
        <w:t>axial staircase.</w:t>
      </w:r>
      <w:r w:rsidR="00FC77F6">
        <w:rPr>
          <w:rFonts w:ascii="Times New Roman" w:hAnsi="Times New Roman" w:cs="Times New Roman"/>
          <w:sz w:val="24"/>
          <w:szCs w:val="24"/>
        </w:rPr>
        <w:t xml:space="preserve"> These areas were used for a variety of festivals and other events.</w:t>
      </w:r>
      <w:r w:rsidR="00FC77F6">
        <w:rPr>
          <w:rStyle w:val="FootnoteReference"/>
          <w:rFonts w:ascii="Times New Roman" w:hAnsi="Times New Roman" w:cs="Times New Roman"/>
          <w:sz w:val="24"/>
          <w:szCs w:val="24"/>
        </w:rPr>
        <w:footnoteReference w:id="57"/>
      </w:r>
      <w:r w:rsidR="00FC77F6">
        <w:rPr>
          <w:rFonts w:ascii="Times New Roman" w:hAnsi="Times New Roman" w:cs="Times New Roman"/>
          <w:sz w:val="24"/>
          <w:szCs w:val="24"/>
        </w:rPr>
        <w:t xml:space="preserve"> </w:t>
      </w:r>
    </w:p>
    <w:p w:rsidR="00153945" w:rsidRDefault="009A5A75" w:rsidP="00CD2CDA">
      <w:pPr>
        <w:jc w:val="left"/>
        <w:rPr>
          <w:rFonts w:ascii="Times New Roman" w:hAnsi="Times New Roman" w:cs="Times New Roman"/>
          <w:sz w:val="24"/>
          <w:szCs w:val="24"/>
        </w:rPr>
      </w:pPr>
      <w:r>
        <w:rPr>
          <w:rFonts w:ascii="Times New Roman" w:hAnsi="Times New Roman" w:cs="Times New Roman"/>
          <w:noProof/>
          <w:sz w:val="24"/>
          <w:szCs w:val="24"/>
        </w:rPr>
        <w:pict>
          <v:shape id="_x0000_s1051" type="#_x0000_t202" style="position:absolute;margin-left:-1.05pt;margin-top:152.4pt;width:451.65pt;height:42.7pt;z-index:251701248;mso-width-relative:margin;mso-height-relative:margin" stroked="f">
            <v:textbox style="mso-next-textbox:#_x0000_s1051">
              <w:txbxContent>
                <w:p w:rsidR="0042465C" w:rsidRPr="00F81C88" w:rsidRDefault="0042465C" w:rsidP="001C7DF5">
                  <w:pPr>
                    <w:spacing w:line="240" w:lineRule="exact"/>
                    <w:jc w:val="left"/>
                    <w:rPr>
                      <w:sz w:val="18"/>
                      <w:szCs w:val="18"/>
                    </w:rPr>
                  </w:pPr>
                  <w:r w:rsidRPr="00F81C88">
                    <w:rPr>
                      <w:rFonts w:ascii="Times New Roman" w:hAnsi="Times New Roman" w:cs="Times New Roman"/>
                      <w:b/>
                      <w:color w:val="000000" w:themeColor="text1"/>
                      <w:sz w:val="18"/>
                      <w:szCs w:val="18"/>
                    </w:rPr>
                    <w:t>Figure 1</w:t>
                  </w:r>
                  <w:r>
                    <w:rPr>
                      <w:rFonts w:ascii="Times New Roman" w:hAnsi="Times New Roman" w:cs="Times New Roman"/>
                      <w:b/>
                      <w:color w:val="000000" w:themeColor="text1"/>
                      <w:sz w:val="18"/>
                      <w:szCs w:val="18"/>
                    </w:rPr>
                    <w:t>4</w:t>
                  </w:r>
                  <w:r w:rsidRPr="00F81C88">
                    <w:rPr>
                      <w:rFonts w:ascii="Times New Roman" w:hAnsi="Times New Roman" w:cs="Times New Roman"/>
                      <w:b/>
                      <w:color w:val="000000" w:themeColor="text1"/>
                      <w:sz w:val="18"/>
                      <w:szCs w:val="18"/>
                    </w:rPr>
                    <w:t>.</w:t>
                  </w:r>
                  <w:r w:rsidRPr="00F81C88">
                    <w:rPr>
                      <w:rFonts w:ascii="Times New Roman" w:hAnsi="Times New Roman" w:cs="Times New Roman"/>
                      <w:color w:val="000000" w:themeColor="text1"/>
                      <w:sz w:val="18"/>
                      <w:szCs w:val="18"/>
                    </w:rPr>
                    <w:t xml:space="preserve">  </w:t>
                  </w:r>
                  <w:r>
                    <w:rPr>
                      <w:rFonts w:ascii="Times New Roman" w:hAnsi="Times New Roman" w:cs="Times New Roman"/>
                      <w:color w:val="000000" w:themeColor="text1"/>
                      <w:sz w:val="18"/>
                      <w:szCs w:val="18"/>
                    </w:rPr>
                    <w:t>The façade of the ziggurat dedicated to Nanna-Suen at Ur. The photograph on the left demonstrates the appearance of the ziggurat at 9:00am and the photograph on the right is the ziggurat at 3:00pm. Shepperson (2015), p. 100.</w:t>
                  </w:r>
                </w:p>
                <w:p w:rsidR="0042465C" w:rsidRDefault="0042465C" w:rsidP="00906D11"/>
              </w:txbxContent>
            </v:textbox>
            <w10:wrap type="square"/>
          </v:shape>
        </w:pict>
      </w:r>
      <w:r w:rsidR="00F71506">
        <w:rPr>
          <w:rFonts w:ascii="Times New Roman" w:hAnsi="Times New Roman" w:cs="Times New Roman"/>
          <w:sz w:val="24"/>
          <w:szCs w:val="24"/>
        </w:rPr>
        <w:tab/>
      </w:r>
    </w:p>
    <w:p w:rsidR="00153945" w:rsidRPr="00153945" w:rsidRDefault="00153945" w:rsidP="00153945">
      <w:pPr>
        <w:ind w:firstLineChars="200" w:firstLine="480"/>
        <w:rPr>
          <w:rFonts w:ascii="Times New Roman" w:hAnsi="Times New Roman" w:cs="Times New Roman"/>
          <w:sz w:val="24"/>
          <w:szCs w:val="24"/>
        </w:rPr>
      </w:pPr>
      <w:r>
        <w:rPr>
          <w:rFonts w:ascii="Times New Roman" w:hAnsi="Times New Roman" w:cs="Times New Roman"/>
          <w:sz w:val="24"/>
          <w:szCs w:val="24"/>
        </w:rPr>
        <w:t>The main gateways for most Mesopotamian temples in the Early Dynastic period (c. 2900-2300 BCE) were orientated towards the north and north-west, drastically limiting their exposure to morning sunlight.</w:t>
      </w:r>
      <w:r>
        <w:rPr>
          <w:rStyle w:val="FootnoteReference"/>
          <w:rFonts w:ascii="Times New Roman" w:hAnsi="Times New Roman" w:cs="Times New Roman"/>
          <w:sz w:val="24"/>
          <w:szCs w:val="24"/>
        </w:rPr>
        <w:footnoteReference w:id="58"/>
      </w:r>
      <w:r>
        <w:rPr>
          <w:rFonts w:ascii="Times New Roman" w:hAnsi="Times New Roman" w:cs="Times New Roman"/>
          <w:sz w:val="24"/>
          <w:szCs w:val="24"/>
        </w:rPr>
        <w:t xml:space="preserve"> However during the Ur III (c. 2100-2000 BCE) and </w:t>
      </w:r>
      <w:r w:rsidR="00986E1A">
        <w:rPr>
          <w:rFonts w:ascii="Times New Roman" w:hAnsi="Times New Roman" w:cs="Times New Roman"/>
          <w:sz w:val="24"/>
          <w:szCs w:val="24"/>
        </w:rPr>
        <w:t>S</w:t>
      </w:r>
      <w:r>
        <w:rPr>
          <w:rFonts w:ascii="Times New Roman" w:hAnsi="Times New Roman" w:cs="Times New Roman"/>
          <w:sz w:val="24"/>
          <w:szCs w:val="24"/>
        </w:rPr>
        <w:t xml:space="preserve">econd </w:t>
      </w:r>
      <w:r w:rsidR="00986E1A">
        <w:rPr>
          <w:rFonts w:ascii="Times New Roman" w:hAnsi="Times New Roman" w:cs="Times New Roman"/>
          <w:sz w:val="24"/>
          <w:szCs w:val="24"/>
        </w:rPr>
        <w:t>M</w:t>
      </w:r>
      <w:r>
        <w:rPr>
          <w:rFonts w:ascii="Times New Roman" w:hAnsi="Times New Roman" w:cs="Times New Roman"/>
          <w:sz w:val="24"/>
          <w:szCs w:val="24"/>
        </w:rPr>
        <w:t>illennium periods, orientations and/or reorientations were constructed primarily towards the south and south-east (Fig. 15), greatly increasing access to morning sunlight.</w:t>
      </w:r>
      <w:r>
        <w:rPr>
          <w:rStyle w:val="FootnoteReference"/>
          <w:rFonts w:ascii="Times New Roman" w:hAnsi="Times New Roman" w:cs="Times New Roman"/>
          <w:sz w:val="24"/>
          <w:szCs w:val="24"/>
        </w:rPr>
        <w:footnoteReference w:id="59"/>
      </w:r>
      <w:r>
        <w:rPr>
          <w:rFonts w:ascii="Times New Roman" w:hAnsi="Times New Roman" w:cs="Times New Roman"/>
          <w:sz w:val="24"/>
          <w:szCs w:val="24"/>
        </w:rPr>
        <w:t xml:space="preserve"> An increased </w:t>
      </w:r>
      <w:r>
        <w:rPr>
          <w:rFonts w:ascii="Times New Roman" w:hAnsi="Times New Roman" w:cs="Times New Roman"/>
          <w:sz w:val="24"/>
          <w:szCs w:val="24"/>
        </w:rPr>
        <w:lastRenderedPageBreak/>
        <w:t>emphasis on justice represented by the emergence of the law code genre during this period</w:t>
      </w:r>
    </w:p>
    <w:p w:rsidR="00906D11" w:rsidRDefault="009A5A75" w:rsidP="00CD2CDA">
      <w:pPr>
        <w:jc w:val="left"/>
        <w:rPr>
          <w:rFonts w:ascii="Times New Roman" w:hAnsi="Times New Roman" w:cs="Times New Roman"/>
          <w:sz w:val="24"/>
          <w:szCs w:val="24"/>
        </w:rPr>
      </w:pPr>
      <w:r>
        <w:rPr>
          <w:rFonts w:ascii="Times New Roman" w:hAnsi="Times New Roman" w:cs="Times New Roman"/>
          <w:noProof/>
          <w:sz w:val="24"/>
          <w:szCs w:val="24"/>
        </w:rPr>
        <w:pict>
          <v:shape id="_x0000_s1055" type="#_x0000_t202" style="position:absolute;margin-left:138pt;margin-top:432.6pt;width:298.8pt;height:36.6pt;z-index:251721728;mso-width-relative:margin;mso-height-relative:margin" stroked="f">
            <v:textbox style="mso-next-textbox:#_x0000_s1055">
              <w:txbxContent>
                <w:p w:rsidR="0042465C" w:rsidRPr="00F81C88" w:rsidRDefault="0042465C" w:rsidP="001C7DF5">
                  <w:pPr>
                    <w:spacing w:line="240" w:lineRule="exact"/>
                    <w:jc w:val="left"/>
                    <w:rPr>
                      <w:sz w:val="18"/>
                      <w:szCs w:val="18"/>
                    </w:rPr>
                  </w:pPr>
                  <w:r w:rsidRPr="00F81C88">
                    <w:rPr>
                      <w:rFonts w:ascii="Times New Roman" w:hAnsi="Times New Roman" w:cs="Times New Roman"/>
                      <w:b/>
                      <w:color w:val="000000" w:themeColor="text1"/>
                      <w:sz w:val="18"/>
                      <w:szCs w:val="18"/>
                    </w:rPr>
                    <w:t>Figure 1</w:t>
                  </w:r>
                  <w:r>
                    <w:rPr>
                      <w:rFonts w:ascii="Times New Roman" w:hAnsi="Times New Roman" w:cs="Times New Roman"/>
                      <w:b/>
                      <w:color w:val="000000" w:themeColor="text1"/>
                      <w:sz w:val="18"/>
                      <w:szCs w:val="18"/>
                    </w:rPr>
                    <w:t>5</w:t>
                  </w:r>
                  <w:r w:rsidRPr="00F81C88">
                    <w:rPr>
                      <w:rFonts w:ascii="Times New Roman" w:hAnsi="Times New Roman" w:cs="Times New Roman"/>
                      <w:b/>
                      <w:color w:val="000000" w:themeColor="text1"/>
                      <w:sz w:val="18"/>
                      <w:szCs w:val="18"/>
                    </w:rPr>
                    <w:t>.</w:t>
                  </w:r>
                  <w:r w:rsidRPr="00F81C88">
                    <w:rPr>
                      <w:rFonts w:ascii="Times New Roman" w:hAnsi="Times New Roman" w:cs="Times New Roman"/>
                      <w:color w:val="000000" w:themeColor="text1"/>
                      <w:sz w:val="18"/>
                      <w:szCs w:val="18"/>
                    </w:rPr>
                    <w:t xml:space="preserve">  </w:t>
                  </w:r>
                  <w:r>
                    <w:rPr>
                      <w:rFonts w:ascii="Times New Roman" w:hAnsi="Times New Roman" w:cs="Times New Roman"/>
                      <w:color w:val="000000" w:themeColor="text1"/>
                      <w:sz w:val="18"/>
                      <w:szCs w:val="18"/>
                    </w:rPr>
                    <w:t>Diagram illustrating the orientations of some Mesopotamian temples following the Ur III period. Shepperson (2012), p. 53.</w:t>
                  </w:r>
                </w:p>
                <w:p w:rsidR="0042465C" w:rsidRDefault="0042465C" w:rsidP="00152678"/>
              </w:txbxContent>
            </v:textbox>
            <w10:wrap type="square"/>
          </v:shape>
        </w:pict>
      </w:r>
      <w:r>
        <w:rPr>
          <w:rFonts w:ascii="Times New Roman" w:hAnsi="Times New Roman" w:cs="Times New Roman"/>
          <w:noProof/>
          <w:sz w:val="24"/>
          <w:szCs w:val="24"/>
        </w:rPr>
        <w:pict>
          <v:rect id="_x0000_s1054" style="position:absolute;margin-left:177pt;margin-top:249pt;width:216.6pt;height:16.8pt;z-index:251720704" stroked="f"/>
        </w:pict>
      </w:r>
      <w:r w:rsidR="00FD0E6C">
        <w:rPr>
          <w:rFonts w:ascii="Times New Roman" w:hAnsi="Times New Roman" w:cs="Times New Roman"/>
          <w:sz w:val="24"/>
          <w:szCs w:val="24"/>
        </w:rPr>
        <w:t>ha</w:t>
      </w:r>
      <w:r w:rsidR="00153945">
        <w:rPr>
          <w:rFonts w:ascii="Times New Roman" w:hAnsi="Times New Roman" w:cs="Times New Roman"/>
          <w:sz w:val="24"/>
          <w:szCs w:val="24"/>
        </w:rPr>
        <w:t>s</w:t>
      </w:r>
      <w:r w:rsidR="00FD0E6C">
        <w:rPr>
          <w:rFonts w:ascii="Times New Roman" w:hAnsi="Times New Roman" w:cs="Times New Roman"/>
          <w:sz w:val="24"/>
          <w:szCs w:val="24"/>
        </w:rPr>
        <w:t xml:space="preserve"> </w:t>
      </w:r>
      <w:r w:rsidR="00153945">
        <w:rPr>
          <w:rFonts w:ascii="Times New Roman" w:hAnsi="Times New Roman" w:cs="Times New Roman"/>
          <w:noProof/>
          <w:sz w:val="24"/>
          <w:szCs w:val="24"/>
        </w:rPr>
        <w:drawing>
          <wp:anchor distT="0" distB="0" distL="114300" distR="114300" simplePos="0" relativeHeight="251719680" behindDoc="0" locked="0" layoutInCell="1" allowOverlap="1">
            <wp:simplePos x="0" y="0"/>
            <wp:positionH relativeFrom="column">
              <wp:posOffset>1718310</wp:posOffset>
            </wp:positionH>
            <wp:positionV relativeFrom="paragraph">
              <wp:posOffset>129540</wp:posOffset>
            </wp:positionV>
            <wp:extent cx="3851910" cy="5212080"/>
            <wp:effectExtent l="19050" t="0" r="0" b="0"/>
            <wp:wrapSquare wrapText="bothSides"/>
            <wp:docPr id="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srcRect l="2722" t="1525" r="2722" b="3051"/>
                    <a:stretch>
                      <a:fillRect/>
                    </a:stretch>
                  </pic:blipFill>
                  <pic:spPr bwMode="auto">
                    <a:xfrm>
                      <a:off x="0" y="0"/>
                      <a:ext cx="3851910" cy="5212080"/>
                    </a:xfrm>
                    <a:prstGeom prst="rect">
                      <a:avLst/>
                    </a:prstGeom>
                    <a:noFill/>
                    <a:ln w="9525">
                      <a:noFill/>
                      <a:miter lim="800000"/>
                      <a:headEnd/>
                      <a:tailEnd/>
                    </a:ln>
                  </pic:spPr>
                </pic:pic>
              </a:graphicData>
            </a:graphic>
          </wp:anchor>
        </w:drawing>
      </w:r>
      <w:r w:rsidR="00FD0E6C">
        <w:rPr>
          <w:rFonts w:ascii="Times New Roman" w:hAnsi="Times New Roman" w:cs="Times New Roman"/>
          <w:sz w:val="24"/>
          <w:szCs w:val="24"/>
        </w:rPr>
        <w:t>been suggested as a motivation for the change in orientation.</w:t>
      </w:r>
      <w:r w:rsidR="00FD0E6C">
        <w:rPr>
          <w:rStyle w:val="FootnoteReference"/>
          <w:rFonts w:ascii="Times New Roman" w:hAnsi="Times New Roman" w:cs="Times New Roman"/>
          <w:sz w:val="24"/>
          <w:szCs w:val="24"/>
        </w:rPr>
        <w:footnoteReference w:id="60"/>
      </w:r>
      <w:r w:rsidR="00FD0E6C">
        <w:rPr>
          <w:rFonts w:ascii="Times New Roman" w:hAnsi="Times New Roman" w:cs="Times New Roman"/>
          <w:sz w:val="24"/>
          <w:szCs w:val="24"/>
        </w:rPr>
        <w:t xml:space="preserve"> </w:t>
      </w:r>
      <w:r w:rsidR="00614E90">
        <w:rPr>
          <w:rFonts w:ascii="Times New Roman" w:hAnsi="Times New Roman" w:cs="Times New Roman"/>
          <w:sz w:val="24"/>
          <w:szCs w:val="24"/>
        </w:rPr>
        <w:t>Extispicy</w:t>
      </w:r>
      <w:r w:rsidR="00FD0E6C">
        <w:rPr>
          <w:rFonts w:ascii="Times New Roman" w:hAnsi="Times New Roman" w:cs="Times New Roman"/>
          <w:sz w:val="24"/>
          <w:szCs w:val="24"/>
        </w:rPr>
        <w:t xml:space="preserve"> was often performed during the sunrise in the east. However, most Mesopotamian temples from this period on were not orientated towards the east, but rather had entrances orientated towards south or south-east.</w:t>
      </w:r>
      <w:r w:rsidR="007362BC">
        <w:rPr>
          <w:rFonts w:ascii="Times New Roman" w:hAnsi="Times New Roman" w:cs="Times New Roman"/>
          <w:sz w:val="24"/>
          <w:szCs w:val="24"/>
        </w:rPr>
        <w:t xml:space="preserve"> </w:t>
      </w:r>
      <w:r w:rsidR="00B90E52">
        <w:rPr>
          <w:rFonts w:ascii="Times New Roman" w:hAnsi="Times New Roman" w:cs="Times New Roman"/>
          <w:sz w:val="24"/>
          <w:szCs w:val="24"/>
        </w:rPr>
        <w:t xml:space="preserve">This may be due to their duration of use extending beyond only sunrise and that the </w:t>
      </w:r>
      <w:r w:rsidR="00B90E52" w:rsidRPr="00B90E52">
        <w:rPr>
          <w:rFonts w:ascii="Times New Roman" w:hAnsi="Times New Roman" w:cs="Times New Roman"/>
          <w:sz w:val="24"/>
          <w:szCs w:val="24"/>
        </w:rPr>
        <w:t>need to access the sun at a gate in a compact city</w:t>
      </w:r>
      <w:r w:rsidR="00B90E52">
        <w:rPr>
          <w:rFonts w:ascii="Times New Roman" w:hAnsi="Times New Roman" w:cs="Times New Roman"/>
          <w:sz w:val="24"/>
          <w:szCs w:val="24"/>
        </w:rPr>
        <w:t xml:space="preserve"> would entail, ‘…</w:t>
      </w:r>
      <w:r w:rsidR="00B90E52" w:rsidRPr="00B90E52">
        <w:rPr>
          <w:rFonts w:ascii="Times New Roman" w:hAnsi="Times New Roman" w:cs="Times New Roman"/>
          <w:sz w:val="24"/>
          <w:szCs w:val="24"/>
        </w:rPr>
        <w:t>waiting until the sun gained sufficient altitude to clear the surrounding structures, by which time it would be some way south of its sunrise point</w:t>
      </w:r>
      <w:r w:rsidR="00B90E52">
        <w:rPr>
          <w:rFonts w:ascii="Times New Roman" w:hAnsi="Times New Roman" w:cs="Times New Roman"/>
          <w:sz w:val="24"/>
          <w:szCs w:val="24"/>
        </w:rPr>
        <w:t>.’</w:t>
      </w:r>
      <w:r w:rsidR="00B90E52">
        <w:rPr>
          <w:rStyle w:val="FootnoteReference"/>
          <w:rFonts w:ascii="Times New Roman" w:hAnsi="Times New Roman" w:cs="Times New Roman"/>
          <w:sz w:val="24"/>
          <w:szCs w:val="24"/>
        </w:rPr>
        <w:footnoteReference w:id="61"/>
      </w:r>
      <w:r w:rsidR="00B90E52">
        <w:rPr>
          <w:rFonts w:ascii="Times New Roman" w:hAnsi="Times New Roman" w:cs="Times New Roman"/>
          <w:sz w:val="24"/>
          <w:szCs w:val="24"/>
        </w:rPr>
        <w:t xml:space="preserve"> These entrance </w:t>
      </w:r>
      <w:r w:rsidR="00B90E52" w:rsidRPr="00B90E52">
        <w:rPr>
          <w:rFonts w:ascii="Times New Roman" w:hAnsi="Times New Roman" w:cs="Times New Roman"/>
          <w:sz w:val="24"/>
          <w:szCs w:val="24"/>
        </w:rPr>
        <w:t>gateways</w:t>
      </w:r>
      <w:r w:rsidR="00B90E52">
        <w:rPr>
          <w:rFonts w:ascii="Times New Roman" w:hAnsi="Times New Roman" w:cs="Times New Roman"/>
          <w:sz w:val="24"/>
          <w:szCs w:val="24"/>
        </w:rPr>
        <w:t>, ‘…</w:t>
      </w:r>
      <w:r w:rsidR="00B90E52" w:rsidRPr="00B90E52">
        <w:rPr>
          <w:rFonts w:ascii="Times New Roman" w:hAnsi="Times New Roman" w:cs="Times New Roman"/>
          <w:sz w:val="24"/>
          <w:szCs w:val="24"/>
        </w:rPr>
        <w:t xml:space="preserve">seem to have been positioned to maximise the intensity and </w:t>
      </w:r>
      <w:r w:rsidR="00B90E52" w:rsidRPr="00B90E52">
        <w:rPr>
          <w:rFonts w:ascii="Times New Roman" w:hAnsi="Times New Roman" w:cs="Times New Roman"/>
          <w:i/>
          <w:sz w:val="24"/>
          <w:szCs w:val="24"/>
        </w:rPr>
        <w:t>duration</w:t>
      </w:r>
      <w:r w:rsidR="00B90E52" w:rsidRPr="00B90E52">
        <w:rPr>
          <w:rFonts w:ascii="Times New Roman" w:hAnsi="Times New Roman" w:cs="Times New Roman"/>
          <w:sz w:val="24"/>
          <w:szCs w:val="24"/>
        </w:rPr>
        <w:t xml:space="preserve"> of morning sun access.</w:t>
      </w:r>
      <w:r w:rsidR="00B90E52">
        <w:rPr>
          <w:rFonts w:ascii="Times New Roman" w:hAnsi="Times New Roman" w:cs="Times New Roman"/>
          <w:sz w:val="24"/>
          <w:szCs w:val="24"/>
        </w:rPr>
        <w:t>’</w:t>
      </w:r>
      <w:r w:rsidR="00B90E52">
        <w:rPr>
          <w:rStyle w:val="FootnoteReference"/>
          <w:rFonts w:ascii="Times New Roman" w:hAnsi="Times New Roman" w:cs="Times New Roman"/>
          <w:sz w:val="24"/>
          <w:szCs w:val="24"/>
        </w:rPr>
        <w:footnoteReference w:id="62"/>
      </w:r>
      <w:r w:rsidR="00B90E52" w:rsidRPr="00B90E52">
        <w:rPr>
          <w:rFonts w:ascii="Times New Roman" w:hAnsi="Times New Roman" w:cs="Times New Roman"/>
          <w:sz w:val="24"/>
          <w:szCs w:val="24"/>
        </w:rPr>
        <w:t xml:space="preserve"> </w:t>
      </w:r>
    </w:p>
    <w:p w:rsidR="00650BE1" w:rsidRDefault="00906D11" w:rsidP="00906D11">
      <w:pPr>
        <w:jc w:val="left"/>
        <w:rPr>
          <w:rFonts w:ascii="Times New Roman" w:hAnsi="Times New Roman" w:cs="Times New Roman"/>
          <w:sz w:val="24"/>
          <w:szCs w:val="24"/>
        </w:rPr>
      </w:pPr>
      <w:r>
        <w:rPr>
          <w:rFonts w:ascii="Times New Roman" w:hAnsi="Times New Roman" w:cs="Times New Roman"/>
          <w:sz w:val="24"/>
          <w:szCs w:val="24"/>
        </w:rPr>
        <w:tab/>
      </w:r>
      <w:r w:rsidR="00614E90">
        <w:rPr>
          <w:rFonts w:ascii="Times New Roman" w:hAnsi="Times New Roman" w:cs="Times New Roman"/>
          <w:sz w:val="24"/>
          <w:szCs w:val="24"/>
        </w:rPr>
        <w:t>A candidate put forward as a requirement for the maximization of morning sunlight access is the swearing of oaths.</w:t>
      </w:r>
      <w:r w:rsidR="002D406C">
        <w:rPr>
          <w:rStyle w:val="FootnoteReference"/>
          <w:rFonts w:ascii="Times New Roman" w:hAnsi="Times New Roman" w:cs="Times New Roman"/>
          <w:sz w:val="24"/>
          <w:szCs w:val="24"/>
        </w:rPr>
        <w:footnoteReference w:id="63"/>
      </w:r>
      <w:r w:rsidR="00614E90">
        <w:rPr>
          <w:rFonts w:ascii="Times New Roman" w:hAnsi="Times New Roman" w:cs="Times New Roman"/>
          <w:sz w:val="24"/>
          <w:szCs w:val="24"/>
        </w:rPr>
        <w:t xml:space="preserve"> This need also extends to the creative use of sunlight and temperature moderation for the smaller shrines and homes both in the temple complexes and in local urban shrines.</w:t>
      </w:r>
      <w:r w:rsidR="00614E90">
        <w:rPr>
          <w:rStyle w:val="FootnoteReference"/>
          <w:rFonts w:ascii="Times New Roman" w:hAnsi="Times New Roman" w:cs="Times New Roman"/>
          <w:sz w:val="24"/>
          <w:szCs w:val="24"/>
        </w:rPr>
        <w:footnoteReference w:id="64"/>
      </w:r>
      <w:r>
        <w:rPr>
          <w:rFonts w:ascii="Times New Roman" w:hAnsi="Times New Roman" w:cs="Times New Roman"/>
          <w:sz w:val="24"/>
          <w:szCs w:val="24"/>
        </w:rPr>
        <w:t xml:space="preserve"> </w:t>
      </w:r>
      <w:r w:rsidR="000127B1">
        <w:rPr>
          <w:rFonts w:ascii="Times New Roman" w:hAnsi="Times New Roman" w:cs="Times New Roman"/>
          <w:sz w:val="24"/>
          <w:szCs w:val="24"/>
        </w:rPr>
        <w:t xml:space="preserve">The </w:t>
      </w:r>
      <w:r w:rsidR="000127B1" w:rsidRPr="00916CEC">
        <w:rPr>
          <w:rFonts w:ascii="Times New Roman" w:hAnsi="Times New Roman" w:cs="Times New Roman"/>
          <w:i/>
          <w:sz w:val="24"/>
          <w:szCs w:val="24"/>
        </w:rPr>
        <w:t>Eugal</w:t>
      </w:r>
      <w:r w:rsidR="000127B1">
        <w:rPr>
          <w:rFonts w:ascii="Times New Roman" w:hAnsi="Times New Roman" w:cs="Times New Roman"/>
          <w:sz w:val="24"/>
          <w:szCs w:val="24"/>
        </w:rPr>
        <w:t xml:space="preserve"> was not included in the diagram (Fig. </w:t>
      </w:r>
      <w:r w:rsidR="00153945">
        <w:rPr>
          <w:rFonts w:ascii="Times New Roman" w:hAnsi="Times New Roman" w:cs="Times New Roman"/>
          <w:sz w:val="24"/>
          <w:szCs w:val="24"/>
        </w:rPr>
        <w:t>15</w:t>
      </w:r>
      <w:r w:rsidR="000127B1">
        <w:rPr>
          <w:rFonts w:ascii="Times New Roman" w:hAnsi="Times New Roman" w:cs="Times New Roman"/>
          <w:sz w:val="24"/>
          <w:szCs w:val="24"/>
        </w:rPr>
        <w:t>), but the 140.70</w:t>
      </w:r>
      <w:r w:rsidR="006514FE">
        <w:rPr>
          <w:rFonts w:ascii="Times New Roman" w:hAnsi="Times New Roman" w:cs="Times New Roman"/>
          <w:sz w:val="24"/>
          <w:szCs w:val="24"/>
        </w:rPr>
        <w:t>°</w:t>
      </w:r>
      <w:r w:rsidR="000127B1">
        <w:rPr>
          <w:rFonts w:ascii="Times New Roman" w:hAnsi="Times New Roman" w:cs="Times New Roman"/>
          <w:sz w:val="24"/>
          <w:szCs w:val="24"/>
        </w:rPr>
        <w:t xml:space="preserve"> </w:t>
      </w:r>
      <w:r w:rsidR="006514FE">
        <w:rPr>
          <w:rFonts w:ascii="Times New Roman" w:hAnsi="Times New Roman" w:cs="Times New Roman"/>
          <w:sz w:val="24"/>
          <w:szCs w:val="24"/>
        </w:rPr>
        <w:t xml:space="preserve">south-east direction of the axial entrance to the ziggurat at Dūr-Kurigalzu fits within the range of the other temples which were represented. The coordinates to the top of the axial </w:t>
      </w:r>
      <w:r w:rsidR="00F71506">
        <w:rPr>
          <w:rFonts w:ascii="Times New Roman" w:hAnsi="Times New Roman" w:cs="Times New Roman"/>
          <w:sz w:val="24"/>
          <w:szCs w:val="24"/>
        </w:rPr>
        <w:t xml:space="preserve">staircase </w:t>
      </w:r>
      <w:r w:rsidR="006514FE">
        <w:rPr>
          <w:rFonts w:ascii="Times New Roman" w:hAnsi="Times New Roman" w:cs="Times New Roman"/>
          <w:sz w:val="24"/>
          <w:szCs w:val="24"/>
        </w:rPr>
        <w:t xml:space="preserve">of the </w:t>
      </w:r>
      <w:r w:rsidR="006514FE" w:rsidRPr="006514FE">
        <w:rPr>
          <w:rFonts w:ascii="Times New Roman" w:hAnsi="Times New Roman" w:cs="Times New Roman"/>
          <w:i/>
          <w:sz w:val="24"/>
          <w:szCs w:val="24"/>
        </w:rPr>
        <w:t>Eugal</w:t>
      </w:r>
      <w:r w:rsidR="006514FE">
        <w:rPr>
          <w:rFonts w:ascii="Times New Roman" w:hAnsi="Times New Roman" w:cs="Times New Roman"/>
          <w:sz w:val="24"/>
          <w:szCs w:val="24"/>
        </w:rPr>
        <w:t xml:space="preserve"> (</w:t>
      </w:r>
      <w:r w:rsidR="001C7DF5">
        <w:rPr>
          <w:rFonts w:ascii="Times New Roman" w:hAnsi="Times New Roman" w:cs="Times New Roman"/>
          <w:sz w:val="24"/>
          <w:szCs w:val="24"/>
        </w:rPr>
        <w:t>Fig. 7</w:t>
      </w:r>
      <w:r w:rsidR="006514FE">
        <w:rPr>
          <w:rFonts w:ascii="Times New Roman" w:hAnsi="Times New Roman" w:cs="Times New Roman"/>
          <w:sz w:val="24"/>
          <w:szCs w:val="24"/>
        </w:rPr>
        <w:t xml:space="preserve">) were observed in Stellarium </w:t>
      </w:r>
      <w:r w:rsidR="009A48C4">
        <w:rPr>
          <w:rFonts w:ascii="Times New Roman" w:hAnsi="Times New Roman" w:cs="Times New Roman"/>
          <w:sz w:val="24"/>
          <w:szCs w:val="24"/>
        </w:rPr>
        <w:t xml:space="preserve">on January 1, 1380 BCE and the </w:t>
      </w:r>
      <w:r w:rsidR="009A48C4">
        <w:rPr>
          <w:rFonts w:ascii="Times New Roman" w:hAnsi="Times New Roman" w:cs="Times New Roman"/>
          <w:sz w:val="24"/>
          <w:szCs w:val="24"/>
        </w:rPr>
        <w:lastRenderedPageBreak/>
        <w:t xml:space="preserve">period of strong sunlight lasted for a duration of </w:t>
      </w:r>
      <w:r w:rsidR="001C7DF5">
        <w:rPr>
          <w:rFonts w:ascii="Times New Roman" w:hAnsi="Times New Roman" w:cs="Times New Roman"/>
          <w:sz w:val="24"/>
          <w:szCs w:val="24"/>
        </w:rPr>
        <w:t>7-</w:t>
      </w:r>
      <w:r w:rsidR="009A48C4">
        <w:rPr>
          <w:rFonts w:ascii="Times New Roman" w:hAnsi="Times New Roman" w:cs="Times New Roman"/>
          <w:sz w:val="24"/>
          <w:szCs w:val="24"/>
        </w:rPr>
        <w:t>9 hours</w:t>
      </w:r>
      <w:r w:rsidR="00F71506">
        <w:rPr>
          <w:rFonts w:ascii="Times New Roman" w:hAnsi="Times New Roman" w:cs="Times New Roman"/>
          <w:sz w:val="24"/>
          <w:szCs w:val="24"/>
        </w:rPr>
        <w:t xml:space="preserve"> (Fig. </w:t>
      </w:r>
      <w:r w:rsidR="001C7DF5">
        <w:rPr>
          <w:rFonts w:ascii="Times New Roman" w:hAnsi="Times New Roman" w:cs="Times New Roman"/>
          <w:sz w:val="24"/>
          <w:szCs w:val="24"/>
        </w:rPr>
        <w:t>16</w:t>
      </w:r>
      <w:r w:rsidR="00F71506">
        <w:rPr>
          <w:rFonts w:ascii="Times New Roman" w:hAnsi="Times New Roman" w:cs="Times New Roman"/>
          <w:sz w:val="24"/>
          <w:szCs w:val="24"/>
        </w:rPr>
        <w:t>)</w:t>
      </w:r>
      <w:r w:rsidR="009A48C4">
        <w:rPr>
          <w:rFonts w:ascii="Times New Roman" w:hAnsi="Times New Roman" w:cs="Times New Roman"/>
          <w:sz w:val="24"/>
          <w:szCs w:val="24"/>
        </w:rPr>
        <w:t>.</w:t>
      </w:r>
      <w:r w:rsidR="006514FE">
        <w:rPr>
          <w:rFonts w:ascii="Times New Roman" w:hAnsi="Times New Roman" w:cs="Times New Roman"/>
          <w:sz w:val="24"/>
          <w:szCs w:val="24"/>
        </w:rPr>
        <w:t xml:space="preserve">   </w:t>
      </w:r>
      <w:r w:rsidR="000127B1">
        <w:rPr>
          <w:rFonts w:ascii="Times New Roman" w:hAnsi="Times New Roman" w:cs="Times New Roman"/>
          <w:sz w:val="24"/>
          <w:szCs w:val="24"/>
        </w:rPr>
        <w:t xml:space="preserve"> </w:t>
      </w:r>
    </w:p>
    <w:p w:rsidR="00650BE1" w:rsidRPr="00CB5703" w:rsidRDefault="009A5A75" w:rsidP="00CD2CDA">
      <w:pPr>
        <w:jc w:val="left"/>
        <w:rPr>
          <w:rFonts w:ascii="Times New Roman" w:hAnsi="Times New Roman" w:cs="Times New Roman"/>
          <w:sz w:val="24"/>
          <w:szCs w:val="24"/>
        </w:rPr>
      </w:pPr>
      <w:r>
        <w:rPr>
          <w:rFonts w:ascii="Times New Roman" w:hAnsi="Times New Roman" w:cs="Times New Roman"/>
          <w:noProof/>
          <w:sz w:val="24"/>
          <w:szCs w:val="24"/>
        </w:rPr>
        <w:pict>
          <v:shape id="_x0000_s1056" type="#_x0000_t202" style="position:absolute;margin-left:19.2pt;margin-top:271.8pt;width:411.6pt;height:36.6pt;z-index:251724800;mso-width-relative:margin;mso-height-relative:margin" stroked="f">
            <v:textbox style="mso-next-textbox:#_x0000_s1056">
              <w:txbxContent>
                <w:p w:rsidR="0042465C" w:rsidRPr="00C55165" w:rsidRDefault="0042465C" w:rsidP="00C55165">
                  <w:pPr>
                    <w:spacing w:line="240" w:lineRule="exact"/>
                    <w:jc w:val="left"/>
                    <w:rPr>
                      <w:sz w:val="18"/>
                      <w:szCs w:val="18"/>
                    </w:rPr>
                  </w:pPr>
                  <w:r w:rsidRPr="00C55165">
                    <w:rPr>
                      <w:rFonts w:ascii="Times New Roman" w:hAnsi="Times New Roman" w:cs="Times New Roman"/>
                      <w:b/>
                      <w:color w:val="000000" w:themeColor="text1"/>
                      <w:sz w:val="18"/>
                      <w:szCs w:val="18"/>
                    </w:rPr>
                    <w:t>Figure 16.</w:t>
                  </w:r>
                  <w:r w:rsidRPr="00C55165">
                    <w:rPr>
                      <w:rFonts w:ascii="Times New Roman" w:hAnsi="Times New Roman" w:cs="Times New Roman"/>
                      <w:color w:val="000000" w:themeColor="text1"/>
                      <w:sz w:val="18"/>
                      <w:szCs w:val="18"/>
                    </w:rPr>
                    <w:t xml:space="preserve">  Author’s screenshot of the path of the sun viewed from the axial staircase at the ziggurat at </w:t>
                  </w:r>
                  <w:r w:rsidRPr="00C55165">
                    <w:rPr>
                      <w:rFonts w:ascii="Times New Roman" w:hAnsi="Times New Roman" w:cs="Times New Roman"/>
                      <w:sz w:val="18"/>
                      <w:szCs w:val="18"/>
                    </w:rPr>
                    <w:t xml:space="preserve">Dūr-Kurigalzu on January (Akk. </w:t>
                  </w:r>
                  <w:r w:rsidRPr="00C55165">
                    <w:rPr>
                      <w:rFonts w:ascii="Times New Roman" w:hAnsi="Times New Roman" w:cs="Times New Roman"/>
                      <w:i/>
                      <w:sz w:val="18"/>
                      <w:szCs w:val="18"/>
                    </w:rPr>
                    <w:t>Ṭebētum</w:t>
                  </w:r>
                  <w:r w:rsidRPr="00C55165">
                    <w:rPr>
                      <w:rFonts w:ascii="Times New Roman" w:hAnsi="Times New Roman" w:cs="Times New Roman"/>
                      <w:sz w:val="18"/>
                      <w:szCs w:val="18"/>
                    </w:rPr>
                    <w:t xml:space="preserve">) 1, 1380 BCE. </w:t>
                  </w:r>
                  <w:r w:rsidR="005F4AA3">
                    <w:rPr>
                      <w:rFonts w:ascii="Times New Roman" w:hAnsi="Times New Roman" w:cs="Times New Roman"/>
                      <w:sz w:val="18"/>
                      <w:szCs w:val="18"/>
                    </w:rPr>
                    <w:t>Image from Stellarium ©</w:t>
                  </w:r>
                  <w:r w:rsidRPr="00C55165">
                    <w:rPr>
                      <w:rFonts w:ascii="Times New Roman" w:hAnsi="Times New Roman" w:cs="Times New Roman"/>
                      <w:sz w:val="18"/>
                      <w:szCs w:val="18"/>
                    </w:rPr>
                    <w:t xml:space="preserve"> </w:t>
                  </w:r>
                  <w:r w:rsidRPr="00C55165">
                    <w:rPr>
                      <w:rFonts w:ascii="Times New Roman" w:hAnsi="Times New Roman" w:cs="Times New Roman"/>
                      <w:color w:val="000000" w:themeColor="text1"/>
                      <w:sz w:val="18"/>
                      <w:szCs w:val="18"/>
                    </w:rPr>
                    <w:t xml:space="preserve"> </w:t>
                  </w:r>
                </w:p>
                <w:p w:rsidR="0042465C" w:rsidRDefault="0042465C" w:rsidP="00C55165"/>
              </w:txbxContent>
            </v:textbox>
            <w10:wrap type="square"/>
          </v:shape>
        </w:pict>
      </w:r>
      <w:r w:rsidR="00C55165">
        <w:rPr>
          <w:rFonts w:ascii="Times New Roman" w:hAnsi="Times New Roman" w:cs="Times New Roman"/>
          <w:noProof/>
          <w:sz w:val="24"/>
          <w:szCs w:val="24"/>
        </w:rPr>
        <w:drawing>
          <wp:anchor distT="0" distB="0" distL="114300" distR="114300" simplePos="0" relativeHeight="251723776" behindDoc="0" locked="0" layoutInCell="1" allowOverlap="1">
            <wp:simplePos x="0" y="0"/>
            <wp:positionH relativeFrom="column">
              <wp:posOffset>102870</wp:posOffset>
            </wp:positionH>
            <wp:positionV relativeFrom="paragraph">
              <wp:posOffset>142875</wp:posOffset>
            </wp:positionV>
            <wp:extent cx="5650230" cy="3177540"/>
            <wp:effectExtent l="19050" t="0" r="7620" b="0"/>
            <wp:wrapSquare wrapText="bothSides"/>
            <wp:docPr id="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stretch>
                      <a:fillRect/>
                    </a:stretch>
                  </pic:blipFill>
                  <pic:spPr>
                    <a:xfrm>
                      <a:off x="0" y="0"/>
                      <a:ext cx="5650230" cy="3177540"/>
                    </a:xfrm>
                    <a:prstGeom prst="rect">
                      <a:avLst/>
                    </a:prstGeom>
                  </pic:spPr>
                </pic:pic>
              </a:graphicData>
            </a:graphic>
          </wp:anchor>
        </w:drawing>
      </w:r>
      <w:r w:rsidR="00C55165">
        <w:rPr>
          <w:rFonts w:ascii="Times New Roman" w:hAnsi="Times New Roman" w:cs="Times New Roman"/>
          <w:sz w:val="24"/>
          <w:szCs w:val="24"/>
        </w:rPr>
        <w:tab/>
      </w:r>
      <w:r w:rsidR="00B34FD9">
        <w:rPr>
          <w:rFonts w:ascii="Times New Roman" w:hAnsi="Times New Roman" w:cs="Times New Roman"/>
          <w:sz w:val="24"/>
          <w:szCs w:val="24"/>
        </w:rPr>
        <w:t xml:space="preserve">Ethnographic evidence demonstrates that the </w:t>
      </w:r>
      <w:r w:rsidR="00960919">
        <w:rPr>
          <w:rFonts w:ascii="Times New Roman" w:hAnsi="Times New Roman" w:cs="Times New Roman"/>
          <w:sz w:val="24"/>
          <w:szCs w:val="24"/>
        </w:rPr>
        <w:t xml:space="preserve">ancient skyscape certainly held </w:t>
      </w:r>
      <w:r w:rsidR="003959C8">
        <w:rPr>
          <w:rFonts w:ascii="Times New Roman" w:hAnsi="Times New Roman" w:cs="Times New Roman"/>
          <w:sz w:val="24"/>
          <w:szCs w:val="24"/>
        </w:rPr>
        <w:t>an importance for Mesopotamians,</w:t>
      </w:r>
      <w:r w:rsidR="00B34FD9">
        <w:rPr>
          <w:rFonts w:ascii="Times New Roman" w:hAnsi="Times New Roman" w:cs="Times New Roman"/>
          <w:sz w:val="24"/>
          <w:szCs w:val="24"/>
        </w:rPr>
        <w:t xml:space="preserve"> but</w:t>
      </w:r>
      <w:r w:rsidR="003959C8">
        <w:rPr>
          <w:rFonts w:ascii="Times New Roman" w:hAnsi="Times New Roman" w:cs="Times New Roman"/>
          <w:sz w:val="24"/>
          <w:szCs w:val="24"/>
        </w:rPr>
        <w:t xml:space="preserve"> the exercise of caution has been suggested regarding theories of archaeoastronomical alignments and/or orientations for Assyrian and Babylonian monuments.</w:t>
      </w:r>
      <w:r w:rsidR="003959C8">
        <w:rPr>
          <w:rStyle w:val="FootnoteReference"/>
          <w:rFonts w:ascii="Times New Roman" w:hAnsi="Times New Roman" w:cs="Times New Roman"/>
          <w:sz w:val="24"/>
          <w:szCs w:val="24"/>
        </w:rPr>
        <w:footnoteReference w:id="65"/>
      </w:r>
      <w:r w:rsidR="003959C8">
        <w:rPr>
          <w:rFonts w:ascii="Times New Roman" w:hAnsi="Times New Roman" w:cs="Times New Roman"/>
          <w:sz w:val="24"/>
          <w:szCs w:val="24"/>
        </w:rPr>
        <w:t xml:space="preserve"> </w:t>
      </w:r>
      <w:r w:rsidR="00B34FD9">
        <w:rPr>
          <w:rFonts w:ascii="Times New Roman" w:hAnsi="Times New Roman" w:cs="Times New Roman"/>
          <w:sz w:val="24"/>
          <w:szCs w:val="24"/>
        </w:rPr>
        <w:t xml:space="preserve">While the specific orientations suggested for ziggurats are possible, further ethnographic evidence is needed to determine the value </w:t>
      </w:r>
      <w:r w:rsidR="00DD618F">
        <w:rPr>
          <w:rFonts w:ascii="Times New Roman" w:hAnsi="Times New Roman" w:cs="Times New Roman"/>
          <w:sz w:val="24"/>
          <w:szCs w:val="24"/>
        </w:rPr>
        <w:t xml:space="preserve">Mesopotamians </w:t>
      </w:r>
      <w:r w:rsidR="00B34FD9">
        <w:rPr>
          <w:rFonts w:ascii="Times New Roman" w:hAnsi="Times New Roman" w:cs="Times New Roman"/>
          <w:sz w:val="24"/>
          <w:szCs w:val="24"/>
        </w:rPr>
        <w:t xml:space="preserve">placed upon </w:t>
      </w:r>
      <w:r w:rsidR="00DD618F">
        <w:rPr>
          <w:rFonts w:ascii="Times New Roman" w:hAnsi="Times New Roman" w:cs="Times New Roman"/>
          <w:sz w:val="24"/>
          <w:szCs w:val="24"/>
        </w:rPr>
        <w:t xml:space="preserve">rare celestial </w:t>
      </w:r>
      <w:r w:rsidR="00B34FD9">
        <w:rPr>
          <w:rFonts w:ascii="Times New Roman" w:hAnsi="Times New Roman" w:cs="Times New Roman"/>
          <w:sz w:val="24"/>
          <w:szCs w:val="24"/>
        </w:rPr>
        <w:t xml:space="preserve">phenomena </w:t>
      </w:r>
      <w:r w:rsidR="00DD618F">
        <w:rPr>
          <w:rFonts w:ascii="Times New Roman" w:hAnsi="Times New Roman" w:cs="Times New Roman"/>
          <w:sz w:val="24"/>
          <w:szCs w:val="24"/>
        </w:rPr>
        <w:t xml:space="preserve">(e.g. </w:t>
      </w:r>
      <w:r w:rsidR="00B34FD9">
        <w:rPr>
          <w:rFonts w:ascii="Times New Roman" w:hAnsi="Times New Roman" w:cs="Times New Roman"/>
          <w:sz w:val="24"/>
          <w:szCs w:val="24"/>
        </w:rPr>
        <w:t>major lunar standstill</w:t>
      </w:r>
      <w:r w:rsidR="00DD618F">
        <w:rPr>
          <w:rFonts w:ascii="Times New Roman" w:hAnsi="Times New Roman" w:cs="Times New Roman"/>
          <w:sz w:val="24"/>
          <w:szCs w:val="24"/>
        </w:rPr>
        <w:t>) in order to merit a specific orientation of such an important religious structure</w:t>
      </w:r>
      <w:r w:rsidR="005F4AA3">
        <w:rPr>
          <w:rFonts w:ascii="Times New Roman" w:hAnsi="Times New Roman" w:cs="Times New Roman"/>
          <w:sz w:val="24"/>
          <w:szCs w:val="24"/>
        </w:rPr>
        <w:t xml:space="preserve"> as a ziggurat</w:t>
      </w:r>
      <w:r w:rsidR="00DD618F">
        <w:rPr>
          <w:rFonts w:ascii="Times New Roman" w:hAnsi="Times New Roman" w:cs="Times New Roman"/>
          <w:sz w:val="24"/>
          <w:szCs w:val="24"/>
        </w:rPr>
        <w:t xml:space="preserve">. However, a historical change in orientation towards maximum sunlight access has been noted coinciding with an emphasis on law. </w:t>
      </w:r>
      <w:r w:rsidR="00CB5703">
        <w:rPr>
          <w:rFonts w:ascii="Times New Roman" w:hAnsi="Times New Roman" w:cs="Times New Roman"/>
          <w:sz w:val="24"/>
          <w:szCs w:val="24"/>
        </w:rPr>
        <w:t>An understanding of the sun-god’s passage over the upper</w:t>
      </w:r>
      <w:r w:rsidR="001C7DF5">
        <w:rPr>
          <w:rFonts w:ascii="Times New Roman" w:hAnsi="Times New Roman" w:cs="Times New Roman"/>
          <w:sz w:val="24"/>
          <w:szCs w:val="24"/>
        </w:rPr>
        <w:t xml:space="preserve"> </w:t>
      </w:r>
      <w:r w:rsidR="00CB5703">
        <w:rPr>
          <w:rFonts w:ascii="Times New Roman" w:hAnsi="Times New Roman" w:cs="Times New Roman"/>
          <w:sz w:val="24"/>
          <w:szCs w:val="24"/>
        </w:rPr>
        <w:t xml:space="preserve">world and descent into the netherworld is mirrored as a passage over the </w:t>
      </w:r>
      <w:r w:rsidR="00CB5703" w:rsidRPr="00CB5703">
        <w:rPr>
          <w:rFonts w:ascii="Times New Roman" w:hAnsi="Times New Roman" w:cs="Times New Roman"/>
          <w:i/>
          <w:sz w:val="24"/>
          <w:szCs w:val="24"/>
        </w:rPr>
        <w:t>axis mundi</w:t>
      </w:r>
      <w:r w:rsidR="00CB5703">
        <w:rPr>
          <w:rFonts w:ascii="Times New Roman" w:hAnsi="Times New Roman" w:cs="Times New Roman"/>
          <w:sz w:val="24"/>
          <w:szCs w:val="24"/>
        </w:rPr>
        <w:t xml:space="preserve"> and cosmic mountain ziggurat. While certain religious rituals were performed at dawn (i.e. extispicy), other rituals requiring the shinning rays of Shamash (e.g. oath swearing) </w:t>
      </w:r>
      <w:r w:rsidR="00BD4382">
        <w:rPr>
          <w:rFonts w:ascii="Times New Roman" w:hAnsi="Times New Roman" w:cs="Times New Roman"/>
          <w:sz w:val="24"/>
          <w:szCs w:val="24"/>
        </w:rPr>
        <w:t xml:space="preserve">were performed throughout the day and therefore it is suggested that Mesopotamian temples were thus oriented towards maximum access of sunlight with shadowplay and shade as part of the design. The ziggurat at Dūr-Kurigalzu was constructed following the change in orientation and it is suggested that the entrance to the </w:t>
      </w:r>
      <w:r w:rsidR="00BD4382" w:rsidRPr="00BD4382">
        <w:rPr>
          <w:rFonts w:ascii="Times New Roman" w:hAnsi="Times New Roman" w:cs="Times New Roman"/>
          <w:i/>
          <w:sz w:val="24"/>
          <w:szCs w:val="24"/>
        </w:rPr>
        <w:t>Eugal</w:t>
      </w:r>
      <w:r w:rsidR="00BD4382">
        <w:rPr>
          <w:rFonts w:ascii="Times New Roman" w:hAnsi="Times New Roman" w:cs="Times New Roman"/>
          <w:sz w:val="24"/>
          <w:szCs w:val="24"/>
        </w:rPr>
        <w:t xml:space="preserve"> was oriented in order to visibly demonstrate the sun-god’s (and other celestial deities) passage between worlds </w:t>
      </w:r>
      <w:r w:rsidR="00CD135E">
        <w:rPr>
          <w:rFonts w:ascii="Times New Roman" w:hAnsi="Times New Roman" w:cs="Times New Roman"/>
          <w:sz w:val="24"/>
          <w:szCs w:val="24"/>
        </w:rPr>
        <w:t>and receive maximum access to the rays of Shamash’s justice.</w:t>
      </w:r>
    </w:p>
    <w:p w:rsidR="00650BE1" w:rsidRDefault="00650BE1" w:rsidP="00CD2CDA">
      <w:pPr>
        <w:jc w:val="left"/>
        <w:rPr>
          <w:rFonts w:ascii="Times New Roman" w:hAnsi="Times New Roman" w:cs="Times New Roman"/>
          <w:sz w:val="24"/>
          <w:szCs w:val="24"/>
        </w:rPr>
      </w:pPr>
    </w:p>
    <w:p w:rsidR="00650BE1" w:rsidRDefault="00650BE1" w:rsidP="00CD2CDA">
      <w:pPr>
        <w:jc w:val="left"/>
        <w:rPr>
          <w:rFonts w:ascii="Times New Roman" w:hAnsi="Times New Roman" w:cs="Times New Roman"/>
          <w:sz w:val="24"/>
          <w:szCs w:val="24"/>
        </w:rPr>
      </w:pPr>
    </w:p>
    <w:p w:rsidR="00650BE1" w:rsidRDefault="00650BE1" w:rsidP="00CD2CDA">
      <w:pPr>
        <w:jc w:val="left"/>
        <w:rPr>
          <w:rFonts w:ascii="Times New Roman" w:hAnsi="Times New Roman" w:cs="Times New Roman"/>
          <w:sz w:val="24"/>
          <w:szCs w:val="24"/>
        </w:rPr>
      </w:pPr>
    </w:p>
    <w:p w:rsidR="00650BE1" w:rsidRDefault="00650BE1" w:rsidP="00CD2CDA">
      <w:pPr>
        <w:jc w:val="left"/>
        <w:rPr>
          <w:rFonts w:ascii="Times New Roman" w:hAnsi="Times New Roman" w:cs="Times New Roman"/>
          <w:sz w:val="24"/>
          <w:szCs w:val="24"/>
        </w:rPr>
      </w:pPr>
    </w:p>
    <w:p w:rsidR="00CD2CDA" w:rsidRPr="00B22553" w:rsidRDefault="00B22553" w:rsidP="00FA1D8D">
      <w:pPr>
        <w:jc w:val="left"/>
        <w:rPr>
          <w:rFonts w:ascii="Times New Roman" w:hAnsi="Times New Roman" w:cs="Times New Roman"/>
          <w:b/>
          <w:sz w:val="28"/>
          <w:szCs w:val="28"/>
          <w:u w:val="single"/>
        </w:rPr>
      </w:pPr>
      <w:r w:rsidRPr="00B22553">
        <w:rPr>
          <w:rFonts w:ascii="Times New Roman" w:hAnsi="Times New Roman" w:cs="Times New Roman"/>
          <w:b/>
          <w:sz w:val="28"/>
          <w:szCs w:val="28"/>
          <w:u w:val="single"/>
        </w:rPr>
        <w:t>References</w:t>
      </w:r>
    </w:p>
    <w:p w:rsidR="00D94433" w:rsidRDefault="00D94433" w:rsidP="0042465C">
      <w:pPr>
        <w:spacing w:line="240" w:lineRule="exact"/>
        <w:jc w:val="left"/>
        <w:rPr>
          <w:rFonts w:ascii="Times New Roman" w:hAnsi="Times New Roman" w:cs="Times New Roman"/>
          <w:szCs w:val="21"/>
        </w:rPr>
      </w:pPr>
    </w:p>
    <w:p w:rsidR="00D94433" w:rsidRPr="00D94433" w:rsidRDefault="00D94433" w:rsidP="00D94433">
      <w:pPr>
        <w:pStyle w:val="FootnoteText"/>
        <w:rPr>
          <w:rFonts w:ascii="Times New Roman" w:hAnsi="Times New Roman" w:cs="Times New Roman"/>
          <w:szCs w:val="21"/>
        </w:rPr>
      </w:pPr>
      <w:r w:rsidRPr="00B22553">
        <w:rPr>
          <w:rFonts w:ascii="Times New Roman" w:hAnsi="Times New Roman" w:cs="Times New Roman"/>
          <w:sz w:val="21"/>
          <w:szCs w:val="21"/>
        </w:rPr>
        <w:t>Ator,</w:t>
      </w:r>
      <w:r>
        <w:rPr>
          <w:rFonts w:ascii="Times New Roman" w:hAnsi="Times New Roman" w:cs="Times New Roman"/>
          <w:sz w:val="21"/>
          <w:szCs w:val="21"/>
        </w:rPr>
        <w:t xml:space="preserve"> Netanel,</w:t>
      </w:r>
      <w:r w:rsidRPr="00B22553">
        <w:rPr>
          <w:rFonts w:ascii="Times New Roman" w:hAnsi="Times New Roman" w:cs="Times New Roman"/>
          <w:sz w:val="21"/>
          <w:szCs w:val="21"/>
        </w:rPr>
        <w:t xml:space="preserve"> ‘Is the Liver a Reflection of the Sky?’, </w:t>
      </w:r>
      <w:r w:rsidRPr="00B22553">
        <w:rPr>
          <w:rFonts w:ascii="Times New Roman" w:hAnsi="Times New Roman" w:cs="Times New Roman"/>
          <w:i/>
          <w:sz w:val="21"/>
          <w:szCs w:val="21"/>
        </w:rPr>
        <w:t>ARAM</w:t>
      </w:r>
      <w:r w:rsidRPr="00B22553">
        <w:rPr>
          <w:rFonts w:ascii="Times New Roman" w:hAnsi="Times New Roman" w:cs="Times New Roman"/>
          <w:sz w:val="21"/>
          <w:szCs w:val="21"/>
        </w:rPr>
        <w:t xml:space="preserve"> 29 1-2 </w:t>
      </w:r>
      <w:r>
        <w:rPr>
          <w:rFonts w:ascii="Times New Roman" w:hAnsi="Times New Roman" w:cs="Times New Roman"/>
          <w:sz w:val="21"/>
          <w:szCs w:val="21"/>
        </w:rPr>
        <w:t>(2017)195-206</w:t>
      </w:r>
    </w:p>
    <w:p w:rsidR="008C4EB1" w:rsidRDefault="008C4EB1" w:rsidP="0042465C">
      <w:pPr>
        <w:spacing w:line="240" w:lineRule="exact"/>
        <w:jc w:val="left"/>
        <w:rPr>
          <w:rFonts w:ascii="Times New Roman" w:hAnsi="Times New Roman" w:cs="Times New Roman"/>
          <w:szCs w:val="21"/>
        </w:rPr>
      </w:pPr>
      <w:r w:rsidRPr="00B22553">
        <w:rPr>
          <w:rFonts w:ascii="Times New Roman" w:hAnsi="Times New Roman" w:cs="Times New Roman"/>
          <w:szCs w:val="21"/>
        </w:rPr>
        <w:t>Baqir,</w:t>
      </w:r>
      <w:r>
        <w:rPr>
          <w:rFonts w:ascii="Times New Roman" w:hAnsi="Times New Roman" w:cs="Times New Roman"/>
          <w:szCs w:val="21"/>
        </w:rPr>
        <w:t xml:space="preserve"> Taha, </w:t>
      </w:r>
      <w:r w:rsidRPr="00B22553">
        <w:rPr>
          <w:rFonts w:ascii="Times New Roman" w:hAnsi="Times New Roman" w:cs="Times New Roman"/>
          <w:szCs w:val="21"/>
        </w:rPr>
        <w:t xml:space="preserve">‘Iraq Government Excavations at ‘Aqar Qūf First Interim Report, 1942-1943’, </w:t>
      </w:r>
      <w:r w:rsidRPr="00B22553">
        <w:rPr>
          <w:rFonts w:ascii="Times New Roman" w:hAnsi="Times New Roman" w:cs="Times New Roman"/>
          <w:i/>
          <w:szCs w:val="21"/>
        </w:rPr>
        <w:t>Iraq</w:t>
      </w:r>
      <w:r w:rsidRPr="00B22553">
        <w:rPr>
          <w:rFonts w:ascii="Times New Roman" w:hAnsi="Times New Roman" w:cs="Times New Roman"/>
          <w:szCs w:val="21"/>
        </w:rPr>
        <w:t xml:space="preserve"> </w:t>
      </w:r>
      <w:r>
        <w:rPr>
          <w:rFonts w:ascii="Times New Roman" w:hAnsi="Times New Roman" w:cs="Times New Roman"/>
          <w:szCs w:val="21"/>
        </w:rPr>
        <w:tab/>
      </w:r>
      <w:r>
        <w:rPr>
          <w:rFonts w:ascii="Times New Roman" w:hAnsi="Times New Roman" w:cs="Times New Roman"/>
          <w:szCs w:val="21"/>
        </w:rPr>
        <w:tab/>
      </w:r>
      <w:r>
        <w:rPr>
          <w:rFonts w:ascii="Times New Roman" w:hAnsi="Times New Roman" w:cs="Times New Roman"/>
          <w:szCs w:val="21"/>
        </w:rPr>
        <w:tab/>
      </w:r>
      <w:r>
        <w:rPr>
          <w:rFonts w:ascii="Times New Roman" w:hAnsi="Times New Roman" w:cs="Times New Roman"/>
          <w:szCs w:val="21"/>
        </w:rPr>
        <w:tab/>
      </w:r>
      <w:r w:rsidRPr="00B22553">
        <w:rPr>
          <w:rFonts w:ascii="Times New Roman" w:hAnsi="Times New Roman" w:cs="Times New Roman"/>
          <w:szCs w:val="21"/>
        </w:rPr>
        <w:t xml:space="preserve">Supplement 1 (1944) </w:t>
      </w:r>
      <w:r>
        <w:rPr>
          <w:rFonts w:ascii="Times New Roman" w:hAnsi="Times New Roman" w:cs="Times New Roman"/>
          <w:szCs w:val="21"/>
        </w:rPr>
        <w:t>1-10</w:t>
      </w:r>
    </w:p>
    <w:p w:rsidR="00B22553" w:rsidRDefault="008C4EB1" w:rsidP="0042465C">
      <w:pPr>
        <w:spacing w:line="240" w:lineRule="exact"/>
        <w:jc w:val="left"/>
        <w:rPr>
          <w:rFonts w:ascii="Times New Roman" w:hAnsi="Times New Roman" w:cs="Times New Roman"/>
          <w:szCs w:val="21"/>
        </w:rPr>
      </w:pPr>
      <w:r>
        <w:rPr>
          <w:rFonts w:ascii="Times New Roman" w:hAnsi="Times New Roman" w:cs="Times New Roman"/>
          <w:szCs w:val="21"/>
        </w:rPr>
        <w:t xml:space="preserve">________, </w:t>
      </w:r>
      <w:r w:rsidRPr="00B22553">
        <w:rPr>
          <w:rFonts w:ascii="Times New Roman" w:hAnsi="Times New Roman" w:cs="Times New Roman"/>
          <w:szCs w:val="21"/>
        </w:rPr>
        <w:t xml:space="preserve">‘Iraq Government Excavations at ‘Aqar Qūf Third Interim Report, 1944-5’, </w:t>
      </w:r>
      <w:r w:rsidRPr="00B22553">
        <w:rPr>
          <w:rFonts w:ascii="Times New Roman" w:hAnsi="Times New Roman" w:cs="Times New Roman"/>
          <w:i/>
          <w:szCs w:val="21"/>
        </w:rPr>
        <w:t>Iraq</w:t>
      </w:r>
      <w:r w:rsidRPr="00B22553">
        <w:rPr>
          <w:rFonts w:ascii="Times New Roman" w:hAnsi="Times New Roman" w:cs="Times New Roman"/>
          <w:szCs w:val="21"/>
        </w:rPr>
        <w:t xml:space="preserve"> 8 (1946) </w:t>
      </w:r>
      <w:r>
        <w:rPr>
          <w:rFonts w:ascii="Times New Roman" w:hAnsi="Times New Roman" w:cs="Times New Roman"/>
          <w:szCs w:val="21"/>
        </w:rPr>
        <w:tab/>
      </w:r>
      <w:r>
        <w:rPr>
          <w:rFonts w:ascii="Times New Roman" w:hAnsi="Times New Roman" w:cs="Times New Roman"/>
          <w:szCs w:val="21"/>
        </w:rPr>
        <w:tab/>
      </w:r>
      <w:r>
        <w:rPr>
          <w:rFonts w:ascii="Times New Roman" w:hAnsi="Times New Roman" w:cs="Times New Roman"/>
          <w:szCs w:val="21"/>
        </w:rPr>
        <w:tab/>
      </w:r>
      <w:r w:rsidRPr="00B22553">
        <w:rPr>
          <w:rFonts w:ascii="Times New Roman" w:hAnsi="Times New Roman" w:cs="Times New Roman"/>
          <w:szCs w:val="21"/>
        </w:rPr>
        <w:t>73-93</w:t>
      </w:r>
    </w:p>
    <w:p w:rsidR="0042465C" w:rsidRDefault="0042465C" w:rsidP="0042465C">
      <w:pPr>
        <w:spacing w:line="240" w:lineRule="exact"/>
        <w:jc w:val="left"/>
        <w:rPr>
          <w:rFonts w:ascii="Times New Roman" w:hAnsi="Times New Roman" w:cs="Times New Roman"/>
          <w:color w:val="000000" w:themeColor="text1"/>
          <w:szCs w:val="21"/>
        </w:rPr>
      </w:pPr>
      <w:r w:rsidRPr="0042465C">
        <w:rPr>
          <w:rFonts w:ascii="Times New Roman" w:hAnsi="Times New Roman" w:cs="Times New Roman"/>
          <w:color w:val="000000" w:themeColor="text1"/>
          <w:szCs w:val="21"/>
        </w:rPr>
        <w:t>Barcelona Field Studies Centre</w:t>
      </w:r>
      <w:r>
        <w:rPr>
          <w:rFonts w:ascii="Times New Roman" w:hAnsi="Times New Roman" w:cs="Times New Roman"/>
          <w:color w:val="000000" w:themeColor="text1"/>
          <w:szCs w:val="21"/>
        </w:rPr>
        <w:t>,</w:t>
      </w:r>
      <w:r w:rsidRPr="00B22553">
        <w:rPr>
          <w:rFonts w:ascii="Times New Roman" w:hAnsi="Times New Roman" w:cs="Times New Roman"/>
          <w:color w:val="000000" w:themeColor="text1"/>
          <w:szCs w:val="21"/>
        </w:rPr>
        <w:t xml:space="preserve"> </w:t>
      </w:r>
      <w:r>
        <w:rPr>
          <w:rFonts w:ascii="Times New Roman" w:hAnsi="Times New Roman" w:cs="Times New Roman"/>
          <w:color w:val="000000" w:themeColor="text1"/>
          <w:szCs w:val="21"/>
        </w:rPr>
        <w:t>&lt;</w:t>
      </w:r>
      <w:hyperlink r:id="rId26" w:history="1">
        <w:r w:rsidRPr="00B22553">
          <w:rPr>
            <w:rStyle w:val="Hyperlink"/>
            <w:rFonts w:ascii="Times New Roman" w:hAnsi="Times New Roman" w:cs="Times New Roman"/>
            <w:color w:val="000000" w:themeColor="text1"/>
            <w:szCs w:val="21"/>
          </w:rPr>
          <w:t>https://setcompass.com/GoogleMapsProjection.htm</w:t>
        </w:r>
      </w:hyperlink>
      <w:r w:rsidRPr="00B22553">
        <w:rPr>
          <w:rFonts w:ascii="Times New Roman" w:hAnsi="Times New Roman" w:cs="Times New Roman"/>
          <w:color w:val="000000" w:themeColor="text1"/>
          <w:szCs w:val="21"/>
          <w:u w:val="single"/>
        </w:rPr>
        <w:t>l</w:t>
      </w:r>
      <w:r>
        <w:rPr>
          <w:rFonts w:ascii="Times New Roman" w:hAnsi="Times New Roman" w:cs="Times New Roman"/>
          <w:color w:val="000000" w:themeColor="text1"/>
          <w:szCs w:val="21"/>
        </w:rPr>
        <w:t xml:space="preserve">&gt; [accessed May, 18 </w:t>
      </w:r>
      <w:r>
        <w:rPr>
          <w:rFonts w:ascii="Times New Roman" w:hAnsi="Times New Roman" w:cs="Times New Roman"/>
          <w:color w:val="000000" w:themeColor="text1"/>
          <w:szCs w:val="21"/>
        </w:rPr>
        <w:tab/>
      </w:r>
      <w:r>
        <w:rPr>
          <w:rFonts w:ascii="Times New Roman" w:hAnsi="Times New Roman" w:cs="Times New Roman"/>
          <w:color w:val="000000" w:themeColor="text1"/>
          <w:szCs w:val="21"/>
        </w:rPr>
        <w:tab/>
        <w:t>2019</w:t>
      </w:r>
    </w:p>
    <w:p w:rsidR="0042465C" w:rsidRDefault="0042465C" w:rsidP="0042465C">
      <w:pPr>
        <w:spacing w:line="240" w:lineRule="exact"/>
        <w:jc w:val="left"/>
        <w:rPr>
          <w:rFonts w:ascii="Times New Roman" w:hAnsi="Times New Roman" w:cs="Times New Roman"/>
          <w:szCs w:val="21"/>
        </w:rPr>
      </w:pPr>
      <w:r w:rsidRPr="00B22553">
        <w:rPr>
          <w:rFonts w:ascii="Times New Roman" w:hAnsi="Times New Roman" w:cs="Times New Roman"/>
          <w:szCs w:val="21"/>
        </w:rPr>
        <w:t>Brady,</w:t>
      </w:r>
      <w:r>
        <w:rPr>
          <w:rFonts w:ascii="Times New Roman" w:hAnsi="Times New Roman" w:cs="Times New Roman"/>
          <w:szCs w:val="21"/>
        </w:rPr>
        <w:t xml:space="preserve"> </w:t>
      </w:r>
      <w:r w:rsidRPr="00B22553">
        <w:rPr>
          <w:rFonts w:ascii="Times New Roman" w:hAnsi="Times New Roman" w:cs="Times New Roman"/>
          <w:szCs w:val="21"/>
        </w:rPr>
        <w:t>Bernadette</w:t>
      </w:r>
      <w:r>
        <w:rPr>
          <w:rFonts w:ascii="Times New Roman" w:hAnsi="Times New Roman" w:cs="Times New Roman"/>
          <w:szCs w:val="21"/>
        </w:rPr>
        <w:t>,</w:t>
      </w:r>
      <w:r w:rsidRPr="00B22553">
        <w:rPr>
          <w:rFonts w:ascii="Times New Roman" w:hAnsi="Times New Roman" w:cs="Times New Roman"/>
          <w:szCs w:val="21"/>
        </w:rPr>
        <w:t xml:space="preserve"> </w:t>
      </w:r>
      <w:r w:rsidRPr="00B22553">
        <w:rPr>
          <w:rFonts w:ascii="Times New Roman" w:hAnsi="Times New Roman" w:cs="Times New Roman"/>
          <w:i/>
          <w:szCs w:val="21"/>
        </w:rPr>
        <w:t>Stars—their place in a Skyscape</w:t>
      </w:r>
      <w:r w:rsidRPr="00B22553">
        <w:rPr>
          <w:rFonts w:ascii="Times New Roman" w:hAnsi="Times New Roman" w:cs="Times New Roman"/>
          <w:szCs w:val="21"/>
        </w:rPr>
        <w:t>, PPT (2018)</w:t>
      </w:r>
    </w:p>
    <w:p w:rsidR="008C4EB1" w:rsidRPr="008C4EB1" w:rsidRDefault="008C4EB1" w:rsidP="0042465C">
      <w:pPr>
        <w:pStyle w:val="FootnoteText"/>
        <w:spacing w:line="240" w:lineRule="exact"/>
        <w:rPr>
          <w:rFonts w:ascii="Times New Roman" w:hAnsi="Times New Roman" w:cs="Times New Roman"/>
          <w:sz w:val="24"/>
          <w:szCs w:val="24"/>
        </w:rPr>
      </w:pPr>
      <w:r w:rsidRPr="00B22553">
        <w:rPr>
          <w:rFonts w:ascii="Times New Roman" w:hAnsi="Times New Roman" w:cs="Times New Roman"/>
          <w:sz w:val="21"/>
          <w:szCs w:val="21"/>
        </w:rPr>
        <w:t>Brinkman,</w:t>
      </w:r>
      <w:r>
        <w:rPr>
          <w:rFonts w:ascii="Times New Roman" w:hAnsi="Times New Roman" w:cs="Times New Roman"/>
          <w:sz w:val="21"/>
          <w:szCs w:val="21"/>
        </w:rPr>
        <w:t xml:space="preserve"> John, </w:t>
      </w:r>
      <w:r w:rsidRPr="00B22553">
        <w:rPr>
          <w:rFonts w:ascii="Times New Roman" w:hAnsi="Times New Roman" w:cs="Times New Roman"/>
          <w:i/>
          <w:sz w:val="21"/>
          <w:szCs w:val="21"/>
        </w:rPr>
        <w:t>Materials and Studies for Kassite History</w:t>
      </w:r>
      <w:r w:rsidRPr="00B22553">
        <w:rPr>
          <w:rFonts w:ascii="Times New Roman" w:hAnsi="Times New Roman" w:cs="Times New Roman"/>
          <w:sz w:val="21"/>
          <w:szCs w:val="21"/>
        </w:rPr>
        <w:t>, Vol. I, (Chicago:</w:t>
      </w:r>
      <w:r>
        <w:rPr>
          <w:rFonts w:ascii="Times New Roman" w:hAnsi="Times New Roman" w:cs="Times New Roman"/>
          <w:sz w:val="21"/>
          <w:szCs w:val="21"/>
        </w:rPr>
        <w:t xml:space="preserve"> The Oriental Institute, 1976)</w:t>
      </w:r>
    </w:p>
    <w:p w:rsidR="00A65AD4" w:rsidRDefault="00A65AD4" w:rsidP="0042465C">
      <w:pPr>
        <w:spacing w:line="240" w:lineRule="exact"/>
        <w:jc w:val="left"/>
        <w:rPr>
          <w:rFonts w:ascii="Times New Roman" w:hAnsi="Times New Roman" w:cs="Times New Roman"/>
          <w:szCs w:val="21"/>
        </w:rPr>
      </w:pPr>
      <w:r w:rsidRPr="00B22553">
        <w:rPr>
          <w:rFonts w:ascii="Times New Roman" w:hAnsi="Times New Roman" w:cs="Times New Roman"/>
          <w:szCs w:val="21"/>
        </w:rPr>
        <w:t>Clayden,</w:t>
      </w:r>
      <w:r>
        <w:rPr>
          <w:rFonts w:ascii="Times New Roman" w:hAnsi="Times New Roman" w:cs="Times New Roman"/>
          <w:szCs w:val="21"/>
        </w:rPr>
        <w:t xml:space="preserve"> Tim,</w:t>
      </w:r>
      <w:r w:rsidRPr="00B22553">
        <w:rPr>
          <w:rFonts w:ascii="Times New Roman" w:hAnsi="Times New Roman" w:cs="Times New Roman"/>
          <w:szCs w:val="21"/>
        </w:rPr>
        <w:t xml:space="preserve"> ‘Dūr-Kurigalzu: New Perspectives’, in </w:t>
      </w:r>
      <w:r w:rsidRPr="00B22553">
        <w:rPr>
          <w:rFonts w:ascii="Times New Roman" w:hAnsi="Times New Roman" w:cs="Times New Roman"/>
          <w:i/>
          <w:szCs w:val="21"/>
        </w:rPr>
        <w:t>Karduniaš: Babylonia Under the Kassites</w:t>
      </w:r>
      <w:r w:rsidRPr="00B22553">
        <w:rPr>
          <w:rFonts w:ascii="Times New Roman" w:hAnsi="Times New Roman" w:cs="Times New Roman"/>
          <w:szCs w:val="21"/>
        </w:rPr>
        <w:t xml:space="preserve">, Vol. II, ed. </w:t>
      </w:r>
      <w:r>
        <w:rPr>
          <w:rFonts w:ascii="Times New Roman" w:hAnsi="Times New Roman" w:cs="Times New Roman"/>
          <w:szCs w:val="21"/>
        </w:rPr>
        <w:tab/>
      </w:r>
      <w:r>
        <w:rPr>
          <w:rFonts w:ascii="Times New Roman" w:hAnsi="Times New Roman" w:cs="Times New Roman"/>
          <w:szCs w:val="21"/>
        </w:rPr>
        <w:tab/>
      </w:r>
      <w:r w:rsidRPr="00B22553">
        <w:rPr>
          <w:rFonts w:ascii="Times New Roman" w:hAnsi="Times New Roman" w:cs="Times New Roman"/>
          <w:szCs w:val="21"/>
        </w:rPr>
        <w:t xml:space="preserve">by Alexa </w:t>
      </w:r>
      <w:r w:rsidR="008C4EB1">
        <w:rPr>
          <w:rFonts w:ascii="Times New Roman" w:hAnsi="Times New Roman" w:cs="Times New Roman"/>
          <w:szCs w:val="21"/>
        </w:rPr>
        <w:t>Bartelmus and Katja Sternitzke,</w:t>
      </w:r>
      <w:r w:rsidR="008C4EB1" w:rsidRPr="00B22553">
        <w:rPr>
          <w:rFonts w:ascii="Times New Roman" w:hAnsi="Times New Roman" w:cs="Times New Roman"/>
          <w:szCs w:val="21"/>
        </w:rPr>
        <w:t xml:space="preserve"> pp. 43</w:t>
      </w:r>
      <w:r w:rsidR="008C4EB1">
        <w:rPr>
          <w:rFonts w:ascii="Times New Roman" w:hAnsi="Times New Roman" w:cs="Times New Roman"/>
          <w:szCs w:val="21"/>
        </w:rPr>
        <w:t>7</w:t>
      </w:r>
      <w:r w:rsidR="008C4EB1" w:rsidRPr="00B22553">
        <w:rPr>
          <w:rFonts w:ascii="Times New Roman" w:hAnsi="Times New Roman" w:cs="Times New Roman"/>
          <w:szCs w:val="21"/>
        </w:rPr>
        <w:t>-</w:t>
      </w:r>
      <w:r w:rsidR="008C4EB1">
        <w:rPr>
          <w:rFonts w:ascii="Times New Roman" w:hAnsi="Times New Roman" w:cs="Times New Roman"/>
          <w:szCs w:val="21"/>
        </w:rPr>
        <w:t>5</w:t>
      </w:r>
      <w:r w:rsidR="008C4EB1" w:rsidRPr="00B22553">
        <w:rPr>
          <w:rFonts w:ascii="Times New Roman" w:hAnsi="Times New Roman" w:cs="Times New Roman"/>
          <w:szCs w:val="21"/>
        </w:rPr>
        <w:t>44</w:t>
      </w:r>
      <w:r w:rsidR="008C4EB1">
        <w:rPr>
          <w:rFonts w:ascii="Times New Roman" w:hAnsi="Times New Roman" w:cs="Times New Roman"/>
          <w:szCs w:val="21"/>
        </w:rPr>
        <w:t xml:space="preserve">, </w:t>
      </w:r>
      <w:r w:rsidRPr="00B22553">
        <w:rPr>
          <w:rFonts w:ascii="Times New Roman" w:hAnsi="Times New Roman" w:cs="Times New Roman"/>
          <w:szCs w:val="21"/>
        </w:rPr>
        <w:t>(Berlin: de Gruyter, 2017)</w:t>
      </w:r>
    </w:p>
    <w:p w:rsidR="008C4EB1" w:rsidRDefault="008C4EB1" w:rsidP="0042465C">
      <w:pPr>
        <w:spacing w:line="240" w:lineRule="exact"/>
        <w:jc w:val="left"/>
        <w:rPr>
          <w:rFonts w:ascii="Times New Roman" w:hAnsi="Times New Roman" w:cs="Times New Roman"/>
          <w:szCs w:val="21"/>
        </w:rPr>
      </w:pPr>
      <w:r>
        <w:rPr>
          <w:rFonts w:ascii="Times New Roman" w:hAnsi="Times New Roman" w:cs="Times New Roman"/>
          <w:szCs w:val="21"/>
        </w:rPr>
        <w:t xml:space="preserve">________, </w:t>
      </w:r>
      <w:r w:rsidRPr="00B22553">
        <w:rPr>
          <w:rFonts w:ascii="Times New Roman" w:hAnsi="Times New Roman" w:cs="Times New Roman"/>
          <w:szCs w:val="21"/>
        </w:rPr>
        <w:t xml:space="preserve">‘Aqar Qūf Before its Excavation in 1942’, </w:t>
      </w:r>
      <w:r w:rsidRPr="00B22553">
        <w:rPr>
          <w:rFonts w:ascii="Times New Roman" w:hAnsi="Times New Roman" w:cs="Times New Roman"/>
          <w:i/>
          <w:szCs w:val="21"/>
        </w:rPr>
        <w:t>Al-Rāfidān</w:t>
      </w:r>
      <w:r>
        <w:rPr>
          <w:rFonts w:ascii="Times New Roman" w:hAnsi="Times New Roman" w:cs="Times New Roman"/>
          <w:szCs w:val="21"/>
        </w:rPr>
        <w:t xml:space="preserve"> 31 (2010) 1</w:t>
      </w:r>
      <w:r w:rsidRPr="00B22553">
        <w:rPr>
          <w:rFonts w:ascii="Times New Roman" w:hAnsi="Times New Roman" w:cs="Times New Roman"/>
          <w:szCs w:val="21"/>
        </w:rPr>
        <w:t>-31</w:t>
      </w:r>
    </w:p>
    <w:p w:rsidR="008C4EB1" w:rsidRDefault="008C4EB1" w:rsidP="0042465C">
      <w:pPr>
        <w:spacing w:line="240" w:lineRule="exact"/>
        <w:jc w:val="left"/>
        <w:rPr>
          <w:rFonts w:ascii="Times New Roman" w:hAnsi="Times New Roman" w:cs="Times New Roman"/>
          <w:szCs w:val="21"/>
        </w:rPr>
      </w:pPr>
      <w:r>
        <w:rPr>
          <w:rFonts w:ascii="Times New Roman" w:hAnsi="Times New Roman" w:cs="Times New Roman"/>
          <w:szCs w:val="21"/>
        </w:rPr>
        <w:t xml:space="preserve">________, </w:t>
      </w:r>
      <w:r w:rsidRPr="00B22553">
        <w:rPr>
          <w:rFonts w:ascii="Times New Roman" w:hAnsi="Times New Roman" w:cs="Times New Roman"/>
          <w:szCs w:val="21"/>
        </w:rPr>
        <w:t xml:space="preserve">‘Moulded Mud-Brick at Dur Kurigalzu’, </w:t>
      </w:r>
      <w:r w:rsidRPr="00B22553">
        <w:rPr>
          <w:rFonts w:ascii="Times New Roman" w:hAnsi="Times New Roman" w:cs="Times New Roman"/>
          <w:i/>
          <w:szCs w:val="21"/>
        </w:rPr>
        <w:t>Al-Rāfidān</w:t>
      </w:r>
      <w:r>
        <w:rPr>
          <w:rFonts w:ascii="Times New Roman" w:hAnsi="Times New Roman" w:cs="Times New Roman"/>
          <w:szCs w:val="21"/>
        </w:rPr>
        <w:t xml:space="preserve"> 21 (2000) </w:t>
      </w:r>
      <w:r w:rsidRPr="00B22553">
        <w:rPr>
          <w:rFonts w:ascii="Times New Roman" w:hAnsi="Times New Roman" w:cs="Times New Roman"/>
          <w:szCs w:val="21"/>
        </w:rPr>
        <w:t>71-83</w:t>
      </w:r>
    </w:p>
    <w:p w:rsidR="0042465C" w:rsidRDefault="0042465C" w:rsidP="00A65AD4">
      <w:pPr>
        <w:spacing w:line="240" w:lineRule="exact"/>
        <w:jc w:val="left"/>
        <w:rPr>
          <w:rFonts w:ascii="Times New Roman" w:hAnsi="Times New Roman" w:cs="Times New Roman"/>
          <w:sz w:val="24"/>
          <w:szCs w:val="24"/>
        </w:rPr>
      </w:pPr>
      <w:r w:rsidRPr="00B22553">
        <w:rPr>
          <w:rFonts w:ascii="Times New Roman" w:hAnsi="Times New Roman" w:cs="Times New Roman"/>
          <w:szCs w:val="21"/>
        </w:rPr>
        <w:t>Cohen,</w:t>
      </w:r>
      <w:r>
        <w:rPr>
          <w:rFonts w:ascii="Times New Roman" w:hAnsi="Times New Roman" w:cs="Times New Roman"/>
          <w:szCs w:val="21"/>
        </w:rPr>
        <w:t xml:space="preserve"> Mark,</w:t>
      </w:r>
      <w:r w:rsidRPr="00B22553">
        <w:rPr>
          <w:rFonts w:ascii="Times New Roman" w:hAnsi="Times New Roman" w:cs="Times New Roman"/>
          <w:szCs w:val="21"/>
        </w:rPr>
        <w:t xml:space="preserve"> </w:t>
      </w:r>
      <w:r w:rsidRPr="00B22553">
        <w:rPr>
          <w:rFonts w:ascii="Times New Roman" w:hAnsi="Times New Roman" w:cs="Times New Roman"/>
          <w:i/>
          <w:szCs w:val="21"/>
        </w:rPr>
        <w:t>The Cultic Calendars of the Ancient Near East</w:t>
      </w:r>
      <w:r w:rsidRPr="00B22553">
        <w:rPr>
          <w:rFonts w:ascii="Times New Roman" w:hAnsi="Times New Roman" w:cs="Times New Roman"/>
          <w:szCs w:val="21"/>
        </w:rPr>
        <w:t>, (Bethesda: CDL Press, 1993)</w:t>
      </w:r>
    </w:p>
    <w:p w:rsidR="00415426" w:rsidRDefault="00B22553"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George,</w:t>
      </w:r>
      <w:r w:rsidR="00415426">
        <w:rPr>
          <w:rFonts w:ascii="Times New Roman" w:hAnsi="Times New Roman" w:cs="Times New Roman"/>
          <w:sz w:val="21"/>
          <w:szCs w:val="21"/>
        </w:rPr>
        <w:t xml:space="preserve"> Andrew, </w:t>
      </w:r>
      <w:r w:rsidRPr="00B22553">
        <w:rPr>
          <w:rFonts w:ascii="Times New Roman" w:hAnsi="Times New Roman" w:cs="Times New Roman"/>
          <w:i/>
          <w:sz w:val="21"/>
          <w:szCs w:val="21"/>
        </w:rPr>
        <w:t>House Most High: The Temples of Mesopotamia</w:t>
      </w:r>
      <w:r w:rsidRPr="00B22553">
        <w:rPr>
          <w:rFonts w:ascii="Times New Roman" w:hAnsi="Times New Roman" w:cs="Times New Roman"/>
          <w:sz w:val="21"/>
          <w:szCs w:val="21"/>
        </w:rPr>
        <w:t>, (Wino</w:t>
      </w:r>
      <w:r w:rsidR="00415426">
        <w:rPr>
          <w:rFonts w:ascii="Times New Roman" w:hAnsi="Times New Roman" w:cs="Times New Roman"/>
          <w:sz w:val="21"/>
          <w:szCs w:val="21"/>
        </w:rPr>
        <w:t>na Lake: Eisenbrauns, 1993)</w:t>
      </w:r>
      <w:r w:rsidR="00415426">
        <w:rPr>
          <w:rFonts w:ascii="Times New Roman" w:hAnsi="Times New Roman" w:cs="Times New Roman"/>
          <w:sz w:val="21"/>
          <w:szCs w:val="21"/>
        </w:rPr>
        <w:tab/>
      </w:r>
    </w:p>
    <w:p w:rsidR="0042465C" w:rsidRDefault="00B22553"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Hallo,</w:t>
      </w:r>
      <w:r w:rsidR="00A65AD4">
        <w:rPr>
          <w:rFonts w:ascii="Times New Roman" w:hAnsi="Times New Roman" w:cs="Times New Roman"/>
          <w:sz w:val="21"/>
          <w:szCs w:val="21"/>
        </w:rPr>
        <w:t xml:space="preserve"> </w:t>
      </w:r>
      <w:r w:rsidR="00A65AD4" w:rsidRPr="00B22553">
        <w:rPr>
          <w:rFonts w:ascii="Times New Roman" w:hAnsi="Times New Roman" w:cs="Times New Roman"/>
          <w:sz w:val="21"/>
          <w:szCs w:val="21"/>
        </w:rPr>
        <w:t>William</w:t>
      </w:r>
      <w:r w:rsidR="00A65AD4">
        <w:rPr>
          <w:rFonts w:ascii="Times New Roman" w:hAnsi="Times New Roman" w:cs="Times New Roman"/>
          <w:sz w:val="21"/>
          <w:szCs w:val="21"/>
        </w:rPr>
        <w:t>,</w:t>
      </w:r>
      <w:r w:rsidRPr="00B22553">
        <w:rPr>
          <w:rFonts w:ascii="Times New Roman" w:hAnsi="Times New Roman" w:cs="Times New Roman"/>
          <w:sz w:val="21"/>
          <w:szCs w:val="21"/>
        </w:rPr>
        <w:t xml:space="preserve"> </w:t>
      </w:r>
      <w:r w:rsidRPr="00B22553">
        <w:rPr>
          <w:rFonts w:ascii="Times New Roman" w:hAnsi="Times New Roman" w:cs="Times New Roman"/>
          <w:i/>
          <w:sz w:val="21"/>
          <w:szCs w:val="21"/>
        </w:rPr>
        <w:t>Origins: The Ancient Near Eastern Background to Some Modern Western Institutions</w:t>
      </w:r>
      <w:r w:rsidRPr="00B22553">
        <w:rPr>
          <w:rFonts w:ascii="Times New Roman" w:hAnsi="Times New Roman" w:cs="Times New Roman"/>
          <w:sz w:val="21"/>
          <w:szCs w:val="21"/>
        </w:rPr>
        <w:t xml:space="preserve">, </w:t>
      </w:r>
      <w:r w:rsidR="00A65AD4">
        <w:rPr>
          <w:rFonts w:ascii="Times New Roman" w:hAnsi="Times New Roman" w:cs="Times New Roman"/>
          <w:sz w:val="21"/>
          <w:szCs w:val="21"/>
        </w:rPr>
        <w:tab/>
      </w:r>
      <w:r w:rsidR="00A65AD4">
        <w:rPr>
          <w:rFonts w:ascii="Times New Roman" w:hAnsi="Times New Roman" w:cs="Times New Roman"/>
          <w:sz w:val="21"/>
          <w:szCs w:val="21"/>
        </w:rPr>
        <w:tab/>
      </w:r>
      <w:r w:rsidR="00A65AD4">
        <w:rPr>
          <w:rFonts w:ascii="Times New Roman" w:hAnsi="Times New Roman" w:cs="Times New Roman"/>
          <w:sz w:val="21"/>
          <w:szCs w:val="21"/>
        </w:rPr>
        <w:tab/>
      </w:r>
      <w:r w:rsidRPr="00B22553">
        <w:rPr>
          <w:rFonts w:ascii="Times New Roman" w:hAnsi="Times New Roman" w:cs="Times New Roman"/>
          <w:sz w:val="21"/>
          <w:szCs w:val="21"/>
        </w:rPr>
        <w:t>(Leiden: Brill, 1996)</w:t>
      </w:r>
    </w:p>
    <w:p w:rsidR="00D94433" w:rsidRDefault="00D94433" w:rsidP="00D94433">
      <w:pPr>
        <w:spacing w:line="240" w:lineRule="exact"/>
        <w:jc w:val="left"/>
        <w:rPr>
          <w:rFonts w:ascii="Times New Roman" w:hAnsi="Times New Roman" w:cs="Times New Roman"/>
          <w:color w:val="000000" w:themeColor="text1"/>
          <w:szCs w:val="21"/>
        </w:rPr>
      </w:pPr>
      <w:r w:rsidRPr="00AC5D82">
        <w:rPr>
          <w:rFonts w:ascii="Times New Roman" w:hAnsi="Times New Roman" w:cs="Times New Roman"/>
          <w:color w:val="000000" w:themeColor="text1"/>
          <w:szCs w:val="21"/>
        </w:rPr>
        <w:t xml:space="preserve">Heimple, Wolfgang, ‘The Sun at Night and the Doors of Heaven in Babylonian Texts’, </w:t>
      </w:r>
      <w:r w:rsidRPr="00AC5D82">
        <w:rPr>
          <w:rFonts w:ascii="Times New Roman" w:hAnsi="Times New Roman" w:cs="Times New Roman"/>
          <w:i/>
          <w:color w:val="000000" w:themeColor="text1"/>
          <w:szCs w:val="21"/>
        </w:rPr>
        <w:t xml:space="preserve">Journal of </w:t>
      </w:r>
      <w:r w:rsidRPr="00AC5D82">
        <w:rPr>
          <w:rFonts w:ascii="Times New Roman" w:hAnsi="Times New Roman" w:cs="Times New Roman"/>
          <w:i/>
          <w:color w:val="000000" w:themeColor="text1"/>
          <w:szCs w:val="21"/>
        </w:rPr>
        <w:tab/>
      </w:r>
      <w:r w:rsidRPr="00AC5D82">
        <w:rPr>
          <w:rFonts w:ascii="Times New Roman" w:hAnsi="Times New Roman" w:cs="Times New Roman"/>
          <w:i/>
          <w:color w:val="000000" w:themeColor="text1"/>
          <w:szCs w:val="21"/>
        </w:rPr>
        <w:tab/>
      </w:r>
      <w:r w:rsidRPr="00AC5D82">
        <w:rPr>
          <w:rFonts w:ascii="Times New Roman" w:hAnsi="Times New Roman" w:cs="Times New Roman"/>
          <w:i/>
          <w:color w:val="000000" w:themeColor="text1"/>
          <w:szCs w:val="21"/>
        </w:rPr>
        <w:tab/>
      </w:r>
      <w:r w:rsidRPr="00AC5D82">
        <w:rPr>
          <w:rFonts w:ascii="Times New Roman" w:hAnsi="Times New Roman" w:cs="Times New Roman"/>
          <w:i/>
          <w:color w:val="000000" w:themeColor="text1"/>
          <w:szCs w:val="21"/>
        </w:rPr>
        <w:tab/>
        <w:t>Cuneiform Studies</w:t>
      </w:r>
      <w:r w:rsidRPr="00AC5D82">
        <w:rPr>
          <w:rFonts w:ascii="Times New Roman" w:hAnsi="Times New Roman" w:cs="Times New Roman"/>
          <w:color w:val="000000" w:themeColor="text1"/>
          <w:szCs w:val="21"/>
        </w:rPr>
        <w:t xml:space="preserve"> 38 2 (1986) 127-151</w:t>
      </w:r>
    </w:p>
    <w:p w:rsidR="00D94433" w:rsidRPr="00D94433" w:rsidRDefault="00D94433" w:rsidP="00D94433">
      <w:pPr>
        <w:spacing w:line="240" w:lineRule="exact"/>
        <w:jc w:val="left"/>
        <w:rPr>
          <w:rFonts w:ascii="Times New Roman" w:hAnsi="Times New Roman" w:cs="Times New Roman"/>
          <w:szCs w:val="21"/>
        </w:rPr>
      </w:pPr>
      <w:r w:rsidRPr="00B22553">
        <w:rPr>
          <w:rFonts w:ascii="Times New Roman" w:hAnsi="Times New Roman" w:cs="Times New Roman"/>
          <w:szCs w:val="21"/>
        </w:rPr>
        <w:t>Horowitz,</w:t>
      </w:r>
      <w:r>
        <w:rPr>
          <w:rFonts w:ascii="Times New Roman" w:hAnsi="Times New Roman" w:cs="Times New Roman"/>
          <w:szCs w:val="21"/>
        </w:rPr>
        <w:t xml:space="preserve"> Wayne,</w:t>
      </w:r>
      <w:r w:rsidRPr="00B22553">
        <w:rPr>
          <w:rFonts w:ascii="Times New Roman" w:hAnsi="Times New Roman" w:cs="Times New Roman"/>
          <w:szCs w:val="21"/>
        </w:rPr>
        <w:t xml:space="preserve"> </w:t>
      </w:r>
      <w:r w:rsidRPr="00B22553">
        <w:rPr>
          <w:rFonts w:ascii="Times New Roman" w:hAnsi="Times New Roman" w:cs="Times New Roman"/>
          <w:i/>
          <w:szCs w:val="21"/>
        </w:rPr>
        <w:t>Mesopotamian Cosmic Geography</w:t>
      </w:r>
      <w:r w:rsidRPr="00B22553">
        <w:rPr>
          <w:rFonts w:ascii="Times New Roman" w:hAnsi="Times New Roman" w:cs="Times New Roman"/>
          <w:szCs w:val="21"/>
        </w:rPr>
        <w:t>, (Winona Lake: Eisenbrauns, 1998)</w:t>
      </w:r>
    </w:p>
    <w:p w:rsidR="0042465C" w:rsidRDefault="0042465C" w:rsidP="00B22553">
      <w:pPr>
        <w:pStyle w:val="FootnoteText"/>
        <w:rPr>
          <w:rFonts w:ascii="Times New Roman" w:hAnsi="Times New Roman" w:cs="Times New Roman"/>
          <w:sz w:val="21"/>
          <w:szCs w:val="21"/>
        </w:rPr>
      </w:pPr>
      <w:r>
        <w:rPr>
          <w:rFonts w:ascii="Times New Roman" w:hAnsi="Times New Roman" w:cs="Times New Roman"/>
          <w:sz w:val="21"/>
          <w:szCs w:val="21"/>
        </w:rPr>
        <w:t xml:space="preserve">Hunger, Herman, </w:t>
      </w:r>
      <w:r w:rsidRPr="00B22553">
        <w:rPr>
          <w:rFonts w:ascii="Times New Roman" w:hAnsi="Times New Roman" w:cs="Times New Roman"/>
          <w:sz w:val="21"/>
          <w:szCs w:val="21"/>
        </w:rPr>
        <w:t xml:space="preserve">and David Pingree, </w:t>
      </w:r>
      <w:r w:rsidRPr="00B22553">
        <w:rPr>
          <w:rFonts w:ascii="Times New Roman" w:hAnsi="Times New Roman" w:cs="Times New Roman"/>
          <w:i/>
          <w:sz w:val="21"/>
          <w:szCs w:val="21"/>
        </w:rPr>
        <w:t>Astral Sciences in Mesopotamia</w:t>
      </w:r>
      <w:r w:rsidRPr="00B22553">
        <w:rPr>
          <w:rFonts w:ascii="Times New Roman" w:hAnsi="Times New Roman" w:cs="Times New Roman"/>
          <w:sz w:val="21"/>
          <w:szCs w:val="21"/>
        </w:rPr>
        <w:t>, (Leiden: Brill, 1999)</w:t>
      </w:r>
    </w:p>
    <w:p w:rsidR="00401A99" w:rsidRDefault="00401A99"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Iwaniszewski,</w:t>
      </w:r>
      <w:r>
        <w:rPr>
          <w:rFonts w:ascii="Times New Roman" w:hAnsi="Times New Roman" w:cs="Times New Roman"/>
          <w:sz w:val="21"/>
          <w:szCs w:val="21"/>
        </w:rPr>
        <w:t xml:space="preserve"> </w:t>
      </w:r>
      <w:r w:rsidRPr="00B22553">
        <w:rPr>
          <w:rFonts w:ascii="Times New Roman" w:hAnsi="Times New Roman" w:cs="Times New Roman"/>
          <w:sz w:val="21"/>
          <w:szCs w:val="21"/>
        </w:rPr>
        <w:t>Stanislaw</w:t>
      </w:r>
      <w:r>
        <w:rPr>
          <w:rFonts w:ascii="Times New Roman" w:hAnsi="Times New Roman" w:cs="Times New Roman"/>
          <w:sz w:val="21"/>
          <w:szCs w:val="21"/>
        </w:rPr>
        <w:t>,</w:t>
      </w:r>
      <w:r w:rsidRPr="00B22553">
        <w:rPr>
          <w:rFonts w:ascii="Times New Roman" w:hAnsi="Times New Roman" w:cs="Times New Roman"/>
          <w:sz w:val="21"/>
          <w:szCs w:val="21"/>
        </w:rPr>
        <w:t xml:space="preserve"> ‘Archaeoastronomical Analysis of Assyrian and Babylonian Monuments: </w:t>
      </w:r>
      <w:r>
        <w:rPr>
          <w:rFonts w:ascii="Times New Roman" w:hAnsi="Times New Roman" w:cs="Times New Roman"/>
          <w:sz w:val="21"/>
          <w:szCs w:val="21"/>
        </w:rPr>
        <w:tab/>
      </w:r>
      <w:r>
        <w:rPr>
          <w:rFonts w:ascii="Times New Roman" w:hAnsi="Times New Roman" w:cs="Times New Roman"/>
          <w:sz w:val="21"/>
          <w:szCs w:val="21"/>
        </w:rPr>
        <w:tab/>
      </w:r>
      <w:r>
        <w:rPr>
          <w:rFonts w:ascii="Times New Roman" w:hAnsi="Times New Roman" w:cs="Times New Roman"/>
          <w:sz w:val="21"/>
          <w:szCs w:val="21"/>
        </w:rPr>
        <w:tab/>
      </w:r>
      <w:r w:rsidRPr="00B22553">
        <w:rPr>
          <w:rFonts w:ascii="Times New Roman" w:hAnsi="Times New Roman" w:cs="Times New Roman"/>
          <w:sz w:val="21"/>
          <w:szCs w:val="21"/>
        </w:rPr>
        <w:t xml:space="preserve">Methodological Issues’, </w:t>
      </w:r>
      <w:r w:rsidRPr="00B22553">
        <w:rPr>
          <w:rFonts w:ascii="Times New Roman" w:hAnsi="Times New Roman" w:cs="Times New Roman"/>
          <w:i/>
          <w:sz w:val="21"/>
          <w:szCs w:val="21"/>
        </w:rPr>
        <w:t>Journal for the History of Astronomy</w:t>
      </w:r>
      <w:r>
        <w:rPr>
          <w:rFonts w:ascii="Times New Roman" w:hAnsi="Times New Roman" w:cs="Times New Roman"/>
          <w:sz w:val="21"/>
          <w:szCs w:val="21"/>
        </w:rPr>
        <w:t xml:space="preserve">, 34 1 (2003) </w:t>
      </w:r>
      <w:r w:rsidRPr="00B22553">
        <w:rPr>
          <w:rFonts w:ascii="Times New Roman" w:hAnsi="Times New Roman" w:cs="Times New Roman"/>
          <w:sz w:val="21"/>
          <w:szCs w:val="21"/>
        </w:rPr>
        <w:t>79-93</w:t>
      </w:r>
    </w:p>
    <w:p w:rsidR="008C4EB1" w:rsidRDefault="008C4EB1"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Jasim,</w:t>
      </w:r>
      <w:r>
        <w:rPr>
          <w:rFonts w:ascii="Times New Roman" w:hAnsi="Times New Roman" w:cs="Times New Roman"/>
          <w:sz w:val="21"/>
          <w:szCs w:val="21"/>
        </w:rPr>
        <w:t xml:space="preserve"> Muhammad,</w:t>
      </w:r>
      <w:r w:rsidRPr="00B22553">
        <w:rPr>
          <w:rFonts w:ascii="Times New Roman" w:hAnsi="Times New Roman" w:cs="Times New Roman"/>
          <w:sz w:val="21"/>
          <w:szCs w:val="21"/>
        </w:rPr>
        <w:t xml:space="preserve"> ‘Tell Abu Shijar near ‘Aqar Quf: Summary of Excavations, </w:t>
      </w:r>
      <w:r w:rsidRPr="00B22553">
        <w:rPr>
          <w:rFonts w:ascii="Times New Roman" w:hAnsi="Times New Roman" w:cs="Times New Roman"/>
          <w:i/>
          <w:sz w:val="21"/>
          <w:szCs w:val="21"/>
        </w:rPr>
        <w:t>Akkadica</w:t>
      </w:r>
      <w:r w:rsidRPr="00B22553">
        <w:rPr>
          <w:rFonts w:ascii="Times New Roman" w:hAnsi="Times New Roman" w:cs="Times New Roman"/>
          <w:sz w:val="21"/>
          <w:szCs w:val="21"/>
        </w:rPr>
        <w:t xml:space="preserve"> 127 (2006)</w:t>
      </w:r>
      <w:r>
        <w:rPr>
          <w:rFonts w:ascii="Times New Roman" w:hAnsi="Times New Roman" w:cs="Times New Roman"/>
          <w:sz w:val="21"/>
          <w:szCs w:val="21"/>
        </w:rPr>
        <w:t xml:space="preserve"> </w:t>
      </w:r>
      <w:r>
        <w:rPr>
          <w:rFonts w:ascii="Times New Roman" w:hAnsi="Times New Roman" w:cs="Times New Roman"/>
          <w:sz w:val="21"/>
          <w:szCs w:val="21"/>
        </w:rPr>
        <w:tab/>
      </w:r>
      <w:r>
        <w:rPr>
          <w:rFonts w:ascii="Times New Roman" w:hAnsi="Times New Roman" w:cs="Times New Roman"/>
          <w:sz w:val="21"/>
          <w:szCs w:val="21"/>
        </w:rPr>
        <w:tab/>
      </w:r>
      <w:r>
        <w:rPr>
          <w:rFonts w:ascii="Times New Roman" w:hAnsi="Times New Roman" w:cs="Times New Roman"/>
          <w:sz w:val="21"/>
          <w:szCs w:val="21"/>
        </w:rPr>
        <w:tab/>
        <w:t>155-166</w:t>
      </w:r>
    </w:p>
    <w:p w:rsidR="00D94433" w:rsidRDefault="00D94433" w:rsidP="00B22553">
      <w:pPr>
        <w:pStyle w:val="FootnoteText"/>
        <w:rPr>
          <w:rFonts w:ascii="Times New Roman" w:hAnsi="Times New Roman" w:cs="Times New Roman"/>
          <w:color w:val="000000" w:themeColor="text1"/>
          <w:sz w:val="21"/>
          <w:szCs w:val="21"/>
        </w:rPr>
      </w:pPr>
      <w:r w:rsidRPr="00B22553">
        <w:rPr>
          <w:rFonts w:ascii="Times New Roman" w:hAnsi="Times New Roman" w:cs="Times New Roman"/>
          <w:color w:val="000000" w:themeColor="text1"/>
          <w:sz w:val="21"/>
          <w:szCs w:val="21"/>
        </w:rPr>
        <w:t>Koch-Westenholz</w:t>
      </w:r>
      <w:r>
        <w:rPr>
          <w:rFonts w:ascii="Times New Roman" w:hAnsi="Times New Roman" w:cs="Times New Roman"/>
          <w:color w:val="000000" w:themeColor="text1"/>
          <w:sz w:val="21"/>
          <w:szCs w:val="21"/>
        </w:rPr>
        <w:t xml:space="preserve">, Ulla, </w:t>
      </w:r>
      <w:r w:rsidRPr="00B22553">
        <w:rPr>
          <w:rFonts w:ascii="Times New Roman" w:hAnsi="Times New Roman" w:cs="Times New Roman"/>
          <w:i/>
          <w:sz w:val="21"/>
          <w:szCs w:val="21"/>
        </w:rPr>
        <w:t>Mesopotam</w:t>
      </w:r>
      <w:r w:rsidRPr="00B22553">
        <w:rPr>
          <w:rFonts w:ascii="Times New Roman" w:hAnsi="Times New Roman" w:cs="Times New Roman"/>
          <w:i/>
          <w:color w:val="000000" w:themeColor="text1"/>
          <w:sz w:val="21"/>
          <w:szCs w:val="21"/>
        </w:rPr>
        <w:t xml:space="preserve">ian Astrology: An Introduction to Babylonian and Assyrian Celestial </w:t>
      </w:r>
      <w:r>
        <w:rPr>
          <w:rFonts w:ascii="Times New Roman" w:hAnsi="Times New Roman" w:cs="Times New Roman"/>
          <w:i/>
          <w:color w:val="000000" w:themeColor="text1"/>
          <w:sz w:val="21"/>
          <w:szCs w:val="21"/>
        </w:rPr>
        <w:tab/>
      </w:r>
      <w:r>
        <w:rPr>
          <w:rFonts w:ascii="Times New Roman" w:hAnsi="Times New Roman" w:cs="Times New Roman"/>
          <w:i/>
          <w:color w:val="000000" w:themeColor="text1"/>
          <w:sz w:val="21"/>
          <w:szCs w:val="21"/>
        </w:rPr>
        <w:tab/>
      </w:r>
      <w:r w:rsidRPr="00B22553">
        <w:rPr>
          <w:rFonts w:ascii="Times New Roman" w:hAnsi="Times New Roman" w:cs="Times New Roman"/>
          <w:i/>
          <w:color w:val="000000" w:themeColor="text1"/>
          <w:sz w:val="21"/>
          <w:szCs w:val="21"/>
        </w:rPr>
        <w:t>Divination</w:t>
      </w:r>
      <w:r w:rsidRPr="00B22553">
        <w:rPr>
          <w:rFonts w:ascii="Times New Roman" w:hAnsi="Times New Roman" w:cs="Times New Roman"/>
          <w:color w:val="000000" w:themeColor="text1"/>
          <w:sz w:val="21"/>
          <w:szCs w:val="21"/>
        </w:rPr>
        <w:t>, (Copenhagen: Museum of Tusculanum Press, 1995)</w:t>
      </w:r>
    </w:p>
    <w:p w:rsidR="00D94433" w:rsidRDefault="00D94433"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Lambert,</w:t>
      </w:r>
      <w:r>
        <w:rPr>
          <w:rFonts w:ascii="Times New Roman" w:hAnsi="Times New Roman" w:cs="Times New Roman"/>
          <w:sz w:val="21"/>
          <w:szCs w:val="21"/>
        </w:rPr>
        <w:t xml:space="preserve"> Wilfred,</w:t>
      </w:r>
      <w:r w:rsidRPr="00B22553">
        <w:rPr>
          <w:rFonts w:ascii="Times New Roman" w:hAnsi="Times New Roman" w:cs="Times New Roman"/>
          <w:sz w:val="21"/>
          <w:szCs w:val="21"/>
        </w:rPr>
        <w:t xml:space="preserve"> </w:t>
      </w:r>
      <w:r w:rsidRPr="00B22553">
        <w:rPr>
          <w:rFonts w:ascii="Times New Roman" w:hAnsi="Times New Roman" w:cs="Times New Roman"/>
          <w:i/>
          <w:sz w:val="21"/>
          <w:szCs w:val="21"/>
        </w:rPr>
        <w:t>Babylonian Oracle Questions</w:t>
      </w:r>
      <w:r w:rsidRPr="00B22553">
        <w:rPr>
          <w:rFonts w:ascii="Times New Roman" w:hAnsi="Times New Roman" w:cs="Times New Roman"/>
          <w:sz w:val="21"/>
          <w:szCs w:val="21"/>
        </w:rPr>
        <w:t>, (Winona Lake: Eisenbrauns, 2007)</w:t>
      </w:r>
    </w:p>
    <w:p w:rsidR="0042465C" w:rsidRPr="0042465C" w:rsidRDefault="0042465C"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Malko,</w:t>
      </w:r>
      <w:r>
        <w:rPr>
          <w:rFonts w:ascii="Times New Roman" w:hAnsi="Times New Roman" w:cs="Times New Roman"/>
          <w:sz w:val="21"/>
          <w:szCs w:val="21"/>
        </w:rPr>
        <w:t xml:space="preserve"> Helen,</w:t>
      </w:r>
      <w:r w:rsidRPr="00B22553">
        <w:rPr>
          <w:rFonts w:ascii="Times New Roman" w:hAnsi="Times New Roman" w:cs="Times New Roman"/>
          <w:sz w:val="21"/>
          <w:szCs w:val="21"/>
        </w:rPr>
        <w:t xml:space="preserve"> ‘Dūr-Kurigalzu: Insights from Unpublished Iraqi Excavation Reports’, in </w:t>
      </w:r>
      <w:r w:rsidRPr="00B22553">
        <w:rPr>
          <w:rFonts w:ascii="Times New Roman" w:hAnsi="Times New Roman" w:cs="Times New Roman"/>
          <w:i/>
          <w:sz w:val="21"/>
          <w:szCs w:val="21"/>
        </w:rPr>
        <w:t xml:space="preserve">Karduniaš: </w:t>
      </w:r>
      <w:r>
        <w:rPr>
          <w:rFonts w:ascii="Times New Roman" w:hAnsi="Times New Roman" w:cs="Times New Roman"/>
          <w:i/>
          <w:sz w:val="21"/>
          <w:szCs w:val="21"/>
        </w:rPr>
        <w:tab/>
      </w:r>
      <w:r>
        <w:rPr>
          <w:rFonts w:ascii="Times New Roman" w:hAnsi="Times New Roman" w:cs="Times New Roman"/>
          <w:i/>
          <w:sz w:val="21"/>
          <w:szCs w:val="21"/>
        </w:rPr>
        <w:tab/>
      </w:r>
      <w:r>
        <w:rPr>
          <w:rFonts w:ascii="Times New Roman" w:hAnsi="Times New Roman" w:cs="Times New Roman"/>
          <w:i/>
          <w:sz w:val="21"/>
          <w:szCs w:val="21"/>
        </w:rPr>
        <w:tab/>
      </w:r>
      <w:r w:rsidRPr="00B22553">
        <w:rPr>
          <w:rFonts w:ascii="Times New Roman" w:hAnsi="Times New Roman" w:cs="Times New Roman"/>
          <w:i/>
          <w:sz w:val="21"/>
          <w:szCs w:val="21"/>
        </w:rPr>
        <w:t>Babylonia Under the Kassites</w:t>
      </w:r>
      <w:r w:rsidRPr="00B22553">
        <w:rPr>
          <w:rFonts w:ascii="Times New Roman" w:hAnsi="Times New Roman" w:cs="Times New Roman"/>
          <w:sz w:val="21"/>
          <w:szCs w:val="21"/>
        </w:rPr>
        <w:t>, Vol. II, ed. by Alexa Bartelmus and Katja Sternitzke, pp. 4</w:t>
      </w:r>
      <w:r>
        <w:rPr>
          <w:rFonts w:ascii="Times New Roman" w:hAnsi="Times New Roman" w:cs="Times New Roman"/>
          <w:sz w:val="21"/>
          <w:szCs w:val="21"/>
        </w:rPr>
        <w:t>79</w:t>
      </w:r>
      <w:r w:rsidRPr="00B22553">
        <w:rPr>
          <w:rFonts w:ascii="Times New Roman" w:hAnsi="Times New Roman" w:cs="Times New Roman"/>
          <w:sz w:val="21"/>
          <w:szCs w:val="21"/>
        </w:rPr>
        <w:t>-4</w:t>
      </w:r>
      <w:r>
        <w:rPr>
          <w:rFonts w:ascii="Times New Roman" w:hAnsi="Times New Roman" w:cs="Times New Roman"/>
          <w:sz w:val="21"/>
          <w:szCs w:val="21"/>
        </w:rPr>
        <w:t>91,</w:t>
      </w:r>
      <w:r w:rsidRPr="00B22553">
        <w:rPr>
          <w:rFonts w:ascii="Times New Roman" w:hAnsi="Times New Roman" w:cs="Times New Roman"/>
          <w:sz w:val="21"/>
          <w:szCs w:val="21"/>
        </w:rPr>
        <w:t xml:space="preserve"> </w:t>
      </w:r>
      <w:r>
        <w:rPr>
          <w:rFonts w:ascii="Times New Roman" w:hAnsi="Times New Roman" w:cs="Times New Roman"/>
          <w:sz w:val="21"/>
          <w:szCs w:val="21"/>
        </w:rPr>
        <w:tab/>
      </w:r>
      <w:r>
        <w:rPr>
          <w:rFonts w:ascii="Times New Roman" w:hAnsi="Times New Roman" w:cs="Times New Roman"/>
          <w:sz w:val="21"/>
          <w:szCs w:val="21"/>
        </w:rPr>
        <w:tab/>
      </w:r>
      <w:r w:rsidRPr="00B22553">
        <w:rPr>
          <w:rFonts w:ascii="Times New Roman" w:hAnsi="Times New Roman" w:cs="Times New Roman"/>
          <w:sz w:val="21"/>
          <w:szCs w:val="21"/>
        </w:rPr>
        <w:t>(Ber</w:t>
      </w:r>
      <w:r>
        <w:rPr>
          <w:rFonts w:ascii="Times New Roman" w:hAnsi="Times New Roman" w:cs="Times New Roman"/>
          <w:sz w:val="21"/>
          <w:szCs w:val="21"/>
        </w:rPr>
        <w:t>lin: de Gruyter, 2017)</w:t>
      </w:r>
    </w:p>
    <w:p w:rsidR="00415426" w:rsidRDefault="00B22553" w:rsidP="00B22553">
      <w:pPr>
        <w:pStyle w:val="FootnoteText"/>
        <w:rPr>
          <w:rFonts w:ascii="Times New Roman" w:hAnsi="Times New Roman" w:cs="Times New Roman"/>
          <w:color w:val="000000" w:themeColor="text1"/>
          <w:sz w:val="21"/>
          <w:szCs w:val="21"/>
        </w:rPr>
      </w:pPr>
      <w:r w:rsidRPr="00B22553">
        <w:rPr>
          <w:rFonts w:ascii="Times New Roman" w:hAnsi="Times New Roman" w:cs="Times New Roman"/>
          <w:color w:val="000000" w:themeColor="text1"/>
          <w:sz w:val="21"/>
          <w:szCs w:val="21"/>
        </w:rPr>
        <w:t>Nadali</w:t>
      </w:r>
      <w:r w:rsidR="00A65AD4">
        <w:rPr>
          <w:rFonts w:ascii="Times New Roman" w:hAnsi="Times New Roman" w:cs="Times New Roman"/>
          <w:color w:val="000000" w:themeColor="text1"/>
          <w:sz w:val="21"/>
          <w:szCs w:val="21"/>
        </w:rPr>
        <w:t xml:space="preserve">, </w:t>
      </w:r>
      <w:r w:rsidR="00A65AD4" w:rsidRPr="00B22553">
        <w:rPr>
          <w:rFonts w:ascii="Times New Roman" w:hAnsi="Times New Roman" w:cs="Times New Roman"/>
          <w:color w:val="000000" w:themeColor="text1"/>
          <w:sz w:val="21"/>
          <w:szCs w:val="21"/>
        </w:rPr>
        <w:t>Davide</w:t>
      </w:r>
      <w:r w:rsidR="00A65AD4">
        <w:rPr>
          <w:rFonts w:ascii="Times New Roman" w:hAnsi="Times New Roman" w:cs="Times New Roman"/>
          <w:color w:val="000000" w:themeColor="text1"/>
          <w:sz w:val="21"/>
          <w:szCs w:val="21"/>
        </w:rPr>
        <w:t>,</w:t>
      </w:r>
      <w:r w:rsidRPr="00B22553">
        <w:rPr>
          <w:rFonts w:ascii="Times New Roman" w:hAnsi="Times New Roman" w:cs="Times New Roman"/>
          <w:color w:val="000000" w:themeColor="text1"/>
          <w:sz w:val="21"/>
          <w:szCs w:val="21"/>
        </w:rPr>
        <w:t xml:space="preserve"> and Andrea Polcaro, ‘The Sky from the High Terrace: Study on the Orientation of the </w:t>
      </w:r>
      <w:r w:rsidR="00A65AD4">
        <w:rPr>
          <w:rFonts w:ascii="Times New Roman" w:hAnsi="Times New Roman" w:cs="Times New Roman"/>
          <w:color w:val="000000" w:themeColor="text1"/>
          <w:sz w:val="21"/>
          <w:szCs w:val="21"/>
        </w:rPr>
        <w:tab/>
      </w:r>
      <w:r w:rsidR="00A65AD4">
        <w:rPr>
          <w:rFonts w:ascii="Times New Roman" w:hAnsi="Times New Roman" w:cs="Times New Roman"/>
          <w:color w:val="000000" w:themeColor="text1"/>
          <w:sz w:val="21"/>
          <w:szCs w:val="21"/>
        </w:rPr>
        <w:tab/>
      </w:r>
      <w:r w:rsidR="00A65AD4">
        <w:rPr>
          <w:rFonts w:ascii="Times New Roman" w:hAnsi="Times New Roman" w:cs="Times New Roman"/>
          <w:color w:val="000000" w:themeColor="text1"/>
          <w:sz w:val="21"/>
          <w:szCs w:val="21"/>
        </w:rPr>
        <w:tab/>
      </w:r>
      <w:r w:rsidRPr="00B22553">
        <w:rPr>
          <w:rFonts w:ascii="Times New Roman" w:hAnsi="Times New Roman" w:cs="Times New Roman"/>
          <w:color w:val="000000" w:themeColor="text1"/>
          <w:sz w:val="21"/>
          <w:szCs w:val="21"/>
        </w:rPr>
        <w:t xml:space="preserve">Ziqqurat in Ancient Mesopotamia’, </w:t>
      </w:r>
      <w:r w:rsidRPr="00B22553">
        <w:rPr>
          <w:rFonts w:ascii="Times New Roman" w:hAnsi="Times New Roman" w:cs="Times New Roman"/>
          <w:i/>
          <w:color w:val="000000" w:themeColor="text1"/>
          <w:sz w:val="21"/>
          <w:szCs w:val="21"/>
        </w:rPr>
        <w:t>Mediterranean Archaeology and Archaeometry</w:t>
      </w:r>
      <w:r w:rsidR="00A65AD4">
        <w:rPr>
          <w:rFonts w:ascii="Times New Roman" w:hAnsi="Times New Roman" w:cs="Times New Roman"/>
          <w:color w:val="000000" w:themeColor="text1"/>
          <w:sz w:val="21"/>
          <w:szCs w:val="21"/>
        </w:rPr>
        <w:t xml:space="preserve"> 16 4 (2016)</w:t>
      </w:r>
      <w:r w:rsidRPr="00B22553">
        <w:rPr>
          <w:rFonts w:ascii="Times New Roman" w:hAnsi="Times New Roman" w:cs="Times New Roman"/>
          <w:color w:val="000000" w:themeColor="text1"/>
          <w:sz w:val="21"/>
          <w:szCs w:val="21"/>
        </w:rPr>
        <w:t xml:space="preserve"> </w:t>
      </w:r>
      <w:r w:rsidR="00A65AD4">
        <w:rPr>
          <w:rFonts w:ascii="Times New Roman" w:hAnsi="Times New Roman" w:cs="Times New Roman"/>
          <w:color w:val="000000" w:themeColor="text1"/>
          <w:sz w:val="21"/>
          <w:szCs w:val="21"/>
        </w:rPr>
        <w:tab/>
      </w:r>
      <w:r w:rsidR="00A65AD4">
        <w:rPr>
          <w:rFonts w:ascii="Times New Roman" w:hAnsi="Times New Roman" w:cs="Times New Roman"/>
          <w:color w:val="000000" w:themeColor="text1"/>
          <w:sz w:val="21"/>
          <w:szCs w:val="21"/>
        </w:rPr>
        <w:tab/>
        <w:t>103-108</w:t>
      </w:r>
    </w:p>
    <w:p w:rsidR="008C4EB1" w:rsidRDefault="008C4EB1"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Paulus,</w:t>
      </w:r>
      <w:r>
        <w:rPr>
          <w:rFonts w:ascii="Times New Roman" w:hAnsi="Times New Roman" w:cs="Times New Roman"/>
          <w:sz w:val="21"/>
          <w:szCs w:val="21"/>
        </w:rPr>
        <w:t xml:space="preserve"> </w:t>
      </w:r>
      <w:r w:rsidRPr="00B22553">
        <w:rPr>
          <w:rFonts w:ascii="Times New Roman" w:hAnsi="Times New Roman" w:cs="Times New Roman"/>
          <w:sz w:val="21"/>
          <w:szCs w:val="21"/>
        </w:rPr>
        <w:t>Susanne</w:t>
      </w:r>
      <w:r>
        <w:rPr>
          <w:rFonts w:ascii="Times New Roman" w:hAnsi="Times New Roman" w:cs="Times New Roman"/>
          <w:sz w:val="21"/>
          <w:szCs w:val="21"/>
        </w:rPr>
        <w:t>,</w:t>
      </w:r>
      <w:r w:rsidRPr="00B22553">
        <w:rPr>
          <w:rFonts w:ascii="Times New Roman" w:hAnsi="Times New Roman" w:cs="Times New Roman"/>
          <w:sz w:val="21"/>
          <w:szCs w:val="21"/>
        </w:rPr>
        <w:t xml:space="preserve"> ‘Foreigners under Foreign Rulers: The Case of Kassite Babylonia (2</w:t>
      </w:r>
      <w:r w:rsidRPr="00B22553">
        <w:rPr>
          <w:rFonts w:ascii="Times New Roman" w:hAnsi="Times New Roman" w:cs="Times New Roman"/>
          <w:sz w:val="21"/>
          <w:szCs w:val="21"/>
          <w:vertAlign w:val="superscript"/>
        </w:rPr>
        <w:t>nd</w:t>
      </w:r>
      <w:r w:rsidRPr="00B22553">
        <w:rPr>
          <w:rFonts w:ascii="Times New Roman" w:hAnsi="Times New Roman" w:cs="Times New Roman"/>
          <w:sz w:val="21"/>
          <w:szCs w:val="21"/>
        </w:rPr>
        <w:t xml:space="preserve"> half of the 2</w:t>
      </w:r>
      <w:r w:rsidRPr="00B22553">
        <w:rPr>
          <w:rFonts w:ascii="Times New Roman" w:hAnsi="Times New Roman" w:cs="Times New Roman"/>
          <w:sz w:val="21"/>
          <w:szCs w:val="21"/>
          <w:vertAlign w:val="superscript"/>
        </w:rPr>
        <w:t>nd</w:t>
      </w:r>
      <w:r w:rsidRPr="00B22553">
        <w:rPr>
          <w:rFonts w:ascii="Times New Roman" w:hAnsi="Times New Roman" w:cs="Times New Roman"/>
          <w:sz w:val="21"/>
          <w:szCs w:val="21"/>
        </w:rPr>
        <w:t xml:space="preserve"> </w:t>
      </w:r>
      <w:r>
        <w:rPr>
          <w:rFonts w:ascii="Times New Roman" w:hAnsi="Times New Roman" w:cs="Times New Roman"/>
          <w:sz w:val="21"/>
          <w:szCs w:val="21"/>
        </w:rPr>
        <w:tab/>
      </w:r>
      <w:r>
        <w:rPr>
          <w:rFonts w:ascii="Times New Roman" w:hAnsi="Times New Roman" w:cs="Times New Roman"/>
          <w:sz w:val="21"/>
          <w:szCs w:val="21"/>
        </w:rPr>
        <w:tab/>
      </w:r>
      <w:r>
        <w:rPr>
          <w:rFonts w:ascii="Times New Roman" w:hAnsi="Times New Roman" w:cs="Times New Roman"/>
          <w:sz w:val="21"/>
          <w:szCs w:val="21"/>
        </w:rPr>
        <w:tab/>
        <w:t>M</w:t>
      </w:r>
      <w:r w:rsidRPr="00B22553">
        <w:rPr>
          <w:rFonts w:ascii="Times New Roman" w:hAnsi="Times New Roman" w:cs="Times New Roman"/>
          <w:sz w:val="21"/>
          <w:szCs w:val="21"/>
        </w:rPr>
        <w:t xml:space="preserve">illennium BC)’, in </w:t>
      </w:r>
      <w:r w:rsidRPr="00B22553">
        <w:rPr>
          <w:rFonts w:ascii="Times New Roman" w:hAnsi="Times New Roman" w:cs="Times New Roman"/>
          <w:i/>
          <w:sz w:val="21"/>
          <w:szCs w:val="21"/>
        </w:rPr>
        <w:t xml:space="preserve">The Foreigner and the Law: Perspectives from the Hebrew Bible and the </w:t>
      </w:r>
      <w:r>
        <w:rPr>
          <w:rFonts w:ascii="Times New Roman" w:hAnsi="Times New Roman" w:cs="Times New Roman"/>
          <w:i/>
          <w:sz w:val="21"/>
          <w:szCs w:val="21"/>
        </w:rPr>
        <w:tab/>
      </w:r>
      <w:r>
        <w:rPr>
          <w:rFonts w:ascii="Times New Roman" w:hAnsi="Times New Roman" w:cs="Times New Roman"/>
          <w:i/>
          <w:sz w:val="21"/>
          <w:szCs w:val="21"/>
        </w:rPr>
        <w:tab/>
      </w:r>
      <w:r w:rsidRPr="00B22553">
        <w:rPr>
          <w:rFonts w:ascii="Times New Roman" w:hAnsi="Times New Roman" w:cs="Times New Roman"/>
          <w:i/>
          <w:sz w:val="21"/>
          <w:szCs w:val="21"/>
        </w:rPr>
        <w:t>Ancient Near East</w:t>
      </w:r>
      <w:r w:rsidRPr="00B22553">
        <w:rPr>
          <w:rFonts w:ascii="Times New Roman" w:hAnsi="Times New Roman" w:cs="Times New Roman"/>
          <w:sz w:val="21"/>
          <w:szCs w:val="21"/>
        </w:rPr>
        <w:t>, Achenbach,</w:t>
      </w:r>
      <w:r>
        <w:rPr>
          <w:rFonts w:ascii="Times New Roman" w:hAnsi="Times New Roman" w:cs="Times New Roman"/>
          <w:sz w:val="21"/>
          <w:szCs w:val="21"/>
        </w:rPr>
        <w:t xml:space="preserve"> </w:t>
      </w:r>
      <w:r w:rsidRPr="00B22553">
        <w:rPr>
          <w:rFonts w:ascii="Times New Roman" w:hAnsi="Times New Roman" w:cs="Times New Roman"/>
          <w:sz w:val="21"/>
          <w:szCs w:val="21"/>
        </w:rPr>
        <w:t>Reinhard</w:t>
      </w:r>
      <w:r>
        <w:rPr>
          <w:rFonts w:ascii="Times New Roman" w:hAnsi="Times New Roman" w:cs="Times New Roman"/>
          <w:sz w:val="21"/>
          <w:szCs w:val="21"/>
        </w:rPr>
        <w:t>.,</w:t>
      </w:r>
      <w:r w:rsidRPr="00B22553">
        <w:rPr>
          <w:rFonts w:ascii="Times New Roman" w:hAnsi="Times New Roman" w:cs="Times New Roman"/>
          <w:sz w:val="21"/>
          <w:szCs w:val="21"/>
        </w:rPr>
        <w:t xml:space="preserve"> Rainer Albertz and Jakob Wöhrle (eds), pp.</w:t>
      </w:r>
      <w:r>
        <w:rPr>
          <w:rFonts w:ascii="Times New Roman" w:hAnsi="Times New Roman" w:cs="Times New Roman"/>
          <w:sz w:val="21"/>
          <w:szCs w:val="21"/>
        </w:rPr>
        <w:t xml:space="preserve"> 1-16, </w:t>
      </w:r>
      <w:r>
        <w:rPr>
          <w:rFonts w:ascii="Times New Roman" w:hAnsi="Times New Roman" w:cs="Times New Roman"/>
          <w:sz w:val="21"/>
          <w:szCs w:val="21"/>
        </w:rPr>
        <w:tab/>
      </w:r>
      <w:r>
        <w:rPr>
          <w:rFonts w:ascii="Times New Roman" w:hAnsi="Times New Roman" w:cs="Times New Roman"/>
          <w:sz w:val="21"/>
          <w:szCs w:val="21"/>
        </w:rPr>
        <w:tab/>
      </w:r>
      <w:r>
        <w:rPr>
          <w:rFonts w:ascii="Times New Roman" w:hAnsi="Times New Roman" w:cs="Times New Roman"/>
          <w:sz w:val="21"/>
          <w:szCs w:val="21"/>
        </w:rPr>
        <w:tab/>
      </w:r>
      <w:r w:rsidRPr="00B22553">
        <w:rPr>
          <w:rFonts w:ascii="Times New Roman" w:hAnsi="Times New Roman" w:cs="Times New Roman"/>
          <w:sz w:val="21"/>
          <w:szCs w:val="21"/>
        </w:rPr>
        <w:t>(Wiesbaden: Harrassowitz Verlag, 2011)</w:t>
      </w:r>
    </w:p>
    <w:p w:rsidR="0042465C" w:rsidRDefault="0042465C" w:rsidP="00B22553">
      <w:pPr>
        <w:pStyle w:val="FootnoteText"/>
        <w:rPr>
          <w:rFonts w:ascii="Times New Roman" w:hAnsi="Times New Roman" w:cs="Times New Roman"/>
          <w:color w:val="000000" w:themeColor="text1"/>
          <w:sz w:val="21"/>
          <w:szCs w:val="21"/>
        </w:rPr>
      </w:pPr>
      <w:r w:rsidRPr="00B22553">
        <w:rPr>
          <w:rFonts w:ascii="Times New Roman" w:hAnsi="Times New Roman" w:cs="Times New Roman"/>
          <w:sz w:val="21"/>
          <w:szCs w:val="21"/>
        </w:rPr>
        <w:t>Rochberg,</w:t>
      </w:r>
      <w:r w:rsidR="00D94433">
        <w:rPr>
          <w:rFonts w:ascii="Times New Roman" w:hAnsi="Times New Roman" w:cs="Times New Roman"/>
          <w:sz w:val="21"/>
          <w:szCs w:val="21"/>
        </w:rPr>
        <w:t xml:space="preserve"> </w:t>
      </w:r>
      <w:r w:rsidR="00D94433" w:rsidRPr="00B22553">
        <w:rPr>
          <w:rFonts w:ascii="Times New Roman" w:hAnsi="Times New Roman" w:cs="Times New Roman"/>
          <w:sz w:val="21"/>
          <w:szCs w:val="21"/>
        </w:rPr>
        <w:t>Francesca</w:t>
      </w:r>
      <w:r w:rsidR="00D94433">
        <w:rPr>
          <w:rFonts w:ascii="Times New Roman" w:hAnsi="Times New Roman" w:cs="Times New Roman"/>
          <w:sz w:val="21"/>
          <w:szCs w:val="21"/>
        </w:rPr>
        <w:t>,</w:t>
      </w:r>
      <w:r w:rsidRPr="00B22553">
        <w:rPr>
          <w:rFonts w:ascii="Times New Roman" w:hAnsi="Times New Roman" w:cs="Times New Roman"/>
          <w:sz w:val="21"/>
          <w:szCs w:val="21"/>
        </w:rPr>
        <w:t xml:space="preserve"> ‘A Consideration of Babylonian Astronomy within the Historiography of Science’, </w:t>
      </w:r>
      <w:r w:rsidR="00D94433">
        <w:rPr>
          <w:rFonts w:ascii="Times New Roman" w:hAnsi="Times New Roman" w:cs="Times New Roman"/>
          <w:sz w:val="21"/>
          <w:szCs w:val="21"/>
        </w:rPr>
        <w:tab/>
      </w:r>
      <w:r w:rsidR="00D94433">
        <w:rPr>
          <w:rFonts w:ascii="Times New Roman" w:hAnsi="Times New Roman" w:cs="Times New Roman"/>
          <w:sz w:val="21"/>
          <w:szCs w:val="21"/>
        </w:rPr>
        <w:tab/>
      </w:r>
      <w:r w:rsidRPr="00B22553">
        <w:rPr>
          <w:rFonts w:ascii="Times New Roman" w:hAnsi="Times New Roman" w:cs="Times New Roman"/>
          <w:i/>
          <w:sz w:val="21"/>
          <w:szCs w:val="21"/>
        </w:rPr>
        <w:t>Studies in History and Philosophy of Science</w:t>
      </w:r>
      <w:r w:rsidR="00D94433">
        <w:rPr>
          <w:rFonts w:ascii="Times New Roman" w:hAnsi="Times New Roman" w:cs="Times New Roman"/>
          <w:sz w:val="21"/>
          <w:szCs w:val="21"/>
        </w:rPr>
        <w:t xml:space="preserve"> 33 (2002)</w:t>
      </w:r>
      <w:r w:rsidRPr="00B22553">
        <w:rPr>
          <w:rFonts w:ascii="Times New Roman" w:hAnsi="Times New Roman" w:cs="Times New Roman"/>
          <w:sz w:val="21"/>
          <w:szCs w:val="21"/>
        </w:rPr>
        <w:t xml:space="preserve"> 661-684</w:t>
      </w:r>
    </w:p>
    <w:p w:rsidR="00415426" w:rsidRDefault="00A65AD4"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Rochberg-Halton,</w:t>
      </w:r>
      <w:r>
        <w:rPr>
          <w:rFonts w:ascii="Times New Roman" w:hAnsi="Times New Roman" w:cs="Times New Roman"/>
          <w:sz w:val="21"/>
          <w:szCs w:val="21"/>
        </w:rPr>
        <w:t xml:space="preserve"> </w:t>
      </w:r>
      <w:r w:rsidRPr="00B22553">
        <w:rPr>
          <w:rFonts w:ascii="Times New Roman" w:hAnsi="Times New Roman" w:cs="Times New Roman"/>
          <w:sz w:val="21"/>
          <w:szCs w:val="21"/>
        </w:rPr>
        <w:t xml:space="preserve">Francesca ‘Elements of the Babylonian Contribution to Hellenistic Astrology’, </w:t>
      </w:r>
      <w:r w:rsidRPr="00B22553">
        <w:rPr>
          <w:rFonts w:ascii="Times New Roman" w:hAnsi="Times New Roman" w:cs="Times New Roman"/>
          <w:i/>
          <w:sz w:val="21"/>
          <w:szCs w:val="21"/>
        </w:rPr>
        <w:t xml:space="preserve">Journal </w:t>
      </w:r>
      <w:r>
        <w:rPr>
          <w:rFonts w:ascii="Times New Roman" w:hAnsi="Times New Roman" w:cs="Times New Roman"/>
          <w:i/>
          <w:sz w:val="21"/>
          <w:szCs w:val="21"/>
        </w:rPr>
        <w:tab/>
      </w:r>
      <w:r>
        <w:rPr>
          <w:rFonts w:ascii="Times New Roman" w:hAnsi="Times New Roman" w:cs="Times New Roman"/>
          <w:i/>
          <w:sz w:val="21"/>
          <w:szCs w:val="21"/>
        </w:rPr>
        <w:tab/>
      </w:r>
      <w:r w:rsidRPr="00B22553">
        <w:rPr>
          <w:rFonts w:ascii="Times New Roman" w:hAnsi="Times New Roman" w:cs="Times New Roman"/>
          <w:i/>
          <w:sz w:val="21"/>
          <w:szCs w:val="21"/>
        </w:rPr>
        <w:t>of the American Oriental Society</w:t>
      </w:r>
      <w:r w:rsidRPr="00B22553">
        <w:rPr>
          <w:rFonts w:ascii="Times New Roman" w:hAnsi="Times New Roman" w:cs="Times New Roman"/>
          <w:sz w:val="21"/>
          <w:szCs w:val="21"/>
        </w:rPr>
        <w:t xml:space="preserve"> 108 1 (1988) 51-62</w:t>
      </w:r>
    </w:p>
    <w:p w:rsidR="00A65AD4" w:rsidRDefault="00A65AD4"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Ruggles,</w:t>
      </w:r>
      <w:r>
        <w:rPr>
          <w:rFonts w:ascii="Times New Roman" w:hAnsi="Times New Roman" w:cs="Times New Roman"/>
          <w:sz w:val="21"/>
          <w:szCs w:val="21"/>
        </w:rPr>
        <w:t xml:space="preserve"> Clive, </w:t>
      </w:r>
      <w:r w:rsidRPr="00B22553">
        <w:rPr>
          <w:rFonts w:ascii="Times New Roman" w:hAnsi="Times New Roman" w:cs="Times New Roman"/>
          <w:i/>
          <w:sz w:val="21"/>
          <w:szCs w:val="21"/>
        </w:rPr>
        <w:t>Ancient Astronomy: An Encyclopedia of Cosmologies and Myth</w:t>
      </w:r>
      <w:r w:rsidRPr="00B22553">
        <w:rPr>
          <w:rFonts w:ascii="Times New Roman" w:hAnsi="Times New Roman" w:cs="Times New Roman"/>
          <w:sz w:val="21"/>
          <w:szCs w:val="21"/>
        </w:rPr>
        <w:t xml:space="preserve">, (Santa Barbra: </w:t>
      </w:r>
      <w:r>
        <w:rPr>
          <w:rFonts w:ascii="Times New Roman" w:hAnsi="Times New Roman" w:cs="Times New Roman"/>
          <w:sz w:val="21"/>
          <w:szCs w:val="21"/>
        </w:rPr>
        <w:tab/>
      </w:r>
      <w:r>
        <w:rPr>
          <w:rFonts w:ascii="Times New Roman" w:hAnsi="Times New Roman" w:cs="Times New Roman"/>
          <w:sz w:val="21"/>
          <w:szCs w:val="21"/>
        </w:rPr>
        <w:tab/>
      </w:r>
      <w:r>
        <w:rPr>
          <w:rFonts w:ascii="Times New Roman" w:hAnsi="Times New Roman" w:cs="Times New Roman"/>
          <w:sz w:val="21"/>
          <w:szCs w:val="21"/>
        </w:rPr>
        <w:tab/>
      </w:r>
      <w:r>
        <w:rPr>
          <w:rFonts w:ascii="Times New Roman" w:hAnsi="Times New Roman" w:cs="Times New Roman"/>
          <w:sz w:val="21"/>
          <w:szCs w:val="21"/>
        </w:rPr>
        <w:tab/>
      </w:r>
      <w:r w:rsidRPr="00B22553">
        <w:rPr>
          <w:rFonts w:ascii="Times New Roman" w:hAnsi="Times New Roman" w:cs="Times New Roman"/>
          <w:sz w:val="21"/>
          <w:szCs w:val="21"/>
        </w:rPr>
        <w:t>ABC-CLIO,</w:t>
      </w:r>
      <w:r>
        <w:rPr>
          <w:rFonts w:ascii="Times New Roman" w:hAnsi="Times New Roman" w:cs="Times New Roman"/>
          <w:sz w:val="21"/>
          <w:szCs w:val="21"/>
        </w:rPr>
        <w:t xml:space="preserve"> </w:t>
      </w:r>
      <w:r w:rsidRPr="00B22553">
        <w:rPr>
          <w:rFonts w:ascii="Times New Roman" w:hAnsi="Times New Roman" w:cs="Times New Roman"/>
          <w:sz w:val="21"/>
          <w:szCs w:val="21"/>
        </w:rPr>
        <w:t>2005)</w:t>
      </w:r>
    </w:p>
    <w:p w:rsidR="00D94433" w:rsidRDefault="00D94433"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Shepperson,</w:t>
      </w:r>
      <w:r>
        <w:rPr>
          <w:rFonts w:ascii="Times New Roman" w:hAnsi="Times New Roman" w:cs="Times New Roman"/>
          <w:sz w:val="21"/>
          <w:szCs w:val="21"/>
        </w:rPr>
        <w:t xml:space="preserve"> Mary,</w:t>
      </w:r>
      <w:r w:rsidRPr="00B22553">
        <w:rPr>
          <w:rFonts w:ascii="Times New Roman" w:hAnsi="Times New Roman" w:cs="Times New Roman"/>
          <w:sz w:val="21"/>
          <w:szCs w:val="21"/>
        </w:rPr>
        <w:t xml:space="preserve"> ‘Ziggurats: A Viewer’s Guide’, </w:t>
      </w:r>
      <w:r w:rsidRPr="00B22553">
        <w:rPr>
          <w:rFonts w:ascii="Times New Roman" w:hAnsi="Times New Roman" w:cs="Times New Roman"/>
          <w:i/>
          <w:sz w:val="21"/>
          <w:szCs w:val="21"/>
        </w:rPr>
        <w:t>Archaeological Review from Cambridge</w:t>
      </w:r>
      <w:r w:rsidRPr="00B22553">
        <w:rPr>
          <w:rFonts w:ascii="Times New Roman" w:hAnsi="Times New Roman" w:cs="Times New Roman"/>
          <w:sz w:val="21"/>
          <w:szCs w:val="21"/>
        </w:rPr>
        <w:t xml:space="preserve"> 30 1 (2015</w:t>
      </w:r>
      <w:r>
        <w:rPr>
          <w:rFonts w:ascii="Times New Roman" w:hAnsi="Times New Roman" w:cs="Times New Roman"/>
          <w:sz w:val="21"/>
          <w:szCs w:val="21"/>
        </w:rPr>
        <w:t>)</w:t>
      </w:r>
      <w:r w:rsidRPr="00B22553">
        <w:rPr>
          <w:rFonts w:ascii="Times New Roman" w:hAnsi="Times New Roman" w:cs="Times New Roman"/>
          <w:sz w:val="21"/>
          <w:szCs w:val="21"/>
        </w:rPr>
        <w:t xml:space="preserve"> </w:t>
      </w:r>
      <w:r>
        <w:rPr>
          <w:rFonts w:ascii="Times New Roman" w:hAnsi="Times New Roman" w:cs="Times New Roman"/>
          <w:sz w:val="21"/>
          <w:szCs w:val="21"/>
        </w:rPr>
        <w:tab/>
      </w:r>
      <w:r>
        <w:rPr>
          <w:rFonts w:ascii="Times New Roman" w:hAnsi="Times New Roman" w:cs="Times New Roman"/>
          <w:sz w:val="21"/>
          <w:szCs w:val="21"/>
        </w:rPr>
        <w:tab/>
      </w:r>
      <w:r>
        <w:rPr>
          <w:rFonts w:ascii="Times New Roman" w:hAnsi="Times New Roman" w:cs="Times New Roman"/>
          <w:sz w:val="21"/>
          <w:szCs w:val="21"/>
        </w:rPr>
        <w:tab/>
      </w:r>
      <w:r w:rsidRPr="00B22553">
        <w:rPr>
          <w:rFonts w:ascii="Times New Roman" w:hAnsi="Times New Roman" w:cs="Times New Roman"/>
          <w:sz w:val="21"/>
          <w:szCs w:val="21"/>
        </w:rPr>
        <w:t>94-101</w:t>
      </w:r>
    </w:p>
    <w:p w:rsidR="00401A99" w:rsidRDefault="00401A99" w:rsidP="00B22553">
      <w:pPr>
        <w:pStyle w:val="FootnoteText"/>
        <w:rPr>
          <w:rFonts w:ascii="Times New Roman" w:hAnsi="Times New Roman" w:cs="Times New Roman"/>
          <w:sz w:val="21"/>
          <w:szCs w:val="21"/>
        </w:rPr>
      </w:pPr>
      <w:r>
        <w:rPr>
          <w:rFonts w:ascii="Times New Roman" w:hAnsi="Times New Roman" w:cs="Times New Roman"/>
          <w:sz w:val="21"/>
          <w:szCs w:val="21"/>
        </w:rPr>
        <w:t xml:space="preserve">________, </w:t>
      </w:r>
      <w:r w:rsidRPr="00B22553">
        <w:rPr>
          <w:rFonts w:ascii="Times New Roman" w:hAnsi="Times New Roman" w:cs="Times New Roman"/>
          <w:sz w:val="21"/>
          <w:szCs w:val="21"/>
        </w:rPr>
        <w:t xml:space="preserve">‘The Rays of Šamaš: Light in Mesopotamian Architecture and Legal Practice’, </w:t>
      </w:r>
      <w:r w:rsidRPr="00B22553">
        <w:rPr>
          <w:rFonts w:ascii="Times New Roman" w:hAnsi="Times New Roman" w:cs="Times New Roman"/>
          <w:i/>
          <w:sz w:val="21"/>
          <w:szCs w:val="21"/>
        </w:rPr>
        <w:t>Iraq</w:t>
      </w:r>
      <w:r>
        <w:rPr>
          <w:rFonts w:ascii="Times New Roman" w:hAnsi="Times New Roman" w:cs="Times New Roman"/>
          <w:sz w:val="21"/>
          <w:szCs w:val="21"/>
        </w:rPr>
        <w:t xml:space="preserve"> 74 (2012) </w:t>
      </w:r>
      <w:r>
        <w:rPr>
          <w:rFonts w:ascii="Times New Roman" w:hAnsi="Times New Roman" w:cs="Times New Roman"/>
          <w:sz w:val="21"/>
          <w:szCs w:val="21"/>
        </w:rPr>
        <w:tab/>
      </w:r>
      <w:r>
        <w:rPr>
          <w:rFonts w:ascii="Times New Roman" w:hAnsi="Times New Roman" w:cs="Times New Roman"/>
          <w:sz w:val="21"/>
          <w:szCs w:val="21"/>
        </w:rPr>
        <w:tab/>
      </w:r>
      <w:r w:rsidRPr="00B22553">
        <w:rPr>
          <w:rFonts w:ascii="Times New Roman" w:hAnsi="Times New Roman" w:cs="Times New Roman"/>
          <w:sz w:val="21"/>
          <w:szCs w:val="21"/>
        </w:rPr>
        <w:t>51-</w:t>
      </w:r>
      <w:r>
        <w:rPr>
          <w:rFonts w:ascii="Times New Roman" w:hAnsi="Times New Roman" w:cs="Times New Roman"/>
          <w:sz w:val="21"/>
          <w:szCs w:val="21"/>
        </w:rPr>
        <w:t>64</w:t>
      </w:r>
    </w:p>
    <w:p w:rsidR="00401A99" w:rsidRDefault="00401A99" w:rsidP="00B22553">
      <w:pPr>
        <w:pStyle w:val="FootnoteText"/>
        <w:rPr>
          <w:rFonts w:ascii="Times New Roman" w:hAnsi="Times New Roman" w:cs="Times New Roman"/>
          <w:sz w:val="21"/>
          <w:szCs w:val="21"/>
        </w:rPr>
      </w:pPr>
      <w:r>
        <w:rPr>
          <w:rFonts w:ascii="Times New Roman" w:hAnsi="Times New Roman" w:cs="Times New Roman"/>
          <w:sz w:val="21"/>
          <w:szCs w:val="21"/>
        </w:rPr>
        <w:t xml:space="preserve">________, </w:t>
      </w:r>
      <w:r w:rsidRPr="00B22553">
        <w:rPr>
          <w:rFonts w:ascii="Times New Roman" w:hAnsi="Times New Roman" w:cs="Times New Roman"/>
          <w:sz w:val="21"/>
          <w:szCs w:val="21"/>
        </w:rPr>
        <w:t xml:space="preserve">‘Planning for the Sun: Urban Forms as a Mesopotamian Response to the Sun’, </w:t>
      </w:r>
      <w:r w:rsidRPr="00B22553">
        <w:rPr>
          <w:rFonts w:ascii="Times New Roman" w:hAnsi="Times New Roman" w:cs="Times New Roman"/>
          <w:i/>
          <w:sz w:val="21"/>
          <w:szCs w:val="21"/>
        </w:rPr>
        <w:t xml:space="preserve">World </w:t>
      </w:r>
      <w:r>
        <w:rPr>
          <w:rFonts w:ascii="Times New Roman" w:hAnsi="Times New Roman" w:cs="Times New Roman"/>
          <w:i/>
          <w:sz w:val="21"/>
          <w:szCs w:val="21"/>
        </w:rPr>
        <w:tab/>
      </w:r>
      <w:r>
        <w:rPr>
          <w:rFonts w:ascii="Times New Roman" w:hAnsi="Times New Roman" w:cs="Times New Roman"/>
          <w:i/>
          <w:sz w:val="21"/>
          <w:szCs w:val="21"/>
        </w:rPr>
        <w:tab/>
      </w:r>
      <w:r>
        <w:rPr>
          <w:rFonts w:ascii="Times New Roman" w:hAnsi="Times New Roman" w:cs="Times New Roman"/>
          <w:i/>
          <w:sz w:val="21"/>
          <w:szCs w:val="21"/>
        </w:rPr>
        <w:tab/>
      </w:r>
      <w:r>
        <w:rPr>
          <w:rFonts w:ascii="Times New Roman" w:hAnsi="Times New Roman" w:cs="Times New Roman"/>
          <w:i/>
          <w:sz w:val="21"/>
          <w:szCs w:val="21"/>
        </w:rPr>
        <w:tab/>
      </w:r>
      <w:r w:rsidRPr="00B22553">
        <w:rPr>
          <w:rFonts w:ascii="Times New Roman" w:hAnsi="Times New Roman" w:cs="Times New Roman"/>
          <w:i/>
          <w:sz w:val="21"/>
          <w:szCs w:val="21"/>
        </w:rPr>
        <w:t>Archaeology</w:t>
      </w:r>
      <w:r>
        <w:rPr>
          <w:rFonts w:ascii="Times New Roman" w:hAnsi="Times New Roman" w:cs="Times New Roman"/>
          <w:sz w:val="21"/>
          <w:szCs w:val="21"/>
        </w:rPr>
        <w:t xml:space="preserve"> 41 3 (2009) 363-378</w:t>
      </w:r>
    </w:p>
    <w:p w:rsidR="0042465C" w:rsidRDefault="0042465C" w:rsidP="00B22553">
      <w:pPr>
        <w:pStyle w:val="FootnoteText"/>
        <w:rPr>
          <w:rFonts w:ascii="Times New Roman" w:hAnsi="Times New Roman" w:cs="Times New Roman"/>
          <w:sz w:val="21"/>
          <w:szCs w:val="21"/>
        </w:rPr>
      </w:pPr>
      <w:r>
        <w:rPr>
          <w:rFonts w:ascii="Times New Roman" w:hAnsi="Times New Roman" w:cs="Times New Roman"/>
          <w:sz w:val="21"/>
          <w:szCs w:val="21"/>
        </w:rPr>
        <w:t xml:space="preserve">Silva, Fabio, </w:t>
      </w:r>
      <w:r w:rsidRPr="00B22553">
        <w:rPr>
          <w:rFonts w:ascii="Times New Roman" w:hAnsi="Times New Roman" w:cs="Times New Roman"/>
          <w:i/>
          <w:sz w:val="21"/>
          <w:szCs w:val="21"/>
        </w:rPr>
        <w:t>Reference Tables for Skyscape Archaeology</w:t>
      </w:r>
      <w:r w:rsidRPr="00B22553">
        <w:rPr>
          <w:rFonts w:ascii="Times New Roman" w:hAnsi="Times New Roman" w:cs="Times New Roman"/>
          <w:sz w:val="21"/>
          <w:szCs w:val="21"/>
        </w:rPr>
        <w:t xml:space="preserve"> (2019)</w:t>
      </w:r>
    </w:p>
    <w:p w:rsidR="0042465C" w:rsidRDefault="0042465C" w:rsidP="00B22553">
      <w:pPr>
        <w:pStyle w:val="FootnoteText"/>
        <w:rPr>
          <w:rFonts w:ascii="Times New Roman" w:hAnsi="Times New Roman" w:cs="Times New Roman"/>
          <w:sz w:val="21"/>
          <w:szCs w:val="21"/>
        </w:rPr>
      </w:pPr>
      <w:r>
        <w:rPr>
          <w:rFonts w:ascii="Times New Roman" w:hAnsi="Times New Roman" w:cs="Times New Roman"/>
          <w:sz w:val="21"/>
          <w:szCs w:val="21"/>
        </w:rPr>
        <w:t xml:space="preserve">________, </w:t>
      </w:r>
      <w:r w:rsidRPr="00B22553">
        <w:rPr>
          <w:rFonts w:ascii="Times New Roman" w:hAnsi="Times New Roman" w:cs="Times New Roman"/>
          <w:i/>
          <w:sz w:val="21"/>
          <w:szCs w:val="21"/>
        </w:rPr>
        <w:t>Fieldwork in Archaeoastronomy II</w:t>
      </w:r>
      <w:r w:rsidRPr="00B22553">
        <w:rPr>
          <w:rFonts w:ascii="Times New Roman" w:hAnsi="Times New Roman" w:cs="Times New Roman"/>
          <w:sz w:val="21"/>
          <w:szCs w:val="21"/>
        </w:rPr>
        <w:t>, PPT (2018)</w:t>
      </w:r>
    </w:p>
    <w:p w:rsidR="0042465C" w:rsidRDefault="0042465C" w:rsidP="00B22553">
      <w:pPr>
        <w:pStyle w:val="FootnoteText"/>
        <w:rPr>
          <w:rFonts w:ascii="Times New Roman" w:hAnsi="Times New Roman" w:cs="Times New Roman"/>
          <w:color w:val="000000" w:themeColor="text1"/>
          <w:sz w:val="21"/>
          <w:szCs w:val="21"/>
        </w:rPr>
      </w:pPr>
      <w:r>
        <w:rPr>
          <w:rFonts w:ascii="Times New Roman" w:hAnsi="Times New Roman" w:cs="Times New Roman"/>
          <w:sz w:val="21"/>
          <w:szCs w:val="21"/>
        </w:rPr>
        <w:t xml:space="preserve">________, </w:t>
      </w:r>
      <w:r w:rsidRPr="00B22553">
        <w:rPr>
          <w:rFonts w:ascii="Times New Roman" w:hAnsi="Times New Roman" w:cs="Times New Roman"/>
          <w:i/>
          <w:color w:val="000000" w:themeColor="text1"/>
          <w:sz w:val="21"/>
          <w:szCs w:val="21"/>
        </w:rPr>
        <w:t>Skyscapes, Cosmology, and Archaeology Module –Calculations Workbook</w:t>
      </w:r>
      <w:r>
        <w:rPr>
          <w:rFonts w:ascii="Times New Roman" w:hAnsi="Times New Roman" w:cs="Times New Roman"/>
          <w:i/>
          <w:color w:val="000000" w:themeColor="text1"/>
          <w:sz w:val="21"/>
          <w:szCs w:val="21"/>
        </w:rPr>
        <w:t xml:space="preserve"> </w:t>
      </w:r>
      <w:r w:rsidRPr="00B22553">
        <w:rPr>
          <w:rFonts w:ascii="Times New Roman" w:hAnsi="Times New Roman" w:cs="Times New Roman"/>
          <w:color w:val="000000" w:themeColor="text1"/>
          <w:sz w:val="21"/>
          <w:szCs w:val="21"/>
        </w:rPr>
        <w:t>(2016)</w:t>
      </w:r>
    </w:p>
    <w:p w:rsidR="00415426" w:rsidRDefault="00B22553" w:rsidP="00B22553">
      <w:pPr>
        <w:pStyle w:val="FootnoteText"/>
        <w:rPr>
          <w:rFonts w:ascii="Times New Roman" w:hAnsi="Times New Roman" w:cs="Times New Roman"/>
          <w:color w:val="000000" w:themeColor="text1"/>
          <w:sz w:val="21"/>
          <w:szCs w:val="21"/>
          <w:shd w:val="clear" w:color="auto" w:fill="FFFFFF"/>
        </w:rPr>
      </w:pPr>
      <w:r w:rsidRPr="00B22553">
        <w:rPr>
          <w:rFonts w:ascii="Times New Roman" w:hAnsi="Times New Roman" w:cs="Times New Roman"/>
          <w:color w:val="000000" w:themeColor="text1"/>
          <w:sz w:val="21"/>
          <w:szCs w:val="21"/>
          <w:shd w:val="clear" w:color="auto" w:fill="FFFFFF"/>
        </w:rPr>
        <w:lastRenderedPageBreak/>
        <w:t>Sparavigna,</w:t>
      </w:r>
      <w:r w:rsidR="00A65AD4">
        <w:rPr>
          <w:rFonts w:ascii="Times New Roman" w:hAnsi="Times New Roman" w:cs="Times New Roman"/>
          <w:color w:val="000000" w:themeColor="text1"/>
          <w:sz w:val="21"/>
          <w:szCs w:val="21"/>
          <w:shd w:val="clear" w:color="auto" w:fill="FFFFFF"/>
        </w:rPr>
        <w:t xml:space="preserve"> </w:t>
      </w:r>
      <w:r w:rsidR="00A65AD4" w:rsidRPr="00B22553">
        <w:rPr>
          <w:rFonts w:ascii="Times New Roman" w:hAnsi="Times New Roman" w:cs="Times New Roman"/>
          <w:color w:val="000000" w:themeColor="text1"/>
          <w:sz w:val="21"/>
          <w:szCs w:val="21"/>
          <w:shd w:val="clear" w:color="auto" w:fill="FFFFFF"/>
        </w:rPr>
        <w:t>Amelia</w:t>
      </w:r>
      <w:r w:rsidR="00A65AD4">
        <w:rPr>
          <w:rFonts w:ascii="Times New Roman" w:hAnsi="Times New Roman" w:cs="Times New Roman"/>
          <w:color w:val="000000" w:themeColor="text1"/>
          <w:sz w:val="21"/>
          <w:szCs w:val="21"/>
          <w:shd w:val="clear" w:color="auto" w:fill="FFFFFF"/>
        </w:rPr>
        <w:t>,</w:t>
      </w:r>
      <w:r w:rsidRPr="00B22553">
        <w:rPr>
          <w:rFonts w:ascii="Times New Roman" w:hAnsi="Times New Roman" w:cs="Times New Roman"/>
          <w:color w:val="000000" w:themeColor="text1"/>
          <w:sz w:val="21"/>
          <w:szCs w:val="21"/>
          <w:shd w:val="clear" w:color="auto" w:fill="FFFFFF"/>
        </w:rPr>
        <w:t xml:space="preserve"> ‘A Ziggurat and the Moon’, </w:t>
      </w:r>
      <w:r w:rsidRPr="00B22553">
        <w:rPr>
          <w:rFonts w:ascii="Times New Roman" w:hAnsi="Times New Roman" w:cs="Times New Roman"/>
          <w:i/>
          <w:color w:val="000000" w:themeColor="text1"/>
          <w:sz w:val="21"/>
          <w:szCs w:val="21"/>
          <w:shd w:val="clear" w:color="auto" w:fill="FFFFFF"/>
        </w:rPr>
        <w:t>PHILICA</w:t>
      </w:r>
      <w:r w:rsidR="00A65AD4">
        <w:rPr>
          <w:rFonts w:ascii="Times New Roman" w:hAnsi="Times New Roman" w:cs="Times New Roman"/>
          <w:color w:val="000000" w:themeColor="text1"/>
          <w:sz w:val="21"/>
          <w:szCs w:val="21"/>
          <w:shd w:val="clear" w:color="auto" w:fill="FFFFFF"/>
        </w:rPr>
        <w:t xml:space="preserve"> 618 (2016)</w:t>
      </w:r>
      <w:r w:rsidRPr="00B22553">
        <w:rPr>
          <w:rFonts w:ascii="Times New Roman" w:hAnsi="Times New Roman" w:cs="Times New Roman"/>
          <w:color w:val="000000" w:themeColor="text1"/>
          <w:sz w:val="21"/>
          <w:szCs w:val="21"/>
          <w:shd w:val="clear" w:color="auto" w:fill="FFFFFF"/>
        </w:rPr>
        <w:t>1-6</w:t>
      </w:r>
    </w:p>
    <w:p w:rsidR="00D94433" w:rsidRDefault="00D94433" w:rsidP="00B22553">
      <w:pPr>
        <w:pStyle w:val="FootnoteText"/>
        <w:rPr>
          <w:rFonts w:ascii="Times New Roman" w:hAnsi="Times New Roman" w:cs="Times New Roman"/>
          <w:color w:val="000000" w:themeColor="text1"/>
          <w:sz w:val="21"/>
          <w:szCs w:val="21"/>
        </w:rPr>
      </w:pPr>
      <w:r w:rsidRPr="00B22553">
        <w:rPr>
          <w:rFonts w:ascii="Times New Roman" w:hAnsi="Times New Roman" w:cs="Times New Roman"/>
          <w:color w:val="000000" w:themeColor="text1"/>
          <w:sz w:val="21"/>
          <w:szCs w:val="21"/>
          <w:shd w:val="clear" w:color="auto" w:fill="FFFFFF"/>
        </w:rPr>
        <w:t>Steinkeller,</w:t>
      </w:r>
      <w:r>
        <w:rPr>
          <w:rFonts w:ascii="Times New Roman" w:hAnsi="Times New Roman" w:cs="Times New Roman"/>
          <w:color w:val="000000" w:themeColor="text1"/>
          <w:sz w:val="21"/>
          <w:szCs w:val="21"/>
          <w:shd w:val="clear" w:color="auto" w:fill="FFFFFF"/>
        </w:rPr>
        <w:t xml:space="preserve"> </w:t>
      </w:r>
      <w:r w:rsidRPr="00B22553">
        <w:rPr>
          <w:rFonts w:ascii="Times New Roman" w:hAnsi="Times New Roman" w:cs="Times New Roman"/>
          <w:color w:val="000000" w:themeColor="text1"/>
          <w:sz w:val="21"/>
          <w:szCs w:val="21"/>
          <w:shd w:val="clear" w:color="auto" w:fill="FFFFFF"/>
        </w:rPr>
        <w:t>Piotr</w:t>
      </w:r>
      <w:r>
        <w:rPr>
          <w:rFonts w:ascii="Times New Roman" w:hAnsi="Times New Roman" w:cs="Times New Roman"/>
          <w:color w:val="000000" w:themeColor="text1"/>
          <w:sz w:val="21"/>
          <w:szCs w:val="21"/>
          <w:shd w:val="clear" w:color="auto" w:fill="FFFFFF"/>
        </w:rPr>
        <w:t>,</w:t>
      </w:r>
      <w:r w:rsidRPr="00B22553">
        <w:rPr>
          <w:rFonts w:ascii="Times New Roman" w:hAnsi="Times New Roman" w:cs="Times New Roman"/>
          <w:color w:val="000000" w:themeColor="text1"/>
          <w:sz w:val="21"/>
          <w:szCs w:val="21"/>
          <w:shd w:val="clear" w:color="auto" w:fill="FFFFFF"/>
        </w:rPr>
        <w:t xml:space="preserve"> ‘Of Stars and Men: The Conceptual and Mythological Setup of Babylonian Extispicy’, in </w:t>
      </w:r>
      <w:r>
        <w:rPr>
          <w:rFonts w:ascii="Times New Roman" w:hAnsi="Times New Roman" w:cs="Times New Roman"/>
          <w:color w:val="000000" w:themeColor="text1"/>
          <w:sz w:val="21"/>
          <w:szCs w:val="21"/>
          <w:shd w:val="clear" w:color="auto" w:fill="FFFFFF"/>
        </w:rPr>
        <w:tab/>
      </w:r>
      <w:r>
        <w:rPr>
          <w:rFonts w:ascii="Times New Roman" w:hAnsi="Times New Roman" w:cs="Times New Roman"/>
          <w:color w:val="000000" w:themeColor="text1"/>
          <w:sz w:val="21"/>
          <w:szCs w:val="21"/>
          <w:shd w:val="clear" w:color="auto" w:fill="FFFFFF"/>
        </w:rPr>
        <w:tab/>
      </w:r>
      <w:r w:rsidRPr="00B22553">
        <w:rPr>
          <w:rFonts w:ascii="Times New Roman" w:hAnsi="Times New Roman" w:cs="Times New Roman"/>
          <w:i/>
          <w:color w:val="000000" w:themeColor="text1"/>
          <w:sz w:val="21"/>
          <w:szCs w:val="21"/>
          <w:shd w:val="clear" w:color="auto" w:fill="FFFFFF"/>
        </w:rPr>
        <w:t>Biblical and Oriental Essays in Honor of William L. Moran</w:t>
      </w:r>
      <w:r w:rsidRPr="00B22553">
        <w:rPr>
          <w:rFonts w:ascii="Times New Roman" w:hAnsi="Times New Roman" w:cs="Times New Roman"/>
          <w:color w:val="000000" w:themeColor="text1"/>
          <w:sz w:val="21"/>
          <w:szCs w:val="21"/>
          <w:shd w:val="clear" w:color="auto" w:fill="FFFFFF"/>
        </w:rPr>
        <w:t>, ed. by Agustinus Gianto,</w:t>
      </w:r>
      <w:r>
        <w:rPr>
          <w:rFonts w:ascii="Times New Roman" w:hAnsi="Times New Roman" w:cs="Times New Roman"/>
          <w:color w:val="000000" w:themeColor="text1"/>
          <w:sz w:val="21"/>
          <w:szCs w:val="21"/>
          <w:shd w:val="clear" w:color="auto" w:fill="FFFFFF"/>
        </w:rPr>
        <w:t xml:space="preserve"> pp. 11-47,</w:t>
      </w:r>
      <w:r w:rsidRPr="00B22553">
        <w:rPr>
          <w:rFonts w:ascii="Times New Roman" w:hAnsi="Times New Roman" w:cs="Times New Roman"/>
          <w:color w:val="000000" w:themeColor="text1"/>
          <w:sz w:val="21"/>
          <w:szCs w:val="21"/>
          <w:shd w:val="clear" w:color="auto" w:fill="FFFFFF"/>
        </w:rPr>
        <w:t xml:space="preserve"> </w:t>
      </w:r>
      <w:r>
        <w:rPr>
          <w:rFonts w:ascii="Times New Roman" w:hAnsi="Times New Roman" w:cs="Times New Roman"/>
          <w:color w:val="000000" w:themeColor="text1"/>
          <w:sz w:val="21"/>
          <w:szCs w:val="21"/>
          <w:shd w:val="clear" w:color="auto" w:fill="FFFFFF"/>
        </w:rPr>
        <w:tab/>
      </w:r>
      <w:r>
        <w:rPr>
          <w:rFonts w:ascii="Times New Roman" w:hAnsi="Times New Roman" w:cs="Times New Roman"/>
          <w:color w:val="000000" w:themeColor="text1"/>
          <w:sz w:val="21"/>
          <w:szCs w:val="21"/>
          <w:shd w:val="clear" w:color="auto" w:fill="FFFFFF"/>
        </w:rPr>
        <w:tab/>
      </w:r>
      <w:r w:rsidRPr="00B22553">
        <w:rPr>
          <w:rFonts w:ascii="Times New Roman" w:hAnsi="Times New Roman" w:cs="Times New Roman"/>
          <w:color w:val="000000" w:themeColor="text1"/>
          <w:sz w:val="21"/>
          <w:szCs w:val="21"/>
          <w:shd w:val="clear" w:color="auto" w:fill="FFFFFF"/>
        </w:rPr>
        <w:t>(Rome: Pontificio Instituto Biblico, 2005)</w:t>
      </w:r>
    </w:p>
    <w:p w:rsidR="00B22553" w:rsidRDefault="00B22553" w:rsidP="00B22553">
      <w:pPr>
        <w:pStyle w:val="FootnoteText"/>
        <w:rPr>
          <w:rFonts w:ascii="Times New Roman" w:hAnsi="Times New Roman" w:cs="Times New Roman"/>
          <w:color w:val="000000" w:themeColor="text1"/>
          <w:sz w:val="21"/>
          <w:szCs w:val="21"/>
        </w:rPr>
      </w:pPr>
      <w:r w:rsidRPr="00B22553">
        <w:rPr>
          <w:rFonts w:ascii="Times New Roman" w:hAnsi="Times New Roman" w:cs="Times New Roman"/>
          <w:color w:val="000000" w:themeColor="text1"/>
          <w:sz w:val="21"/>
          <w:szCs w:val="21"/>
        </w:rPr>
        <w:t>Tiede,</w:t>
      </w:r>
      <w:r w:rsidR="00A65AD4">
        <w:rPr>
          <w:rFonts w:ascii="Times New Roman" w:hAnsi="Times New Roman" w:cs="Times New Roman"/>
          <w:color w:val="000000" w:themeColor="text1"/>
          <w:sz w:val="21"/>
          <w:szCs w:val="21"/>
        </w:rPr>
        <w:t xml:space="preserve"> </w:t>
      </w:r>
      <w:r w:rsidR="00A65AD4" w:rsidRPr="00B22553">
        <w:rPr>
          <w:rFonts w:ascii="Times New Roman" w:hAnsi="Times New Roman" w:cs="Times New Roman"/>
          <w:color w:val="000000" w:themeColor="text1"/>
          <w:sz w:val="21"/>
          <w:szCs w:val="21"/>
        </w:rPr>
        <w:t>Vance</w:t>
      </w:r>
      <w:r w:rsidR="00A65AD4">
        <w:rPr>
          <w:rFonts w:ascii="Times New Roman" w:hAnsi="Times New Roman" w:cs="Times New Roman"/>
          <w:color w:val="000000" w:themeColor="text1"/>
          <w:sz w:val="21"/>
          <w:szCs w:val="21"/>
        </w:rPr>
        <w:t>,</w:t>
      </w:r>
      <w:r w:rsidRPr="00B22553">
        <w:rPr>
          <w:rFonts w:ascii="Times New Roman" w:hAnsi="Times New Roman" w:cs="Times New Roman"/>
          <w:color w:val="000000" w:themeColor="text1"/>
          <w:sz w:val="21"/>
          <w:szCs w:val="21"/>
        </w:rPr>
        <w:t xml:space="preserve"> ‘Ziggurats of Mesopotamia: An Astro-Archaeological Analysis’, in</w:t>
      </w:r>
      <w:r w:rsidR="00A65AD4">
        <w:rPr>
          <w:rFonts w:ascii="Times New Roman" w:hAnsi="Times New Roman" w:cs="Times New Roman"/>
          <w:color w:val="000000" w:themeColor="text1"/>
          <w:sz w:val="21"/>
          <w:szCs w:val="21"/>
        </w:rPr>
        <w:t xml:space="preserve"> </w:t>
      </w:r>
      <w:r w:rsidRPr="00B22553">
        <w:rPr>
          <w:rFonts w:ascii="Times New Roman" w:hAnsi="Times New Roman" w:cs="Times New Roman"/>
          <w:i/>
          <w:color w:val="000000" w:themeColor="text1"/>
          <w:sz w:val="21"/>
          <w:szCs w:val="21"/>
        </w:rPr>
        <w:t xml:space="preserve">Presentation to the </w:t>
      </w:r>
      <w:r w:rsidR="00A65AD4">
        <w:rPr>
          <w:rFonts w:ascii="Times New Roman" w:hAnsi="Times New Roman" w:cs="Times New Roman"/>
          <w:i/>
          <w:color w:val="000000" w:themeColor="text1"/>
          <w:sz w:val="21"/>
          <w:szCs w:val="21"/>
        </w:rPr>
        <w:tab/>
      </w:r>
      <w:r w:rsidR="00A65AD4">
        <w:rPr>
          <w:rFonts w:ascii="Times New Roman" w:hAnsi="Times New Roman" w:cs="Times New Roman"/>
          <w:i/>
          <w:color w:val="000000" w:themeColor="text1"/>
          <w:sz w:val="21"/>
          <w:szCs w:val="21"/>
        </w:rPr>
        <w:tab/>
      </w:r>
      <w:r w:rsidR="00A65AD4">
        <w:rPr>
          <w:rFonts w:ascii="Times New Roman" w:hAnsi="Times New Roman" w:cs="Times New Roman"/>
          <w:i/>
          <w:color w:val="000000" w:themeColor="text1"/>
          <w:sz w:val="21"/>
          <w:szCs w:val="21"/>
        </w:rPr>
        <w:tab/>
      </w:r>
      <w:r w:rsidRPr="00B22553">
        <w:rPr>
          <w:rFonts w:ascii="Times New Roman" w:hAnsi="Times New Roman" w:cs="Times New Roman"/>
          <w:i/>
          <w:color w:val="000000" w:themeColor="text1"/>
          <w:sz w:val="21"/>
          <w:szCs w:val="21"/>
        </w:rPr>
        <w:t>Société Européenne pou</w:t>
      </w:r>
      <w:r w:rsidRPr="00401A99">
        <w:rPr>
          <w:rFonts w:ascii="Times New Roman" w:hAnsi="Times New Roman" w:cs="Times New Roman"/>
          <w:i/>
          <w:color w:val="000000" w:themeColor="text1"/>
          <w:sz w:val="21"/>
          <w:szCs w:val="21"/>
        </w:rPr>
        <w:t>r l’A</w:t>
      </w:r>
      <w:r w:rsidRPr="00B22553">
        <w:rPr>
          <w:rFonts w:ascii="Times New Roman" w:hAnsi="Times New Roman" w:cs="Times New Roman"/>
          <w:i/>
          <w:color w:val="000000" w:themeColor="text1"/>
          <w:sz w:val="21"/>
          <w:szCs w:val="21"/>
        </w:rPr>
        <w:t>stronomie dans la Culture</w:t>
      </w:r>
      <w:r w:rsidRPr="00B22553">
        <w:rPr>
          <w:rFonts w:ascii="Times New Roman" w:hAnsi="Times New Roman" w:cs="Times New Roman"/>
          <w:color w:val="000000" w:themeColor="text1"/>
          <w:sz w:val="21"/>
          <w:szCs w:val="21"/>
        </w:rPr>
        <w:t>, (Graz: Österreich, 2018).</w:t>
      </w:r>
    </w:p>
    <w:p w:rsidR="00415426" w:rsidRPr="00B22553" w:rsidRDefault="0042465C" w:rsidP="00B22553">
      <w:pPr>
        <w:pStyle w:val="FootnoteText"/>
        <w:rPr>
          <w:rFonts w:ascii="Times New Roman" w:hAnsi="Times New Roman" w:cs="Times New Roman"/>
          <w:sz w:val="21"/>
          <w:szCs w:val="21"/>
        </w:rPr>
      </w:pPr>
      <w:r w:rsidRPr="00B22553">
        <w:rPr>
          <w:rFonts w:ascii="Times New Roman" w:hAnsi="Times New Roman" w:cs="Times New Roman"/>
          <w:sz w:val="21"/>
          <w:szCs w:val="21"/>
        </w:rPr>
        <w:t>Veldhuis,</w:t>
      </w:r>
      <w:r>
        <w:rPr>
          <w:rFonts w:ascii="Times New Roman" w:hAnsi="Times New Roman" w:cs="Times New Roman"/>
          <w:sz w:val="21"/>
          <w:szCs w:val="21"/>
        </w:rPr>
        <w:t xml:space="preserve"> Niek,</w:t>
      </w:r>
      <w:r w:rsidRPr="00B22553">
        <w:rPr>
          <w:rFonts w:ascii="Times New Roman" w:hAnsi="Times New Roman" w:cs="Times New Roman"/>
          <w:sz w:val="21"/>
          <w:szCs w:val="21"/>
        </w:rPr>
        <w:t xml:space="preserve"> ‘Kurigalzu’s Statue Inscription’, </w:t>
      </w:r>
      <w:r w:rsidRPr="00B22553">
        <w:rPr>
          <w:rFonts w:ascii="Times New Roman" w:hAnsi="Times New Roman" w:cs="Times New Roman"/>
          <w:i/>
          <w:sz w:val="21"/>
          <w:szCs w:val="21"/>
        </w:rPr>
        <w:t>Journal of Cuneiform Studies</w:t>
      </w:r>
      <w:r w:rsidRPr="00B22553">
        <w:rPr>
          <w:rFonts w:ascii="Times New Roman" w:hAnsi="Times New Roman" w:cs="Times New Roman"/>
          <w:sz w:val="21"/>
          <w:szCs w:val="21"/>
        </w:rPr>
        <w:t xml:space="preserve"> 60 (2008)</w:t>
      </w:r>
      <w:r>
        <w:rPr>
          <w:rFonts w:ascii="Times New Roman" w:hAnsi="Times New Roman" w:cs="Times New Roman"/>
          <w:sz w:val="21"/>
          <w:szCs w:val="21"/>
        </w:rPr>
        <w:t xml:space="preserve"> 25-51</w:t>
      </w:r>
    </w:p>
    <w:p w:rsidR="00415426" w:rsidRPr="00B22553" w:rsidRDefault="0042465C" w:rsidP="00B22553">
      <w:pPr>
        <w:pStyle w:val="FootnoteText"/>
        <w:rPr>
          <w:rFonts w:ascii="Times New Roman" w:hAnsi="Times New Roman" w:cs="Times New Roman"/>
          <w:sz w:val="21"/>
          <w:szCs w:val="21"/>
        </w:rPr>
      </w:pPr>
      <w:r>
        <w:rPr>
          <w:rFonts w:ascii="Times New Roman" w:hAnsi="Times New Roman" w:cs="Times New Roman"/>
          <w:sz w:val="21"/>
          <w:szCs w:val="21"/>
        </w:rPr>
        <w:t xml:space="preserve">Woolley, Leonard, </w:t>
      </w:r>
      <w:r w:rsidRPr="00B22553">
        <w:rPr>
          <w:rFonts w:ascii="Times New Roman" w:hAnsi="Times New Roman" w:cs="Times New Roman"/>
          <w:i/>
          <w:sz w:val="21"/>
          <w:szCs w:val="21"/>
        </w:rPr>
        <w:t xml:space="preserve">Ur of the Chaldees: A Revised and Updated Edition of Sir Leonard Woolley’s </w:t>
      </w:r>
      <w:r>
        <w:rPr>
          <w:rFonts w:ascii="Times New Roman" w:hAnsi="Times New Roman" w:cs="Times New Roman"/>
          <w:i/>
          <w:sz w:val="21"/>
          <w:szCs w:val="21"/>
        </w:rPr>
        <w:tab/>
      </w:r>
      <w:r>
        <w:rPr>
          <w:rFonts w:ascii="Times New Roman" w:hAnsi="Times New Roman" w:cs="Times New Roman"/>
          <w:i/>
          <w:sz w:val="21"/>
          <w:szCs w:val="21"/>
        </w:rPr>
        <w:tab/>
      </w:r>
      <w:r>
        <w:rPr>
          <w:rFonts w:ascii="Times New Roman" w:hAnsi="Times New Roman" w:cs="Times New Roman"/>
          <w:i/>
          <w:sz w:val="21"/>
          <w:szCs w:val="21"/>
        </w:rPr>
        <w:tab/>
      </w:r>
      <w:r>
        <w:rPr>
          <w:rFonts w:ascii="Times New Roman" w:hAnsi="Times New Roman" w:cs="Times New Roman"/>
          <w:i/>
          <w:sz w:val="21"/>
          <w:szCs w:val="21"/>
        </w:rPr>
        <w:tab/>
      </w:r>
      <w:r w:rsidRPr="00B22553">
        <w:rPr>
          <w:rFonts w:ascii="Times New Roman" w:hAnsi="Times New Roman" w:cs="Times New Roman"/>
          <w:i/>
          <w:sz w:val="21"/>
          <w:szCs w:val="21"/>
        </w:rPr>
        <w:t>Excavations at Ur</w:t>
      </w:r>
      <w:r w:rsidRPr="00B22553">
        <w:rPr>
          <w:rFonts w:ascii="Times New Roman" w:hAnsi="Times New Roman" w:cs="Times New Roman"/>
          <w:sz w:val="21"/>
          <w:szCs w:val="21"/>
        </w:rPr>
        <w:t>, ed. by Peter Moorey, (Ithica, Cornell University Press, 1982)</w:t>
      </w:r>
    </w:p>
    <w:p w:rsidR="00415426" w:rsidRDefault="00B22553" w:rsidP="00B22553">
      <w:pPr>
        <w:pStyle w:val="FootnoteText"/>
        <w:rPr>
          <w:rFonts w:ascii="Times New Roman" w:hAnsi="Times New Roman" w:cs="Times New Roman"/>
          <w:color w:val="000000" w:themeColor="text1"/>
          <w:sz w:val="21"/>
          <w:szCs w:val="21"/>
          <w:shd w:val="clear" w:color="auto" w:fill="FFFFFF"/>
        </w:rPr>
      </w:pPr>
      <w:r w:rsidRPr="00B22553">
        <w:rPr>
          <w:rFonts w:ascii="Times New Roman" w:hAnsi="Times New Roman" w:cs="Times New Roman"/>
          <w:color w:val="000000" w:themeColor="text1"/>
          <w:sz w:val="21"/>
          <w:szCs w:val="21"/>
        </w:rPr>
        <w:t>Zimmer,</w:t>
      </w:r>
      <w:r w:rsidR="00D94433">
        <w:rPr>
          <w:rFonts w:ascii="Times New Roman" w:hAnsi="Times New Roman" w:cs="Times New Roman"/>
          <w:color w:val="000000" w:themeColor="text1"/>
          <w:sz w:val="21"/>
          <w:szCs w:val="21"/>
        </w:rPr>
        <w:t xml:space="preserve"> </w:t>
      </w:r>
      <w:r w:rsidR="00D94433" w:rsidRPr="00B22553">
        <w:rPr>
          <w:rFonts w:ascii="Times New Roman" w:hAnsi="Times New Roman" w:cs="Times New Roman"/>
          <w:color w:val="000000" w:themeColor="text1"/>
          <w:sz w:val="21"/>
          <w:szCs w:val="21"/>
        </w:rPr>
        <w:t>Heinrich</w:t>
      </w:r>
      <w:r w:rsidR="00D94433">
        <w:rPr>
          <w:rFonts w:ascii="Times New Roman" w:hAnsi="Times New Roman" w:cs="Times New Roman"/>
          <w:color w:val="000000" w:themeColor="text1"/>
          <w:sz w:val="21"/>
          <w:szCs w:val="21"/>
        </w:rPr>
        <w:t>,</w:t>
      </w:r>
      <w:r w:rsidRPr="00B22553">
        <w:rPr>
          <w:rFonts w:ascii="Times New Roman" w:hAnsi="Times New Roman" w:cs="Times New Roman"/>
          <w:color w:val="000000" w:themeColor="text1"/>
          <w:sz w:val="21"/>
          <w:szCs w:val="21"/>
        </w:rPr>
        <w:t xml:space="preserve"> ‘Ritualtafeln für den Wahrsager (</w:t>
      </w:r>
      <w:r w:rsidRPr="00B22553">
        <w:rPr>
          <w:rFonts w:ascii="Times New Roman" w:hAnsi="Times New Roman" w:cs="Times New Roman"/>
          <w:i/>
          <w:color w:val="000000" w:themeColor="text1"/>
          <w:sz w:val="21"/>
          <w:szCs w:val="21"/>
        </w:rPr>
        <w:t>buru</w:t>
      </w:r>
      <w:r w:rsidR="00D94433">
        <w:rPr>
          <w:rFonts w:ascii="Times New Roman" w:hAnsi="Times New Roman" w:cs="Times New Roman"/>
          <w:color w:val="000000" w:themeColor="text1"/>
          <w:sz w:val="21"/>
          <w:szCs w:val="21"/>
        </w:rPr>
        <w:t xml:space="preserve">) 1-20’, </w:t>
      </w:r>
      <w:r w:rsidR="00D94433" w:rsidRPr="00D94433">
        <w:rPr>
          <w:rFonts w:ascii="Times New Roman" w:hAnsi="Times New Roman" w:cs="Times New Roman"/>
          <w:i/>
          <w:color w:val="000000" w:themeColor="text1"/>
          <w:sz w:val="21"/>
          <w:szCs w:val="21"/>
        </w:rPr>
        <w:t>B</w:t>
      </w:r>
      <w:r w:rsidRPr="00B22553">
        <w:rPr>
          <w:rFonts w:ascii="Times New Roman" w:hAnsi="Times New Roman" w:cs="Times New Roman"/>
          <w:i/>
          <w:color w:val="000000" w:themeColor="text1"/>
          <w:sz w:val="21"/>
          <w:szCs w:val="21"/>
          <w:shd w:val="clear" w:color="auto" w:fill="FFFFFF"/>
        </w:rPr>
        <w:t xml:space="preserve">eiträge zur Kenntnis der babylonischen </w:t>
      </w:r>
      <w:r w:rsidR="00D94433">
        <w:rPr>
          <w:rFonts w:ascii="Times New Roman" w:hAnsi="Times New Roman" w:cs="Times New Roman"/>
          <w:i/>
          <w:color w:val="000000" w:themeColor="text1"/>
          <w:sz w:val="21"/>
          <w:szCs w:val="21"/>
          <w:shd w:val="clear" w:color="auto" w:fill="FFFFFF"/>
        </w:rPr>
        <w:tab/>
      </w:r>
      <w:r w:rsidR="00D94433">
        <w:rPr>
          <w:rFonts w:ascii="Times New Roman" w:hAnsi="Times New Roman" w:cs="Times New Roman"/>
          <w:i/>
          <w:color w:val="000000" w:themeColor="text1"/>
          <w:sz w:val="21"/>
          <w:szCs w:val="21"/>
          <w:shd w:val="clear" w:color="auto" w:fill="FFFFFF"/>
        </w:rPr>
        <w:tab/>
      </w:r>
      <w:r w:rsidRPr="00B22553">
        <w:rPr>
          <w:rFonts w:ascii="Times New Roman" w:hAnsi="Times New Roman" w:cs="Times New Roman"/>
          <w:i/>
          <w:color w:val="000000" w:themeColor="text1"/>
          <w:sz w:val="21"/>
          <w:szCs w:val="21"/>
          <w:shd w:val="clear" w:color="auto" w:fill="FFFFFF"/>
        </w:rPr>
        <w:t>Religion: Die Beschwörungstafeln Surpu, Ritualtfeln für Wahrsager, Beschwörer und Sänger</w:t>
      </w:r>
      <w:r w:rsidRPr="00B22553">
        <w:rPr>
          <w:rFonts w:ascii="Times New Roman" w:hAnsi="Times New Roman" w:cs="Times New Roman"/>
          <w:color w:val="000000" w:themeColor="text1"/>
          <w:sz w:val="21"/>
          <w:szCs w:val="21"/>
          <w:shd w:val="clear" w:color="auto" w:fill="FFFFFF"/>
        </w:rPr>
        <w:t xml:space="preserve">, </w:t>
      </w:r>
      <w:r w:rsidR="00D94433" w:rsidRPr="00B22553">
        <w:rPr>
          <w:rFonts w:ascii="Times New Roman" w:hAnsi="Times New Roman" w:cs="Times New Roman"/>
          <w:color w:val="000000" w:themeColor="text1"/>
          <w:sz w:val="21"/>
          <w:szCs w:val="21"/>
          <w:shd w:val="clear" w:color="auto" w:fill="FFFFFF"/>
        </w:rPr>
        <w:t xml:space="preserve">pp. </w:t>
      </w:r>
      <w:r w:rsidR="00D94433">
        <w:rPr>
          <w:rFonts w:ascii="Times New Roman" w:hAnsi="Times New Roman" w:cs="Times New Roman"/>
          <w:color w:val="000000" w:themeColor="text1"/>
          <w:sz w:val="21"/>
          <w:szCs w:val="21"/>
          <w:shd w:val="clear" w:color="auto" w:fill="FFFFFF"/>
        </w:rPr>
        <w:tab/>
      </w:r>
      <w:r w:rsidR="00D94433">
        <w:rPr>
          <w:rFonts w:ascii="Times New Roman" w:hAnsi="Times New Roman" w:cs="Times New Roman"/>
          <w:color w:val="000000" w:themeColor="text1"/>
          <w:sz w:val="21"/>
          <w:szCs w:val="21"/>
          <w:shd w:val="clear" w:color="auto" w:fill="FFFFFF"/>
        </w:rPr>
        <w:tab/>
      </w:r>
      <w:r w:rsidR="00D94433" w:rsidRPr="00B22553">
        <w:rPr>
          <w:rFonts w:ascii="Times New Roman" w:hAnsi="Times New Roman" w:cs="Times New Roman"/>
          <w:color w:val="000000" w:themeColor="text1"/>
          <w:sz w:val="21"/>
          <w:szCs w:val="21"/>
          <w:shd w:val="clear" w:color="auto" w:fill="FFFFFF"/>
        </w:rPr>
        <w:t>96-121</w:t>
      </w:r>
      <w:r w:rsidR="00D94433">
        <w:rPr>
          <w:rFonts w:ascii="Times New Roman" w:hAnsi="Times New Roman" w:cs="Times New Roman"/>
          <w:color w:val="000000" w:themeColor="text1"/>
          <w:sz w:val="21"/>
          <w:szCs w:val="21"/>
          <w:shd w:val="clear" w:color="auto" w:fill="FFFFFF"/>
        </w:rPr>
        <w:t>,</w:t>
      </w:r>
      <w:r w:rsidR="00D94433" w:rsidRPr="00B22553">
        <w:rPr>
          <w:rFonts w:ascii="Times New Roman" w:hAnsi="Times New Roman" w:cs="Times New Roman"/>
          <w:color w:val="000000" w:themeColor="text1"/>
          <w:sz w:val="21"/>
          <w:szCs w:val="21"/>
          <w:shd w:val="clear" w:color="auto" w:fill="FFFFFF"/>
        </w:rPr>
        <w:t xml:space="preserve"> </w:t>
      </w:r>
      <w:r w:rsidRPr="00B22553">
        <w:rPr>
          <w:rFonts w:ascii="Times New Roman" w:hAnsi="Times New Roman" w:cs="Times New Roman"/>
          <w:color w:val="000000" w:themeColor="text1"/>
          <w:sz w:val="21"/>
          <w:szCs w:val="21"/>
          <w:shd w:val="clear" w:color="auto" w:fill="FFFFFF"/>
        </w:rPr>
        <w:t>(Leipzig: J</w:t>
      </w:r>
      <w:r w:rsidR="00D94433">
        <w:rPr>
          <w:rFonts w:ascii="Times New Roman" w:hAnsi="Times New Roman" w:cs="Times New Roman"/>
          <w:color w:val="000000" w:themeColor="text1"/>
          <w:sz w:val="21"/>
          <w:szCs w:val="21"/>
          <w:shd w:val="clear" w:color="auto" w:fill="FFFFFF"/>
        </w:rPr>
        <w:t>.C. Hinrichs, 1901)</w:t>
      </w:r>
      <w:r w:rsidRPr="00B22553">
        <w:rPr>
          <w:rFonts w:ascii="Times New Roman" w:hAnsi="Times New Roman" w:cs="Times New Roman"/>
          <w:color w:val="000000" w:themeColor="text1"/>
          <w:sz w:val="21"/>
          <w:szCs w:val="21"/>
          <w:shd w:val="clear" w:color="auto" w:fill="FFFFFF"/>
        </w:rPr>
        <w:t xml:space="preserve"> </w:t>
      </w:r>
    </w:p>
    <w:p w:rsidR="00415426" w:rsidRDefault="00415426" w:rsidP="00B22553">
      <w:pPr>
        <w:pStyle w:val="FootnoteText"/>
        <w:rPr>
          <w:rFonts w:ascii="Times New Roman" w:hAnsi="Times New Roman" w:cs="Times New Roman"/>
          <w:color w:val="000000" w:themeColor="text1"/>
          <w:sz w:val="21"/>
          <w:szCs w:val="21"/>
          <w:shd w:val="clear" w:color="auto" w:fill="FFFFFF"/>
        </w:rPr>
      </w:pPr>
    </w:p>
    <w:p w:rsidR="00415426" w:rsidRPr="00B22553" w:rsidRDefault="00415426" w:rsidP="00B22553">
      <w:pPr>
        <w:pStyle w:val="FootnoteText"/>
        <w:rPr>
          <w:rFonts w:ascii="Times New Roman" w:hAnsi="Times New Roman" w:cs="Times New Roman"/>
          <w:sz w:val="21"/>
          <w:szCs w:val="21"/>
        </w:rPr>
      </w:pPr>
    </w:p>
    <w:p w:rsidR="00415426" w:rsidRDefault="00415426" w:rsidP="00B22553">
      <w:pPr>
        <w:pStyle w:val="FootnoteText"/>
        <w:rPr>
          <w:rFonts w:ascii="Times New Roman" w:hAnsi="Times New Roman" w:cs="Times New Roman"/>
          <w:sz w:val="21"/>
          <w:szCs w:val="21"/>
        </w:rPr>
      </w:pPr>
    </w:p>
    <w:p w:rsidR="00B22553" w:rsidRPr="00B22553" w:rsidRDefault="00B22553" w:rsidP="00B22553">
      <w:pPr>
        <w:pStyle w:val="FootnoteText"/>
        <w:rPr>
          <w:rFonts w:ascii="Times New Roman" w:hAnsi="Times New Roman" w:cs="Times New Roman"/>
          <w:sz w:val="21"/>
          <w:szCs w:val="21"/>
        </w:rPr>
      </w:pPr>
    </w:p>
    <w:p w:rsidR="00415426" w:rsidRDefault="00415426" w:rsidP="00B22553">
      <w:pPr>
        <w:pStyle w:val="FootnoteText"/>
        <w:rPr>
          <w:rFonts w:ascii="Times New Roman" w:hAnsi="Times New Roman" w:cs="Times New Roman"/>
          <w:sz w:val="21"/>
          <w:szCs w:val="21"/>
        </w:rPr>
      </w:pPr>
    </w:p>
    <w:p w:rsidR="00415426" w:rsidRPr="00B22553" w:rsidRDefault="00415426" w:rsidP="00B22553">
      <w:pPr>
        <w:pStyle w:val="FootnoteText"/>
        <w:rPr>
          <w:rFonts w:ascii="Times New Roman" w:hAnsi="Times New Roman" w:cs="Times New Roman"/>
          <w:sz w:val="21"/>
          <w:szCs w:val="21"/>
        </w:rPr>
      </w:pPr>
    </w:p>
    <w:p w:rsidR="003F5E82" w:rsidRDefault="003F5E82" w:rsidP="0041068E">
      <w:pPr>
        <w:jc w:val="left"/>
        <w:rPr>
          <w:rFonts w:ascii="Times New Roman" w:hAnsi="Times New Roman" w:cs="Times New Roman"/>
          <w:sz w:val="24"/>
          <w:szCs w:val="24"/>
        </w:rPr>
      </w:pPr>
    </w:p>
    <w:p w:rsidR="004E70F3" w:rsidRDefault="004E70F3" w:rsidP="0041068E">
      <w:pPr>
        <w:jc w:val="left"/>
        <w:rPr>
          <w:rFonts w:ascii="Times New Roman" w:hAnsi="Times New Roman" w:cs="Times New Roman"/>
          <w:sz w:val="24"/>
          <w:szCs w:val="24"/>
        </w:rPr>
      </w:pPr>
    </w:p>
    <w:p w:rsidR="004E70F3" w:rsidRDefault="004E70F3" w:rsidP="0041068E">
      <w:pPr>
        <w:jc w:val="left"/>
        <w:rPr>
          <w:rFonts w:ascii="Times New Roman" w:hAnsi="Times New Roman" w:cs="Times New Roman"/>
          <w:sz w:val="24"/>
          <w:szCs w:val="24"/>
        </w:rPr>
      </w:pPr>
    </w:p>
    <w:p w:rsidR="004E70F3" w:rsidRDefault="004E70F3" w:rsidP="0041068E">
      <w:pPr>
        <w:jc w:val="left"/>
        <w:rPr>
          <w:rFonts w:ascii="Times New Roman" w:hAnsi="Times New Roman" w:cs="Times New Roman"/>
          <w:sz w:val="24"/>
          <w:szCs w:val="24"/>
        </w:rPr>
      </w:pPr>
    </w:p>
    <w:p w:rsidR="004E70F3" w:rsidRDefault="004E70F3" w:rsidP="0041068E">
      <w:pPr>
        <w:jc w:val="left"/>
        <w:rPr>
          <w:rFonts w:ascii="Times New Roman" w:hAnsi="Times New Roman" w:cs="Times New Roman"/>
          <w:sz w:val="24"/>
          <w:szCs w:val="24"/>
        </w:rPr>
      </w:pPr>
    </w:p>
    <w:p w:rsidR="004E70F3" w:rsidRDefault="004E70F3" w:rsidP="0041068E">
      <w:pPr>
        <w:jc w:val="left"/>
        <w:rPr>
          <w:rFonts w:ascii="Times New Roman" w:hAnsi="Times New Roman" w:cs="Times New Roman"/>
          <w:sz w:val="24"/>
          <w:szCs w:val="24"/>
        </w:rPr>
      </w:pPr>
    </w:p>
    <w:p w:rsidR="004E70F3" w:rsidRDefault="004E70F3" w:rsidP="0041068E">
      <w:pPr>
        <w:jc w:val="left"/>
        <w:rPr>
          <w:rFonts w:ascii="Times New Roman" w:hAnsi="Times New Roman" w:cs="Times New Roman"/>
          <w:sz w:val="24"/>
          <w:szCs w:val="24"/>
        </w:rPr>
      </w:pPr>
    </w:p>
    <w:p w:rsidR="004E70F3" w:rsidRDefault="004E70F3" w:rsidP="0041068E">
      <w:pPr>
        <w:jc w:val="left"/>
        <w:rPr>
          <w:rFonts w:ascii="Times New Roman" w:hAnsi="Times New Roman" w:cs="Times New Roman"/>
          <w:sz w:val="24"/>
          <w:szCs w:val="24"/>
        </w:rPr>
      </w:pPr>
    </w:p>
    <w:p w:rsidR="004E70F3" w:rsidRDefault="004E70F3" w:rsidP="0041068E">
      <w:pPr>
        <w:jc w:val="left"/>
        <w:rPr>
          <w:rFonts w:ascii="Times New Roman" w:hAnsi="Times New Roman" w:cs="Times New Roman"/>
          <w:sz w:val="24"/>
          <w:szCs w:val="24"/>
        </w:rPr>
      </w:pPr>
    </w:p>
    <w:p w:rsidR="001C7DF5" w:rsidRDefault="001C7DF5" w:rsidP="0041068E">
      <w:pPr>
        <w:jc w:val="left"/>
        <w:rPr>
          <w:rFonts w:ascii="Times New Roman" w:hAnsi="Times New Roman" w:cs="Times New Roman"/>
          <w:sz w:val="24"/>
          <w:szCs w:val="24"/>
        </w:rPr>
      </w:pPr>
    </w:p>
    <w:p w:rsidR="001C7DF5" w:rsidRDefault="001C7DF5" w:rsidP="0041068E">
      <w:pPr>
        <w:jc w:val="left"/>
        <w:rPr>
          <w:rFonts w:ascii="Times New Roman" w:hAnsi="Times New Roman" w:cs="Times New Roman"/>
          <w:sz w:val="24"/>
          <w:szCs w:val="24"/>
        </w:rPr>
      </w:pPr>
    </w:p>
    <w:p w:rsidR="001C7DF5" w:rsidRDefault="001C7DF5" w:rsidP="0041068E">
      <w:pPr>
        <w:jc w:val="left"/>
        <w:rPr>
          <w:rFonts w:ascii="Times New Roman" w:hAnsi="Times New Roman" w:cs="Times New Roman"/>
          <w:sz w:val="24"/>
          <w:szCs w:val="24"/>
        </w:rPr>
      </w:pPr>
    </w:p>
    <w:p w:rsidR="001C7DF5" w:rsidRDefault="001C7DF5" w:rsidP="0041068E">
      <w:pPr>
        <w:jc w:val="left"/>
        <w:rPr>
          <w:rFonts w:ascii="Times New Roman" w:hAnsi="Times New Roman" w:cs="Times New Roman"/>
          <w:sz w:val="24"/>
          <w:szCs w:val="24"/>
        </w:rPr>
      </w:pPr>
    </w:p>
    <w:p w:rsidR="006A2ADC" w:rsidRDefault="006A2ADC" w:rsidP="0041068E">
      <w:pPr>
        <w:jc w:val="left"/>
        <w:rPr>
          <w:rFonts w:ascii="Times New Roman" w:hAnsi="Times New Roman" w:cs="Times New Roman"/>
          <w:sz w:val="24"/>
          <w:szCs w:val="24"/>
        </w:rPr>
      </w:pPr>
    </w:p>
    <w:sectPr w:rsidR="006A2ADC" w:rsidSect="00B80A26">
      <w:footerReference w:type="default" r:id="rId27"/>
      <w:pgSz w:w="11906" w:h="16838"/>
      <w:pgMar w:top="1440" w:right="1440" w:bottom="1440" w:left="1440" w:header="720" w:footer="720" w:gutter="0"/>
      <w:cols w:space="720"/>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A097B" w:rsidRDefault="00AA097B" w:rsidP="008F6E94">
      <w:r>
        <w:separator/>
      </w:r>
    </w:p>
  </w:endnote>
  <w:endnote w:type="continuationSeparator" w:id="1">
    <w:p w:rsidR="00AA097B" w:rsidRDefault="00AA097B" w:rsidP="008F6E94">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altName w:val="Palatino Linotype"/>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9060101010101"/>
    <w:charset w:val="86"/>
    <w:family w:val="modern"/>
    <w:notTrueType/>
    <w:pitch w:val="fixed"/>
    <w:sig w:usb0="00000001" w:usb1="080E0000" w:usb2="00000010" w:usb3="00000000" w:csb0="0004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7255985"/>
      <w:docPartObj>
        <w:docPartGallery w:val="Page Numbers (Bottom of Page)"/>
        <w:docPartUnique/>
      </w:docPartObj>
    </w:sdtPr>
    <w:sdtContent>
      <w:p w:rsidR="0042465C" w:rsidRDefault="009A5A75">
        <w:pPr>
          <w:pStyle w:val="Footer"/>
          <w:jc w:val="right"/>
        </w:pPr>
        <w:fldSimple w:instr=" PAGE   \* MERGEFORMAT ">
          <w:r w:rsidR="00442BB3">
            <w:rPr>
              <w:noProof/>
            </w:rPr>
            <w:t>19</w:t>
          </w:r>
        </w:fldSimple>
      </w:p>
    </w:sdtContent>
  </w:sdt>
  <w:p w:rsidR="0042465C" w:rsidRDefault="004246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A097B" w:rsidRDefault="00AA097B" w:rsidP="008F6E94">
      <w:r>
        <w:separator/>
      </w:r>
    </w:p>
  </w:footnote>
  <w:footnote w:type="continuationSeparator" w:id="1">
    <w:p w:rsidR="00AA097B" w:rsidRDefault="00AA097B" w:rsidP="008F6E94">
      <w:r>
        <w:continuationSeparator/>
      </w:r>
    </w:p>
  </w:footnote>
  <w:footnote w:id="2">
    <w:p w:rsidR="0042465C" w:rsidRPr="0086463C" w:rsidRDefault="0042465C">
      <w:pPr>
        <w:pStyle w:val="FootnoteText"/>
        <w:rPr>
          <w:rFonts w:ascii="Times New Roman" w:hAnsi="Times New Roman" w:cs="Times New Roman"/>
          <w:sz w:val="17"/>
          <w:szCs w:val="17"/>
        </w:rPr>
      </w:pPr>
      <w:r w:rsidRPr="0086463C">
        <w:rPr>
          <w:rStyle w:val="FootnoteReference"/>
          <w:rFonts w:ascii="Times New Roman" w:hAnsi="Times New Roman" w:cs="Times New Roman"/>
          <w:sz w:val="17"/>
          <w:szCs w:val="17"/>
        </w:rPr>
        <w:footnoteRef/>
      </w:r>
      <w:r w:rsidRPr="0086463C">
        <w:rPr>
          <w:rFonts w:ascii="Times New Roman" w:hAnsi="Times New Roman" w:cs="Times New Roman"/>
          <w:sz w:val="17"/>
          <w:szCs w:val="17"/>
        </w:rPr>
        <w:t xml:space="preserve"> The ziggurat at Dūr-Kurigalzu was also known as </w:t>
      </w:r>
      <w:r w:rsidRPr="0086463C">
        <w:rPr>
          <w:rFonts w:ascii="Times New Roman" w:hAnsi="Times New Roman" w:cs="Times New Roman"/>
          <w:i/>
          <w:sz w:val="17"/>
          <w:szCs w:val="17"/>
        </w:rPr>
        <w:t>Egirin</w:t>
      </w:r>
      <w:r w:rsidRPr="0086463C">
        <w:rPr>
          <w:rFonts w:ascii="Times New Roman" w:hAnsi="Times New Roman" w:cs="Times New Roman"/>
          <w:sz w:val="17"/>
          <w:szCs w:val="17"/>
        </w:rPr>
        <w:t xml:space="preserve"> ‘Pure House’ (Sum.</w:t>
      </w:r>
      <w:r w:rsidRPr="0086463C">
        <w:rPr>
          <w:rFonts w:ascii="Times New Roman" w:hAnsi="Times New Roman" w:cs="Times New Roman"/>
          <w:i/>
          <w:sz w:val="17"/>
          <w:szCs w:val="17"/>
        </w:rPr>
        <w:t xml:space="preserve"> é.gi.rin</w:t>
      </w:r>
      <w:r w:rsidRPr="0086463C">
        <w:rPr>
          <w:rFonts w:ascii="Times New Roman" w:hAnsi="Times New Roman" w:cs="Times New Roman"/>
          <w:sz w:val="17"/>
          <w:szCs w:val="17"/>
        </w:rPr>
        <w:t xml:space="preserve">). See Andrew George, </w:t>
      </w:r>
      <w:r w:rsidRPr="0086463C">
        <w:rPr>
          <w:rFonts w:ascii="Times New Roman" w:hAnsi="Times New Roman" w:cs="Times New Roman"/>
          <w:i/>
          <w:sz w:val="17"/>
          <w:szCs w:val="17"/>
        </w:rPr>
        <w:t>House Most High: The Temples of Mesopotamia</w:t>
      </w:r>
      <w:r w:rsidRPr="0086463C">
        <w:rPr>
          <w:rFonts w:ascii="Times New Roman" w:hAnsi="Times New Roman" w:cs="Times New Roman"/>
          <w:sz w:val="17"/>
          <w:szCs w:val="17"/>
        </w:rPr>
        <w:t>, (Winona Lake: Eisenbrauns, 1993), p. 92.</w:t>
      </w:r>
    </w:p>
  </w:footnote>
  <w:footnote w:id="3">
    <w:p w:rsidR="0042465C" w:rsidRPr="0086463C" w:rsidRDefault="0042465C">
      <w:pPr>
        <w:pStyle w:val="FootnoteText"/>
        <w:rPr>
          <w:rFonts w:ascii="Times New Roman" w:hAnsi="Times New Roman" w:cs="Times New Roman"/>
          <w:sz w:val="17"/>
          <w:szCs w:val="17"/>
        </w:rPr>
      </w:pPr>
      <w:r w:rsidRPr="0086463C">
        <w:rPr>
          <w:rStyle w:val="FootnoteReference"/>
          <w:rFonts w:ascii="Times New Roman" w:hAnsi="Times New Roman" w:cs="Times New Roman"/>
          <w:sz w:val="17"/>
          <w:szCs w:val="17"/>
        </w:rPr>
        <w:footnoteRef/>
      </w:r>
      <w:r w:rsidRPr="0086463C">
        <w:rPr>
          <w:rFonts w:ascii="Times New Roman" w:hAnsi="Times New Roman" w:cs="Times New Roman"/>
          <w:sz w:val="17"/>
          <w:szCs w:val="17"/>
        </w:rPr>
        <w:t xml:space="preserve"> Francesca Rochberg-Halton, ‘Elements of the Babylonian Contribution to Hellenistic Astrology’, </w:t>
      </w:r>
      <w:r w:rsidRPr="0086463C">
        <w:rPr>
          <w:rFonts w:ascii="Times New Roman" w:hAnsi="Times New Roman" w:cs="Times New Roman"/>
          <w:i/>
          <w:sz w:val="17"/>
          <w:szCs w:val="17"/>
        </w:rPr>
        <w:t>Journal of the American Oriental Society</w:t>
      </w:r>
      <w:r w:rsidRPr="0086463C">
        <w:rPr>
          <w:rFonts w:ascii="Times New Roman" w:hAnsi="Times New Roman" w:cs="Times New Roman"/>
          <w:sz w:val="17"/>
          <w:szCs w:val="17"/>
        </w:rPr>
        <w:t xml:space="preserve"> 108 1 (1988)</w:t>
      </w:r>
      <w:r>
        <w:rPr>
          <w:rFonts w:ascii="Times New Roman" w:hAnsi="Times New Roman" w:cs="Times New Roman"/>
          <w:sz w:val="17"/>
          <w:szCs w:val="17"/>
        </w:rPr>
        <w:t>, pp.</w:t>
      </w:r>
      <w:r w:rsidRPr="0086463C">
        <w:rPr>
          <w:rFonts w:ascii="Times New Roman" w:hAnsi="Times New Roman" w:cs="Times New Roman"/>
          <w:sz w:val="17"/>
          <w:szCs w:val="17"/>
        </w:rPr>
        <w:t xml:space="preserve"> 51-62; William Hallo, </w:t>
      </w:r>
      <w:r w:rsidRPr="0086463C">
        <w:rPr>
          <w:rFonts w:ascii="Times New Roman" w:hAnsi="Times New Roman" w:cs="Times New Roman"/>
          <w:i/>
          <w:sz w:val="17"/>
          <w:szCs w:val="17"/>
        </w:rPr>
        <w:t>Origins: The Ancient Near Eastern Background to Some Modern Western Institutions</w:t>
      </w:r>
      <w:r w:rsidRPr="0086463C">
        <w:rPr>
          <w:rFonts w:ascii="Times New Roman" w:hAnsi="Times New Roman" w:cs="Times New Roman"/>
          <w:sz w:val="17"/>
          <w:szCs w:val="17"/>
        </w:rPr>
        <w:t>, (Leiden: Brill, 1996), pp. 120-136.</w:t>
      </w:r>
    </w:p>
  </w:footnote>
  <w:footnote w:id="4">
    <w:p w:rsidR="0042465C" w:rsidRPr="006A7FFA" w:rsidRDefault="0042465C" w:rsidP="00754D65">
      <w:pPr>
        <w:pStyle w:val="FootnoteText"/>
        <w:rPr>
          <w:rFonts w:ascii="Times New Roman" w:hAnsi="Times New Roman" w:cs="Times New Roman"/>
          <w:sz w:val="17"/>
          <w:szCs w:val="17"/>
        </w:rPr>
      </w:pPr>
      <w:r w:rsidRPr="0086463C">
        <w:rPr>
          <w:rStyle w:val="FootnoteReference"/>
          <w:rFonts w:ascii="Times New Roman" w:hAnsi="Times New Roman" w:cs="Times New Roman"/>
          <w:sz w:val="17"/>
          <w:szCs w:val="17"/>
        </w:rPr>
        <w:footnoteRef/>
      </w:r>
      <w:r w:rsidRPr="0086463C">
        <w:rPr>
          <w:rFonts w:ascii="Times New Roman" w:hAnsi="Times New Roman" w:cs="Times New Roman"/>
          <w:sz w:val="17"/>
          <w:szCs w:val="17"/>
        </w:rPr>
        <w:t xml:space="preserve"> </w:t>
      </w:r>
      <w:r w:rsidRPr="0086463C">
        <w:rPr>
          <w:rFonts w:ascii="Times New Roman" w:hAnsi="Times New Roman" w:cs="Times New Roman"/>
          <w:color w:val="000000" w:themeColor="text1"/>
          <w:sz w:val="17"/>
          <w:szCs w:val="17"/>
        </w:rPr>
        <w:t>Davide Nadali and Andrea Polcaro, ‘The Sky from the High Terrace: Study on the Orientation of the Ziq</w:t>
      </w:r>
      <w:r w:rsidRPr="00950C8F">
        <w:rPr>
          <w:rFonts w:ascii="Times New Roman" w:hAnsi="Times New Roman" w:cs="Times New Roman"/>
          <w:color w:val="000000" w:themeColor="text1"/>
          <w:sz w:val="17"/>
          <w:szCs w:val="17"/>
        </w:rPr>
        <w:t xml:space="preserve">qurat in Ancient Mesopotamia’, </w:t>
      </w:r>
      <w:r w:rsidRPr="00950C8F">
        <w:rPr>
          <w:rFonts w:ascii="Times New Roman" w:hAnsi="Times New Roman" w:cs="Times New Roman"/>
          <w:i/>
          <w:color w:val="000000" w:themeColor="text1"/>
          <w:sz w:val="17"/>
          <w:szCs w:val="17"/>
        </w:rPr>
        <w:t>Mediterranean Archaeolo</w:t>
      </w:r>
      <w:r w:rsidRPr="006A7FFA">
        <w:rPr>
          <w:rFonts w:ascii="Times New Roman" w:hAnsi="Times New Roman" w:cs="Times New Roman"/>
          <w:i/>
          <w:color w:val="000000" w:themeColor="text1"/>
          <w:sz w:val="17"/>
          <w:szCs w:val="17"/>
        </w:rPr>
        <w:t>gy and Archaeometry</w:t>
      </w:r>
      <w:r w:rsidRPr="006A7FFA">
        <w:rPr>
          <w:rFonts w:ascii="Times New Roman" w:hAnsi="Times New Roman" w:cs="Times New Roman"/>
          <w:color w:val="000000" w:themeColor="text1"/>
          <w:sz w:val="17"/>
          <w:szCs w:val="17"/>
        </w:rPr>
        <w:t xml:space="preserve"> 16 4 (2016), pp. 103-108; </w:t>
      </w:r>
      <w:r w:rsidRPr="006A7FFA">
        <w:rPr>
          <w:rFonts w:ascii="Times New Roman" w:hAnsi="Times New Roman" w:cs="Times New Roman"/>
          <w:color w:val="000000" w:themeColor="text1"/>
          <w:sz w:val="17"/>
          <w:szCs w:val="17"/>
          <w:shd w:val="clear" w:color="auto" w:fill="FFFFFF"/>
        </w:rPr>
        <w:t xml:space="preserve">Amelia Carolina Sparavigna, ‘A Ziggurat and the Moon’, </w:t>
      </w:r>
      <w:r w:rsidRPr="006A7FFA">
        <w:rPr>
          <w:rFonts w:ascii="Times New Roman" w:hAnsi="Times New Roman" w:cs="Times New Roman"/>
          <w:i/>
          <w:color w:val="000000" w:themeColor="text1"/>
          <w:sz w:val="17"/>
          <w:szCs w:val="17"/>
          <w:shd w:val="clear" w:color="auto" w:fill="FFFFFF"/>
        </w:rPr>
        <w:t>PHILICA</w:t>
      </w:r>
      <w:r w:rsidRPr="006A7FFA">
        <w:rPr>
          <w:rFonts w:ascii="Times New Roman" w:hAnsi="Times New Roman" w:cs="Times New Roman"/>
          <w:color w:val="000000" w:themeColor="text1"/>
          <w:sz w:val="17"/>
          <w:szCs w:val="17"/>
          <w:shd w:val="clear" w:color="auto" w:fill="FFFFFF"/>
        </w:rPr>
        <w:t xml:space="preserve"> 618 (2016), pp. 1-6;</w:t>
      </w:r>
      <w:r w:rsidRPr="006A7FFA">
        <w:rPr>
          <w:rFonts w:ascii="Times New Roman" w:hAnsi="Times New Roman" w:cs="Times New Roman"/>
          <w:color w:val="000000" w:themeColor="text1"/>
          <w:sz w:val="17"/>
          <w:szCs w:val="17"/>
        </w:rPr>
        <w:t xml:space="preserve"> Vance Tiede, ‘Ziggurats of Mesopotamia: An Astro-Archaeological Analysis’, in  </w:t>
      </w:r>
      <w:r w:rsidRPr="006A7FFA">
        <w:rPr>
          <w:rFonts w:ascii="Times New Roman" w:hAnsi="Times New Roman" w:cs="Times New Roman"/>
          <w:i/>
          <w:color w:val="000000" w:themeColor="text1"/>
          <w:sz w:val="17"/>
          <w:szCs w:val="17"/>
        </w:rPr>
        <w:t>Presentation to the Société Européenne pour l’Astronomie dans la Culture</w:t>
      </w:r>
      <w:r w:rsidRPr="006A7FFA">
        <w:rPr>
          <w:rFonts w:ascii="Times New Roman" w:hAnsi="Times New Roman" w:cs="Times New Roman"/>
          <w:color w:val="000000" w:themeColor="text1"/>
          <w:sz w:val="17"/>
          <w:szCs w:val="17"/>
        </w:rPr>
        <w:t>, (Graz: Österreich, 2018).</w:t>
      </w:r>
    </w:p>
  </w:footnote>
  <w:footnote w:id="5">
    <w:p w:rsidR="0042465C" w:rsidRDefault="0042465C">
      <w:pPr>
        <w:pStyle w:val="FootnoteText"/>
      </w:pPr>
      <w:r w:rsidRPr="006A7FFA">
        <w:rPr>
          <w:rStyle w:val="FootnoteReference"/>
          <w:rFonts w:ascii="Times New Roman" w:hAnsi="Times New Roman" w:cs="Times New Roman"/>
          <w:sz w:val="17"/>
          <w:szCs w:val="17"/>
        </w:rPr>
        <w:footnoteRef/>
      </w:r>
      <w:r w:rsidRPr="006A7FFA">
        <w:rPr>
          <w:rFonts w:ascii="Times New Roman" w:hAnsi="Times New Roman" w:cs="Times New Roman"/>
          <w:sz w:val="17"/>
          <w:szCs w:val="17"/>
        </w:rPr>
        <w:t xml:space="preserve"> Clive Ruggles, </w:t>
      </w:r>
      <w:r w:rsidRPr="006A7FFA">
        <w:rPr>
          <w:rFonts w:ascii="Times New Roman" w:hAnsi="Times New Roman" w:cs="Times New Roman"/>
          <w:i/>
          <w:sz w:val="17"/>
          <w:szCs w:val="17"/>
        </w:rPr>
        <w:t>Ancient Astronomy: An Encyclopedia of Cosmologies and Myth</w:t>
      </w:r>
      <w:r w:rsidRPr="006A7FFA">
        <w:rPr>
          <w:rFonts w:ascii="Times New Roman" w:hAnsi="Times New Roman" w:cs="Times New Roman"/>
          <w:sz w:val="17"/>
          <w:szCs w:val="17"/>
        </w:rPr>
        <w:t>, (Santa Barbra: ABC-CLIO,</w:t>
      </w:r>
      <w:r>
        <w:rPr>
          <w:rFonts w:ascii="Times New Roman" w:hAnsi="Times New Roman" w:cs="Times New Roman"/>
          <w:sz w:val="17"/>
          <w:szCs w:val="17"/>
        </w:rPr>
        <w:t xml:space="preserve"> </w:t>
      </w:r>
      <w:r w:rsidRPr="006A7FFA">
        <w:rPr>
          <w:rFonts w:ascii="Times New Roman" w:hAnsi="Times New Roman" w:cs="Times New Roman"/>
          <w:sz w:val="17"/>
          <w:szCs w:val="17"/>
        </w:rPr>
        <w:t>2005), p. 19.</w:t>
      </w:r>
    </w:p>
  </w:footnote>
  <w:footnote w:id="6">
    <w:p w:rsidR="0042465C" w:rsidRPr="004B2DBA" w:rsidRDefault="0042465C">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Tim Clayden, ‘Aqar Qūf Before its Excavation in 1942’, </w:t>
      </w:r>
      <w:r w:rsidRPr="004B2DBA">
        <w:rPr>
          <w:rFonts w:ascii="Times New Roman" w:hAnsi="Times New Roman" w:cs="Times New Roman"/>
          <w:i/>
          <w:sz w:val="17"/>
          <w:szCs w:val="17"/>
        </w:rPr>
        <w:t>Al-Rāfidān</w:t>
      </w:r>
      <w:r w:rsidRPr="004B2DBA">
        <w:rPr>
          <w:rFonts w:ascii="Times New Roman" w:hAnsi="Times New Roman" w:cs="Times New Roman"/>
          <w:sz w:val="17"/>
          <w:szCs w:val="17"/>
        </w:rPr>
        <w:t xml:space="preserve"> 31 (2010), pp. 1-31.</w:t>
      </w:r>
    </w:p>
  </w:footnote>
  <w:footnote w:id="7">
    <w:p w:rsidR="0042465C" w:rsidRPr="004B2DBA" w:rsidRDefault="0042465C">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Taha Baqir, ‘Iraq Government Excavations at ‘Aqar Qūf Third Interim Report, 1944-5’, </w:t>
      </w:r>
      <w:r w:rsidRPr="004B2DBA">
        <w:rPr>
          <w:rFonts w:ascii="Times New Roman" w:hAnsi="Times New Roman" w:cs="Times New Roman"/>
          <w:i/>
          <w:sz w:val="17"/>
          <w:szCs w:val="17"/>
        </w:rPr>
        <w:t>Iraq</w:t>
      </w:r>
      <w:r w:rsidRPr="004B2DBA">
        <w:rPr>
          <w:rFonts w:ascii="Times New Roman" w:hAnsi="Times New Roman" w:cs="Times New Roman"/>
          <w:sz w:val="17"/>
          <w:szCs w:val="17"/>
        </w:rPr>
        <w:t xml:space="preserve"> 8 (1946), pp. 73-93.</w:t>
      </w:r>
    </w:p>
  </w:footnote>
  <w:footnote w:id="8">
    <w:p w:rsidR="0042465C" w:rsidRPr="004B2DBA" w:rsidRDefault="0042465C">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w:t>
      </w:r>
      <w:r>
        <w:rPr>
          <w:rFonts w:ascii="Times New Roman" w:hAnsi="Times New Roman" w:cs="Times New Roman"/>
          <w:sz w:val="17"/>
          <w:szCs w:val="17"/>
        </w:rPr>
        <w:t xml:space="preserve">Muhammad </w:t>
      </w:r>
      <w:r w:rsidRPr="004B2DBA">
        <w:rPr>
          <w:rFonts w:ascii="Times New Roman" w:hAnsi="Times New Roman" w:cs="Times New Roman"/>
          <w:sz w:val="17"/>
          <w:szCs w:val="17"/>
        </w:rPr>
        <w:t xml:space="preserve">Jasim, ‘Tell Abu Shijar near ‘Aqar Quf: Summary of Excavations, </w:t>
      </w:r>
      <w:r w:rsidRPr="004B2DBA">
        <w:rPr>
          <w:rFonts w:ascii="Times New Roman" w:hAnsi="Times New Roman" w:cs="Times New Roman"/>
          <w:i/>
          <w:sz w:val="17"/>
          <w:szCs w:val="17"/>
        </w:rPr>
        <w:t>Akkadica</w:t>
      </w:r>
      <w:r w:rsidRPr="004B2DBA">
        <w:rPr>
          <w:rFonts w:ascii="Times New Roman" w:hAnsi="Times New Roman" w:cs="Times New Roman"/>
          <w:sz w:val="17"/>
          <w:szCs w:val="17"/>
        </w:rPr>
        <w:t xml:space="preserve"> 127 (2006), pp. 155-166.</w:t>
      </w:r>
    </w:p>
  </w:footnote>
  <w:footnote w:id="9">
    <w:p w:rsidR="0042465C" w:rsidRPr="004B2DBA" w:rsidRDefault="0042465C">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Tim Clayden, ‘Dūr-Kurigalzu: New Perspectives’, in </w:t>
      </w:r>
      <w:r w:rsidRPr="004B2DBA">
        <w:rPr>
          <w:rFonts w:ascii="Times New Roman" w:hAnsi="Times New Roman" w:cs="Times New Roman"/>
          <w:i/>
          <w:sz w:val="17"/>
          <w:szCs w:val="17"/>
        </w:rPr>
        <w:t>Karduniaš: Babylonia Under the Kassites</w:t>
      </w:r>
      <w:r w:rsidRPr="004B2DBA">
        <w:rPr>
          <w:rFonts w:ascii="Times New Roman" w:hAnsi="Times New Roman" w:cs="Times New Roman"/>
          <w:sz w:val="17"/>
          <w:szCs w:val="17"/>
        </w:rPr>
        <w:t>, Vol. II, ed. by Alexa Bartelmus and Katja Sternitzke, (Berlin: de Gruyter, 2017), pp. 439-440.</w:t>
      </w:r>
    </w:p>
  </w:footnote>
  <w:footnote w:id="10">
    <w:p w:rsidR="0042465C" w:rsidRPr="004B2DBA" w:rsidRDefault="0042465C">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Kurigalzu I as the 17</w:t>
      </w:r>
      <w:r w:rsidRPr="004B2DBA">
        <w:rPr>
          <w:rFonts w:ascii="Times New Roman" w:hAnsi="Times New Roman" w:cs="Times New Roman"/>
          <w:sz w:val="17"/>
          <w:szCs w:val="17"/>
          <w:vertAlign w:val="superscript"/>
        </w:rPr>
        <w:t>th</w:t>
      </w:r>
      <w:r w:rsidRPr="004B2DBA">
        <w:rPr>
          <w:rFonts w:ascii="Times New Roman" w:hAnsi="Times New Roman" w:cs="Times New Roman"/>
          <w:sz w:val="17"/>
          <w:szCs w:val="17"/>
        </w:rPr>
        <w:t xml:space="preserve"> king is an approximation. The chronology of Kassite royal succession for kings 15-21 is uncertain. See John Brinkman, </w:t>
      </w:r>
      <w:r w:rsidRPr="004B2DBA">
        <w:rPr>
          <w:rFonts w:ascii="Times New Roman" w:hAnsi="Times New Roman" w:cs="Times New Roman"/>
          <w:i/>
          <w:sz w:val="17"/>
          <w:szCs w:val="17"/>
        </w:rPr>
        <w:t>Materials and Studies for Kassite History</w:t>
      </w:r>
      <w:r w:rsidRPr="004B2DBA">
        <w:rPr>
          <w:rFonts w:ascii="Times New Roman" w:hAnsi="Times New Roman" w:cs="Times New Roman"/>
          <w:sz w:val="17"/>
          <w:szCs w:val="17"/>
        </w:rPr>
        <w:t>, Vol. I, (Chicago: The Oriental Institute, 1976), p. 15.</w:t>
      </w:r>
    </w:p>
  </w:footnote>
  <w:footnote w:id="11">
    <w:p w:rsidR="0042465C" w:rsidRPr="004B2DBA" w:rsidRDefault="0042465C">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Clayden, ‘Dūr-Kurigalzu’ (2017), p. 446.</w:t>
      </w:r>
    </w:p>
  </w:footnote>
  <w:footnote w:id="12">
    <w:p w:rsidR="0042465C" w:rsidRDefault="0042465C">
      <w:pPr>
        <w:pStyle w:val="FootnoteText"/>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Susanne Paulus, ‘Foreigners under Foreign Rulers: The Case of Kassite Babylonia (2</w:t>
      </w:r>
      <w:r w:rsidRPr="004B2DBA">
        <w:rPr>
          <w:rFonts w:ascii="Times New Roman" w:hAnsi="Times New Roman" w:cs="Times New Roman"/>
          <w:sz w:val="17"/>
          <w:szCs w:val="17"/>
          <w:vertAlign w:val="superscript"/>
        </w:rPr>
        <w:t>nd</w:t>
      </w:r>
      <w:r w:rsidRPr="004B2DBA">
        <w:rPr>
          <w:rFonts w:ascii="Times New Roman" w:hAnsi="Times New Roman" w:cs="Times New Roman"/>
          <w:sz w:val="17"/>
          <w:szCs w:val="17"/>
        </w:rPr>
        <w:t xml:space="preserve"> half of the 2</w:t>
      </w:r>
      <w:r w:rsidRPr="004B2DBA">
        <w:rPr>
          <w:rFonts w:ascii="Times New Roman" w:hAnsi="Times New Roman" w:cs="Times New Roman"/>
          <w:sz w:val="17"/>
          <w:szCs w:val="17"/>
          <w:vertAlign w:val="superscript"/>
        </w:rPr>
        <w:t>nd</w:t>
      </w:r>
      <w:r w:rsidRPr="004B2DBA">
        <w:rPr>
          <w:rFonts w:ascii="Times New Roman" w:hAnsi="Times New Roman" w:cs="Times New Roman"/>
          <w:sz w:val="17"/>
          <w:szCs w:val="17"/>
        </w:rPr>
        <w:t xml:space="preserve"> millennium BC)’, in </w:t>
      </w:r>
      <w:r w:rsidRPr="004B2DBA">
        <w:rPr>
          <w:rFonts w:ascii="Times New Roman" w:hAnsi="Times New Roman" w:cs="Times New Roman"/>
          <w:i/>
          <w:sz w:val="17"/>
          <w:szCs w:val="17"/>
        </w:rPr>
        <w:t>The Foreigner and the Law: Perspectives from the Hebrew Bible and the Ancient Near East</w:t>
      </w:r>
      <w:r w:rsidRPr="004B2DBA">
        <w:rPr>
          <w:rFonts w:ascii="Times New Roman" w:hAnsi="Times New Roman" w:cs="Times New Roman"/>
          <w:sz w:val="17"/>
          <w:szCs w:val="17"/>
        </w:rPr>
        <w:t>, Reinhard Achenbach, Rainer Albertz and</w:t>
      </w:r>
      <w:r w:rsidRPr="009E05AB">
        <w:rPr>
          <w:rFonts w:ascii="Times New Roman" w:hAnsi="Times New Roman" w:cs="Times New Roman"/>
          <w:sz w:val="17"/>
          <w:szCs w:val="17"/>
        </w:rPr>
        <w:t xml:space="preserve"> Jakob Wöhrle (eds), (Wiesbaden: Harrassowitz Verlag, 2011), pp. 4-5.</w:t>
      </w:r>
      <w:r>
        <w:t xml:space="preserve"> </w:t>
      </w:r>
    </w:p>
  </w:footnote>
  <w:footnote w:id="13">
    <w:p w:rsidR="0042465C" w:rsidRPr="00B62EE5" w:rsidRDefault="0042465C">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Brinkman, </w:t>
      </w:r>
      <w:r w:rsidRPr="00B62EE5">
        <w:rPr>
          <w:rFonts w:ascii="Times New Roman" w:hAnsi="Times New Roman" w:cs="Times New Roman"/>
          <w:i/>
          <w:sz w:val="17"/>
          <w:szCs w:val="17"/>
        </w:rPr>
        <w:t xml:space="preserve">Materials and Studies </w:t>
      </w:r>
      <w:r w:rsidRPr="00B62EE5">
        <w:rPr>
          <w:rFonts w:ascii="Times New Roman" w:hAnsi="Times New Roman" w:cs="Times New Roman"/>
          <w:sz w:val="17"/>
          <w:szCs w:val="17"/>
        </w:rPr>
        <w:t>(1976), p. 8.</w:t>
      </w:r>
    </w:p>
  </w:footnote>
  <w:footnote w:id="14">
    <w:p w:rsidR="0042465C" w:rsidRPr="00B62EE5" w:rsidRDefault="0042465C">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Clayden, ‘Dūr-Kurigalzu’ (2017), p. 453.</w:t>
      </w:r>
    </w:p>
  </w:footnote>
  <w:footnote w:id="15">
    <w:p w:rsidR="0042465C" w:rsidRPr="00B62EE5" w:rsidRDefault="0042465C">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Clayden, ‘Aqar Qūf ’, (2010), p. 1.</w:t>
      </w:r>
    </w:p>
  </w:footnote>
  <w:footnote w:id="16">
    <w:p w:rsidR="0042465C" w:rsidRPr="00B62EE5" w:rsidRDefault="0042465C">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Clayden, ‘Aqar Qūf ’, (2010), p. 2.</w:t>
      </w:r>
    </w:p>
  </w:footnote>
  <w:footnote w:id="17">
    <w:p w:rsidR="0042465C" w:rsidRPr="00B62EE5" w:rsidRDefault="0042465C" w:rsidP="001F5785">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Tim Clayden, ‘Moulded Mud-Brick at Dur Kurigalzu’, </w:t>
      </w:r>
      <w:r w:rsidRPr="00B62EE5">
        <w:rPr>
          <w:rFonts w:ascii="Times New Roman" w:hAnsi="Times New Roman" w:cs="Times New Roman"/>
          <w:i/>
          <w:sz w:val="17"/>
          <w:szCs w:val="17"/>
        </w:rPr>
        <w:t>Al-Rāfidān</w:t>
      </w:r>
      <w:r w:rsidRPr="00B62EE5">
        <w:rPr>
          <w:rFonts w:ascii="Times New Roman" w:hAnsi="Times New Roman" w:cs="Times New Roman"/>
          <w:sz w:val="17"/>
          <w:szCs w:val="17"/>
        </w:rPr>
        <w:t xml:space="preserve"> 21 (2000), pp. 71-83.</w:t>
      </w:r>
    </w:p>
  </w:footnote>
  <w:footnote w:id="18">
    <w:p w:rsidR="0042465C" w:rsidRPr="00B62EE5" w:rsidRDefault="0042465C">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Taha Baqir, ‘Iraq Government Excavations at ‘Aqar Qūf First Interim Report, 1942-1943’, </w:t>
      </w:r>
      <w:r w:rsidRPr="00B62EE5">
        <w:rPr>
          <w:rFonts w:ascii="Times New Roman" w:hAnsi="Times New Roman" w:cs="Times New Roman"/>
          <w:i/>
          <w:sz w:val="17"/>
          <w:szCs w:val="17"/>
        </w:rPr>
        <w:t>Iraq</w:t>
      </w:r>
      <w:r w:rsidRPr="00B62EE5">
        <w:rPr>
          <w:rFonts w:ascii="Times New Roman" w:hAnsi="Times New Roman" w:cs="Times New Roman"/>
          <w:sz w:val="17"/>
          <w:szCs w:val="17"/>
        </w:rPr>
        <w:t xml:space="preserve"> Supplement 1 (1944), p. 5.</w:t>
      </w:r>
    </w:p>
  </w:footnote>
  <w:footnote w:id="19">
    <w:p w:rsidR="0042465C" w:rsidRPr="00DF1B9A" w:rsidRDefault="0042465C">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Helen Malko, ‘Dūr-Kurigalzu: Insights from Unpublished Iraqi Excavation Reports’, in </w:t>
      </w:r>
      <w:r w:rsidRPr="00B62EE5">
        <w:rPr>
          <w:rFonts w:ascii="Times New Roman" w:hAnsi="Times New Roman" w:cs="Times New Roman"/>
          <w:i/>
          <w:sz w:val="17"/>
          <w:szCs w:val="17"/>
        </w:rPr>
        <w:t>Karduniaš: Babylonia Under the Kassites</w:t>
      </w:r>
      <w:r w:rsidRPr="00B62EE5">
        <w:rPr>
          <w:rFonts w:ascii="Times New Roman" w:hAnsi="Times New Roman" w:cs="Times New Roman"/>
          <w:sz w:val="17"/>
          <w:szCs w:val="17"/>
        </w:rPr>
        <w:t>, Vol. II, ed. by Alexa Bartelmus and Katja Sternitzke, (Berlin: de Gruyter, 2017), pp. 484-485</w:t>
      </w:r>
    </w:p>
  </w:footnote>
  <w:footnote w:id="20">
    <w:p w:rsidR="0042465C" w:rsidRPr="00DF1B9A" w:rsidRDefault="0042465C" w:rsidP="001F5785">
      <w:pPr>
        <w:pStyle w:val="FootnoteText"/>
        <w:rPr>
          <w:rFonts w:ascii="Times New Roman" w:hAnsi="Times New Roman" w:cs="Times New Roman"/>
          <w:sz w:val="17"/>
          <w:szCs w:val="17"/>
        </w:rPr>
      </w:pPr>
      <w:r w:rsidRPr="00DF1B9A">
        <w:rPr>
          <w:rStyle w:val="FootnoteReference"/>
          <w:rFonts w:ascii="Times New Roman" w:hAnsi="Times New Roman" w:cs="Times New Roman"/>
          <w:sz w:val="17"/>
          <w:szCs w:val="17"/>
        </w:rPr>
        <w:footnoteRef/>
      </w:r>
      <w:r w:rsidRPr="00DF1B9A">
        <w:rPr>
          <w:rFonts w:ascii="Times New Roman" w:hAnsi="Times New Roman" w:cs="Times New Roman"/>
          <w:sz w:val="17"/>
          <w:szCs w:val="17"/>
        </w:rPr>
        <w:t xml:space="preserve"> Bakir ‘First Interim Report’ (1944), p. 6.</w:t>
      </w:r>
    </w:p>
  </w:footnote>
  <w:footnote w:id="21">
    <w:p w:rsidR="0042465C" w:rsidRPr="00B06497" w:rsidRDefault="0042465C">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Clayden, ‘Dūr-Kurigalzu’ (2017), p. 456, n. 62.</w:t>
      </w:r>
    </w:p>
  </w:footnote>
  <w:footnote w:id="22">
    <w:p w:rsidR="0042465C" w:rsidRPr="00B06497" w:rsidRDefault="0042465C">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Enlil</w:t>
      </w:r>
      <w:r w:rsidR="00197070">
        <w:rPr>
          <w:rFonts w:ascii="Times New Roman" w:hAnsi="Times New Roman" w:cs="Times New Roman"/>
          <w:sz w:val="17"/>
          <w:szCs w:val="17"/>
        </w:rPr>
        <w:t xml:space="preserve"> was associated with the Boötes constellation, of which the bright star Arcturus has a declination of +19.11 </w:t>
      </w:r>
      <w:r w:rsidRPr="00B06497">
        <w:rPr>
          <w:rFonts w:ascii="Times New Roman" w:hAnsi="Times New Roman" w:cs="Times New Roman"/>
          <w:sz w:val="17"/>
          <w:szCs w:val="17"/>
        </w:rPr>
        <w:t xml:space="preserve">and </w:t>
      </w:r>
      <w:r w:rsidR="00197070">
        <w:rPr>
          <w:rFonts w:ascii="Times New Roman" w:hAnsi="Times New Roman" w:cs="Times New Roman"/>
          <w:sz w:val="17"/>
          <w:szCs w:val="17"/>
        </w:rPr>
        <w:t xml:space="preserve">does not correspond to the declinations from the measurements </w:t>
      </w:r>
      <w:r w:rsidR="00A045DF">
        <w:rPr>
          <w:rFonts w:ascii="Times New Roman" w:hAnsi="Times New Roman" w:cs="Times New Roman"/>
          <w:sz w:val="17"/>
          <w:szCs w:val="17"/>
        </w:rPr>
        <w:t>taken in this study</w:t>
      </w:r>
      <w:r w:rsidR="00197070">
        <w:rPr>
          <w:rFonts w:ascii="Times New Roman" w:hAnsi="Times New Roman" w:cs="Times New Roman"/>
          <w:sz w:val="17"/>
          <w:szCs w:val="17"/>
        </w:rPr>
        <w:t>. Enlil’s temple</w:t>
      </w:r>
      <w:r w:rsidR="00A045DF">
        <w:rPr>
          <w:rFonts w:ascii="Times New Roman" w:hAnsi="Times New Roman" w:cs="Times New Roman"/>
          <w:sz w:val="17"/>
          <w:szCs w:val="17"/>
        </w:rPr>
        <w:t xml:space="preserve"> </w:t>
      </w:r>
      <w:r w:rsidR="00A045DF" w:rsidRPr="00B06497">
        <w:rPr>
          <w:rFonts w:ascii="Times New Roman" w:hAnsi="Times New Roman" w:cs="Times New Roman"/>
          <w:sz w:val="17"/>
          <w:szCs w:val="17"/>
        </w:rPr>
        <w:t>temple at Dūr-Kurigalzu</w:t>
      </w:r>
      <w:r w:rsidRPr="00B06497">
        <w:rPr>
          <w:rFonts w:ascii="Times New Roman" w:hAnsi="Times New Roman" w:cs="Times New Roman"/>
          <w:sz w:val="17"/>
          <w:szCs w:val="17"/>
        </w:rPr>
        <w:t xml:space="preserve"> was called, ‘House of the Great Lord’ (Sum. </w:t>
      </w:r>
      <w:r w:rsidRPr="00B06497">
        <w:rPr>
          <w:rFonts w:ascii="Times New Roman" w:hAnsi="Times New Roman" w:cs="Times New Roman"/>
          <w:i/>
          <w:sz w:val="17"/>
          <w:szCs w:val="17"/>
        </w:rPr>
        <w:t>é.u.gal</w:t>
      </w:r>
      <w:r w:rsidRPr="00B06497">
        <w:rPr>
          <w:rFonts w:ascii="Times New Roman" w:hAnsi="Times New Roman" w:cs="Times New Roman"/>
          <w:sz w:val="17"/>
          <w:szCs w:val="17"/>
        </w:rPr>
        <w:t xml:space="preserve">). The temple of Ninurta at Dūr-Kurigalzu was called, ‘Foremost House of the Gods’ (Sum. </w:t>
      </w:r>
      <w:r w:rsidRPr="00B06497">
        <w:rPr>
          <w:rFonts w:ascii="Times New Roman" w:hAnsi="Times New Roman" w:cs="Times New Roman"/>
          <w:i/>
          <w:sz w:val="17"/>
          <w:szCs w:val="17"/>
        </w:rPr>
        <w:t>é.saĝ.diĝir.(re).e.ne</w:t>
      </w:r>
      <w:r w:rsidRPr="00B06497">
        <w:rPr>
          <w:rFonts w:ascii="Times New Roman" w:hAnsi="Times New Roman" w:cs="Times New Roman"/>
          <w:sz w:val="17"/>
          <w:szCs w:val="17"/>
        </w:rPr>
        <w:t xml:space="preserve">) and the temple of Ninlil was known as, ‘House of the Lady on High’ (Sum. </w:t>
      </w:r>
      <w:r w:rsidRPr="00B06497">
        <w:rPr>
          <w:rFonts w:ascii="Times New Roman" w:hAnsi="Times New Roman" w:cs="Times New Roman"/>
          <w:i/>
          <w:sz w:val="17"/>
          <w:szCs w:val="17"/>
        </w:rPr>
        <w:t>é.gašan.an.ta.ĝál</w:t>
      </w:r>
      <w:r w:rsidRPr="00B06497">
        <w:rPr>
          <w:rFonts w:ascii="Times New Roman" w:hAnsi="Times New Roman" w:cs="Times New Roman"/>
          <w:sz w:val="17"/>
          <w:szCs w:val="17"/>
        </w:rPr>
        <w:t xml:space="preserve">). George, </w:t>
      </w:r>
      <w:r w:rsidRPr="00B06497">
        <w:rPr>
          <w:rFonts w:ascii="Times New Roman" w:hAnsi="Times New Roman" w:cs="Times New Roman"/>
          <w:i/>
          <w:sz w:val="17"/>
          <w:szCs w:val="17"/>
        </w:rPr>
        <w:t xml:space="preserve">House Most High </w:t>
      </w:r>
      <w:r w:rsidRPr="00B06497">
        <w:rPr>
          <w:rFonts w:ascii="Times New Roman" w:hAnsi="Times New Roman" w:cs="Times New Roman"/>
          <w:sz w:val="17"/>
          <w:szCs w:val="17"/>
        </w:rPr>
        <w:t xml:space="preserve">(1993), pp. 90, 139, 152. </w:t>
      </w:r>
    </w:p>
  </w:footnote>
  <w:footnote w:id="23">
    <w:p w:rsidR="0042465C" w:rsidRPr="00B06497" w:rsidRDefault="0042465C">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Clayden, ‘Dūr-Kurigalzu’ (2017), p. 457.</w:t>
      </w:r>
    </w:p>
  </w:footnote>
  <w:footnote w:id="24">
    <w:p w:rsidR="0042465C" w:rsidRPr="00B06497" w:rsidRDefault="0042465C">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Herman Hunger and David Pingree, </w:t>
      </w:r>
      <w:r w:rsidRPr="00B06497">
        <w:rPr>
          <w:rFonts w:ascii="Times New Roman" w:hAnsi="Times New Roman" w:cs="Times New Roman"/>
          <w:i/>
          <w:sz w:val="17"/>
          <w:szCs w:val="17"/>
        </w:rPr>
        <w:t>Astral Sciences in Mesopotamia</w:t>
      </w:r>
      <w:r w:rsidRPr="00B06497">
        <w:rPr>
          <w:rFonts w:ascii="Times New Roman" w:hAnsi="Times New Roman" w:cs="Times New Roman"/>
          <w:sz w:val="17"/>
          <w:szCs w:val="17"/>
        </w:rPr>
        <w:t>, (Leiden: Brill, 1999), pp. 5-8.</w:t>
      </w:r>
    </w:p>
  </w:footnote>
  <w:footnote w:id="25">
    <w:p w:rsidR="0042465C" w:rsidRPr="00B06497" w:rsidRDefault="0042465C">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w:t>
      </w:r>
      <w:r w:rsidRPr="00B06497">
        <w:rPr>
          <w:rFonts w:ascii="Times New Roman" w:hAnsi="Times New Roman" w:cs="Times New Roman"/>
          <w:color w:val="000000" w:themeColor="text1"/>
          <w:sz w:val="17"/>
          <w:szCs w:val="17"/>
          <w:shd w:val="clear" w:color="auto" w:fill="FFFFFF"/>
        </w:rPr>
        <w:t>Sparavigna, ‘A Ziggurat and the Moon’, (2016), p. 2.</w:t>
      </w:r>
    </w:p>
  </w:footnote>
  <w:footnote w:id="26">
    <w:p w:rsidR="0042465C" w:rsidRPr="00B06497" w:rsidRDefault="0042465C">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w:t>
      </w:r>
      <w:r w:rsidRPr="00B06497">
        <w:rPr>
          <w:rFonts w:ascii="Times New Roman" w:hAnsi="Times New Roman" w:cs="Times New Roman"/>
          <w:color w:val="000000" w:themeColor="text1"/>
          <w:sz w:val="17"/>
          <w:szCs w:val="17"/>
        </w:rPr>
        <w:t>Nadali and Polcaro, ‘The Sky from the High Terrace’ (2016), pp. 106-107.</w:t>
      </w:r>
    </w:p>
  </w:footnote>
  <w:footnote w:id="27">
    <w:p w:rsidR="0042465C" w:rsidRPr="0033428D" w:rsidRDefault="0042465C">
      <w:pPr>
        <w:pStyle w:val="FootnoteText"/>
        <w:rPr>
          <w:rFonts w:ascii="Times New Roman" w:hAnsi="Times New Roman" w:cs="Times New Roman"/>
          <w:sz w:val="17"/>
          <w:szCs w:val="17"/>
        </w:rPr>
      </w:pPr>
      <w:r w:rsidRPr="0033428D">
        <w:rPr>
          <w:rStyle w:val="FootnoteReference"/>
          <w:rFonts w:ascii="Times New Roman" w:hAnsi="Times New Roman" w:cs="Times New Roman"/>
          <w:sz w:val="17"/>
          <w:szCs w:val="17"/>
        </w:rPr>
        <w:footnoteRef/>
      </w:r>
      <w:r w:rsidRPr="0033428D">
        <w:rPr>
          <w:rFonts w:ascii="Times New Roman" w:hAnsi="Times New Roman" w:cs="Times New Roman"/>
          <w:sz w:val="17"/>
          <w:szCs w:val="17"/>
        </w:rPr>
        <w:t xml:space="preserve"> </w:t>
      </w:r>
      <w:r w:rsidRPr="0033428D">
        <w:rPr>
          <w:rFonts w:ascii="Times New Roman" w:hAnsi="Times New Roman" w:cs="Times New Roman"/>
          <w:color w:val="000000" w:themeColor="text1"/>
          <w:sz w:val="17"/>
          <w:szCs w:val="17"/>
        </w:rPr>
        <w:t xml:space="preserve">Tiede, ‘Ziggurats of Mesopotamia ‘, (2018), p. </w:t>
      </w:r>
      <w:r>
        <w:rPr>
          <w:rFonts w:ascii="Times New Roman" w:hAnsi="Times New Roman" w:cs="Times New Roman"/>
          <w:color w:val="000000" w:themeColor="text1"/>
          <w:sz w:val="17"/>
          <w:szCs w:val="17"/>
        </w:rPr>
        <w:t>2</w:t>
      </w:r>
      <w:r w:rsidRPr="0033428D">
        <w:rPr>
          <w:rFonts w:ascii="Times New Roman" w:hAnsi="Times New Roman" w:cs="Times New Roman"/>
          <w:color w:val="000000" w:themeColor="text1"/>
          <w:sz w:val="17"/>
          <w:szCs w:val="17"/>
        </w:rPr>
        <w:t>6.</w:t>
      </w:r>
    </w:p>
  </w:footnote>
  <w:footnote w:id="28">
    <w:p w:rsidR="0042465C" w:rsidRPr="00B06497" w:rsidRDefault="0042465C" w:rsidP="00B06497">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w:t>
      </w:r>
      <w:r w:rsidRPr="00B06497">
        <w:rPr>
          <w:rFonts w:ascii="Times New Roman" w:hAnsi="Times New Roman" w:cs="Times New Roman"/>
          <w:color w:val="000000" w:themeColor="text1"/>
          <w:sz w:val="17"/>
          <w:szCs w:val="17"/>
          <w:shd w:val="clear" w:color="auto" w:fill="FFFFFF"/>
        </w:rPr>
        <w:t>Sparavigna, ‘A Ziggurat and the Moon’, (2016), p. 2.</w:t>
      </w:r>
    </w:p>
  </w:footnote>
  <w:footnote w:id="29">
    <w:p w:rsidR="0042465C" w:rsidRPr="00B06497" w:rsidRDefault="0042465C" w:rsidP="00B06497">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w:t>
      </w:r>
      <w:r w:rsidRPr="00B06497">
        <w:rPr>
          <w:rFonts w:ascii="Times New Roman" w:hAnsi="Times New Roman" w:cs="Times New Roman"/>
          <w:color w:val="000000" w:themeColor="text1"/>
          <w:sz w:val="17"/>
          <w:szCs w:val="17"/>
        </w:rPr>
        <w:t>Nadali and Polcaro, ‘The Sky from the High Terrace’ (2016), p. 106.</w:t>
      </w:r>
    </w:p>
  </w:footnote>
  <w:footnote w:id="30">
    <w:p w:rsidR="0042465C" w:rsidRPr="00B06497" w:rsidRDefault="0042465C" w:rsidP="00B06497">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For detailed information on the </w:t>
      </w:r>
      <w:r w:rsidRPr="00B06497">
        <w:rPr>
          <w:rFonts w:ascii="Times New Roman" w:hAnsi="Times New Roman" w:cs="Times New Roman"/>
          <w:i/>
          <w:sz w:val="17"/>
          <w:szCs w:val="17"/>
        </w:rPr>
        <w:t>akītu</w:t>
      </w:r>
      <w:r w:rsidRPr="00B06497">
        <w:rPr>
          <w:rFonts w:ascii="Times New Roman" w:hAnsi="Times New Roman" w:cs="Times New Roman"/>
          <w:sz w:val="17"/>
          <w:szCs w:val="17"/>
        </w:rPr>
        <w:t xml:space="preserve"> festival and its many variations see Mark Cohen, </w:t>
      </w:r>
      <w:r w:rsidRPr="00B06497">
        <w:rPr>
          <w:rFonts w:ascii="Times New Roman" w:hAnsi="Times New Roman" w:cs="Times New Roman"/>
          <w:i/>
          <w:sz w:val="17"/>
          <w:szCs w:val="17"/>
        </w:rPr>
        <w:t>The Cultic Calendars of the Ancient Near East</w:t>
      </w:r>
      <w:r w:rsidRPr="00B06497">
        <w:rPr>
          <w:rFonts w:ascii="Times New Roman" w:hAnsi="Times New Roman" w:cs="Times New Roman"/>
          <w:sz w:val="17"/>
          <w:szCs w:val="17"/>
        </w:rPr>
        <w:t xml:space="preserve">, (Bethesda: CDL Press, 1993), pp. 400-453. </w:t>
      </w:r>
    </w:p>
  </w:footnote>
  <w:footnote w:id="31">
    <w:p w:rsidR="0042465C" w:rsidRDefault="0042465C" w:rsidP="00B06497">
      <w:pPr>
        <w:pStyle w:val="FootnoteText"/>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w:t>
      </w:r>
      <w:r w:rsidRPr="00B06497">
        <w:rPr>
          <w:rFonts w:ascii="Times New Roman" w:hAnsi="Times New Roman" w:cs="Times New Roman"/>
          <w:color w:val="000000" w:themeColor="text1"/>
          <w:sz w:val="17"/>
          <w:szCs w:val="17"/>
        </w:rPr>
        <w:t>Nadali and Polcaro, ‘The Sky from the High Terrace’ (2016), p. 107.</w:t>
      </w:r>
    </w:p>
  </w:footnote>
  <w:footnote w:id="32">
    <w:p w:rsidR="0042465C" w:rsidRDefault="0042465C">
      <w:pPr>
        <w:pStyle w:val="FootnoteText"/>
      </w:pPr>
      <w:r w:rsidRPr="0033428D">
        <w:rPr>
          <w:rStyle w:val="FootnoteReference"/>
          <w:rFonts w:ascii="Times New Roman" w:hAnsi="Times New Roman" w:cs="Times New Roman"/>
          <w:sz w:val="17"/>
          <w:szCs w:val="17"/>
        </w:rPr>
        <w:footnoteRef/>
      </w:r>
      <w:r w:rsidRPr="0033428D">
        <w:rPr>
          <w:rFonts w:ascii="Times New Roman" w:hAnsi="Times New Roman" w:cs="Times New Roman"/>
          <w:sz w:val="17"/>
          <w:szCs w:val="17"/>
        </w:rPr>
        <w:t xml:space="preserve"> </w:t>
      </w:r>
      <w:r>
        <w:rPr>
          <w:rFonts w:ascii="Times New Roman" w:hAnsi="Times New Roman" w:cs="Times New Roman"/>
          <w:sz w:val="17"/>
          <w:szCs w:val="17"/>
        </w:rPr>
        <w:t>(</w:t>
      </w:r>
      <w:r w:rsidRPr="0033428D">
        <w:rPr>
          <w:rFonts w:ascii="Times New Roman" w:hAnsi="Times New Roman" w:cs="Times New Roman"/>
          <w:sz w:val="17"/>
          <w:szCs w:val="17"/>
        </w:rPr>
        <w:t>DK4-27</w:t>
      </w:r>
      <w:r>
        <w:rPr>
          <w:rFonts w:ascii="Times New Roman" w:hAnsi="Times New Roman" w:cs="Times New Roman"/>
          <w:sz w:val="17"/>
          <w:szCs w:val="17"/>
        </w:rPr>
        <w:t xml:space="preserve">) </w:t>
      </w:r>
      <w:r w:rsidRPr="0033428D">
        <w:rPr>
          <w:rFonts w:ascii="Times New Roman" w:hAnsi="Times New Roman" w:cs="Times New Roman"/>
          <w:sz w:val="17"/>
          <w:szCs w:val="17"/>
        </w:rPr>
        <w:t>Clayden, ‘Dūr-Kurigalzu’ (2017), p. 4</w:t>
      </w:r>
      <w:r>
        <w:rPr>
          <w:rFonts w:ascii="Times New Roman" w:hAnsi="Times New Roman" w:cs="Times New Roman"/>
          <w:sz w:val="17"/>
          <w:szCs w:val="17"/>
        </w:rPr>
        <w:t>64</w:t>
      </w:r>
      <w:r w:rsidRPr="0033428D">
        <w:rPr>
          <w:rFonts w:ascii="Times New Roman" w:hAnsi="Times New Roman" w:cs="Times New Roman"/>
          <w:sz w:val="17"/>
          <w:szCs w:val="17"/>
        </w:rPr>
        <w:t>.</w:t>
      </w:r>
    </w:p>
  </w:footnote>
  <w:footnote w:id="33">
    <w:p w:rsidR="0042465C" w:rsidRPr="00C63195" w:rsidRDefault="0042465C">
      <w:pPr>
        <w:pStyle w:val="FootnoteText"/>
        <w:rPr>
          <w:rFonts w:ascii="Times New Roman" w:hAnsi="Times New Roman" w:cs="Times New Roman"/>
          <w:sz w:val="17"/>
          <w:szCs w:val="17"/>
        </w:rPr>
      </w:pPr>
      <w:r w:rsidRPr="00C63195">
        <w:rPr>
          <w:rStyle w:val="FootnoteReference"/>
          <w:rFonts w:ascii="Times New Roman" w:hAnsi="Times New Roman" w:cs="Times New Roman"/>
          <w:sz w:val="17"/>
          <w:szCs w:val="17"/>
        </w:rPr>
        <w:footnoteRef/>
      </w:r>
      <w:r w:rsidRPr="00C63195">
        <w:rPr>
          <w:rFonts w:ascii="Times New Roman" w:hAnsi="Times New Roman" w:cs="Times New Roman"/>
          <w:sz w:val="17"/>
          <w:szCs w:val="17"/>
        </w:rPr>
        <w:t xml:space="preserve"> (IM 5009) Fragment A (Col. v. Ln. 1-17) Niek Veldhuis, ‘Kurigalzu’s Statue Inscription’, </w:t>
      </w:r>
      <w:r w:rsidRPr="00C63195">
        <w:rPr>
          <w:rFonts w:ascii="Times New Roman" w:hAnsi="Times New Roman" w:cs="Times New Roman"/>
          <w:i/>
          <w:sz w:val="17"/>
          <w:szCs w:val="17"/>
        </w:rPr>
        <w:t>Journal of Cuneiform Studies</w:t>
      </w:r>
      <w:r w:rsidRPr="00C63195">
        <w:rPr>
          <w:rFonts w:ascii="Times New Roman" w:hAnsi="Times New Roman" w:cs="Times New Roman"/>
          <w:sz w:val="17"/>
          <w:szCs w:val="17"/>
        </w:rPr>
        <w:t xml:space="preserve"> 60 (2008), p .33.</w:t>
      </w:r>
    </w:p>
  </w:footnote>
  <w:footnote w:id="34">
    <w:p w:rsidR="0042465C" w:rsidRPr="00C63195" w:rsidRDefault="0042465C">
      <w:pPr>
        <w:pStyle w:val="FootnoteText"/>
      </w:pPr>
      <w:r w:rsidRPr="00C63195">
        <w:rPr>
          <w:rStyle w:val="FootnoteReference"/>
          <w:rFonts w:ascii="Times New Roman" w:hAnsi="Times New Roman" w:cs="Times New Roman"/>
          <w:sz w:val="17"/>
          <w:szCs w:val="17"/>
        </w:rPr>
        <w:footnoteRef/>
      </w:r>
      <w:r w:rsidRPr="00C63195">
        <w:rPr>
          <w:rFonts w:ascii="Times New Roman" w:hAnsi="Times New Roman" w:cs="Times New Roman"/>
          <w:sz w:val="17"/>
          <w:szCs w:val="17"/>
        </w:rPr>
        <w:t xml:space="preserve"> (IM 550140) Fragment B</w:t>
      </w:r>
      <w:r>
        <w:rPr>
          <w:rFonts w:ascii="Times New Roman" w:hAnsi="Times New Roman" w:cs="Times New Roman"/>
          <w:sz w:val="17"/>
          <w:szCs w:val="17"/>
        </w:rPr>
        <w:t xml:space="preserve">b (Col. ii, Ln. 1-10) Veldhuis, </w:t>
      </w:r>
      <w:r w:rsidRPr="00C63195">
        <w:rPr>
          <w:rFonts w:ascii="Times New Roman" w:hAnsi="Times New Roman" w:cs="Times New Roman"/>
          <w:sz w:val="17"/>
          <w:szCs w:val="17"/>
        </w:rPr>
        <w:t>‘Kurigalzu’s Statue’, (2008), p .38.</w:t>
      </w:r>
    </w:p>
  </w:footnote>
  <w:footnote w:id="35">
    <w:p w:rsidR="0042465C" w:rsidRPr="00E8054B" w:rsidRDefault="0042465C">
      <w:pPr>
        <w:pStyle w:val="FootnoteText"/>
        <w:rPr>
          <w:rFonts w:ascii="Times New Roman" w:hAnsi="Times New Roman" w:cs="Times New Roman"/>
          <w:color w:val="000000" w:themeColor="text1"/>
          <w:sz w:val="17"/>
          <w:szCs w:val="17"/>
        </w:rPr>
      </w:pPr>
      <w:r w:rsidRPr="00E8054B">
        <w:rPr>
          <w:rStyle w:val="FootnoteReference"/>
          <w:rFonts w:ascii="Times New Roman" w:hAnsi="Times New Roman" w:cs="Times New Roman"/>
          <w:color w:val="000000" w:themeColor="text1"/>
          <w:sz w:val="17"/>
          <w:szCs w:val="17"/>
        </w:rPr>
        <w:footnoteRef/>
      </w:r>
      <w:r w:rsidRPr="00E8054B">
        <w:rPr>
          <w:rFonts w:ascii="Times New Roman" w:hAnsi="Times New Roman" w:cs="Times New Roman"/>
          <w:color w:val="000000" w:themeColor="text1"/>
          <w:sz w:val="17"/>
          <w:szCs w:val="17"/>
        </w:rPr>
        <w:t xml:space="preserve"> Tiede, ‘Ziggurats of Mesopotamia ‘, (2018), p. 16. </w:t>
      </w:r>
    </w:p>
  </w:footnote>
  <w:footnote w:id="36">
    <w:p w:rsidR="0042465C" w:rsidRPr="00E8054B" w:rsidRDefault="0042465C">
      <w:pPr>
        <w:pStyle w:val="FootnoteText"/>
        <w:rPr>
          <w:rFonts w:ascii="Times New Roman" w:hAnsi="Times New Roman" w:cs="Times New Roman"/>
          <w:color w:val="000000" w:themeColor="text1"/>
          <w:sz w:val="17"/>
          <w:szCs w:val="17"/>
        </w:rPr>
      </w:pPr>
      <w:r w:rsidRPr="00E8054B">
        <w:rPr>
          <w:rStyle w:val="FootnoteReference"/>
          <w:rFonts w:ascii="Times New Roman" w:hAnsi="Times New Roman" w:cs="Times New Roman"/>
          <w:color w:val="000000" w:themeColor="text1"/>
          <w:sz w:val="17"/>
          <w:szCs w:val="17"/>
        </w:rPr>
        <w:footnoteRef/>
      </w:r>
      <w:r w:rsidRPr="00E8054B">
        <w:rPr>
          <w:rFonts w:ascii="Times New Roman" w:hAnsi="Times New Roman" w:cs="Times New Roman"/>
          <w:color w:val="000000" w:themeColor="text1"/>
          <w:sz w:val="17"/>
          <w:szCs w:val="17"/>
        </w:rPr>
        <w:t xml:space="preserve"> Google Maps uses a Spherical (equatorial) variant of the Mercator projection for its map images, which was developed as a navigation tool based on a rectangular grid with parallel lines of latitude and longitude in order to help navigators since straight l</w:t>
      </w:r>
      <w:r>
        <w:rPr>
          <w:rFonts w:ascii="Times New Roman" w:hAnsi="Times New Roman" w:cs="Times New Roman"/>
          <w:color w:val="000000" w:themeColor="text1"/>
          <w:sz w:val="17"/>
          <w:szCs w:val="17"/>
        </w:rPr>
        <w:t>ines loxodromes or rhumb lines,</w:t>
      </w:r>
      <w:r w:rsidRPr="00E8054B">
        <w:rPr>
          <w:rFonts w:ascii="Times New Roman" w:hAnsi="Times New Roman" w:cs="Times New Roman"/>
          <w:color w:val="000000" w:themeColor="text1"/>
          <w:sz w:val="17"/>
          <w:szCs w:val="17"/>
        </w:rPr>
        <w:t xml:space="preserve"> representing line</w:t>
      </w:r>
      <w:r>
        <w:rPr>
          <w:rFonts w:ascii="Times New Roman" w:hAnsi="Times New Roman" w:cs="Times New Roman"/>
          <w:color w:val="000000" w:themeColor="text1"/>
          <w:sz w:val="17"/>
          <w:szCs w:val="17"/>
        </w:rPr>
        <w:t xml:space="preserve">s of constant compass bearing, </w:t>
      </w:r>
      <w:r w:rsidRPr="00E8054B">
        <w:rPr>
          <w:rFonts w:ascii="Times New Roman" w:hAnsi="Times New Roman" w:cs="Times New Roman"/>
          <w:color w:val="000000" w:themeColor="text1"/>
          <w:sz w:val="17"/>
          <w:szCs w:val="17"/>
        </w:rPr>
        <w:t>perfect for ‘true’ direction.</w:t>
      </w:r>
      <w:r w:rsidRPr="00E8054B">
        <w:rPr>
          <w:rFonts w:ascii="Times New Roman" w:hAnsi="Times New Roman" w:cs="Times New Roman"/>
          <w:i/>
          <w:color w:val="000000" w:themeColor="text1"/>
          <w:sz w:val="17"/>
          <w:szCs w:val="17"/>
        </w:rPr>
        <w:t xml:space="preserve"> Barcelona Field Studies Centre</w:t>
      </w:r>
      <w:r w:rsidRPr="00E8054B">
        <w:rPr>
          <w:rFonts w:ascii="Times New Roman" w:hAnsi="Times New Roman" w:cs="Times New Roman"/>
          <w:color w:val="000000" w:themeColor="text1"/>
          <w:sz w:val="17"/>
          <w:szCs w:val="17"/>
        </w:rPr>
        <w:t xml:space="preserve"> </w:t>
      </w:r>
      <w:hyperlink r:id="rId1" w:history="1">
        <w:r w:rsidRPr="00E8054B">
          <w:rPr>
            <w:rStyle w:val="Hyperlink"/>
            <w:rFonts w:ascii="Times New Roman" w:hAnsi="Times New Roman" w:cs="Times New Roman"/>
            <w:color w:val="000000" w:themeColor="text1"/>
            <w:sz w:val="17"/>
            <w:szCs w:val="17"/>
          </w:rPr>
          <w:t>https://setcompass.com/GoogleMapsProjection.htm</w:t>
        </w:r>
      </w:hyperlink>
      <w:r w:rsidRPr="00E8054B">
        <w:rPr>
          <w:rFonts w:ascii="Times New Roman" w:hAnsi="Times New Roman" w:cs="Times New Roman"/>
          <w:color w:val="000000" w:themeColor="text1"/>
          <w:sz w:val="17"/>
          <w:szCs w:val="17"/>
          <w:u w:val="single"/>
        </w:rPr>
        <w:t>l</w:t>
      </w:r>
      <w:r>
        <w:rPr>
          <w:rFonts w:ascii="Times New Roman" w:hAnsi="Times New Roman" w:cs="Times New Roman"/>
          <w:color w:val="000000" w:themeColor="text1"/>
          <w:sz w:val="17"/>
          <w:szCs w:val="17"/>
        </w:rPr>
        <w:t>.</w:t>
      </w:r>
    </w:p>
  </w:footnote>
  <w:footnote w:id="37">
    <w:p w:rsidR="0042465C" w:rsidRDefault="0042465C">
      <w:pPr>
        <w:pStyle w:val="FootnoteText"/>
      </w:pPr>
      <w:r w:rsidRPr="00E8054B">
        <w:rPr>
          <w:rStyle w:val="FootnoteReference"/>
          <w:rFonts w:ascii="Times New Roman" w:hAnsi="Times New Roman" w:cs="Times New Roman"/>
          <w:color w:val="000000" w:themeColor="text1"/>
          <w:sz w:val="17"/>
          <w:szCs w:val="17"/>
        </w:rPr>
        <w:footnoteRef/>
      </w:r>
      <w:r w:rsidRPr="00E8054B">
        <w:rPr>
          <w:rFonts w:ascii="Times New Roman" w:hAnsi="Times New Roman" w:cs="Times New Roman"/>
          <w:color w:val="000000" w:themeColor="text1"/>
          <w:sz w:val="17"/>
          <w:szCs w:val="17"/>
        </w:rPr>
        <w:t xml:space="preserve"> </w:t>
      </w:r>
      <w:r>
        <w:rPr>
          <w:rFonts w:ascii="Times New Roman" w:hAnsi="Times New Roman" w:cs="Times New Roman"/>
          <w:color w:val="000000" w:themeColor="text1"/>
          <w:sz w:val="17"/>
          <w:szCs w:val="17"/>
        </w:rPr>
        <w:t>Data was entered and calculated in</w:t>
      </w:r>
      <w:r w:rsidRPr="00E8054B">
        <w:rPr>
          <w:rFonts w:ascii="Times New Roman" w:hAnsi="Times New Roman" w:cs="Times New Roman"/>
          <w:color w:val="000000" w:themeColor="text1"/>
          <w:sz w:val="17"/>
          <w:szCs w:val="17"/>
        </w:rPr>
        <w:t xml:space="preserve"> </w:t>
      </w:r>
      <w:r>
        <w:rPr>
          <w:rFonts w:ascii="Times New Roman" w:hAnsi="Times New Roman" w:cs="Times New Roman"/>
          <w:color w:val="000000" w:themeColor="text1"/>
          <w:sz w:val="17"/>
          <w:szCs w:val="17"/>
        </w:rPr>
        <w:t xml:space="preserve">the Declinations tab of the </w:t>
      </w:r>
      <w:r w:rsidRPr="001B7496">
        <w:rPr>
          <w:rFonts w:ascii="Times New Roman" w:hAnsi="Times New Roman" w:cs="Times New Roman"/>
          <w:i/>
          <w:color w:val="000000" w:themeColor="text1"/>
          <w:sz w:val="17"/>
          <w:szCs w:val="17"/>
        </w:rPr>
        <w:t>Skyscape</w:t>
      </w:r>
      <w:r>
        <w:rPr>
          <w:rFonts w:ascii="Times New Roman" w:hAnsi="Times New Roman" w:cs="Times New Roman"/>
          <w:i/>
          <w:color w:val="000000" w:themeColor="text1"/>
          <w:sz w:val="17"/>
          <w:szCs w:val="17"/>
        </w:rPr>
        <w:t>s, Cosmology, and Archaeology Module –Calculations Workbook.</w:t>
      </w:r>
      <w:r w:rsidRPr="00E8054B">
        <w:rPr>
          <w:rFonts w:ascii="Times New Roman" w:hAnsi="Times New Roman" w:cs="Times New Roman"/>
          <w:color w:val="000000" w:themeColor="text1"/>
          <w:sz w:val="17"/>
          <w:szCs w:val="17"/>
        </w:rPr>
        <w:t xml:space="preserve"> provided by Fabio Silva</w:t>
      </w:r>
      <w:r>
        <w:rPr>
          <w:rFonts w:ascii="Times New Roman" w:hAnsi="Times New Roman" w:cs="Times New Roman"/>
          <w:color w:val="000000" w:themeColor="text1"/>
          <w:sz w:val="17"/>
          <w:szCs w:val="17"/>
        </w:rPr>
        <w:t xml:space="preserve"> (2016).</w:t>
      </w:r>
    </w:p>
  </w:footnote>
  <w:footnote w:id="38">
    <w:p w:rsidR="0042465C" w:rsidRPr="008E77EA" w:rsidRDefault="0042465C">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w:t>
      </w:r>
      <w:r>
        <w:rPr>
          <w:rFonts w:ascii="Times New Roman" w:hAnsi="Times New Roman" w:cs="Times New Roman"/>
          <w:sz w:val="17"/>
          <w:szCs w:val="17"/>
        </w:rPr>
        <w:t xml:space="preserve">The declination tables referenced were Fabio Silva, </w:t>
      </w:r>
      <w:r w:rsidRPr="003C657B">
        <w:rPr>
          <w:rFonts w:ascii="Times New Roman" w:hAnsi="Times New Roman" w:cs="Times New Roman"/>
          <w:i/>
          <w:sz w:val="17"/>
          <w:szCs w:val="17"/>
        </w:rPr>
        <w:t>Reference Tables for Skyscape Archaeology</w:t>
      </w:r>
      <w:r>
        <w:rPr>
          <w:rFonts w:ascii="Times New Roman" w:hAnsi="Times New Roman" w:cs="Times New Roman"/>
          <w:sz w:val="17"/>
          <w:szCs w:val="17"/>
        </w:rPr>
        <w:t xml:space="preserve"> (2019); Fabio Silva, </w:t>
      </w:r>
      <w:r w:rsidRPr="00B8003F">
        <w:rPr>
          <w:rFonts w:ascii="Times New Roman" w:hAnsi="Times New Roman" w:cs="Times New Roman"/>
          <w:i/>
          <w:sz w:val="17"/>
          <w:szCs w:val="17"/>
        </w:rPr>
        <w:t>Fieldwork in Archaeoastronomy II</w:t>
      </w:r>
      <w:r>
        <w:rPr>
          <w:rFonts w:ascii="Times New Roman" w:hAnsi="Times New Roman" w:cs="Times New Roman"/>
          <w:sz w:val="17"/>
          <w:szCs w:val="17"/>
        </w:rPr>
        <w:t xml:space="preserve">, PPT (2018), p. 29; Bernadette Brady, </w:t>
      </w:r>
      <w:r w:rsidRPr="00B8003F">
        <w:rPr>
          <w:rFonts w:ascii="Times New Roman" w:hAnsi="Times New Roman" w:cs="Times New Roman"/>
          <w:i/>
          <w:sz w:val="17"/>
          <w:szCs w:val="17"/>
        </w:rPr>
        <w:t>Stars—their place in a Skyscape</w:t>
      </w:r>
      <w:r>
        <w:rPr>
          <w:rFonts w:ascii="Times New Roman" w:hAnsi="Times New Roman" w:cs="Times New Roman"/>
          <w:sz w:val="17"/>
          <w:szCs w:val="17"/>
        </w:rPr>
        <w:t>, PPT (2018), p. 4.</w:t>
      </w:r>
    </w:p>
  </w:footnote>
  <w:footnote w:id="39">
    <w:p w:rsidR="0042465C" w:rsidRPr="008E77EA" w:rsidRDefault="0042465C">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(Sum. </w:t>
      </w:r>
      <w:r w:rsidRPr="008E77EA">
        <w:rPr>
          <w:rFonts w:ascii="Times New Roman" w:hAnsi="Times New Roman" w:cs="Times New Roman"/>
          <w:i/>
          <w:sz w:val="17"/>
          <w:szCs w:val="17"/>
        </w:rPr>
        <w:t>é.dur.an.ki</w:t>
      </w:r>
      <w:r w:rsidRPr="008E77EA">
        <w:rPr>
          <w:rFonts w:ascii="Times New Roman" w:hAnsi="Times New Roman" w:cs="Times New Roman"/>
          <w:sz w:val="17"/>
          <w:szCs w:val="17"/>
        </w:rPr>
        <w:t xml:space="preserve">), George, </w:t>
      </w:r>
      <w:r w:rsidRPr="008E77EA">
        <w:rPr>
          <w:rFonts w:ascii="Times New Roman" w:hAnsi="Times New Roman" w:cs="Times New Roman"/>
          <w:i/>
          <w:sz w:val="17"/>
          <w:szCs w:val="17"/>
        </w:rPr>
        <w:t xml:space="preserve">House Most High </w:t>
      </w:r>
      <w:r w:rsidRPr="008E77EA">
        <w:rPr>
          <w:rFonts w:ascii="Times New Roman" w:hAnsi="Times New Roman" w:cs="Times New Roman"/>
          <w:sz w:val="17"/>
          <w:szCs w:val="17"/>
        </w:rPr>
        <w:t>(1993), p. 80.</w:t>
      </w:r>
    </w:p>
  </w:footnote>
  <w:footnote w:id="40">
    <w:p w:rsidR="0042465C" w:rsidRPr="008E77EA" w:rsidRDefault="0042465C">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(Sum. </w:t>
      </w:r>
      <w:r w:rsidRPr="008E77EA">
        <w:rPr>
          <w:rFonts w:ascii="Times New Roman" w:hAnsi="Times New Roman" w:cs="Times New Roman"/>
          <w:i/>
          <w:sz w:val="17"/>
          <w:szCs w:val="17"/>
        </w:rPr>
        <w:t>é.te.me.en.an.ki</w:t>
      </w:r>
      <w:r w:rsidRPr="008E77EA">
        <w:rPr>
          <w:rFonts w:ascii="Times New Roman" w:hAnsi="Times New Roman" w:cs="Times New Roman"/>
          <w:sz w:val="17"/>
          <w:szCs w:val="17"/>
        </w:rPr>
        <w:t xml:space="preserve">), George, </w:t>
      </w:r>
      <w:r w:rsidRPr="008E77EA">
        <w:rPr>
          <w:rFonts w:ascii="Times New Roman" w:hAnsi="Times New Roman" w:cs="Times New Roman"/>
          <w:i/>
          <w:sz w:val="17"/>
          <w:szCs w:val="17"/>
        </w:rPr>
        <w:t>House Most High,</w:t>
      </w:r>
      <w:r w:rsidRPr="008E77EA">
        <w:rPr>
          <w:rFonts w:ascii="Times New Roman" w:hAnsi="Times New Roman" w:cs="Times New Roman"/>
          <w:sz w:val="17"/>
          <w:szCs w:val="17"/>
        </w:rPr>
        <w:t xml:space="preserve"> (1993), p. 149.</w:t>
      </w:r>
    </w:p>
  </w:footnote>
  <w:footnote w:id="41">
    <w:p w:rsidR="0042465C" w:rsidRPr="008E77EA" w:rsidRDefault="0042465C">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(Sum. </w:t>
      </w:r>
      <w:r w:rsidRPr="008E77EA">
        <w:rPr>
          <w:rFonts w:ascii="Times New Roman" w:hAnsi="Times New Roman" w:cs="Times New Roman"/>
          <w:i/>
          <w:sz w:val="17"/>
          <w:szCs w:val="17"/>
        </w:rPr>
        <w:t>é.ĝiš.lam.šár.šár</w:t>
      </w:r>
      <w:r w:rsidRPr="008E77EA">
        <w:rPr>
          <w:rFonts w:ascii="Times New Roman" w:hAnsi="Times New Roman" w:cs="Times New Roman"/>
          <w:sz w:val="17"/>
          <w:szCs w:val="17"/>
        </w:rPr>
        <w:t xml:space="preserve">), George, </w:t>
      </w:r>
      <w:r w:rsidRPr="008E77EA">
        <w:rPr>
          <w:rFonts w:ascii="Times New Roman" w:hAnsi="Times New Roman" w:cs="Times New Roman"/>
          <w:i/>
          <w:sz w:val="17"/>
          <w:szCs w:val="17"/>
        </w:rPr>
        <w:t>House Most High,</w:t>
      </w:r>
      <w:r w:rsidRPr="008E77EA">
        <w:rPr>
          <w:rFonts w:ascii="Times New Roman" w:hAnsi="Times New Roman" w:cs="Times New Roman"/>
          <w:sz w:val="17"/>
          <w:szCs w:val="17"/>
        </w:rPr>
        <w:t xml:space="preserve"> (1993), p. 96.</w:t>
      </w:r>
    </w:p>
  </w:footnote>
  <w:footnote w:id="42">
    <w:p w:rsidR="0042465C" w:rsidRPr="008E77EA" w:rsidRDefault="0042465C">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(Sum. </w:t>
      </w:r>
      <w:r w:rsidRPr="008E77EA">
        <w:rPr>
          <w:rFonts w:ascii="Times New Roman" w:hAnsi="Times New Roman" w:cs="Times New Roman"/>
          <w:i/>
          <w:sz w:val="17"/>
          <w:szCs w:val="17"/>
        </w:rPr>
        <w:t>é.kur</w:t>
      </w:r>
      <w:r w:rsidRPr="008E77EA">
        <w:rPr>
          <w:rFonts w:ascii="Times New Roman" w:hAnsi="Times New Roman" w:cs="Times New Roman"/>
          <w:sz w:val="17"/>
          <w:szCs w:val="17"/>
        </w:rPr>
        <w:t xml:space="preserve">), George, </w:t>
      </w:r>
      <w:r w:rsidRPr="008E77EA">
        <w:rPr>
          <w:rFonts w:ascii="Times New Roman" w:hAnsi="Times New Roman" w:cs="Times New Roman"/>
          <w:i/>
          <w:sz w:val="17"/>
          <w:szCs w:val="17"/>
        </w:rPr>
        <w:t>House Most High,</w:t>
      </w:r>
      <w:r w:rsidRPr="008E77EA">
        <w:rPr>
          <w:rFonts w:ascii="Times New Roman" w:hAnsi="Times New Roman" w:cs="Times New Roman"/>
          <w:sz w:val="17"/>
          <w:szCs w:val="17"/>
        </w:rPr>
        <w:t xml:space="preserve"> (1993), p. 116.</w:t>
      </w:r>
    </w:p>
  </w:footnote>
  <w:footnote w:id="43">
    <w:p w:rsidR="0042465C" w:rsidRPr="008E77EA" w:rsidRDefault="0042465C">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(Sum. </w:t>
      </w:r>
      <w:r w:rsidRPr="008E77EA">
        <w:rPr>
          <w:rFonts w:ascii="Times New Roman" w:hAnsi="Times New Roman" w:cs="Times New Roman"/>
          <w:i/>
          <w:sz w:val="17"/>
          <w:szCs w:val="17"/>
        </w:rPr>
        <w:t>é.aratta.ki.šár.ra</w:t>
      </w:r>
      <w:r w:rsidRPr="008E77EA">
        <w:rPr>
          <w:rFonts w:ascii="Times New Roman" w:hAnsi="Times New Roman" w:cs="Times New Roman"/>
          <w:sz w:val="17"/>
          <w:szCs w:val="17"/>
        </w:rPr>
        <w:t xml:space="preserve">), George, </w:t>
      </w:r>
      <w:r w:rsidRPr="008E77EA">
        <w:rPr>
          <w:rFonts w:ascii="Times New Roman" w:hAnsi="Times New Roman" w:cs="Times New Roman"/>
          <w:i/>
          <w:sz w:val="17"/>
          <w:szCs w:val="17"/>
        </w:rPr>
        <w:t>House Most High,</w:t>
      </w:r>
      <w:r w:rsidRPr="008E77EA">
        <w:rPr>
          <w:rFonts w:ascii="Times New Roman" w:hAnsi="Times New Roman" w:cs="Times New Roman"/>
          <w:sz w:val="17"/>
          <w:szCs w:val="17"/>
        </w:rPr>
        <w:t xml:space="preserve"> (1993), p. 69.</w:t>
      </w:r>
    </w:p>
  </w:footnote>
  <w:footnote w:id="44">
    <w:p w:rsidR="0042465C" w:rsidRPr="008E77EA" w:rsidRDefault="0042465C">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For the ziggurat as a cosmic mountain see</w:t>
      </w:r>
      <w:r w:rsidRPr="008E77EA">
        <w:rPr>
          <w:rFonts w:ascii="Times New Roman" w:hAnsi="Times New Roman" w:cs="Times New Roman"/>
          <w:i/>
          <w:sz w:val="17"/>
          <w:szCs w:val="17"/>
        </w:rPr>
        <w:t xml:space="preserve"> Ur of the Chaldees: A Revised and Updated Edition of Sir Leonard Woolley’s Excavations at Ur</w:t>
      </w:r>
      <w:r w:rsidRPr="008E77EA">
        <w:rPr>
          <w:rFonts w:ascii="Times New Roman" w:hAnsi="Times New Roman" w:cs="Times New Roman"/>
          <w:sz w:val="17"/>
          <w:szCs w:val="17"/>
        </w:rPr>
        <w:t>, ed. by Peter Moorey, (Ithica, Cornell University Press, 1982), pp. 138-140.</w:t>
      </w:r>
    </w:p>
  </w:footnote>
  <w:footnote w:id="45">
    <w:p w:rsidR="0042465C" w:rsidRPr="008E77EA" w:rsidRDefault="0042465C">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Pr>
          <w:rFonts w:ascii="Times New Roman" w:hAnsi="Times New Roman" w:cs="Times New Roman"/>
          <w:sz w:val="17"/>
          <w:szCs w:val="17"/>
        </w:rPr>
        <w:t xml:space="preserve"> For a discussion on the distinction between Babylonian astrology and astronomy see Francesca Rochberg, ‘A Consideration of Babylonian Astronomy within the Historiography of Science’, </w:t>
      </w:r>
      <w:r w:rsidRPr="004D1485">
        <w:rPr>
          <w:rFonts w:ascii="Times New Roman" w:hAnsi="Times New Roman" w:cs="Times New Roman"/>
          <w:i/>
          <w:sz w:val="17"/>
          <w:szCs w:val="17"/>
        </w:rPr>
        <w:t>Studies in History and Philosophy of Science</w:t>
      </w:r>
      <w:r>
        <w:rPr>
          <w:rFonts w:ascii="Times New Roman" w:hAnsi="Times New Roman" w:cs="Times New Roman"/>
          <w:sz w:val="17"/>
          <w:szCs w:val="17"/>
        </w:rPr>
        <w:t xml:space="preserve"> 33 (2002), pp. 661-684.</w:t>
      </w:r>
    </w:p>
  </w:footnote>
  <w:footnote w:id="46">
    <w:p w:rsidR="0042465C" w:rsidRPr="008E77EA" w:rsidRDefault="0042465C" w:rsidP="006B1115">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Hunger and Pingree, </w:t>
      </w:r>
      <w:r w:rsidRPr="008E77EA">
        <w:rPr>
          <w:rFonts w:ascii="Times New Roman" w:hAnsi="Times New Roman" w:cs="Times New Roman"/>
          <w:i/>
          <w:sz w:val="17"/>
          <w:szCs w:val="17"/>
        </w:rPr>
        <w:t xml:space="preserve">Astral Sciences </w:t>
      </w:r>
      <w:r w:rsidRPr="008E77EA">
        <w:rPr>
          <w:rFonts w:ascii="Times New Roman" w:hAnsi="Times New Roman" w:cs="Times New Roman"/>
          <w:sz w:val="17"/>
          <w:szCs w:val="17"/>
        </w:rPr>
        <w:t>(1999), p. 7.</w:t>
      </w:r>
    </w:p>
  </w:footnote>
  <w:footnote w:id="47">
    <w:p w:rsidR="0042465C" w:rsidRPr="00C703D3" w:rsidRDefault="0042465C" w:rsidP="006B1115">
      <w:pPr>
        <w:pStyle w:val="FootnoteText"/>
        <w:rPr>
          <w:rFonts w:ascii="Times New Roman" w:hAnsi="Times New Roman" w:cs="Times New Roman"/>
          <w:color w:val="000000" w:themeColor="text1"/>
          <w:sz w:val="17"/>
          <w:szCs w:val="17"/>
        </w:rPr>
      </w:pPr>
      <w:r w:rsidRPr="008E77EA">
        <w:rPr>
          <w:rStyle w:val="FootnoteReference"/>
          <w:rFonts w:ascii="Times New Roman" w:hAnsi="Times New Roman" w:cs="Times New Roman"/>
          <w:color w:val="000000" w:themeColor="text1"/>
          <w:sz w:val="17"/>
          <w:szCs w:val="17"/>
        </w:rPr>
        <w:footnoteRef/>
      </w:r>
      <w:r w:rsidRPr="008E77EA">
        <w:rPr>
          <w:rFonts w:ascii="Times New Roman" w:hAnsi="Times New Roman" w:cs="Times New Roman"/>
          <w:color w:val="000000" w:themeColor="text1"/>
          <w:sz w:val="17"/>
          <w:szCs w:val="17"/>
        </w:rPr>
        <w:t xml:space="preserve"> For text and translation of both introductions see, Ulla Koch-Westenholz, </w:t>
      </w:r>
      <w:r w:rsidRPr="008E77EA">
        <w:rPr>
          <w:rFonts w:ascii="Times New Roman" w:hAnsi="Times New Roman" w:cs="Times New Roman"/>
          <w:i/>
          <w:sz w:val="17"/>
          <w:szCs w:val="17"/>
        </w:rPr>
        <w:t>Mesopotam</w:t>
      </w:r>
      <w:r w:rsidRPr="008E77EA">
        <w:rPr>
          <w:rFonts w:ascii="Times New Roman" w:hAnsi="Times New Roman" w:cs="Times New Roman"/>
          <w:i/>
          <w:color w:val="000000" w:themeColor="text1"/>
          <w:sz w:val="17"/>
          <w:szCs w:val="17"/>
        </w:rPr>
        <w:t>ian Astrology: An Introduction to Babylonian and Assyrian Celestial Divination</w:t>
      </w:r>
      <w:r w:rsidRPr="008E77EA">
        <w:rPr>
          <w:rFonts w:ascii="Times New Roman" w:hAnsi="Times New Roman" w:cs="Times New Roman"/>
          <w:color w:val="000000" w:themeColor="text1"/>
          <w:sz w:val="17"/>
          <w:szCs w:val="17"/>
        </w:rPr>
        <w:t>, (Copenhagen: Museum of Tusculanum Press, 1995), p. 77.</w:t>
      </w:r>
    </w:p>
  </w:footnote>
  <w:footnote w:id="48">
    <w:p w:rsidR="0042465C" w:rsidRPr="00C703D3" w:rsidRDefault="0042465C" w:rsidP="006B1115">
      <w:pPr>
        <w:pStyle w:val="FootnoteText"/>
        <w:rPr>
          <w:rFonts w:ascii="Times New Roman" w:hAnsi="Times New Roman" w:cs="Times New Roman"/>
          <w:color w:val="000000" w:themeColor="text1"/>
          <w:sz w:val="17"/>
          <w:szCs w:val="17"/>
        </w:rPr>
      </w:pPr>
      <w:r w:rsidRPr="00C703D3">
        <w:rPr>
          <w:rStyle w:val="FootnoteReference"/>
          <w:rFonts w:ascii="Times New Roman" w:hAnsi="Times New Roman" w:cs="Times New Roman"/>
          <w:color w:val="000000" w:themeColor="text1"/>
          <w:sz w:val="17"/>
          <w:szCs w:val="17"/>
        </w:rPr>
        <w:footnoteRef/>
      </w:r>
      <w:r w:rsidRPr="00C703D3">
        <w:rPr>
          <w:rFonts w:ascii="Times New Roman" w:hAnsi="Times New Roman" w:cs="Times New Roman"/>
          <w:color w:val="000000" w:themeColor="text1"/>
          <w:sz w:val="17"/>
          <w:szCs w:val="17"/>
        </w:rPr>
        <w:t xml:space="preserve"> The text uses the Sumerian logogram</w:t>
      </w:r>
      <w:r w:rsidRPr="00C703D3">
        <w:rPr>
          <w:rFonts w:ascii="Times New Roman" w:hAnsi="Times New Roman" w:cs="Times New Roman"/>
          <w:i/>
          <w:color w:val="000000" w:themeColor="text1"/>
          <w:sz w:val="17"/>
          <w:szCs w:val="17"/>
        </w:rPr>
        <w:t xml:space="preserve"> KÁ</w:t>
      </w:r>
      <w:r w:rsidRPr="00C703D3">
        <w:rPr>
          <w:rFonts w:ascii="Times New Roman" w:hAnsi="Times New Roman" w:cs="Times New Roman"/>
          <w:color w:val="000000" w:themeColor="text1"/>
          <w:sz w:val="17"/>
          <w:szCs w:val="17"/>
        </w:rPr>
        <w:t xml:space="preserve"> = Akk. </w:t>
      </w:r>
      <w:r w:rsidRPr="00C703D3">
        <w:rPr>
          <w:rFonts w:ascii="Times New Roman" w:hAnsi="Times New Roman" w:cs="Times New Roman"/>
          <w:i/>
          <w:color w:val="000000" w:themeColor="text1"/>
          <w:sz w:val="17"/>
          <w:szCs w:val="17"/>
        </w:rPr>
        <w:t>bābum</w:t>
      </w:r>
      <w:r w:rsidRPr="00C703D3">
        <w:rPr>
          <w:rFonts w:ascii="Times New Roman" w:hAnsi="Times New Roman" w:cs="Times New Roman"/>
          <w:color w:val="000000" w:themeColor="text1"/>
          <w:sz w:val="17"/>
          <w:szCs w:val="17"/>
        </w:rPr>
        <w:t xml:space="preserve"> ‘gate.’</w:t>
      </w:r>
    </w:p>
  </w:footnote>
  <w:footnote w:id="49">
    <w:p w:rsidR="0042465C" w:rsidRPr="009329DD" w:rsidRDefault="0042465C">
      <w:pPr>
        <w:pStyle w:val="FootnoteText"/>
        <w:rPr>
          <w:rFonts w:ascii="Times New Roman" w:hAnsi="Times New Roman" w:cs="Times New Roman"/>
          <w:sz w:val="17"/>
          <w:szCs w:val="17"/>
        </w:rPr>
      </w:pPr>
      <w:r w:rsidRPr="00C703D3">
        <w:rPr>
          <w:rStyle w:val="FootnoteReference"/>
          <w:rFonts w:ascii="Times New Roman" w:hAnsi="Times New Roman" w:cs="Times New Roman"/>
          <w:sz w:val="17"/>
          <w:szCs w:val="17"/>
        </w:rPr>
        <w:footnoteRef/>
      </w:r>
      <w:r w:rsidRPr="00C703D3">
        <w:rPr>
          <w:rFonts w:ascii="Times New Roman" w:hAnsi="Times New Roman" w:cs="Times New Roman"/>
          <w:sz w:val="17"/>
          <w:szCs w:val="17"/>
        </w:rPr>
        <w:t xml:space="preserve"> </w:t>
      </w:r>
      <w:r>
        <w:rPr>
          <w:rFonts w:ascii="Times New Roman" w:hAnsi="Times New Roman" w:cs="Times New Roman"/>
          <w:sz w:val="17"/>
          <w:szCs w:val="17"/>
        </w:rPr>
        <w:t xml:space="preserve">For more information on the role of astral knowledge within the practice of extispicy in Babylonia see Netanel Ator, ‘Is the Liver a Reflection of the Sky?’, </w:t>
      </w:r>
      <w:r w:rsidRPr="00CD0A91">
        <w:rPr>
          <w:rFonts w:ascii="Times New Roman" w:hAnsi="Times New Roman" w:cs="Times New Roman"/>
          <w:i/>
          <w:sz w:val="17"/>
          <w:szCs w:val="17"/>
        </w:rPr>
        <w:t>ARAM</w:t>
      </w:r>
      <w:r>
        <w:rPr>
          <w:rFonts w:ascii="Times New Roman" w:hAnsi="Times New Roman" w:cs="Times New Roman"/>
          <w:sz w:val="17"/>
          <w:szCs w:val="17"/>
        </w:rPr>
        <w:t xml:space="preserve"> 29 1-2 (2017), pp. 195-206.</w:t>
      </w:r>
    </w:p>
  </w:footnote>
  <w:footnote w:id="50">
    <w:p w:rsidR="0042465C" w:rsidRPr="009329DD" w:rsidRDefault="0042465C" w:rsidP="00692747">
      <w:pPr>
        <w:pStyle w:val="FootnoteText"/>
        <w:rPr>
          <w:rFonts w:ascii="Times New Roman" w:hAnsi="Times New Roman" w:cs="Times New Roman"/>
          <w:sz w:val="17"/>
          <w:szCs w:val="17"/>
        </w:rPr>
      </w:pPr>
      <w:r w:rsidRPr="009329DD">
        <w:rPr>
          <w:rStyle w:val="FootnoteReference"/>
          <w:rFonts w:ascii="Times New Roman" w:hAnsi="Times New Roman" w:cs="Times New Roman"/>
          <w:sz w:val="17"/>
          <w:szCs w:val="17"/>
        </w:rPr>
        <w:footnoteRef/>
      </w:r>
      <w:r w:rsidRPr="009329DD">
        <w:rPr>
          <w:rFonts w:ascii="Times New Roman" w:hAnsi="Times New Roman" w:cs="Times New Roman"/>
          <w:sz w:val="17"/>
          <w:szCs w:val="17"/>
        </w:rPr>
        <w:t xml:space="preserve"> (Akk. </w:t>
      </w:r>
      <w:r w:rsidRPr="009329DD">
        <w:rPr>
          <w:rFonts w:ascii="Times New Roman" w:hAnsi="Times New Roman" w:cs="Times New Roman"/>
          <w:i/>
          <w:sz w:val="17"/>
          <w:szCs w:val="17"/>
          <w:vertAlign w:val="superscript"/>
        </w:rPr>
        <w:t>d</w:t>
      </w:r>
      <w:r w:rsidRPr="009329DD">
        <w:rPr>
          <w:rFonts w:ascii="Times New Roman" w:hAnsi="Times New Roman" w:cs="Times New Roman"/>
          <w:i/>
          <w:sz w:val="17"/>
          <w:szCs w:val="17"/>
        </w:rPr>
        <w:t xml:space="preserve">šamaš bēl dinim </w:t>
      </w:r>
      <w:r w:rsidRPr="009329DD">
        <w:rPr>
          <w:rFonts w:ascii="Times New Roman" w:hAnsi="Times New Roman" w:cs="Times New Roman"/>
          <w:i/>
          <w:sz w:val="17"/>
          <w:szCs w:val="17"/>
          <w:vertAlign w:val="superscript"/>
        </w:rPr>
        <w:t>d</w:t>
      </w:r>
      <w:r w:rsidRPr="009329DD">
        <w:rPr>
          <w:rFonts w:ascii="Times New Roman" w:hAnsi="Times New Roman" w:cs="Times New Roman"/>
          <w:i/>
          <w:sz w:val="17"/>
          <w:szCs w:val="17"/>
        </w:rPr>
        <w:t>adad bēl biri</w:t>
      </w:r>
      <w:r w:rsidRPr="009329DD">
        <w:rPr>
          <w:rFonts w:ascii="Times New Roman" w:hAnsi="Times New Roman" w:cs="Times New Roman"/>
          <w:sz w:val="17"/>
          <w:szCs w:val="17"/>
        </w:rPr>
        <w:t xml:space="preserve">) (ND 5492 Ln.1) </w:t>
      </w:r>
      <w:r>
        <w:rPr>
          <w:rFonts w:ascii="Times New Roman" w:hAnsi="Times New Roman" w:cs="Times New Roman"/>
          <w:sz w:val="17"/>
          <w:szCs w:val="17"/>
        </w:rPr>
        <w:t xml:space="preserve">Wilfred </w:t>
      </w:r>
      <w:r w:rsidRPr="009329DD">
        <w:rPr>
          <w:rFonts w:ascii="Times New Roman" w:hAnsi="Times New Roman" w:cs="Times New Roman"/>
          <w:sz w:val="17"/>
          <w:szCs w:val="17"/>
        </w:rPr>
        <w:t xml:space="preserve">Lambert, </w:t>
      </w:r>
      <w:r w:rsidRPr="009329DD">
        <w:rPr>
          <w:rFonts w:ascii="Times New Roman" w:hAnsi="Times New Roman" w:cs="Times New Roman"/>
          <w:i/>
          <w:sz w:val="17"/>
          <w:szCs w:val="17"/>
        </w:rPr>
        <w:t>Babylonian Oracle Questions</w:t>
      </w:r>
      <w:r w:rsidRPr="009329DD">
        <w:rPr>
          <w:rFonts w:ascii="Times New Roman" w:hAnsi="Times New Roman" w:cs="Times New Roman"/>
          <w:sz w:val="17"/>
          <w:szCs w:val="17"/>
        </w:rPr>
        <w:t>, (</w:t>
      </w:r>
      <w:r>
        <w:rPr>
          <w:rFonts w:ascii="Times New Roman" w:hAnsi="Times New Roman" w:cs="Times New Roman"/>
          <w:sz w:val="17"/>
          <w:szCs w:val="17"/>
        </w:rPr>
        <w:t xml:space="preserve">Winona Lake: Eisenbrauns, </w:t>
      </w:r>
      <w:r w:rsidRPr="009329DD">
        <w:rPr>
          <w:rFonts w:ascii="Times New Roman" w:hAnsi="Times New Roman" w:cs="Times New Roman"/>
          <w:sz w:val="17"/>
          <w:szCs w:val="17"/>
        </w:rPr>
        <w:t>2007), p.25.</w:t>
      </w:r>
    </w:p>
  </w:footnote>
  <w:footnote w:id="51">
    <w:p w:rsidR="0042465C" w:rsidRPr="00C17D9F" w:rsidRDefault="0042465C" w:rsidP="00692747">
      <w:pPr>
        <w:pStyle w:val="FootnoteText"/>
        <w:rPr>
          <w:rFonts w:ascii="Times New Roman" w:hAnsi="Times New Roman" w:cs="Times New Roman"/>
          <w:sz w:val="17"/>
          <w:szCs w:val="17"/>
        </w:rPr>
      </w:pPr>
      <w:r w:rsidRPr="009329DD">
        <w:rPr>
          <w:rStyle w:val="FootnoteReference"/>
          <w:rFonts w:ascii="Times New Roman" w:hAnsi="Times New Roman" w:cs="Times New Roman"/>
          <w:sz w:val="17"/>
          <w:szCs w:val="17"/>
        </w:rPr>
        <w:footnoteRef/>
      </w:r>
      <w:r w:rsidRPr="009329DD">
        <w:rPr>
          <w:rFonts w:ascii="Times New Roman" w:hAnsi="Times New Roman" w:cs="Times New Roman"/>
          <w:sz w:val="17"/>
          <w:szCs w:val="17"/>
        </w:rPr>
        <w:t xml:space="preserve"> For an example of multiple ph</w:t>
      </w:r>
      <w:r w:rsidRPr="009329DD">
        <w:rPr>
          <w:rFonts w:ascii="Times New Roman" w:hAnsi="Times New Roman" w:cs="Times New Roman"/>
          <w:color w:val="000000" w:themeColor="text1"/>
          <w:sz w:val="17"/>
          <w:szCs w:val="17"/>
        </w:rPr>
        <w:t>ases of extispicy performed at various points in time from sunset to sunrise see Heinrich Zimmer,  ‘R</w:t>
      </w:r>
      <w:r w:rsidRPr="00C17D9F">
        <w:rPr>
          <w:rFonts w:ascii="Times New Roman" w:hAnsi="Times New Roman" w:cs="Times New Roman"/>
          <w:color w:val="000000" w:themeColor="text1"/>
          <w:sz w:val="17"/>
          <w:szCs w:val="17"/>
        </w:rPr>
        <w:t>itualtafeln für den Wahrsager (</w:t>
      </w:r>
      <w:r w:rsidRPr="00C17D9F">
        <w:rPr>
          <w:rFonts w:ascii="Times New Roman" w:hAnsi="Times New Roman" w:cs="Times New Roman"/>
          <w:i/>
          <w:color w:val="000000" w:themeColor="text1"/>
          <w:sz w:val="17"/>
          <w:szCs w:val="17"/>
        </w:rPr>
        <w:t>buru</w:t>
      </w:r>
      <w:r w:rsidRPr="00C17D9F">
        <w:rPr>
          <w:rFonts w:ascii="Times New Roman" w:hAnsi="Times New Roman" w:cs="Times New Roman"/>
          <w:color w:val="000000" w:themeColor="text1"/>
          <w:sz w:val="17"/>
          <w:szCs w:val="17"/>
        </w:rPr>
        <w:t xml:space="preserve">) 1-20’, in </w:t>
      </w:r>
      <w:r w:rsidRPr="00C17D9F">
        <w:rPr>
          <w:rFonts w:ascii="Times New Roman" w:hAnsi="Times New Roman" w:cs="Times New Roman"/>
          <w:i/>
          <w:color w:val="000000" w:themeColor="text1"/>
          <w:sz w:val="17"/>
          <w:szCs w:val="17"/>
          <w:shd w:val="clear" w:color="auto" w:fill="FFFFFF"/>
        </w:rPr>
        <w:t>Beiträge zur Kenntnis der babylonischen Religion: Die Beschwörungstafeln Surpu, Ritualtfeln für Wahrsager, Beschwörer und Sänger</w:t>
      </w:r>
      <w:r w:rsidRPr="00C17D9F">
        <w:rPr>
          <w:rFonts w:ascii="Times New Roman" w:hAnsi="Times New Roman" w:cs="Times New Roman"/>
          <w:color w:val="000000" w:themeColor="text1"/>
          <w:sz w:val="17"/>
          <w:szCs w:val="17"/>
          <w:shd w:val="clear" w:color="auto" w:fill="FFFFFF"/>
        </w:rPr>
        <w:t xml:space="preserve">, (Leipzig: J.C. Hinrichs, 1901), pp. 96-121. For text and an English translation of the relevant lines describing the different time frames of the extispicy ritual see Piotr Steinkeller, ‘Of Stars and Men: The Conceptual and Mythological Setup of Babylonian Extispicy’, in </w:t>
      </w:r>
      <w:r w:rsidRPr="00C17D9F">
        <w:rPr>
          <w:rFonts w:ascii="Times New Roman" w:hAnsi="Times New Roman" w:cs="Times New Roman"/>
          <w:i/>
          <w:color w:val="000000" w:themeColor="text1"/>
          <w:sz w:val="17"/>
          <w:szCs w:val="17"/>
          <w:shd w:val="clear" w:color="auto" w:fill="FFFFFF"/>
        </w:rPr>
        <w:t>Biblical and Oriental Essays in Honor of William L. Moran</w:t>
      </w:r>
      <w:r w:rsidRPr="00C17D9F">
        <w:rPr>
          <w:rFonts w:ascii="Times New Roman" w:hAnsi="Times New Roman" w:cs="Times New Roman"/>
          <w:color w:val="000000" w:themeColor="text1"/>
          <w:sz w:val="17"/>
          <w:szCs w:val="17"/>
          <w:shd w:val="clear" w:color="auto" w:fill="FFFFFF"/>
        </w:rPr>
        <w:t>, ed. by Agustinus Gianto, (Rome: Pontificio Instituto Biblico, 2005), p.13.</w:t>
      </w:r>
    </w:p>
  </w:footnote>
  <w:footnote w:id="52">
    <w:p w:rsidR="0042465C" w:rsidRPr="00C17D9F" w:rsidRDefault="0042465C" w:rsidP="009329DD">
      <w:pPr>
        <w:pStyle w:val="FootnoteText"/>
        <w:rPr>
          <w:rFonts w:ascii="Times New Roman" w:hAnsi="Times New Roman" w:cs="Times New Roman"/>
          <w:sz w:val="17"/>
          <w:szCs w:val="17"/>
        </w:rPr>
      </w:pPr>
      <w:r w:rsidRPr="00C17D9F">
        <w:rPr>
          <w:rStyle w:val="FootnoteReference"/>
          <w:rFonts w:ascii="Times New Roman" w:hAnsi="Times New Roman" w:cs="Times New Roman"/>
          <w:sz w:val="17"/>
          <w:szCs w:val="17"/>
        </w:rPr>
        <w:footnoteRef/>
      </w:r>
      <w:r w:rsidRPr="00C17D9F">
        <w:rPr>
          <w:rFonts w:ascii="Times New Roman" w:hAnsi="Times New Roman" w:cs="Times New Roman"/>
          <w:sz w:val="17"/>
          <w:szCs w:val="17"/>
        </w:rPr>
        <w:t xml:space="preserve"> Steinkeller, ‘Of Stars and Men’, 2005, pp. 28-34.</w:t>
      </w:r>
    </w:p>
  </w:footnote>
  <w:footnote w:id="53">
    <w:p w:rsidR="0042465C" w:rsidRPr="00F81C88" w:rsidRDefault="0042465C" w:rsidP="00453C85">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Wolfgang Heimple, ‘The Sun at Night and the Doors of Heaven in Babylonian Texts’, </w:t>
      </w:r>
      <w:r w:rsidRPr="00F81C88">
        <w:rPr>
          <w:rFonts w:ascii="Times New Roman" w:hAnsi="Times New Roman" w:cs="Times New Roman"/>
          <w:i/>
          <w:sz w:val="17"/>
          <w:szCs w:val="17"/>
        </w:rPr>
        <w:t>Journal of Cuneiform Studies</w:t>
      </w:r>
      <w:r w:rsidRPr="00F81C88">
        <w:rPr>
          <w:rFonts w:ascii="Times New Roman" w:hAnsi="Times New Roman" w:cs="Times New Roman"/>
          <w:sz w:val="17"/>
          <w:szCs w:val="17"/>
        </w:rPr>
        <w:t xml:space="preserve"> 38 2 (1986), pp. 143-146; Steinkeller, ‘Of Stars and Men’, 2005, pp. 18-19; Wayne Horowitz, </w:t>
      </w:r>
      <w:r w:rsidRPr="00F81C88">
        <w:rPr>
          <w:rFonts w:ascii="Times New Roman" w:hAnsi="Times New Roman" w:cs="Times New Roman"/>
          <w:i/>
          <w:sz w:val="17"/>
          <w:szCs w:val="17"/>
        </w:rPr>
        <w:t>Mesopotamian Cosmic Geography</w:t>
      </w:r>
      <w:r w:rsidRPr="00F81C88">
        <w:rPr>
          <w:rFonts w:ascii="Times New Roman" w:hAnsi="Times New Roman" w:cs="Times New Roman"/>
          <w:sz w:val="17"/>
          <w:szCs w:val="17"/>
        </w:rPr>
        <w:t>, (Winona Lake: Eisenbrauns, 1998), pp. 3-42, 243-267.</w:t>
      </w:r>
    </w:p>
  </w:footnote>
  <w:footnote w:id="54">
    <w:p w:rsidR="0042465C" w:rsidRPr="00F81C88" w:rsidRDefault="0042465C">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Steinkeller, ‘Of Stars and Men’, 2005, p. 35.</w:t>
      </w:r>
    </w:p>
  </w:footnote>
  <w:footnote w:id="55">
    <w:p w:rsidR="0042465C" w:rsidRPr="00F81C88" w:rsidRDefault="0042465C">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See Mary Shepperson, ‘Ziggurats: A Viewer’s Guide’, </w:t>
      </w:r>
      <w:r w:rsidRPr="00F81C88">
        <w:rPr>
          <w:rFonts w:ascii="Times New Roman" w:hAnsi="Times New Roman" w:cs="Times New Roman"/>
          <w:i/>
          <w:sz w:val="17"/>
          <w:szCs w:val="17"/>
        </w:rPr>
        <w:t>Archaeological Review from Cambridge</w:t>
      </w:r>
      <w:r w:rsidRPr="00F81C88">
        <w:rPr>
          <w:rFonts w:ascii="Times New Roman" w:hAnsi="Times New Roman" w:cs="Times New Roman"/>
          <w:sz w:val="17"/>
          <w:szCs w:val="17"/>
        </w:rPr>
        <w:t xml:space="preserve"> 30 1 (2015), pp. 94-101.</w:t>
      </w:r>
    </w:p>
  </w:footnote>
  <w:footnote w:id="56">
    <w:p w:rsidR="0042465C" w:rsidRPr="00F81C88" w:rsidRDefault="0042465C">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Shepperson, ‘Ziggurats’, (2015), p. 96.</w:t>
      </w:r>
    </w:p>
  </w:footnote>
  <w:footnote w:id="57">
    <w:p w:rsidR="0042465C" w:rsidRPr="00F81C88" w:rsidRDefault="0042465C">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For details concerning courtyard festivals and Ancient Near Eastern festivals in general see Cohen, </w:t>
      </w:r>
      <w:r w:rsidRPr="00F81C88">
        <w:rPr>
          <w:rFonts w:ascii="Times New Roman" w:hAnsi="Times New Roman" w:cs="Times New Roman"/>
          <w:i/>
          <w:sz w:val="17"/>
          <w:szCs w:val="17"/>
        </w:rPr>
        <w:t>Cultic Calendars</w:t>
      </w:r>
      <w:r w:rsidRPr="00415426">
        <w:rPr>
          <w:rFonts w:ascii="Times New Roman" w:hAnsi="Times New Roman" w:cs="Times New Roman"/>
          <w:sz w:val="17"/>
          <w:szCs w:val="17"/>
        </w:rPr>
        <w:t xml:space="preserve"> (1</w:t>
      </w:r>
      <w:r w:rsidRPr="00F81C88">
        <w:rPr>
          <w:rFonts w:ascii="Times New Roman" w:hAnsi="Times New Roman" w:cs="Times New Roman"/>
          <w:sz w:val="17"/>
          <w:szCs w:val="17"/>
        </w:rPr>
        <w:t xml:space="preserve">993). </w:t>
      </w:r>
    </w:p>
  </w:footnote>
  <w:footnote w:id="58">
    <w:p w:rsidR="0042465C" w:rsidRPr="00F81C88" w:rsidRDefault="0042465C" w:rsidP="00153945">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Mary Shepperson, ‘The Rays of Šamaš: Light in Mesopotamian Architecture and Legal Practice’, </w:t>
      </w:r>
      <w:r w:rsidRPr="00F81C88">
        <w:rPr>
          <w:rFonts w:ascii="Times New Roman" w:hAnsi="Times New Roman" w:cs="Times New Roman"/>
          <w:i/>
          <w:sz w:val="17"/>
          <w:szCs w:val="17"/>
        </w:rPr>
        <w:t>Iraq</w:t>
      </w:r>
      <w:r w:rsidRPr="00F81C88">
        <w:rPr>
          <w:rFonts w:ascii="Times New Roman" w:hAnsi="Times New Roman" w:cs="Times New Roman"/>
          <w:sz w:val="17"/>
          <w:szCs w:val="17"/>
        </w:rPr>
        <w:t xml:space="preserve"> 74 (2012), pp. 51-55.</w:t>
      </w:r>
    </w:p>
  </w:footnote>
  <w:footnote w:id="59">
    <w:p w:rsidR="0042465C" w:rsidRDefault="0042465C" w:rsidP="00153945">
      <w:pPr>
        <w:pStyle w:val="FootnoteText"/>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Shepperson, ‘The Rays of Šamaš,(2012), pp. 53-56.</w:t>
      </w:r>
    </w:p>
  </w:footnote>
  <w:footnote w:id="60">
    <w:p w:rsidR="0042465C" w:rsidRPr="009117B1" w:rsidRDefault="0042465C">
      <w:pPr>
        <w:pStyle w:val="FootnoteText"/>
        <w:rPr>
          <w:rFonts w:ascii="Times New Roman" w:hAnsi="Times New Roman" w:cs="Times New Roman"/>
          <w:sz w:val="17"/>
          <w:szCs w:val="17"/>
        </w:rPr>
      </w:pPr>
      <w:r w:rsidRPr="009117B1">
        <w:rPr>
          <w:rStyle w:val="FootnoteReference"/>
          <w:rFonts w:ascii="Times New Roman" w:hAnsi="Times New Roman" w:cs="Times New Roman"/>
          <w:sz w:val="17"/>
          <w:szCs w:val="17"/>
        </w:rPr>
        <w:footnoteRef/>
      </w:r>
      <w:r w:rsidRPr="009117B1">
        <w:rPr>
          <w:rFonts w:ascii="Times New Roman" w:hAnsi="Times New Roman" w:cs="Times New Roman"/>
          <w:sz w:val="17"/>
          <w:szCs w:val="17"/>
        </w:rPr>
        <w:t xml:space="preserve"> Shepperson, ‘The Rays of Šamaš,(2012), pp. 55-58.</w:t>
      </w:r>
    </w:p>
  </w:footnote>
  <w:footnote w:id="61">
    <w:p w:rsidR="0042465C" w:rsidRPr="009117B1" w:rsidRDefault="0042465C">
      <w:pPr>
        <w:pStyle w:val="FootnoteText"/>
        <w:rPr>
          <w:rFonts w:ascii="Times New Roman" w:hAnsi="Times New Roman" w:cs="Times New Roman"/>
          <w:sz w:val="17"/>
          <w:szCs w:val="17"/>
        </w:rPr>
      </w:pPr>
      <w:r w:rsidRPr="009117B1">
        <w:rPr>
          <w:rStyle w:val="FootnoteReference"/>
          <w:rFonts w:ascii="Times New Roman" w:hAnsi="Times New Roman" w:cs="Times New Roman"/>
          <w:sz w:val="17"/>
          <w:szCs w:val="17"/>
        </w:rPr>
        <w:footnoteRef/>
      </w:r>
      <w:r w:rsidRPr="009117B1">
        <w:rPr>
          <w:rFonts w:ascii="Times New Roman" w:hAnsi="Times New Roman" w:cs="Times New Roman"/>
          <w:sz w:val="17"/>
          <w:szCs w:val="17"/>
        </w:rPr>
        <w:t xml:space="preserve"> Shepperson, ‘The Rays of Šamaš,(2012), p. 58.</w:t>
      </w:r>
    </w:p>
  </w:footnote>
  <w:footnote w:id="62">
    <w:p w:rsidR="0042465C" w:rsidRPr="009117B1" w:rsidRDefault="0042465C">
      <w:pPr>
        <w:pStyle w:val="FootnoteText"/>
        <w:rPr>
          <w:rFonts w:ascii="Times New Roman" w:hAnsi="Times New Roman" w:cs="Times New Roman"/>
          <w:sz w:val="17"/>
          <w:szCs w:val="17"/>
        </w:rPr>
      </w:pPr>
      <w:r w:rsidRPr="009117B1">
        <w:rPr>
          <w:rStyle w:val="FootnoteReference"/>
          <w:rFonts w:ascii="Times New Roman" w:hAnsi="Times New Roman" w:cs="Times New Roman"/>
          <w:sz w:val="17"/>
          <w:szCs w:val="17"/>
        </w:rPr>
        <w:footnoteRef/>
      </w:r>
      <w:r w:rsidRPr="009117B1">
        <w:rPr>
          <w:rFonts w:ascii="Times New Roman" w:hAnsi="Times New Roman" w:cs="Times New Roman"/>
          <w:sz w:val="17"/>
          <w:szCs w:val="17"/>
        </w:rPr>
        <w:t xml:space="preserve"> Shepperson, ‘The R</w:t>
      </w:r>
      <w:r w:rsidR="005F4AA3">
        <w:rPr>
          <w:rFonts w:ascii="Times New Roman" w:hAnsi="Times New Roman" w:cs="Times New Roman"/>
          <w:sz w:val="17"/>
          <w:szCs w:val="17"/>
        </w:rPr>
        <w:t>ays of Šamaš,(2012), p. 58, (emphasis original).</w:t>
      </w:r>
    </w:p>
  </w:footnote>
  <w:footnote w:id="63">
    <w:p w:rsidR="0042465C" w:rsidRPr="009117B1" w:rsidRDefault="0042465C">
      <w:pPr>
        <w:pStyle w:val="FootnoteText"/>
        <w:rPr>
          <w:rFonts w:ascii="Times New Roman" w:hAnsi="Times New Roman" w:cs="Times New Roman"/>
          <w:sz w:val="17"/>
          <w:szCs w:val="17"/>
        </w:rPr>
      </w:pPr>
      <w:r w:rsidRPr="009117B1">
        <w:rPr>
          <w:rStyle w:val="FootnoteReference"/>
          <w:rFonts w:ascii="Times New Roman" w:hAnsi="Times New Roman" w:cs="Times New Roman"/>
          <w:sz w:val="17"/>
          <w:szCs w:val="17"/>
        </w:rPr>
        <w:footnoteRef/>
      </w:r>
      <w:r w:rsidRPr="009117B1">
        <w:rPr>
          <w:rFonts w:ascii="Times New Roman" w:hAnsi="Times New Roman" w:cs="Times New Roman"/>
          <w:sz w:val="17"/>
          <w:szCs w:val="17"/>
        </w:rPr>
        <w:t xml:space="preserve"> Shepperson, ‘The Rays of Šamaš,(2012), pp. 57-59.</w:t>
      </w:r>
    </w:p>
  </w:footnote>
  <w:footnote w:id="64">
    <w:p w:rsidR="0042465C" w:rsidRPr="003959C8" w:rsidRDefault="0042465C">
      <w:pPr>
        <w:pStyle w:val="FootnoteText"/>
        <w:rPr>
          <w:rFonts w:ascii="Times New Roman" w:hAnsi="Times New Roman" w:cs="Times New Roman"/>
          <w:sz w:val="17"/>
          <w:szCs w:val="17"/>
        </w:rPr>
      </w:pPr>
      <w:r w:rsidRPr="009117B1">
        <w:rPr>
          <w:rStyle w:val="FootnoteReference"/>
          <w:rFonts w:ascii="Times New Roman" w:hAnsi="Times New Roman" w:cs="Times New Roman"/>
          <w:sz w:val="17"/>
          <w:szCs w:val="17"/>
        </w:rPr>
        <w:footnoteRef/>
      </w:r>
      <w:r w:rsidRPr="009117B1">
        <w:rPr>
          <w:rFonts w:ascii="Times New Roman" w:hAnsi="Times New Roman" w:cs="Times New Roman"/>
          <w:sz w:val="17"/>
          <w:szCs w:val="17"/>
        </w:rPr>
        <w:t xml:space="preserve"> Mary Shepperson, ‘Planning for the Sun: Urban Forms as a Mesopotamian Response to the Sun’, </w:t>
      </w:r>
      <w:r w:rsidRPr="009117B1">
        <w:rPr>
          <w:rFonts w:ascii="Times New Roman" w:hAnsi="Times New Roman" w:cs="Times New Roman"/>
          <w:i/>
          <w:sz w:val="17"/>
          <w:szCs w:val="17"/>
        </w:rPr>
        <w:t>World Archaeology</w:t>
      </w:r>
      <w:r w:rsidRPr="009117B1">
        <w:rPr>
          <w:rFonts w:ascii="Times New Roman" w:hAnsi="Times New Roman" w:cs="Times New Roman"/>
          <w:sz w:val="17"/>
          <w:szCs w:val="17"/>
        </w:rPr>
        <w:t xml:space="preserve"> 41 3 (2009), pp. 363-378.</w:t>
      </w:r>
    </w:p>
  </w:footnote>
  <w:footnote w:id="65">
    <w:p w:rsidR="0042465C" w:rsidRDefault="0042465C">
      <w:pPr>
        <w:pStyle w:val="FootnoteText"/>
      </w:pPr>
      <w:r w:rsidRPr="003959C8">
        <w:rPr>
          <w:rStyle w:val="FootnoteReference"/>
          <w:rFonts w:ascii="Times New Roman" w:hAnsi="Times New Roman" w:cs="Times New Roman"/>
          <w:sz w:val="17"/>
          <w:szCs w:val="17"/>
        </w:rPr>
        <w:footnoteRef/>
      </w:r>
      <w:r w:rsidRPr="003959C8">
        <w:rPr>
          <w:rFonts w:ascii="Times New Roman" w:hAnsi="Times New Roman" w:cs="Times New Roman"/>
          <w:sz w:val="17"/>
          <w:szCs w:val="17"/>
        </w:rPr>
        <w:t xml:space="preserve"> Stanislaw Iwaniszewski, ‘Archaeoastronomical Analysis of Assyrian and Babylonian Monuments: Methodological Issues’, </w:t>
      </w:r>
      <w:r w:rsidRPr="003959C8">
        <w:rPr>
          <w:rFonts w:ascii="Times New Roman" w:hAnsi="Times New Roman" w:cs="Times New Roman"/>
          <w:i/>
          <w:sz w:val="17"/>
          <w:szCs w:val="17"/>
        </w:rPr>
        <w:t>Journal for the History of Astronomy</w:t>
      </w:r>
      <w:r w:rsidRPr="003959C8">
        <w:rPr>
          <w:rFonts w:ascii="Times New Roman" w:hAnsi="Times New Roman" w:cs="Times New Roman"/>
          <w:sz w:val="17"/>
          <w:szCs w:val="17"/>
        </w:rPr>
        <w:t>, 34 1 (2003) pp. 79-93.</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displayBackgroundShape/>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54274">
      <o:colormenu v:ext="edit" fillcolor="none" strokecolor="none"/>
    </o:shapedefaults>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962E8C"/>
    <w:rsid w:val="000127B1"/>
    <w:rsid w:val="00031DF3"/>
    <w:rsid w:val="0004225C"/>
    <w:rsid w:val="00074188"/>
    <w:rsid w:val="000A1558"/>
    <w:rsid w:val="000B209D"/>
    <w:rsid w:val="000B489E"/>
    <w:rsid w:val="000B7A69"/>
    <w:rsid w:val="000C11BB"/>
    <w:rsid w:val="000C338C"/>
    <w:rsid w:val="000C5FF3"/>
    <w:rsid w:val="000C6102"/>
    <w:rsid w:val="000C75CD"/>
    <w:rsid w:val="000D20D4"/>
    <w:rsid w:val="000D2655"/>
    <w:rsid w:val="000E0658"/>
    <w:rsid w:val="000E75BC"/>
    <w:rsid w:val="000F2204"/>
    <w:rsid w:val="00100C9B"/>
    <w:rsid w:val="001130AD"/>
    <w:rsid w:val="00134062"/>
    <w:rsid w:val="00152678"/>
    <w:rsid w:val="00153945"/>
    <w:rsid w:val="00154E5B"/>
    <w:rsid w:val="001760E5"/>
    <w:rsid w:val="00183587"/>
    <w:rsid w:val="00197070"/>
    <w:rsid w:val="001B205A"/>
    <w:rsid w:val="001B35BD"/>
    <w:rsid w:val="001B39FF"/>
    <w:rsid w:val="001B7496"/>
    <w:rsid w:val="001C05DD"/>
    <w:rsid w:val="001C7DF5"/>
    <w:rsid w:val="001E5CF0"/>
    <w:rsid w:val="001F5785"/>
    <w:rsid w:val="00205272"/>
    <w:rsid w:val="002659B1"/>
    <w:rsid w:val="00272828"/>
    <w:rsid w:val="002747EF"/>
    <w:rsid w:val="00277120"/>
    <w:rsid w:val="00284B70"/>
    <w:rsid w:val="00292302"/>
    <w:rsid w:val="002A3A88"/>
    <w:rsid w:val="002A58A6"/>
    <w:rsid w:val="002B7CEA"/>
    <w:rsid w:val="002C240D"/>
    <w:rsid w:val="002C7A62"/>
    <w:rsid w:val="002D406C"/>
    <w:rsid w:val="002D7FBD"/>
    <w:rsid w:val="00333B0D"/>
    <w:rsid w:val="0033428D"/>
    <w:rsid w:val="00337F07"/>
    <w:rsid w:val="0034258B"/>
    <w:rsid w:val="0035682E"/>
    <w:rsid w:val="003703AD"/>
    <w:rsid w:val="003723ED"/>
    <w:rsid w:val="00377C2A"/>
    <w:rsid w:val="00383F74"/>
    <w:rsid w:val="003959C8"/>
    <w:rsid w:val="003B4377"/>
    <w:rsid w:val="003C412E"/>
    <w:rsid w:val="003C657B"/>
    <w:rsid w:val="003E2149"/>
    <w:rsid w:val="003E5190"/>
    <w:rsid w:val="003E6482"/>
    <w:rsid w:val="003F5E82"/>
    <w:rsid w:val="003F732B"/>
    <w:rsid w:val="00400368"/>
    <w:rsid w:val="00401A99"/>
    <w:rsid w:val="00407527"/>
    <w:rsid w:val="0041068E"/>
    <w:rsid w:val="004121B8"/>
    <w:rsid w:val="00415426"/>
    <w:rsid w:val="00416501"/>
    <w:rsid w:val="00422E34"/>
    <w:rsid w:val="0042465C"/>
    <w:rsid w:val="00436A0C"/>
    <w:rsid w:val="00442BB3"/>
    <w:rsid w:val="00453C85"/>
    <w:rsid w:val="00457CD3"/>
    <w:rsid w:val="00461BE0"/>
    <w:rsid w:val="00465C41"/>
    <w:rsid w:val="00466E48"/>
    <w:rsid w:val="0048206A"/>
    <w:rsid w:val="004A2D4F"/>
    <w:rsid w:val="004B1290"/>
    <w:rsid w:val="004B2DBA"/>
    <w:rsid w:val="004B7B9B"/>
    <w:rsid w:val="004D1485"/>
    <w:rsid w:val="004D27CD"/>
    <w:rsid w:val="004D6829"/>
    <w:rsid w:val="004E2CBE"/>
    <w:rsid w:val="004E70F3"/>
    <w:rsid w:val="005008F2"/>
    <w:rsid w:val="00502EE3"/>
    <w:rsid w:val="00504410"/>
    <w:rsid w:val="00514988"/>
    <w:rsid w:val="005231CE"/>
    <w:rsid w:val="00561410"/>
    <w:rsid w:val="00561412"/>
    <w:rsid w:val="005661D7"/>
    <w:rsid w:val="00566914"/>
    <w:rsid w:val="00571A7A"/>
    <w:rsid w:val="005924DE"/>
    <w:rsid w:val="005B2EB9"/>
    <w:rsid w:val="005B2ED3"/>
    <w:rsid w:val="005B414D"/>
    <w:rsid w:val="005B5F31"/>
    <w:rsid w:val="005C4B1F"/>
    <w:rsid w:val="005C7E3E"/>
    <w:rsid w:val="005D1927"/>
    <w:rsid w:val="005E0287"/>
    <w:rsid w:val="005E4D21"/>
    <w:rsid w:val="005F47CC"/>
    <w:rsid w:val="005F4AA3"/>
    <w:rsid w:val="005F5F8F"/>
    <w:rsid w:val="00614E90"/>
    <w:rsid w:val="00616885"/>
    <w:rsid w:val="00616FD0"/>
    <w:rsid w:val="006318D8"/>
    <w:rsid w:val="00636AAB"/>
    <w:rsid w:val="006475E3"/>
    <w:rsid w:val="00650BE1"/>
    <w:rsid w:val="006514FE"/>
    <w:rsid w:val="00651C02"/>
    <w:rsid w:val="0065480E"/>
    <w:rsid w:val="006568E9"/>
    <w:rsid w:val="006849BD"/>
    <w:rsid w:val="00684F76"/>
    <w:rsid w:val="00686B3A"/>
    <w:rsid w:val="00690A1B"/>
    <w:rsid w:val="00692747"/>
    <w:rsid w:val="006A2ADC"/>
    <w:rsid w:val="006A4C29"/>
    <w:rsid w:val="006A7FFA"/>
    <w:rsid w:val="006B1115"/>
    <w:rsid w:val="006C1AD4"/>
    <w:rsid w:val="006C3715"/>
    <w:rsid w:val="006D775C"/>
    <w:rsid w:val="006E4DA0"/>
    <w:rsid w:val="00714E8D"/>
    <w:rsid w:val="00716CFA"/>
    <w:rsid w:val="00717905"/>
    <w:rsid w:val="00717A1F"/>
    <w:rsid w:val="0072050B"/>
    <w:rsid w:val="00733483"/>
    <w:rsid w:val="007362BC"/>
    <w:rsid w:val="00737FFA"/>
    <w:rsid w:val="0074540A"/>
    <w:rsid w:val="00754D65"/>
    <w:rsid w:val="0076749D"/>
    <w:rsid w:val="00791F55"/>
    <w:rsid w:val="00796FD2"/>
    <w:rsid w:val="007A08A4"/>
    <w:rsid w:val="007B00EF"/>
    <w:rsid w:val="007B1E86"/>
    <w:rsid w:val="007E6E9B"/>
    <w:rsid w:val="007F0309"/>
    <w:rsid w:val="00803D7F"/>
    <w:rsid w:val="00814CF8"/>
    <w:rsid w:val="00824569"/>
    <w:rsid w:val="00826687"/>
    <w:rsid w:val="0082719F"/>
    <w:rsid w:val="0086463C"/>
    <w:rsid w:val="008648B7"/>
    <w:rsid w:val="00874E2E"/>
    <w:rsid w:val="00876460"/>
    <w:rsid w:val="0087688B"/>
    <w:rsid w:val="00893A79"/>
    <w:rsid w:val="008A1509"/>
    <w:rsid w:val="008A36C1"/>
    <w:rsid w:val="008B5815"/>
    <w:rsid w:val="008C4EB1"/>
    <w:rsid w:val="008C62F9"/>
    <w:rsid w:val="008E4FE7"/>
    <w:rsid w:val="008E77EA"/>
    <w:rsid w:val="008F6E94"/>
    <w:rsid w:val="00906D11"/>
    <w:rsid w:val="009117B1"/>
    <w:rsid w:val="00916CEC"/>
    <w:rsid w:val="009211E7"/>
    <w:rsid w:val="00922AD5"/>
    <w:rsid w:val="00925622"/>
    <w:rsid w:val="00925950"/>
    <w:rsid w:val="009329DD"/>
    <w:rsid w:val="00937D07"/>
    <w:rsid w:val="00941961"/>
    <w:rsid w:val="00947FD3"/>
    <w:rsid w:val="00950C8F"/>
    <w:rsid w:val="0095737D"/>
    <w:rsid w:val="009578B7"/>
    <w:rsid w:val="00960919"/>
    <w:rsid w:val="00962E8C"/>
    <w:rsid w:val="009636D5"/>
    <w:rsid w:val="00966F00"/>
    <w:rsid w:val="00981415"/>
    <w:rsid w:val="00982EF1"/>
    <w:rsid w:val="00986E1A"/>
    <w:rsid w:val="009A256D"/>
    <w:rsid w:val="009A48C4"/>
    <w:rsid w:val="009A5A07"/>
    <w:rsid w:val="009A5A75"/>
    <w:rsid w:val="009D52CD"/>
    <w:rsid w:val="009D5947"/>
    <w:rsid w:val="009E05AB"/>
    <w:rsid w:val="009F2C00"/>
    <w:rsid w:val="00A0345D"/>
    <w:rsid w:val="00A045DF"/>
    <w:rsid w:val="00A10499"/>
    <w:rsid w:val="00A13146"/>
    <w:rsid w:val="00A13DA6"/>
    <w:rsid w:val="00A16AA7"/>
    <w:rsid w:val="00A25139"/>
    <w:rsid w:val="00A5439F"/>
    <w:rsid w:val="00A56E6D"/>
    <w:rsid w:val="00A65AD4"/>
    <w:rsid w:val="00A97C60"/>
    <w:rsid w:val="00AA097B"/>
    <w:rsid w:val="00AA2B83"/>
    <w:rsid w:val="00AB5BAA"/>
    <w:rsid w:val="00AD4684"/>
    <w:rsid w:val="00AD7DD7"/>
    <w:rsid w:val="00AF56F1"/>
    <w:rsid w:val="00B06497"/>
    <w:rsid w:val="00B12D92"/>
    <w:rsid w:val="00B16682"/>
    <w:rsid w:val="00B21C22"/>
    <w:rsid w:val="00B22553"/>
    <w:rsid w:val="00B26ABB"/>
    <w:rsid w:val="00B34FD9"/>
    <w:rsid w:val="00B36144"/>
    <w:rsid w:val="00B453F1"/>
    <w:rsid w:val="00B471B6"/>
    <w:rsid w:val="00B62560"/>
    <w:rsid w:val="00B62EE5"/>
    <w:rsid w:val="00B8003F"/>
    <w:rsid w:val="00B80A26"/>
    <w:rsid w:val="00B81778"/>
    <w:rsid w:val="00B90E52"/>
    <w:rsid w:val="00B948B9"/>
    <w:rsid w:val="00BA32F0"/>
    <w:rsid w:val="00BA51DE"/>
    <w:rsid w:val="00BB2645"/>
    <w:rsid w:val="00BB2FCA"/>
    <w:rsid w:val="00BC5A02"/>
    <w:rsid w:val="00BD4382"/>
    <w:rsid w:val="00BE2A4A"/>
    <w:rsid w:val="00BE4487"/>
    <w:rsid w:val="00BE4B18"/>
    <w:rsid w:val="00BF53F1"/>
    <w:rsid w:val="00C07E1F"/>
    <w:rsid w:val="00C10490"/>
    <w:rsid w:val="00C17D9F"/>
    <w:rsid w:val="00C32F98"/>
    <w:rsid w:val="00C40651"/>
    <w:rsid w:val="00C4220E"/>
    <w:rsid w:val="00C43E71"/>
    <w:rsid w:val="00C47C16"/>
    <w:rsid w:val="00C538B9"/>
    <w:rsid w:val="00C53CF4"/>
    <w:rsid w:val="00C55165"/>
    <w:rsid w:val="00C63195"/>
    <w:rsid w:val="00C670BF"/>
    <w:rsid w:val="00C703D3"/>
    <w:rsid w:val="00C8324A"/>
    <w:rsid w:val="00C84BE0"/>
    <w:rsid w:val="00C86DDE"/>
    <w:rsid w:val="00CB16DF"/>
    <w:rsid w:val="00CB5703"/>
    <w:rsid w:val="00CB5BCD"/>
    <w:rsid w:val="00CC259F"/>
    <w:rsid w:val="00CD0A91"/>
    <w:rsid w:val="00CD135E"/>
    <w:rsid w:val="00CD2CDA"/>
    <w:rsid w:val="00CE7EDA"/>
    <w:rsid w:val="00CF48D0"/>
    <w:rsid w:val="00CF5ED7"/>
    <w:rsid w:val="00CF78F3"/>
    <w:rsid w:val="00D053A4"/>
    <w:rsid w:val="00D05D4E"/>
    <w:rsid w:val="00D16B8A"/>
    <w:rsid w:val="00D3220F"/>
    <w:rsid w:val="00D3693D"/>
    <w:rsid w:val="00D46D07"/>
    <w:rsid w:val="00D91712"/>
    <w:rsid w:val="00D94433"/>
    <w:rsid w:val="00DC7C1D"/>
    <w:rsid w:val="00DD03A6"/>
    <w:rsid w:val="00DD23E0"/>
    <w:rsid w:val="00DD452F"/>
    <w:rsid w:val="00DD618F"/>
    <w:rsid w:val="00DE150D"/>
    <w:rsid w:val="00DF07C1"/>
    <w:rsid w:val="00DF1B9A"/>
    <w:rsid w:val="00DF61A1"/>
    <w:rsid w:val="00E2087B"/>
    <w:rsid w:val="00E24D30"/>
    <w:rsid w:val="00E57D6D"/>
    <w:rsid w:val="00E8054B"/>
    <w:rsid w:val="00E9276A"/>
    <w:rsid w:val="00E93E7D"/>
    <w:rsid w:val="00E95001"/>
    <w:rsid w:val="00EA4747"/>
    <w:rsid w:val="00EB40EF"/>
    <w:rsid w:val="00EC0EE4"/>
    <w:rsid w:val="00ED1794"/>
    <w:rsid w:val="00EE1611"/>
    <w:rsid w:val="00EE3AF8"/>
    <w:rsid w:val="00EF13A2"/>
    <w:rsid w:val="00EF7E2B"/>
    <w:rsid w:val="00F06A56"/>
    <w:rsid w:val="00F0757B"/>
    <w:rsid w:val="00F20B52"/>
    <w:rsid w:val="00F2210C"/>
    <w:rsid w:val="00F31771"/>
    <w:rsid w:val="00F33BBC"/>
    <w:rsid w:val="00F50DA8"/>
    <w:rsid w:val="00F51035"/>
    <w:rsid w:val="00F71506"/>
    <w:rsid w:val="00F76D7C"/>
    <w:rsid w:val="00F81C88"/>
    <w:rsid w:val="00F853A8"/>
    <w:rsid w:val="00F952A3"/>
    <w:rsid w:val="00FA0927"/>
    <w:rsid w:val="00FA1D8D"/>
    <w:rsid w:val="00FA26BF"/>
    <w:rsid w:val="00FC77F6"/>
    <w:rsid w:val="00FD0B73"/>
    <w:rsid w:val="00FD0E6C"/>
    <w:rsid w:val="00FE54EA"/>
    <w:rsid w:val="00FE5AB0"/>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4274">
      <o:colormenu v:ext="edit" fillcolor="none" strokecolor="none"/>
    </o:shapedefaults>
    <o:shapelayout v:ext="edit">
      <o:idmap v:ext="edit" data="1"/>
      <o:rules v:ext="edit">
        <o:r id="V:Rule2" type="connector" idref="#_x0000_s104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0A26"/>
    <w:pPr>
      <w:widowControl w:val="0"/>
      <w:jc w:val="both"/>
    </w:pPr>
  </w:style>
  <w:style w:type="paragraph" w:styleId="Heading3">
    <w:name w:val="heading 3"/>
    <w:basedOn w:val="Normal"/>
    <w:link w:val="Heading3Char"/>
    <w:qFormat/>
    <w:rsid w:val="00AF56F1"/>
    <w:pPr>
      <w:keepNext/>
      <w:widowControl/>
      <w:ind w:left="720"/>
      <w:outlineLvl w:val="2"/>
    </w:pPr>
    <w:rPr>
      <w:rFonts w:ascii="Tahoma" w:eastAsia="SimSun" w:hAnsi="Tahoma" w:cs="Tahoma"/>
      <w:b/>
      <w:bCs/>
      <w:kern w:val="0"/>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F6E94"/>
    <w:pPr>
      <w:pBdr>
        <w:bottom w:val="single" w:sz="6" w:space="1" w:color="auto"/>
      </w:pBdr>
      <w:tabs>
        <w:tab w:val="center" w:pos="4513"/>
        <w:tab w:val="right" w:pos="9026"/>
      </w:tabs>
      <w:snapToGrid w:val="0"/>
      <w:jc w:val="center"/>
    </w:pPr>
    <w:rPr>
      <w:sz w:val="18"/>
      <w:szCs w:val="18"/>
    </w:rPr>
  </w:style>
  <w:style w:type="character" w:customStyle="1" w:styleId="HeaderChar">
    <w:name w:val="Header Char"/>
    <w:basedOn w:val="DefaultParagraphFont"/>
    <w:link w:val="Header"/>
    <w:uiPriority w:val="99"/>
    <w:semiHidden/>
    <w:rsid w:val="008F6E94"/>
    <w:rPr>
      <w:sz w:val="18"/>
      <w:szCs w:val="18"/>
    </w:rPr>
  </w:style>
  <w:style w:type="paragraph" w:styleId="Footer">
    <w:name w:val="footer"/>
    <w:basedOn w:val="Normal"/>
    <w:link w:val="FooterChar"/>
    <w:uiPriority w:val="99"/>
    <w:unhideWhenUsed/>
    <w:rsid w:val="008F6E94"/>
    <w:pPr>
      <w:tabs>
        <w:tab w:val="center" w:pos="4513"/>
        <w:tab w:val="right" w:pos="9026"/>
      </w:tabs>
      <w:snapToGrid w:val="0"/>
      <w:jc w:val="left"/>
    </w:pPr>
    <w:rPr>
      <w:sz w:val="18"/>
      <w:szCs w:val="18"/>
    </w:rPr>
  </w:style>
  <w:style w:type="character" w:customStyle="1" w:styleId="FooterChar">
    <w:name w:val="Footer Char"/>
    <w:basedOn w:val="DefaultParagraphFont"/>
    <w:link w:val="Footer"/>
    <w:uiPriority w:val="99"/>
    <w:rsid w:val="008F6E94"/>
    <w:rPr>
      <w:sz w:val="18"/>
      <w:szCs w:val="18"/>
    </w:rPr>
  </w:style>
  <w:style w:type="paragraph" w:styleId="FootnoteText">
    <w:name w:val="footnote text"/>
    <w:basedOn w:val="Normal"/>
    <w:link w:val="FootnoteTextChar"/>
    <w:uiPriority w:val="99"/>
    <w:unhideWhenUsed/>
    <w:rsid w:val="00AB5BAA"/>
    <w:pPr>
      <w:snapToGrid w:val="0"/>
      <w:jc w:val="left"/>
    </w:pPr>
    <w:rPr>
      <w:sz w:val="18"/>
      <w:szCs w:val="18"/>
    </w:rPr>
  </w:style>
  <w:style w:type="character" w:customStyle="1" w:styleId="FootnoteTextChar">
    <w:name w:val="Footnote Text Char"/>
    <w:basedOn w:val="DefaultParagraphFont"/>
    <w:link w:val="FootnoteText"/>
    <w:uiPriority w:val="99"/>
    <w:rsid w:val="00AB5BAA"/>
    <w:rPr>
      <w:sz w:val="18"/>
      <w:szCs w:val="18"/>
    </w:rPr>
  </w:style>
  <w:style w:type="character" w:styleId="FootnoteReference">
    <w:name w:val="footnote reference"/>
    <w:basedOn w:val="DefaultParagraphFont"/>
    <w:uiPriority w:val="99"/>
    <w:semiHidden/>
    <w:unhideWhenUsed/>
    <w:rsid w:val="00AB5BAA"/>
    <w:rPr>
      <w:vertAlign w:val="superscript"/>
    </w:rPr>
  </w:style>
  <w:style w:type="character" w:styleId="Hyperlink">
    <w:name w:val="Hyperlink"/>
    <w:basedOn w:val="DefaultParagraphFont"/>
    <w:uiPriority w:val="99"/>
    <w:semiHidden/>
    <w:unhideWhenUsed/>
    <w:rsid w:val="00C86DDE"/>
    <w:rPr>
      <w:color w:val="0000FF"/>
      <w:u w:val="single"/>
    </w:rPr>
  </w:style>
  <w:style w:type="paragraph" w:customStyle="1" w:styleId="Default">
    <w:name w:val="Default"/>
    <w:rsid w:val="00407527"/>
    <w:pPr>
      <w:autoSpaceDE w:val="0"/>
      <w:autoSpaceDN w:val="0"/>
      <w:adjustRightInd w:val="0"/>
    </w:pPr>
    <w:rPr>
      <w:rFonts w:ascii="Book Antiqua" w:hAnsi="Book Antiqua" w:cs="Book Antiqua"/>
      <w:color w:val="000000"/>
      <w:kern w:val="0"/>
      <w:sz w:val="24"/>
      <w:szCs w:val="24"/>
    </w:rPr>
  </w:style>
  <w:style w:type="paragraph" w:styleId="BalloonText">
    <w:name w:val="Balloon Text"/>
    <w:basedOn w:val="Normal"/>
    <w:link w:val="BalloonTextChar"/>
    <w:uiPriority w:val="99"/>
    <w:semiHidden/>
    <w:unhideWhenUsed/>
    <w:rsid w:val="004D27CD"/>
    <w:rPr>
      <w:sz w:val="16"/>
      <w:szCs w:val="16"/>
    </w:rPr>
  </w:style>
  <w:style w:type="character" w:customStyle="1" w:styleId="BalloonTextChar">
    <w:name w:val="Balloon Text Char"/>
    <w:basedOn w:val="DefaultParagraphFont"/>
    <w:link w:val="BalloonText"/>
    <w:uiPriority w:val="99"/>
    <w:semiHidden/>
    <w:rsid w:val="004D27CD"/>
    <w:rPr>
      <w:sz w:val="16"/>
      <w:szCs w:val="16"/>
    </w:rPr>
  </w:style>
  <w:style w:type="paragraph" w:styleId="Caption">
    <w:name w:val="caption"/>
    <w:basedOn w:val="Normal"/>
    <w:next w:val="Normal"/>
    <w:uiPriority w:val="35"/>
    <w:unhideWhenUsed/>
    <w:qFormat/>
    <w:rsid w:val="00CE7EDA"/>
    <w:rPr>
      <w:rFonts w:asciiTheme="majorHAnsi" w:eastAsia="SimHei" w:hAnsiTheme="majorHAnsi" w:cstheme="majorBidi"/>
      <w:sz w:val="20"/>
      <w:szCs w:val="20"/>
    </w:rPr>
  </w:style>
  <w:style w:type="paragraph" w:customStyle="1" w:styleId="ng-binding">
    <w:name w:val="ng-binding"/>
    <w:basedOn w:val="Normal"/>
    <w:rsid w:val="00CE7EDA"/>
    <w:pPr>
      <w:widowControl/>
      <w:spacing w:before="100" w:beforeAutospacing="1" w:after="100" w:afterAutospacing="1"/>
      <w:jc w:val="left"/>
    </w:pPr>
    <w:rPr>
      <w:rFonts w:ascii="SimSun" w:eastAsia="SimSun" w:hAnsi="SimSun" w:cs="SimSun"/>
      <w:kern w:val="0"/>
      <w:sz w:val="24"/>
      <w:szCs w:val="24"/>
    </w:rPr>
  </w:style>
  <w:style w:type="character" w:customStyle="1" w:styleId="Heading3Char">
    <w:name w:val="Heading 3 Char"/>
    <w:basedOn w:val="DefaultParagraphFont"/>
    <w:link w:val="Heading3"/>
    <w:rsid w:val="00AF56F1"/>
    <w:rPr>
      <w:rFonts w:ascii="Tahoma" w:eastAsia="SimSun" w:hAnsi="Tahoma" w:cs="Tahoma"/>
      <w:b/>
      <w:bCs/>
      <w:kern w:val="0"/>
      <w:sz w:val="20"/>
      <w:szCs w:val="20"/>
      <w:lang w:val="en-GB"/>
    </w:rPr>
  </w:style>
  <w:style w:type="paragraph" w:styleId="NormalWeb">
    <w:name w:val="Normal (Web)"/>
    <w:basedOn w:val="Normal"/>
    <w:rsid w:val="00AF56F1"/>
    <w:pPr>
      <w:widowControl/>
      <w:spacing w:before="100" w:beforeAutospacing="1" w:after="100" w:afterAutospacing="1"/>
      <w:jc w:val="left"/>
    </w:pPr>
    <w:rPr>
      <w:rFonts w:ascii="Georgia" w:eastAsia="SimSun" w:hAnsi="Georgia" w:cs="Times New Roman"/>
      <w:color w:val="000000"/>
      <w:kern w:val="0"/>
      <w:szCs w:val="21"/>
      <w:lang w:val="en-GB"/>
    </w:rPr>
  </w:style>
</w:styles>
</file>

<file path=word/webSettings.xml><?xml version="1.0" encoding="utf-8"?>
<w:webSettings xmlns:r="http://schemas.openxmlformats.org/officeDocument/2006/relationships" xmlns:w="http://schemas.openxmlformats.org/wordprocessingml/2006/main">
  <w:divs>
    <w:div w:id="1016543306">
      <w:bodyDiv w:val="1"/>
      <w:marLeft w:val="0"/>
      <w:marRight w:val="0"/>
      <w:marTop w:val="0"/>
      <w:marBottom w:val="0"/>
      <w:divBdr>
        <w:top w:val="none" w:sz="0" w:space="0" w:color="auto"/>
        <w:left w:val="none" w:sz="0" w:space="0" w:color="auto"/>
        <w:bottom w:val="none" w:sz="0" w:space="0" w:color="auto"/>
        <w:right w:val="none" w:sz="0" w:space="0" w:color="auto"/>
      </w:divBdr>
      <w:divsChild>
        <w:div w:id="1586496867">
          <w:marLeft w:val="0"/>
          <w:marRight w:val="0"/>
          <w:marTop w:val="0"/>
          <w:marBottom w:val="0"/>
          <w:divBdr>
            <w:top w:val="none" w:sz="0" w:space="0" w:color="auto"/>
            <w:left w:val="none" w:sz="0" w:space="0" w:color="auto"/>
            <w:bottom w:val="none" w:sz="0" w:space="0" w:color="auto"/>
            <w:right w:val="none" w:sz="0" w:space="0" w:color="auto"/>
          </w:divBdr>
        </w:div>
        <w:div w:id="586110017">
          <w:marLeft w:val="0"/>
          <w:marRight w:val="0"/>
          <w:marTop w:val="0"/>
          <w:marBottom w:val="0"/>
          <w:divBdr>
            <w:top w:val="none" w:sz="0" w:space="0" w:color="auto"/>
            <w:left w:val="none" w:sz="0" w:space="0" w:color="auto"/>
            <w:bottom w:val="none" w:sz="0" w:space="0" w:color="auto"/>
            <w:right w:val="none" w:sz="0" w:space="0" w:color="auto"/>
          </w:divBdr>
        </w:div>
        <w:div w:id="1609703023">
          <w:marLeft w:val="0"/>
          <w:marRight w:val="0"/>
          <w:marTop w:val="0"/>
          <w:marBottom w:val="0"/>
          <w:divBdr>
            <w:top w:val="none" w:sz="0" w:space="0" w:color="auto"/>
            <w:left w:val="none" w:sz="0" w:space="0" w:color="auto"/>
            <w:bottom w:val="none" w:sz="0" w:space="0" w:color="auto"/>
            <w:right w:val="none" w:sz="0" w:space="0" w:color="auto"/>
          </w:divBdr>
        </w:div>
        <w:div w:id="1747725259">
          <w:marLeft w:val="0"/>
          <w:marRight w:val="0"/>
          <w:marTop w:val="0"/>
          <w:marBottom w:val="0"/>
          <w:divBdr>
            <w:top w:val="none" w:sz="0" w:space="0" w:color="auto"/>
            <w:left w:val="none" w:sz="0" w:space="0" w:color="auto"/>
            <w:bottom w:val="none" w:sz="0" w:space="0" w:color="auto"/>
            <w:right w:val="none" w:sz="0" w:space="0" w:color="auto"/>
          </w:divBdr>
          <w:divsChild>
            <w:div w:id="710113545">
              <w:marLeft w:val="0"/>
              <w:marRight w:val="0"/>
              <w:marTop w:val="0"/>
              <w:marBottom w:val="0"/>
              <w:divBdr>
                <w:top w:val="none" w:sz="0" w:space="0" w:color="auto"/>
                <w:left w:val="none" w:sz="0" w:space="0" w:color="auto"/>
                <w:bottom w:val="none" w:sz="0" w:space="0" w:color="auto"/>
                <w:right w:val="none" w:sz="0" w:space="0" w:color="auto"/>
              </w:divBdr>
            </w:div>
          </w:divsChild>
        </w:div>
        <w:div w:id="304244868">
          <w:marLeft w:val="0"/>
          <w:marRight w:val="0"/>
          <w:marTop w:val="0"/>
          <w:marBottom w:val="0"/>
          <w:divBdr>
            <w:top w:val="none" w:sz="0" w:space="0" w:color="auto"/>
            <w:left w:val="none" w:sz="0" w:space="0" w:color="auto"/>
            <w:bottom w:val="none" w:sz="0" w:space="0" w:color="auto"/>
            <w:right w:val="none" w:sz="0" w:space="0" w:color="auto"/>
          </w:divBdr>
        </w:div>
      </w:divsChild>
    </w:div>
    <w:div w:id="1346783779">
      <w:bodyDiv w:val="1"/>
      <w:marLeft w:val="0"/>
      <w:marRight w:val="0"/>
      <w:marTop w:val="0"/>
      <w:marBottom w:val="0"/>
      <w:divBdr>
        <w:top w:val="none" w:sz="0" w:space="0" w:color="auto"/>
        <w:left w:val="none" w:sz="0" w:space="0" w:color="auto"/>
        <w:bottom w:val="none" w:sz="0" w:space="0" w:color="auto"/>
        <w:right w:val="none" w:sz="0" w:space="0" w:color="auto"/>
      </w:divBdr>
      <w:divsChild>
        <w:div w:id="587471742">
          <w:marLeft w:val="0"/>
          <w:marRight w:val="0"/>
          <w:marTop w:val="0"/>
          <w:marBottom w:val="0"/>
          <w:divBdr>
            <w:top w:val="none" w:sz="0" w:space="0" w:color="auto"/>
            <w:left w:val="none" w:sz="0" w:space="0" w:color="auto"/>
            <w:bottom w:val="none" w:sz="0" w:space="0" w:color="auto"/>
            <w:right w:val="none" w:sz="0" w:space="0" w:color="auto"/>
          </w:divBdr>
        </w:div>
        <w:div w:id="1116750678">
          <w:marLeft w:val="0"/>
          <w:marRight w:val="0"/>
          <w:marTop w:val="0"/>
          <w:marBottom w:val="0"/>
          <w:divBdr>
            <w:top w:val="none" w:sz="0" w:space="0" w:color="auto"/>
            <w:left w:val="none" w:sz="0" w:space="0" w:color="auto"/>
            <w:bottom w:val="none" w:sz="0" w:space="0" w:color="auto"/>
            <w:right w:val="none" w:sz="0" w:space="0" w:color="auto"/>
          </w:divBdr>
        </w:div>
        <w:div w:id="1369331561">
          <w:marLeft w:val="0"/>
          <w:marRight w:val="0"/>
          <w:marTop w:val="0"/>
          <w:marBottom w:val="0"/>
          <w:divBdr>
            <w:top w:val="none" w:sz="0" w:space="0" w:color="auto"/>
            <w:left w:val="none" w:sz="0" w:space="0" w:color="auto"/>
            <w:bottom w:val="none" w:sz="0" w:space="0" w:color="auto"/>
            <w:right w:val="none" w:sz="0" w:space="0" w:color="auto"/>
          </w:divBdr>
        </w:div>
        <w:div w:id="792990536">
          <w:marLeft w:val="0"/>
          <w:marRight w:val="0"/>
          <w:marTop w:val="0"/>
          <w:marBottom w:val="0"/>
          <w:divBdr>
            <w:top w:val="none" w:sz="0" w:space="0" w:color="auto"/>
            <w:left w:val="none" w:sz="0" w:space="0" w:color="auto"/>
            <w:bottom w:val="none" w:sz="0" w:space="0" w:color="auto"/>
            <w:right w:val="none" w:sz="0" w:space="0" w:color="auto"/>
          </w:divBdr>
          <w:divsChild>
            <w:div w:id="1994023327">
              <w:marLeft w:val="0"/>
              <w:marRight w:val="0"/>
              <w:marTop w:val="0"/>
              <w:marBottom w:val="0"/>
              <w:divBdr>
                <w:top w:val="none" w:sz="0" w:space="0" w:color="auto"/>
                <w:left w:val="none" w:sz="0" w:space="0" w:color="auto"/>
                <w:bottom w:val="none" w:sz="0" w:space="0" w:color="auto"/>
                <w:right w:val="none" w:sz="0" w:space="0" w:color="auto"/>
              </w:divBdr>
            </w:div>
          </w:divsChild>
        </w:div>
        <w:div w:id="10982083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18" Type="http://schemas.openxmlformats.org/officeDocument/2006/relationships/image" Target="media/image12.png"/><Relationship Id="rId26" Type="http://schemas.openxmlformats.org/officeDocument/2006/relationships/hyperlink" Target="https://setcompass.com/GoogleMapsProjection.htm"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8.emf"/><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image" Target="media/image17.emf"/><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emf"/><Relationship Id="rId22" Type="http://schemas.openxmlformats.org/officeDocument/2006/relationships/image" Target="media/image16.emf"/><Relationship Id="rId27"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setcompass.com/GoogleMapsProjec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97D150-7876-4D22-A359-C6E86CFD5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4323</Words>
  <Characters>24643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Ideapad</dc:creator>
  <cp:lastModifiedBy>Ideapad</cp:lastModifiedBy>
  <cp:revision>2</cp:revision>
  <dcterms:created xsi:type="dcterms:W3CDTF">2019-07-29T10:53:00Z</dcterms:created>
  <dcterms:modified xsi:type="dcterms:W3CDTF">2019-07-29T10:53:00Z</dcterms:modified>
</cp:coreProperties>
</file>