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DFC0A" w14:textId="77777777" w:rsidR="00941B65" w:rsidRDefault="00941B65" w:rsidP="00941B65">
      <w:r>
        <w:t>1. Return on Equity (ROE)</w:t>
      </w:r>
    </w:p>
    <w:p w14:paraId="7FAAF940" w14:textId="77777777" w:rsidR="00941B65" w:rsidRDefault="00941B65" w:rsidP="00941B65">
      <w:r>
        <w:t>Trend: Scandic experienced a severe negative ROE of -145.5% in 2021 due to the lingering impacts of the pandemic, which drove net losses while equity was depleted. However, the company staged a remarkable recovery in 2022 (17.3%) and peaked in 2023 (24.6%) as travel demand normalized and profitability surged. ROE stabilized at a healthy ~20% in 2024 and 2025, indicating consistent and efficient generation of profit from shareholder equity post-recovery.</w:t>
      </w:r>
    </w:p>
    <w:p w14:paraId="5D29028F" w14:textId="77777777" w:rsidR="00941B65" w:rsidRDefault="00941B65" w:rsidP="00941B65">
      <w:r>
        <w:t>2. Return on Assets (ROA)</w:t>
      </w:r>
    </w:p>
    <w:p w14:paraId="095420F6" w14:textId="77777777" w:rsidR="00941B65" w:rsidRDefault="00941B65" w:rsidP="00941B65">
      <w:r>
        <w:t>Trend: Similar to ROE, ROA was negative in 2021 (-3.8%). It turned positive in 2022 (0.8%) and has steadily climbed to 1.2% in 2024 and 2025. While 1.2% may seem modest, it is typical for the capital-intensive hotel industry, where total assets are heavily inflated by right-of-use assets (lease liabilities under IFRS 16). The steady improvement reflects better utilization of the company's asset base to generate net income.</w:t>
      </w:r>
    </w:p>
    <w:p w14:paraId="7B813E40" w14:textId="77777777" w:rsidR="00941B65" w:rsidRDefault="00941B65" w:rsidP="00941B65">
      <w:r>
        <w:t>3. Price-to-Earnings (P/E) Ratio</w:t>
      </w:r>
    </w:p>
    <w:p w14:paraId="283E28FE" w14:textId="77777777" w:rsidR="00941B65" w:rsidRDefault="00941B65" w:rsidP="00941B65">
      <w:r>
        <w:t xml:space="preserve">Trend: The P/E ratio was not applicable in 2021 due to negative earnings. From 2022 to 2025, the P/E ratio expanded significantly from 14.7x to 33.5x. This expansion is driven by two factors: a strong recovery in earnings per share (EPS) and a substantial re-rating of the stock by the market. The market capitalization grew from ~6.2 billion SEK in 2022 to 20.9 billion SEK in 2025, reflecting high investor confidence in </w:t>
      </w:r>
      <w:proofErr w:type="spellStart"/>
      <w:r>
        <w:t>Scandic’s</w:t>
      </w:r>
      <w:proofErr w:type="spellEnd"/>
      <w:r>
        <w:t xml:space="preserve"> long-term growth strategy, successful cost management, and the strategic acquisition of Dalata’s hotel operations.</w:t>
      </w:r>
    </w:p>
    <w:p w14:paraId="73B768F8" w14:textId="77777777" w:rsidR="00941B65" w:rsidRDefault="00941B65" w:rsidP="00941B65">
      <w:r>
        <w:t>4. Operating Cash Flow Ratio</w:t>
      </w:r>
    </w:p>
    <w:p w14:paraId="5E42E3FC" w14:textId="77777777" w:rsidR="00941B65" w:rsidRDefault="00941B65" w:rsidP="00941B65">
      <w:r>
        <w:t xml:space="preserve">Trend: This ratio measures the company’s ability to cover its short-term obligations with cash generated from core operations. </w:t>
      </w:r>
      <w:proofErr w:type="spellStart"/>
      <w:r>
        <w:t>Scandic’s</w:t>
      </w:r>
      <w:proofErr w:type="spellEnd"/>
      <w:r>
        <w:t xml:space="preserve"> ratio jumped from 0.66 in 2021 to 0.96 in 2022, demonstrating a rapid restoration of operational liquidity. It dipped slightly in 2023 (0.74) due to a temporary spike in current liabilities (e.g., accrued expenses and deferred income), but recovered strongly to 0.95 in 2024 and 0.98 in 2025. A ratio approaching 1.0 indicates that Scandic generates nearly enough operating cash to cover all its current liabilities, </w:t>
      </w:r>
      <w:proofErr w:type="spellStart"/>
      <w:r>
        <w:t>signaling</w:t>
      </w:r>
      <w:proofErr w:type="spellEnd"/>
      <w:r>
        <w:t xml:space="preserve"> excellent short-term financial health.</w:t>
      </w:r>
    </w:p>
    <w:p w14:paraId="473117FB" w14:textId="77777777" w:rsidR="00941B65" w:rsidRDefault="00941B65" w:rsidP="00941B65">
      <w:r>
        <w:t>5. Free Cash Flow (FCF) Margin</w:t>
      </w:r>
    </w:p>
    <w:p w14:paraId="4171E56E" w14:textId="77777777" w:rsidR="00941B65" w:rsidRDefault="00941B65" w:rsidP="00941B65">
      <w:r>
        <w:t>Trend: FCF Margin highlights how much cash is left over after operating expenses and capital expenditures, relative to revenue. In 2021, the margin was a mere 1.8% as the company prioritized survival and minimal capex. In 2022 and 2023, the margin soared to 9.1% and 8.0%, respectively, benefiting from pent-up travel demand and strict cost controls. In 2024 and 2025, the margin normalized to 4.1%. This moderation is expected and healthy, as Scandic resumed normal levels of capital expenditure (e.g., hotel renovations, IT digitalization, and new openings) to sustain long-term growth, rather than just harvesting cash.</w:t>
      </w:r>
    </w:p>
    <w:p w14:paraId="497B805B" w14:textId="77777777" w:rsidR="00941B65" w:rsidRDefault="00941B65" w:rsidP="00941B65">
      <w:r>
        <w:t>Overall Conclusion</w:t>
      </w:r>
    </w:p>
    <w:p w14:paraId="21F80345" w14:textId="77777777" w:rsidR="00941B65" w:rsidRDefault="00941B65" w:rsidP="00941B65">
      <w:r>
        <w:t xml:space="preserve">Scandic Hotels Group has successfully navigated the post-pandemic landscape, transitioning from a distressed financial position in 2021 to a highly profitable and cash-generative business by 2025. The company has effectively leveraged its flexible cost structure and revenue-based lease model to drive strong operating cash flows. The rising P/E multiple suggests that the market is rewarding this operational turnaround and pricing in future growth, particularly as Scandic expands its footprint </w:t>
      </w:r>
      <w:r>
        <w:lastRenderedPageBreak/>
        <w:t>(e.g., in Germany and through the Dalata acquisition) while maintaining a robust balance sheet with low net debt.</w:t>
      </w:r>
    </w:p>
    <w:p w14:paraId="42A22A3C" w14:textId="77777777" w:rsidR="00941B65" w:rsidRDefault="00941B65" w:rsidP="00941B65">
      <w:r>
        <w:t xml:space="preserve">doublecheck the 2021 P/E. </w:t>
      </w:r>
    </w:p>
    <w:p w14:paraId="623B142A" w14:textId="77777777" w:rsidR="00941B65" w:rsidRDefault="00941B65" w:rsidP="00941B65"/>
    <w:p w14:paraId="0F817D55" w14:textId="77777777" w:rsidR="00941B65" w:rsidRDefault="00941B65" w:rsidP="00941B65">
      <w:r>
        <w:t>Thought completed</w:t>
      </w:r>
    </w:p>
    <w:p w14:paraId="75B1D2D5" w14:textId="77777777" w:rsidR="00941B65" w:rsidRDefault="00941B65" w:rsidP="00941B65">
      <w:r>
        <w:t>I have double-checked the 2021 Price-to-Earnings (P/E) ratio, and the initial assessment of N/A (Negative Earnings) is correct.</w:t>
      </w:r>
    </w:p>
    <w:p w14:paraId="41F234FB" w14:textId="77777777" w:rsidR="00941B65" w:rsidRDefault="00941B65" w:rsidP="00941B65">
      <w:r>
        <w:t xml:space="preserve">Here are the exact figures from </w:t>
      </w:r>
      <w:proofErr w:type="spellStart"/>
      <w:r>
        <w:t>Scandic's</w:t>
      </w:r>
      <w:proofErr w:type="spellEnd"/>
      <w:r>
        <w:t xml:space="preserve"> 2021 Annual Report to confirm:</w:t>
      </w:r>
    </w:p>
    <w:p w14:paraId="03E767EA" w14:textId="77777777" w:rsidR="00941B65" w:rsidRDefault="00941B65" w:rsidP="00941B65">
      <w:r>
        <w:t>Net Profit/Loss attributable to Parent Company shareholders: -1,681 million SEK</w:t>
      </w:r>
    </w:p>
    <w:p w14:paraId="5F8A309B" w14:textId="77777777" w:rsidR="00941B65" w:rsidRDefault="00941B65" w:rsidP="00941B65">
      <w:r>
        <w:t>Earnings Per Share (EPS) (before and after dilution): -8.79 SEK</w:t>
      </w:r>
    </w:p>
    <w:p w14:paraId="537797C7" w14:textId="77777777" w:rsidR="00941B65" w:rsidRDefault="00941B65" w:rsidP="00941B65">
      <w:r>
        <w:t>Because the company reported a net loss for the year, the earnings are negative. In financial analysis, a negative P/E ratio is mathematically possible but fundamentally meaningless for valuation purposes, as it does not indicate how many years it would take to earn back the share price. Therefore, it is standard practice to report the P/E ratio as N/A (Not Applicable) or "Negative Earnings" for that period.</w:t>
      </w:r>
    </w:p>
    <w:p w14:paraId="2E069598" w14:textId="77777777" w:rsidR="00941B65" w:rsidRDefault="00941B65" w:rsidP="00941B65">
      <w:r>
        <w:t>If you need the exact share price or market capitalization for 2021 to calculate other price-based multiples (like Price-to-Book), the 2021 report notes that the year-end market capitalization was approximately 7.0 billion SEK, with 191,257,993 shares outstanding (implying a year-end share price of roughly ~36.60 SEK).</w:t>
      </w:r>
    </w:p>
    <w:p w14:paraId="4DA5BC10" w14:textId="77777777" w:rsidR="00941B65" w:rsidRDefault="00941B65" w:rsidP="00941B65">
      <w:r>
        <w:t xml:space="preserve"> ok fine let go to another prompt Identify 2–3 direct competitors or industry average ratios (from sources like GlobalData, Yahoo Finance, or annual reports). Compare your company’s latest year ratios against these benchmarks. Highlight strengths and weaknesses. </w:t>
      </w:r>
    </w:p>
    <w:p w14:paraId="6A2C9577" w14:textId="77777777" w:rsidR="00941B65" w:rsidRDefault="00941B65" w:rsidP="00941B65"/>
    <w:p w14:paraId="4B6EE666" w14:textId="77777777" w:rsidR="00941B65" w:rsidRDefault="00941B65" w:rsidP="00941B65">
      <w:r>
        <w:t>Thought completed</w:t>
      </w:r>
    </w:p>
    <w:p w14:paraId="7889ADAB" w14:textId="77777777" w:rsidR="00941B65" w:rsidRDefault="00941B65" w:rsidP="00941B65">
      <w:r>
        <w:t xml:space="preserve">Based on Scandic Hotels Group’s latest financial data (2025) and comparative industry benchmarks, here is an analysis of how </w:t>
      </w:r>
      <w:proofErr w:type="spellStart"/>
      <w:r>
        <w:t>Scandic’s</w:t>
      </w:r>
      <w:proofErr w:type="spellEnd"/>
      <w:r>
        <w:t xml:space="preserve"> key financial ratios stack up against direct competitors and industry averages.</w:t>
      </w:r>
    </w:p>
    <w:p w14:paraId="54D8786C" w14:textId="77777777" w:rsidR="00941B65" w:rsidRDefault="00941B65" w:rsidP="00941B65">
      <w:r>
        <w:t>1. Selected Benchmarks</w:t>
      </w:r>
    </w:p>
    <w:p w14:paraId="0F90B874" w14:textId="77777777" w:rsidR="00941B65" w:rsidRDefault="00941B65" w:rsidP="00941B65">
      <w:r>
        <w:t xml:space="preserve">Accor S.A. (2024): A leading global/European hotel operator. Accor serves as an excellent benchmark for the "asset-light/franchise-heavy" hotel operator model. In 2024, Accor reported revenue of €5,606 million and recurring EBITDA of €1,120 million, with net financial debt of €2,495 million </w:t>
      </w:r>
    </w:p>
    <w:p w14:paraId="3DBB2A4C" w14:textId="399352B2" w:rsidR="00941B65" w:rsidRDefault="00941B65" w:rsidP="00941B65">
      <w:r>
        <w:t xml:space="preserve">European Hotel Industry Average (2024): According to industry profitability data, the average EBITDA margin for European hotels ranges from 16.4% to 18.9%, with mid-market/budget hotels typically operating in the 10%–15% range </w:t>
      </w:r>
    </w:p>
    <w:p w14:paraId="50527748" w14:textId="77777777" w:rsidR="00941B65" w:rsidRDefault="00941B65" w:rsidP="00941B65">
      <w:r>
        <w:t>. The industry average Net Debt/EBITDA for leveraged hotel operators typically sits between 2.5x and 3.5x.</w:t>
      </w:r>
    </w:p>
    <w:p w14:paraId="36BB91E5" w14:textId="77777777" w:rsidR="007F16CA" w:rsidRDefault="007F16CA" w:rsidP="00941B65"/>
    <w:p w14:paraId="6D884DA2" w14:textId="7FC8002C" w:rsidR="00D85D4B" w:rsidRDefault="00941B65" w:rsidP="00941B65">
      <w:r>
        <w:lastRenderedPageBreak/>
        <w:t>2. Ratio Comparison: Scandic (2025) vs. Benchmarks</w:t>
      </w:r>
    </w:p>
    <w:tbl>
      <w:tblPr>
        <w:tblW w:w="0" w:type="auto"/>
        <w:tblCellSpacing w:w="15" w:type="dxa"/>
        <w:tblBorders>
          <w:top w:val="single" w:sz="2" w:space="0" w:color="E3E3E3"/>
          <w:left w:val="single" w:sz="2" w:space="0" w:color="E3E3E3"/>
          <w:bottom w:val="single" w:sz="2" w:space="0" w:color="E3E3E3"/>
          <w:right w:val="single" w:sz="2" w:space="0" w:color="E3E3E3"/>
        </w:tblBorders>
        <w:shd w:val="clear" w:color="auto" w:fill="FFFFFF"/>
        <w:tblCellMar>
          <w:left w:w="0" w:type="dxa"/>
          <w:right w:w="0" w:type="dxa"/>
        </w:tblCellMar>
        <w:tblLook w:val="04A0" w:firstRow="1" w:lastRow="0" w:firstColumn="1" w:lastColumn="0" w:noHBand="0" w:noVBand="1"/>
      </w:tblPr>
      <w:tblGrid>
        <w:gridCol w:w="2036"/>
        <w:gridCol w:w="2043"/>
        <w:gridCol w:w="2801"/>
        <w:gridCol w:w="2140"/>
      </w:tblGrid>
      <w:tr w:rsidR="00D85D4B" w:rsidRPr="00D85D4B" w14:paraId="5CC09313" w14:textId="77777777">
        <w:trPr>
          <w:tblHeader/>
          <w:tblCellSpacing w:w="15" w:type="dxa"/>
        </w:trPr>
        <w:tc>
          <w:tcPr>
            <w:tcW w:w="0" w:type="auto"/>
            <w:tcBorders>
              <w:top w:val="single" w:sz="2" w:space="0" w:color="E3E3E3"/>
              <w:left w:val="single" w:sz="2" w:space="0" w:color="E3E3E3"/>
              <w:bottom w:val="single" w:sz="4" w:space="0" w:color="E1E3EA"/>
              <w:right w:val="single" w:sz="2" w:space="0" w:color="E3E3E3"/>
            </w:tcBorders>
            <w:shd w:val="clear" w:color="auto" w:fill="F7F8FC"/>
            <w:vAlign w:val="center"/>
            <w:hideMark/>
          </w:tcPr>
          <w:p w14:paraId="1D96F38F" w14:textId="77777777" w:rsidR="00D85D4B" w:rsidRPr="00D85D4B" w:rsidRDefault="00D85D4B" w:rsidP="00D85D4B">
            <w:pPr>
              <w:rPr>
                <w:b/>
                <w:bCs/>
              </w:rPr>
            </w:pPr>
            <w:r w:rsidRPr="00D85D4B">
              <w:rPr>
                <w:b/>
                <w:bCs/>
              </w:rPr>
              <w:t>Financial Metric</w:t>
            </w:r>
          </w:p>
        </w:tc>
        <w:tc>
          <w:tcPr>
            <w:tcW w:w="0" w:type="auto"/>
            <w:tcBorders>
              <w:top w:val="single" w:sz="2" w:space="0" w:color="E3E3E3"/>
              <w:left w:val="single" w:sz="2" w:space="0" w:color="E3E3E3"/>
              <w:bottom w:val="single" w:sz="4" w:space="0" w:color="E1E3EA"/>
              <w:right w:val="single" w:sz="2" w:space="0" w:color="E3E3E3"/>
            </w:tcBorders>
            <w:shd w:val="clear" w:color="auto" w:fill="F7F8FC"/>
            <w:vAlign w:val="center"/>
            <w:hideMark/>
          </w:tcPr>
          <w:p w14:paraId="430A820D" w14:textId="77777777" w:rsidR="00D85D4B" w:rsidRPr="00D85D4B" w:rsidRDefault="00D85D4B" w:rsidP="00D85D4B">
            <w:pPr>
              <w:rPr>
                <w:b/>
                <w:bCs/>
              </w:rPr>
            </w:pPr>
            <w:r w:rsidRPr="00D85D4B">
              <w:rPr>
                <w:b/>
                <w:bCs/>
              </w:rPr>
              <w:t>Scandic Hotels Group (2025)</w:t>
            </w:r>
          </w:p>
        </w:tc>
        <w:tc>
          <w:tcPr>
            <w:tcW w:w="0" w:type="auto"/>
            <w:tcBorders>
              <w:top w:val="single" w:sz="2" w:space="0" w:color="E3E3E3"/>
              <w:left w:val="single" w:sz="2" w:space="0" w:color="E3E3E3"/>
              <w:bottom w:val="single" w:sz="4" w:space="0" w:color="E1E3EA"/>
              <w:right w:val="single" w:sz="2" w:space="0" w:color="E3E3E3"/>
            </w:tcBorders>
            <w:shd w:val="clear" w:color="auto" w:fill="F7F8FC"/>
            <w:vAlign w:val="center"/>
            <w:hideMark/>
          </w:tcPr>
          <w:p w14:paraId="052C030B" w14:textId="77777777" w:rsidR="00D85D4B" w:rsidRPr="00D85D4B" w:rsidRDefault="00D85D4B" w:rsidP="00D85D4B">
            <w:pPr>
              <w:rPr>
                <w:b/>
                <w:bCs/>
              </w:rPr>
            </w:pPr>
            <w:r w:rsidRPr="00D85D4B">
              <w:rPr>
                <w:b/>
                <w:bCs/>
              </w:rPr>
              <w:t>Accor S.A. (2024)</w:t>
            </w:r>
          </w:p>
        </w:tc>
        <w:tc>
          <w:tcPr>
            <w:tcW w:w="0" w:type="auto"/>
            <w:tcBorders>
              <w:top w:val="single" w:sz="2" w:space="0" w:color="E3E3E3"/>
              <w:left w:val="single" w:sz="2" w:space="0" w:color="E3E3E3"/>
              <w:bottom w:val="single" w:sz="4" w:space="0" w:color="E1E3EA"/>
              <w:right w:val="single" w:sz="2" w:space="0" w:color="E3E3E3"/>
            </w:tcBorders>
            <w:shd w:val="clear" w:color="auto" w:fill="F7F8FC"/>
            <w:vAlign w:val="center"/>
            <w:hideMark/>
          </w:tcPr>
          <w:p w14:paraId="047D7A11" w14:textId="77777777" w:rsidR="00D85D4B" w:rsidRPr="00D85D4B" w:rsidRDefault="00D85D4B" w:rsidP="00D85D4B">
            <w:pPr>
              <w:rPr>
                <w:b/>
                <w:bCs/>
              </w:rPr>
            </w:pPr>
            <w:r w:rsidRPr="00D85D4B">
              <w:rPr>
                <w:b/>
                <w:bCs/>
              </w:rPr>
              <w:t>European Hotel Industry Avg.</w:t>
            </w:r>
          </w:p>
        </w:tc>
      </w:tr>
      <w:tr w:rsidR="00D85D4B" w:rsidRPr="00D85D4B" w14:paraId="6CB547B3" w14:textId="77777777">
        <w:trPr>
          <w:tblCellSpacing w:w="15" w:type="dxa"/>
        </w:trPr>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62D722E1" w14:textId="77777777" w:rsidR="00D85D4B" w:rsidRPr="00D85D4B" w:rsidRDefault="00D85D4B" w:rsidP="00D85D4B">
            <w:r w:rsidRPr="00D85D4B">
              <w:rPr>
                <w:b/>
                <w:bCs/>
              </w:rPr>
              <w:t>Adjusted EBITDA Margin</w:t>
            </w:r>
          </w:p>
        </w:tc>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72620FEA" w14:textId="77777777" w:rsidR="00D85D4B" w:rsidRPr="00D85D4B" w:rsidRDefault="00D85D4B" w:rsidP="00D85D4B">
            <w:r w:rsidRPr="00D85D4B">
              <w:rPr>
                <w:b/>
                <w:bCs/>
              </w:rPr>
              <w:t>10.9%</w:t>
            </w:r>
            <w:r w:rsidRPr="00D85D4B">
              <w:t xml:space="preserve"> </w:t>
            </w:r>
            <w:r w:rsidRPr="00D85D4B">
              <w:rPr>
                <w:i/>
                <w:iCs/>
              </w:rPr>
              <w:t>(2,425 / 22,289 MSEK)</w:t>
            </w:r>
          </w:p>
        </w:tc>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37097FB7" w14:textId="77777777" w:rsidR="00D85D4B" w:rsidRPr="00D85D4B" w:rsidRDefault="00D85D4B" w:rsidP="00D85D4B">
            <w:r w:rsidRPr="00D85D4B">
              <w:rPr>
                <w:b/>
                <w:bCs/>
              </w:rPr>
              <w:t>~20.0%</w:t>
            </w:r>
            <w:r w:rsidRPr="00D85D4B">
              <w:t xml:space="preserve"> </w:t>
            </w:r>
            <w:r w:rsidRPr="00D85D4B">
              <w:rPr>
                <w:i/>
                <w:iCs/>
              </w:rPr>
              <w:t>(1,120 / 5,606 M€)</w:t>
            </w:r>
          </w:p>
        </w:tc>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02756521" w14:textId="77777777" w:rsidR="00D85D4B" w:rsidRPr="00D85D4B" w:rsidRDefault="00D85D4B" w:rsidP="00D85D4B">
            <w:r w:rsidRPr="00D85D4B">
              <w:rPr>
                <w:b/>
                <w:bCs/>
              </w:rPr>
              <w:t>~16.4% – 18.9%</w:t>
            </w:r>
          </w:p>
        </w:tc>
      </w:tr>
      <w:tr w:rsidR="00D85D4B" w:rsidRPr="00D85D4B" w14:paraId="682A531D" w14:textId="77777777">
        <w:trPr>
          <w:tblCellSpacing w:w="15" w:type="dxa"/>
        </w:trPr>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018C9E63" w14:textId="77777777" w:rsidR="00D85D4B" w:rsidRPr="00D85D4B" w:rsidRDefault="00D85D4B" w:rsidP="00D85D4B">
            <w:r w:rsidRPr="00D85D4B">
              <w:rPr>
                <w:b/>
                <w:bCs/>
              </w:rPr>
              <w:t>Net Debt / Adjusted EBITDA</w:t>
            </w:r>
          </w:p>
        </w:tc>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0AA4E5DA" w14:textId="77777777" w:rsidR="00D85D4B" w:rsidRPr="00D85D4B" w:rsidRDefault="00D85D4B" w:rsidP="00D85D4B">
            <w:r w:rsidRPr="00D85D4B">
              <w:rPr>
                <w:b/>
                <w:bCs/>
              </w:rPr>
              <w:t>0.0x</w:t>
            </w:r>
            <w:r w:rsidRPr="00D85D4B">
              <w:t xml:space="preserve"> </w:t>
            </w:r>
            <w:r w:rsidRPr="00D85D4B">
              <w:rPr>
                <w:i/>
                <w:iCs/>
              </w:rPr>
              <w:t>(35 / 2,425 MSEK)</w:t>
            </w:r>
          </w:p>
        </w:tc>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7312A446" w14:textId="77777777" w:rsidR="00D85D4B" w:rsidRPr="00D85D4B" w:rsidRDefault="00D85D4B" w:rsidP="00D85D4B">
            <w:r w:rsidRPr="00D85D4B">
              <w:rPr>
                <w:b/>
                <w:bCs/>
              </w:rPr>
              <w:t>~2.2x</w:t>
            </w:r>
            <w:r w:rsidRPr="00D85D4B">
              <w:t xml:space="preserve"> </w:t>
            </w:r>
            <w:r w:rsidRPr="00D85D4B">
              <w:rPr>
                <w:i/>
                <w:iCs/>
              </w:rPr>
              <w:t>(2,495 / 1,120 M€)</w:t>
            </w:r>
          </w:p>
        </w:tc>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2D351318" w14:textId="77777777" w:rsidR="00D85D4B" w:rsidRPr="00D85D4B" w:rsidRDefault="00D85D4B" w:rsidP="00D85D4B">
            <w:r w:rsidRPr="00D85D4B">
              <w:rPr>
                <w:b/>
                <w:bCs/>
              </w:rPr>
              <w:t>~2.5x – 3.5x</w:t>
            </w:r>
          </w:p>
        </w:tc>
      </w:tr>
      <w:tr w:rsidR="00D85D4B" w:rsidRPr="00D85D4B" w14:paraId="4233282E" w14:textId="77777777">
        <w:trPr>
          <w:tblCellSpacing w:w="15" w:type="dxa"/>
        </w:trPr>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3AC35FBE" w14:textId="77777777" w:rsidR="00D85D4B" w:rsidRPr="00D85D4B" w:rsidRDefault="00D85D4B" w:rsidP="00D85D4B">
            <w:r w:rsidRPr="00D85D4B">
              <w:rPr>
                <w:b/>
                <w:bCs/>
              </w:rPr>
              <w:t>Free Cash Flow</w:t>
            </w:r>
          </w:p>
        </w:tc>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743CDE8D" w14:textId="77777777" w:rsidR="00D85D4B" w:rsidRPr="00D85D4B" w:rsidRDefault="00D85D4B" w:rsidP="00D85D4B">
            <w:r w:rsidRPr="00D85D4B">
              <w:rPr>
                <w:b/>
                <w:bCs/>
              </w:rPr>
              <w:t>914 MSEK</w:t>
            </w:r>
          </w:p>
        </w:tc>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5E32C1F4" w14:textId="77777777" w:rsidR="00D85D4B" w:rsidRPr="00D85D4B" w:rsidRDefault="00D85D4B" w:rsidP="00D85D4B">
            <w:r w:rsidRPr="00D85D4B">
              <w:rPr>
                <w:i/>
                <w:iCs/>
              </w:rPr>
              <w:t>Not directly comparable (different scale)</w:t>
            </w:r>
          </w:p>
        </w:tc>
        <w:tc>
          <w:tcPr>
            <w:tcW w:w="0" w:type="auto"/>
            <w:tcBorders>
              <w:top w:val="single" w:sz="2" w:space="0" w:color="E3E3E3"/>
              <w:left w:val="single" w:sz="2" w:space="0" w:color="E3E3E3"/>
              <w:bottom w:val="single" w:sz="4" w:space="0" w:color="E1E3EA"/>
              <w:right w:val="single" w:sz="2" w:space="0" w:color="E3E3E3"/>
            </w:tcBorders>
            <w:shd w:val="clear" w:color="auto" w:fill="FFFFFF"/>
            <w:vAlign w:val="center"/>
            <w:hideMark/>
          </w:tcPr>
          <w:p w14:paraId="5C479BDC" w14:textId="77777777" w:rsidR="00D85D4B" w:rsidRPr="00D85D4B" w:rsidRDefault="00D85D4B" w:rsidP="00D85D4B">
            <w:r w:rsidRPr="00D85D4B">
              <w:rPr>
                <w:i/>
                <w:iCs/>
              </w:rPr>
              <w:t>Varies widely by leverage</w:t>
            </w:r>
          </w:p>
        </w:tc>
      </w:tr>
      <w:tr w:rsidR="00D85D4B" w:rsidRPr="00D85D4B" w14:paraId="79D93D36" w14:textId="77777777">
        <w:trPr>
          <w:tblCellSpacing w:w="15" w:type="dxa"/>
        </w:trPr>
        <w:tc>
          <w:tcPr>
            <w:tcW w:w="0" w:type="auto"/>
            <w:tcBorders>
              <w:top w:val="single" w:sz="2" w:space="0" w:color="auto"/>
              <w:left w:val="single" w:sz="2" w:space="0" w:color="auto"/>
              <w:bottom w:val="nil"/>
              <w:right w:val="single" w:sz="2" w:space="0" w:color="auto"/>
            </w:tcBorders>
            <w:shd w:val="clear" w:color="auto" w:fill="FFFFFF"/>
            <w:vAlign w:val="center"/>
            <w:hideMark/>
          </w:tcPr>
          <w:p w14:paraId="3F993DB5" w14:textId="77777777" w:rsidR="00D85D4B" w:rsidRPr="00D85D4B" w:rsidRDefault="00D85D4B" w:rsidP="00D85D4B">
            <w:r w:rsidRPr="00D85D4B">
              <w:rPr>
                <w:b/>
                <w:bCs/>
              </w:rPr>
              <w:t>Primary Business Model</w:t>
            </w:r>
          </w:p>
        </w:tc>
        <w:tc>
          <w:tcPr>
            <w:tcW w:w="0" w:type="auto"/>
            <w:tcBorders>
              <w:top w:val="single" w:sz="2" w:space="0" w:color="auto"/>
              <w:left w:val="single" w:sz="2" w:space="0" w:color="auto"/>
              <w:bottom w:val="nil"/>
              <w:right w:val="single" w:sz="2" w:space="0" w:color="auto"/>
            </w:tcBorders>
            <w:shd w:val="clear" w:color="auto" w:fill="FFFFFF"/>
            <w:vAlign w:val="center"/>
            <w:hideMark/>
          </w:tcPr>
          <w:p w14:paraId="74E13027" w14:textId="77777777" w:rsidR="00D85D4B" w:rsidRPr="00D85D4B" w:rsidRDefault="00D85D4B" w:rsidP="00D85D4B">
            <w:r w:rsidRPr="00D85D4B">
              <w:t>Lease-heavy operator</w:t>
            </w:r>
          </w:p>
        </w:tc>
        <w:tc>
          <w:tcPr>
            <w:tcW w:w="0" w:type="auto"/>
            <w:tcBorders>
              <w:top w:val="single" w:sz="2" w:space="0" w:color="auto"/>
              <w:left w:val="single" w:sz="2" w:space="0" w:color="auto"/>
              <w:bottom w:val="nil"/>
              <w:right w:val="single" w:sz="2" w:space="0" w:color="auto"/>
            </w:tcBorders>
            <w:shd w:val="clear" w:color="auto" w:fill="FFFFFF"/>
            <w:vAlign w:val="center"/>
            <w:hideMark/>
          </w:tcPr>
          <w:p w14:paraId="7E013B7B" w14:textId="77777777" w:rsidR="00D85D4B" w:rsidRPr="00D85D4B" w:rsidRDefault="00D85D4B" w:rsidP="00D85D4B">
            <w:r w:rsidRPr="00D85D4B">
              <w:t>Asset-light / Franchise-heavy</w:t>
            </w:r>
          </w:p>
        </w:tc>
        <w:tc>
          <w:tcPr>
            <w:tcW w:w="0" w:type="auto"/>
            <w:tcBorders>
              <w:top w:val="single" w:sz="2" w:space="0" w:color="auto"/>
              <w:left w:val="single" w:sz="2" w:space="0" w:color="auto"/>
              <w:bottom w:val="nil"/>
              <w:right w:val="single" w:sz="2" w:space="0" w:color="auto"/>
            </w:tcBorders>
            <w:shd w:val="clear" w:color="auto" w:fill="FFFFFF"/>
            <w:vAlign w:val="center"/>
            <w:hideMark/>
          </w:tcPr>
          <w:p w14:paraId="1053CC81" w14:textId="77777777" w:rsidR="00D85D4B" w:rsidRPr="00D85D4B" w:rsidRDefault="00D85D4B" w:rsidP="00D85D4B">
            <w:r w:rsidRPr="00D85D4B">
              <w:t>Mixed</w:t>
            </w:r>
          </w:p>
        </w:tc>
      </w:tr>
    </w:tbl>
    <w:p w14:paraId="14A7E356" w14:textId="77777777" w:rsidR="00D85D4B" w:rsidRDefault="00D85D4B" w:rsidP="00941B65"/>
    <w:p w14:paraId="4AAE67A3" w14:textId="77777777" w:rsidR="00941B65" w:rsidRDefault="00941B65" w:rsidP="00941B65">
      <w:r>
        <w:t>3. Strengths</w:t>
      </w:r>
    </w:p>
    <w:p w14:paraId="70B7C033" w14:textId="05B84ECA" w:rsidR="00941B65" w:rsidRDefault="00941B65" w:rsidP="00941B65">
      <w:r>
        <w:t xml:space="preserve">Exceptional Balance Sheet &amp; Near-Zero Leverage: </w:t>
      </w:r>
      <w:proofErr w:type="spellStart"/>
      <w:r>
        <w:t>Scandic’s</w:t>
      </w:r>
      <w:proofErr w:type="spellEnd"/>
      <w:r>
        <w:t xml:space="preserve"> Net Debt/Adjusted EBITDA of 0.0x is a massive competitive advantage. While peers like Accor carry ~2.2x leverage and the industry average is much higher, </w:t>
      </w:r>
      <w:proofErr w:type="spellStart"/>
      <w:r>
        <w:t>Scandic’s</w:t>
      </w:r>
      <w:proofErr w:type="spellEnd"/>
      <w:r>
        <w:t xml:space="preserve"> virtually debt-free status provides immense financial flexibility. This allows the company to fund strategic acquisitions (e.g., the Dalata Hotel Group operations), execute share buybacks, and pay dividends without being constrained by restrictive debt covenants or high interest burdens </w:t>
      </w:r>
    </w:p>
    <w:p w14:paraId="54556028" w14:textId="77777777" w:rsidR="00941B65" w:rsidRDefault="00941B65" w:rsidP="00941B65">
      <w:r>
        <w:t xml:space="preserve">Strong Cash Flow Conversion: Despite a capital-intensive lease model, Scandic generated 914 MSEK in free cash flow in 2025. This demonstrates highly efficient working capital management and the ability to self-fund organic growth (e.g., the 10,000-room pipeline by 2030) without relying on external financing </w:t>
      </w:r>
    </w:p>
    <w:p w14:paraId="100902AB" w14:textId="77777777" w:rsidR="00941B65" w:rsidRDefault="00941B65" w:rsidP="00941B65">
      <w:r>
        <w:t>Resilient Regional Market Position: Unlike global peers exposed to volatile long-haul travel, Scandic dominates the Nordic mid-market. This region has shown consistent, stable demand recovery and pricing power, shielding Scandic from some of the sharper cyclical downturns seen in broader European markets.</w:t>
      </w:r>
    </w:p>
    <w:p w14:paraId="44B81743" w14:textId="77777777" w:rsidR="00941B65" w:rsidRDefault="00941B65" w:rsidP="00941B65">
      <w:r>
        <w:t>4. Weaknesses</w:t>
      </w:r>
    </w:p>
    <w:p w14:paraId="65614792" w14:textId="77777777" w:rsidR="00941B65" w:rsidRDefault="00941B65" w:rsidP="00941B65">
      <w:r>
        <w:t xml:space="preserve">Structurally Lower EBITDA Margins: </w:t>
      </w:r>
      <w:proofErr w:type="spellStart"/>
      <w:r>
        <w:t>Scandic’s</w:t>
      </w:r>
      <w:proofErr w:type="spellEnd"/>
      <w:r>
        <w:t xml:space="preserve"> Adjusted EBITDA margin of 10.9% trails both Accor (~20.0%) and the broader European industry average (~16.4%–18.9%) </w:t>
      </w:r>
    </w:p>
    <w:p w14:paraId="60038AE6" w14:textId="3D5AFA5E" w:rsidR="00941B65" w:rsidRDefault="00941B65" w:rsidP="00941B65">
      <w:pPr>
        <w:tabs>
          <w:tab w:val="left" w:pos="1752"/>
        </w:tabs>
      </w:pPr>
    </w:p>
    <w:p w14:paraId="02F471C0" w14:textId="51BD89D7" w:rsidR="00941B65" w:rsidRDefault="00941B65" w:rsidP="00941B65">
      <w:r>
        <w:t>This is primarily a structural difference: Scandic operates on a lease-heavy model, meaning it absorbs significant rental costs directly on its income statement. In contrast, peers like Accor generate revenue primarily through high-margin franchise and management fees with minimal fixed property costs.</w:t>
      </w:r>
    </w:p>
    <w:p w14:paraId="76BC7E35" w14:textId="77777777" w:rsidR="00941B65" w:rsidRDefault="00941B65" w:rsidP="00941B65">
      <w:r>
        <w:t>Exposure to Fixed Lease Obligations: Although Scandic has successfully negotiated a high proportion of variable, revenue-based leases, a portion of its portfolio still carries fixed or guaranteed minimum rents. In the event of a macroeconomic downturn or sudden occupancy slump, these fixed obligations can compress margins much faster than for pure asset-light competitors.</w:t>
      </w:r>
    </w:p>
    <w:p w14:paraId="38429E95" w14:textId="77777777" w:rsidR="00941B65" w:rsidRDefault="00941B65" w:rsidP="00941B65">
      <w:r>
        <w:lastRenderedPageBreak/>
        <w:t xml:space="preserve">Geographic Concentration Risk: </w:t>
      </w:r>
      <w:proofErr w:type="spellStart"/>
      <w:r>
        <w:t>Scandic’s</w:t>
      </w:r>
      <w:proofErr w:type="spellEnd"/>
      <w:r>
        <w:t xml:space="preserve"> heavy reliance on the Nordics and Germany limits its geographic diversification. While the Nordics are stable, regional economic shocks (such as the noted weakness in Finland due to the geopolitical situation and reduced Russian travel) can disproportionately impact </w:t>
      </w:r>
      <w:proofErr w:type="spellStart"/>
      <w:r>
        <w:t>Scandic’s</w:t>
      </w:r>
      <w:proofErr w:type="spellEnd"/>
      <w:r>
        <w:t xml:space="preserve"> overall results compared to globally diversified giants like Accor or IHG </w:t>
      </w:r>
    </w:p>
    <w:p w14:paraId="37B63200" w14:textId="77777777" w:rsidR="00941B65" w:rsidRDefault="00941B65" w:rsidP="00941B65">
      <w:r>
        <w:t>Conclusion</w:t>
      </w:r>
    </w:p>
    <w:p w14:paraId="62EDA9F9" w14:textId="63A90808" w:rsidR="000A0118" w:rsidRPr="00941B65" w:rsidRDefault="00941B65" w:rsidP="00941B65">
      <w:r>
        <w:t>Scandic trades off top-line margin percentage for bottom-line balance sheet strength. While its EBITDA margins will naturally lag behind asset-light franchisors due to its lease-based operating model, its near-zero leverage and robust free cash flow generation make it one of the most financially resilient hotel operators in Europe. This positions Scandic exceptionally well to capitalize on industry consolidation and fund its ambitious 2030 growth strategy without the financial fragility that plagues many of its leveraged peers.</w:t>
      </w:r>
    </w:p>
    <w:sectPr w:rsidR="000A0118" w:rsidRPr="00941B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54FA7"/>
    <w:multiLevelType w:val="multilevel"/>
    <w:tmpl w:val="0DD62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65137F"/>
    <w:multiLevelType w:val="multilevel"/>
    <w:tmpl w:val="5D36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46112D"/>
    <w:multiLevelType w:val="multilevel"/>
    <w:tmpl w:val="49222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E461B7D"/>
    <w:multiLevelType w:val="multilevel"/>
    <w:tmpl w:val="63BE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5432736">
    <w:abstractNumId w:val="1"/>
  </w:num>
  <w:num w:numId="2" w16cid:durableId="902104797">
    <w:abstractNumId w:val="0"/>
  </w:num>
  <w:num w:numId="3" w16cid:durableId="1712538833">
    <w:abstractNumId w:val="3"/>
  </w:num>
  <w:num w:numId="4" w16cid:durableId="17225108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BDE"/>
    <w:rsid w:val="00042F9B"/>
    <w:rsid w:val="00051BDE"/>
    <w:rsid w:val="000A0118"/>
    <w:rsid w:val="005150A8"/>
    <w:rsid w:val="005B042E"/>
    <w:rsid w:val="007F16CA"/>
    <w:rsid w:val="00941B65"/>
    <w:rsid w:val="00972D84"/>
    <w:rsid w:val="00D85D4B"/>
    <w:rsid w:val="00F221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46280"/>
  <w15:chartTrackingRefBased/>
  <w15:docId w15:val="{979E87EF-018F-4E09-BA4A-1BCEB73C5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1B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51B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1B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1B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51B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51B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1B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1B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1B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1B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51B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1B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1B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51B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51B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1B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1B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1BDE"/>
    <w:rPr>
      <w:rFonts w:eastAsiaTheme="majorEastAsia" w:cstheme="majorBidi"/>
      <w:color w:val="272727" w:themeColor="text1" w:themeTint="D8"/>
    </w:rPr>
  </w:style>
  <w:style w:type="paragraph" w:styleId="Title">
    <w:name w:val="Title"/>
    <w:basedOn w:val="Normal"/>
    <w:next w:val="Normal"/>
    <w:link w:val="TitleChar"/>
    <w:uiPriority w:val="10"/>
    <w:qFormat/>
    <w:rsid w:val="00051B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1B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1B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1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1BDE"/>
    <w:pPr>
      <w:spacing w:before="160"/>
      <w:jc w:val="center"/>
    </w:pPr>
    <w:rPr>
      <w:i/>
      <w:iCs/>
      <w:color w:val="404040" w:themeColor="text1" w:themeTint="BF"/>
    </w:rPr>
  </w:style>
  <w:style w:type="character" w:customStyle="1" w:styleId="QuoteChar">
    <w:name w:val="Quote Char"/>
    <w:basedOn w:val="DefaultParagraphFont"/>
    <w:link w:val="Quote"/>
    <w:uiPriority w:val="29"/>
    <w:rsid w:val="00051BDE"/>
    <w:rPr>
      <w:i/>
      <w:iCs/>
      <w:color w:val="404040" w:themeColor="text1" w:themeTint="BF"/>
    </w:rPr>
  </w:style>
  <w:style w:type="paragraph" w:styleId="ListParagraph">
    <w:name w:val="List Paragraph"/>
    <w:basedOn w:val="Normal"/>
    <w:uiPriority w:val="34"/>
    <w:qFormat/>
    <w:rsid w:val="00051BDE"/>
    <w:pPr>
      <w:ind w:left="720"/>
      <w:contextualSpacing/>
    </w:pPr>
  </w:style>
  <w:style w:type="character" w:styleId="IntenseEmphasis">
    <w:name w:val="Intense Emphasis"/>
    <w:basedOn w:val="DefaultParagraphFont"/>
    <w:uiPriority w:val="21"/>
    <w:qFormat/>
    <w:rsid w:val="00051BDE"/>
    <w:rPr>
      <w:i/>
      <w:iCs/>
      <w:color w:val="2F5496" w:themeColor="accent1" w:themeShade="BF"/>
    </w:rPr>
  </w:style>
  <w:style w:type="paragraph" w:styleId="IntenseQuote">
    <w:name w:val="Intense Quote"/>
    <w:basedOn w:val="Normal"/>
    <w:next w:val="Normal"/>
    <w:link w:val="IntenseQuoteChar"/>
    <w:uiPriority w:val="30"/>
    <w:qFormat/>
    <w:rsid w:val="00051B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1BDE"/>
    <w:rPr>
      <w:i/>
      <w:iCs/>
      <w:color w:val="2F5496" w:themeColor="accent1" w:themeShade="BF"/>
    </w:rPr>
  </w:style>
  <w:style w:type="character" w:styleId="IntenseReference">
    <w:name w:val="Intense Reference"/>
    <w:basedOn w:val="DefaultParagraphFont"/>
    <w:uiPriority w:val="32"/>
    <w:qFormat/>
    <w:rsid w:val="00051BD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1364</Words>
  <Characters>7780</Characters>
  <Application>Microsoft Office Word</Application>
  <DocSecurity>0</DocSecurity>
  <Lines>64</Lines>
  <Paragraphs>18</Paragraphs>
  <ScaleCrop>false</ScaleCrop>
  <Company/>
  <LinksUpToDate>false</LinksUpToDate>
  <CharactersWithSpaces>9126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Vivek Patel</dc:creator>
  <cp:keywords/>
  <dc:description/>
  <cp:lastModifiedBy>Vivek Patel</cp:lastModifiedBy>
  <cp:revision>2</cp:revision>
  <dcterms:created xsi:type="dcterms:W3CDTF">2026-07-22T16:54:00Z</dcterms:created>
  <dcterms:modified xsi:type="dcterms:W3CDTF">2026-07-22T16:54:00Z</dcterms:modified>
</cp:coreProperties>
</file>