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D3F6E" w14:textId="77777777" w:rsidR="00972EEC" w:rsidRPr="00972EEC" w:rsidRDefault="00972EEC" w:rsidP="00972EEC">
      <w:pPr>
        <w:spacing w:before="280" w:after="240"/>
        <w:jc w:val="center"/>
        <w:rPr>
          <w:rFonts w:ascii="Arial" w:eastAsia="Arial" w:hAnsi="Arial" w:cs="Arial"/>
          <w:b/>
          <w:bCs/>
          <w:sz w:val="30"/>
          <w:szCs w:val="30"/>
          <w:lang w:val="en" w:bidi="ar-SA"/>
        </w:rPr>
      </w:pPr>
    </w:p>
    <w:p w14:paraId="014761DD" w14:textId="77777777" w:rsidR="00972EEC" w:rsidRPr="00972EEC" w:rsidRDefault="00972EEC" w:rsidP="00972EEC">
      <w:pPr>
        <w:spacing w:before="280" w:after="240"/>
        <w:jc w:val="center"/>
        <w:rPr>
          <w:rFonts w:ascii="Arial" w:eastAsia="Arial" w:hAnsi="Arial" w:cs="Arial"/>
          <w:b/>
          <w:bCs/>
          <w:sz w:val="30"/>
          <w:szCs w:val="30"/>
          <w:lang w:val="en" w:bidi="ar-SA"/>
        </w:rPr>
      </w:pPr>
    </w:p>
    <w:p w14:paraId="2A821B5A" w14:textId="77777777" w:rsidR="00972EEC" w:rsidRPr="00972EEC" w:rsidRDefault="00972EEC" w:rsidP="00972EEC">
      <w:pPr>
        <w:spacing w:before="280" w:after="240"/>
        <w:jc w:val="center"/>
        <w:rPr>
          <w:rFonts w:ascii="Arial" w:eastAsia="Arial" w:hAnsi="Arial" w:cs="Arial"/>
          <w:b/>
          <w:bCs/>
          <w:sz w:val="30"/>
          <w:szCs w:val="30"/>
          <w:lang w:val="en" w:bidi="ar-SA"/>
        </w:rPr>
      </w:pPr>
    </w:p>
    <w:p w14:paraId="5C600AC9" w14:textId="77777777"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noProof/>
          <w:sz w:val="30"/>
          <w:szCs w:val="30"/>
          <w:lang w:val="en" w:bidi="ar-SA"/>
        </w:rPr>
        <w:drawing>
          <wp:inline distT="0" distB="0" distL="0" distR="0" wp14:anchorId="4FB31188" wp14:editId="23B47B47">
            <wp:extent cx="1958510" cy="1028789"/>
            <wp:effectExtent l="0" t="0" r="3810" b="0"/>
            <wp:docPr id="1847253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53842" name=""/>
                    <pic:cNvPicPr/>
                  </pic:nvPicPr>
                  <pic:blipFill>
                    <a:blip r:embed="rId7"/>
                    <a:stretch>
                      <a:fillRect/>
                    </a:stretch>
                  </pic:blipFill>
                  <pic:spPr>
                    <a:xfrm>
                      <a:off x="0" y="0"/>
                      <a:ext cx="1958510" cy="1028789"/>
                    </a:xfrm>
                    <a:prstGeom prst="rect">
                      <a:avLst/>
                    </a:prstGeom>
                  </pic:spPr>
                </pic:pic>
              </a:graphicData>
            </a:graphic>
          </wp:inline>
        </w:drawing>
      </w:r>
    </w:p>
    <w:p w14:paraId="40C6BBA9" w14:textId="1BE4D1E8"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sz w:val="30"/>
          <w:szCs w:val="30"/>
          <w:lang w:val="en" w:bidi="ar-SA"/>
        </w:rPr>
        <w:t xml:space="preserve">Student Name: </w:t>
      </w:r>
      <w:r w:rsidR="007F478A">
        <w:rPr>
          <w:rFonts w:ascii="Arial" w:eastAsia="Arial" w:hAnsi="Arial" w:cs="Arial"/>
          <w:b/>
          <w:bCs/>
          <w:sz w:val="30"/>
          <w:szCs w:val="30"/>
          <w:lang w:val="en" w:bidi="ar-SA"/>
        </w:rPr>
        <w:t>Meet Dilipbhai Patel</w:t>
      </w:r>
    </w:p>
    <w:p w14:paraId="231A150B" w14:textId="4827EB89"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sz w:val="30"/>
          <w:szCs w:val="30"/>
          <w:lang w:val="en" w:bidi="ar-SA"/>
        </w:rPr>
        <w:t>Student ID: 25</w:t>
      </w:r>
      <w:r w:rsidR="00A16B6C">
        <w:rPr>
          <w:rFonts w:ascii="Arial" w:eastAsia="Arial" w:hAnsi="Arial" w:cs="Arial"/>
          <w:b/>
          <w:bCs/>
          <w:sz w:val="30"/>
          <w:szCs w:val="30"/>
          <w:lang w:val="en" w:bidi="ar-SA"/>
        </w:rPr>
        <w:t>32591</w:t>
      </w:r>
    </w:p>
    <w:p w14:paraId="3AA607E2" w14:textId="03E2CCB4"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sz w:val="30"/>
          <w:szCs w:val="30"/>
          <w:lang w:val="en" w:bidi="ar-SA"/>
        </w:rPr>
        <w:t xml:space="preserve">Module Name: </w:t>
      </w:r>
      <w:r w:rsidR="00E769E7">
        <w:rPr>
          <w:rFonts w:ascii="Arial" w:eastAsia="Arial" w:hAnsi="Arial" w:cs="Arial"/>
          <w:b/>
          <w:bCs/>
          <w:sz w:val="30"/>
          <w:szCs w:val="30"/>
          <w:lang w:val="en" w:bidi="ar-SA"/>
        </w:rPr>
        <w:t>International Marketing: Principles and Practices (LCMB</w:t>
      </w:r>
      <w:r w:rsidR="00476B43">
        <w:rPr>
          <w:rFonts w:ascii="Arial" w:eastAsia="Arial" w:hAnsi="Arial" w:cs="Arial"/>
          <w:b/>
          <w:bCs/>
          <w:sz w:val="30"/>
          <w:szCs w:val="30"/>
          <w:lang w:val="en" w:bidi="ar-SA"/>
        </w:rPr>
        <w:t>7026)</w:t>
      </w:r>
    </w:p>
    <w:p w14:paraId="0E894E7C" w14:textId="7130D898"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sz w:val="30"/>
          <w:szCs w:val="30"/>
          <w:lang w:val="en" w:bidi="ar-SA"/>
        </w:rPr>
        <w:t xml:space="preserve">Lecturer Name: </w:t>
      </w:r>
      <w:r w:rsidR="009826B7">
        <w:rPr>
          <w:rFonts w:ascii="Arial" w:eastAsia="Arial" w:hAnsi="Arial" w:cs="Arial"/>
          <w:b/>
          <w:bCs/>
          <w:sz w:val="30"/>
          <w:szCs w:val="30"/>
          <w:lang w:val="en" w:bidi="ar-SA"/>
        </w:rPr>
        <w:t>Tola Odugbesan</w:t>
      </w:r>
    </w:p>
    <w:p w14:paraId="4494954E" w14:textId="2D87D234" w:rsidR="00972EEC" w:rsidRPr="00972EEC" w:rsidRDefault="00972EEC" w:rsidP="00972EEC">
      <w:pPr>
        <w:spacing w:before="280" w:after="240"/>
        <w:jc w:val="center"/>
        <w:rPr>
          <w:rFonts w:ascii="Arial" w:eastAsia="Arial" w:hAnsi="Arial" w:cs="Arial"/>
          <w:b/>
          <w:bCs/>
          <w:sz w:val="30"/>
          <w:szCs w:val="30"/>
          <w:lang w:val="en" w:bidi="ar-SA"/>
        </w:rPr>
      </w:pPr>
      <w:r w:rsidRPr="00972EEC">
        <w:rPr>
          <w:rFonts w:ascii="Arial" w:eastAsia="Arial" w:hAnsi="Arial" w:cs="Arial"/>
          <w:b/>
          <w:bCs/>
          <w:sz w:val="30"/>
          <w:szCs w:val="30"/>
          <w:lang w:val="en" w:bidi="ar-SA"/>
        </w:rPr>
        <w:t xml:space="preserve">Word Count: </w:t>
      </w:r>
      <w:r w:rsidR="00401130">
        <w:rPr>
          <w:rFonts w:ascii="Arial" w:eastAsia="Arial" w:hAnsi="Arial" w:cs="Arial"/>
          <w:b/>
          <w:bCs/>
          <w:sz w:val="30"/>
          <w:szCs w:val="30"/>
          <w:lang w:val="en" w:bidi="ar-SA"/>
        </w:rPr>
        <w:t>5089</w:t>
      </w:r>
    </w:p>
    <w:p w14:paraId="495292FF" w14:textId="463F1074" w:rsidR="00605D40" w:rsidRPr="00216A29" w:rsidRDefault="00972EEC" w:rsidP="00972EEC">
      <w:pPr>
        <w:jc w:val="center"/>
        <w:rPr>
          <w:rFonts w:ascii="Arial" w:eastAsia="Arial" w:hAnsi="Arial" w:cs="Arial"/>
          <w:b/>
          <w:bCs/>
        </w:rPr>
      </w:pPr>
      <w:r w:rsidRPr="00972EEC">
        <w:rPr>
          <w:rFonts w:ascii="Arial" w:eastAsia="Arial" w:hAnsi="Arial" w:cs="Arial"/>
          <w:b/>
          <w:bCs/>
          <w:sz w:val="30"/>
          <w:szCs w:val="30"/>
          <w:lang w:val="en" w:bidi="ar-SA"/>
        </w:rPr>
        <w:t xml:space="preserve">Submission Deadline: </w:t>
      </w:r>
      <w:r w:rsidR="00CF428F">
        <w:rPr>
          <w:rFonts w:ascii="Arial" w:eastAsia="Arial" w:hAnsi="Arial" w:cs="Arial"/>
          <w:b/>
          <w:bCs/>
          <w:sz w:val="30"/>
          <w:szCs w:val="30"/>
          <w:lang w:val="en" w:bidi="ar-SA"/>
        </w:rPr>
        <w:t>13</w:t>
      </w:r>
      <w:r w:rsidRPr="00972EEC">
        <w:rPr>
          <w:rFonts w:ascii="Arial" w:eastAsia="Arial" w:hAnsi="Arial" w:cs="Arial"/>
          <w:b/>
          <w:bCs/>
          <w:sz w:val="30"/>
          <w:szCs w:val="30"/>
          <w:vertAlign w:val="superscript"/>
          <w:lang w:val="en" w:bidi="ar-SA"/>
        </w:rPr>
        <w:t>th</w:t>
      </w:r>
      <w:r w:rsidRPr="00972EEC">
        <w:rPr>
          <w:rFonts w:ascii="Arial" w:eastAsia="Arial" w:hAnsi="Arial" w:cs="Arial"/>
          <w:b/>
          <w:bCs/>
          <w:sz w:val="30"/>
          <w:szCs w:val="30"/>
          <w:lang w:val="en" w:bidi="ar-SA"/>
        </w:rPr>
        <w:t xml:space="preserve"> August 2026  </w:t>
      </w:r>
      <w:r w:rsidR="006F0C8D" w:rsidRPr="00216A29">
        <w:br w:type="page"/>
      </w:r>
    </w:p>
    <w:p w14:paraId="7FDE2569" w14:textId="77777777" w:rsidR="00605D40" w:rsidRPr="00216A29" w:rsidRDefault="006F0C8D">
      <w:pPr>
        <w:jc w:val="center"/>
        <w:rPr>
          <w:rFonts w:ascii="Arial" w:eastAsia="Arial" w:hAnsi="Arial" w:cs="Arial"/>
          <w:b/>
          <w:bCs/>
        </w:rPr>
      </w:pPr>
      <w:r w:rsidRPr="00216A29">
        <w:rPr>
          <w:rFonts w:ascii="Arial" w:eastAsia="Arial" w:hAnsi="Arial" w:cs="Arial"/>
          <w:b/>
          <w:bCs/>
        </w:rPr>
        <w:t>Table of Contents</w:t>
      </w:r>
    </w:p>
    <w:sdt>
      <w:sdtPr>
        <w:id w:val="-1621639088"/>
        <w:docPartObj>
          <w:docPartGallery w:val="Table of Contents"/>
          <w:docPartUnique/>
        </w:docPartObj>
      </w:sdtPr>
      <w:sdtEndPr/>
      <w:sdtContent>
        <w:p w14:paraId="4473DFD0" w14:textId="22CC8797" w:rsidR="00216A29" w:rsidRPr="00216A29" w:rsidRDefault="006F0C8D" w:rsidP="00216A29">
          <w:pPr>
            <w:pStyle w:val="TOC1"/>
            <w:tabs>
              <w:tab w:val="right" w:pos="9350"/>
            </w:tabs>
            <w:spacing w:line="276" w:lineRule="auto"/>
            <w:rPr>
              <w:noProof/>
            </w:rPr>
          </w:pPr>
          <w:r w:rsidRPr="00216A29">
            <w:fldChar w:fldCharType="begin"/>
          </w:r>
          <w:r w:rsidRPr="00216A29">
            <w:instrText xml:space="preserve"> TOC \h \u \z \t "Heading 1,1,Heading 2,2,Heading 3,3,Heading 4,4,Heading 5,5,Heading 6,6,"</w:instrText>
          </w:r>
          <w:r w:rsidRPr="00216A29">
            <w:fldChar w:fldCharType="separate"/>
          </w:r>
          <w:hyperlink w:anchor="_Toc237252886" w:history="1">
            <w:r w:rsidR="00216A29" w:rsidRPr="00216A29">
              <w:rPr>
                <w:rStyle w:val="Hyperlink"/>
                <w:noProof/>
                <w:color w:val="auto"/>
              </w:rPr>
              <w:t>A. Section 1: Marketing Report</w:t>
            </w:r>
            <w:r w:rsidR="00216A29" w:rsidRPr="00216A29">
              <w:rPr>
                <w:noProof/>
                <w:webHidden/>
              </w:rPr>
              <w:tab/>
            </w:r>
            <w:r w:rsidR="00216A29" w:rsidRPr="00216A29">
              <w:rPr>
                <w:noProof/>
                <w:webHidden/>
              </w:rPr>
              <w:fldChar w:fldCharType="begin"/>
            </w:r>
            <w:r w:rsidR="00216A29" w:rsidRPr="00216A29">
              <w:rPr>
                <w:noProof/>
                <w:webHidden/>
              </w:rPr>
              <w:instrText xml:space="preserve"> PAGEREF _Toc237252886 \h </w:instrText>
            </w:r>
            <w:r w:rsidR="00216A29" w:rsidRPr="00216A29">
              <w:rPr>
                <w:noProof/>
                <w:webHidden/>
              </w:rPr>
            </w:r>
            <w:r w:rsidR="00216A29" w:rsidRPr="00216A29">
              <w:rPr>
                <w:noProof/>
                <w:webHidden/>
              </w:rPr>
              <w:fldChar w:fldCharType="separate"/>
            </w:r>
            <w:r w:rsidR="00F70C97">
              <w:rPr>
                <w:noProof/>
                <w:webHidden/>
              </w:rPr>
              <w:t>3</w:t>
            </w:r>
            <w:r w:rsidR="00216A29" w:rsidRPr="00216A29">
              <w:rPr>
                <w:noProof/>
                <w:webHidden/>
              </w:rPr>
              <w:fldChar w:fldCharType="end"/>
            </w:r>
          </w:hyperlink>
        </w:p>
        <w:p w14:paraId="2C5E0901" w14:textId="40C1F063" w:rsidR="00216A29" w:rsidRPr="00216A29" w:rsidRDefault="00216A29" w:rsidP="00216A29">
          <w:pPr>
            <w:pStyle w:val="TOC1"/>
            <w:tabs>
              <w:tab w:val="right" w:pos="9350"/>
            </w:tabs>
            <w:spacing w:line="276" w:lineRule="auto"/>
            <w:rPr>
              <w:noProof/>
            </w:rPr>
          </w:pPr>
          <w:hyperlink w:anchor="_Toc237252887" w:history="1">
            <w:r w:rsidRPr="00216A29">
              <w:rPr>
                <w:rStyle w:val="Hyperlink"/>
                <w:noProof/>
                <w:color w:val="auto"/>
              </w:rPr>
              <w:t>1. Introduction</w:t>
            </w:r>
            <w:r w:rsidRPr="00216A29">
              <w:rPr>
                <w:noProof/>
                <w:webHidden/>
              </w:rPr>
              <w:tab/>
            </w:r>
            <w:r w:rsidRPr="00216A29">
              <w:rPr>
                <w:noProof/>
                <w:webHidden/>
              </w:rPr>
              <w:fldChar w:fldCharType="begin"/>
            </w:r>
            <w:r w:rsidRPr="00216A29">
              <w:rPr>
                <w:noProof/>
                <w:webHidden/>
              </w:rPr>
              <w:instrText xml:space="preserve"> PAGEREF _Toc237252887 \h </w:instrText>
            </w:r>
            <w:r w:rsidRPr="00216A29">
              <w:rPr>
                <w:noProof/>
                <w:webHidden/>
              </w:rPr>
            </w:r>
            <w:r w:rsidRPr="00216A29">
              <w:rPr>
                <w:noProof/>
                <w:webHidden/>
              </w:rPr>
              <w:fldChar w:fldCharType="separate"/>
            </w:r>
            <w:r w:rsidR="00F70C97">
              <w:rPr>
                <w:noProof/>
                <w:webHidden/>
              </w:rPr>
              <w:t>3</w:t>
            </w:r>
            <w:r w:rsidRPr="00216A29">
              <w:rPr>
                <w:noProof/>
                <w:webHidden/>
              </w:rPr>
              <w:fldChar w:fldCharType="end"/>
            </w:r>
          </w:hyperlink>
        </w:p>
        <w:p w14:paraId="2E8C280E" w14:textId="26C95216" w:rsidR="00216A29" w:rsidRPr="00216A29" w:rsidRDefault="00216A29" w:rsidP="00216A29">
          <w:pPr>
            <w:pStyle w:val="TOC1"/>
            <w:tabs>
              <w:tab w:val="right" w:pos="9350"/>
            </w:tabs>
            <w:spacing w:line="276" w:lineRule="auto"/>
            <w:rPr>
              <w:noProof/>
            </w:rPr>
          </w:pPr>
          <w:hyperlink w:anchor="_Toc237252888" w:history="1">
            <w:r w:rsidRPr="00216A29">
              <w:rPr>
                <w:rStyle w:val="Hyperlink"/>
                <w:noProof/>
                <w:color w:val="auto"/>
              </w:rPr>
              <w:t>2. Comparative Analysis of the Market</w:t>
            </w:r>
            <w:r w:rsidRPr="00216A29">
              <w:rPr>
                <w:noProof/>
                <w:webHidden/>
              </w:rPr>
              <w:tab/>
            </w:r>
            <w:r w:rsidRPr="00216A29">
              <w:rPr>
                <w:noProof/>
                <w:webHidden/>
              </w:rPr>
              <w:fldChar w:fldCharType="begin"/>
            </w:r>
            <w:r w:rsidRPr="00216A29">
              <w:rPr>
                <w:noProof/>
                <w:webHidden/>
              </w:rPr>
              <w:instrText xml:space="preserve"> PAGEREF _Toc237252888 \h </w:instrText>
            </w:r>
            <w:r w:rsidRPr="00216A29">
              <w:rPr>
                <w:noProof/>
                <w:webHidden/>
              </w:rPr>
            </w:r>
            <w:r w:rsidRPr="00216A29">
              <w:rPr>
                <w:noProof/>
                <w:webHidden/>
              </w:rPr>
              <w:fldChar w:fldCharType="separate"/>
            </w:r>
            <w:r w:rsidR="00F70C97">
              <w:rPr>
                <w:noProof/>
                <w:webHidden/>
              </w:rPr>
              <w:t>4</w:t>
            </w:r>
            <w:r w:rsidRPr="00216A29">
              <w:rPr>
                <w:noProof/>
                <w:webHidden/>
              </w:rPr>
              <w:fldChar w:fldCharType="end"/>
            </w:r>
          </w:hyperlink>
        </w:p>
        <w:p w14:paraId="51E97FDF" w14:textId="1809DCBA" w:rsidR="00216A29" w:rsidRPr="00216A29" w:rsidRDefault="00216A29" w:rsidP="00216A29">
          <w:pPr>
            <w:pStyle w:val="TOC2"/>
            <w:tabs>
              <w:tab w:val="right" w:pos="9350"/>
            </w:tabs>
            <w:spacing w:line="276" w:lineRule="auto"/>
            <w:rPr>
              <w:noProof/>
            </w:rPr>
          </w:pPr>
          <w:hyperlink w:anchor="_Toc237252889" w:history="1">
            <w:r w:rsidRPr="00216A29">
              <w:rPr>
                <w:rStyle w:val="Hyperlink"/>
                <w:noProof/>
                <w:color w:val="auto"/>
              </w:rPr>
              <w:t>2.1 PESTEL Analysis</w:t>
            </w:r>
            <w:r w:rsidRPr="00216A29">
              <w:rPr>
                <w:noProof/>
                <w:webHidden/>
              </w:rPr>
              <w:tab/>
            </w:r>
            <w:r w:rsidRPr="00216A29">
              <w:rPr>
                <w:noProof/>
                <w:webHidden/>
              </w:rPr>
              <w:fldChar w:fldCharType="begin"/>
            </w:r>
            <w:r w:rsidRPr="00216A29">
              <w:rPr>
                <w:noProof/>
                <w:webHidden/>
              </w:rPr>
              <w:instrText xml:space="preserve"> PAGEREF _Toc237252889 \h </w:instrText>
            </w:r>
            <w:r w:rsidRPr="00216A29">
              <w:rPr>
                <w:noProof/>
                <w:webHidden/>
              </w:rPr>
            </w:r>
            <w:r w:rsidRPr="00216A29">
              <w:rPr>
                <w:noProof/>
                <w:webHidden/>
              </w:rPr>
              <w:fldChar w:fldCharType="separate"/>
            </w:r>
            <w:r w:rsidR="00F70C97">
              <w:rPr>
                <w:noProof/>
                <w:webHidden/>
              </w:rPr>
              <w:t>4</w:t>
            </w:r>
            <w:r w:rsidRPr="00216A29">
              <w:rPr>
                <w:noProof/>
                <w:webHidden/>
              </w:rPr>
              <w:fldChar w:fldCharType="end"/>
            </w:r>
          </w:hyperlink>
        </w:p>
        <w:p w14:paraId="05DB5F3D" w14:textId="4CBE9EE4" w:rsidR="00216A29" w:rsidRPr="00216A29" w:rsidRDefault="00216A29" w:rsidP="00216A29">
          <w:pPr>
            <w:pStyle w:val="TOC2"/>
            <w:tabs>
              <w:tab w:val="right" w:pos="9350"/>
            </w:tabs>
            <w:spacing w:line="276" w:lineRule="auto"/>
            <w:rPr>
              <w:noProof/>
            </w:rPr>
          </w:pPr>
          <w:hyperlink w:anchor="_Toc237252890" w:history="1">
            <w:r w:rsidRPr="00216A29">
              <w:rPr>
                <w:rStyle w:val="Hyperlink"/>
                <w:noProof/>
                <w:color w:val="auto"/>
              </w:rPr>
              <w:t>2.2 Hofstede Cultural Analysis</w:t>
            </w:r>
            <w:r w:rsidRPr="00216A29">
              <w:rPr>
                <w:noProof/>
                <w:webHidden/>
              </w:rPr>
              <w:tab/>
            </w:r>
            <w:r w:rsidRPr="00216A29">
              <w:rPr>
                <w:noProof/>
                <w:webHidden/>
              </w:rPr>
              <w:fldChar w:fldCharType="begin"/>
            </w:r>
            <w:r w:rsidRPr="00216A29">
              <w:rPr>
                <w:noProof/>
                <w:webHidden/>
              </w:rPr>
              <w:instrText xml:space="preserve"> PAGEREF _Toc237252890 \h </w:instrText>
            </w:r>
            <w:r w:rsidRPr="00216A29">
              <w:rPr>
                <w:noProof/>
                <w:webHidden/>
              </w:rPr>
            </w:r>
            <w:r w:rsidRPr="00216A29">
              <w:rPr>
                <w:noProof/>
                <w:webHidden/>
              </w:rPr>
              <w:fldChar w:fldCharType="separate"/>
            </w:r>
            <w:r w:rsidR="00F70C97">
              <w:rPr>
                <w:noProof/>
                <w:webHidden/>
              </w:rPr>
              <w:t>12</w:t>
            </w:r>
            <w:r w:rsidRPr="00216A29">
              <w:rPr>
                <w:noProof/>
                <w:webHidden/>
              </w:rPr>
              <w:fldChar w:fldCharType="end"/>
            </w:r>
          </w:hyperlink>
        </w:p>
        <w:p w14:paraId="4BE156BD" w14:textId="5200CC5D" w:rsidR="00216A29" w:rsidRPr="00216A29" w:rsidRDefault="00216A29" w:rsidP="00216A29">
          <w:pPr>
            <w:pStyle w:val="TOC2"/>
            <w:tabs>
              <w:tab w:val="right" w:pos="9350"/>
            </w:tabs>
            <w:spacing w:line="276" w:lineRule="auto"/>
            <w:rPr>
              <w:noProof/>
            </w:rPr>
          </w:pPr>
          <w:hyperlink w:anchor="_Toc237252891" w:history="1">
            <w:r w:rsidRPr="00216A29">
              <w:rPr>
                <w:rStyle w:val="Hyperlink"/>
                <w:noProof/>
                <w:color w:val="auto"/>
              </w:rPr>
              <w:t>2.3 Critical discussion</w:t>
            </w:r>
            <w:r w:rsidRPr="00216A29">
              <w:rPr>
                <w:noProof/>
                <w:webHidden/>
              </w:rPr>
              <w:tab/>
            </w:r>
            <w:r w:rsidRPr="00216A29">
              <w:rPr>
                <w:noProof/>
                <w:webHidden/>
              </w:rPr>
              <w:fldChar w:fldCharType="begin"/>
            </w:r>
            <w:r w:rsidRPr="00216A29">
              <w:rPr>
                <w:noProof/>
                <w:webHidden/>
              </w:rPr>
              <w:instrText xml:space="preserve"> PAGEREF _Toc237252891 \h </w:instrText>
            </w:r>
            <w:r w:rsidRPr="00216A29">
              <w:rPr>
                <w:noProof/>
                <w:webHidden/>
              </w:rPr>
            </w:r>
            <w:r w:rsidRPr="00216A29">
              <w:rPr>
                <w:noProof/>
                <w:webHidden/>
              </w:rPr>
              <w:fldChar w:fldCharType="separate"/>
            </w:r>
            <w:r w:rsidR="00F70C97">
              <w:rPr>
                <w:noProof/>
                <w:webHidden/>
              </w:rPr>
              <w:t>15</w:t>
            </w:r>
            <w:r w:rsidRPr="00216A29">
              <w:rPr>
                <w:noProof/>
                <w:webHidden/>
              </w:rPr>
              <w:fldChar w:fldCharType="end"/>
            </w:r>
          </w:hyperlink>
        </w:p>
        <w:p w14:paraId="1EC9779D" w14:textId="1D3C626B" w:rsidR="00216A29" w:rsidRPr="00216A29" w:rsidRDefault="00216A29" w:rsidP="00216A29">
          <w:pPr>
            <w:pStyle w:val="TOC1"/>
            <w:tabs>
              <w:tab w:val="right" w:pos="9350"/>
            </w:tabs>
            <w:spacing w:line="276" w:lineRule="auto"/>
            <w:rPr>
              <w:noProof/>
            </w:rPr>
          </w:pPr>
          <w:hyperlink w:anchor="_Toc237252892" w:history="1">
            <w:r w:rsidRPr="00216A29">
              <w:rPr>
                <w:rStyle w:val="Hyperlink"/>
                <w:noProof/>
                <w:color w:val="auto"/>
              </w:rPr>
              <w:t>3. Comparative Analysis of STP</w:t>
            </w:r>
            <w:r w:rsidRPr="00216A29">
              <w:rPr>
                <w:noProof/>
                <w:webHidden/>
              </w:rPr>
              <w:tab/>
            </w:r>
            <w:r w:rsidRPr="00216A29">
              <w:rPr>
                <w:noProof/>
                <w:webHidden/>
              </w:rPr>
              <w:fldChar w:fldCharType="begin"/>
            </w:r>
            <w:r w:rsidRPr="00216A29">
              <w:rPr>
                <w:noProof/>
                <w:webHidden/>
              </w:rPr>
              <w:instrText xml:space="preserve"> PAGEREF _Toc237252892 \h </w:instrText>
            </w:r>
            <w:r w:rsidRPr="00216A29">
              <w:rPr>
                <w:noProof/>
                <w:webHidden/>
              </w:rPr>
            </w:r>
            <w:r w:rsidRPr="00216A29">
              <w:rPr>
                <w:noProof/>
                <w:webHidden/>
              </w:rPr>
              <w:fldChar w:fldCharType="separate"/>
            </w:r>
            <w:r w:rsidR="00F70C97">
              <w:rPr>
                <w:noProof/>
                <w:webHidden/>
              </w:rPr>
              <w:t>17</w:t>
            </w:r>
            <w:r w:rsidRPr="00216A29">
              <w:rPr>
                <w:noProof/>
                <w:webHidden/>
              </w:rPr>
              <w:fldChar w:fldCharType="end"/>
            </w:r>
          </w:hyperlink>
        </w:p>
        <w:p w14:paraId="31FE8B8A" w14:textId="5FA2A116" w:rsidR="00216A29" w:rsidRPr="00216A29" w:rsidRDefault="00216A29" w:rsidP="00216A29">
          <w:pPr>
            <w:pStyle w:val="TOC2"/>
            <w:tabs>
              <w:tab w:val="right" w:pos="9350"/>
            </w:tabs>
            <w:spacing w:line="276" w:lineRule="auto"/>
            <w:rPr>
              <w:noProof/>
            </w:rPr>
          </w:pPr>
          <w:hyperlink w:anchor="_Toc237252893" w:history="1">
            <w:r w:rsidRPr="00216A29">
              <w:rPr>
                <w:rStyle w:val="Hyperlink"/>
                <w:noProof/>
                <w:color w:val="auto"/>
              </w:rPr>
              <w:t>3.1 Segmentation</w:t>
            </w:r>
            <w:r w:rsidRPr="00216A29">
              <w:rPr>
                <w:noProof/>
                <w:webHidden/>
              </w:rPr>
              <w:tab/>
            </w:r>
            <w:r w:rsidRPr="00216A29">
              <w:rPr>
                <w:noProof/>
                <w:webHidden/>
              </w:rPr>
              <w:fldChar w:fldCharType="begin"/>
            </w:r>
            <w:r w:rsidRPr="00216A29">
              <w:rPr>
                <w:noProof/>
                <w:webHidden/>
              </w:rPr>
              <w:instrText xml:space="preserve"> PAGEREF _Toc237252893 \h </w:instrText>
            </w:r>
            <w:r w:rsidRPr="00216A29">
              <w:rPr>
                <w:noProof/>
                <w:webHidden/>
              </w:rPr>
            </w:r>
            <w:r w:rsidRPr="00216A29">
              <w:rPr>
                <w:noProof/>
                <w:webHidden/>
              </w:rPr>
              <w:fldChar w:fldCharType="separate"/>
            </w:r>
            <w:r w:rsidR="00F70C97">
              <w:rPr>
                <w:noProof/>
                <w:webHidden/>
              </w:rPr>
              <w:t>17</w:t>
            </w:r>
            <w:r w:rsidRPr="00216A29">
              <w:rPr>
                <w:noProof/>
                <w:webHidden/>
              </w:rPr>
              <w:fldChar w:fldCharType="end"/>
            </w:r>
          </w:hyperlink>
        </w:p>
        <w:p w14:paraId="0D3C0E3E" w14:textId="214B5B0C" w:rsidR="00216A29" w:rsidRPr="00216A29" w:rsidRDefault="00216A29" w:rsidP="00216A29">
          <w:pPr>
            <w:pStyle w:val="TOC2"/>
            <w:tabs>
              <w:tab w:val="right" w:pos="9350"/>
            </w:tabs>
            <w:spacing w:line="276" w:lineRule="auto"/>
            <w:rPr>
              <w:noProof/>
            </w:rPr>
          </w:pPr>
          <w:hyperlink w:anchor="_Toc237252894" w:history="1">
            <w:r w:rsidRPr="00216A29">
              <w:rPr>
                <w:rStyle w:val="Hyperlink"/>
                <w:noProof/>
                <w:color w:val="auto"/>
              </w:rPr>
              <w:t>3.2 Targeting</w:t>
            </w:r>
            <w:r w:rsidRPr="00216A29">
              <w:rPr>
                <w:noProof/>
                <w:webHidden/>
              </w:rPr>
              <w:tab/>
            </w:r>
            <w:r w:rsidRPr="00216A29">
              <w:rPr>
                <w:noProof/>
                <w:webHidden/>
              </w:rPr>
              <w:fldChar w:fldCharType="begin"/>
            </w:r>
            <w:r w:rsidRPr="00216A29">
              <w:rPr>
                <w:noProof/>
                <w:webHidden/>
              </w:rPr>
              <w:instrText xml:space="preserve"> PAGEREF _Toc237252894 \h </w:instrText>
            </w:r>
            <w:r w:rsidRPr="00216A29">
              <w:rPr>
                <w:noProof/>
                <w:webHidden/>
              </w:rPr>
            </w:r>
            <w:r w:rsidRPr="00216A29">
              <w:rPr>
                <w:noProof/>
                <w:webHidden/>
              </w:rPr>
              <w:fldChar w:fldCharType="separate"/>
            </w:r>
            <w:r w:rsidR="00F70C97">
              <w:rPr>
                <w:noProof/>
                <w:webHidden/>
              </w:rPr>
              <w:t>19</w:t>
            </w:r>
            <w:r w:rsidRPr="00216A29">
              <w:rPr>
                <w:noProof/>
                <w:webHidden/>
              </w:rPr>
              <w:fldChar w:fldCharType="end"/>
            </w:r>
          </w:hyperlink>
        </w:p>
        <w:p w14:paraId="53FB2395" w14:textId="427EEF96" w:rsidR="00216A29" w:rsidRPr="00216A29" w:rsidRDefault="00216A29" w:rsidP="00216A29">
          <w:pPr>
            <w:pStyle w:val="TOC2"/>
            <w:tabs>
              <w:tab w:val="right" w:pos="9350"/>
            </w:tabs>
            <w:spacing w:line="276" w:lineRule="auto"/>
            <w:rPr>
              <w:noProof/>
            </w:rPr>
          </w:pPr>
          <w:hyperlink w:anchor="_Toc237252895" w:history="1">
            <w:r w:rsidRPr="00216A29">
              <w:rPr>
                <w:rStyle w:val="Hyperlink"/>
                <w:noProof/>
                <w:color w:val="auto"/>
              </w:rPr>
              <w:t>3.3 Positioning</w:t>
            </w:r>
            <w:r w:rsidRPr="00216A29">
              <w:rPr>
                <w:noProof/>
                <w:webHidden/>
              </w:rPr>
              <w:tab/>
            </w:r>
            <w:r w:rsidRPr="00216A29">
              <w:rPr>
                <w:noProof/>
                <w:webHidden/>
              </w:rPr>
              <w:fldChar w:fldCharType="begin"/>
            </w:r>
            <w:r w:rsidRPr="00216A29">
              <w:rPr>
                <w:noProof/>
                <w:webHidden/>
              </w:rPr>
              <w:instrText xml:space="preserve"> PAGEREF _Toc237252895 \h </w:instrText>
            </w:r>
            <w:r w:rsidRPr="00216A29">
              <w:rPr>
                <w:noProof/>
                <w:webHidden/>
              </w:rPr>
            </w:r>
            <w:r w:rsidRPr="00216A29">
              <w:rPr>
                <w:noProof/>
                <w:webHidden/>
              </w:rPr>
              <w:fldChar w:fldCharType="separate"/>
            </w:r>
            <w:r w:rsidR="00F70C97">
              <w:rPr>
                <w:noProof/>
                <w:webHidden/>
              </w:rPr>
              <w:t>19</w:t>
            </w:r>
            <w:r w:rsidRPr="00216A29">
              <w:rPr>
                <w:noProof/>
                <w:webHidden/>
              </w:rPr>
              <w:fldChar w:fldCharType="end"/>
            </w:r>
          </w:hyperlink>
        </w:p>
        <w:p w14:paraId="6490FAC5" w14:textId="71810530" w:rsidR="00216A29" w:rsidRPr="00216A29" w:rsidRDefault="00216A29" w:rsidP="00216A29">
          <w:pPr>
            <w:pStyle w:val="TOC1"/>
            <w:tabs>
              <w:tab w:val="right" w:pos="9350"/>
            </w:tabs>
            <w:spacing w:line="276" w:lineRule="auto"/>
            <w:rPr>
              <w:noProof/>
            </w:rPr>
          </w:pPr>
          <w:hyperlink w:anchor="_Toc237252896" w:history="1">
            <w:r w:rsidRPr="00216A29">
              <w:rPr>
                <w:rStyle w:val="Hyperlink"/>
                <w:noProof/>
                <w:color w:val="auto"/>
              </w:rPr>
              <w:t>4. Comparative analysis of international marketing mix</w:t>
            </w:r>
            <w:r w:rsidRPr="00216A29">
              <w:rPr>
                <w:noProof/>
                <w:webHidden/>
              </w:rPr>
              <w:tab/>
            </w:r>
            <w:r w:rsidRPr="00216A29">
              <w:rPr>
                <w:noProof/>
                <w:webHidden/>
              </w:rPr>
              <w:fldChar w:fldCharType="begin"/>
            </w:r>
            <w:r w:rsidRPr="00216A29">
              <w:rPr>
                <w:noProof/>
                <w:webHidden/>
              </w:rPr>
              <w:instrText xml:space="preserve"> PAGEREF _Toc237252896 \h </w:instrText>
            </w:r>
            <w:r w:rsidRPr="00216A29">
              <w:rPr>
                <w:noProof/>
                <w:webHidden/>
              </w:rPr>
            </w:r>
            <w:r w:rsidRPr="00216A29">
              <w:rPr>
                <w:noProof/>
                <w:webHidden/>
              </w:rPr>
              <w:fldChar w:fldCharType="separate"/>
            </w:r>
            <w:r w:rsidR="00F70C97">
              <w:rPr>
                <w:noProof/>
                <w:webHidden/>
              </w:rPr>
              <w:t>22</w:t>
            </w:r>
            <w:r w:rsidRPr="00216A29">
              <w:rPr>
                <w:noProof/>
                <w:webHidden/>
              </w:rPr>
              <w:fldChar w:fldCharType="end"/>
            </w:r>
          </w:hyperlink>
        </w:p>
        <w:p w14:paraId="28F14A22" w14:textId="08C53617" w:rsidR="00216A29" w:rsidRPr="00216A29" w:rsidRDefault="00216A29" w:rsidP="00216A29">
          <w:pPr>
            <w:pStyle w:val="TOC1"/>
            <w:tabs>
              <w:tab w:val="right" w:pos="9350"/>
            </w:tabs>
            <w:spacing w:line="276" w:lineRule="auto"/>
            <w:rPr>
              <w:noProof/>
            </w:rPr>
          </w:pPr>
          <w:hyperlink w:anchor="_Toc237252897" w:history="1">
            <w:r w:rsidRPr="00216A29">
              <w:rPr>
                <w:rStyle w:val="Hyperlink"/>
                <w:noProof/>
                <w:color w:val="auto"/>
              </w:rPr>
              <w:t>5. Market entry strategy</w:t>
            </w:r>
            <w:r w:rsidRPr="00216A29">
              <w:rPr>
                <w:noProof/>
                <w:webHidden/>
              </w:rPr>
              <w:tab/>
            </w:r>
            <w:r w:rsidRPr="00216A29">
              <w:rPr>
                <w:noProof/>
                <w:webHidden/>
              </w:rPr>
              <w:fldChar w:fldCharType="begin"/>
            </w:r>
            <w:r w:rsidRPr="00216A29">
              <w:rPr>
                <w:noProof/>
                <w:webHidden/>
              </w:rPr>
              <w:instrText xml:space="preserve"> PAGEREF _Toc237252897 \h </w:instrText>
            </w:r>
            <w:r w:rsidRPr="00216A29">
              <w:rPr>
                <w:noProof/>
                <w:webHidden/>
              </w:rPr>
            </w:r>
            <w:r w:rsidRPr="00216A29">
              <w:rPr>
                <w:noProof/>
                <w:webHidden/>
              </w:rPr>
              <w:fldChar w:fldCharType="separate"/>
            </w:r>
            <w:r w:rsidR="00F70C97">
              <w:rPr>
                <w:noProof/>
                <w:webHidden/>
              </w:rPr>
              <w:t>25</w:t>
            </w:r>
            <w:r w:rsidRPr="00216A29">
              <w:rPr>
                <w:noProof/>
                <w:webHidden/>
              </w:rPr>
              <w:fldChar w:fldCharType="end"/>
            </w:r>
          </w:hyperlink>
        </w:p>
        <w:p w14:paraId="4BB5C9C6" w14:textId="1BB08EE1" w:rsidR="00216A29" w:rsidRPr="00216A29" w:rsidRDefault="00216A29" w:rsidP="00216A29">
          <w:pPr>
            <w:pStyle w:val="TOC1"/>
            <w:tabs>
              <w:tab w:val="right" w:pos="9350"/>
            </w:tabs>
            <w:spacing w:line="276" w:lineRule="auto"/>
            <w:rPr>
              <w:noProof/>
            </w:rPr>
          </w:pPr>
          <w:hyperlink w:anchor="_Toc237252898" w:history="1">
            <w:r w:rsidRPr="00216A29">
              <w:rPr>
                <w:rStyle w:val="Hyperlink"/>
                <w:noProof/>
                <w:color w:val="auto"/>
              </w:rPr>
              <w:t>6. Ethical issues</w:t>
            </w:r>
            <w:r w:rsidRPr="00216A29">
              <w:rPr>
                <w:noProof/>
                <w:webHidden/>
              </w:rPr>
              <w:tab/>
            </w:r>
            <w:r w:rsidRPr="00216A29">
              <w:rPr>
                <w:noProof/>
                <w:webHidden/>
              </w:rPr>
              <w:fldChar w:fldCharType="begin"/>
            </w:r>
            <w:r w:rsidRPr="00216A29">
              <w:rPr>
                <w:noProof/>
                <w:webHidden/>
              </w:rPr>
              <w:instrText xml:space="preserve"> PAGEREF _Toc237252898 \h </w:instrText>
            </w:r>
            <w:r w:rsidRPr="00216A29">
              <w:rPr>
                <w:noProof/>
                <w:webHidden/>
              </w:rPr>
            </w:r>
            <w:r w:rsidRPr="00216A29">
              <w:rPr>
                <w:noProof/>
                <w:webHidden/>
              </w:rPr>
              <w:fldChar w:fldCharType="separate"/>
            </w:r>
            <w:r w:rsidR="00F70C97">
              <w:rPr>
                <w:noProof/>
                <w:webHidden/>
              </w:rPr>
              <w:t>27</w:t>
            </w:r>
            <w:r w:rsidRPr="00216A29">
              <w:rPr>
                <w:noProof/>
                <w:webHidden/>
              </w:rPr>
              <w:fldChar w:fldCharType="end"/>
            </w:r>
          </w:hyperlink>
        </w:p>
        <w:p w14:paraId="180A9F74" w14:textId="6B42FEDE" w:rsidR="00216A29" w:rsidRPr="00216A29" w:rsidRDefault="00216A29" w:rsidP="00216A29">
          <w:pPr>
            <w:pStyle w:val="TOC1"/>
            <w:tabs>
              <w:tab w:val="right" w:pos="9350"/>
            </w:tabs>
            <w:spacing w:line="276" w:lineRule="auto"/>
            <w:rPr>
              <w:noProof/>
            </w:rPr>
          </w:pPr>
          <w:hyperlink w:anchor="_Toc237252899" w:history="1">
            <w:r w:rsidRPr="00216A29">
              <w:rPr>
                <w:rStyle w:val="Hyperlink"/>
                <w:noProof/>
                <w:color w:val="auto"/>
              </w:rPr>
              <w:t>7. Recommendations</w:t>
            </w:r>
            <w:r w:rsidRPr="00216A29">
              <w:rPr>
                <w:noProof/>
                <w:webHidden/>
              </w:rPr>
              <w:tab/>
            </w:r>
            <w:r w:rsidRPr="00216A29">
              <w:rPr>
                <w:noProof/>
                <w:webHidden/>
              </w:rPr>
              <w:fldChar w:fldCharType="begin"/>
            </w:r>
            <w:r w:rsidRPr="00216A29">
              <w:rPr>
                <w:noProof/>
                <w:webHidden/>
              </w:rPr>
              <w:instrText xml:space="preserve"> PAGEREF _Toc237252899 \h </w:instrText>
            </w:r>
            <w:r w:rsidRPr="00216A29">
              <w:rPr>
                <w:noProof/>
                <w:webHidden/>
              </w:rPr>
            </w:r>
            <w:r w:rsidRPr="00216A29">
              <w:rPr>
                <w:noProof/>
                <w:webHidden/>
              </w:rPr>
              <w:fldChar w:fldCharType="separate"/>
            </w:r>
            <w:r w:rsidR="00F70C97">
              <w:rPr>
                <w:noProof/>
                <w:webHidden/>
              </w:rPr>
              <w:t>28</w:t>
            </w:r>
            <w:r w:rsidRPr="00216A29">
              <w:rPr>
                <w:noProof/>
                <w:webHidden/>
              </w:rPr>
              <w:fldChar w:fldCharType="end"/>
            </w:r>
          </w:hyperlink>
        </w:p>
        <w:p w14:paraId="6A93D58B" w14:textId="07FA2188" w:rsidR="00216A29" w:rsidRPr="00216A29" w:rsidRDefault="00216A29" w:rsidP="00216A29">
          <w:pPr>
            <w:pStyle w:val="TOC1"/>
            <w:tabs>
              <w:tab w:val="right" w:pos="9350"/>
            </w:tabs>
            <w:spacing w:line="276" w:lineRule="auto"/>
            <w:rPr>
              <w:noProof/>
            </w:rPr>
          </w:pPr>
          <w:hyperlink w:anchor="_Toc237252900" w:history="1">
            <w:r w:rsidRPr="00216A29">
              <w:rPr>
                <w:rStyle w:val="Hyperlink"/>
                <w:noProof/>
                <w:color w:val="auto"/>
              </w:rPr>
              <w:t>8. Conclusion</w:t>
            </w:r>
            <w:r w:rsidRPr="00216A29">
              <w:rPr>
                <w:noProof/>
                <w:webHidden/>
              </w:rPr>
              <w:tab/>
            </w:r>
            <w:r w:rsidRPr="00216A29">
              <w:rPr>
                <w:noProof/>
                <w:webHidden/>
              </w:rPr>
              <w:fldChar w:fldCharType="begin"/>
            </w:r>
            <w:r w:rsidRPr="00216A29">
              <w:rPr>
                <w:noProof/>
                <w:webHidden/>
              </w:rPr>
              <w:instrText xml:space="preserve"> PAGEREF _Toc237252900 \h </w:instrText>
            </w:r>
            <w:r w:rsidRPr="00216A29">
              <w:rPr>
                <w:noProof/>
                <w:webHidden/>
              </w:rPr>
            </w:r>
            <w:r w:rsidRPr="00216A29">
              <w:rPr>
                <w:noProof/>
                <w:webHidden/>
              </w:rPr>
              <w:fldChar w:fldCharType="separate"/>
            </w:r>
            <w:r w:rsidR="00F70C97">
              <w:rPr>
                <w:noProof/>
                <w:webHidden/>
              </w:rPr>
              <w:t>29</w:t>
            </w:r>
            <w:r w:rsidRPr="00216A29">
              <w:rPr>
                <w:noProof/>
                <w:webHidden/>
              </w:rPr>
              <w:fldChar w:fldCharType="end"/>
            </w:r>
          </w:hyperlink>
        </w:p>
        <w:p w14:paraId="44741C5F" w14:textId="6DC067B1" w:rsidR="00216A29" w:rsidRPr="00216A29" w:rsidRDefault="00216A29" w:rsidP="00216A29">
          <w:pPr>
            <w:pStyle w:val="TOC1"/>
            <w:tabs>
              <w:tab w:val="right" w:pos="9350"/>
            </w:tabs>
            <w:spacing w:line="276" w:lineRule="auto"/>
            <w:rPr>
              <w:noProof/>
            </w:rPr>
          </w:pPr>
          <w:hyperlink w:anchor="_Toc237252901" w:history="1">
            <w:r w:rsidRPr="00216A29">
              <w:rPr>
                <w:rStyle w:val="Hyperlink"/>
                <w:noProof/>
                <w:color w:val="auto"/>
              </w:rPr>
              <w:t>B. Section 2: Reflective Report</w:t>
            </w:r>
            <w:r w:rsidRPr="00216A29">
              <w:rPr>
                <w:noProof/>
                <w:webHidden/>
              </w:rPr>
              <w:tab/>
            </w:r>
            <w:r w:rsidRPr="00216A29">
              <w:rPr>
                <w:noProof/>
                <w:webHidden/>
              </w:rPr>
              <w:fldChar w:fldCharType="begin"/>
            </w:r>
            <w:r w:rsidRPr="00216A29">
              <w:rPr>
                <w:noProof/>
                <w:webHidden/>
              </w:rPr>
              <w:instrText xml:space="preserve"> PAGEREF _Toc237252901 \h </w:instrText>
            </w:r>
            <w:r w:rsidRPr="00216A29">
              <w:rPr>
                <w:noProof/>
                <w:webHidden/>
              </w:rPr>
            </w:r>
            <w:r w:rsidRPr="00216A29">
              <w:rPr>
                <w:noProof/>
                <w:webHidden/>
              </w:rPr>
              <w:fldChar w:fldCharType="separate"/>
            </w:r>
            <w:r w:rsidR="00F70C97">
              <w:rPr>
                <w:noProof/>
                <w:webHidden/>
              </w:rPr>
              <w:t>30</w:t>
            </w:r>
            <w:r w:rsidRPr="00216A29">
              <w:rPr>
                <w:noProof/>
                <w:webHidden/>
              </w:rPr>
              <w:fldChar w:fldCharType="end"/>
            </w:r>
          </w:hyperlink>
        </w:p>
        <w:p w14:paraId="3571516A" w14:textId="647C3610" w:rsidR="00216A29" w:rsidRPr="00216A29" w:rsidRDefault="00216A29" w:rsidP="00216A29">
          <w:pPr>
            <w:pStyle w:val="TOC1"/>
            <w:tabs>
              <w:tab w:val="right" w:pos="9350"/>
            </w:tabs>
            <w:spacing w:line="276" w:lineRule="auto"/>
            <w:rPr>
              <w:noProof/>
            </w:rPr>
          </w:pPr>
          <w:hyperlink w:anchor="_Toc237252902" w:history="1">
            <w:r w:rsidRPr="00216A29">
              <w:rPr>
                <w:rStyle w:val="Hyperlink"/>
                <w:noProof/>
                <w:color w:val="auto"/>
              </w:rPr>
              <w:t>Introduction</w:t>
            </w:r>
            <w:r w:rsidRPr="00216A29">
              <w:rPr>
                <w:noProof/>
                <w:webHidden/>
              </w:rPr>
              <w:tab/>
            </w:r>
            <w:r w:rsidRPr="00216A29">
              <w:rPr>
                <w:noProof/>
                <w:webHidden/>
              </w:rPr>
              <w:fldChar w:fldCharType="begin"/>
            </w:r>
            <w:r w:rsidRPr="00216A29">
              <w:rPr>
                <w:noProof/>
                <w:webHidden/>
              </w:rPr>
              <w:instrText xml:space="preserve"> PAGEREF _Toc237252902 \h </w:instrText>
            </w:r>
            <w:r w:rsidRPr="00216A29">
              <w:rPr>
                <w:noProof/>
                <w:webHidden/>
              </w:rPr>
            </w:r>
            <w:r w:rsidRPr="00216A29">
              <w:rPr>
                <w:noProof/>
                <w:webHidden/>
              </w:rPr>
              <w:fldChar w:fldCharType="separate"/>
            </w:r>
            <w:r w:rsidR="00F70C97">
              <w:rPr>
                <w:noProof/>
                <w:webHidden/>
              </w:rPr>
              <w:t>30</w:t>
            </w:r>
            <w:r w:rsidRPr="00216A29">
              <w:rPr>
                <w:noProof/>
                <w:webHidden/>
              </w:rPr>
              <w:fldChar w:fldCharType="end"/>
            </w:r>
          </w:hyperlink>
        </w:p>
        <w:p w14:paraId="574D0E5F" w14:textId="1A4814FC" w:rsidR="00216A29" w:rsidRPr="00216A29" w:rsidRDefault="00216A29" w:rsidP="00216A29">
          <w:pPr>
            <w:pStyle w:val="TOC1"/>
            <w:tabs>
              <w:tab w:val="right" w:pos="9350"/>
            </w:tabs>
            <w:spacing w:line="276" w:lineRule="auto"/>
            <w:rPr>
              <w:noProof/>
            </w:rPr>
          </w:pPr>
          <w:hyperlink w:anchor="_Toc237252903" w:history="1">
            <w:r w:rsidRPr="00216A29">
              <w:rPr>
                <w:rStyle w:val="Hyperlink"/>
                <w:noProof/>
                <w:color w:val="auto"/>
              </w:rPr>
              <w:t>Application of Gibbs’ reflective model</w:t>
            </w:r>
            <w:r w:rsidRPr="00216A29">
              <w:rPr>
                <w:noProof/>
                <w:webHidden/>
              </w:rPr>
              <w:tab/>
            </w:r>
            <w:r w:rsidRPr="00216A29">
              <w:rPr>
                <w:noProof/>
                <w:webHidden/>
              </w:rPr>
              <w:fldChar w:fldCharType="begin"/>
            </w:r>
            <w:r w:rsidRPr="00216A29">
              <w:rPr>
                <w:noProof/>
                <w:webHidden/>
              </w:rPr>
              <w:instrText xml:space="preserve"> PAGEREF _Toc237252903 \h </w:instrText>
            </w:r>
            <w:r w:rsidRPr="00216A29">
              <w:rPr>
                <w:noProof/>
                <w:webHidden/>
              </w:rPr>
            </w:r>
            <w:r w:rsidRPr="00216A29">
              <w:rPr>
                <w:noProof/>
                <w:webHidden/>
              </w:rPr>
              <w:fldChar w:fldCharType="separate"/>
            </w:r>
            <w:r w:rsidR="00F70C97">
              <w:rPr>
                <w:noProof/>
                <w:webHidden/>
              </w:rPr>
              <w:t>30</w:t>
            </w:r>
            <w:r w:rsidRPr="00216A29">
              <w:rPr>
                <w:noProof/>
                <w:webHidden/>
              </w:rPr>
              <w:fldChar w:fldCharType="end"/>
            </w:r>
          </w:hyperlink>
        </w:p>
        <w:p w14:paraId="422D3B90" w14:textId="403A7D69" w:rsidR="00216A29" w:rsidRPr="00216A29" w:rsidRDefault="00216A29" w:rsidP="00216A29">
          <w:pPr>
            <w:pStyle w:val="TOC2"/>
            <w:tabs>
              <w:tab w:val="right" w:pos="9350"/>
            </w:tabs>
            <w:spacing w:line="276" w:lineRule="auto"/>
            <w:rPr>
              <w:noProof/>
            </w:rPr>
          </w:pPr>
          <w:hyperlink w:anchor="_Toc237252904" w:history="1">
            <w:r w:rsidRPr="00216A29">
              <w:rPr>
                <w:rStyle w:val="Hyperlink"/>
                <w:noProof/>
                <w:color w:val="auto"/>
              </w:rPr>
              <w:t>Description</w:t>
            </w:r>
            <w:r w:rsidRPr="00216A29">
              <w:rPr>
                <w:noProof/>
                <w:webHidden/>
              </w:rPr>
              <w:tab/>
            </w:r>
            <w:r w:rsidRPr="00216A29">
              <w:rPr>
                <w:noProof/>
                <w:webHidden/>
              </w:rPr>
              <w:fldChar w:fldCharType="begin"/>
            </w:r>
            <w:r w:rsidRPr="00216A29">
              <w:rPr>
                <w:noProof/>
                <w:webHidden/>
              </w:rPr>
              <w:instrText xml:space="preserve"> PAGEREF _Toc237252904 \h </w:instrText>
            </w:r>
            <w:r w:rsidRPr="00216A29">
              <w:rPr>
                <w:noProof/>
                <w:webHidden/>
              </w:rPr>
            </w:r>
            <w:r w:rsidRPr="00216A29">
              <w:rPr>
                <w:noProof/>
                <w:webHidden/>
              </w:rPr>
              <w:fldChar w:fldCharType="separate"/>
            </w:r>
            <w:r w:rsidR="00F70C97">
              <w:rPr>
                <w:noProof/>
                <w:webHidden/>
              </w:rPr>
              <w:t>30</w:t>
            </w:r>
            <w:r w:rsidRPr="00216A29">
              <w:rPr>
                <w:noProof/>
                <w:webHidden/>
              </w:rPr>
              <w:fldChar w:fldCharType="end"/>
            </w:r>
          </w:hyperlink>
        </w:p>
        <w:p w14:paraId="5C52D01D" w14:textId="12BF7186" w:rsidR="00216A29" w:rsidRPr="00216A29" w:rsidRDefault="00216A29" w:rsidP="00216A29">
          <w:pPr>
            <w:pStyle w:val="TOC2"/>
            <w:tabs>
              <w:tab w:val="right" w:pos="9350"/>
            </w:tabs>
            <w:spacing w:line="276" w:lineRule="auto"/>
            <w:rPr>
              <w:noProof/>
            </w:rPr>
          </w:pPr>
          <w:hyperlink w:anchor="_Toc237252905" w:history="1">
            <w:r w:rsidRPr="00216A29">
              <w:rPr>
                <w:rStyle w:val="Hyperlink"/>
                <w:noProof/>
                <w:color w:val="auto"/>
              </w:rPr>
              <w:t>Feelings</w:t>
            </w:r>
            <w:r w:rsidRPr="00216A29">
              <w:rPr>
                <w:noProof/>
                <w:webHidden/>
              </w:rPr>
              <w:tab/>
            </w:r>
            <w:r w:rsidRPr="00216A29">
              <w:rPr>
                <w:noProof/>
                <w:webHidden/>
              </w:rPr>
              <w:fldChar w:fldCharType="begin"/>
            </w:r>
            <w:r w:rsidRPr="00216A29">
              <w:rPr>
                <w:noProof/>
                <w:webHidden/>
              </w:rPr>
              <w:instrText xml:space="preserve"> PAGEREF _Toc237252905 \h </w:instrText>
            </w:r>
            <w:r w:rsidRPr="00216A29">
              <w:rPr>
                <w:noProof/>
                <w:webHidden/>
              </w:rPr>
            </w:r>
            <w:r w:rsidRPr="00216A29">
              <w:rPr>
                <w:noProof/>
                <w:webHidden/>
              </w:rPr>
              <w:fldChar w:fldCharType="separate"/>
            </w:r>
            <w:r w:rsidR="00F70C97">
              <w:rPr>
                <w:noProof/>
                <w:webHidden/>
              </w:rPr>
              <w:t>31</w:t>
            </w:r>
            <w:r w:rsidRPr="00216A29">
              <w:rPr>
                <w:noProof/>
                <w:webHidden/>
              </w:rPr>
              <w:fldChar w:fldCharType="end"/>
            </w:r>
          </w:hyperlink>
        </w:p>
        <w:p w14:paraId="7006C957" w14:textId="310395BB" w:rsidR="00216A29" w:rsidRPr="00216A29" w:rsidRDefault="00216A29" w:rsidP="00216A29">
          <w:pPr>
            <w:pStyle w:val="TOC2"/>
            <w:tabs>
              <w:tab w:val="right" w:pos="9350"/>
            </w:tabs>
            <w:spacing w:line="276" w:lineRule="auto"/>
            <w:rPr>
              <w:noProof/>
            </w:rPr>
          </w:pPr>
          <w:hyperlink w:anchor="_Toc237252906" w:history="1">
            <w:r w:rsidRPr="00216A29">
              <w:rPr>
                <w:rStyle w:val="Hyperlink"/>
                <w:noProof/>
                <w:color w:val="auto"/>
              </w:rPr>
              <w:t>Evaluation</w:t>
            </w:r>
            <w:r w:rsidRPr="00216A29">
              <w:rPr>
                <w:noProof/>
                <w:webHidden/>
              </w:rPr>
              <w:tab/>
            </w:r>
            <w:r w:rsidRPr="00216A29">
              <w:rPr>
                <w:noProof/>
                <w:webHidden/>
              </w:rPr>
              <w:fldChar w:fldCharType="begin"/>
            </w:r>
            <w:r w:rsidRPr="00216A29">
              <w:rPr>
                <w:noProof/>
                <w:webHidden/>
              </w:rPr>
              <w:instrText xml:space="preserve"> PAGEREF _Toc237252906 \h </w:instrText>
            </w:r>
            <w:r w:rsidRPr="00216A29">
              <w:rPr>
                <w:noProof/>
                <w:webHidden/>
              </w:rPr>
            </w:r>
            <w:r w:rsidRPr="00216A29">
              <w:rPr>
                <w:noProof/>
                <w:webHidden/>
              </w:rPr>
              <w:fldChar w:fldCharType="separate"/>
            </w:r>
            <w:r w:rsidR="00F70C97">
              <w:rPr>
                <w:noProof/>
                <w:webHidden/>
              </w:rPr>
              <w:t>31</w:t>
            </w:r>
            <w:r w:rsidRPr="00216A29">
              <w:rPr>
                <w:noProof/>
                <w:webHidden/>
              </w:rPr>
              <w:fldChar w:fldCharType="end"/>
            </w:r>
          </w:hyperlink>
        </w:p>
        <w:p w14:paraId="4F670285" w14:textId="547BAE49" w:rsidR="00216A29" w:rsidRPr="00216A29" w:rsidRDefault="00216A29" w:rsidP="00216A29">
          <w:pPr>
            <w:pStyle w:val="TOC2"/>
            <w:tabs>
              <w:tab w:val="right" w:pos="9350"/>
            </w:tabs>
            <w:spacing w:line="276" w:lineRule="auto"/>
            <w:rPr>
              <w:noProof/>
            </w:rPr>
          </w:pPr>
          <w:hyperlink w:anchor="_Toc237252907" w:history="1">
            <w:r w:rsidRPr="00216A29">
              <w:rPr>
                <w:rStyle w:val="Hyperlink"/>
                <w:noProof/>
                <w:color w:val="auto"/>
              </w:rPr>
              <w:t>Analysis</w:t>
            </w:r>
            <w:r w:rsidRPr="00216A29">
              <w:rPr>
                <w:noProof/>
                <w:webHidden/>
              </w:rPr>
              <w:tab/>
            </w:r>
            <w:r w:rsidRPr="00216A29">
              <w:rPr>
                <w:noProof/>
                <w:webHidden/>
              </w:rPr>
              <w:fldChar w:fldCharType="begin"/>
            </w:r>
            <w:r w:rsidRPr="00216A29">
              <w:rPr>
                <w:noProof/>
                <w:webHidden/>
              </w:rPr>
              <w:instrText xml:space="preserve"> PAGEREF _Toc237252907 \h </w:instrText>
            </w:r>
            <w:r w:rsidRPr="00216A29">
              <w:rPr>
                <w:noProof/>
                <w:webHidden/>
              </w:rPr>
            </w:r>
            <w:r w:rsidRPr="00216A29">
              <w:rPr>
                <w:noProof/>
                <w:webHidden/>
              </w:rPr>
              <w:fldChar w:fldCharType="separate"/>
            </w:r>
            <w:r w:rsidR="00F70C97">
              <w:rPr>
                <w:noProof/>
                <w:webHidden/>
              </w:rPr>
              <w:t>32</w:t>
            </w:r>
            <w:r w:rsidRPr="00216A29">
              <w:rPr>
                <w:noProof/>
                <w:webHidden/>
              </w:rPr>
              <w:fldChar w:fldCharType="end"/>
            </w:r>
          </w:hyperlink>
        </w:p>
        <w:p w14:paraId="3DD88228" w14:textId="706C652E" w:rsidR="00216A29" w:rsidRPr="00216A29" w:rsidRDefault="00216A29" w:rsidP="00216A29">
          <w:pPr>
            <w:pStyle w:val="TOC2"/>
            <w:tabs>
              <w:tab w:val="right" w:pos="9350"/>
            </w:tabs>
            <w:spacing w:line="276" w:lineRule="auto"/>
            <w:rPr>
              <w:noProof/>
            </w:rPr>
          </w:pPr>
          <w:hyperlink w:anchor="_Toc237252908" w:history="1">
            <w:r w:rsidRPr="00216A29">
              <w:rPr>
                <w:rStyle w:val="Hyperlink"/>
                <w:noProof/>
                <w:color w:val="auto"/>
              </w:rPr>
              <w:t>Conclusion</w:t>
            </w:r>
            <w:r w:rsidRPr="00216A29">
              <w:rPr>
                <w:noProof/>
                <w:webHidden/>
              </w:rPr>
              <w:tab/>
            </w:r>
            <w:r w:rsidRPr="00216A29">
              <w:rPr>
                <w:noProof/>
                <w:webHidden/>
              </w:rPr>
              <w:fldChar w:fldCharType="begin"/>
            </w:r>
            <w:r w:rsidRPr="00216A29">
              <w:rPr>
                <w:noProof/>
                <w:webHidden/>
              </w:rPr>
              <w:instrText xml:space="preserve"> PAGEREF _Toc237252908 \h </w:instrText>
            </w:r>
            <w:r w:rsidRPr="00216A29">
              <w:rPr>
                <w:noProof/>
                <w:webHidden/>
              </w:rPr>
            </w:r>
            <w:r w:rsidRPr="00216A29">
              <w:rPr>
                <w:noProof/>
                <w:webHidden/>
              </w:rPr>
              <w:fldChar w:fldCharType="separate"/>
            </w:r>
            <w:r w:rsidR="00F70C97">
              <w:rPr>
                <w:noProof/>
                <w:webHidden/>
              </w:rPr>
              <w:t>32</w:t>
            </w:r>
            <w:r w:rsidRPr="00216A29">
              <w:rPr>
                <w:noProof/>
                <w:webHidden/>
              </w:rPr>
              <w:fldChar w:fldCharType="end"/>
            </w:r>
          </w:hyperlink>
        </w:p>
        <w:p w14:paraId="36060A34" w14:textId="084AADA9" w:rsidR="00216A29" w:rsidRPr="00216A29" w:rsidRDefault="00216A29" w:rsidP="00216A29">
          <w:pPr>
            <w:pStyle w:val="TOC2"/>
            <w:tabs>
              <w:tab w:val="right" w:pos="9350"/>
            </w:tabs>
            <w:spacing w:line="276" w:lineRule="auto"/>
            <w:rPr>
              <w:noProof/>
            </w:rPr>
          </w:pPr>
          <w:hyperlink w:anchor="_Toc237252909" w:history="1">
            <w:r w:rsidRPr="00216A29">
              <w:rPr>
                <w:rStyle w:val="Hyperlink"/>
                <w:noProof/>
                <w:color w:val="auto"/>
              </w:rPr>
              <w:t>Action plan</w:t>
            </w:r>
            <w:r w:rsidRPr="00216A29">
              <w:rPr>
                <w:noProof/>
                <w:webHidden/>
              </w:rPr>
              <w:tab/>
            </w:r>
            <w:r w:rsidRPr="00216A29">
              <w:rPr>
                <w:noProof/>
                <w:webHidden/>
              </w:rPr>
              <w:fldChar w:fldCharType="begin"/>
            </w:r>
            <w:r w:rsidRPr="00216A29">
              <w:rPr>
                <w:noProof/>
                <w:webHidden/>
              </w:rPr>
              <w:instrText xml:space="preserve"> PAGEREF _Toc237252909 \h </w:instrText>
            </w:r>
            <w:r w:rsidRPr="00216A29">
              <w:rPr>
                <w:noProof/>
                <w:webHidden/>
              </w:rPr>
            </w:r>
            <w:r w:rsidRPr="00216A29">
              <w:rPr>
                <w:noProof/>
                <w:webHidden/>
              </w:rPr>
              <w:fldChar w:fldCharType="separate"/>
            </w:r>
            <w:r w:rsidR="00F70C97">
              <w:rPr>
                <w:noProof/>
                <w:webHidden/>
              </w:rPr>
              <w:t>33</w:t>
            </w:r>
            <w:r w:rsidRPr="00216A29">
              <w:rPr>
                <w:noProof/>
                <w:webHidden/>
              </w:rPr>
              <w:fldChar w:fldCharType="end"/>
            </w:r>
          </w:hyperlink>
        </w:p>
        <w:p w14:paraId="20C24648" w14:textId="5417E15D" w:rsidR="00216A29" w:rsidRPr="00216A29" w:rsidRDefault="00216A29" w:rsidP="00216A29">
          <w:pPr>
            <w:pStyle w:val="TOC1"/>
            <w:tabs>
              <w:tab w:val="right" w:pos="9350"/>
            </w:tabs>
            <w:spacing w:line="276" w:lineRule="auto"/>
            <w:rPr>
              <w:noProof/>
            </w:rPr>
          </w:pPr>
          <w:hyperlink w:anchor="_Toc237252910" w:history="1">
            <w:r w:rsidRPr="00216A29">
              <w:rPr>
                <w:rStyle w:val="Hyperlink"/>
                <w:noProof/>
                <w:color w:val="auto"/>
              </w:rPr>
              <w:t>Conclusion</w:t>
            </w:r>
            <w:r w:rsidRPr="00216A29">
              <w:rPr>
                <w:noProof/>
                <w:webHidden/>
              </w:rPr>
              <w:tab/>
            </w:r>
            <w:r w:rsidRPr="00216A29">
              <w:rPr>
                <w:noProof/>
                <w:webHidden/>
              </w:rPr>
              <w:fldChar w:fldCharType="begin"/>
            </w:r>
            <w:r w:rsidRPr="00216A29">
              <w:rPr>
                <w:noProof/>
                <w:webHidden/>
              </w:rPr>
              <w:instrText xml:space="preserve"> PAGEREF _Toc237252910 \h </w:instrText>
            </w:r>
            <w:r w:rsidRPr="00216A29">
              <w:rPr>
                <w:noProof/>
                <w:webHidden/>
              </w:rPr>
            </w:r>
            <w:r w:rsidRPr="00216A29">
              <w:rPr>
                <w:noProof/>
                <w:webHidden/>
              </w:rPr>
              <w:fldChar w:fldCharType="separate"/>
            </w:r>
            <w:r w:rsidR="00F70C97">
              <w:rPr>
                <w:noProof/>
                <w:webHidden/>
              </w:rPr>
              <w:t>34</w:t>
            </w:r>
            <w:r w:rsidRPr="00216A29">
              <w:rPr>
                <w:noProof/>
                <w:webHidden/>
              </w:rPr>
              <w:fldChar w:fldCharType="end"/>
            </w:r>
          </w:hyperlink>
        </w:p>
        <w:p w14:paraId="580F0661" w14:textId="76C8C051" w:rsidR="00216A29" w:rsidRPr="00216A29" w:rsidRDefault="00216A29" w:rsidP="00216A29">
          <w:pPr>
            <w:pStyle w:val="TOC1"/>
            <w:tabs>
              <w:tab w:val="right" w:pos="9350"/>
            </w:tabs>
            <w:spacing w:line="276" w:lineRule="auto"/>
            <w:rPr>
              <w:noProof/>
            </w:rPr>
          </w:pPr>
          <w:hyperlink w:anchor="_Toc237252911" w:history="1">
            <w:r w:rsidRPr="00216A29">
              <w:rPr>
                <w:rStyle w:val="Hyperlink"/>
                <w:noProof/>
                <w:color w:val="auto"/>
              </w:rPr>
              <w:t>References</w:t>
            </w:r>
            <w:r w:rsidRPr="00216A29">
              <w:rPr>
                <w:noProof/>
                <w:webHidden/>
              </w:rPr>
              <w:tab/>
            </w:r>
            <w:r w:rsidRPr="00216A29">
              <w:rPr>
                <w:noProof/>
                <w:webHidden/>
              </w:rPr>
              <w:fldChar w:fldCharType="begin"/>
            </w:r>
            <w:r w:rsidRPr="00216A29">
              <w:rPr>
                <w:noProof/>
                <w:webHidden/>
              </w:rPr>
              <w:instrText xml:space="preserve"> PAGEREF _Toc237252911 \h </w:instrText>
            </w:r>
            <w:r w:rsidRPr="00216A29">
              <w:rPr>
                <w:noProof/>
                <w:webHidden/>
              </w:rPr>
            </w:r>
            <w:r w:rsidRPr="00216A29">
              <w:rPr>
                <w:noProof/>
                <w:webHidden/>
              </w:rPr>
              <w:fldChar w:fldCharType="separate"/>
            </w:r>
            <w:r w:rsidR="00F70C97">
              <w:rPr>
                <w:noProof/>
                <w:webHidden/>
              </w:rPr>
              <w:t>35</w:t>
            </w:r>
            <w:r w:rsidRPr="00216A29">
              <w:rPr>
                <w:noProof/>
                <w:webHidden/>
              </w:rPr>
              <w:fldChar w:fldCharType="end"/>
            </w:r>
          </w:hyperlink>
        </w:p>
        <w:p w14:paraId="019A7755" w14:textId="5374A95A" w:rsidR="00605D40" w:rsidRPr="00216A29" w:rsidRDefault="006F0C8D" w:rsidP="00216A29">
          <w:pPr>
            <w:widowControl w:val="0"/>
            <w:tabs>
              <w:tab w:val="right" w:pos="9360"/>
            </w:tabs>
            <w:spacing w:before="60" w:after="0" w:line="276" w:lineRule="auto"/>
            <w:rPr>
              <w:rFonts w:ascii="Arial" w:eastAsia="Arial" w:hAnsi="Arial" w:cs="Arial"/>
            </w:rPr>
          </w:pPr>
          <w:r w:rsidRPr="00216A29">
            <w:fldChar w:fldCharType="end"/>
          </w:r>
        </w:p>
      </w:sdtContent>
    </w:sdt>
    <w:p w14:paraId="1DE0AC1B" w14:textId="77777777" w:rsidR="00605D40" w:rsidRPr="00216A29" w:rsidRDefault="006F0C8D">
      <w:pPr>
        <w:rPr>
          <w:rFonts w:ascii="Arial" w:eastAsia="Arial" w:hAnsi="Arial" w:cs="Arial"/>
          <w:b/>
          <w:bCs/>
        </w:rPr>
      </w:pPr>
      <w:r w:rsidRPr="00216A29">
        <w:br w:type="page"/>
      </w:r>
    </w:p>
    <w:p w14:paraId="4F375270" w14:textId="77777777" w:rsidR="00605D40" w:rsidRPr="00216A29" w:rsidRDefault="006F0C8D">
      <w:pPr>
        <w:pStyle w:val="Heading1"/>
      </w:pPr>
      <w:bookmarkStart w:id="0" w:name="_Toc237252886"/>
      <w:r w:rsidRPr="00216A29">
        <w:t>A. Section 1: Marketing Report</w:t>
      </w:r>
      <w:bookmarkEnd w:id="0"/>
    </w:p>
    <w:p w14:paraId="186274BC" w14:textId="77777777" w:rsidR="00605D40" w:rsidRPr="00216A29" w:rsidRDefault="006F0C8D">
      <w:pPr>
        <w:pStyle w:val="Heading1"/>
      </w:pPr>
      <w:bookmarkStart w:id="1" w:name="_Toc237252887"/>
      <w:r w:rsidRPr="00216A29">
        <w:t>1. Introduction</w:t>
      </w:r>
      <w:bookmarkEnd w:id="1"/>
    </w:p>
    <w:p w14:paraId="14250A98" w14:textId="77777777" w:rsidR="00605D40" w:rsidRPr="00216A29" w:rsidRDefault="006F0C8D">
      <w:pPr>
        <w:rPr>
          <w:rFonts w:ascii="Arial" w:eastAsia="Arial" w:hAnsi="Arial" w:cs="Arial"/>
        </w:rPr>
      </w:pPr>
      <w:r w:rsidRPr="00216A29">
        <w:rPr>
          <w:rFonts w:ascii="Arial" w:eastAsia="Arial" w:hAnsi="Arial" w:cs="Arial"/>
        </w:rPr>
        <w:t xml:space="preserve">Toyota Motor Corporation (or Toyota) is a reputed automobile manufacturing MNC with a varied portfolio including passenger vehicles, commercial vehicles, hybrid electric vehicles, battery electric vehicles and others. In 2025, the organisation reported a consolidated revenue of 48.03 trillion yen or $315 billion (Annual Report, 2025). </w:t>
      </w:r>
    </w:p>
    <w:p w14:paraId="6C1428D5" w14:textId="77777777" w:rsidR="00605D40" w:rsidRPr="00216A29" w:rsidRDefault="006F0C8D">
      <w:pPr>
        <w:rPr>
          <w:rFonts w:ascii="Arial" w:eastAsia="Arial" w:hAnsi="Arial" w:cs="Arial"/>
        </w:rPr>
      </w:pPr>
      <w:r w:rsidRPr="00216A29">
        <w:rPr>
          <w:rFonts w:ascii="Arial" w:eastAsia="Arial" w:hAnsi="Arial" w:cs="Arial"/>
        </w:rPr>
        <w:t xml:space="preserve">The report aims to analyse the international market entry strategy and marketing mix of Toyota in the USA and India. The comparative evaluation provided a detailed overview on how Toyota has applied its mission and vision statements to make market-specific changes in USA and India. </w:t>
      </w:r>
    </w:p>
    <w:p w14:paraId="5C6F5562"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68FF7AEB" wp14:editId="2C1B8322">
            <wp:extent cx="5943600" cy="1955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955800"/>
                    </a:xfrm>
                    <a:prstGeom prst="rect">
                      <a:avLst/>
                    </a:prstGeom>
                    <a:ln w="12700">
                      <a:solidFill>
                        <a:srgbClr val="000000"/>
                      </a:solidFill>
                      <a:prstDash val="solid"/>
                    </a:ln>
                  </pic:spPr>
                </pic:pic>
              </a:graphicData>
            </a:graphic>
          </wp:inline>
        </w:drawing>
      </w:r>
    </w:p>
    <w:p w14:paraId="362B80EC" w14:textId="77777777" w:rsidR="00605D40" w:rsidRPr="00216A29" w:rsidRDefault="006F0C8D">
      <w:pPr>
        <w:jc w:val="center"/>
        <w:rPr>
          <w:rFonts w:ascii="Arial" w:eastAsia="Arial" w:hAnsi="Arial" w:cs="Arial"/>
          <w:b/>
          <w:bCs/>
        </w:rPr>
      </w:pPr>
      <w:r w:rsidRPr="00216A29">
        <w:rPr>
          <w:rFonts w:ascii="Arial" w:eastAsia="Arial" w:hAnsi="Arial" w:cs="Arial"/>
          <w:b/>
          <w:bCs/>
        </w:rPr>
        <w:t>Figure 1: Revenue generation for Toyota (2021-2025)</w:t>
      </w:r>
    </w:p>
    <w:p w14:paraId="3DFD9BED" w14:textId="77777777" w:rsidR="00605D40" w:rsidRPr="00216A29" w:rsidRDefault="006F0C8D">
      <w:pPr>
        <w:jc w:val="center"/>
        <w:rPr>
          <w:rFonts w:ascii="Arial" w:eastAsia="Arial" w:hAnsi="Arial" w:cs="Arial"/>
        </w:rPr>
      </w:pPr>
      <w:r w:rsidRPr="00216A29">
        <w:rPr>
          <w:rFonts w:ascii="Arial" w:eastAsia="Arial" w:hAnsi="Arial" w:cs="Arial"/>
        </w:rPr>
        <w:t xml:space="preserve">(Source: Macrotrends, 2025) </w:t>
      </w:r>
    </w:p>
    <w:p w14:paraId="4553A3CC" w14:textId="77777777" w:rsidR="00605D40" w:rsidRPr="00216A29" w:rsidRDefault="006F0C8D">
      <w:pPr>
        <w:rPr>
          <w:rFonts w:ascii="Arial" w:eastAsia="Arial" w:hAnsi="Arial" w:cs="Arial"/>
          <w:b/>
          <w:bCs/>
        </w:rPr>
      </w:pPr>
      <w:r w:rsidRPr="00216A29">
        <w:br w:type="page"/>
      </w:r>
    </w:p>
    <w:p w14:paraId="34BF94A3" w14:textId="77777777" w:rsidR="00605D40" w:rsidRPr="00216A29" w:rsidRDefault="006F0C8D">
      <w:pPr>
        <w:pStyle w:val="Heading1"/>
      </w:pPr>
      <w:bookmarkStart w:id="2" w:name="_Toc237252888"/>
      <w:r w:rsidRPr="00216A29">
        <w:t>2. Comparative Analysis of the Market</w:t>
      </w:r>
      <w:bookmarkEnd w:id="2"/>
      <w:r w:rsidRPr="00216A29">
        <w:t xml:space="preserve"> </w:t>
      </w:r>
    </w:p>
    <w:p w14:paraId="34B60EA7" w14:textId="77777777" w:rsidR="00605D40" w:rsidRPr="00216A29" w:rsidRDefault="006F0C8D">
      <w:pPr>
        <w:pStyle w:val="Heading2"/>
      </w:pPr>
      <w:bookmarkStart w:id="3" w:name="_Toc237252889"/>
      <w:r w:rsidRPr="00216A29">
        <w:t>2.1 PESTEL Analysis</w:t>
      </w:r>
      <w:bookmarkEnd w:id="3"/>
      <w:r w:rsidRPr="00216A29">
        <w:t xml:space="preserve"> </w:t>
      </w:r>
    </w:p>
    <w:p w14:paraId="475CE38D" w14:textId="77777777" w:rsidR="00605D40" w:rsidRPr="00216A29" w:rsidRDefault="006F0C8D">
      <w:pPr>
        <w:rPr>
          <w:rFonts w:ascii="Arial" w:eastAsia="Arial" w:hAnsi="Arial" w:cs="Arial"/>
          <w:b/>
          <w:bCs/>
        </w:rPr>
      </w:pPr>
      <w:r w:rsidRPr="00216A29">
        <w:rPr>
          <w:rFonts w:ascii="Arial" w:eastAsia="Arial" w:hAnsi="Arial" w:cs="Arial"/>
          <w:b/>
          <w:bCs/>
        </w:rPr>
        <w:t>Political</w:t>
      </w:r>
    </w:p>
    <w:p w14:paraId="51926B9E" w14:textId="77777777" w:rsidR="00605D40" w:rsidRPr="00216A29" w:rsidRDefault="006F0C8D">
      <w:pPr>
        <w:rPr>
          <w:rFonts w:ascii="Arial" w:eastAsia="Arial" w:hAnsi="Arial" w:cs="Arial"/>
        </w:rPr>
      </w:pPr>
      <w:r w:rsidRPr="00216A29">
        <w:rPr>
          <w:rFonts w:ascii="Arial" w:eastAsia="Arial" w:hAnsi="Arial" w:cs="Arial"/>
        </w:rPr>
        <w:t xml:space="preserve">The USA market is politically attractive as the existing automotive policies support the domestic manufacturing, emissions reduction, customer protection, and electrification quite strongly. Toyota seems to already align with this direction, such as Toyota Motor North America has reported an investment of US$912 million in 5 manufacturing plants in the USA (Toyota, 2025). </w:t>
      </w:r>
    </w:p>
    <w:p w14:paraId="79376C9A" w14:textId="77777777" w:rsidR="00605D40" w:rsidRPr="00216A29" w:rsidRDefault="006F0C8D">
      <w:pPr>
        <w:rPr>
          <w:rFonts w:ascii="Arial" w:eastAsia="Arial" w:hAnsi="Arial" w:cs="Arial"/>
        </w:rPr>
      </w:pPr>
      <w:r w:rsidRPr="00216A29">
        <w:rPr>
          <w:rFonts w:ascii="Arial" w:eastAsia="Arial" w:hAnsi="Arial" w:cs="Arial"/>
        </w:rPr>
        <w:t xml:space="preserve">India seems to be politically supportive, whereas the political stability of the nation has been identified as -0.79, which can raise difficulties for Toyota to conduct business smoothly in the long term (The Global Economy, 2024). The </w:t>
      </w:r>
      <w:r w:rsidRPr="00216A29">
        <w:rPr>
          <w:rFonts w:ascii="Arial" w:eastAsia="Arial" w:hAnsi="Arial" w:cs="Arial"/>
          <w:highlight w:val="white"/>
        </w:rPr>
        <w:t>PM E-DRIVE</w:t>
      </w:r>
      <w:r w:rsidRPr="00216A29">
        <w:rPr>
          <w:rFonts w:ascii="Arial" w:eastAsia="Arial" w:hAnsi="Arial" w:cs="Arial"/>
        </w:rPr>
        <w:t xml:space="preserve"> scheme in this nation was notified with an outlay of Rs. 10,900 crores, ensuring greater support for e-buses, EV subsidies, testing agencies, and charging stations (Pib.gov.in, 2025; figure below). </w:t>
      </w:r>
    </w:p>
    <w:p w14:paraId="5E4E58D6"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36826932" wp14:editId="440A85B2">
            <wp:extent cx="5943600" cy="13208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320800"/>
                    </a:xfrm>
                    <a:prstGeom prst="rect">
                      <a:avLst/>
                    </a:prstGeom>
                    <a:ln w="25400">
                      <a:solidFill>
                        <a:srgbClr val="000000"/>
                      </a:solidFill>
                      <a:prstDash val="solid"/>
                    </a:ln>
                  </pic:spPr>
                </pic:pic>
              </a:graphicData>
            </a:graphic>
          </wp:inline>
        </w:drawing>
      </w:r>
    </w:p>
    <w:p w14:paraId="7EB3048C" w14:textId="77777777" w:rsidR="00605D40" w:rsidRPr="00216A29" w:rsidRDefault="006F0C8D">
      <w:pPr>
        <w:jc w:val="center"/>
        <w:rPr>
          <w:rFonts w:ascii="Arial" w:eastAsia="Arial" w:hAnsi="Arial" w:cs="Arial"/>
          <w:b/>
          <w:bCs/>
        </w:rPr>
      </w:pPr>
      <w:r w:rsidRPr="00216A29">
        <w:rPr>
          <w:rFonts w:ascii="Arial" w:eastAsia="Arial" w:hAnsi="Arial" w:cs="Arial"/>
          <w:b/>
          <w:bCs/>
        </w:rPr>
        <w:t xml:space="preserve">Figure 2: Allocation under the scheme </w:t>
      </w:r>
    </w:p>
    <w:p w14:paraId="34C263E6" w14:textId="77777777" w:rsidR="00605D40" w:rsidRPr="00216A29" w:rsidRDefault="006F0C8D">
      <w:pPr>
        <w:jc w:val="center"/>
        <w:rPr>
          <w:rFonts w:ascii="Arial" w:eastAsia="Arial" w:hAnsi="Arial" w:cs="Arial"/>
        </w:rPr>
      </w:pPr>
      <w:r w:rsidRPr="00216A29">
        <w:rPr>
          <w:rFonts w:ascii="Arial" w:eastAsia="Arial" w:hAnsi="Arial" w:cs="Arial"/>
        </w:rPr>
        <w:t>(Source: Pib.gov.in, 2025)</w:t>
      </w:r>
    </w:p>
    <w:p w14:paraId="207F3DE8"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4C76AE78" w14:textId="77777777" w:rsidR="00605D40" w:rsidRPr="00216A29" w:rsidRDefault="006F0C8D">
      <w:pPr>
        <w:numPr>
          <w:ilvl w:val="0"/>
          <w:numId w:val="37"/>
        </w:numPr>
        <w:spacing w:after="0"/>
        <w:rPr>
          <w:rFonts w:ascii="Arial" w:eastAsia="Arial" w:hAnsi="Arial" w:cs="Arial"/>
        </w:rPr>
      </w:pPr>
      <w:r w:rsidRPr="00216A29">
        <w:rPr>
          <w:rFonts w:ascii="Arial" w:eastAsia="Arial" w:hAnsi="Arial" w:cs="Arial"/>
        </w:rPr>
        <w:t xml:space="preserve">For Toyota, the USA is quite favorable for the marketing hybrids, electrified vehicles, and SUVs, as policy and consumer demand are going in the same direction. </w:t>
      </w:r>
    </w:p>
    <w:p w14:paraId="00100C7C" w14:textId="77777777" w:rsidR="00605D40" w:rsidRPr="00216A29" w:rsidRDefault="006F0C8D">
      <w:pPr>
        <w:numPr>
          <w:ilvl w:val="0"/>
          <w:numId w:val="37"/>
        </w:numPr>
        <w:spacing w:after="0"/>
        <w:rPr>
          <w:rFonts w:ascii="Arial" w:eastAsia="Arial" w:hAnsi="Arial" w:cs="Arial"/>
        </w:rPr>
      </w:pPr>
      <w:r w:rsidRPr="00216A29">
        <w:rPr>
          <w:rFonts w:ascii="Arial" w:eastAsia="Arial" w:hAnsi="Arial" w:cs="Arial"/>
        </w:rPr>
        <w:t>Higher favourability in scalability can be obtained as 10 billion USD additional investment plan over the next 5 years has been considered for USA.</w:t>
      </w:r>
    </w:p>
    <w:p w14:paraId="02BBB131" w14:textId="77777777" w:rsidR="00605D40" w:rsidRPr="00216A29" w:rsidRDefault="006F0C8D">
      <w:pPr>
        <w:numPr>
          <w:ilvl w:val="0"/>
          <w:numId w:val="37"/>
        </w:numPr>
        <w:spacing w:after="0"/>
        <w:rPr>
          <w:rFonts w:ascii="Arial" w:eastAsia="Arial" w:hAnsi="Arial" w:cs="Arial"/>
        </w:rPr>
      </w:pPr>
      <w:r w:rsidRPr="00216A29">
        <w:rPr>
          <w:rFonts w:ascii="Arial" w:eastAsia="Arial" w:hAnsi="Arial" w:cs="Arial"/>
        </w:rPr>
        <w:t xml:space="preserve">India is also favourable, as here, government policy strongly supports the cleaner mobility along with domestic production, whereas passenger-car incentives are quite less direct than in the USA. </w:t>
      </w:r>
    </w:p>
    <w:p w14:paraId="7589447E" w14:textId="77777777" w:rsidR="00605D40" w:rsidRPr="00216A29" w:rsidRDefault="006F0C8D">
      <w:pPr>
        <w:numPr>
          <w:ilvl w:val="0"/>
          <w:numId w:val="37"/>
        </w:numPr>
        <w:spacing w:after="0"/>
        <w:rPr>
          <w:rFonts w:ascii="Arial" w:eastAsia="Arial" w:hAnsi="Arial" w:cs="Arial"/>
        </w:rPr>
      </w:pPr>
      <w:r w:rsidRPr="00216A29">
        <w:rPr>
          <w:rFonts w:ascii="Arial" w:eastAsia="Arial" w:hAnsi="Arial" w:cs="Arial"/>
        </w:rPr>
        <w:t>The focus on affordability, local manufacturing, electrification of the public transport and “Make in India” has contributed to higher favourability in the Indian market (Pib.gov.in, 2025).</w:t>
      </w:r>
    </w:p>
    <w:p w14:paraId="2E159D44"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0E3EF4FA" w14:textId="77777777" w:rsidR="00605D40" w:rsidRPr="00216A29" w:rsidRDefault="006F0C8D">
      <w:pPr>
        <w:numPr>
          <w:ilvl w:val="0"/>
          <w:numId w:val="8"/>
        </w:numPr>
        <w:spacing w:after="0"/>
        <w:rPr>
          <w:rFonts w:ascii="Arial" w:eastAsia="Arial" w:hAnsi="Arial" w:cs="Arial"/>
        </w:rPr>
      </w:pPr>
      <w:r w:rsidRPr="00216A29">
        <w:rPr>
          <w:rFonts w:ascii="Arial" w:eastAsia="Arial" w:hAnsi="Arial" w:cs="Arial"/>
        </w:rPr>
        <w:t xml:space="preserve">Both countries politically encourage the local value creation as well as cleaner mobility. </w:t>
      </w:r>
    </w:p>
    <w:p w14:paraId="2048C1EF" w14:textId="77777777" w:rsidR="00605D40" w:rsidRPr="00216A29" w:rsidRDefault="006F0C8D">
      <w:pPr>
        <w:numPr>
          <w:ilvl w:val="0"/>
          <w:numId w:val="8"/>
        </w:numPr>
        <w:spacing w:after="0"/>
        <w:rPr>
          <w:rFonts w:ascii="Arial" w:eastAsia="Arial" w:hAnsi="Arial" w:cs="Arial"/>
        </w:rPr>
      </w:pPr>
      <w:r w:rsidRPr="00216A29">
        <w:rPr>
          <w:rFonts w:ascii="Arial" w:eastAsia="Arial" w:hAnsi="Arial" w:cs="Arial"/>
        </w:rPr>
        <w:t xml:space="preserve">The difference is that the USA is more suitable for marketing the electrified passenger vehicles, whereas India requires Toyota to market the affordability. </w:t>
      </w:r>
    </w:p>
    <w:p w14:paraId="2244C09F" w14:textId="77777777" w:rsidR="00605D40" w:rsidRPr="00216A29" w:rsidRDefault="006F0C8D">
      <w:pPr>
        <w:rPr>
          <w:rFonts w:ascii="Arial" w:eastAsia="Arial" w:hAnsi="Arial" w:cs="Arial"/>
          <w:b/>
          <w:bCs/>
        </w:rPr>
      </w:pPr>
      <w:r w:rsidRPr="00216A29">
        <w:rPr>
          <w:rFonts w:ascii="Arial" w:eastAsia="Arial" w:hAnsi="Arial" w:cs="Arial"/>
          <w:b/>
          <w:bCs/>
        </w:rPr>
        <w:t>Economic</w:t>
      </w:r>
    </w:p>
    <w:p w14:paraId="429E6296" w14:textId="77777777" w:rsidR="00605D40" w:rsidRPr="00216A29" w:rsidRDefault="006F0C8D">
      <w:pPr>
        <w:rPr>
          <w:rFonts w:ascii="Arial" w:eastAsia="Arial" w:hAnsi="Arial" w:cs="Arial"/>
        </w:rPr>
      </w:pPr>
      <w:r w:rsidRPr="00216A29">
        <w:rPr>
          <w:rFonts w:ascii="Arial" w:eastAsia="Arial" w:hAnsi="Arial" w:cs="Arial"/>
        </w:rPr>
        <w:t xml:space="preserve">In 2025, the nominal GDP of the USA was US$30.76 trillion, and it is US$32.38 trillion in 2026, with a GDP growth rate of 2.3% and GDP per capita of US$94,430 (Worldometers, 2026). </w:t>
      </w:r>
    </w:p>
    <w:p w14:paraId="5138F1A1"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62B7D208" wp14:editId="41016AFA">
            <wp:extent cx="5943600" cy="1828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1828800"/>
                    </a:xfrm>
                    <a:prstGeom prst="rect">
                      <a:avLst/>
                    </a:prstGeom>
                    <a:ln w="25400">
                      <a:solidFill>
                        <a:srgbClr val="000000"/>
                      </a:solidFill>
                      <a:prstDash val="solid"/>
                    </a:ln>
                  </pic:spPr>
                </pic:pic>
              </a:graphicData>
            </a:graphic>
          </wp:inline>
        </w:drawing>
      </w:r>
    </w:p>
    <w:p w14:paraId="109A7EDD" w14:textId="77777777" w:rsidR="00605D40" w:rsidRPr="00216A29" w:rsidRDefault="006F0C8D">
      <w:pPr>
        <w:jc w:val="center"/>
        <w:rPr>
          <w:rFonts w:ascii="Arial" w:eastAsia="Arial" w:hAnsi="Arial" w:cs="Arial"/>
          <w:b/>
          <w:bCs/>
        </w:rPr>
      </w:pPr>
      <w:r w:rsidRPr="00216A29">
        <w:rPr>
          <w:rFonts w:ascii="Arial" w:eastAsia="Arial" w:hAnsi="Arial" w:cs="Arial"/>
          <w:b/>
          <w:bCs/>
        </w:rPr>
        <w:t>Figure 3: USA GDP from 1985 to 2026</w:t>
      </w:r>
    </w:p>
    <w:p w14:paraId="1201A1CE" w14:textId="77777777" w:rsidR="00605D40" w:rsidRPr="00216A29" w:rsidRDefault="006F0C8D">
      <w:pPr>
        <w:jc w:val="center"/>
        <w:rPr>
          <w:rFonts w:ascii="Arial" w:eastAsia="Arial" w:hAnsi="Arial" w:cs="Arial"/>
        </w:rPr>
      </w:pPr>
      <w:r w:rsidRPr="00216A29">
        <w:rPr>
          <w:rFonts w:ascii="Arial" w:eastAsia="Arial" w:hAnsi="Arial" w:cs="Arial"/>
        </w:rPr>
        <w:t>(Source: Worldometers, 2026)</w:t>
      </w:r>
    </w:p>
    <w:p w14:paraId="63A9142E" w14:textId="77777777" w:rsidR="00605D40" w:rsidRPr="00216A29" w:rsidRDefault="006F0C8D">
      <w:pPr>
        <w:rPr>
          <w:rFonts w:ascii="Arial" w:eastAsia="Arial" w:hAnsi="Arial" w:cs="Arial"/>
        </w:rPr>
      </w:pPr>
      <w:r w:rsidRPr="00216A29">
        <w:rPr>
          <w:rFonts w:ascii="Arial" w:eastAsia="Arial" w:hAnsi="Arial" w:cs="Arial"/>
        </w:rPr>
        <w:t xml:space="preserve">The GDP of India has been identified as US$3.91 trillion in 2025, and by 2026, it is US$4.15 trillion in 2026 with a growth rate of 6.5% and a GDP per capita of US$2,813 (Worldometers, 2026). </w:t>
      </w:r>
    </w:p>
    <w:p w14:paraId="68781953"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6E71CC23" wp14:editId="1EB15A52">
            <wp:extent cx="5943600" cy="17526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1752600"/>
                    </a:xfrm>
                    <a:prstGeom prst="rect">
                      <a:avLst/>
                    </a:prstGeom>
                    <a:ln w="25400">
                      <a:solidFill>
                        <a:srgbClr val="000000"/>
                      </a:solidFill>
                      <a:prstDash val="solid"/>
                    </a:ln>
                  </pic:spPr>
                </pic:pic>
              </a:graphicData>
            </a:graphic>
          </wp:inline>
        </w:drawing>
      </w:r>
    </w:p>
    <w:p w14:paraId="62708594" w14:textId="77777777" w:rsidR="00605D40" w:rsidRPr="00216A29" w:rsidRDefault="006F0C8D">
      <w:pPr>
        <w:jc w:val="center"/>
        <w:rPr>
          <w:rFonts w:ascii="Arial" w:eastAsia="Arial" w:hAnsi="Arial" w:cs="Arial"/>
          <w:b/>
          <w:bCs/>
        </w:rPr>
      </w:pPr>
      <w:r w:rsidRPr="00216A29">
        <w:rPr>
          <w:rFonts w:ascii="Arial" w:eastAsia="Arial" w:hAnsi="Arial" w:cs="Arial"/>
          <w:b/>
          <w:bCs/>
        </w:rPr>
        <w:t>Figure 4: India GDP from 1985 to 2026</w:t>
      </w:r>
    </w:p>
    <w:p w14:paraId="11C16558" w14:textId="77777777" w:rsidR="00605D40" w:rsidRPr="00216A29" w:rsidRDefault="006F0C8D">
      <w:pPr>
        <w:jc w:val="center"/>
        <w:rPr>
          <w:rFonts w:ascii="Arial" w:eastAsia="Arial" w:hAnsi="Arial" w:cs="Arial"/>
        </w:rPr>
      </w:pPr>
      <w:r w:rsidRPr="00216A29">
        <w:rPr>
          <w:rFonts w:ascii="Arial" w:eastAsia="Arial" w:hAnsi="Arial" w:cs="Arial"/>
        </w:rPr>
        <w:t>(Source: Worldometers, 2026)</w:t>
      </w:r>
    </w:p>
    <w:p w14:paraId="4359ADFF" w14:textId="77777777" w:rsidR="00605D40" w:rsidRPr="00216A29" w:rsidRDefault="006F0C8D">
      <w:pPr>
        <w:rPr>
          <w:rFonts w:ascii="Arial" w:eastAsia="Arial" w:hAnsi="Arial" w:cs="Arial"/>
        </w:rPr>
      </w:pPr>
      <w:r w:rsidRPr="00216A29">
        <w:rPr>
          <w:rFonts w:ascii="Arial" w:eastAsia="Arial" w:hAnsi="Arial" w:cs="Arial"/>
        </w:rPr>
        <w:t xml:space="preserve">Moreover, 2024 electrified vehicle sales of Toyota have been observed as 1,006,461 units, which was up 53.1% from the previous year in North America (Toyota, 2025). </w:t>
      </w:r>
    </w:p>
    <w:p w14:paraId="6274DEFC"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389B5119" w14:textId="77777777" w:rsidR="00605D40" w:rsidRPr="00216A29" w:rsidRDefault="006F0C8D">
      <w:pPr>
        <w:numPr>
          <w:ilvl w:val="0"/>
          <w:numId w:val="22"/>
        </w:numPr>
        <w:spacing w:after="0"/>
        <w:rPr>
          <w:rFonts w:ascii="Arial" w:eastAsia="Arial" w:hAnsi="Arial" w:cs="Arial"/>
        </w:rPr>
      </w:pPr>
      <w:r w:rsidRPr="00216A29">
        <w:rPr>
          <w:rFonts w:ascii="Arial" w:eastAsia="Arial" w:hAnsi="Arial" w:cs="Arial"/>
        </w:rPr>
        <w:t xml:space="preserve">USA is favorable for the higher-margin models, whereas the unfavourable side is the high competition and slow growth structure. </w:t>
      </w:r>
    </w:p>
    <w:p w14:paraId="398306F9" w14:textId="77777777" w:rsidR="00605D40" w:rsidRPr="00216A29" w:rsidRDefault="006F0C8D">
      <w:pPr>
        <w:numPr>
          <w:ilvl w:val="0"/>
          <w:numId w:val="22"/>
        </w:numPr>
        <w:spacing w:after="0"/>
        <w:rPr>
          <w:rFonts w:ascii="Arial" w:eastAsia="Arial" w:hAnsi="Arial" w:cs="Arial"/>
        </w:rPr>
      </w:pPr>
      <w:r w:rsidRPr="00216A29">
        <w:rPr>
          <w:rFonts w:ascii="Arial" w:eastAsia="Arial" w:hAnsi="Arial" w:cs="Arial"/>
        </w:rPr>
        <w:t xml:space="preserve">India is more favorable than the USA as higher growth in passenger vehicle sales is seen, such as 1.7 million by Maruti Suzuki and 2.7 million by “Toyota Kirloskar Motor” in 2025, which can be favourable for Toyota (figure below). </w:t>
      </w:r>
    </w:p>
    <w:p w14:paraId="72AF3E98" w14:textId="77777777" w:rsidR="00605D40" w:rsidRPr="00216A29" w:rsidRDefault="006F0C8D">
      <w:pPr>
        <w:numPr>
          <w:ilvl w:val="0"/>
          <w:numId w:val="22"/>
        </w:numPr>
        <w:spacing w:after="0"/>
        <w:rPr>
          <w:rFonts w:ascii="Arial" w:eastAsia="Arial" w:hAnsi="Arial" w:cs="Arial"/>
        </w:rPr>
      </w:pPr>
      <w:r w:rsidRPr="00216A29">
        <w:rPr>
          <w:rFonts w:ascii="Arial" w:eastAsia="Arial" w:hAnsi="Arial" w:cs="Arial"/>
        </w:rPr>
        <w:t>Higher favourability in India has been observed as sales figures reached 3,26,329 units in 2025, a 40% growth from the previous year (Toyotabharat, 2025).</w:t>
      </w:r>
    </w:p>
    <w:p w14:paraId="480139A4"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14E2BC28" wp14:editId="5958FF21">
            <wp:extent cx="5648498" cy="6472238"/>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648498" cy="6472238"/>
                    </a:xfrm>
                    <a:prstGeom prst="rect">
                      <a:avLst/>
                    </a:prstGeom>
                    <a:ln w="25400">
                      <a:solidFill>
                        <a:srgbClr val="000000"/>
                      </a:solidFill>
                      <a:prstDash val="solid"/>
                    </a:ln>
                  </pic:spPr>
                </pic:pic>
              </a:graphicData>
            </a:graphic>
          </wp:inline>
        </w:drawing>
      </w:r>
    </w:p>
    <w:p w14:paraId="720D1C1F" w14:textId="77777777" w:rsidR="00605D40" w:rsidRPr="00216A29" w:rsidRDefault="006F0C8D">
      <w:pPr>
        <w:jc w:val="center"/>
        <w:rPr>
          <w:rFonts w:ascii="Arial" w:eastAsia="Arial" w:hAnsi="Arial" w:cs="Arial"/>
          <w:b/>
          <w:bCs/>
        </w:rPr>
      </w:pPr>
      <w:r w:rsidRPr="00216A29">
        <w:rPr>
          <w:rFonts w:ascii="Arial" w:eastAsia="Arial" w:hAnsi="Arial" w:cs="Arial"/>
          <w:b/>
          <w:bCs/>
        </w:rPr>
        <w:t>Figure 5: Volume of passenger cars sold in India in 2025</w:t>
      </w:r>
    </w:p>
    <w:p w14:paraId="7BFCBF67" w14:textId="77777777" w:rsidR="00605D40" w:rsidRPr="00216A29" w:rsidRDefault="006F0C8D">
      <w:pPr>
        <w:jc w:val="center"/>
        <w:rPr>
          <w:rFonts w:ascii="Arial" w:eastAsia="Arial" w:hAnsi="Arial" w:cs="Arial"/>
        </w:rPr>
      </w:pPr>
      <w:r w:rsidRPr="00216A29">
        <w:rPr>
          <w:rFonts w:ascii="Arial" w:eastAsia="Arial" w:hAnsi="Arial" w:cs="Arial"/>
        </w:rPr>
        <w:t>(Source: Statista, 2025)</w:t>
      </w:r>
    </w:p>
    <w:p w14:paraId="1778ED3E" w14:textId="77777777" w:rsidR="00646186" w:rsidRDefault="00646186">
      <w:pPr>
        <w:rPr>
          <w:rFonts w:ascii="Arial" w:eastAsia="Arial" w:hAnsi="Arial" w:cs="Arial"/>
          <w:b/>
          <w:bCs/>
          <w:u w:val="single"/>
        </w:rPr>
      </w:pPr>
      <w:r>
        <w:rPr>
          <w:rFonts w:ascii="Arial" w:eastAsia="Arial" w:hAnsi="Arial" w:cs="Arial"/>
          <w:b/>
          <w:bCs/>
          <w:u w:val="single"/>
        </w:rPr>
        <w:br w:type="page"/>
      </w:r>
    </w:p>
    <w:p w14:paraId="2A47D339" w14:textId="1DBDDAA0"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207EEE7A" w14:textId="77777777" w:rsidR="00605D40" w:rsidRPr="00216A29" w:rsidRDefault="006F0C8D">
      <w:pPr>
        <w:numPr>
          <w:ilvl w:val="0"/>
          <w:numId w:val="26"/>
        </w:numPr>
        <w:spacing w:after="0"/>
        <w:rPr>
          <w:rFonts w:ascii="Arial" w:eastAsia="Arial" w:hAnsi="Arial" w:cs="Arial"/>
        </w:rPr>
      </w:pPr>
      <w:r w:rsidRPr="00216A29">
        <w:rPr>
          <w:rFonts w:ascii="Arial" w:eastAsia="Arial" w:hAnsi="Arial" w:cs="Arial"/>
        </w:rPr>
        <w:t xml:space="preserve">Both markets highlight the demand for the utility vehicles and SUVs. </w:t>
      </w:r>
    </w:p>
    <w:p w14:paraId="408F7DB6" w14:textId="77777777" w:rsidR="00605D40" w:rsidRPr="00216A29" w:rsidRDefault="006F0C8D">
      <w:pPr>
        <w:numPr>
          <w:ilvl w:val="0"/>
          <w:numId w:val="26"/>
        </w:numPr>
        <w:spacing w:after="0"/>
        <w:rPr>
          <w:rFonts w:ascii="Arial" w:eastAsia="Arial" w:hAnsi="Arial" w:cs="Arial"/>
        </w:rPr>
      </w:pPr>
      <w:r w:rsidRPr="00216A29">
        <w:rPr>
          <w:rFonts w:ascii="Arial" w:eastAsia="Arial" w:hAnsi="Arial" w:cs="Arial"/>
        </w:rPr>
        <w:t xml:space="preserve">However, the key difference is that the marketing in the USA mostly focuses on technology, lifestyle, and performance, whereas India’s marketing mainly focuses on the value and family use. </w:t>
      </w:r>
    </w:p>
    <w:p w14:paraId="5BD67C38" w14:textId="77777777" w:rsidR="00605D40" w:rsidRPr="00216A29" w:rsidRDefault="006F0C8D">
      <w:pPr>
        <w:rPr>
          <w:rFonts w:ascii="Arial" w:eastAsia="Arial" w:hAnsi="Arial" w:cs="Arial"/>
          <w:b/>
          <w:bCs/>
        </w:rPr>
      </w:pPr>
      <w:r w:rsidRPr="00216A29">
        <w:rPr>
          <w:rFonts w:ascii="Arial" w:eastAsia="Arial" w:hAnsi="Arial" w:cs="Arial"/>
          <w:b/>
          <w:bCs/>
        </w:rPr>
        <w:t>Social</w:t>
      </w:r>
    </w:p>
    <w:p w14:paraId="4E6846A9" w14:textId="77777777" w:rsidR="00605D40" w:rsidRPr="00216A29" w:rsidRDefault="006F0C8D">
      <w:pPr>
        <w:rPr>
          <w:rFonts w:ascii="Arial" w:eastAsia="Arial" w:hAnsi="Arial" w:cs="Arial"/>
        </w:rPr>
      </w:pPr>
      <w:r w:rsidRPr="00216A29">
        <w:rPr>
          <w:rFonts w:ascii="Arial" w:eastAsia="Arial" w:hAnsi="Arial" w:cs="Arial"/>
        </w:rPr>
        <w:t xml:space="preserve">The USA seems to be highly urbanized, and the total population has been observed as 349,035,494 as of 2026, which means nearly 82.8% of the nation’s total population (Worldometers, 2026). However, India seems to be less urbanized, with 37% of the total population, which is responsible for affecting the marketing perceptions of Toyota (Worldometers, 2026). </w:t>
      </w:r>
    </w:p>
    <w:p w14:paraId="116BA4D4"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46408275" wp14:editId="33D9AACE">
            <wp:extent cx="5943600" cy="30226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3022600"/>
                    </a:xfrm>
                    <a:prstGeom prst="rect">
                      <a:avLst/>
                    </a:prstGeom>
                    <a:ln w="25400">
                      <a:solidFill>
                        <a:srgbClr val="000000"/>
                      </a:solidFill>
                      <a:prstDash val="solid"/>
                    </a:ln>
                  </pic:spPr>
                </pic:pic>
              </a:graphicData>
            </a:graphic>
          </wp:inline>
        </w:drawing>
      </w:r>
    </w:p>
    <w:p w14:paraId="699F0DEA" w14:textId="77777777" w:rsidR="00605D40" w:rsidRPr="00216A29" w:rsidRDefault="006F0C8D">
      <w:pPr>
        <w:jc w:val="center"/>
        <w:rPr>
          <w:rFonts w:ascii="Arial" w:eastAsia="Arial" w:hAnsi="Arial" w:cs="Arial"/>
          <w:b/>
          <w:bCs/>
        </w:rPr>
      </w:pPr>
      <w:r w:rsidRPr="00216A29">
        <w:rPr>
          <w:rFonts w:ascii="Arial" w:eastAsia="Arial" w:hAnsi="Arial" w:cs="Arial"/>
          <w:b/>
          <w:bCs/>
        </w:rPr>
        <w:t>Figure 6: Population of the USA from 1960 to 2026</w:t>
      </w:r>
    </w:p>
    <w:p w14:paraId="15E5ACFE" w14:textId="77777777" w:rsidR="00605D40" w:rsidRPr="00216A29" w:rsidRDefault="006F0C8D">
      <w:pPr>
        <w:jc w:val="center"/>
        <w:rPr>
          <w:rFonts w:ascii="Arial" w:eastAsia="Arial" w:hAnsi="Arial" w:cs="Arial"/>
        </w:rPr>
      </w:pPr>
      <w:r w:rsidRPr="00216A29">
        <w:rPr>
          <w:rFonts w:ascii="Arial" w:eastAsia="Arial" w:hAnsi="Arial" w:cs="Arial"/>
        </w:rPr>
        <w:t>(Source: Worldometers, 2026)</w:t>
      </w:r>
    </w:p>
    <w:p w14:paraId="272A3DBA"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1A8EDDEB" w14:textId="77777777" w:rsidR="00605D40" w:rsidRPr="00216A29" w:rsidRDefault="006F0C8D">
      <w:pPr>
        <w:numPr>
          <w:ilvl w:val="0"/>
          <w:numId w:val="17"/>
        </w:numPr>
        <w:spacing w:after="0"/>
        <w:rPr>
          <w:rFonts w:ascii="Arial" w:eastAsia="Arial" w:hAnsi="Arial" w:cs="Arial"/>
        </w:rPr>
      </w:pPr>
      <w:r w:rsidRPr="00216A29">
        <w:rPr>
          <w:rFonts w:ascii="Arial" w:eastAsia="Arial" w:hAnsi="Arial" w:cs="Arial"/>
        </w:rPr>
        <w:t xml:space="preserve">The USA is most favourable for Toyota, as here the brand already has strong trust in the areas of reliability, practical ownership, and hybrid technology. </w:t>
      </w:r>
    </w:p>
    <w:p w14:paraId="75E42F93" w14:textId="77777777" w:rsidR="00605D40" w:rsidRPr="00216A29" w:rsidRDefault="006F0C8D">
      <w:pPr>
        <w:numPr>
          <w:ilvl w:val="0"/>
          <w:numId w:val="17"/>
        </w:numPr>
        <w:spacing w:after="0"/>
        <w:rPr>
          <w:rFonts w:ascii="Arial" w:eastAsia="Arial" w:hAnsi="Arial" w:cs="Arial"/>
        </w:rPr>
      </w:pPr>
      <w:r w:rsidRPr="00216A29">
        <w:rPr>
          <w:rFonts w:ascii="Arial" w:eastAsia="Arial" w:hAnsi="Arial" w:cs="Arial"/>
        </w:rPr>
        <w:t>As US buyers value greater convenience, safety and hybrid efficiency, higher favourability of launching premium cars for Toyota is noticed.</w:t>
      </w:r>
    </w:p>
    <w:p w14:paraId="4E0204E0" w14:textId="77777777" w:rsidR="00605D40" w:rsidRPr="00216A29" w:rsidRDefault="006F0C8D">
      <w:pPr>
        <w:numPr>
          <w:ilvl w:val="0"/>
          <w:numId w:val="17"/>
        </w:numPr>
        <w:spacing w:after="0"/>
        <w:rPr>
          <w:rFonts w:ascii="Arial" w:eastAsia="Arial" w:hAnsi="Arial" w:cs="Arial"/>
        </w:rPr>
      </w:pPr>
      <w:r w:rsidRPr="00216A29">
        <w:rPr>
          <w:rFonts w:ascii="Arial" w:eastAsia="Arial" w:hAnsi="Arial" w:cs="Arial"/>
        </w:rPr>
        <w:t xml:space="preserve">India is not as favourable as the USA, as the Indian portfolio is much more premium than several mass-market rivals. Therefore, marketing needs to justify the price structure through trust, service quality, and savings for the long-term. </w:t>
      </w:r>
    </w:p>
    <w:p w14:paraId="3E81E38F"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1803CB27" w14:textId="77777777" w:rsidR="00605D40" w:rsidRPr="00216A29" w:rsidRDefault="006F0C8D">
      <w:pPr>
        <w:numPr>
          <w:ilvl w:val="0"/>
          <w:numId w:val="21"/>
        </w:numPr>
        <w:spacing w:after="0"/>
        <w:rPr>
          <w:rFonts w:ascii="Arial" w:eastAsia="Arial" w:hAnsi="Arial" w:cs="Arial"/>
        </w:rPr>
      </w:pPr>
      <w:r w:rsidRPr="00216A29">
        <w:rPr>
          <w:rFonts w:ascii="Arial" w:eastAsia="Arial" w:hAnsi="Arial" w:cs="Arial"/>
        </w:rPr>
        <w:t>In both the USA and India, Toyota benefits from a greater reputation for reliability.</w:t>
      </w:r>
    </w:p>
    <w:p w14:paraId="649567B7" w14:textId="77777777" w:rsidR="00605D40" w:rsidRPr="00216A29" w:rsidRDefault="006F0C8D">
      <w:pPr>
        <w:numPr>
          <w:ilvl w:val="0"/>
          <w:numId w:val="21"/>
        </w:numPr>
        <w:spacing w:after="0"/>
        <w:rPr>
          <w:rFonts w:ascii="Arial" w:eastAsia="Arial" w:hAnsi="Arial" w:cs="Arial"/>
        </w:rPr>
      </w:pPr>
      <w:r w:rsidRPr="00216A29">
        <w:rPr>
          <w:rFonts w:ascii="Arial" w:eastAsia="Arial" w:hAnsi="Arial" w:cs="Arial"/>
        </w:rPr>
        <w:t xml:space="preserve">However, the difference is associated with consumer motivation, as in the USA, Toyota is able to sell lifestyle and electrification, whereas in India, it needs to sell practicality. </w:t>
      </w:r>
    </w:p>
    <w:p w14:paraId="52B8BB6F" w14:textId="77777777" w:rsidR="00605D40" w:rsidRPr="00216A29" w:rsidRDefault="006F0C8D">
      <w:pPr>
        <w:rPr>
          <w:rFonts w:ascii="Arial" w:eastAsia="Arial" w:hAnsi="Arial" w:cs="Arial"/>
          <w:b/>
          <w:bCs/>
        </w:rPr>
      </w:pPr>
      <w:r w:rsidRPr="00216A29">
        <w:rPr>
          <w:rFonts w:ascii="Arial" w:eastAsia="Arial" w:hAnsi="Arial" w:cs="Arial"/>
          <w:b/>
          <w:bCs/>
        </w:rPr>
        <w:t>Technological</w:t>
      </w:r>
    </w:p>
    <w:p w14:paraId="13FB7701" w14:textId="77777777" w:rsidR="00605D40" w:rsidRPr="00216A29" w:rsidRDefault="006F0C8D">
      <w:pPr>
        <w:rPr>
          <w:rFonts w:ascii="Arial" w:eastAsia="Arial" w:hAnsi="Arial" w:cs="Arial"/>
        </w:rPr>
      </w:pPr>
      <w:r w:rsidRPr="00216A29">
        <w:rPr>
          <w:rFonts w:ascii="Arial" w:eastAsia="Arial" w:hAnsi="Arial" w:cs="Arial"/>
        </w:rPr>
        <w:t xml:space="preserve">In the USA, Toyota highlighted the rollout of different digital platforms like SmartPath and Monogram (Toyota, 2025). On the other hand, the technological environment of India is improving, whereas the EV infrastructure is still in the development phase, and in 2025, EV sector funding was US$1.4 billion, which was up 27% YoY (figure below). </w:t>
      </w:r>
    </w:p>
    <w:p w14:paraId="3111277F"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407A74AE" wp14:editId="34DB1ADE">
            <wp:extent cx="5362757" cy="3858778"/>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362757" cy="3858778"/>
                    </a:xfrm>
                    <a:prstGeom prst="rect">
                      <a:avLst/>
                    </a:prstGeom>
                    <a:ln w="25400">
                      <a:solidFill>
                        <a:srgbClr val="000000"/>
                      </a:solidFill>
                      <a:prstDash val="solid"/>
                    </a:ln>
                  </pic:spPr>
                </pic:pic>
              </a:graphicData>
            </a:graphic>
          </wp:inline>
        </w:drawing>
      </w:r>
    </w:p>
    <w:p w14:paraId="7A250D92" w14:textId="77777777" w:rsidR="00605D40" w:rsidRPr="00216A29" w:rsidRDefault="006F0C8D">
      <w:pPr>
        <w:jc w:val="center"/>
        <w:rPr>
          <w:rFonts w:ascii="Arial" w:eastAsia="Arial" w:hAnsi="Arial" w:cs="Arial"/>
          <w:b/>
          <w:bCs/>
        </w:rPr>
      </w:pPr>
      <w:r w:rsidRPr="00216A29">
        <w:rPr>
          <w:rFonts w:ascii="Arial" w:eastAsia="Arial" w:hAnsi="Arial" w:cs="Arial"/>
          <w:b/>
          <w:bCs/>
        </w:rPr>
        <w:t>Figure 7: EV sector funding of India from 2018 to 2025</w:t>
      </w:r>
    </w:p>
    <w:p w14:paraId="7A86A374" w14:textId="77777777" w:rsidR="00605D40" w:rsidRPr="00216A29" w:rsidRDefault="006F0C8D">
      <w:pPr>
        <w:jc w:val="center"/>
        <w:rPr>
          <w:rFonts w:ascii="Arial" w:eastAsia="Arial" w:hAnsi="Arial" w:cs="Arial"/>
        </w:rPr>
      </w:pPr>
      <w:r w:rsidRPr="00216A29">
        <w:rPr>
          <w:rFonts w:ascii="Arial" w:eastAsia="Arial" w:hAnsi="Arial" w:cs="Arial"/>
        </w:rPr>
        <w:t>(Source: Murali, 2025)</w:t>
      </w:r>
    </w:p>
    <w:p w14:paraId="1A399E71"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2F800DEC" w14:textId="77777777" w:rsidR="00605D40" w:rsidRPr="00216A29" w:rsidRDefault="006F0C8D">
      <w:pPr>
        <w:numPr>
          <w:ilvl w:val="0"/>
          <w:numId w:val="24"/>
        </w:numPr>
        <w:spacing w:after="0"/>
        <w:rPr>
          <w:rFonts w:ascii="Arial" w:eastAsia="Arial" w:hAnsi="Arial" w:cs="Arial"/>
        </w:rPr>
      </w:pPr>
      <w:r w:rsidRPr="00216A29">
        <w:rPr>
          <w:rFonts w:ascii="Arial" w:eastAsia="Arial" w:hAnsi="Arial" w:cs="Arial"/>
        </w:rPr>
        <w:t xml:space="preserve">USA is more favourable for the marketing of connected features in newly launched vehicles along with hybrids and BEVs. </w:t>
      </w:r>
    </w:p>
    <w:p w14:paraId="5EA2EB67" w14:textId="77777777" w:rsidR="00605D40" w:rsidRPr="00216A29" w:rsidRDefault="006F0C8D">
      <w:pPr>
        <w:numPr>
          <w:ilvl w:val="0"/>
          <w:numId w:val="24"/>
        </w:numPr>
        <w:spacing w:after="0"/>
        <w:rPr>
          <w:rFonts w:ascii="Arial" w:eastAsia="Arial" w:hAnsi="Arial" w:cs="Arial"/>
        </w:rPr>
      </w:pPr>
      <w:r w:rsidRPr="00216A29">
        <w:rPr>
          <w:rFonts w:ascii="Arial" w:eastAsia="Arial" w:hAnsi="Arial" w:cs="Arial"/>
        </w:rPr>
        <w:t xml:space="preserve">However, India is also favourable for the hybrid technology only, as it helps to reduce the range anxiety and fits the developing charging network. </w:t>
      </w:r>
    </w:p>
    <w:p w14:paraId="2B2DB200"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13126CD7" w14:textId="77777777" w:rsidR="00605D40" w:rsidRPr="00216A29" w:rsidRDefault="006F0C8D">
      <w:pPr>
        <w:numPr>
          <w:ilvl w:val="0"/>
          <w:numId w:val="4"/>
        </w:numPr>
        <w:spacing w:after="0"/>
        <w:rPr>
          <w:rFonts w:ascii="Arial" w:eastAsia="Arial" w:hAnsi="Arial" w:cs="Arial"/>
        </w:rPr>
      </w:pPr>
      <w:r w:rsidRPr="00216A29">
        <w:rPr>
          <w:rFonts w:ascii="Arial" w:eastAsia="Arial" w:hAnsi="Arial" w:cs="Arial"/>
        </w:rPr>
        <w:t xml:space="preserve">Both markets are moving towards the electrification. </w:t>
      </w:r>
    </w:p>
    <w:p w14:paraId="44E6287B" w14:textId="77777777" w:rsidR="00605D40" w:rsidRPr="00216A29" w:rsidRDefault="006F0C8D">
      <w:pPr>
        <w:numPr>
          <w:ilvl w:val="0"/>
          <w:numId w:val="4"/>
        </w:numPr>
        <w:spacing w:after="0"/>
        <w:rPr>
          <w:rFonts w:ascii="Arial" w:eastAsia="Arial" w:hAnsi="Arial" w:cs="Arial"/>
        </w:rPr>
      </w:pPr>
      <w:r w:rsidRPr="00216A29">
        <w:rPr>
          <w:rFonts w:ascii="Arial" w:eastAsia="Arial" w:hAnsi="Arial" w:cs="Arial"/>
        </w:rPr>
        <w:t xml:space="preserve">The USA seems to be ahead in the customer readiness, whereas India is still building the infrastructure. </w:t>
      </w:r>
    </w:p>
    <w:p w14:paraId="4CABCF40" w14:textId="77777777" w:rsidR="00605D40" w:rsidRPr="00216A29" w:rsidRDefault="006F0C8D">
      <w:pPr>
        <w:rPr>
          <w:rFonts w:ascii="Arial" w:eastAsia="Arial" w:hAnsi="Arial" w:cs="Arial"/>
          <w:b/>
          <w:bCs/>
        </w:rPr>
      </w:pPr>
      <w:r w:rsidRPr="00216A29">
        <w:rPr>
          <w:rFonts w:ascii="Arial" w:eastAsia="Arial" w:hAnsi="Arial" w:cs="Arial"/>
          <w:b/>
          <w:bCs/>
        </w:rPr>
        <w:t>Environmental</w:t>
      </w:r>
    </w:p>
    <w:p w14:paraId="763A988C" w14:textId="77777777" w:rsidR="00605D40" w:rsidRPr="00216A29" w:rsidRDefault="006F0C8D">
      <w:pPr>
        <w:rPr>
          <w:rFonts w:ascii="Arial" w:eastAsia="Arial" w:hAnsi="Arial" w:cs="Arial"/>
        </w:rPr>
      </w:pPr>
      <w:r w:rsidRPr="00216A29">
        <w:rPr>
          <w:rFonts w:ascii="Arial" w:eastAsia="Arial" w:hAnsi="Arial" w:cs="Arial"/>
        </w:rPr>
        <w:t xml:space="preserve">The USA transportation is responsible for about 28% of the total greenhouse gas emissions, which makes it the largest contributor (Epa.gov, 2025). However, in India, emissions have been identified as 3.22 billion tons in 2025, which was quite lower (Drishtiias, 2025). </w:t>
      </w:r>
    </w:p>
    <w:p w14:paraId="40FB2BF2"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7ED1AAC4" w14:textId="77777777" w:rsidR="00605D40" w:rsidRPr="00216A29" w:rsidRDefault="006F0C8D">
      <w:pPr>
        <w:numPr>
          <w:ilvl w:val="0"/>
          <w:numId w:val="16"/>
        </w:numPr>
        <w:spacing w:after="0"/>
        <w:rPr>
          <w:rFonts w:ascii="Arial" w:eastAsia="Arial" w:hAnsi="Arial" w:cs="Arial"/>
        </w:rPr>
      </w:pPr>
      <w:r w:rsidRPr="00216A29">
        <w:rPr>
          <w:rFonts w:ascii="Arial" w:eastAsia="Arial" w:hAnsi="Arial" w:cs="Arial"/>
        </w:rPr>
        <w:t>The USA is less favourable as the firm can face severe criticism if the competitors move faster with full EVs.</w:t>
      </w:r>
    </w:p>
    <w:p w14:paraId="4C9128D3" w14:textId="77777777" w:rsidR="00605D40" w:rsidRPr="00216A29" w:rsidRDefault="006F0C8D">
      <w:pPr>
        <w:numPr>
          <w:ilvl w:val="0"/>
          <w:numId w:val="16"/>
        </w:numPr>
        <w:spacing w:after="0"/>
        <w:rPr>
          <w:rFonts w:ascii="Arial" w:eastAsia="Arial" w:hAnsi="Arial" w:cs="Arial"/>
        </w:rPr>
      </w:pPr>
      <w:r w:rsidRPr="00216A29">
        <w:rPr>
          <w:rFonts w:ascii="Arial" w:eastAsia="Arial" w:hAnsi="Arial" w:cs="Arial"/>
        </w:rPr>
        <w:t xml:space="preserve">India is much more favourable as there is no such strict presence of competitors. </w:t>
      </w:r>
    </w:p>
    <w:p w14:paraId="77D7F7CC" w14:textId="77777777" w:rsidR="00605D40" w:rsidRPr="00216A29" w:rsidRDefault="006F0C8D">
      <w:pPr>
        <w:numPr>
          <w:ilvl w:val="0"/>
          <w:numId w:val="16"/>
        </w:numPr>
        <w:spacing w:after="0"/>
        <w:rPr>
          <w:rFonts w:ascii="Arial" w:eastAsia="Arial" w:hAnsi="Arial" w:cs="Arial"/>
        </w:rPr>
      </w:pPr>
      <w:r w:rsidRPr="00216A29">
        <w:rPr>
          <w:rFonts w:ascii="Arial" w:eastAsia="Arial" w:hAnsi="Arial" w:cs="Arial"/>
        </w:rPr>
        <w:t>Higher favourability in India can be observed as issues of pollution and urban congestion causing challenges in urban mobility can be addressed through Toyota’s solutions (Drishtiias, 2025).</w:t>
      </w:r>
    </w:p>
    <w:p w14:paraId="334A4273"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42E3FAA3" w14:textId="77777777" w:rsidR="00605D40" w:rsidRPr="00216A29" w:rsidRDefault="006F0C8D">
      <w:pPr>
        <w:numPr>
          <w:ilvl w:val="0"/>
          <w:numId w:val="13"/>
        </w:numPr>
        <w:spacing w:after="0"/>
        <w:rPr>
          <w:rFonts w:ascii="Arial" w:eastAsia="Arial" w:hAnsi="Arial" w:cs="Arial"/>
        </w:rPr>
      </w:pPr>
      <w:r w:rsidRPr="00216A29">
        <w:rPr>
          <w:rFonts w:ascii="Arial" w:eastAsia="Arial" w:hAnsi="Arial" w:cs="Arial"/>
        </w:rPr>
        <w:t xml:space="preserve">Both nations have the cleaner automotive messaging. </w:t>
      </w:r>
    </w:p>
    <w:p w14:paraId="3F131648" w14:textId="77777777" w:rsidR="00605D40" w:rsidRPr="00216A29" w:rsidRDefault="006F0C8D">
      <w:pPr>
        <w:numPr>
          <w:ilvl w:val="0"/>
          <w:numId w:val="13"/>
        </w:numPr>
        <w:spacing w:after="0"/>
        <w:rPr>
          <w:rFonts w:ascii="Arial" w:eastAsia="Arial" w:hAnsi="Arial" w:cs="Arial"/>
        </w:rPr>
      </w:pPr>
      <w:r w:rsidRPr="00216A29">
        <w:rPr>
          <w:rFonts w:ascii="Arial" w:eastAsia="Arial" w:hAnsi="Arial" w:cs="Arial"/>
        </w:rPr>
        <w:t xml:space="preserve">USA has stricter emission regulations, whereas in India, affordability constraints are observed mostly. </w:t>
      </w:r>
    </w:p>
    <w:p w14:paraId="5A4AA48B" w14:textId="77777777" w:rsidR="00605D40" w:rsidRPr="00216A29" w:rsidRDefault="006F0C8D">
      <w:pPr>
        <w:rPr>
          <w:rFonts w:ascii="Arial" w:eastAsia="Arial" w:hAnsi="Arial" w:cs="Arial"/>
          <w:b/>
          <w:bCs/>
        </w:rPr>
      </w:pPr>
      <w:r w:rsidRPr="00216A29">
        <w:rPr>
          <w:rFonts w:ascii="Arial" w:eastAsia="Arial" w:hAnsi="Arial" w:cs="Arial"/>
          <w:b/>
          <w:bCs/>
        </w:rPr>
        <w:t>Legal</w:t>
      </w:r>
    </w:p>
    <w:p w14:paraId="7C9740E8" w14:textId="77777777" w:rsidR="00605D40" w:rsidRPr="00216A29" w:rsidRDefault="006F0C8D">
      <w:pPr>
        <w:rPr>
          <w:rFonts w:ascii="Arial" w:eastAsia="Arial" w:hAnsi="Arial" w:cs="Arial"/>
        </w:rPr>
      </w:pPr>
      <w:r w:rsidRPr="00216A29">
        <w:rPr>
          <w:rFonts w:ascii="Arial" w:eastAsia="Arial" w:hAnsi="Arial" w:cs="Arial"/>
        </w:rPr>
        <w:t xml:space="preserve">The legal environment of the USA is quite stricter regarding vehicle safety, emissions, and advertising claims. However, in India, legal expectations are also developing through the Bharat NCAP, which gives enough customer safety ratings for the M1 vehicles with GVW up to 3500 kg (Bncap.in, 2026). </w:t>
      </w:r>
    </w:p>
    <w:p w14:paraId="51A2115F" w14:textId="77777777" w:rsidR="00605D40" w:rsidRPr="00216A29" w:rsidRDefault="00605D40">
      <w:pPr>
        <w:rPr>
          <w:rFonts w:ascii="Arial" w:eastAsia="Arial" w:hAnsi="Arial" w:cs="Arial"/>
        </w:rPr>
      </w:pPr>
    </w:p>
    <w:p w14:paraId="5181448D"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54A28074" wp14:editId="7926B8C1">
            <wp:extent cx="5943600" cy="2247900"/>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2247900"/>
                    </a:xfrm>
                    <a:prstGeom prst="rect">
                      <a:avLst/>
                    </a:prstGeom>
                    <a:ln w="25400">
                      <a:solidFill>
                        <a:srgbClr val="000000"/>
                      </a:solidFill>
                      <a:prstDash val="solid"/>
                    </a:ln>
                  </pic:spPr>
                </pic:pic>
              </a:graphicData>
            </a:graphic>
          </wp:inline>
        </w:drawing>
      </w:r>
    </w:p>
    <w:p w14:paraId="672FA34C" w14:textId="77777777" w:rsidR="00605D40" w:rsidRPr="00216A29" w:rsidRDefault="006F0C8D">
      <w:pPr>
        <w:jc w:val="center"/>
        <w:rPr>
          <w:rFonts w:ascii="Arial" w:eastAsia="Arial" w:hAnsi="Arial" w:cs="Arial"/>
          <w:b/>
          <w:bCs/>
        </w:rPr>
      </w:pPr>
      <w:r w:rsidRPr="00216A29">
        <w:rPr>
          <w:rFonts w:ascii="Arial" w:eastAsia="Arial" w:hAnsi="Arial" w:cs="Arial"/>
          <w:b/>
          <w:bCs/>
        </w:rPr>
        <w:t xml:space="preserve">Figure 8: Safety evaluation scope </w:t>
      </w:r>
    </w:p>
    <w:p w14:paraId="29987ECA" w14:textId="77777777" w:rsidR="00605D40" w:rsidRPr="00216A29" w:rsidRDefault="006F0C8D">
      <w:pPr>
        <w:jc w:val="center"/>
        <w:rPr>
          <w:rFonts w:ascii="Arial" w:eastAsia="Arial" w:hAnsi="Arial" w:cs="Arial"/>
        </w:rPr>
      </w:pPr>
      <w:r w:rsidRPr="00216A29">
        <w:rPr>
          <w:rFonts w:ascii="Arial" w:eastAsia="Arial" w:hAnsi="Arial" w:cs="Arial"/>
        </w:rPr>
        <w:t>(Source: Bncap.in, 2026)</w:t>
      </w:r>
    </w:p>
    <w:p w14:paraId="5A44DF9A"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Favourable/unfavourable discussion</w:t>
      </w:r>
    </w:p>
    <w:p w14:paraId="1F42F715" w14:textId="77777777" w:rsidR="00605D40" w:rsidRPr="00216A29" w:rsidRDefault="006F0C8D">
      <w:pPr>
        <w:numPr>
          <w:ilvl w:val="0"/>
          <w:numId w:val="28"/>
        </w:numPr>
        <w:spacing w:after="0"/>
        <w:rPr>
          <w:rFonts w:ascii="Arial" w:eastAsia="Arial" w:hAnsi="Arial" w:cs="Arial"/>
        </w:rPr>
      </w:pPr>
      <w:r w:rsidRPr="00216A29">
        <w:rPr>
          <w:rFonts w:ascii="Arial" w:eastAsia="Arial" w:hAnsi="Arial" w:cs="Arial"/>
        </w:rPr>
        <w:t xml:space="preserve">In India, the Bharat NCAP provides 14% higher opportunity for Toyota to ensure the market safety. </w:t>
      </w:r>
    </w:p>
    <w:p w14:paraId="670D95D3" w14:textId="77777777" w:rsidR="00605D40" w:rsidRPr="00216A29" w:rsidRDefault="006F0C8D">
      <w:pPr>
        <w:numPr>
          <w:ilvl w:val="0"/>
          <w:numId w:val="28"/>
        </w:numPr>
        <w:spacing w:after="0"/>
        <w:rPr>
          <w:rFonts w:ascii="Arial" w:eastAsia="Arial" w:hAnsi="Arial" w:cs="Arial"/>
        </w:rPr>
      </w:pPr>
      <w:r w:rsidRPr="00216A29">
        <w:rPr>
          <w:rFonts w:ascii="Arial" w:eastAsia="Arial" w:hAnsi="Arial" w:cs="Arial"/>
        </w:rPr>
        <w:t xml:space="preserve">The unfavourable side in the USA is associated with emission claims that can damage brand trust. </w:t>
      </w:r>
    </w:p>
    <w:p w14:paraId="0F39BE82"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Similarities and differences</w:t>
      </w:r>
    </w:p>
    <w:p w14:paraId="354E488F" w14:textId="77777777" w:rsidR="00605D40" w:rsidRPr="00216A29" w:rsidRDefault="006F0C8D">
      <w:pPr>
        <w:numPr>
          <w:ilvl w:val="0"/>
          <w:numId w:val="15"/>
        </w:numPr>
        <w:spacing w:after="0"/>
        <w:rPr>
          <w:rFonts w:ascii="Arial" w:eastAsia="Arial" w:hAnsi="Arial" w:cs="Arial"/>
        </w:rPr>
      </w:pPr>
      <w:r w:rsidRPr="00216A29">
        <w:rPr>
          <w:rFonts w:ascii="Arial" w:eastAsia="Arial" w:hAnsi="Arial" w:cs="Arial"/>
        </w:rPr>
        <w:t xml:space="preserve">Both countries have stricter legal boundaries regarding safer products. </w:t>
      </w:r>
    </w:p>
    <w:p w14:paraId="17426CCB" w14:textId="77777777" w:rsidR="00605D40" w:rsidRPr="00216A29" w:rsidRDefault="006F0C8D">
      <w:pPr>
        <w:numPr>
          <w:ilvl w:val="0"/>
          <w:numId w:val="15"/>
        </w:numPr>
        <w:spacing w:after="0"/>
        <w:rPr>
          <w:rFonts w:ascii="Arial" w:eastAsia="Arial" w:hAnsi="Arial" w:cs="Arial"/>
        </w:rPr>
      </w:pPr>
      <w:r w:rsidRPr="00216A29">
        <w:rPr>
          <w:rFonts w:ascii="Arial" w:eastAsia="Arial" w:hAnsi="Arial" w:cs="Arial"/>
        </w:rPr>
        <w:t xml:space="preserve">The USA has a more mature legal environment, whereas India’s legal environment is still developing. </w:t>
      </w:r>
    </w:p>
    <w:p w14:paraId="6A546F3A" w14:textId="77777777" w:rsidR="00605D40" w:rsidRPr="00216A29" w:rsidRDefault="006F0C8D">
      <w:pPr>
        <w:pStyle w:val="Heading2"/>
      </w:pPr>
      <w:bookmarkStart w:id="4" w:name="_Toc237252890"/>
      <w:r w:rsidRPr="00216A29">
        <w:t>2.2 Hofstede Cultural Analysis</w:t>
      </w:r>
      <w:bookmarkEnd w:id="4"/>
    </w:p>
    <w:p w14:paraId="443BE8D9"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5D8AC36A" wp14:editId="2F77AABA">
            <wp:extent cx="5943600" cy="34417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943600" cy="3441700"/>
                    </a:xfrm>
                    <a:prstGeom prst="rect">
                      <a:avLst/>
                    </a:prstGeom>
                    <a:ln/>
                  </pic:spPr>
                </pic:pic>
              </a:graphicData>
            </a:graphic>
          </wp:inline>
        </w:drawing>
      </w:r>
    </w:p>
    <w:p w14:paraId="4960B26F" w14:textId="77777777" w:rsidR="00605D40" w:rsidRPr="00216A29" w:rsidRDefault="006F0C8D">
      <w:pPr>
        <w:jc w:val="center"/>
        <w:rPr>
          <w:rFonts w:ascii="Arial" w:eastAsia="Arial" w:hAnsi="Arial" w:cs="Arial"/>
          <w:b/>
          <w:bCs/>
        </w:rPr>
      </w:pPr>
      <w:r w:rsidRPr="00216A29">
        <w:rPr>
          <w:rFonts w:ascii="Arial" w:eastAsia="Arial" w:hAnsi="Arial" w:cs="Arial"/>
          <w:b/>
          <w:bCs/>
        </w:rPr>
        <w:t>Figure 9: Cultural comparison between India and the USA</w:t>
      </w:r>
    </w:p>
    <w:p w14:paraId="1DAA31DB" w14:textId="77777777" w:rsidR="00605D40" w:rsidRPr="00216A29" w:rsidRDefault="006F0C8D">
      <w:pPr>
        <w:jc w:val="center"/>
        <w:rPr>
          <w:rFonts w:ascii="Arial" w:eastAsia="Arial" w:hAnsi="Arial" w:cs="Arial"/>
        </w:rPr>
      </w:pPr>
      <w:r w:rsidRPr="00216A29">
        <w:rPr>
          <w:rFonts w:ascii="Arial" w:eastAsia="Arial" w:hAnsi="Arial" w:cs="Arial"/>
        </w:rPr>
        <w:t>(Source: The Culture Factor, 2025)</w:t>
      </w:r>
    </w:p>
    <w:p w14:paraId="254756C2"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 xml:space="preserve">PDI </w:t>
      </w:r>
    </w:p>
    <w:p w14:paraId="3CD80CCB" w14:textId="77777777" w:rsidR="00605D40" w:rsidRPr="00216A29" w:rsidRDefault="006F0C8D">
      <w:pPr>
        <w:rPr>
          <w:rFonts w:ascii="Arial" w:eastAsia="Arial" w:hAnsi="Arial" w:cs="Arial"/>
          <w:b/>
          <w:bCs/>
          <w:u w:val="single"/>
        </w:rPr>
      </w:pPr>
      <w:r w:rsidRPr="00216A29">
        <w:rPr>
          <w:rFonts w:ascii="Arial" w:eastAsia="Arial" w:hAnsi="Arial" w:cs="Arial"/>
        </w:rPr>
        <w:t xml:space="preserve">In PDI, India scores 77, whereas the USA scores 40, which indicates Indian customers prefer hierarchy, status, and authority, whereas USA customers expect open communication and equality (The Culture Factor, 2025). </w:t>
      </w:r>
    </w:p>
    <w:p w14:paraId="476FAA0D"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Impact on Toyota </w:t>
      </w:r>
    </w:p>
    <w:p w14:paraId="21DB9A8D" w14:textId="77777777" w:rsidR="00605D40" w:rsidRPr="00216A29" w:rsidRDefault="006F0C8D">
      <w:pPr>
        <w:numPr>
          <w:ilvl w:val="0"/>
          <w:numId w:val="18"/>
        </w:numPr>
        <w:spacing w:after="0"/>
        <w:rPr>
          <w:rFonts w:ascii="Arial" w:eastAsia="Arial" w:hAnsi="Arial" w:cs="Arial"/>
        </w:rPr>
      </w:pPr>
      <w:r w:rsidRPr="00216A29">
        <w:rPr>
          <w:rFonts w:ascii="Arial" w:eastAsia="Arial" w:hAnsi="Arial" w:cs="Arial"/>
        </w:rPr>
        <w:t xml:space="preserve">In India, Toyota can consider the “status-based marketing”, premium ownership, as well as trust within the expert advice (Toyota, 2025). </w:t>
      </w:r>
    </w:p>
    <w:p w14:paraId="00C4E74C" w14:textId="77777777" w:rsidR="00605D40" w:rsidRPr="00216A29" w:rsidRDefault="006F0C8D">
      <w:pPr>
        <w:numPr>
          <w:ilvl w:val="0"/>
          <w:numId w:val="18"/>
        </w:numPr>
        <w:spacing w:after="0"/>
        <w:rPr>
          <w:rFonts w:ascii="Arial" w:eastAsia="Arial" w:hAnsi="Arial" w:cs="Arial"/>
        </w:rPr>
      </w:pPr>
      <w:r w:rsidRPr="00216A29">
        <w:rPr>
          <w:rFonts w:ascii="Arial" w:eastAsia="Arial" w:hAnsi="Arial" w:cs="Arial"/>
        </w:rPr>
        <w:t xml:space="preserve">In the USA, Toyota can keep focused on the customer empowerment and transparent comparison. </w:t>
      </w:r>
    </w:p>
    <w:p w14:paraId="1CE9FA72"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Favourability </w:t>
      </w:r>
    </w:p>
    <w:p w14:paraId="5739A4DB" w14:textId="77777777" w:rsidR="00605D40" w:rsidRPr="00216A29" w:rsidRDefault="006F0C8D">
      <w:pPr>
        <w:numPr>
          <w:ilvl w:val="0"/>
          <w:numId w:val="33"/>
        </w:numPr>
        <w:spacing w:after="0"/>
        <w:rPr>
          <w:rFonts w:ascii="Arial" w:eastAsia="Arial" w:hAnsi="Arial" w:cs="Arial"/>
        </w:rPr>
      </w:pPr>
      <w:r w:rsidRPr="00216A29">
        <w:rPr>
          <w:rFonts w:ascii="Arial" w:eastAsia="Arial" w:hAnsi="Arial" w:cs="Arial"/>
        </w:rPr>
        <w:t>Higher favourability in India is supported due to launching models such as “Innova HyCross” to promote innovative features.</w:t>
      </w:r>
    </w:p>
    <w:p w14:paraId="597648CD" w14:textId="77777777" w:rsidR="00605D40" w:rsidRPr="00216A29" w:rsidRDefault="006F0C8D">
      <w:pPr>
        <w:numPr>
          <w:ilvl w:val="0"/>
          <w:numId w:val="33"/>
        </w:numPr>
        <w:spacing w:after="0"/>
        <w:rPr>
          <w:rFonts w:ascii="Arial" w:eastAsia="Arial" w:hAnsi="Arial" w:cs="Arial"/>
        </w:rPr>
      </w:pPr>
      <w:r w:rsidRPr="00216A29">
        <w:rPr>
          <w:rFonts w:ascii="Arial" w:eastAsia="Arial" w:hAnsi="Arial" w:cs="Arial"/>
        </w:rPr>
        <w:t xml:space="preserve">The USA seems to be favorable for the practical marketing. </w:t>
      </w:r>
    </w:p>
    <w:p w14:paraId="29D3BD89"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IDV</w:t>
      </w:r>
    </w:p>
    <w:p w14:paraId="3B1AFB2D" w14:textId="77777777" w:rsidR="00605D40" w:rsidRPr="00216A29" w:rsidRDefault="006F0C8D">
      <w:pPr>
        <w:rPr>
          <w:rFonts w:ascii="Arial" w:eastAsia="Arial" w:hAnsi="Arial" w:cs="Arial"/>
        </w:rPr>
      </w:pPr>
      <w:r w:rsidRPr="00216A29">
        <w:rPr>
          <w:rFonts w:ascii="Arial" w:eastAsia="Arial" w:hAnsi="Arial" w:cs="Arial"/>
        </w:rPr>
        <w:t xml:space="preserve">In case of individualism, India scores 24 whereas the USA scores 60, which indicates the USA has a more individualistic culture (The Culture Factor, 2025). </w:t>
      </w:r>
    </w:p>
    <w:p w14:paraId="1522AEFD"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Impact on Toyota </w:t>
      </w:r>
    </w:p>
    <w:p w14:paraId="6E9FD7E1" w14:textId="77777777" w:rsidR="00605D40" w:rsidRPr="00216A29" w:rsidRDefault="006F0C8D">
      <w:pPr>
        <w:numPr>
          <w:ilvl w:val="0"/>
          <w:numId w:val="19"/>
        </w:numPr>
        <w:spacing w:after="0"/>
        <w:rPr>
          <w:rFonts w:ascii="Arial" w:eastAsia="Arial" w:hAnsi="Arial" w:cs="Arial"/>
        </w:rPr>
      </w:pPr>
      <w:r w:rsidRPr="00216A29">
        <w:rPr>
          <w:rFonts w:ascii="Arial" w:eastAsia="Arial" w:hAnsi="Arial" w:cs="Arial"/>
        </w:rPr>
        <w:t xml:space="preserve">Toyota's Indian marketing must be focused on family safety, reliability, and the long-term trust. </w:t>
      </w:r>
    </w:p>
    <w:p w14:paraId="0529C6E2" w14:textId="77777777" w:rsidR="00605D40" w:rsidRPr="00216A29" w:rsidRDefault="006F0C8D">
      <w:pPr>
        <w:numPr>
          <w:ilvl w:val="0"/>
          <w:numId w:val="19"/>
        </w:numPr>
        <w:spacing w:after="0"/>
        <w:rPr>
          <w:rFonts w:ascii="Arial" w:eastAsia="Arial" w:hAnsi="Arial" w:cs="Arial"/>
        </w:rPr>
      </w:pPr>
      <w:r w:rsidRPr="00216A29">
        <w:rPr>
          <w:rFonts w:ascii="Arial" w:eastAsia="Arial" w:hAnsi="Arial" w:cs="Arial"/>
        </w:rPr>
        <w:t xml:space="preserve">In the USA, the firm prefers to highlight the personal lifestyle of individuals most, along with performance, freedom, and technical benefits. </w:t>
      </w:r>
    </w:p>
    <w:p w14:paraId="2EBF6E32" w14:textId="77777777" w:rsidR="00605D40" w:rsidRPr="00216A29" w:rsidRDefault="006F0C8D">
      <w:pPr>
        <w:rPr>
          <w:rFonts w:ascii="Arial" w:eastAsia="Arial" w:hAnsi="Arial" w:cs="Arial"/>
          <w:b/>
          <w:bCs/>
        </w:rPr>
      </w:pPr>
      <w:r w:rsidRPr="00216A29">
        <w:rPr>
          <w:rFonts w:ascii="Arial" w:eastAsia="Arial" w:hAnsi="Arial" w:cs="Arial"/>
          <w:b/>
          <w:bCs/>
          <w:i/>
          <w:iCs/>
        </w:rPr>
        <w:t xml:space="preserve">Favourability </w:t>
      </w:r>
    </w:p>
    <w:p w14:paraId="00F34072" w14:textId="77777777" w:rsidR="00605D40" w:rsidRPr="00216A29" w:rsidRDefault="006F0C8D">
      <w:pPr>
        <w:numPr>
          <w:ilvl w:val="0"/>
          <w:numId w:val="14"/>
        </w:numPr>
        <w:spacing w:after="0"/>
        <w:rPr>
          <w:rFonts w:ascii="Arial" w:eastAsia="Arial" w:hAnsi="Arial" w:cs="Arial"/>
        </w:rPr>
      </w:pPr>
      <w:r w:rsidRPr="00216A29">
        <w:rPr>
          <w:rFonts w:ascii="Arial" w:eastAsia="Arial" w:hAnsi="Arial" w:cs="Arial"/>
        </w:rPr>
        <w:t xml:space="preserve">Both nations are favorable whereas require different messaging perceptions, such as “family-centered positioning” in India but “individual benefit positioning” in the USA. </w:t>
      </w:r>
    </w:p>
    <w:p w14:paraId="0EFC0572"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 xml:space="preserve">MAS </w:t>
      </w:r>
    </w:p>
    <w:p w14:paraId="7569AA72" w14:textId="77777777" w:rsidR="00605D40" w:rsidRPr="00216A29" w:rsidRDefault="006F0C8D">
      <w:pPr>
        <w:rPr>
          <w:rFonts w:ascii="Arial" w:eastAsia="Arial" w:hAnsi="Arial" w:cs="Arial"/>
        </w:rPr>
      </w:pPr>
      <w:r w:rsidRPr="00216A29">
        <w:rPr>
          <w:rFonts w:ascii="Arial" w:eastAsia="Arial" w:hAnsi="Arial" w:cs="Arial"/>
        </w:rPr>
        <w:t xml:space="preserve">Scores in this factor have been identified as 56 and 62 for India and the USA, respectively (The Culture Factor, 2025). Both markets are quite achievement-oriented, whereas the USA is strong enough to celebrate the personal success. </w:t>
      </w:r>
    </w:p>
    <w:p w14:paraId="71BCE06B"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Impact on Toyota </w:t>
      </w:r>
    </w:p>
    <w:p w14:paraId="75FA5AFC" w14:textId="77777777" w:rsidR="00605D40" w:rsidRPr="00216A29" w:rsidRDefault="006F0C8D">
      <w:pPr>
        <w:numPr>
          <w:ilvl w:val="0"/>
          <w:numId w:val="29"/>
        </w:numPr>
        <w:spacing w:after="0"/>
        <w:rPr>
          <w:rFonts w:ascii="Arial" w:eastAsia="Arial" w:hAnsi="Arial" w:cs="Arial"/>
        </w:rPr>
      </w:pPr>
      <w:r w:rsidRPr="00216A29">
        <w:rPr>
          <w:rFonts w:ascii="Arial" w:eastAsia="Arial" w:hAnsi="Arial" w:cs="Arial"/>
        </w:rPr>
        <w:t xml:space="preserve">In India, social status and premium appearance mostly matter for Toyota to attract the customer base. </w:t>
      </w:r>
    </w:p>
    <w:p w14:paraId="208167F7" w14:textId="77777777" w:rsidR="00605D40" w:rsidRPr="00216A29" w:rsidRDefault="006F0C8D">
      <w:pPr>
        <w:numPr>
          <w:ilvl w:val="0"/>
          <w:numId w:val="29"/>
        </w:numPr>
        <w:spacing w:after="0"/>
        <w:rPr>
          <w:rFonts w:ascii="Arial" w:eastAsia="Arial" w:hAnsi="Arial" w:cs="Arial"/>
        </w:rPr>
      </w:pPr>
      <w:r w:rsidRPr="00216A29">
        <w:rPr>
          <w:rFonts w:ascii="Arial" w:eastAsia="Arial" w:hAnsi="Arial" w:cs="Arial"/>
        </w:rPr>
        <w:t xml:space="preserve">In the USA, focus must be provided on innovation, capability, and an achievement-focused lifestyle. </w:t>
      </w:r>
    </w:p>
    <w:p w14:paraId="1F7E304C"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Favourability </w:t>
      </w:r>
    </w:p>
    <w:p w14:paraId="470F849D" w14:textId="77777777" w:rsidR="00605D40" w:rsidRPr="00216A29" w:rsidRDefault="006F0C8D">
      <w:pPr>
        <w:numPr>
          <w:ilvl w:val="0"/>
          <w:numId w:val="25"/>
        </w:numPr>
        <w:spacing w:after="0"/>
        <w:rPr>
          <w:rFonts w:ascii="Arial" w:eastAsia="Arial" w:hAnsi="Arial" w:cs="Arial"/>
        </w:rPr>
      </w:pPr>
      <w:r w:rsidRPr="00216A29">
        <w:rPr>
          <w:rFonts w:ascii="Arial" w:eastAsia="Arial" w:hAnsi="Arial" w:cs="Arial"/>
        </w:rPr>
        <w:t>Both markets are favourable based on incorporating premium features to highight innovation and practicality for consumers.</w:t>
      </w:r>
    </w:p>
    <w:p w14:paraId="395F4CEF"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 xml:space="preserve">Uncertainty avoidance </w:t>
      </w:r>
    </w:p>
    <w:p w14:paraId="181734C2" w14:textId="77777777" w:rsidR="00605D40" w:rsidRPr="00216A29" w:rsidRDefault="006F0C8D">
      <w:pPr>
        <w:rPr>
          <w:rFonts w:ascii="Arial" w:eastAsia="Arial" w:hAnsi="Arial" w:cs="Arial"/>
          <w:b/>
          <w:bCs/>
          <w:u w:val="single"/>
        </w:rPr>
      </w:pPr>
      <w:r w:rsidRPr="00216A29">
        <w:rPr>
          <w:rFonts w:ascii="Arial" w:eastAsia="Arial" w:hAnsi="Arial" w:cs="Arial"/>
        </w:rPr>
        <w:t xml:space="preserve">For the USA, this scores 46, and for India, it is 40 (The Culture Factor, 2025). This indicates both markets are open to uncertainty, whereas the USA is more structured (Toyota, 2025). </w:t>
      </w:r>
    </w:p>
    <w:p w14:paraId="6440A8CB" w14:textId="77777777" w:rsidR="006C1531" w:rsidRDefault="006C1531">
      <w:pPr>
        <w:rPr>
          <w:rFonts w:ascii="Arial" w:eastAsia="Arial" w:hAnsi="Arial" w:cs="Arial"/>
          <w:b/>
          <w:bCs/>
          <w:i/>
          <w:iCs/>
        </w:rPr>
      </w:pPr>
      <w:r>
        <w:rPr>
          <w:rFonts w:ascii="Arial" w:eastAsia="Arial" w:hAnsi="Arial" w:cs="Arial"/>
          <w:b/>
          <w:bCs/>
          <w:i/>
          <w:iCs/>
        </w:rPr>
        <w:br w:type="page"/>
      </w:r>
    </w:p>
    <w:p w14:paraId="4D4FB857" w14:textId="35CBBDE4" w:rsidR="00605D40" w:rsidRPr="00216A29" w:rsidRDefault="006F0C8D">
      <w:pPr>
        <w:rPr>
          <w:rFonts w:ascii="Arial" w:eastAsia="Arial" w:hAnsi="Arial" w:cs="Arial"/>
          <w:b/>
          <w:bCs/>
          <w:i/>
          <w:iCs/>
        </w:rPr>
      </w:pPr>
      <w:r w:rsidRPr="00216A29">
        <w:rPr>
          <w:rFonts w:ascii="Arial" w:eastAsia="Arial" w:hAnsi="Arial" w:cs="Arial"/>
          <w:b/>
          <w:bCs/>
          <w:i/>
          <w:iCs/>
        </w:rPr>
        <w:t xml:space="preserve">Impact on Toyota </w:t>
      </w:r>
    </w:p>
    <w:p w14:paraId="065FAE7C" w14:textId="77777777" w:rsidR="00605D40" w:rsidRPr="00216A29" w:rsidRDefault="006F0C8D">
      <w:pPr>
        <w:numPr>
          <w:ilvl w:val="0"/>
          <w:numId w:val="20"/>
        </w:numPr>
        <w:spacing w:after="0"/>
        <w:rPr>
          <w:rFonts w:ascii="Arial" w:eastAsia="Arial" w:hAnsi="Arial" w:cs="Arial"/>
        </w:rPr>
      </w:pPr>
      <w:r w:rsidRPr="00216A29">
        <w:rPr>
          <w:rFonts w:ascii="Arial" w:eastAsia="Arial" w:hAnsi="Arial" w:cs="Arial"/>
        </w:rPr>
        <w:t xml:space="preserve">In India, Toyota has to reduce the risk factors for buyers through an effective service network, warranty, and greater “fuel-efficiency claims”. </w:t>
      </w:r>
    </w:p>
    <w:p w14:paraId="1FB58C76" w14:textId="77777777" w:rsidR="00605D40" w:rsidRPr="00216A29" w:rsidRDefault="006F0C8D">
      <w:pPr>
        <w:numPr>
          <w:ilvl w:val="0"/>
          <w:numId w:val="20"/>
        </w:numPr>
        <w:spacing w:after="0"/>
        <w:rPr>
          <w:rFonts w:ascii="Arial" w:eastAsia="Arial" w:hAnsi="Arial" w:cs="Arial"/>
        </w:rPr>
      </w:pPr>
      <w:r w:rsidRPr="00216A29">
        <w:rPr>
          <w:rFonts w:ascii="Arial" w:eastAsia="Arial" w:hAnsi="Arial" w:cs="Arial"/>
        </w:rPr>
        <w:t xml:space="preserve">In the market of the USA, Toyota must push its hybrid innovation. </w:t>
      </w:r>
    </w:p>
    <w:p w14:paraId="12DA544D"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Favourability </w:t>
      </w:r>
    </w:p>
    <w:p w14:paraId="5CE0C1BF" w14:textId="77777777" w:rsidR="00605D40" w:rsidRPr="00216A29" w:rsidRDefault="006F0C8D">
      <w:pPr>
        <w:numPr>
          <w:ilvl w:val="0"/>
          <w:numId w:val="30"/>
        </w:numPr>
        <w:spacing w:after="0"/>
      </w:pPr>
      <w:r w:rsidRPr="00216A29">
        <w:rPr>
          <w:rFonts w:ascii="Arial" w:eastAsia="Arial" w:hAnsi="Arial" w:cs="Arial"/>
        </w:rPr>
        <w:t>Higher rate of hybrid vehicle adoption increases favourability for Toyota vehicles in both Indian and US markets.</w:t>
      </w:r>
    </w:p>
    <w:p w14:paraId="3575A9EF"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Long-term orientation</w:t>
      </w:r>
    </w:p>
    <w:p w14:paraId="7E04FEBA" w14:textId="77777777" w:rsidR="00605D40" w:rsidRPr="00216A29" w:rsidRDefault="006F0C8D">
      <w:pPr>
        <w:rPr>
          <w:rFonts w:ascii="Arial" w:eastAsia="Arial" w:hAnsi="Arial" w:cs="Arial"/>
        </w:rPr>
      </w:pPr>
      <w:r w:rsidRPr="00216A29">
        <w:rPr>
          <w:rFonts w:ascii="Arial" w:eastAsia="Arial" w:hAnsi="Arial" w:cs="Arial"/>
        </w:rPr>
        <w:t>India obtained a score of 51 while the USA secured 50 in LTI analysis. It indicates that both countries share a similar approach in making long-term decisions (The Culture Factor, 2025).</w:t>
      </w:r>
    </w:p>
    <w:p w14:paraId="20AD1BA9" w14:textId="77777777" w:rsidR="00605D40" w:rsidRPr="00216A29" w:rsidRDefault="006F0C8D">
      <w:pPr>
        <w:rPr>
          <w:rFonts w:ascii="Arial" w:eastAsia="Arial" w:hAnsi="Arial" w:cs="Arial"/>
          <w:b/>
          <w:bCs/>
        </w:rPr>
      </w:pPr>
      <w:r w:rsidRPr="00216A29">
        <w:rPr>
          <w:rFonts w:ascii="Arial" w:eastAsia="Arial" w:hAnsi="Arial" w:cs="Arial"/>
          <w:b/>
          <w:bCs/>
        </w:rPr>
        <w:t>Impact on Toyota</w:t>
      </w:r>
    </w:p>
    <w:p w14:paraId="2C0AE010" w14:textId="77777777" w:rsidR="00605D40" w:rsidRPr="00216A29" w:rsidRDefault="006F0C8D">
      <w:pPr>
        <w:numPr>
          <w:ilvl w:val="0"/>
          <w:numId w:val="32"/>
        </w:numPr>
        <w:spacing w:after="0"/>
        <w:rPr>
          <w:rFonts w:ascii="Arial" w:eastAsia="Arial" w:hAnsi="Arial" w:cs="Arial"/>
        </w:rPr>
      </w:pPr>
      <w:r w:rsidRPr="00216A29">
        <w:rPr>
          <w:rFonts w:ascii="Arial" w:eastAsia="Arial" w:hAnsi="Arial" w:cs="Arial"/>
        </w:rPr>
        <w:t xml:space="preserve">The brand has faced challenges in long-term ownership due to frequent changes in policies associated with ICE vehicles and EVs in the USA and India. </w:t>
      </w:r>
    </w:p>
    <w:p w14:paraId="38428C19" w14:textId="77777777" w:rsidR="00605D40" w:rsidRPr="00216A29" w:rsidRDefault="006F0C8D">
      <w:pPr>
        <w:numPr>
          <w:ilvl w:val="0"/>
          <w:numId w:val="32"/>
        </w:numPr>
        <w:spacing w:after="0"/>
        <w:rPr>
          <w:rFonts w:ascii="Arial" w:eastAsia="Arial" w:hAnsi="Arial" w:cs="Arial"/>
        </w:rPr>
      </w:pPr>
      <w:r w:rsidRPr="00216A29">
        <w:rPr>
          <w:rFonts w:ascii="Arial" w:eastAsia="Arial" w:hAnsi="Arial" w:cs="Arial"/>
        </w:rPr>
        <w:t xml:space="preserve">As purchasing frequency and purchasing volume of Toyota’s vehicles are affected due to varied representation of fuel efficiency and resale value of cars, a moderate-to-high LTI score can enhance resilience of production and marketing systems. </w:t>
      </w:r>
    </w:p>
    <w:p w14:paraId="6C055D17"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1CDD66A8" wp14:editId="459C4EC2">
            <wp:extent cx="5271681" cy="2656072"/>
            <wp:effectExtent l="19050" t="19050" r="24765" b="1143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274230" cy="2657356"/>
                    </a:xfrm>
                    <a:prstGeom prst="rect">
                      <a:avLst/>
                    </a:prstGeom>
                    <a:ln w="12700">
                      <a:solidFill>
                        <a:srgbClr val="000000"/>
                      </a:solidFill>
                      <a:prstDash val="solid"/>
                    </a:ln>
                  </pic:spPr>
                </pic:pic>
              </a:graphicData>
            </a:graphic>
          </wp:inline>
        </w:drawing>
      </w:r>
    </w:p>
    <w:p w14:paraId="24D13C89" w14:textId="77777777" w:rsidR="00605D40" w:rsidRPr="00216A29" w:rsidRDefault="006F0C8D">
      <w:pPr>
        <w:jc w:val="center"/>
        <w:rPr>
          <w:rFonts w:ascii="Arial" w:eastAsia="Arial" w:hAnsi="Arial" w:cs="Arial"/>
          <w:b/>
          <w:bCs/>
        </w:rPr>
      </w:pPr>
      <w:r w:rsidRPr="00216A29">
        <w:rPr>
          <w:rFonts w:ascii="Arial" w:eastAsia="Arial" w:hAnsi="Arial" w:cs="Arial"/>
          <w:b/>
          <w:bCs/>
        </w:rPr>
        <w:t>Figure 10: Scope of growth in Indian automotive market</w:t>
      </w:r>
    </w:p>
    <w:p w14:paraId="0A0C0CF2" w14:textId="77777777" w:rsidR="00605D40" w:rsidRPr="00216A29" w:rsidRDefault="006F0C8D">
      <w:pPr>
        <w:jc w:val="center"/>
        <w:rPr>
          <w:rFonts w:ascii="Arial" w:eastAsia="Arial" w:hAnsi="Arial" w:cs="Arial"/>
        </w:rPr>
      </w:pPr>
      <w:r w:rsidRPr="00216A29">
        <w:rPr>
          <w:rFonts w:ascii="Arial" w:eastAsia="Arial" w:hAnsi="Arial" w:cs="Arial"/>
        </w:rPr>
        <w:t xml:space="preserve">(Source: Grand View Research, 2025) </w:t>
      </w:r>
    </w:p>
    <w:p w14:paraId="0B5943BC" w14:textId="77777777" w:rsidR="00605D40" w:rsidRPr="00216A29" w:rsidRDefault="006F0C8D">
      <w:pPr>
        <w:numPr>
          <w:ilvl w:val="0"/>
          <w:numId w:val="32"/>
        </w:numPr>
        <w:spacing w:after="0"/>
        <w:rPr>
          <w:rFonts w:ascii="Arial" w:eastAsia="Arial" w:hAnsi="Arial" w:cs="Arial"/>
        </w:rPr>
      </w:pPr>
      <w:r w:rsidRPr="00216A29">
        <w:rPr>
          <w:rFonts w:ascii="Arial" w:eastAsia="Arial" w:hAnsi="Arial" w:cs="Arial"/>
        </w:rPr>
        <w:t xml:space="preserve">Long-term planning can be beneficial in taking advantage of developing local supply chains in India through ‘Make in India’ programmes. </w:t>
      </w:r>
    </w:p>
    <w:p w14:paraId="7A883007" w14:textId="77777777" w:rsidR="00605D40" w:rsidRPr="00216A29" w:rsidRDefault="006F0C8D">
      <w:pPr>
        <w:numPr>
          <w:ilvl w:val="0"/>
          <w:numId w:val="32"/>
        </w:numPr>
        <w:spacing w:after="0"/>
        <w:rPr>
          <w:rFonts w:ascii="Arial" w:eastAsia="Arial" w:hAnsi="Arial" w:cs="Arial"/>
        </w:rPr>
      </w:pPr>
      <w:r w:rsidRPr="00216A29">
        <w:rPr>
          <w:rFonts w:ascii="Arial" w:eastAsia="Arial" w:hAnsi="Arial" w:cs="Arial"/>
        </w:rPr>
        <w:t>Taking advantage of the PM E-DRIVE scheme has helped to manufacture 388,801 units in India by 2025 (Das, 2025).</w:t>
      </w:r>
    </w:p>
    <w:p w14:paraId="55A7673D" w14:textId="77777777" w:rsidR="00605D40" w:rsidRPr="00216A29" w:rsidRDefault="006F0C8D">
      <w:pPr>
        <w:rPr>
          <w:rFonts w:ascii="Arial" w:eastAsia="Arial" w:hAnsi="Arial" w:cs="Arial"/>
          <w:b/>
          <w:bCs/>
        </w:rPr>
      </w:pPr>
      <w:r w:rsidRPr="00216A29">
        <w:rPr>
          <w:rFonts w:ascii="Arial" w:eastAsia="Arial" w:hAnsi="Arial" w:cs="Arial"/>
          <w:b/>
          <w:bCs/>
        </w:rPr>
        <w:t>Favourable/unfavourable discussion</w:t>
      </w:r>
    </w:p>
    <w:p w14:paraId="1230822E" w14:textId="77777777" w:rsidR="00605D40" w:rsidRPr="00216A29" w:rsidRDefault="006F0C8D">
      <w:pPr>
        <w:rPr>
          <w:rFonts w:ascii="Arial" w:eastAsia="Arial" w:hAnsi="Arial" w:cs="Arial"/>
        </w:rPr>
      </w:pPr>
      <w:r w:rsidRPr="00216A29">
        <w:rPr>
          <w:rFonts w:ascii="Arial" w:eastAsia="Arial" w:hAnsi="Arial" w:cs="Arial"/>
        </w:rPr>
        <w:t>Higher favourability can be noticed as support from regulatory environments helps in developing long-term resilience to industry shocks.</w:t>
      </w:r>
    </w:p>
    <w:p w14:paraId="69FECB37" w14:textId="77777777" w:rsidR="00605D40" w:rsidRPr="00216A29" w:rsidRDefault="006F0C8D">
      <w:pPr>
        <w:rPr>
          <w:rFonts w:ascii="Arial" w:eastAsia="Arial" w:hAnsi="Arial" w:cs="Arial"/>
          <w:b/>
          <w:bCs/>
          <w:u w:val="single"/>
        </w:rPr>
      </w:pPr>
      <w:r w:rsidRPr="00216A29">
        <w:rPr>
          <w:rFonts w:ascii="Arial" w:eastAsia="Arial" w:hAnsi="Arial" w:cs="Arial"/>
          <w:b/>
          <w:bCs/>
          <w:u w:val="single"/>
        </w:rPr>
        <w:t>Indulgence vs restraint</w:t>
      </w:r>
    </w:p>
    <w:p w14:paraId="6EC6F922" w14:textId="77777777" w:rsidR="00605D40" w:rsidRPr="00216A29" w:rsidRDefault="006F0C8D">
      <w:pPr>
        <w:rPr>
          <w:rFonts w:ascii="Arial" w:eastAsia="Arial" w:hAnsi="Arial" w:cs="Arial"/>
        </w:rPr>
      </w:pPr>
      <w:r w:rsidRPr="00216A29">
        <w:rPr>
          <w:rFonts w:ascii="Arial" w:eastAsia="Arial" w:hAnsi="Arial" w:cs="Arial"/>
        </w:rPr>
        <w:t>The scores for ‘indulgence vs. restraint’ for USA and India are 68 and 26, respectively. Higher indulgence in the USA and a relatively low indulgence in India have been noticed (The Culture Factor, 2025).</w:t>
      </w:r>
    </w:p>
    <w:p w14:paraId="62508CBA" w14:textId="77777777" w:rsidR="00605D40" w:rsidRPr="00216A29" w:rsidRDefault="006F0C8D">
      <w:pPr>
        <w:rPr>
          <w:rFonts w:ascii="Arial" w:eastAsia="Arial" w:hAnsi="Arial" w:cs="Arial"/>
          <w:b/>
          <w:bCs/>
        </w:rPr>
      </w:pPr>
      <w:r w:rsidRPr="00216A29">
        <w:rPr>
          <w:rFonts w:ascii="Arial" w:eastAsia="Arial" w:hAnsi="Arial" w:cs="Arial"/>
          <w:b/>
          <w:bCs/>
        </w:rPr>
        <w:t>Impact on Toyota</w:t>
      </w:r>
    </w:p>
    <w:p w14:paraId="4733B3AE" w14:textId="77777777" w:rsidR="00605D40" w:rsidRPr="00216A29" w:rsidRDefault="006F0C8D">
      <w:pPr>
        <w:numPr>
          <w:ilvl w:val="0"/>
          <w:numId w:val="31"/>
        </w:numPr>
        <w:spacing w:after="0"/>
        <w:rPr>
          <w:rFonts w:ascii="Arial" w:eastAsia="Arial" w:hAnsi="Arial" w:cs="Arial"/>
        </w:rPr>
      </w:pPr>
      <w:r w:rsidRPr="00216A29">
        <w:rPr>
          <w:rFonts w:ascii="Arial" w:eastAsia="Arial" w:hAnsi="Arial" w:cs="Arial"/>
        </w:rPr>
        <w:t>Prioritisation of convenience and lifestyle alignment with customers is expected for customers in the USA.</w:t>
      </w:r>
    </w:p>
    <w:p w14:paraId="2580FA92" w14:textId="77777777" w:rsidR="00605D40" w:rsidRPr="00216A29" w:rsidRDefault="006F0C8D">
      <w:pPr>
        <w:numPr>
          <w:ilvl w:val="0"/>
          <w:numId w:val="31"/>
        </w:numPr>
        <w:spacing w:after="0"/>
        <w:rPr>
          <w:rFonts w:ascii="Arial" w:eastAsia="Arial" w:hAnsi="Arial" w:cs="Arial"/>
        </w:rPr>
      </w:pPr>
      <w:r w:rsidRPr="00216A29">
        <w:rPr>
          <w:rFonts w:ascii="Arial" w:eastAsia="Arial" w:hAnsi="Arial" w:cs="Arial"/>
        </w:rPr>
        <w:t>India shows greater preference for value-for-money and higher functionality, which implies variation of marketing practices in India and the USA.</w:t>
      </w:r>
    </w:p>
    <w:p w14:paraId="60197D24" w14:textId="77777777" w:rsidR="00605D40" w:rsidRPr="00216A29" w:rsidRDefault="006F0C8D">
      <w:pPr>
        <w:numPr>
          <w:ilvl w:val="0"/>
          <w:numId w:val="31"/>
        </w:numPr>
        <w:spacing w:after="0"/>
        <w:rPr>
          <w:rFonts w:ascii="Arial" w:eastAsia="Arial" w:hAnsi="Arial" w:cs="Arial"/>
        </w:rPr>
      </w:pPr>
      <w:r w:rsidRPr="00216A29">
        <w:rPr>
          <w:rFonts w:ascii="Arial" w:eastAsia="Arial" w:hAnsi="Arial" w:cs="Arial"/>
        </w:rPr>
        <w:t xml:space="preserve">Focus on affordability and fuel economy can contribute to 14% sales growth for Toyota in India (Ghosh </w:t>
      </w:r>
      <w:r w:rsidRPr="00216A29">
        <w:rPr>
          <w:rFonts w:ascii="Arial" w:eastAsia="Arial" w:hAnsi="Arial" w:cs="Arial"/>
          <w:i/>
          <w:iCs/>
        </w:rPr>
        <w:t>et al.</w:t>
      </w:r>
      <w:r w:rsidRPr="00216A29">
        <w:rPr>
          <w:rFonts w:ascii="Arial" w:eastAsia="Arial" w:hAnsi="Arial" w:cs="Arial"/>
        </w:rPr>
        <w:t>, 2025).</w:t>
      </w:r>
    </w:p>
    <w:p w14:paraId="4CE2C091" w14:textId="77777777" w:rsidR="00605D40" w:rsidRPr="00216A29" w:rsidRDefault="006F0C8D">
      <w:pPr>
        <w:rPr>
          <w:rFonts w:ascii="Arial" w:eastAsia="Arial" w:hAnsi="Arial" w:cs="Arial"/>
          <w:b/>
          <w:bCs/>
        </w:rPr>
      </w:pPr>
      <w:r w:rsidRPr="00216A29">
        <w:rPr>
          <w:rFonts w:ascii="Arial" w:eastAsia="Arial" w:hAnsi="Arial" w:cs="Arial"/>
          <w:b/>
          <w:bCs/>
        </w:rPr>
        <w:t>Favourability</w:t>
      </w:r>
    </w:p>
    <w:p w14:paraId="3202697F" w14:textId="77777777" w:rsidR="00605D40" w:rsidRPr="00216A29" w:rsidRDefault="006F0C8D">
      <w:pPr>
        <w:spacing w:after="0"/>
      </w:pPr>
      <w:r w:rsidRPr="00216A29">
        <w:rPr>
          <w:rFonts w:ascii="Arial" w:eastAsia="Arial" w:hAnsi="Arial" w:cs="Arial"/>
        </w:rPr>
        <w:t xml:space="preserve">Toyota has been applying diverse marketing strategies so that market content favours the premium feel of using cars in the USA while highlighting key aspects of other benefits for Indian customers. </w:t>
      </w:r>
    </w:p>
    <w:p w14:paraId="2195F96A" w14:textId="77777777" w:rsidR="00605D40" w:rsidRPr="00216A29" w:rsidRDefault="006F0C8D">
      <w:pPr>
        <w:pStyle w:val="Heading2"/>
      </w:pPr>
      <w:bookmarkStart w:id="5" w:name="_Toc237252891"/>
      <w:r w:rsidRPr="00216A29">
        <w:t>2.3 Critical discussion</w:t>
      </w:r>
      <w:bookmarkEnd w:id="5"/>
      <w:r w:rsidRPr="00216A29">
        <w:t xml:space="preserve"> </w:t>
      </w:r>
    </w:p>
    <w:p w14:paraId="118E2DE7" w14:textId="77777777" w:rsidR="00605D40" w:rsidRPr="00216A29" w:rsidRDefault="006F0C8D">
      <w:pPr>
        <w:spacing w:after="0"/>
        <w:rPr>
          <w:rFonts w:ascii="Arial" w:eastAsia="Arial" w:hAnsi="Arial" w:cs="Arial"/>
        </w:rPr>
      </w:pPr>
      <w:r w:rsidRPr="00216A29">
        <w:rPr>
          <w:rFonts w:ascii="Arial" w:eastAsia="Arial" w:hAnsi="Arial" w:cs="Arial"/>
        </w:rPr>
        <w:t xml:space="preserve">Based on the above-conducted PESTEL and Hofstede analysis, it can be stated that rather than applying the standardised global marketing strategy, Toyota must acquire the localised (glocalisation) approach, as consumer expectations, regulatory environments, and purchasing power differ most between the two nations. In the USA, such a strong regulatory environment, individualistic culture, and high disposable incomes justify the investment of Toyota in the digital retailing, hybrid vehicles, and premium models like Lexus. This strategy seemed to be effective as EV sales in North America strong incrsed and exceeded 1 million units in 2024, facilitating the competitive position of Toyota in the global sustainability market (Toyota, 2025). </w:t>
      </w:r>
    </w:p>
    <w:p w14:paraId="1683BAF5" w14:textId="77777777" w:rsidR="00605D40" w:rsidRPr="00216A29" w:rsidRDefault="006F0C8D">
      <w:pPr>
        <w:spacing w:after="0"/>
        <w:rPr>
          <w:rFonts w:ascii="Arial" w:eastAsia="Arial" w:hAnsi="Arial" w:cs="Arial"/>
        </w:rPr>
      </w:pPr>
      <w:r w:rsidRPr="00216A29">
        <w:rPr>
          <w:rFonts w:ascii="Arial" w:eastAsia="Arial" w:hAnsi="Arial" w:cs="Arial"/>
        </w:rPr>
        <w:t xml:space="preserve">Conversely, in India, Toyota prioritises affordability and localisation through the “Toyota Kirloskar joint venture” as government initiatives and price sensitivity mostly favor the locally manufactured vehicles. This approach has strongly contributed to the record sales growth, whereas a limited product portfolio in the Indian market constrains its market share most. Hence, the international marketing strategy of Toyota is effective as it strongly balances the global brand consistency with the local market adaptation, although continuous innovation is essential. </w:t>
      </w:r>
    </w:p>
    <w:p w14:paraId="56A7F9C8" w14:textId="77777777" w:rsidR="00605D40" w:rsidRPr="00216A29" w:rsidRDefault="006F0C8D">
      <w:bookmarkStart w:id="6" w:name="_3ltyvtqcffoz" w:colFirst="0" w:colLast="0"/>
      <w:bookmarkEnd w:id="6"/>
      <w:r w:rsidRPr="00216A29">
        <w:br w:type="page"/>
      </w:r>
    </w:p>
    <w:p w14:paraId="05265104" w14:textId="77777777" w:rsidR="00605D40" w:rsidRPr="00216A29" w:rsidRDefault="006F0C8D">
      <w:pPr>
        <w:pStyle w:val="Heading1"/>
      </w:pPr>
      <w:bookmarkStart w:id="7" w:name="_Toc237252892"/>
      <w:r w:rsidRPr="00216A29">
        <w:t>3. Comparative Analysis of STP</w:t>
      </w:r>
      <w:bookmarkEnd w:id="7"/>
      <w:r w:rsidRPr="00216A29">
        <w:t xml:space="preserve"> </w:t>
      </w:r>
    </w:p>
    <w:p w14:paraId="29FEB463" w14:textId="77777777" w:rsidR="00605D40" w:rsidRPr="00216A29" w:rsidRDefault="006F0C8D">
      <w:pPr>
        <w:pStyle w:val="Heading2"/>
      </w:pPr>
      <w:bookmarkStart w:id="8" w:name="_Toc237252893"/>
      <w:r w:rsidRPr="00216A29">
        <w:t>3.1 Segmentation</w:t>
      </w:r>
      <w:bookmarkEnd w:id="8"/>
    </w:p>
    <w:tbl>
      <w:tblPr>
        <w:tblStyle w:val="a"/>
        <w:tblW w:w="11341"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2"/>
        <w:gridCol w:w="3260"/>
        <w:gridCol w:w="3361"/>
        <w:gridCol w:w="3018"/>
      </w:tblGrid>
      <w:tr w:rsidR="00605D40" w:rsidRPr="00216A29" w14:paraId="2EED8744" w14:textId="77777777" w:rsidTr="00C34732">
        <w:trPr>
          <w:trHeight w:val="77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AFAB4" w14:textId="77777777" w:rsidR="00605D40" w:rsidRPr="00216A29" w:rsidRDefault="006F0C8D">
            <w:pPr>
              <w:spacing w:line="240" w:lineRule="auto"/>
              <w:jc w:val="center"/>
              <w:rPr>
                <w:rFonts w:ascii="Arial" w:eastAsia="Arial" w:hAnsi="Arial" w:cs="Arial"/>
              </w:rPr>
            </w:pPr>
            <w:r w:rsidRPr="00216A29">
              <w:rPr>
                <w:rFonts w:ascii="Arial" w:eastAsia="Arial" w:hAnsi="Arial" w:cs="Arial"/>
                <w:b/>
                <w:bCs/>
              </w:rPr>
              <w:t>Segmentation Variable</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0A2D5" w14:textId="77777777" w:rsidR="00605D40" w:rsidRPr="00216A29" w:rsidRDefault="006F0C8D">
            <w:pPr>
              <w:spacing w:line="240" w:lineRule="auto"/>
              <w:jc w:val="center"/>
              <w:rPr>
                <w:rFonts w:ascii="Arial" w:eastAsia="Arial" w:hAnsi="Arial" w:cs="Arial"/>
              </w:rPr>
            </w:pPr>
            <w:r w:rsidRPr="00216A29">
              <w:rPr>
                <w:rFonts w:ascii="Arial" w:eastAsia="Arial" w:hAnsi="Arial" w:cs="Arial"/>
                <w:b/>
                <w:bCs/>
              </w:rPr>
              <w:t>USA</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39E3F" w14:textId="77777777" w:rsidR="00605D40" w:rsidRPr="00216A29" w:rsidRDefault="006F0C8D">
            <w:pPr>
              <w:spacing w:line="240" w:lineRule="auto"/>
              <w:jc w:val="center"/>
              <w:rPr>
                <w:rFonts w:ascii="Arial" w:eastAsia="Arial" w:hAnsi="Arial" w:cs="Arial"/>
              </w:rPr>
            </w:pPr>
            <w:r w:rsidRPr="00216A29">
              <w:rPr>
                <w:rFonts w:ascii="Arial" w:eastAsia="Arial" w:hAnsi="Arial" w:cs="Arial"/>
                <w:b/>
                <w:bCs/>
              </w:rPr>
              <w:t>India</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5A9AB3" w14:textId="77777777" w:rsidR="00605D40" w:rsidRPr="00216A29" w:rsidRDefault="006F0C8D">
            <w:pPr>
              <w:spacing w:line="240" w:lineRule="auto"/>
              <w:jc w:val="center"/>
              <w:rPr>
                <w:rFonts w:ascii="Arial" w:eastAsia="Arial" w:hAnsi="Arial" w:cs="Arial"/>
              </w:rPr>
            </w:pPr>
            <w:r w:rsidRPr="00216A29">
              <w:rPr>
                <w:rFonts w:ascii="Arial" w:eastAsia="Arial" w:hAnsi="Arial" w:cs="Arial"/>
                <w:b/>
                <w:bCs/>
              </w:rPr>
              <w:t>Similarities and Differences</w:t>
            </w:r>
          </w:p>
        </w:tc>
      </w:tr>
      <w:tr w:rsidR="00605D40" w:rsidRPr="00216A29" w14:paraId="0C4EE3EF" w14:textId="77777777" w:rsidTr="00C34732">
        <w:trPr>
          <w:trHeight w:val="1865"/>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B050F" w14:textId="77777777" w:rsidR="00605D40" w:rsidRPr="00216A29" w:rsidRDefault="006F0C8D">
            <w:pPr>
              <w:spacing w:line="240" w:lineRule="auto"/>
              <w:rPr>
                <w:rFonts w:ascii="Arial" w:eastAsia="Arial" w:hAnsi="Arial" w:cs="Arial"/>
              </w:rPr>
            </w:pPr>
            <w:r w:rsidRPr="00216A29">
              <w:rPr>
                <w:rFonts w:ascii="Arial" w:eastAsia="Arial" w:hAnsi="Arial" w:cs="Arial"/>
              </w:rPr>
              <w:t>Demographic</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DF201" w14:textId="77777777" w:rsidR="00605D40" w:rsidRPr="00216A29" w:rsidRDefault="006F0C8D">
            <w:pPr>
              <w:spacing w:line="240" w:lineRule="auto"/>
              <w:rPr>
                <w:rFonts w:ascii="Arial" w:eastAsia="Arial" w:hAnsi="Arial" w:cs="Arial"/>
              </w:rPr>
            </w:pPr>
            <w:r w:rsidRPr="00216A29">
              <w:rPr>
                <w:rFonts w:ascii="Arial" w:eastAsia="Arial" w:hAnsi="Arial" w:cs="Arial"/>
              </w:rPr>
              <w:t>Families and professionals (Managers, engineers, entrepreneurs and corporate employees) of 30-60 age years with annual household income US$60,000–120,000 (BLS, 2026)</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29FD3C" w14:textId="77777777" w:rsidR="00605D40" w:rsidRPr="00216A29" w:rsidRDefault="006F0C8D">
            <w:pPr>
              <w:spacing w:line="240" w:lineRule="auto"/>
              <w:rPr>
                <w:rFonts w:ascii="Arial" w:eastAsia="Arial" w:hAnsi="Arial" w:cs="Arial"/>
              </w:rPr>
            </w:pPr>
            <w:r w:rsidRPr="00216A29">
              <w:rPr>
                <w:rFonts w:ascii="Arial" w:eastAsia="Arial" w:hAnsi="Arial" w:cs="Arial"/>
              </w:rPr>
              <w:t>Families of middle- and upper-middle-income (annual income ₹12–25 lakh) and professionals (corporate employees, business owners and government employees) with an age range of 30–55 years (PIB, 2026)</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4BDB7" w14:textId="77777777" w:rsidR="00605D40" w:rsidRPr="00216A29" w:rsidRDefault="006F0C8D">
            <w:pPr>
              <w:spacing w:line="240" w:lineRule="auto"/>
              <w:rPr>
                <w:rFonts w:ascii="Arial" w:eastAsia="Arial" w:hAnsi="Arial" w:cs="Arial"/>
              </w:rPr>
            </w:pPr>
            <w:r w:rsidRPr="00216A29">
              <w:rPr>
                <w:rFonts w:ascii="Arial" w:eastAsia="Arial" w:hAnsi="Arial" w:cs="Arial"/>
              </w:rPr>
              <w:t>Similar instances of market stability yet higher purchasing power for customers in USA</w:t>
            </w:r>
          </w:p>
        </w:tc>
      </w:tr>
      <w:tr w:rsidR="00605D40" w:rsidRPr="00216A29" w14:paraId="39340224" w14:textId="77777777" w:rsidTr="00C34732">
        <w:trPr>
          <w:trHeight w:val="1865"/>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B021E" w14:textId="77777777" w:rsidR="00605D40" w:rsidRPr="00216A29" w:rsidRDefault="006F0C8D">
            <w:pPr>
              <w:spacing w:line="240" w:lineRule="auto"/>
              <w:rPr>
                <w:rFonts w:ascii="Arial" w:eastAsia="Arial" w:hAnsi="Arial" w:cs="Arial"/>
              </w:rPr>
            </w:pPr>
            <w:r w:rsidRPr="00216A29">
              <w:rPr>
                <w:rFonts w:ascii="Arial" w:eastAsia="Arial" w:hAnsi="Arial" w:cs="Arial"/>
              </w:rPr>
              <w:t xml:space="preserve">Geographic </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D1EDF" w14:textId="77777777" w:rsidR="00605D40" w:rsidRPr="00216A29" w:rsidRDefault="006F0C8D">
            <w:pPr>
              <w:spacing w:line="240" w:lineRule="auto"/>
              <w:rPr>
                <w:rFonts w:ascii="Arial" w:eastAsia="Arial" w:hAnsi="Arial" w:cs="Arial"/>
              </w:rPr>
            </w:pPr>
            <w:r w:rsidRPr="00216A29">
              <w:rPr>
                <w:rFonts w:ascii="Arial" w:eastAsia="Arial" w:hAnsi="Arial" w:cs="Arial"/>
              </w:rPr>
              <w:t>Urban and suburban regions, specifically, California, Texas and Florida, with vehicle ownership and transport expenditure of about US$1,000 per month</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F65961" w14:textId="77777777" w:rsidR="00605D40" w:rsidRPr="00216A29" w:rsidRDefault="006F0C8D">
            <w:pPr>
              <w:spacing w:line="240" w:lineRule="auto"/>
              <w:rPr>
                <w:rFonts w:ascii="Arial" w:eastAsia="Arial" w:hAnsi="Arial" w:cs="Arial"/>
              </w:rPr>
            </w:pPr>
            <w:r w:rsidRPr="00216A29">
              <w:rPr>
                <w:rFonts w:ascii="Arial" w:eastAsia="Arial" w:hAnsi="Arial" w:cs="Arial"/>
              </w:rPr>
              <w:t>Metropolitan, Tier-1 and Tier-2 cities with monthly expense of ₹50,000–100,000 indicating vehicle affordability</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FCE8E" w14:textId="77777777" w:rsidR="00605D40" w:rsidRPr="00216A29" w:rsidRDefault="006F0C8D">
            <w:pPr>
              <w:spacing w:line="240" w:lineRule="auto"/>
              <w:rPr>
                <w:rFonts w:ascii="Arial" w:eastAsia="Arial" w:hAnsi="Arial" w:cs="Arial"/>
              </w:rPr>
            </w:pPr>
            <w:r w:rsidRPr="00216A29">
              <w:rPr>
                <w:rFonts w:ascii="Arial" w:eastAsia="Arial" w:hAnsi="Arial" w:cs="Arial"/>
              </w:rPr>
              <w:t>Price-sensitivity in Indian markets yet improvements in SCM tech in both countries</w:t>
            </w:r>
          </w:p>
        </w:tc>
      </w:tr>
      <w:tr w:rsidR="00605D40" w:rsidRPr="00216A29" w14:paraId="4664507B" w14:textId="77777777" w:rsidTr="00C34732">
        <w:trPr>
          <w:trHeight w:val="1325"/>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2EFC7" w14:textId="77777777" w:rsidR="00605D40" w:rsidRPr="00216A29" w:rsidRDefault="006F0C8D">
            <w:pPr>
              <w:spacing w:line="240" w:lineRule="auto"/>
              <w:rPr>
                <w:rFonts w:ascii="Arial" w:eastAsia="Arial" w:hAnsi="Arial" w:cs="Arial"/>
              </w:rPr>
            </w:pPr>
            <w:r w:rsidRPr="00216A29">
              <w:rPr>
                <w:rFonts w:ascii="Arial" w:eastAsia="Arial" w:hAnsi="Arial" w:cs="Arial"/>
              </w:rPr>
              <w:t>Psychographic</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F570D1" w14:textId="77777777" w:rsidR="00605D40" w:rsidRPr="00216A29" w:rsidRDefault="006F0C8D">
            <w:pPr>
              <w:spacing w:line="240" w:lineRule="auto"/>
              <w:rPr>
                <w:rFonts w:ascii="Arial" w:eastAsia="Arial" w:hAnsi="Arial" w:cs="Arial"/>
              </w:rPr>
            </w:pPr>
            <w:r w:rsidRPr="00216A29">
              <w:rPr>
                <w:rFonts w:ascii="Arial" w:eastAsia="Arial" w:hAnsi="Arial" w:cs="Arial"/>
              </w:rPr>
              <w:t>Lifestyle focuses on sustainability awareness, embedded with technology</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605B9" w14:textId="77777777" w:rsidR="00605D40" w:rsidRPr="00216A29" w:rsidRDefault="006F0C8D">
            <w:pPr>
              <w:spacing w:line="240" w:lineRule="auto"/>
              <w:rPr>
                <w:rFonts w:ascii="Arial" w:eastAsia="Arial" w:hAnsi="Arial" w:cs="Arial"/>
              </w:rPr>
            </w:pPr>
            <w:r w:rsidRPr="00216A29">
              <w:rPr>
                <w:rFonts w:ascii="Arial" w:eastAsia="Arial" w:hAnsi="Arial" w:cs="Arial"/>
              </w:rPr>
              <w:t>Lifestyle highlights value-consciousness and family focus</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467787" w14:textId="77777777" w:rsidR="00605D40" w:rsidRPr="00216A29" w:rsidRDefault="006F0C8D">
            <w:pPr>
              <w:spacing w:line="240" w:lineRule="auto"/>
              <w:rPr>
                <w:rFonts w:ascii="Arial" w:eastAsia="Arial" w:hAnsi="Arial" w:cs="Arial"/>
              </w:rPr>
            </w:pPr>
            <w:r w:rsidRPr="00216A29">
              <w:rPr>
                <w:rFonts w:ascii="Arial" w:eastAsia="Arial" w:hAnsi="Arial" w:cs="Arial"/>
              </w:rPr>
              <w:t xml:space="preserve">Product reliability is evident </w:t>
            </w:r>
          </w:p>
        </w:tc>
      </w:tr>
      <w:tr w:rsidR="00605D40" w:rsidRPr="00216A29" w14:paraId="23B1F87C" w14:textId="77777777" w:rsidTr="00C34732">
        <w:trPr>
          <w:trHeight w:val="1595"/>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061BE" w14:textId="77777777" w:rsidR="00605D40" w:rsidRPr="00216A29" w:rsidRDefault="006F0C8D">
            <w:pPr>
              <w:spacing w:line="240" w:lineRule="auto"/>
              <w:rPr>
                <w:rFonts w:ascii="Arial" w:eastAsia="Arial" w:hAnsi="Arial" w:cs="Arial"/>
              </w:rPr>
            </w:pPr>
            <w:r w:rsidRPr="00216A29">
              <w:rPr>
                <w:rFonts w:ascii="Arial" w:eastAsia="Arial" w:hAnsi="Arial" w:cs="Arial"/>
              </w:rPr>
              <w:t>VALS</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26E72" w14:textId="77777777" w:rsidR="00605D40" w:rsidRPr="00216A29" w:rsidRDefault="006F0C8D">
            <w:pPr>
              <w:spacing w:line="240" w:lineRule="auto"/>
              <w:rPr>
                <w:rFonts w:ascii="Arial" w:eastAsia="Arial" w:hAnsi="Arial" w:cs="Arial"/>
              </w:rPr>
            </w:pPr>
            <w:r w:rsidRPr="00216A29">
              <w:rPr>
                <w:rFonts w:ascii="Arial" w:eastAsia="Arial" w:hAnsi="Arial" w:cs="Arial"/>
              </w:rPr>
              <w:t>Innovators, Achievers and Thinkers</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3DCA4" w14:textId="77777777" w:rsidR="00605D40" w:rsidRPr="00216A29" w:rsidRDefault="006F0C8D">
            <w:pPr>
              <w:spacing w:line="240" w:lineRule="auto"/>
              <w:rPr>
                <w:rFonts w:ascii="Arial" w:eastAsia="Arial" w:hAnsi="Arial" w:cs="Arial"/>
              </w:rPr>
            </w:pPr>
            <w:r w:rsidRPr="00216A29">
              <w:rPr>
                <w:rFonts w:ascii="Arial" w:eastAsia="Arial" w:hAnsi="Arial" w:cs="Arial"/>
              </w:rPr>
              <w:t>Achievers, Believers and Strivers</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42F28" w14:textId="77777777" w:rsidR="00605D40" w:rsidRPr="00216A29" w:rsidRDefault="006F0C8D">
            <w:pPr>
              <w:spacing w:line="240" w:lineRule="auto"/>
              <w:rPr>
                <w:rFonts w:ascii="Arial" w:eastAsia="Arial" w:hAnsi="Arial" w:cs="Arial"/>
              </w:rPr>
            </w:pPr>
            <w:r w:rsidRPr="00216A29">
              <w:rPr>
                <w:rFonts w:ascii="Arial" w:eastAsia="Arial" w:hAnsi="Arial" w:cs="Arial"/>
              </w:rPr>
              <w:t>Focus on innovation in USA while cost-sensitivity and resource optimisation in Indian market.</w:t>
            </w:r>
          </w:p>
        </w:tc>
      </w:tr>
      <w:tr w:rsidR="00605D40" w:rsidRPr="00216A29" w14:paraId="29665C95" w14:textId="77777777" w:rsidTr="00C34732">
        <w:trPr>
          <w:trHeight w:val="104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96768C" w14:textId="77777777" w:rsidR="00605D40" w:rsidRPr="00216A29" w:rsidRDefault="006F0C8D">
            <w:pPr>
              <w:spacing w:line="240" w:lineRule="auto"/>
              <w:rPr>
                <w:rFonts w:ascii="Arial" w:eastAsia="Arial" w:hAnsi="Arial" w:cs="Arial"/>
              </w:rPr>
            </w:pPr>
            <w:r w:rsidRPr="00216A29">
              <w:rPr>
                <w:rFonts w:ascii="Arial" w:eastAsia="Arial" w:hAnsi="Arial" w:cs="Arial"/>
              </w:rPr>
              <w:t>Benefit Segmentation</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4EE055" w14:textId="77777777" w:rsidR="00605D40" w:rsidRPr="00216A29" w:rsidRDefault="006F0C8D">
            <w:pPr>
              <w:spacing w:line="240" w:lineRule="auto"/>
              <w:rPr>
                <w:rFonts w:ascii="Arial" w:eastAsia="Arial" w:hAnsi="Arial" w:cs="Arial"/>
              </w:rPr>
            </w:pPr>
            <w:r w:rsidRPr="00216A29">
              <w:rPr>
                <w:rFonts w:ascii="Arial" w:eastAsia="Arial" w:hAnsi="Arial" w:cs="Arial"/>
              </w:rPr>
              <w:t>Hybrid, connectivity and safety benefits ensured 47.7% (1.18 million units) of US sales in 2025 (Nalin, 2026)</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0DFF1" w14:textId="77777777" w:rsidR="00605D40" w:rsidRPr="00216A29" w:rsidRDefault="006F0C8D">
            <w:pPr>
              <w:spacing w:line="240" w:lineRule="auto"/>
              <w:rPr>
                <w:rFonts w:ascii="Arial" w:eastAsia="Arial" w:hAnsi="Arial" w:cs="Arial"/>
              </w:rPr>
            </w:pPr>
            <w:r w:rsidRPr="00216A29">
              <w:rPr>
                <w:rFonts w:ascii="Arial" w:eastAsia="Arial" w:hAnsi="Arial" w:cs="Arial"/>
              </w:rPr>
              <w:t>Fuel efficiency, durability and affordability recorded 337,148 units in sales in FY2024-2025 (Toyota Bharat, 2025).</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BE9D4" w14:textId="77777777" w:rsidR="00605D40" w:rsidRPr="00216A29" w:rsidRDefault="006F0C8D">
            <w:pPr>
              <w:spacing w:line="240" w:lineRule="auto"/>
              <w:rPr>
                <w:rFonts w:ascii="Arial" w:eastAsia="Arial" w:hAnsi="Arial" w:cs="Arial"/>
              </w:rPr>
            </w:pPr>
            <w:r w:rsidRPr="00216A29">
              <w:rPr>
                <w:rFonts w:ascii="Arial" w:eastAsia="Arial" w:hAnsi="Arial" w:cs="Arial"/>
              </w:rPr>
              <w:t xml:space="preserve">Functional benefits are the primary concern while sustainability and affordability balance US and India Sales. </w:t>
            </w:r>
          </w:p>
        </w:tc>
      </w:tr>
      <w:tr w:rsidR="00605D40" w:rsidRPr="00216A29" w14:paraId="5889D9F3" w14:textId="77777777" w:rsidTr="00C34732">
        <w:trPr>
          <w:trHeight w:val="1040"/>
        </w:trPr>
        <w:tc>
          <w:tcPr>
            <w:tcW w:w="1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FA8F8D" w14:textId="77777777" w:rsidR="00605D40" w:rsidRPr="00216A29" w:rsidRDefault="006F0C8D">
            <w:pPr>
              <w:spacing w:line="240" w:lineRule="auto"/>
              <w:rPr>
                <w:rFonts w:ascii="Arial" w:eastAsia="Arial" w:hAnsi="Arial" w:cs="Arial"/>
              </w:rPr>
            </w:pPr>
            <w:r w:rsidRPr="00216A29">
              <w:rPr>
                <w:rFonts w:ascii="Arial" w:eastAsia="Arial" w:hAnsi="Arial" w:cs="Arial"/>
              </w:rPr>
              <w:t xml:space="preserve">Usage and commitment </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202BD" w14:textId="77777777" w:rsidR="00605D40" w:rsidRPr="00216A29" w:rsidRDefault="006F0C8D">
            <w:pPr>
              <w:spacing w:line="240" w:lineRule="auto"/>
              <w:rPr>
                <w:rFonts w:ascii="Arial" w:eastAsia="Arial" w:hAnsi="Arial" w:cs="Arial"/>
              </w:rPr>
            </w:pPr>
            <w:r w:rsidRPr="00216A29">
              <w:rPr>
                <w:rFonts w:ascii="Arial" w:eastAsia="Arial" w:hAnsi="Arial" w:cs="Arial"/>
              </w:rPr>
              <w:t xml:space="preserve">17.6% increase in EV sales facilitated by loyal customers </w:t>
            </w:r>
          </w:p>
        </w:tc>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009C9" w14:textId="77777777" w:rsidR="00605D40" w:rsidRPr="00216A29" w:rsidRDefault="006F0C8D">
            <w:pPr>
              <w:spacing w:line="240" w:lineRule="auto"/>
              <w:rPr>
                <w:rFonts w:ascii="Arial" w:eastAsia="Arial" w:hAnsi="Arial" w:cs="Arial"/>
              </w:rPr>
            </w:pPr>
            <w:r w:rsidRPr="00216A29">
              <w:rPr>
                <w:rFonts w:ascii="Arial" w:eastAsia="Arial" w:hAnsi="Arial" w:cs="Arial"/>
              </w:rPr>
              <w:t>29% annual growth is evident with emergent consumers and brand-loyal family members</w:t>
            </w:r>
          </w:p>
        </w:tc>
        <w:tc>
          <w:tcPr>
            <w:tcW w:w="30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47143" w14:textId="77777777" w:rsidR="00605D40" w:rsidRPr="00216A29" w:rsidRDefault="006F0C8D">
            <w:pPr>
              <w:spacing w:line="240" w:lineRule="auto"/>
              <w:rPr>
                <w:rFonts w:ascii="Arial" w:eastAsia="Arial" w:hAnsi="Arial" w:cs="Arial"/>
              </w:rPr>
            </w:pPr>
            <w:r w:rsidRPr="00216A29">
              <w:rPr>
                <w:rFonts w:ascii="Arial" w:eastAsia="Arial" w:hAnsi="Arial" w:cs="Arial"/>
              </w:rPr>
              <w:t>High brand loyalty is prominent against price sensitivity and switching behaviour</w:t>
            </w:r>
          </w:p>
        </w:tc>
      </w:tr>
    </w:tbl>
    <w:p w14:paraId="3B7B2B79" w14:textId="77777777" w:rsidR="00605D40" w:rsidRPr="00216A29" w:rsidRDefault="006F0C8D">
      <w:pPr>
        <w:jc w:val="center"/>
        <w:rPr>
          <w:rFonts w:ascii="Arial" w:eastAsia="Arial" w:hAnsi="Arial" w:cs="Arial"/>
          <w:b/>
          <w:bCs/>
        </w:rPr>
      </w:pPr>
      <w:r w:rsidRPr="00216A29">
        <w:rPr>
          <w:rFonts w:ascii="Arial" w:eastAsia="Arial" w:hAnsi="Arial" w:cs="Arial"/>
          <w:b/>
          <w:bCs/>
        </w:rPr>
        <w:t>Table 1: Comparative analysis of segmentation</w:t>
      </w:r>
    </w:p>
    <w:p w14:paraId="7F3FA5E2" w14:textId="77777777" w:rsidR="00605D40" w:rsidRPr="00216A29" w:rsidRDefault="006F0C8D">
      <w:pPr>
        <w:jc w:val="center"/>
        <w:rPr>
          <w:rFonts w:ascii="Arial" w:eastAsia="Arial" w:hAnsi="Arial" w:cs="Arial"/>
        </w:rPr>
      </w:pPr>
      <w:r w:rsidRPr="00216A29">
        <w:rPr>
          <w:rFonts w:ascii="Arial" w:eastAsia="Arial" w:hAnsi="Arial" w:cs="Arial"/>
        </w:rPr>
        <w:t>(Source: Sri and Khan, 2026; Lecture 5)</w:t>
      </w:r>
    </w:p>
    <w:p w14:paraId="47CBC2A4"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51FD639A" wp14:editId="00E2E47D">
            <wp:extent cx="5014913" cy="3568303"/>
            <wp:effectExtent l="12700" t="12700" r="12700" b="127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014913" cy="3568303"/>
                    </a:xfrm>
                    <a:prstGeom prst="rect">
                      <a:avLst/>
                    </a:prstGeom>
                    <a:ln w="12700">
                      <a:solidFill>
                        <a:srgbClr val="000000"/>
                      </a:solidFill>
                      <a:prstDash val="solid"/>
                    </a:ln>
                  </pic:spPr>
                </pic:pic>
              </a:graphicData>
            </a:graphic>
          </wp:inline>
        </w:drawing>
      </w:r>
    </w:p>
    <w:p w14:paraId="6EF6EB03" w14:textId="77777777" w:rsidR="00605D40" w:rsidRPr="00216A29" w:rsidRDefault="006F0C8D">
      <w:pPr>
        <w:jc w:val="center"/>
        <w:rPr>
          <w:rFonts w:ascii="Arial" w:eastAsia="Arial" w:hAnsi="Arial" w:cs="Arial"/>
          <w:b/>
          <w:bCs/>
        </w:rPr>
      </w:pPr>
      <w:r w:rsidRPr="00216A29">
        <w:rPr>
          <w:rFonts w:ascii="Arial" w:eastAsia="Arial" w:hAnsi="Arial" w:cs="Arial"/>
          <w:b/>
          <w:bCs/>
        </w:rPr>
        <w:t>Figure 11: Comparing the monthly expenses of USA and India</w:t>
      </w:r>
    </w:p>
    <w:p w14:paraId="11A2BF57" w14:textId="77777777" w:rsidR="00605D40" w:rsidRPr="00216A29" w:rsidRDefault="006F0C8D">
      <w:pPr>
        <w:jc w:val="center"/>
        <w:rPr>
          <w:rFonts w:ascii="Arial" w:eastAsia="Arial" w:hAnsi="Arial" w:cs="Arial"/>
        </w:rPr>
      </w:pPr>
      <w:r w:rsidRPr="00216A29">
        <w:rPr>
          <w:rFonts w:ascii="Arial" w:eastAsia="Arial" w:hAnsi="Arial" w:cs="Arial"/>
        </w:rPr>
        <w:t>(Source: BLS, 2026)</w:t>
      </w:r>
    </w:p>
    <w:p w14:paraId="2B9319CA"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1B644536" wp14:editId="70BFEC20">
            <wp:extent cx="5067352" cy="3045284"/>
            <wp:effectExtent l="12700" t="12700" r="12700" b="127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067352" cy="3045284"/>
                    </a:xfrm>
                    <a:prstGeom prst="rect">
                      <a:avLst/>
                    </a:prstGeom>
                    <a:ln w="12700">
                      <a:solidFill>
                        <a:srgbClr val="000000"/>
                      </a:solidFill>
                      <a:prstDash val="solid"/>
                    </a:ln>
                  </pic:spPr>
                </pic:pic>
              </a:graphicData>
            </a:graphic>
          </wp:inline>
        </w:drawing>
      </w:r>
    </w:p>
    <w:p w14:paraId="4551222A" w14:textId="77777777" w:rsidR="00605D40" w:rsidRPr="00216A29" w:rsidRDefault="006F0C8D">
      <w:pPr>
        <w:jc w:val="center"/>
        <w:rPr>
          <w:rFonts w:ascii="Arial" w:eastAsia="Arial" w:hAnsi="Arial" w:cs="Arial"/>
          <w:b/>
          <w:bCs/>
        </w:rPr>
      </w:pPr>
      <w:r w:rsidRPr="00216A29">
        <w:rPr>
          <w:rFonts w:ascii="Arial" w:eastAsia="Arial" w:hAnsi="Arial" w:cs="Arial"/>
          <w:b/>
          <w:bCs/>
        </w:rPr>
        <w:t>Figure 12: Car ownership comparison</w:t>
      </w:r>
    </w:p>
    <w:p w14:paraId="54987F8C" w14:textId="77777777" w:rsidR="00605D40" w:rsidRPr="00216A29" w:rsidRDefault="006F0C8D">
      <w:pPr>
        <w:jc w:val="center"/>
        <w:rPr>
          <w:rFonts w:ascii="Arial" w:eastAsia="Arial" w:hAnsi="Arial" w:cs="Arial"/>
        </w:rPr>
      </w:pPr>
      <w:r w:rsidRPr="00216A29">
        <w:rPr>
          <w:rFonts w:ascii="Arial" w:eastAsia="Arial" w:hAnsi="Arial" w:cs="Arial"/>
        </w:rPr>
        <w:t xml:space="preserve">(Source: S&amp;P Global Mobility, 2025; Mohan </w:t>
      </w:r>
      <w:r w:rsidRPr="00216A29">
        <w:rPr>
          <w:rFonts w:ascii="Arial" w:eastAsia="Arial" w:hAnsi="Arial" w:cs="Arial"/>
          <w:i/>
          <w:iCs/>
        </w:rPr>
        <w:t>et al.</w:t>
      </w:r>
      <w:r w:rsidRPr="00216A29">
        <w:rPr>
          <w:rFonts w:ascii="Arial" w:eastAsia="Arial" w:hAnsi="Arial" w:cs="Arial"/>
        </w:rPr>
        <w:t>, 2025)</w:t>
      </w:r>
    </w:p>
    <w:p w14:paraId="7961F2FA" w14:textId="77777777" w:rsidR="00605D40" w:rsidRPr="00216A29" w:rsidRDefault="006F0C8D">
      <w:pPr>
        <w:pStyle w:val="Heading2"/>
      </w:pPr>
      <w:bookmarkStart w:id="9" w:name="_Toc237252894"/>
      <w:r w:rsidRPr="00216A29">
        <w:t>3.2 Targeting</w:t>
      </w:r>
      <w:bookmarkEnd w:id="9"/>
    </w:p>
    <w:p w14:paraId="3DB347D9" w14:textId="77777777" w:rsidR="00605D40" w:rsidRPr="00216A29" w:rsidRDefault="006F0C8D">
      <w:pPr>
        <w:rPr>
          <w:rFonts w:ascii="Arial" w:eastAsia="Arial" w:hAnsi="Arial" w:cs="Arial"/>
        </w:rPr>
      </w:pPr>
      <w:r w:rsidRPr="00216A29">
        <w:rPr>
          <w:rFonts w:ascii="Arial" w:eastAsia="Arial" w:hAnsi="Arial" w:cs="Arial"/>
        </w:rPr>
        <w:t>A differentiated targeting strategy for the USA and India is justified to create balance in meeting the diverse requirements of customers.</w:t>
      </w:r>
    </w:p>
    <w:p w14:paraId="21D82062" w14:textId="77777777" w:rsidR="00605D40" w:rsidRPr="00216A29" w:rsidRDefault="006F0C8D">
      <w:pPr>
        <w:numPr>
          <w:ilvl w:val="0"/>
          <w:numId w:val="27"/>
        </w:numPr>
        <w:spacing w:after="0"/>
      </w:pPr>
      <w:r w:rsidRPr="00216A29">
        <w:rPr>
          <w:rFonts w:ascii="Arial" w:eastAsia="Arial" w:hAnsi="Arial" w:cs="Arial"/>
          <w:b/>
          <w:bCs/>
        </w:rPr>
        <w:t xml:space="preserve">USA: </w:t>
      </w:r>
      <w:r w:rsidRPr="00216A29">
        <w:rPr>
          <w:rFonts w:ascii="Arial" w:eastAsia="Arial" w:hAnsi="Arial" w:cs="Arial"/>
        </w:rPr>
        <w:t>Luxury models with sustainability concerns and technology-embedded features, such as the Prius, RAV4, and Lexus, are prioritised by high-income consumers, along with hybrid and electric models (Toyota Global, 2025).</w:t>
      </w:r>
    </w:p>
    <w:p w14:paraId="7B5F0D30" w14:textId="77777777" w:rsidR="00605D40" w:rsidRPr="00216A29" w:rsidRDefault="006F0C8D">
      <w:pPr>
        <w:numPr>
          <w:ilvl w:val="0"/>
          <w:numId w:val="27"/>
        </w:numPr>
        <w:spacing w:after="0"/>
      </w:pPr>
      <w:r w:rsidRPr="00216A29">
        <w:rPr>
          <w:rFonts w:ascii="Arial" w:eastAsia="Arial" w:hAnsi="Arial" w:cs="Arial"/>
          <w:b/>
          <w:bCs/>
        </w:rPr>
        <w:t>India:</w:t>
      </w:r>
      <w:r w:rsidRPr="00216A29">
        <w:rPr>
          <w:rFonts w:ascii="Arial" w:eastAsia="Arial" w:hAnsi="Arial" w:cs="Arial"/>
        </w:rPr>
        <w:t xml:space="preserve"> Models such as Innova Hycross, Fortuner and Urban Cruiser have been launched to mostly target middle and upper-middle income families to address affordability and practicality.</w:t>
      </w:r>
    </w:p>
    <w:p w14:paraId="0889F67B" w14:textId="77777777" w:rsidR="00605D40" w:rsidRPr="00216A29" w:rsidRDefault="006F0C8D">
      <w:pPr>
        <w:numPr>
          <w:ilvl w:val="0"/>
          <w:numId w:val="27"/>
        </w:numPr>
      </w:pPr>
      <w:r w:rsidRPr="00216A29">
        <w:rPr>
          <w:rFonts w:ascii="Arial" w:eastAsia="Arial" w:hAnsi="Arial" w:cs="Arial"/>
          <w:b/>
          <w:bCs/>
        </w:rPr>
        <w:t xml:space="preserve">Similarities and differences: </w:t>
      </w:r>
      <w:r w:rsidRPr="00216A29">
        <w:rPr>
          <w:rFonts w:ascii="Arial" w:eastAsia="Arial" w:hAnsi="Arial" w:cs="Arial"/>
        </w:rPr>
        <w:t xml:space="preserve">differentiated targeting strengthened customer acquisition through diversified offers. On the contrary, sustainability and innovation are core aspects in the USA, while the value for money concept is present in India. </w:t>
      </w:r>
    </w:p>
    <w:p w14:paraId="2FC192E5" w14:textId="77777777" w:rsidR="00605D40" w:rsidRPr="00216A29" w:rsidRDefault="006F0C8D">
      <w:pPr>
        <w:pStyle w:val="Heading2"/>
      </w:pPr>
      <w:bookmarkStart w:id="10" w:name="_Toc237252895"/>
      <w:r w:rsidRPr="00216A29">
        <w:t>3.3 Positioning</w:t>
      </w:r>
      <w:bookmarkEnd w:id="10"/>
      <w:r w:rsidRPr="00216A29">
        <w:t xml:space="preserve"> </w:t>
      </w:r>
    </w:p>
    <w:p w14:paraId="302D163C" w14:textId="77777777" w:rsidR="00605D40" w:rsidRPr="00216A29" w:rsidRDefault="006F0C8D">
      <w:pPr>
        <w:rPr>
          <w:rFonts w:ascii="Arial" w:eastAsia="Arial" w:hAnsi="Arial" w:cs="Arial"/>
        </w:rPr>
      </w:pPr>
      <w:r w:rsidRPr="00216A29">
        <w:rPr>
          <w:rFonts w:ascii="Arial" w:eastAsia="Arial" w:hAnsi="Arial" w:cs="Arial"/>
        </w:rPr>
        <w:t xml:space="preserve">The competitive positioning for Toyota fulfils the requirements of risk aversion and stable positioning in both markets. </w:t>
      </w:r>
    </w:p>
    <w:p w14:paraId="4CBADABB" w14:textId="77777777" w:rsidR="00605D40" w:rsidRPr="00216A29" w:rsidRDefault="006F0C8D">
      <w:pPr>
        <w:numPr>
          <w:ilvl w:val="0"/>
          <w:numId w:val="1"/>
        </w:numPr>
        <w:spacing w:after="0"/>
      </w:pPr>
      <w:r w:rsidRPr="00216A29">
        <w:rPr>
          <w:rFonts w:ascii="Arial" w:eastAsia="Arial" w:hAnsi="Arial" w:cs="Arial"/>
          <w:b/>
          <w:bCs/>
        </w:rPr>
        <w:t xml:space="preserve">USA: </w:t>
      </w:r>
      <w:r w:rsidRPr="00216A29">
        <w:rPr>
          <w:rFonts w:ascii="Arial" w:eastAsia="Arial" w:hAnsi="Arial" w:cs="Arial"/>
        </w:rPr>
        <w:t>Hybrid innovation, advanced safety features and sustainability are prioritised, which creates a position of high technology and a premium price.</w:t>
      </w:r>
    </w:p>
    <w:p w14:paraId="37661718" w14:textId="77777777" w:rsidR="00605D40" w:rsidRPr="00216A29" w:rsidRDefault="006F0C8D">
      <w:pPr>
        <w:numPr>
          <w:ilvl w:val="0"/>
          <w:numId w:val="1"/>
        </w:numPr>
        <w:spacing w:after="0"/>
      </w:pPr>
      <w:r w:rsidRPr="00216A29">
        <w:rPr>
          <w:rFonts w:ascii="Arial" w:eastAsia="Arial" w:hAnsi="Arial" w:cs="Arial"/>
          <w:b/>
          <w:bCs/>
        </w:rPr>
        <w:t>India:</w:t>
      </w:r>
      <w:r w:rsidRPr="00216A29">
        <w:rPr>
          <w:rFonts w:ascii="Arial" w:eastAsia="Arial" w:hAnsi="Arial" w:cs="Arial"/>
        </w:rPr>
        <w:t xml:space="preserve">  Family-oriented consumers with a preference for affordable, durable and fuel-efficient vehicles called for a position of high reliability and moderate pricing.</w:t>
      </w:r>
    </w:p>
    <w:p w14:paraId="6290C16B" w14:textId="77777777" w:rsidR="00605D40" w:rsidRPr="00216A29" w:rsidRDefault="006F0C8D">
      <w:pPr>
        <w:numPr>
          <w:ilvl w:val="0"/>
          <w:numId w:val="1"/>
        </w:numPr>
      </w:pPr>
      <w:r w:rsidRPr="00216A29">
        <w:rPr>
          <w:rFonts w:ascii="Arial" w:eastAsia="Arial" w:hAnsi="Arial" w:cs="Arial"/>
          <w:b/>
          <w:bCs/>
        </w:rPr>
        <w:t>Similarities and differences:</w:t>
      </w:r>
      <w:r w:rsidRPr="00216A29">
        <w:rPr>
          <w:rFonts w:ascii="Arial" w:eastAsia="Arial" w:hAnsi="Arial" w:cs="Arial"/>
        </w:rPr>
        <w:t xml:space="preserve"> Both the markets demonstrated opportunities for a high-quality and reliable automotive brand like Toyota. On the contrary, innovation priorities have been valued in the USA, while price sensitivity remains a top priority for Toyota in India. </w:t>
      </w:r>
    </w:p>
    <w:p w14:paraId="66590D92"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0DD28638" wp14:editId="6073D481">
            <wp:extent cx="4252913" cy="3729950"/>
            <wp:effectExtent l="12700" t="12700" r="12700" b="1270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l="12660" r="8814"/>
                    <a:stretch>
                      <a:fillRect/>
                    </a:stretch>
                  </pic:blipFill>
                  <pic:spPr>
                    <a:xfrm>
                      <a:off x="0" y="0"/>
                      <a:ext cx="4252913" cy="3729950"/>
                    </a:xfrm>
                    <a:prstGeom prst="rect">
                      <a:avLst/>
                    </a:prstGeom>
                    <a:ln w="12700">
                      <a:solidFill>
                        <a:srgbClr val="000000"/>
                      </a:solidFill>
                      <a:prstDash val="solid"/>
                    </a:ln>
                  </pic:spPr>
                </pic:pic>
              </a:graphicData>
            </a:graphic>
          </wp:inline>
        </w:drawing>
      </w:r>
    </w:p>
    <w:p w14:paraId="016A82DE" w14:textId="77777777" w:rsidR="00605D40" w:rsidRPr="00216A29" w:rsidRDefault="006F0C8D">
      <w:pPr>
        <w:jc w:val="center"/>
        <w:rPr>
          <w:rFonts w:ascii="Arial" w:eastAsia="Arial" w:hAnsi="Arial" w:cs="Arial"/>
          <w:b/>
          <w:bCs/>
        </w:rPr>
      </w:pPr>
      <w:r w:rsidRPr="00216A29">
        <w:rPr>
          <w:rFonts w:ascii="Arial" w:eastAsia="Arial" w:hAnsi="Arial" w:cs="Arial"/>
          <w:b/>
          <w:bCs/>
        </w:rPr>
        <w:t>Figure 13: Perceptual map of USA</w:t>
      </w:r>
    </w:p>
    <w:p w14:paraId="6E2B368B" w14:textId="77777777" w:rsidR="00605D40" w:rsidRPr="00216A29" w:rsidRDefault="006F0C8D">
      <w:pPr>
        <w:jc w:val="center"/>
        <w:rPr>
          <w:rFonts w:ascii="Arial" w:eastAsia="Arial" w:hAnsi="Arial" w:cs="Arial"/>
        </w:rPr>
      </w:pPr>
      <w:r w:rsidRPr="00216A29">
        <w:rPr>
          <w:rFonts w:ascii="Arial" w:eastAsia="Arial" w:hAnsi="Arial" w:cs="Arial"/>
        </w:rPr>
        <w:t>(Source: Self-developed)</w:t>
      </w:r>
    </w:p>
    <w:p w14:paraId="0AD85FAC"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56AC419D" wp14:editId="295DFB54">
            <wp:extent cx="4100513" cy="3369583"/>
            <wp:effectExtent l="12700" t="12700" r="12700" b="1270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l="10897" r="8654"/>
                    <a:stretch>
                      <a:fillRect/>
                    </a:stretch>
                  </pic:blipFill>
                  <pic:spPr>
                    <a:xfrm>
                      <a:off x="0" y="0"/>
                      <a:ext cx="4100513" cy="3369583"/>
                    </a:xfrm>
                    <a:prstGeom prst="rect">
                      <a:avLst/>
                    </a:prstGeom>
                    <a:ln w="12700">
                      <a:solidFill>
                        <a:srgbClr val="000000"/>
                      </a:solidFill>
                      <a:prstDash val="solid"/>
                    </a:ln>
                  </pic:spPr>
                </pic:pic>
              </a:graphicData>
            </a:graphic>
          </wp:inline>
        </w:drawing>
      </w:r>
    </w:p>
    <w:p w14:paraId="29DAFB2A" w14:textId="77777777" w:rsidR="00605D40" w:rsidRPr="00216A29" w:rsidRDefault="006F0C8D">
      <w:pPr>
        <w:jc w:val="center"/>
        <w:rPr>
          <w:rFonts w:ascii="Arial" w:eastAsia="Arial" w:hAnsi="Arial" w:cs="Arial"/>
          <w:b/>
          <w:bCs/>
        </w:rPr>
      </w:pPr>
      <w:r w:rsidRPr="00216A29">
        <w:rPr>
          <w:rFonts w:ascii="Arial" w:eastAsia="Arial" w:hAnsi="Arial" w:cs="Arial"/>
          <w:b/>
          <w:bCs/>
        </w:rPr>
        <w:t>Figure 14: Perceptual map of India</w:t>
      </w:r>
    </w:p>
    <w:p w14:paraId="50E23E24" w14:textId="77777777" w:rsidR="00605D40" w:rsidRPr="00216A29" w:rsidRDefault="006F0C8D">
      <w:pPr>
        <w:jc w:val="center"/>
        <w:rPr>
          <w:rFonts w:ascii="Arial" w:eastAsia="Arial" w:hAnsi="Arial" w:cs="Arial"/>
        </w:rPr>
      </w:pPr>
      <w:r w:rsidRPr="00216A29">
        <w:rPr>
          <w:rFonts w:ascii="Arial" w:eastAsia="Arial" w:hAnsi="Arial" w:cs="Arial"/>
        </w:rPr>
        <w:t>(Source: Self-developed)</w:t>
      </w:r>
    </w:p>
    <w:p w14:paraId="1276DAA6" w14:textId="77777777" w:rsidR="00605D40" w:rsidRPr="00216A29" w:rsidRDefault="006F0C8D">
      <w:pPr>
        <w:rPr>
          <w:rFonts w:ascii="Arial" w:eastAsia="Arial" w:hAnsi="Arial" w:cs="Arial"/>
        </w:rPr>
      </w:pPr>
      <w:r w:rsidRPr="00216A29">
        <w:rPr>
          <w:rFonts w:ascii="Arial" w:eastAsia="Arial" w:hAnsi="Arial" w:cs="Arial"/>
          <w:b/>
          <w:bCs/>
        </w:rPr>
        <w:t>Value proposition:</w:t>
      </w:r>
      <w:r w:rsidRPr="00216A29">
        <w:rPr>
          <w:rFonts w:ascii="Arial" w:eastAsia="Arial" w:hAnsi="Arial" w:cs="Arial"/>
        </w:rPr>
        <w:t xml:space="preserve"> Toyota provides vehicle options with reliability, fuel efficiency and innovative mobility solutions with long-term value, safety and customer satisfaction. </w:t>
      </w:r>
    </w:p>
    <w:p w14:paraId="74AED789" w14:textId="77777777" w:rsidR="00605D40" w:rsidRPr="00216A29" w:rsidRDefault="006F0C8D">
      <w:pPr>
        <w:pStyle w:val="Heading1"/>
      </w:pPr>
      <w:bookmarkStart w:id="11" w:name="_y4tazfjmsng4" w:colFirst="0" w:colLast="0"/>
      <w:bookmarkEnd w:id="11"/>
      <w:r w:rsidRPr="00216A29">
        <w:br w:type="page"/>
      </w:r>
    </w:p>
    <w:p w14:paraId="728F9CAD" w14:textId="77777777" w:rsidR="00605D40" w:rsidRPr="00216A29" w:rsidRDefault="006F0C8D">
      <w:pPr>
        <w:pStyle w:val="Heading1"/>
      </w:pPr>
      <w:bookmarkStart w:id="12" w:name="_Toc237252896"/>
      <w:r w:rsidRPr="00216A29">
        <w:t>4. Comparative analysis of international marketing mix</w:t>
      </w:r>
      <w:bookmarkEnd w:id="12"/>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75"/>
        <w:gridCol w:w="4140"/>
        <w:gridCol w:w="4245"/>
      </w:tblGrid>
      <w:tr w:rsidR="00605D40" w:rsidRPr="00216A29" w14:paraId="6A969A14" w14:textId="77777777">
        <w:tc>
          <w:tcPr>
            <w:tcW w:w="975" w:type="dxa"/>
            <w:tcMar>
              <w:top w:w="100" w:type="dxa"/>
              <w:left w:w="100" w:type="dxa"/>
              <w:bottom w:w="100" w:type="dxa"/>
              <w:right w:w="100" w:type="dxa"/>
            </w:tcMar>
          </w:tcPr>
          <w:p w14:paraId="0A7A8712"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Factors</w:t>
            </w:r>
          </w:p>
        </w:tc>
        <w:tc>
          <w:tcPr>
            <w:tcW w:w="4140" w:type="dxa"/>
            <w:tcMar>
              <w:top w:w="100" w:type="dxa"/>
              <w:left w:w="100" w:type="dxa"/>
              <w:bottom w:w="100" w:type="dxa"/>
              <w:right w:w="100" w:type="dxa"/>
            </w:tcMar>
          </w:tcPr>
          <w:p w14:paraId="199C7883"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Toyota - USA</w:t>
            </w:r>
          </w:p>
        </w:tc>
        <w:tc>
          <w:tcPr>
            <w:tcW w:w="4245" w:type="dxa"/>
            <w:tcMar>
              <w:top w:w="100" w:type="dxa"/>
              <w:left w:w="100" w:type="dxa"/>
              <w:bottom w:w="100" w:type="dxa"/>
              <w:right w:w="100" w:type="dxa"/>
            </w:tcMar>
          </w:tcPr>
          <w:p w14:paraId="22C7EB32"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Toyota - India</w:t>
            </w:r>
          </w:p>
        </w:tc>
      </w:tr>
      <w:tr w:rsidR="00605D40" w:rsidRPr="00216A29" w14:paraId="16A3C32C" w14:textId="77777777">
        <w:tc>
          <w:tcPr>
            <w:tcW w:w="975" w:type="dxa"/>
            <w:tcMar>
              <w:top w:w="100" w:type="dxa"/>
              <w:left w:w="100" w:type="dxa"/>
              <w:bottom w:w="100" w:type="dxa"/>
              <w:right w:w="100" w:type="dxa"/>
            </w:tcMar>
          </w:tcPr>
          <w:p w14:paraId="2EA1E4F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Product</w:t>
            </w:r>
          </w:p>
        </w:tc>
        <w:tc>
          <w:tcPr>
            <w:tcW w:w="4140" w:type="dxa"/>
            <w:tcMar>
              <w:top w:w="100" w:type="dxa"/>
              <w:left w:w="100" w:type="dxa"/>
              <w:bottom w:w="100" w:type="dxa"/>
              <w:right w:w="100" w:type="dxa"/>
            </w:tcMar>
          </w:tcPr>
          <w:p w14:paraId="13D94FDE" w14:textId="77777777" w:rsidR="00605D40" w:rsidRPr="00216A29" w:rsidRDefault="006F0C8D">
            <w:pPr>
              <w:widowControl w:val="0"/>
              <w:numPr>
                <w:ilvl w:val="0"/>
                <w:numId w:val="35"/>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Presence of a broader portfolio includes models such as sedans (e.g., Camry), trucks (e.g., Tacoma) and EVs</w:t>
            </w:r>
          </w:p>
          <w:p w14:paraId="12D9A85B" w14:textId="77777777" w:rsidR="00605D40" w:rsidRPr="00216A29" w:rsidRDefault="006F0C8D">
            <w:pPr>
              <w:widowControl w:val="0"/>
              <w:numPr>
                <w:ilvl w:val="0"/>
                <w:numId w:val="35"/>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 xml:space="preserve">In 2025, vehicle sales in the US crossed 2.8 million units (Yahoo Finance, 2025) </w:t>
            </w:r>
          </w:p>
        </w:tc>
        <w:tc>
          <w:tcPr>
            <w:tcW w:w="4245" w:type="dxa"/>
            <w:tcMar>
              <w:top w:w="100" w:type="dxa"/>
              <w:left w:w="100" w:type="dxa"/>
              <w:bottom w:w="100" w:type="dxa"/>
              <w:right w:w="100" w:type="dxa"/>
            </w:tcMar>
          </w:tcPr>
          <w:p w14:paraId="431C6115" w14:textId="77777777" w:rsidR="00605D40" w:rsidRPr="00216A29" w:rsidRDefault="006F0C8D">
            <w:pPr>
              <w:widowControl w:val="0"/>
              <w:numPr>
                <w:ilvl w:val="0"/>
                <w:numId w:val="6"/>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Greater focus on MPVs and SUVs with Innova, Fortuner, Camry and others</w:t>
            </w:r>
          </w:p>
          <w:p w14:paraId="32C53B0C" w14:textId="77777777" w:rsidR="00605D40" w:rsidRPr="00216A29" w:rsidRDefault="006F0C8D">
            <w:pPr>
              <w:widowControl w:val="0"/>
              <w:numPr>
                <w:ilvl w:val="0"/>
                <w:numId w:val="6"/>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 xml:space="preserve">In 2025, Toyota sold 3,88,801 units in India (Toyota India, 2025) </w:t>
            </w:r>
          </w:p>
          <w:p w14:paraId="5376FBB9" w14:textId="77777777" w:rsidR="00605D40" w:rsidRPr="00216A29" w:rsidRDefault="006F0C8D">
            <w:pPr>
              <w:widowControl w:val="0"/>
              <w:numPr>
                <w:ilvl w:val="0"/>
                <w:numId w:val="6"/>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Collaboration with Suzuki helped in improving the diversification efficiency of Toyota</w:t>
            </w:r>
          </w:p>
        </w:tc>
      </w:tr>
      <w:tr w:rsidR="00605D40" w:rsidRPr="00216A29" w14:paraId="19783E71" w14:textId="77777777">
        <w:tc>
          <w:tcPr>
            <w:tcW w:w="975" w:type="dxa"/>
            <w:tcMar>
              <w:top w:w="100" w:type="dxa"/>
              <w:left w:w="100" w:type="dxa"/>
              <w:bottom w:w="100" w:type="dxa"/>
              <w:right w:w="100" w:type="dxa"/>
            </w:tcMar>
          </w:tcPr>
          <w:p w14:paraId="23833618"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Price</w:t>
            </w:r>
          </w:p>
        </w:tc>
        <w:tc>
          <w:tcPr>
            <w:tcW w:w="4140" w:type="dxa"/>
            <w:tcMar>
              <w:top w:w="100" w:type="dxa"/>
              <w:left w:w="100" w:type="dxa"/>
              <w:bottom w:w="100" w:type="dxa"/>
              <w:right w:w="100" w:type="dxa"/>
            </w:tcMar>
          </w:tcPr>
          <w:p w14:paraId="7BBEF8A7" w14:textId="77777777" w:rsidR="00605D40" w:rsidRPr="00216A29" w:rsidRDefault="006F0C8D">
            <w:pPr>
              <w:widowControl w:val="0"/>
              <w:numPr>
                <w:ilvl w:val="0"/>
                <w:numId w:val="11"/>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Financing facilities have been provided for customers</w:t>
            </w:r>
          </w:p>
          <w:p w14:paraId="685618E0" w14:textId="77777777" w:rsidR="00605D40" w:rsidRPr="00216A29" w:rsidRDefault="006F0C8D">
            <w:pPr>
              <w:widowControl w:val="0"/>
              <w:numPr>
                <w:ilvl w:val="0"/>
                <w:numId w:val="11"/>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Multiple pricing models have been considered to beat competition and cater to regular and premium segments (Week 4, Slide 7)</w:t>
            </w:r>
          </w:p>
          <w:p w14:paraId="4A052D1B" w14:textId="77777777" w:rsidR="00605D40" w:rsidRPr="00216A29" w:rsidRDefault="006F0C8D">
            <w:pPr>
              <w:widowControl w:val="0"/>
              <w:numPr>
                <w:ilvl w:val="0"/>
                <w:numId w:val="11"/>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The customer lifecycle value for Toyota in the USA is $150,000-$175,000 by 2025</w:t>
            </w:r>
          </w:p>
        </w:tc>
        <w:tc>
          <w:tcPr>
            <w:tcW w:w="4245" w:type="dxa"/>
            <w:tcMar>
              <w:top w:w="100" w:type="dxa"/>
              <w:left w:w="100" w:type="dxa"/>
              <w:bottom w:w="100" w:type="dxa"/>
              <w:right w:w="100" w:type="dxa"/>
            </w:tcMar>
          </w:tcPr>
          <w:p w14:paraId="43A03595" w14:textId="77777777" w:rsidR="00605D40" w:rsidRPr="00216A29" w:rsidRDefault="006F0C8D">
            <w:pPr>
              <w:widowControl w:val="0"/>
              <w:numPr>
                <w:ilvl w:val="0"/>
                <w:numId w:val="7"/>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Due to intense competition in the lower market segments, premium pricing (e.g., Fortuner) has been preferred</w:t>
            </w:r>
          </w:p>
          <w:p w14:paraId="7434679F" w14:textId="77777777" w:rsidR="00605D40" w:rsidRPr="00216A29" w:rsidRDefault="006F0C8D">
            <w:pPr>
              <w:widowControl w:val="0"/>
              <w:numPr>
                <w:ilvl w:val="0"/>
                <w:numId w:val="7"/>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Customers with an aspirational lifestyle have been targeted to ensure a 7%-9% rise in product prices.</w:t>
            </w:r>
          </w:p>
        </w:tc>
      </w:tr>
      <w:tr w:rsidR="00605D40" w:rsidRPr="00216A29" w14:paraId="087B9D4A" w14:textId="77777777">
        <w:tc>
          <w:tcPr>
            <w:tcW w:w="975" w:type="dxa"/>
            <w:tcMar>
              <w:top w:w="100" w:type="dxa"/>
              <w:left w:w="100" w:type="dxa"/>
              <w:bottom w:w="100" w:type="dxa"/>
              <w:right w:w="100" w:type="dxa"/>
            </w:tcMar>
          </w:tcPr>
          <w:p w14:paraId="35003C4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Place</w:t>
            </w:r>
          </w:p>
        </w:tc>
        <w:tc>
          <w:tcPr>
            <w:tcW w:w="4140" w:type="dxa"/>
            <w:tcMar>
              <w:top w:w="100" w:type="dxa"/>
              <w:left w:w="100" w:type="dxa"/>
              <w:bottom w:w="100" w:type="dxa"/>
              <w:right w:w="100" w:type="dxa"/>
            </w:tcMar>
          </w:tcPr>
          <w:p w14:paraId="65167292" w14:textId="77777777" w:rsidR="00605D40" w:rsidRPr="00216A29" w:rsidRDefault="006F0C8D">
            <w:pPr>
              <w:widowControl w:val="0"/>
              <w:numPr>
                <w:ilvl w:val="0"/>
                <w:numId w:val="38"/>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Extensive dealer network in 50 states</w:t>
            </w:r>
          </w:p>
          <w:p w14:paraId="29363D02" w14:textId="77777777" w:rsidR="00605D40" w:rsidRPr="00216A29" w:rsidRDefault="006F0C8D">
            <w:pPr>
              <w:widowControl w:val="0"/>
              <w:numPr>
                <w:ilvl w:val="0"/>
                <w:numId w:val="38"/>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Toyota Financial Services has ensured 25% higher digital retailing</w:t>
            </w:r>
          </w:p>
        </w:tc>
        <w:tc>
          <w:tcPr>
            <w:tcW w:w="4245" w:type="dxa"/>
            <w:tcMar>
              <w:top w:w="100" w:type="dxa"/>
              <w:left w:w="100" w:type="dxa"/>
              <w:bottom w:w="100" w:type="dxa"/>
              <w:right w:w="100" w:type="dxa"/>
            </w:tcMar>
          </w:tcPr>
          <w:p w14:paraId="20CF33C5" w14:textId="77777777" w:rsidR="00605D40" w:rsidRPr="00216A29" w:rsidRDefault="006F0C8D">
            <w:pPr>
              <w:widowControl w:val="0"/>
              <w:numPr>
                <w:ilvl w:val="0"/>
                <w:numId w:val="23"/>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 xml:space="preserve">Nation-wide distribution focused on manufacturing centres at Bidadi </w:t>
            </w:r>
          </w:p>
          <w:p w14:paraId="4801CF54" w14:textId="77777777" w:rsidR="00605D40" w:rsidRPr="00216A29" w:rsidRDefault="006F0C8D">
            <w:pPr>
              <w:widowControl w:val="0"/>
              <w:numPr>
                <w:ilvl w:val="0"/>
                <w:numId w:val="23"/>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Collaboration with Suzuki contributed to higher mobility into smaller cities and emerging markets</w:t>
            </w:r>
          </w:p>
        </w:tc>
      </w:tr>
      <w:tr w:rsidR="00605D40" w:rsidRPr="00216A29" w14:paraId="655BDF5C" w14:textId="77777777">
        <w:tc>
          <w:tcPr>
            <w:tcW w:w="975" w:type="dxa"/>
            <w:tcMar>
              <w:top w:w="100" w:type="dxa"/>
              <w:left w:w="100" w:type="dxa"/>
              <w:bottom w:w="100" w:type="dxa"/>
              <w:right w:w="100" w:type="dxa"/>
            </w:tcMar>
          </w:tcPr>
          <w:p w14:paraId="094DD636"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Promotion</w:t>
            </w:r>
          </w:p>
        </w:tc>
        <w:tc>
          <w:tcPr>
            <w:tcW w:w="4140" w:type="dxa"/>
            <w:tcMar>
              <w:top w:w="100" w:type="dxa"/>
              <w:left w:w="100" w:type="dxa"/>
              <w:bottom w:w="100" w:type="dxa"/>
              <w:right w:w="100" w:type="dxa"/>
            </w:tcMar>
          </w:tcPr>
          <w:p w14:paraId="0A1F7D2F" w14:textId="77777777" w:rsidR="00605D40" w:rsidRPr="00216A29" w:rsidRDefault="006F0C8D">
            <w:pPr>
              <w:widowControl w:val="0"/>
              <w:numPr>
                <w:ilvl w:val="0"/>
                <w:numId w:val="34"/>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Focus on heavy investing in TV ads and sports media</w:t>
            </w:r>
          </w:p>
          <w:p w14:paraId="751223F3" w14:textId="77777777" w:rsidR="00605D40" w:rsidRPr="00216A29" w:rsidRDefault="006F0C8D">
            <w:pPr>
              <w:widowControl w:val="0"/>
              <w:numPr>
                <w:ilvl w:val="0"/>
                <w:numId w:val="34"/>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 xml:space="preserve">Environmental sustainability and community engagement campaigns are preferred </w:t>
            </w:r>
          </w:p>
        </w:tc>
        <w:tc>
          <w:tcPr>
            <w:tcW w:w="4245" w:type="dxa"/>
            <w:tcMar>
              <w:top w:w="100" w:type="dxa"/>
              <w:left w:w="100" w:type="dxa"/>
              <w:bottom w:w="100" w:type="dxa"/>
              <w:right w:w="100" w:type="dxa"/>
            </w:tcMar>
          </w:tcPr>
          <w:p w14:paraId="53FA241A" w14:textId="77777777" w:rsidR="00605D40" w:rsidRPr="00216A29" w:rsidRDefault="006F0C8D">
            <w:pPr>
              <w:widowControl w:val="0"/>
              <w:numPr>
                <w:ilvl w:val="0"/>
                <w:numId w:val="9"/>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Social media-based and TV-based ads have been preferred with a focus on collective happiness or a sense of status linked to purchasing a car</w:t>
            </w:r>
          </w:p>
          <w:p w14:paraId="3E47D8FB" w14:textId="77777777" w:rsidR="00605D40" w:rsidRPr="00216A29" w:rsidRDefault="006F0C8D">
            <w:pPr>
              <w:widowControl w:val="0"/>
              <w:numPr>
                <w:ilvl w:val="0"/>
                <w:numId w:val="9"/>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A focus on fuel efficiency and celebrity endorsement influenced 40% promotional affairs of Toyota</w:t>
            </w:r>
          </w:p>
        </w:tc>
      </w:tr>
      <w:tr w:rsidR="00605D40" w:rsidRPr="00216A29" w14:paraId="3E2F5F8D" w14:textId="77777777">
        <w:tc>
          <w:tcPr>
            <w:tcW w:w="975" w:type="dxa"/>
            <w:tcMar>
              <w:top w:w="100" w:type="dxa"/>
              <w:left w:w="100" w:type="dxa"/>
              <w:bottom w:w="100" w:type="dxa"/>
              <w:right w:w="100" w:type="dxa"/>
            </w:tcMar>
          </w:tcPr>
          <w:p w14:paraId="1094C5E2"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People</w:t>
            </w:r>
          </w:p>
        </w:tc>
        <w:tc>
          <w:tcPr>
            <w:tcW w:w="4140" w:type="dxa"/>
            <w:tcMar>
              <w:top w:w="100" w:type="dxa"/>
              <w:left w:w="100" w:type="dxa"/>
              <w:bottom w:w="100" w:type="dxa"/>
              <w:right w:w="100" w:type="dxa"/>
            </w:tcMar>
          </w:tcPr>
          <w:p w14:paraId="36783370" w14:textId="77777777" w:rsidR="00605D40" w:rsidRPr="00216A29" w:rsidRDefault="006F0C8D">
            <w:pPr>
              <w:widowControl w:val="0"/>
              <w:numPr>
                <w:ilvl w:val="0"/>
                <w:numId w:val="36"/>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A culture of incremental innovation has been standardised with the help of the Toyota Production System (TPS)</w:t>
            </w:r>
          </w:p>
          <w:p w14:paraId="3C5A1C57" w14:textId="77777777" w:rsidR="00605D40" w:rsidRPr="00216A29" w:rsidRDefault="006F0C8D">
            <w:pPr>
              <w:widowControl w:val="0"/>
              <w:numPr>
                <w:ilvl w:val="0"/>
                <w:numId w:val="36"/>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Certified technicians and the ToyotaCare program led to the development of a professional atmosphere and a 15% higher employee satisfaction rate (Toyota Care, 2026)</w:t>
            </w:r>
          </w:p>
        </w:tc>
        <w:tc>
          <w:tcPr>
            <w:tcW w:w="4245" w:type="dxa"/>
            <w:tcMar>
              <w:top w:w="100" w:type="dxa"/>
              <w:left w:w="100" w:type="dxa"/>
              <w:bottom w:w="100" w:type="dxa"/>
              <w:right w:w="100" w:type="dxa"/>
            </w:tcMar>
          </w:tcPr>
          <w:p w14:paraId="67FE0879" w14:textId="77777777" w:rsidR="00605D40" w:rsidRPr="00216A29" w:rsidRDefault="006F0C8D">
            <w:pPr>
              <w:widowControl w:val="0"/>
              <w:numPr>
                <w:ilvl w:val="0"/>
                <w:numId w:val="3"/>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A focus on dealer service quality has led to improvement in customer relationships for Toyota</w:t>
            </w:r>
          </w:p>
          <w:p w14:paraId="1798061E" w14:textId="77777777" w:rsidR="00605D40" w:rsidRPr="00216A29" w:rsidRDefault="006F0C8D">
            <w:pPr>
              <w:widowControl w:val="0"/>
              <w:numPr>
                <w:ilvl w:val="0"/>
                <w:numId w:val="3"/>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Higher efficiency in service management has been achieved through dedicated after-sales service</w:t>
            </w:r>
          </w:p>
        </w:tc>
      </w:tr>
      <w:tr w:rsidR="00605D40" w:rsidRPr="00216A29" w14:paraId="67DF5C03" w14:textId="77777777">
        <w:tc>
          <w:tcPr>
            <w:tcW w:w="975" w:type="dxa"/>
            <w:tcMar>
              <w:top w:w="100" w:type="dxa"/>
              <w:left w:w="100" w:type="dxa"/>
              <w:bottom w:w="100" w:type="dxa"/>
              <w:right w:w="100" w:type="dxa"/>
            </w:tcMar>
          </w:tcPr>
          <w:p w14:paraId="3A7175F8"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Process</w:t>
            </w:r>
          </w:p>
        </w:tc>
        <w:tc>
          <w:tcPr>
            <w:tcW w:w="4140" w:type="dxa"/>
            <w:tcMar>
              <w:top w:w="100" w:type="dxa"/>
              <w:left w:w="100" w:type="dxa"/>
              <w:bottom w:w="100" w:type="dxa"/>
              <w:right w:w="100" w:type="dxa"/>
            </w:tcMar>
          </w:tcPr>
          <w:p w14:paraId="2DC78B74" w14:textId="77777777" w:rsidR="00605D40" w:rsidRPr="00216A29" w:rsidRDefault="006F0C8D">
            <w:pPr>
              <w:widowControl w:val="0"/>
              <w:numPr>
                <w:ilvl w:val="0"/>
                <w:numId w:val="12"/>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Digital purchase journey has been refined through TPS so that it can increase engagement of customers</w:t>
            </w:r>
          </w:p>
        </w:tc>
        <w:tc>
          <w:tcPr>
            <w:tcW w:w="4245" w:type="dxa"/>
            <w:tcMar>
              <w:top w:w="100" w:type="dxa"/>
              <w:left w:w="100" w:type="dxa"/>
              <w:bottom w:w="100" w:type="dxa"/>
              <w:right w:w="100" w:type="dxa"/>
            </w:tcMar>
          </w:tcPr>
          <w:p w14:paraId="5B3DAB3E" w14:textId="77777777" w:rsidR="00605D40" w:rsidRPr="00216A29" w:rsidRDefault="006F0C8D">
            <w:pPr>
              <w:widowControl w:val="0"/>
              <w:numPr>
                <w:ilvl w:val="0"/>
                <w:numId w:val="10"/>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Standardisation of service processes has been achieved to maintain consistency across showrooms and dealerships</w:t>
            </w:r>
          </w:p>
        </w:tc>
      </w:tr>
      <w:tr w:rsidR="00605D40" w:rsidRPr="00216A29" w14:paraId="188F40C4" w14:textId="77777777">
        <w:tc>
          <w:tcPr>
            <w:tcW w:w="975" w:type="dxa"/>
            <w:tcMar>
              <w:top w:w="100" w:type="dxa"/>
              <w:left w:w="100" w:type="dxa"/>
              <w:bottom w:w="100" w:type="dxa"/>
              <w:right w:w="100" w:type="dxa"/>
            </w:tcMar>
          </w:tcPr>
          <w:p w14:paraId="7ED9CDE8"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Physical Evidence</w:t>
            </w:r>
          </w:p>
        </w:tc>
        <w:tc>
          <w:tcPr>
            <w:tcW w:w="4140" w:type="dxa"/>
            <w:tcMar>
              <w:top w:w="100" w:type="dxa"/>
              <w:left w:w="100" w:type="dxa"/>
              <w:bottom w:w="100" w:type="dxa"/>
              <w:right w:w="100" w:type="dxa"/>
            </w:tcMar>
          </w:tcPr>
          <w:p w14:paraId="04BD2FED" w14:textId="77777777" w:rsidR="00605D40" w:rsidRPr="00216A29" w:rsidRDefault="006F0C8D">
            <w:pPr>
              <w:widowControl w:val="0"/>
              <w:numPr>
                <w:ilvl w:val="0"/>
                <w:numId w:val="5"/>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Modern architecture, vertical integration, interactive showrooms and digital configurators have been preferred (Week 4, Slide 9)</w:t>
            </w:r>
          </w:p>
        </w:tc>
        <w:tc>
          <w:tcPr>
            <w:tcW w:w="4245" w:type="dxa"/>
            <w:tcMar>
              <w:top w:w="100" w:type="dxa"/>
              <w:left w:w="100" w:type="dxa"/>
              <w:bottom w:w="100" w:type="dxa"/>
              <w:right w:w="100" w:type="dxa"/>
            </w:tcMar>
          </w:tcPr>
          <w:p w14:paraId="68E44746" w14:textId="77777777" w:rsidR="00605D40" w:rsidRPr="00216A29" w:rsidRDefault="006F0C8D">
            <w:pPr>
              <w:widowControl w:val="0"/>
              <w:numPr>
                <w:ilvl w:val="0"/>
                <w:numId w:val="2"/>
              </w:numPr>
              <w:pBdr>
                <w:top w:val="nil"/>
                <w:left w:val="nil"/>
                <w:bottom w:val="nil"/>
                <w:right w:val="nil"/>
                <w:between w:val="nil"/>
              </w:pBdr>
              <w:spacing w:after="0" w:line="240" w:lineRule="auto"/>
              <w:jc w:val="left"/>
              <w:rPr>
                <w:rFonts w:ascii="Arial" w:eastAsia="Arial" w:hAnsi="Arial" w:cs="Arial"/>
              </w:rPr>
            </w:pPr>
            <w:r w:rsidRPr="00216A29">
              <w:rPr>
                <w:rFonts w:ascii="Arial" w:eastAsia="Arial" w:hAnsi="Arial" w:cs="Arial"/>
              </w:rPr>
              <w:t xml:space="preserve">Premium leadership (for Lexus) along with standard outlets improve luxury positioning </w:t>
            </w:r>
          </w:p>
        </w:tc>
      </w:tr>
    </w:tbl>
    <w:p w14:paraId="4AB46E1A" w14:textId="77777777" w:rsidR="00605D40" w:rsidRPr="00216A29" w:rsidRDefault="006F0C8D">
      <w:pPr>
        <w:jc w:val="center"/>
        <w:rPr>
          <w:rFonts w:ascii="Arial" w:eastAsia="Arial" w:hAnsi="Arial" w:cs="Arial"/>
          <w:b/>
          <w:bCs/>
        </w:rPr>
      </w:pPr>
      <w:r w:rsidRPr="00216A29">
        <w:rPr>
          <w:rFonts w:ascii="Arial" w:eastAsia="Arial" w:hAnsi="Arial" w:cs="Arial"/>
          <w:b/>
          <w:bCs/>
        </w:rPr>
        <w:t>Table 2: 7P analysis</w:t>
      </w:r>
    </w:p>
    <w:p w14:paraId="06F0BF8E" w14:textId="77777777" w:rsidR="00605D40" w:rsidRPr="00216A29" w:rsidRDefault="006F0C8D">
      <w:pPr>
        <w:jc w:val="center"/>
        <w:rPr>
          <w:rFonts w:ascii="Arial" w:eastAsia="Arial" w:hAnsi="Arial" w:cs="Arial"/>
        </w:rPr>
      </w:pPr>
      <w:r w:rsidRPr="00216A29">
        <w:rPr>
          <w:rFonts w:ascii="Arial" w:eastAsia="Arial" w:hAnsi="Arial" w:cs="Arial"/>
        </w:rPr>
        <w:t>(Source: Self-developed)</w:t>
      </w:r>
    </w:p>
    <w:p w14:paraId="5CF15179" w14:textId="77777777" w:rsidR="00605D40" w:rsidRPr="00216A29" w:rsidRDefault="006F0C8D">
      <w:pPr>
        <w:rPr>
          <w:rFonts w:ascii="Arial" w:eastAsia="Arial" w:hAnsi="Arial" w:cs="Arial"/>
          <w:b/>
          <w:bCs/>
          <w:i/>
          <w:iCs/>
        </w:rPr>
      </w:pPr>
      <w:r w:rsidRPr="00216A29">
        <w:rPr>
          <w:rFonts w:ascii="Arial" w:eastAsia="Arial" w:hAnsi="Arial" w:cs="Arial"/>
          <w:b/>
          <w:bCs/>
          <w:i/>
          <w:iCs/>
        </w:rPr>
        <w:t>Comparative evaluation</w:t>
      </w:r>
    </w:p>
    <w:p w14:paraId="30CF7336" w14:textId="77777777" w:rsidR="00605D40" w:rsidRPr="00216A29" w:rsidRDefault="006F0C8D">
      <w:pPr>
        <w:rPr>
          <w:rFonts w:ascii="Arial" w:eastAsia="Arial" w:hAnsi="Arial" w:cs="Arial"/>
        </w:rPr>
      </w:pPr>
      <w:r w:rsidRPr="00216A29">
        <w:rPr>
          <w:rFonts w:ascii="Arial" w:eastAsia="Arial" w:hAnsi="Arial" w:cs="Arial"/>
        </w:rPr>
        <w:t xml:space="preserve">In comparative analysis, it can be said that a comprehensive product portfolio for every segment improved customer engagement for Toyota in the US market. Moreover, an extensive dealership and manufacturing network led to generating 23% higher efficiency in the digital retail ecosystem for the brand (Ito and Kato, 2025). On the contrary, increased adoption rate of hybrid and electrified mobility solutions has led to incorporation of aggressive marketing techniques for Toyota to increse market share in the USA. As per the diffusion of innovation model, the US market has been viewed as an ‘innovator’. </w:t>
      </w:r>
    </w:p>
    <w:p w14:paraId="2183B9CF"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157F9072" wp14:editId="59D53177">
            <wp:extent cx="5100638" cy="3212421"/>
            <wp:effectExtent l="12700" t="12700" r="12700" b="1270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5100638" cy="3212421"/>
                    </a:xfrm>
                    <a:prstGeom prst="rect">
                      <a:avLst/>
                    </a:prstGeom>
                    <a:ln w="12700">
                      <a:solidFill>
                        <a:srgbClr val="000000"/>
                      </a:solidFill>
                      <a:prstDash val="solid"/>
                    </a:ln>
                  </pic:spPr>
                </pic:pic>
              </a:graphicData>
            </a:graphic>
          </wp:inline>
        </w:drawing>
      </w:r>
    </w:p>
    <w:p w14:paraId="557BEFD9" w14:textId="77777777" w:rsidR="00605D40" w:rsidRPr="00216A29" w:rsidRDefault="006F0C8D">
      <w:pPr>
        <w:jc w:val="center"/>
        <w:rPr>
          <w:rFonts w:ascii="Arial" w:eastAsia="Arial" w:hAnsi="Arial" w:cs="Arial"/>
          <w:b/>
          <w:bCs/>
        </w:rPr>
      </w:pPr>
      <w:r w:rsidRPr="00216A29">
        <w:rPr>
          <w:rFonts w:ascii="Arial" w:eastAsia="Arial" w:hAnsi="Arial" w:cs="Arial"/>
          <w:b/>
          <w:bCs/>
        </w:rPr>
        <w:t>Figure 15: Diffusion of innovation model</w:t>
      </w:r>
    </w:p>
    <w:p w14:paraId="0EAD33C6" w14:textId="77777777" w:rsidR="00605D40" w:rsidRPr="00216A29" w:rsidRDefault="006F0C8D">
      <w:pPr>
        <w:jc w:val="center"/>
        <w:rPr>
          <w:rFonts w:ascii="Arial" w:eastAsia="Arial" w:hAnsi="Arial" w:cs="Arial"/>
        </w:rPr>
      </w:pPr>
      <w:r w:rsidRPr="00216A29">
        <w:rPr>
          <w:rFonts w:ascii="Arial" w:eastAsia="Arial" w:hAnsi="Arial" w:cs="Arial"/>
        </w:rPr>
        <w:t xml:space="preserve">(Source: Lund, 2025) </w:t>
      </w:r>
    </w:p>
    <w:p w14:paraId="25A7E189" w14:textId="77777777" w:rsidR="00605D40" w:rsidRPr="00216A29" w:rsidRDefault="006F0C8D">
      <w:pPr>
        <w:rPr>
          <w:rFonts w:ascii="Arial" w:eastAsia="Arial" w:hAnsi="Arial" w:cs="Arial"/>
        </w:rPr>
      </w:pPr>
      <w:r w:rsidRPr="00216A29">
        <w:rPr>
          <w:rFonts w:ascii="Arial" w:eastAsia="Arial" w:hAnsi="Arial" w:cs="Arial"/>
        </w:rPr>
        <w:t xml:space="preserve">In the case of India, an application of the diffusion of innovation model shows that it has been an early adopter of EVs and modern cars to address the demand of the Indian market. In India, the organisation has taken advantage of a successful hybrid strategy and a 19% higher rate of EV adoption in the market (Putri </w:t>
      </w:r>
      <w:r w:rsidRPr="00216A29">
        <w:rPr>
          <w:rFonts w:ascii="Arial" w:eastAsia="Arial" w:hAnsi="Arial" w:cs="Arial"/>
          <w:i/>
          <w:iCs/>
        </w:rPr>
        <w:t>et al.</w:t>
      </w:r>
      <w:r w:rsidRPr="00216A29">
        <w:rPr>
          <w:rFonts w:ascii="Arial" w:eastAsia="Arial" w:hAnsi="Arial" w:cs="Arial"/>
        </w:rPr>
        <w:t xml:space="preserve">, 2025). </w:t>
      </w:r>
    </w:p>
    <w:p w14:paraId="34841DDC" w14:textId="77777777" w:rsidR="00605D40" w:rsidRPr="00216A29" w:rsidRDefault="006F0C8D">
      <w:pPr>
        <w:pStyle w:val="Heading1"/>
      </w:pPr>
      <w:bookmarkStart w:id="13" w:name="_amqy8lgxfoi" w:colFirst="0" w:colLast="0"/>
      <w:bookmarkEnd w:id="13"/>
      <w:r w:rsidRPr="00216A29">
        <w:br w:type="page"/>
      </w:r>
    </w:p>
    <w:p w14:paraId="4B7A59A3" w14:textId="77777777" w:rsidR="00605D40" w:rsidRPr="00216A29" w:rsidRDefault="006F0C8D">
      <w:pPr>
        <w:pStyle w:val="Heading1"/>
      </w:pPr>
      <w:bookmarkStart w:id="14" w:name="_Toc237252897"/>
      <w:r w:rsidRPr="00216A29">
        <w:t>5. Market entry strategy</w:t>
      </w:r>
      <w:bookmarkEnd w:id="14"/>
    </w:p>
    <w:tbl>
      <w:tblPr>
        <w:tblStyle w:val="a1"/>
        <w:tblW w:w="10915" w:type="dxa"/>
        <w:tblInd w:w="-57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3"/>
        <w:gridCol w:w="1664"/>
        <w:gridCol w:w="1040"/>
        <w:gridCol w:w="1406"/>
        <w:gridCol w:w="674"/>
        <w:gridCol w:w="1040"/>
        <w:gridCol w:w="1040"/>
        <w:gridCol w:w="1499"/>
        <w:gridCol w:w="1559"/>
      </w:tblGrid>
      <w:tr w:rsidR="00605D40" w:rsidRPr="00216A29" w14:paraId="6DD426E0" w14:textId="77777777" w:rsidTr="00067C23">
        <w:tc>
          <w:tcPr>
            <w:tcW w:w="993" w:type="dxa"/>
            <w:tcMar>
              <w:top w:w="100" w:type="dxa"/>
              <w:left w:w="100" w:type="dxa"/>
              <w:bottom w:w="100" w:type="dxa"/>
              <w:right w:w="100" w:type="dxa"/>
            </w:tcMar>
          </w:tcPr>
          <w:p w14:paraId="2FCD9E74"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Market entry method</w:t>
            </w:r>
          </w:p>
        </w:tc>
        <w:tc>
          <w:tcPr>
            <w:tcW w:w="1664" w:type="dxa"/>
            <w:tcMar>
              <w:top w:w="100" w:type="dxa"/>
              <w:left w:w="100" w:type="dxa"/>
              <w:bottom w:w="100" w:type="dxa"/>
              <w:right w:w="100" w:type="dxa"/>
            </w:tcMar>
          </w:tcPr>
          <w:p w14:paraId="7E44929E"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Barriers</w:t>
            </w:r>
          </w:p>
        </w:tc>
        <w:tc>
          <w:tcPr>
            <w:tcW w:w="1040" w:type="dxa"/>
            <w:tcMar>
              <w:top w:w="100" w:type="dxa"/>
              <w:left w:w="100" w:type="dxa"/>
              <w:bottom w:w="100" w:type="dxa"/>
              <w:right w:w="100" w:type="dxa"/>
            </w:tcMar>
          </w:tcPr>
          <w:p w14:paraId="27B9A65E"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External factors</w:t>
            </w:r>
          </w:p>
        </w:tc>
        <w:tc>
          <w:tcPr>
            <w:tcW w:w="1406" w:type="dxa"/>
            <w:tcMar>
              <w:top w:w="100" w:type="dxa"/>
              <w:left w:w="100" w:type="dxa"/>
              <w:bottom w:w="100" w:type="dxa"/>
              <w:right w:w="100" w:type="dxa"/>
            </w:tcMar>
          </w:tcPr>
          <w:p w14:paraId="18303E71"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Opportunities</w:t>
            </w:r>
          </w:p>
        </w:tc>
        <w:tc>
          <w:tcPr>
            <w:tcW w:w="674" w:type="dxa"/>
            <w:tcMar>
              <w:top w:w="100" w:type="dxa"/>
              <w:left w:w="100" w:type="dxa"/>
              <w:bottom w:w="100" w:type="dxa"/>
              <w:right w:w="100" w:type="dxa"/>
            </w:tcMar>
          </w:tcPr>
          <w:p w14:paraId="0DD823CF"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 xml:space="preserve">Feasibility </w:t>
            </w:r>
          </w:p>
        </w:tc>
        <w:tc>
          <w:tcPr>
            <w:tcW w:w="1040" w:type="dxa"/>
            <w:tcMar>
              <w:top w:w="100" w:type="dxa"/>
              <w:left w:w="100" w:type="dxa"/>
              <w:bottom w:w="100" w:type="dxa"/>
              <w:right w:w="100" w:type="dxa"/>
            </w:tcMar>
          </w:tcPr>
          <w:p w14:paraId="37E27CDD"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 xml:space="preserve">Suitability </w:t>
            </w:r>
          </w:p>
        </w:tc>
        <w:tc>
          <w:tcPr>
            <w:tcW w:w="1040" w:type="dxa"/>
            <w:tcMar>
              <w:top w:w="100" w:type="dxa"/>
              <w:left w:w="100" w:type="dxa"/>
              <w:bottom w:w="100" w:type="dxa"/>
              <w:right w:w="100" w:type="dxa"/>
            </w:tcMar>
          </w:tcPr>
          <w:p w14:paraId="06DCFAC3"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 xml:space="preserve">Acceptability </w:t>
            </w:r>
          </w:p>
        </w:tc>
        <w:tc>
          <w:tcPr>
            <w:tcW w:w="1499" w:type="dxa"/>
            <w:tcMar>
              <w:top w:w="100" w:type="dxa"/>
              <w:left w:w="100" w:type="dxa"/>
              <w:bottom w:w="100" w:type="dxa"/>
              <w:right w:w="100" w:type="dxa"/>
            </w:tcMar>
          </w:tcPr>
          <w:p w14:paraId="668CC176"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Advantages</w:t>
            </w:r>
          </w:p>
        </w:tc>
        <w:tc>
          <w:tcPr>
            <w:tcW w:w="1559" w:type="dxa"/>
            <w:tcMar>
              <w:top w:w="100" w:type="dxa"/>
              <w:left w:w="100" w:type="dxa"/>
              <w:bottom w:w="100" w:type="dxa"/>
              <w:right w:w="100" w:type="dxa"/>
            </w:tcMar>
          </w:tcPr>
          <w:p w14:paraId="40E6B5AB" w14:textId="77777777" w:rsidR="00605D40" w:rsidRPr="00216A29" w:rsidRDefault="006F0C8D">
            <w:pPr>
              <w:widowControl w:val="0"/>
              <w:pBdr>
                <w:top w:val="nil"/>
                <w:left w:val="nil"/>
                <w:bottom w:val="nil"/>
                <w:right w:val="nil"/>
                <w:between w:val="nil"/>
              </w:pBdr>
              <w:spacing w:line="240" w:lineRule="auto"/>
              <w:jc w:val="center"/>
              <w:rPr>
                <w:rFonts w:ascii="Arial" w:eastAsia="Arial" w:hAnsi="Arial" w:cs="Arial"/>
                <w:b/>
                <w:bCs/>
              </w:rPr>
            </w:pPr>
            <w:r w:rsidRPr="00216A29">
              <w:rPr>
                <w:rFonts w:ascii="Arial" w:eastAsia="Arial" w:hAnsi="Arial" w:cs="Arial"/>
                <w:b/>
                <w:bCs/>
              </w:rPr>
              <w:t>Disadvantages</w:t>
            </w:r>
          </w:p>
        </w:tc>
      </w:tr>
      <w:tr w:rsidR="00605D40" w:rsidRPr="00216A29" w14:paraId="3B8BCC6C" w14:textId="77777777" w:rsidTr="00067C23">
        <w:tc>
          <w:tcPr>
            <w:tcW w:w="993" w:type="dxa"/>
            <w:tcMar>
              <w:top w:w="100" w:type="dxa"/>
              <w:left w:w="100" w:type="dxa"/>
              <w:bottom w:w="100" w:type="dxa"/>
              <w:right w:w="100" w:type="dxa"/>
            </w:tcMar>
          </w:tcPr>
          <w:p w14:paraId="7EE463B2"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Exporting</w:t>
            </w:r>
          </w:p>
        </w:tc>
        <w:tc>
          <w:tcPr>
            <w:tcW w:w="1664" w:type="dxa"/>
            <w:tcMar>
              <w:top w:w="100" w:type="dxa"/>
              <w:left w:w="100" w:type="dxa"/>
              <w:bottom w:w="100" w:type="dxa"/>
              <w:right w:w="100" w:type="dxa"/>
            </w:tcMar>
          </w:tcPr>
          <w:p w14:paraId="1AD19B7A"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High shipping cost; exchange rate fluctuations</w:t>
            </w:r>
          </w:p>
        </w:tc>
        <w:tc>
          <w:tcPr>
            <w:tcW w:w="1040" w:type="dxa"/>
            <w:tcMar>
              <w:top w:w="100" w:type="dxa"/>
              <w:left w:w="100" w:type="dxa"/>
              <w:bottom w:w="100" w:type="dxa"/>
              <w:right w:w="100" w:type="dxa"/>
            </w:tcMar>
          </w:tcPr>
          <w:p w14:paraId="76465BE0"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Change in trade policies</w:t>
            </w:r>
          </w:p>
        </w:tc>
        <w:tc>
          <w:tcPr>
            <w:tcW w:w="1406" w:type="dxa"/>
            <w:tcMar>
              <w:top w:w="100" w:type="dxa"/>
              <w:left w:w="100" w:type="dxa"/>
              <w:bottom w:w="100" w:type="dxa"/>
              <w:right w:w="100" w:type="dxa"/>
            </w:tcMar>
          </w:tcPr>
          <w:p w14:paraId="043FA84D"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Low initial investment</w:t>
            </w:r>
          </w:p>
        </w:tc>
        <w:tc>
          <w:tcPr>
            <w:tcW w:w="674" w:type="dxa"/>
            <w:tcMar>
              <w:top w:w="100" w:type="dxa"/>
              <w:left w:w="100" w:type="dxa"/>
              <w:bottom w:w="100" w:type="dxa"/>
              <w:right w:w="100" w:type="dxa"/>
            </w:tcMar>
          </w:tcPr>
          <w:p w14:paraId="1928324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040" w:type="dxa"/>
            <w:tcMar>
              <w:top w:w="100" w:type="dxa"/>
              <w:left w:w="100" w:type="dxa"/>
              <w:bottom w:w="100" w:type="dxa"/>
              <w:right w:w="100" w:type="dxa"/>
            </w:tcMar>
          </w:tcPr>
          <w:p w14:paraId="361D3F8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040" w:type="dxa"/>
            <w:tcMar>
              <w:top w:w="100" w:type="dxa"/>
              <w:left w:w="100" w:type="dxa"/>
              <w:bottom w:w="100" w:type="dxa"/>
              <w:right w:w="100" w:type="dxa"/>
            </w:tcMar>
          </w:tcPr>
          <w:p w14:paraId="1B1C1729"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499" w:type="dxa"/>
            <w:tcMar>
              <w:top w:w="100" w:type="dxa"/>
              <w:left w:w="100" w:type="dxa"/>
              <w:bottom w:w="100" w:type="dxa"/>
              <w:right w:w="100" w:type="dxa"/>
            </w:tcMar>
          </w:tcPr>
          <w:p w14:paraId="1FB13AF1"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Low risk, improved scope of market testing</w:t>
            </w:r>
          </w:p>
        </w:tc>
        <w:tc>
          <w:tcPr>
            <w:tcW w:w="1559" w:type="dxa"/>
            <w:tcMar>
              <w:top w:w="100" w:type="dxa"/>
              <w:left w:w="100" w:type="dxa"/>
              <w:bottom w:w="100" w:type="dxa"/>
              <w:right w:w="100" w:type="dxa"/>
            </w:tcMar>
          </w:tcPr>
          <w:p w14:paraId="6D2EE81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Less competitive pricing</w:t>
            </w:r>
          </w:p>
        </w:tc>
      </w:tr>
      <w:tr w:rsidR="00605D40" w:rsidRPr="00216A29" w14:paraId="7C91E4C1" w14:textId="77777777" w:rsidTr="00067C23">
        <w:tc>
          <w:tcPr>
            <w:tcW w:w="993" w:type="dxa"/>
            <w:tcMar>
              <w:top w:w="100" w:type="dxa"/>
              <w:left w:w="100" w:type="dxa"/>
              <w:bottom w:w="100" w:type="dxa"/>
              <w:right w:w="100" w:type="dxa"/>
            </w:tcMar>
          </w:tcPr>
          <w:p w14:paraId="7D2E191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Franchising</w:t>
            </w:r>
          </w:p>
        </w:tc>
        <w:tc>
          <w:tcPr>
            <w:tcW w:w="1664" w:type="dxa"/>
            <w:tcMar>
              <w:top w:w="100" w:type="dxa"/>
              <w:left w:w="100" w:type="dxa"/>
              <w:bottom w:w="100" w:type="dxa"/>
              <w:right w:w="100" w:type="dxa"/>
            </w:tcMar>
          </w:tcPr>
          <w:p w14:paraId="6C853044"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 xml:space="preserve">Inconsistencies in standardising manufacturing process </w:t>
            </w:r>
          </w:p>
        </w:tc>
        <w:tc>
          <w:tcPr>
            <w:tcW w:w="1040" w:type="dxa"/>
            <w:tcMar>
              <w:top w:w="100" w:type="dxa"/>
              <w:left w:w="100" w:type="dxa"/>
              <w:bottom w:w="100" w:type="dxa"/>
              <w:right w:w="100" w:type="dxa"/>
            </w:tcMar>
          </w:tcPr>
          <w:p w14:paraId="4C99816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Changes in franchise laws and regulations</w:t>
            </w:r>
          </w:p>
        </w:tc>
        <w:tc>
          <w:tcPr>
            <w:tcW w:w="1406" w:type="dxa"/>
            <w:tcMar>
              <w:top w:w="100" w:type="dxa"/>
              <w:left w:w="100" w:type="dxa"/>
              <w:bottom w:w="100" w:type="dxa"/>
              <w:right w:w="100" w:type="dxa"/>
            </w:tcMar>
          </w:tcPr>
          <w:p w14:paraId="38076C58" w14:textId="77777777" w:rsidR="00605D40" w:rsidRPr="00216A29" w:rsidRDefault="006F0C8D">
            <w:pPr>
              <w:widowControl w:val="0"/>
              <w:spacing w:line="240" w:lineRule="auto"/>
              <w:rPr>
                <w:rFonts w:ascii="Arial" w:eastAsia="Arial" w:hAnsi="Arial" w:cs="Arial"/>
              </w:rPr>
            </w:pPr>
            <w:r w:rsidRPr="00216A29">
              <w:rPr>
                <w:rFonts w:ascii="Arial" w:eastAsia="Arial" w:hAnsi="Arial" w:cs="Arial"/>
              </w:rPr>
              <w:t>Expansion of service networks</w:t>
            </w:r>
          </w:p>
        </w:tc>
        <w:tc>
          <w:tcPr>
            <w:tcW w:w="674" w:type="dxa"/>
            <w:tcMar>
              <w:top w:w="100" w:type="dxa"/>
              <w:left w:w="100" w:type="dxa"/>
              <w:bottom w:w="100" w:type="dxa"/>
              <w:right w:w="100" w:type="dxa"/>
            </w:tcMar>
          </w:tcPr>
          <w:p w14:paraId="0FD450D3"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040" w:type="dxa"/>
            <w:tcMar>
              <w:top w:w="100" w:type="dxa"/>
              <w:left w:w="100" w:type="dxa"/>
              <w:bottom w:w="100" w:type="dxa"/>
              <w:right w:w="100" w:type="dxa"/>
            </w:tcMar>
          </w:tcPr>
          <w:p w14:paraId="5F2D74DC"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040" w:type="dxa"/>
            <w:tcMar>
              <w:top w:w="100" w:type="dxa"/>
              <w:left w:w="100" w:type="dxa"/>
              <w:bottom w:w="100" w:type="dxa"/>
              <w:right w:w="100" w:type="dxa"/>
            </w:tcMar>
          </w:tcPr>
          <w:p w14:paraId="6DE8FD54"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499" w:type="dxa"/>
            <w:tcMar>
              <w:top w:w="100" w:type="dxa"/>
              <w:left w:w="100" w:type="dxa"/>
              <w:bottom w:w="100" w:type="dxa"/>
              <w:right w:w="100" w:type="dxa"/>
            </w:tcMar>
          </w:tcPr>
          <w:p w14:paraId="1E4B5E74"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Expansion of dealerships at a rapid pace at low cost</w:t>
            </w:r>
          </w:p>
        </w:tc>
        <w:tc>
          <w:tcPr>
            <w:tcW w:w="1559" w:type="dxa"/>
            <w:tcMar>
              <w:top w:w="100" w:type="dxa"/>
              <w:left w:w="100" w:type="dxa"/>
              <w:bottom w:w="100" w:type="dxa"/>
              <w:right w:w="100" w:type="dxa"/>
            </w:tcMar>
          </w:tcPr>
          <w:p w14:paraId="4C734103"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Unsuitable for vehicle manufacturing due to poor quality control</w:t>
            </w:r>
          </w:p>
        </w:tc>
      </w:tr>
      <w:tr w:rsidR="00605D40" w:rsidRPr="00216A29" w14:paraId="045F0FFB" w14:textId="77777777" w:rsidTr="00067C23">
        <w:tc>
          <w:tcPr>
            <w:tcW w:w="993" w:type="dxa"/>
            <w:tcMar>
              <w:top w:w="100" w:type="dxa"/>
              <w:left w:w="100" w:type="dxa"/>
              <w:bottom w:w="100" w:type="dxa"/>
              <w:right w:w="100" w:type="dxa"/>
            </w:tcMar>
          </w:tcPr>
          <w:p w14:paraId="0401CA0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Joint Venture</w:t>
            </w:r>
          </w:p>
        </w:tc>
        <w:tc>
          <w:tcPr>
            <w:tcW w:w="1664" w:type="dxa"/>
            <w:tcMar>
              <w:top w:w="100" w:type="dxa"/>
              <w:left w:w="100" w:type="dxa"/>
              <w:bottom w:w="100" w:type="dxa"/>
              <w:right w:w="100" w:type="dxa"/>
            </w:tcMar>
          </w:tcPr>
          <w:p w14:paraId="53B1645C"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Involvement of multiple stakeholders in the decision-making process</w:t>
            </w:r>
          </w:p>
        </w:tc>
        <w:tc>
          <w:tcPr>
            <w:tcW w:w="1040" w:type="dxa"/>
            <w:tcMar>
              <w:top w:w="100" w:type="dxa"/>
              <w:left w:w="100" w:type="dxa"/>
              <w:bottom w:w="100" w:type="dxa"/>
              <w:right w:w="100" w:type="dxa"/>
            </w:tcMar>
          </w:tcPr>
          <w:p w14:paraId="5763FF21"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Influence of local regulations and interference from local partners</w:t>
            </w:r>
          </w:p>
        </w:tc>
        <w:tc>
          <w:tcPr>
            <w:tcW w:w="1406" w:type="dxa"/>
            <w:tcMar>
              <w:top w:w="100" w:type="dxa"/>
              <w:left w:w="100" w:type="dxa"/>
              <w:bottom w:w="100" w:type="dxa"/>
              <w:right w:w="100" w:type="dxa"/>
            </w:tcMar>
          </w:tcPr>
          <w:p w14:paraId="323F696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Access to local knowledge and suppliers</w:t>
            </w:r>
          </w:p>
        </w:tc>
        <w:tc>
          <w:tcPr>
            <w:tcW w:w="674" w:type="dxa"/>
            <w:tcMar>
              <w:top w:w="100" w:type="dxa"/>
              <w:left w:w="100" w:type="dxa"/>
              <w:bottom w:w="100" w:type="dxa"/>
              <w:right w:w="100" w:type="dxa"/>
            </w:tcMar>
          </w:tcPr>
          <w:p w14:paraId="45BC9600"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8</w:t>
            </w:r>
          </w:p>
        </w:tc>
        <w:tc>
          <w:tcPr>
            <w:tcW w:w="1040" w:type="dxa"/>
            <w:tcMar>
              <w:top w:w="100" w:type="dxa"/>
              <w:left w:w="100" w:type="dxa"/>
              <w:bottom w:w="100" w:type="dxa"/>
              <w:right w:w="100" w:type="dxa"/>
            </w:tcMar>
          </w:tcPr>
          <w:p w14:paraId="6ED34D32"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8</w:t>
            </w:r>
          </w:p>
        </w:tc>
        <w:tc>
          <w:tcPr>
            <w:tcW w:w="1040" w:type="dxa"/>
            <w:tcMar>
              <w:top w:w="100" w:type="dxa"/>
              <w:left w:w="100" w:type="dxa"/>
              <w:bottom w:w="100" w:type="dxa"/>
              <w:right w:w="100" w:type="dxa"/>
            </w:tcMar>
          </w:tcPr>
          <w:p w14:paraId="3B457724"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8</w:t>
            </w:r>
          </w:p>
        </w:tc>
        <w:tc>
          <w:tcPr>
            <w:tcW w:w="1499" w:type="dxa"/>
            <w:tcMar>
              <w:top w:w="100" w:type="dxa"/>
              <w:left w:w="100" w:type="dxa"/>
              <w:bottom w:w="100" w:type="dxa"/>
              <w:right w:w="100" w:type="dxa"/>
            </w:tcMar>
          </w:tcPr>
          <w:p w14:paraId="72F8833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Sharing investment recovery risk with adequate regulatory support</w:t>
            </w:r>
          </w:p>
        </w:tc>
        <w:tc>
          <w:tcPr>
            <w:tcW w:w="1559" w:type="dxa"/>
            <w:tcMar>
              <w:top w:w="100" w:type="dxa"/>
              <w:left w:w="100" w:type="dxa"/>
              <w:bottom w:w="100" w:type="dxa"/>
              <w:right w:w="100" w:type="dxa"/>
            </w:tcMar>
          </w:tcPr>
          <w:p w14:paraId="42CE6E02"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Sharing of profit and scope of business conflicts</w:t>
            </w:r>
          </w:p>
        </w:tc>
      </w:tr>
      <w:tr w:rsidR="00605D40" w:rsidRPr="00216A29" w14:paraId="44BBF65F" w14:textId="77777777" w:rsidTr="00067C23">
        <w:tc>
          <w:tcPr>
            <w:tcW w:w="993" w:type="dxa"/>
            <w:tcMar>
              <w:top w:w="100" w:type="dxa"/>
              <w:left w:w="100" w:type="dxa"/>
              <w:bottom w:w="100" w:type="dxa"/>
              <w:right w:w="100" w:type="dxa"/>
            </w:tcMar>
          </w:tcPr>
          <w:p w14:paraId="4DF4CE13"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Licensing</w:t>
            </w:r>
          </w:p>
        </w:tc>
        <w:tc>
          <w:tcPr>
            <w:tcW w:w="1664" w:type="dxa"/>
            <w:tcMar>
              <w:top w:w="100" w:type="dxa"/>
              <w:left w:w="100" w:type="dxa"/>
              <w:bottom w:w="100" w:type="dxa"/>
              <w:right w:w="100" w:type="dxa"/>
            </w:tcMar>
          </w:tcPr>
          <w:p w14:paraId="43928A17"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Intellectual property risks</w:t>
            </w:r>
          </w:p>
        </w:tc>
        <w:tc>
          <w:tcPr>
            <w:tcW w:w="1040" w:type="dxa"/>
            <w:tcMar>
              <w:top w:w="100" w:type="dxa"/>
              <w:left w:w="100" w:type="dxa"/>
              <w:bottom w:w="100" w:type="dxa"/>
              <w:right w:w="100" w:type="dxa"/>
            </w:tcMar>
          </w:tcPr>
          <w:p w14:paraId="67C8705E"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IP protection laws</w:t>
            </w:r>
          </w:p>
        </w:tc>
        <w:tc>
          <w:tcPr>
            <w:tcW w:w="1406" w:type="dxa"/>
            <w:tcMar>
              <w:top w:w="100" w:type="dxa"/>
              <w:left w:w="100" w:type="dxa"/>
              <w:bottom w:w="100" w:type="dxa"/>
              <w:right w:w="100" w:type="dxa"/>
            </w:tcMar>
          </w:tcPr>
          <w:p w14:paraId="0F8BA217"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Rapid market entry, low investment</w:t>
            </w:r>
          </w:p>
        </w:tc>
        <w:tc>
          <w:tcPr>
            <w:tcW w:w="674" w:type="dxa"/>
            <w:tcMar>
              <w:top w:w="100" w:type="dxa"/>
              <w:left w:w="100" w:type="dxa"/>
              <w:bottom w:w="100" w:type="dxa"/>
              <w:right w:w="100" w:type="dxa"/>
            </w:tcMar>
          </w:tcPr>
          <w:p w14:paraId="7AD5FAF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040" w:type="dxa"/>
            <w:tcMar>
              <w:top w:w="100" w:type="dxa"/>
              <w:left w:w="100" w:type="dxa"/>
              <w:bottom w:w="100" w:type="dxa"/>
              <w:right w:w="100" w:type="dxa"/>
            </w:tcMar>
          </w:tcPr>
          <w:p w14:paraId="7E098874"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040" w:type="dxa"/>
            <w:tcMar>
              <w:top w:w="100" w:type="dxa"/>
              <w:left w:w="100" w:type="dxa"/>
              <w:bottom w:w="100" w:type="dxa"/>
              <w:right w:w="100" w:type="dxa"/>
            </w:tcMar>
          </w:tcPr>
          <w:p w14:paraId="4EC4C94B"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4</w:t>
            </w:r>
          </w:p>
        </w:tc>
        <w:tc>
          <w:tcPr>
            <w:tcW w:w="1499" w:type="dxa"/>
            <w:tcMar>
              <w:top w:w="100" w:type="dxa"/>
              <w:left w:w="100" w:type="dxa"/>
              <w:bottom w:w="100" w:type="dxa"/>
              <w:right w:w="100" w:type="dxa"/>
            </w:tcMar>
          </w:tcPr>
          <w:p w14:paraId="6E6B2586"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Low investment with faster scope of growth</w:t>
            </w:r>
          </w:p>
        </w:tc>
        <w:tc>
          <w:tcPr>
            <w:tcW w:w="1559" w:type="dxa"/>
            <w:tcMar>
              <w:top w:w="100" w:type="dxa"/>
              <w:left w:w="100" w:type="dxa"/>
              <w:bottom w:w="100" w:type="dxa"/>
              <w:right w:w="100" w:type="dxa"/>
            </w:tcMar>
          </w:tcPr>
          <w:p w14:paraId="1F8B795F"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Drop in product quality and profit margin</w:t>
            </w:r>
          </w:p>
        </w:tc>
      </w:tr>
      <w:tr w:rsidR="00605D40" w:rsidRPr="00216A29" w14:paraId="0AE0B3F5" w14:textId="77777777" w:rsidTr="00067C23">
        <w:tc>
          <w:tcPr>
            <w:tcW w:w="993" w:type="dxa"/>
            <w:tcMar>
              <w:top w:w="100" w:type="dxa"/>
              <w:left w:w="100" w:type="dxa"/>
              <w:bottom w:w="100" w:type="dxa"/>
              <w:right w:w="100" w:type="dxa"/>
            </w:tcMar>
          </w:tcPr>
          <w:p w14:paraId="79E77193"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Strategic alliance</w:t>
            </w:r>
          </w:p>
        </w:tc>
        <w:tc>
          <w:tcPr>
            <w:tcW w:w="1664" w:type="dxa"/>
            <w:tcMar>
              <w:top w:w="100" w:type="dxa"/>
              <w:left w:w="100" w:type="dxa"/>
              <w:bottom w:w="100" w:type="dxa"/>
              <w:right w:w="100" w:type="dxa"/>
            </w:tcMar>
          </w:tcPr>
          <w:p w14:paraId="3EFD1727"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Coordination challenges</w:t>
            </w:r>
          </w:p>
        </w:tc>
        <w:tc>
          <w:tcPr>
            <w:tcW w:w="1040" w:type="dxa"/>
            <w:tcMar>
              <w:top w:w="100" w:type="dxa"/>
              <w:left w:w="100" w:type="dxa"/>
              <w:bottom w:w="100" w:type="dxa"/>
              <w:right w:w="100" w:type="dxa"/>
            </w:tcMar>
          </w:tcPr>
          <w:p w14:paraId="0E6E0BA9"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Industry-level collaboration and partnerships</w:t>
            </w:r>
          </w:p>
        </w:tc>
        <w:tc>
          <w:tcPr>
            <w:tcW w:w="1406" w:type="dxa"/>
            <w:tcMar>
              <w:top w:w="100" w:type="dxa"/>
              <w:left w:w="100" w:type="dxa"/>
              <w:bottom w:w="100" w:type="dxa"/>
              <w:right w:w="100" w:type="dxa"/>
            </w:tcMar>
          </w:tcPr>
          <w:p w14:paraId="2EC219BA"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Collaborative product development and expansion of market</w:t>
            </w:r>
          </w:p>
        </w:tc>
        <w:tc>
          <w:tcPr>
            <w:tcW w:w="674" w:type="dxa"/>
            <w:tcMar>
              <w:top w:w="100" w:type="dxa"/>
              <w:left w:w="100" w:type="dxa"/>
              <w:bottom w:w="100" w:type="dxa"/>
              <w:right w:w="100" w:type="dxa"/>
            </w:tcMar>
          </w:tcPr>
          <w:p w14:paraId="6761CB69"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6</w:t>
            </w:r>
          </w:p>
        </w:tc>
        <w:tc>
          <w:tcPr>
            <w:tcW w:w="1040" w:type="dxa"/>
            <w:tcMar>
              <w:top w:w="100" w:type="dxa"/>
              <w:left w:w="100" w:type="dxa"/>
              <w:bottom w:w="100" w:type="dxa"/>
              <w:right w:w="100" w:type="dxa"/>
            </w:tcMar>
          </w:tcPr>
          <w:p w14:paraId="2DC568FE"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6</w:t>
            </w:r>
          </w:p>
        </w:tc>
        <w:tc>
          <w:tcPr>
            <w:tcW w:w="1040" w:type="dxa"/>
            <w:tcMar>
              <w:top w:w="100" w:type="dxa"/>
              <w:left w:w="100" w:type="dxa"/>
              <w:bottom w:w="100" w:type="dxa"/>
              <w:right w:w="100" w:type="dxa"/>
            </w:tcMar>
          </w:tcPr>
          <w:p w14:paraId="095996B1"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499" w:type="dxa"/>
            <w:tcMar>
              <w:top w:w="100" w:type="dxa"/>
              <w:left w:w="100" w:type="dxa"/>
              <w:bottom w:w="100" w:type="dxa"/>
              <w:right w:w="100" w:type="dxa"/>
            </w:tcMar>
          </w:tcPr>
          <w:p w14:paraId="4CF6C38A"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Expansion of product portfolio and reducing development costs due to higher scalability</w:t>
            </w:r>
          </w:p>
        </w:tc>
        <w:tc>
          <w:tcPr>
            <w:tcW w:w="1559" w:type="dxa"/>
            <w:tcMar>
              <w:top w:w="100" w:type="dxa"/>
              <w:left w:w="100" w:type="dxa"/>
              <w:bottom w:w="100" w:type="dxa"/>
              <w:right w:w="100" w:type="dxa"/>
            </w:tcMar>
          </w:tcPr>
          <w:p w14:paraId="31B86AA9"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Risk of unauthorised access and exploitation of proprietary knowledge</w:t>
            </w:r>
          </w:p>
        </w:tc>
      </w:tr>
      <w:tr w:rsidR="00605D40" w:rsidRPr="00216A29" w14:paraId="1CAA6FBA" w14:textId="77777777" w:rsidTr="00067C23">
        <w:tc>
          <w:tcPr>
            <w:tcW w:w="993" w:type="dxa"/>
            <w:tcMar>
              <w:top w:w="100" w:type="dxa"/>
              <w:left w:w="100" w:type="dxa"/>
              <w:bottom w:w="100" w:type="dxa"/>
              <w:right w:w="100" w:type="dxa"/>
            </w:tcMar>
          </w:tcPr>
          <w:p w14:paraId="69647A52"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Wholly owned subsidiary</w:t>
            </w:r>
          </w:p>
        </w:tc>
        <w:tc>
          <w:tcPr>
            <w:tcW w:w="1664" w:type="dxa"/>
            <w:tcMar>
              <w:top w:w="100" w:type="dxa"/>
              <w:left w:w="100" w:type="dxa"/>
              <w:bottom w:w="100" w:type="dxa"/>
              <w:right w:w="100" w:type="dxa"/>
            </w:tcMar>
          </w:tcPr>
          <w:p w14:paraId="4EB57E18"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High investment, complexity in operations; higher operational risks</w:t>
            </w:r>
          </w:p>
        </w:tc>
        <w:tc>
          <w:tcPr>
            <w:tcW w:w="1040" w:type="dxa"/>
            <w:tcMar>
              <w:top w:w="100" w:type="dxa"/>
              <w:left w:w="100" w:type="dxa"/>
              <w:bottom w:w="100" w:type="dxa"/>
              <w:right w:w="100" w:type="dxa"/>
            </w:tcMar>
          </w:tcPr>
          <w:p w14:paraId="23B3448C"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Change in FDI policies and labour laws</w:t>
            </w:r>
          </w:p>
        </w:tc>
        <w:tc>
          <w:tcPr>
            <w:tcW w:w="1406" w:type="dxa"/>
            <w:tcMar>
              <w:top w:w="100" w:type="dxa"/>
              <w:left w:w="100" w:type="dxa"/>
              <w:bottom w:w="100" w:type="dxa"/>
              <w:right w:w="100" w:type="dxa"/>
            </w:tcMar>
          </w:tcPr>
          <w:p w14:paraId="2F5982EE"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Scope of leveraging local manufacturing with full control of manufacturing or distribution</w:t>
            </w:r>
          </w:p>
        </w:tc>
        <w:tc>
          <w:tcPr>
            <w:tcW w:w="674" w:type="dxa"/>
            <w:tcMar>
              <w:top w:w="100" w:type="dxa"/>
              <w:left w:w="100" w:type="dxa"/>
              <w:bottom w:w="100" w:type="dxa"/>
              <w:right w:w="100" w:type="dxa"/>
            </w:tcMar>
          </w:tcPr>
          <w:p w14:paraId="1800B6A9"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040" w:type="dxa"/>
            <w:tcMar>
              <w:top w:w="100" w:type="dxa"/>
              <w:left w:w="100" w:type="dxa"/>
              <w:bottom w:w="100" w:type="dxa"/>
              <w:right w:w="100" w:type="dxa"/>
            </w:tcMar>
          </w:tcPr>
          <w:p w14:paraId="6E6C2ED5"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5</w:t>
            </w:r>
          </w:p>
        </w:tc>
        <w:tc>
          <w:tcPr>
            <w:tcW w:w="1040" w:type="dxa"/>
            <w:tcMar>
              <w:top w:w="100" w:type="dxa"/>
              <w:left w:w="100" w:type="dxa"/>
              <w:bottom w:w="100" w:type="dxa"/>
              <w:right w:w="100" w:type="dxa"/>
            </w:tcMar>
          </w:tcPr>
          <w:p w14:paraId="474D9F7C"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6</w:t>
            </w:r>
          </w:p>
        </w:tc>
        <w:tc>
          <w:tcPr>
            <w:tcW w:w="1499" w:type="dxa"/>
            <w:tcMar>
              <w:top w:w="100" w:type="dxa"/>
              <w:left w:w="100" w:type="dxa"/>
              <w:bottom w:w="100" w:type="dxa"/>
              <w:right w:w="100" w:type="dxa"/>
            </w:tcMar>
          </w:tcPr>
          <w:p w14:paraId="07EC2680"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Full control and production systems with suggested incremental innovation from TPS</w:t>
            </w:r>
          </w:p>
        </w:tc>
        <w:tc>
          <w:tcPr>
            <w:tcW w:w="1559" w:type="dxa"/>
            <w:tcMar>
              <w:top w:w="100" w:type="dxa"/>
              <w:left w:w="100" w:type="dxa"/>
              <w:bottom w:w="100" w:type="dxa"/>
              <w:right w:w="100" w:type="dxa"/>
            </w:tcMar>
          </w:tcPr>
          <w:p w14:paraId="098DB6CC" w14:textId="77777777" w:rsidR="00605D40" w:rsidRPr="00216A29" w:rsidRDefault="006F0C8D">
            <w:pPr>
              <w:widowControl w:val="0"/>
              <w:pBdr>
                <w:top w:val="nil"/>
                <w:left w:val="nil"/>
                <w:bottom w:val="nil"/>
                <w:right w:val="nil"/>
                <w:between w:val="nil"/>
              </w:pBdr>
              <w:spacing w:line="240" w:lineRule="auto"/>
              <w:rPr>
                <w:rFonts w:ascii="Arial" w:eastAsia="Arial" w:hAnsi="Arial" w:cs="Arial"/>
              </w:rPr>
            </w:pPr>
            <w:r w:rsidRPr="00216A29">
              <w:rPr>
                <w:rFonts w:ascii="Arial" w:eastAsia="Arial" w:hAnsi="Arial" w:cs="Arial"/>
              </w:rPr>
              <w:t>High investment; High risk of operational failure and delayed capital recovery</w:t>
            </w:r>
          </w:p>
        </w:tc>
      </w:tr>
    </w:tbl>
    <w:p w14:paraId="518CEE36" w14:textId="77777777" w:rsidR="00605D40" w:rsidRPr="00216A29" w:rsidRDefault="006F0C8D">
      <w:pPr>
        <w:jc w:val="center"/>
        <w:rPr>
          <w:rFonts w:ascii="Arial" w:eastAsia="Arial" w:hAnsi="Arial" w:cs="Arial"/>
          <w:b/>
          <w:bCs/>
        </w:rPr>
      </w:pPr>
      <w:r w:rsidRPr="00216A29">
        <w:rPr>
          <w:rFonts w:ascii="Arial" w:eastAsia="Arial" w:hAnsi="Arial" w:cs="Arial"/>
          <w:b/>
          <w:bCs/>
        </w:rPr>
        <w:t>Table 3: Market entry strategies</w:t>
      </w:r>
    </w:p>
    <w:p w14:paraId="269B7DF0" w14:textId="77777777" w:rsidR="00605D40" w:rsidRPr="00216A29" w:rsidRDefault="006F0C8D">
      <w:pPr>
        <w:jc w:val="center"/>
        <w:rPr>
          <w:rFonts w:ascii="Arial" w:eastAsia="Arial" w:hAnsi="Arial" w:cs="Arial"/>
        </w:rPr>
      </w:pPr>
      <w:r w:rsidRPr="00216A29">
        <w:rPr>
          <w:rFonts w:ascii="Arial" w:eastAsia="Arial" w:hAnsi="Arial" w:cs="Arial"/>
        </w:rPr>
        <w:t>(Source: Adapted from Week 5, Slide 3)</w:t>
      </w:r>
    </w:p>
    <w:p w14:paraId="363B1E61" w14:textId="77777777" w:rsidR="00605D40" w:rsidRPr="00216A29" w:rsidRDefault="006F0C8D">
      <w:pPr>
        <w:rPr>
          <w:rFonts w:ascii="Arial" w:eastAsia="Arial" w:hAnsi="Arial" w:cs="Arial"/>
        </w:rPr>
      </w:pPr>
      <w:r w:rsidRPr="00216A29">
        <w:rPr>
          <w:rFonts w:ascii="Arial" w:eastAsia="Arial" w:hAnsi="Arial" w:cs="Arial"/>
        </w:rPr>
        <w:t xml:space="preserve">Toyota entered India through the “Toyota Kirloskar Motor” (TKM) joint venture that enables the organisation to combine the advanced manufacturing expertise of the firm with the Kirloskar's local market knowledge, network of the suppliers and regulatory understanding. This strategy effectively reduced the entry risk while supporting the localisation strongly and ensuring greater compliance with the Industrial policies. The joint venture seemed to be successful such as in 2025, it made a record sale of 388,801 vehicles, that strengthen the presence of Toyota through the local manufacturing and effective collaboration with the Maruti Suzuki (Das, 2025). However, limitations are also there in terms of shared decision-making, high dependency on the local partners, and having a smaller product portfolio that restrict the firm’s market share in the Indian market. </w:t>
      </w:r>
    </w:p>
    <w:p w14:paraId="15093FF0" w14:textId="77777777" w:rsidR="00605D40" w:rsidRPr="00216A29" w:rsidRDefault="006F0C8D">
      <w:pPr>
        <w:jc w:val="center"/>
        <w:rPr>
          <w:rFonts w:ascii="Arial" w:eastAsia="Arial" w:hAnsi="Arial" w:cs="Arial"/>
        </w:rPr>
      </w:pPr>
      <w:r w:rsidRPr="00216A29">
        <w:rPr>
          <w:rFonts w:ascii="Arial" w:eastAsia="Arial" w:hAnsi="Arial" w:cs="Arial"/>
        </w:rPr>
        <w:t xml:space="preserve"> </w:t>
      </w:r>
    </w:p>
    <w:p w14:paraId="1EE6A5B8" w14:textId="77777777" w:rsidR="00605D40" w:rsidRPr="00216A29" w:rsidRDefault="00605D40">
      <w:pPr>
        <w:rPr>
          <w:rFonts w:ascii="Arial" w:eastAsia="Arial" w:hAnsi="Arial" w:cs="Arial"/>
        </w:rPr>
      </w:pPr>
    </w:p>
    <w:p w14:paraId="11703AEB" w14:textId="77777777" w:rsidR="00605D40" w:rsidRPr="00216A29" w:rsidRDefault="006F0C8D">
      <w:pPr>
        <w:pStyle w:val="Heading1"/>
      </w:pPr>
      <w:bookmarkStart w:id="15" w:name="_gr1zlknh47cc" w:colFirst="0" w:colLast="0"/>
      <w:bookmarkEnd w:id="15"/>
      <w:r w:rsidRPr="00216A29">
        <w:br w:type="page"/>
      </w:r>
    </w:p>
    <w:p w14:paraId="19911042" w14:textId="77777777" w:rsidR="00605D40" w:rsidRPr="00216A29" w:rsidRDefault="006F0C8D">
      <w:pPr>
        <w:pStyle w:val="Heading1"/>
      </w:pPr>
      <w:bookmarkStart w:id="16" w:name="_Toc237252898"/>
      <w:r w:rsidRPr="00216A29">
        <w:t>6. Ethical issues</w:t>
      </w:r>
      <w:bookmarkEnd w:id="16"/>
    </w:p>
    <w:p w14:paraId="6D296102" w14:textId="77777777" w:rsidR="00605D40" w:rsidRPr="00216A29" w:rsidRDefault="006F0C8D">
      <w:pPr>
        <w:rPr>
          <w:rFonts w:ascii="Arial" w:eastAsia="Arial" w:hAnsi="Arial" w:cs="Arial"/>
        </w:rPr>
      </w:pPr>
      <w:r w:rsidRPr="00216A29">
        <w:rPr>
          <w:rFonts w:ascii="Arial" w:eastAsia="Arial" w:hAnsi="Arial" w:cs="Arial"/>
        </w:rPr>
        <w:t xml:space="preserve">In terms of product safety and quality, Toyota had to recall 1.02 million vehicles in the US due to flaws in rear-view cameras (Reuters, 2025). In India, 11,529 units of Toyota Urban Cruiser Hyryder and 969 units of Toyota Land Cruiser have been recalled in 2025 and 2026, respectively (Times of India, 2025). An analysis of environmental sustainability issues shows that Scope 1 emissions have been reduced by 20%, yet 100% recycling of manufacturing waste cannot be ensured (Figueiredo </w:t>
      </w:r>
      <w:r w:rsidRPr="00216A29">
        <w:rPr>
          <w:rFonts w:ascii="Arial" w:eastAsia="Arial" w:hAnsi="Arial" w:cs="Arial"/>
          <w:i/>
          <w:iCs/>
        </w:rPr>
        <w:t>et al.</w:t>
      </w:r>
      <w:r w:rsidRPr="00216A29">
        <w:rPr>
          <w:rFonts w:ascii="Arial" w:eastAsia="Arial" w:hAnsi="Arial" w:cs="Arial"/>
        </w:rPr>
        <w:t xml:space="preserve">, 2025). </w:t>
      </w:r>
    </w:p>
    <w:p w14:paraId="677B69EF" w14:textId="77777777" w:rsidR="00605D40" w:rsidRPr="00216A29" w:rsidRDefault="006F0C8D">
      <w:pPr>
        <w:rPr>
          <w:rFonts w:ascii="Arial" w:eastAsia="Arial" w:hAnsi="Arial" w:cs="Arial"/>
        </w:rPr>
      </w:pPr>
      <w:r w:rsidRPr="00216A29">
        <w:rPr>
          <w:rFonts w:ascii="Arial" w:eastAsia="Arial" w:hAnsi="Arial" w:cs="Arial"/>
        </w:rPr>
        <w:t xml:space="preserve">Alleged violation of labour rights in the context of cultural and structural clashes has occurred for Toyota. In addition, extensive regulatory oversight due to the evolution of compliance ethics has caused delays in US-based EV production in 2026 (Taylor </w:t>
      </w:r>
      <w:r w:rsidRPr="00216A29">
        <w:rPr>
          <w:rFonts w:ascii="Arial" w:eastAsia="Arial" w:hAnsi="Arial" w:cs="Arial"/>
          <w:i/>
          <w:iCs/>
        </w:rPr>
        <w:t>et al.</w:t>
      </w:r>
      <w:r w:rsidRPr="00216A29">
        <w:rPr>
          <w:rFonts w:ascii="Arial" w:eastAsia="Arial" w:hAnsi="Arial" w:cs="Arial"/>
        </w:rPr>
        <w:t xml:space="preserve">, 2026). These ethical issues have strongly affected the confidence level of stakeholders by facilitating regulatory scrutiny and raising concerns regarding the product quality as well as corporate accountability. Although the firm eventually responded through the recalls, enhanced the monitoring of suppliers, and its Environmental challenge 2050, such repeated incidents would weaken the brand trust along with customer loyalty (Toyota, 2025). </w:t>
      </w:r>
    </w:p>
    <w:p w14:paraId="049BD85C" w14:textId="77777777" w:rsidR="00605D40" w:rsidRPr="00216A29" w:rsidRDefault="006F0C8D">
      <w:pPr>
        <w:pStyle w:val="Heading1"/>
      </w:pPr>
      <w:bookmarkStart w:id="17" w:name="_mipn1qz5tiwt" w:colFirst="0" w:colLast="0"/>
      <w:bookmarkEnd w:id="17"/>
      <w:r w:rsidRPr="00216A29">
        <w:br w:type="page"/>
      </w:r>
    </w:p>
    <w:p w14:paraId="69C7EF6D" w14:textId="77777777" w:rsidR="00605D40" w:rsidRPr="00216A29" w:rsidRDefault="006F0C8D">
      <w:pPr>
        <w:pStyle w:val="Heading1"/>
      </w:pPr>
      <w:bookmarkStart w:id="18" w:name="_Toc237252899"/>
      <w:r w:rsidRPr="00216A29">
        <w:t>7. Recommendations</w:t>
      </w:r>
      <w:bookmarkEnd w:id="18"/>
    </w:p>
    <w:p w14:paraId="363916AB" w14:textId="77777777" w:rsidR="00605D40" w:rsidRPr="00216A29" w:rsidRDefault="006F0C8D">
      <w:pPr>
        <w:rPr>
          <w:rFonts w:ascii="Arial" w:eastAsia="Arial" w:hAnsi="Arial" w:cs="Arial"/>
          <w:b/>
          <w:bCs/>
          <w:i/>
          <w:iCs/>
        </w:rPr>
      </w:pPr>
      <w:r w:rsidRPr="00216A29">
        <w:rPr>
          <w:rFonts w:ascii="Arial" w:eastAsia="Arial" w:hAnsi="Arial" w:cs="Arial"/>
          <w:b/>
          <w:bCs/>
          <w:i/>
          <w:iCs/>
        </w:rPr>
        <w:t>Recommendation 1: Expansion of hybrid and EV portfolio</w:t>
      </w:r>
    </w:p>
    <w:p w14:paraId="47277171" w14:textId="77777777" w:rsidR="00605D40" w:rsidRPr="00216A29" w:rsidRDefault="006F0C8D">
      <w:pPr>
        <w:rPr>
          <w:rFonts w:ascii="Arial" w:eastAsia="Arial" w:hAnsi="Arial" w:cs="Arial"/>
        </w:rPr>
      </w:pPr>
      <w:r w:rsidRPr="00216A29">
        <w:rPr>
          <w:rFonts w:ascii="Arial" w:eastAsia="Arial" w:hAnsi="Arial" w:cs="Arial"/>
        </w:rPr>
        <w:t xml:space="preserve">Based on the discussion, it is recommended that EV portfolio expansion can address its smaller product portfolio compared with competitors and strengthen its position in the rapidly growing EV segment in India. Expansion into plug-in hybrids with an 8-year warranty on battery packs can increase the rate of adoption by 25%, resulting in positive growth in profit margin (Malek, 2025). Moreover, the strategy will be effective in addressing the issue of limited competitiveness in an evolving electrification market of India. </w:t>
      </w:r>
    </w:p>
    <w:p w14:paraId="4F37D54A" w14:textId="77777777" w:rsidR="00605D40" w:rsidRPr="00216A29" w:rsidRDefault="006F0C8D">
      <w:pPr>
        <w:rPr>
          <w:rFonts w:ascii="Arial" w:eastAsia="Arial" w:hAnsi="Arial" w:cs="Arial"/>
          <w:b/>
          <w:bCs/>
          <w:i/>
          <w:iCs/>
        </w:rPr>
      </w:pPr>
      <w:r w:rsidRPr="00216A29">
        <w:rPr>
          <w:rFonts w:ascii="Arial" w:eastAsia="Arial" w:hAnsi="Arial" w:cs="Arial"/>
          <w:b/>
          <w:bCs/>
          <w:i/>
          <w:iCs/>
        </w:rPr>
        <w:t xml:space="preserve">Recommendation 2: Focus on localised manufacturing and supply chains </w:t>
      </w:r>
    </w:p>
    <w:p w14:paraId="2BFE5E89" w14:textId="77777777" w:rsidR="00605D40" w:rsidRPr="00216A29" w:rsidRDefault="006F0C8D">
      <w:pPr>
        <w:rPr>
          <w:rFonts w:ascii="Arial" w:eastAsia="Arial" w:hAnsi="Arial" w:cs="Arial"/>
        </w:rPr>
      </w:pPr>
      <w:r w:rsidRPr="00216A29">
        <w:rPr>
          <w:rFonts w:ascii="Arial" w:eastAsia="Arial" w:hAnsi="Arial" w:cs="Arial"/>
        </w:rPr>
        <w:t xml:space="preserve">A focus on local manufacturing and supply chains can lead to a reduction in production costs and address the challenge of price sensitivity identified in the Indian market analysis for Toyota. Support from national schemes such as ‘Make In India’ can ensure further regulatory support and an increase in ‘ease of doing businesses’. Improvement in after-sales services can be achieved (Tinwala </w:t>
      </w:r>
      <w:r w:rsidRPr="00216A29">
        <w:rPr>
          <w:rFonts w:ascii="Arial" w:eastAsia="Arial" w:hAnsi="Arial" w:cs="Arial"/>
          <w:i/>
          <w:iCs/>
        </w:rPr>
        <w:t xml:space="preserve">et al., </w:t>
      </w:r>
      <w:r w:rsidRPr="00216A29">
        <w:rPr>
          <w:rFonts w:ascii="Arial" w:eastAsia="Arial" w:hAnsi="Arial" w:cs="Arial"/>
        </w:rPr>
        <w:t xml:space="preserve">2025). Additionally, this strategy will be suitable in strengthening Toyota's value proposition while improving affordability and operational efficiency, as identified challenges previously. </w:t>
      </w:r>
    </w:p>
    <w:p w14:paraId="587D81C3" w14:textId="77777777" w:rsidR="00605D40" w:rsidRPr="00216A29" w:rsidRDefault="006F0C8D">
      <w:pPr>
        <w:rPr>
          <w:rFonts w:ascii="Arial" w:eastAsia="Arial" w:hAnsi="Arial" w:cs="Arial"/>
          <w:b/>
          <w:bCs/>
          <w:i/>
          <w:iCs/>
        </w:rPr>
      </w:pPr>
      <w:r w:rsidRPr="00216A29">
        <w:rPr>
          <w:rFonts w:ascii="Arial" w:eastAsia="Arial" w:hAnsi="Arial" w:cs="Arial"/>
          <w:b/>
          <w:bCs/>
          <w:i/>
          <w:iCs/>
        </w:rPr>
        <w:t>Recommendation 3: Increase in collaborative projects with Maruti Suzuki and investment in digital transformation</w:t>
      </w:r>
    </w:p>
    <w:p w14:paraId="61E8076E" w14:textId="77777777" w:rsidR="00605D40" w:rsidRPr="00216A29" w:rsidRDefault="006F0C8D">
      <w:pPr>
        <w:rPr>
          <w:rFonts w:ascii="Arial" w:eastAsia="Arial" w:hAnsi="Arial" w:cs="Arial"/>
        </w:rPr>
      </w:pPr>
      <w:r w:rsidRPr="00216A29">
        <w:rPr>
          <w:rFonts w:ascii="Arial" w:eastAsia="Arial" w:hAnsi="Arial" w:cs="Arial"/>
        </w:rPr>
        <w:t>Increasing collaborative projects can lead to an increase in product portfolio and distribution network for Toyota in India. Limited market penetration issues can be addressed with this strategy in Tier-2 and Tier-3 cities with a narrow competitive product range. 40% improved penetration can be achieved in Tier-2 and Tier-3 cities supported by digital transformation for improved engagement and dealership efficiency (Kumar, 2025).</w:t>
      </w:r>
    </w:p>
    <w:p w14:paraId="1D71EEE4" w14:textId="77777777" w:rsidR="00605D40" w:rsidRPr="00216A29" w:rsidRDefault="006F0C8D">
      <w:pPr>
        <w:rPr>
          <w:rFonts w:ascii="Arial" w:eastAsia="Arial" w:hAnsi="Arial" w:cs="Arial"/>
          <w:b/>
          <w:bCs/>
        </w:rPr>
      </w:pPr>
      <w:r w:rsidRPr="00216A29">
        <w:br w:type="page"/>
      </w:r>
    </w:p>
    <w:p w14:paraId="36E651D5" w14:textId="77777777" w:rsidR="00605D40" w:rsidRPr="00216A29" w:rsidRDefault="006F0C8D">
      <w:pPr>
        <w:pStyle w:val="Heading1"/>
      </w:pPr>
      <w:bookmarkStart w:id="19" w:name="_Toc237252900"/>
      <w:r w:rsidRPr="00216A29">
        <w:t>8. Conclusion</w:t>
      </w:r>
      <w:bookmarkEnd w:id="19"/>
    </w:p>
    <w:p w14:paraId="3CDE2A47" w14:textId="77777777" w:rsidR="00605D40" w:rsidRPr="00216A29" w:rsidRDefault="006F0C8D">
      <w:pPr>
        <w:rPr>
          <w:rFonts w:ascii="Arial" w:eastAsia="Arial" w:hAnsi="Arial" w:cs="Arial"/>
        </w:rPr>
      </w:pPr>
      <w:r w:rsidRPr="00216A29">
        <w:rPr>
          <w:rFonts w:ascii="Arial" w:eastAsia="Arial" w:hAnsi="Arial" w:cs="Arial"/>
        </w:rPr>
        <w:t xml:space="preserve">The report presented a detailed analysis of the macroenvironment through PESTLE analysis, which helped in developing an international marketing strategy for Toyota. Based on Hofstede’s cultural dimensions, marketing strategies have evolved to create optimum results. A comparative analysis of the 7P marketing mix has been presented for both the USA and India. Favourable market entry strategies have been discussed, where the role of joint venture for the Indian market has been justified. The ethical issues in one key market (India) have been reported along with ethical issues. </w:t>
      </w:r>
    </w:p>
    <w:p w14:paraId="3208ADBA" w14:textId="77777777" w:rsidR="00605D40" w:rsidRPr="00216A29" w:rsidRDefault="006F0C8D">
      <w:pPr>
        <w:rPr>
          <w:rFonts w:ascii="Arial" w:eastAsia="Arial" w:hAnsi="Arial" w:cs="Arial"/>
        </w:rPr>
      </w:pPr>
      <w:r w:rsidRPr="00216A29">
        <w:br w:type="page"/>
      </w:r>
    </w:p>
    <w:p w14:paraId="11FD7A6F" w14:textId="77777777" w:rsidR="00605D40" w:rsidRPr="00216A29" w:rsidRDefault="006F0C8D">
      <w:pPr>
        <w:pStyle w:val="Heading1"/>
      </w:pPr>
      <w:bookmarkStart w:id="20" w:name="_Toc237252901"/>
      <w:r w:rsidRPr="00216A29">
        <w:t>B. Section 2: Reflective Report</w:t>
      </w:r>
      <w:bookmarkEnd w:id="20"/>
    </w:p>
    <w:p w14:paraId="444EC133" w14:textId="77777777" w:rsidR="00605D40" w:rsidRPr="00216A29" w:rsidRDefault="006F0C8D">
      <w:pPr>
        <w:pStyle w:val="Heading1"/>
      </w:pPr>
      <w:bookmarkStart w:id="21" w:name="_Toc237252902"/>
      <w:r w:rsidRPr="00216A29">
        <w:t>Introduction</w:t>
      </w:r>
      <w:bookmarkEnd w:id="21"/>
    </w:p>
    <w:p w14:paraId="1C56A94E" w14:textId="77777777" w:rsidR="00605D40" w:rsidRPr="00216A29" w:rsidRDefault="006F0C8D">
      <w:pPr>
        <w:rPr>
          <w:rFonts w:ascii="Arial" w:eastAsia="Arial" w:hAnsi="Arial" w:cs="Arial"/>
        </w:rPr>
      </w:pPr>
      <w:r w:rsidRPr="00216A29">
        <w:rPr>
          <w:rFonts w:ascii="Arial" w:eastAsia="Arial" w:hAnsi="Arial" w:cs="Arial"/>
        </w:rPr>
        <w:t xml:space="preserve">Reflecting on the research process of Toyota business propensity, Gibbs’ Reflective Cycle is appropriately applied to understand business research capabilities to draw relevant conclusions. The cycle has included six stages of reflection such as description, feelings, evaluation, analysis, conclusion and action plan. The systematic framework of Gibbs’ model helps to evaluate experiences to identify opportunities for future improvement. The use of international marketing frameworks combined with secondary market research models and the Research Onion Model helped in effective decision-making. </w:t>
      </w:r>
    </w:p>
    <w:p w14:paraId="43A9DEC4" w14:textId="77777777" w:rsidR="00605D40" w:rsidRPr="00216A29" w:rsidRDefault="006F0C8D">
      <w:pPr>
        <w:pStyle w:val="Heading1"/>
      </w:pPr>
      <w:bookmarkStart w:id="22" w:name="_Toc237252903"/>
      <w:r w:rsidRPr="00216A29">
        <w:t>Application of Gibbs’ reflective model</w:t>
      </w:r>
      <w:bookmarkEnd w:id="22"/>
      <w:r w:rsidRPr="00216A29">
        <w:t xml:space="preserve"> </w:t>
      </w:r>
    </w:p>
    <w:p w14:paraId="66D3DF57" w14:textId="77777777" w:rsidR="00605D40" w:rsidRPr="00216A29" w:rsidRDefault="006F0C8D">
      <w:pPr>
        <w:pStyle w:val="Heading2"/>
      </w:pPr>
      <w:bookmarkStart w:id="23" w:name="_Toc237252904"/>
      <w:r w:rsidRPr="00216A29">
        <w:t>Description</w:t>
      </w:r>
      <w:bookmarkEnd w:id="23"/>
    </w:p>
    <w:p w14:paraId="692BFA26" w14:textId="77777777" w:rsidR="00605D40" w:rsidRPr="00216A29" w:rsidRDefault="006F0C8D">
      <w:pPr>
        <w:rPr>
          <w:rFonts w:ascii="Arial" w:eastAsia="Arial" w:hAnsi="Arial" w:cs="Arial"/>
        </w:rPr>
      </w:pPr>
      <w:r w:rsidRPr="00216A29">
        <w:rPr>
          <w:rFonts w:ascii="Arial" w:eastAsia="Arial" w:hAnsi="Arial" w:cs="Arial"/>
        </w:rPr>
        <w:t xml:space="preserve">The international marketing report on Toyota is completed through comparative analysis of international marketing strategies focusing on the USA and India. The research conducted an evaluation of macro-environmental factors through the PESTEL framework and evaluated the cultural influences using Hofstede's Cultural Dimensions model to determine the international market conditions. Moreover, STP strategies, international marketing mix (7P) and Ansoff matrix-oriented market entry strategy evaluation created details on market opportunities and setbacks for Toyota in both the USA and Indian markets. The research onion model has been considered to justify data collection, data analysis and interpretation (Yu, 2025; Lecture 8). The secondary research method employed in this study helped to collect information from literature, industry reports, government archives and company reports to strengthen systematic and evidence-based analysis.  </w:t>
      </w:r>
    </w:p>
    <w:p w14:paraId="57287312" w14:textId="77777777" w:rsidR="00605D40" w:rsidRPr="00216A29" w:rsidRDefault="006F0C8D">
      <w:pPr>
        <w:jc w:val="center"/>
        <w:rPr>
          <w:rFonts w:ascii="Arial" w:eastAsia="Arial" w:hAnsi="Arial" w:cs="Arial"/>
        </w:rPr>
      </w:pPr>
      <w:r w:rsidRPr="00216A29">
        <w:rPr>
          <w:rFonts w:ascii="Arial" w:eastAsia="Arial" w:hAnsi="Arial" w:cs="Arial"/>
          <w:noProof/>
        </w:rPr>
        <w:drawing>
          <wp:inline distT="114300" distB="114300" distL="114300" distR="114300" wp14:anchorId="62D78A14" wp14:editId="01D91808">
            <wp:extent cx="4338638" cy="2960966"/>
            <wp:effectExtent l="12700" t="12700" r="12700" b="1270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3"/>
                    <a:srcRect/>
                    <a:stretch>
                      <a:fillRect/>
                    </a:stretch>
                  </pic:blipFill>
                  <pic:spPr>
                    <a:xfrm>
                      <a:off x="0" y="0"/>
                      <a:ext cx="4338638" cy="2960966"/>
                    </a:xfrm>
                    <a:prstGeom prst="rect">
                      <a:avLst/>
                    </a:prstGeom>
                    <a:ln w="12700">
                      <a:solidFill>
                        <a:srgbClr val="000000"/>
                      </a:solidFill>
                      <a:prstDash val="solid"/>
                    </a:ln>
                  </pic:spPr>
                </pic:pic>
              </a:graphicData>
            </a:graphic>
          </wp:inline>
        </w:drawing>
      </w:r>
    </w:p>
    <w:p w14:paraId="45D36FA0" w14:textId="77777777" w:rsidR="00605D40" w:rsidRPr="00216A29" w:rsidRDefault="006F0C8D">
      <w:pPr>
        <w:jc w:val="center"/>
        <w:rPr>
          <w:rFonts w:ascii="Arial" w:eastAsia="Arial" w:hAnsi="Arial" w:cs="Arial"/>
          <w:b/>
          <w:bCs/>
        </w:rPr>
      </w:pPr>
      <w:r w:rsidRPr="00216A29">
        <w:rPr>
          <w:rFonts w:ascii="Arial" w:eastAsia="Arial" w:hAnsi="Arial" w:cs="Arial"/>
          <w:b/>
          <w:bCs/>
        </w:rPr>
        <w:t>Figure 17: Research Onion model</w:t>
      </w:r>
    </w:p>
    <w:p w14:paraId="5B6E3127" w14:textId="77777777" w:rsidR="00605D40" w:rsidRPr="00216A29" w:rsidRDefault="006F0C8D">
      <w:pPr>
        <w:jc w:val="center"/>
        <w:rPr>
          <w:rFonts w:ascii="Arial" w:eastAsia="Arial" w:hAnsi="Arial" w:cs="Arial"/>
        </w:rPr>
      </w:pPr>
      <w:r w:rsidRPr="00216A29">
        <w:rPr>
          <w:rFonts w:ascii="Arial" w:eastAsia="Arial" w:hAnsi="Arial" w:cs="Arial"/>
        </w:rPr>
        <w:t>(Source: Lecture 8, week 5)</w:t>
      </w:r>
    </w:p>
    <w:p w14:paraId="2D6091D1" w14:textId="77777777" w:rsidR="00605D40" w:rsidRPr="00216A29" w:rsidRDefault="006F0C8D">
      <w:pPr>
        <w:pStyle w:val="Heading2"/>
      </w:pPr>
      <w:bookmarkStart w:id="24" w:name="_Toc237252905"/>
      <w:r w:rsidRPr="00216A29">
        <w:t>Feelings</w:t>
      </w:r>
      <w:bookmarkEnd w:id="24"/>
    </w:p>
    <w:p w14:paraId="6CC6C0EF" w14:textId="77777777" w:rsidR="00605D40" w:rsidRPr="00216A29" w:rsidRDefault="006F0C8D">
      <w:pPr>
        <w:rPr>
          <w:rFonts w:ascii="Arial" w:eastAsia="Arial" w:hAnsi="Arial" w:cs="Arial"/>
        </w:rPr>
      </w:pPr>
      <w:r w:rsidRPr="00216A29">
        <w:rPr>
          <w:rFonts w:ascii="Arial" w:eastAsia="Arial" w:hAnsi="Arial" w:cs="Arial"/>
        </w:rPr>
        <w:t>At the initial stage, I was confident about the theoretical application of frameworks to define the international marketing position of Toyota in the Indian and the USA markets. The concepts of Hofstede, PESTEL, STP and 7Ps helped me in progressing the research through the identification of challenges and the international business environment. However, I have faced limitations in analysing due to an overload of information from literature and industry reports.  The sorting of statistical data and theoretical support seemed overwhelming, and identifying credible information required critical skills in analysis. On the contrary, the use of combined data sources has helped me in producing an evidence-based report with a professional outlook, while boosting my confidence in academic research skills. In the process, I have learnt that international marketing is extensively dependent on business environment analysis as reflected here.</w:t>
      </w:r>
    </w:p>
    <w:p w14:paraId="1FE49201" w14:textId="77777777" w:rsidR="00605D40" w:rsidRPr="00216A29" w:rsidRDefault="006F0C8D">
      <w:pPr>
        <w:pStyle w:val="Heading2"/>
      </w:pPr>
      <w:bookmarkStart w:id="25" w:name="_Toc237252906"/>
      <w:r w:rsidRPr="00216A29">
        <w:t>Evaluation</w:t>
      </w:r>
      <w:bookmarkEnd w:id="25"/>
    </w:p>
    <w:p w14:paraId="1EC1E989" w14:textId="77777777" w:rsidR="00605D40" w:rsidRPr="00216A29" w:rsidRDefault="006F0C8D">
      <w:pPr>
        <w:rPr>
          <w:rFonts w:ascii="Arial" w:eastAsia="Arial" w:hAnsi="Arial" w:cs="Arial"/>
        </w:rPr>
      </w:pPr>
      <w:r w:rsidRPr="00216A29">
        <w:rPr>
          <w:rFonts w:ascii="Arial" w:eastAsia="Arial" w:hAnsi="Arial" w:cs="Arial"/>
        </w:rPr>
        <w:t xml:space="preserve">International marketing analysis is effective when secondary research methods are implemented, which is time-effective and provides genuine information on the company's performance. Additionally, it aligned with the lecture material to ensure cost-effectiveness while accessing global datasets on the company and selected markets. However, challenges were evident when contradictory data was found in academic literature, statistical databases and company reports. For instance, the integrated report of Toyota 2025 mentioned 9.44 million units of vehicle sales, whereas CNBC showed sales of 10.7 million in 2024 (Toyota Global, 2025; CNBC, 2025). Nonetheless, I understood that avoiding discrepancies through data triangulation can achieve better results in international marketing analysis. Additionally, the knowledge obtained here showed that data control and analytical processes must address source evaluation to ensure data validity and research credibility. </w:t>
      </w:r>
    </w:p>
    <w:p w14:paraId="1028F6F4" w14:textId="77777777" w:rsidR="00605D40" w:rsidRPr="00216A29" w:rsidRDefault="006F0C8D">
      <w:pPr>
        <w:pStyle w:val="Heading2"/>
      </w:pPr>
      <w:bookmarkStart w:id="26" w:name="_Toc237252907"/>
      <w:r w:rsidRPr="00216A29">
        <w:t>Analysis</w:t>
      </w:r>
      <w:bookmarkEnd w:id="26"/>
    </w:p>
    <w:p w14:paraId="0E969B60" w14:textId="77777777" w:rsidR="00605D40" w:rsidRPr="00216A29" w:rsidRDefault="006F0C8D">
      <w:pPr>
        <w:rPr>
          <w:rFonts w:ascii="Arial" w:eastAsia="Arial" w:hAnsi="Arial" w:cs="Arial"/>
        </w:rPr>
      </w:pPr>
      <w:r w:rsidRPr="00216A29">
        <w:rPr>
          <w:rFonts w:ascii="Arial" w:eastAsia="Arial" w:hAnsi="Arial" w:cs="Arial"/>
        </w:rPr>
        <w:t xml:space="preserve">The research report followed a secondary research method for accessing extensive information on the international market within a specific time period. As per the views of Hechavarria </w:t>
      </w:r>
      <w:r w:rsidRPr="00216A29">
        <w:rPr>
          <w:rFonts w:ascii="Arial" w:eastAsia="Arial" w:hAnsi="Arial" w:cs="Arial"/>
          <w:i/>
          <w:iCs/>
        </w:rPr>
        <w:t xml:space="preserve">et al. </w:t>
      </w:r>
      <w:r w:rsidRPr="00216A29">
        <w:rPr>
          <w:rFonts w:ascii="Arial" w:eastAsia="Arial" w:hAnsi="Arial" w:cs="Arial"/>
        </w:rPr>
        <w:t xml:space="preserve">(2025), secondary data shows high accessibility with cost and time efficiency while supporting broad market coverage, which enabled a comparative market analysis of the USA and India for Toyota. Moreover, the Research Onion Model provided standard guidelines to select and implement the secondary research strategy. Primary research was not practical here as it would direct the research to collect data from consumers and stakeholders in both markets. </w:t>
      </w:r>
    </w:p>
    <w:p w14:paraId="42D37636" w14:textId="77777777" w:rsidR="00605D40" w:rsidRPr="00216A29" w:rsidRDefault="006F0C8D">
      <w:pPr>
        <w:rPr>
          <w:rFonts w:ascii="Arial" w:eastAsia="Arial" w:hAnsi="Arial" w:cs="Arial"/>
        </w:rPr>
      </w:pPr>
      <w:r w:rsidRPr="00216A29">
        <w:rPr>
          <w:rFonts w:ascii="Arial" w:eastAsia="Arial" w:hAnsi="Arial" w:cs="Arial"/>
        </w:rPr>
        <w:t xml:space="preserve">On the contrary, instances of inconsistencies or discrepancies in secondary data sources required optimisation of findings from multiple research phases. For instance, FY2024–25 sales of Toyota differ in the  Toyota Kirloskar Motor report and the global annual report by 51,653 units (Toyota Bharat, 2025; Toyota Global, 2025). Nonetheless, the data triangulation and evaluation of multiple sources before drawing the interpretation had helped this report. Notwithstanding the challenges, the procedure helped me gain ample knowledge about the professional application of data sources and evaluate the authenticity of well-known databases. </w:t>
      </w:r>
    </w:p>
    <w:p w14:paraId="456AC245" w14:textId="77777777" w:rsidR="00605D40" w:rsidRPr="00216A29" w:rsidRDefault="006F0C8D">
      <w:pPr>
        <w:pStyle w:val="Heading2"/>
      </w:pPr>
      <w:bookmarkStart w:id="27" w:name="_Toc237252908"/>
      <w:r w:rsidRPr="00216A29">
        <w:t>Conclusion</w:t>
      </w:r>
      <w:bookmarkEnd w:id="27"/>
    </w:p>
    <w:p w14:paraId="2BABA3F0" w14:textId="77777777" w:rsidR="00605D40" w:rsidRPr="00216A29" w:rsidRDefault="006F0C8D">
      <w:pPr>
        <w:rPr>
          <w:rFonts w:ascii="Arial" w:eastAsia="Arial" w:hAnsi="Arial" w:cs="Arial"/>
        </w:rPr>
      </w:pPr>
      <w:r w:rsidRPr="00216A29">
        <w:rPr>
          <w:rFonts w:ascii="Arial" w:eastAsia="Arial" w:hAnsi="Arial" w:cs="Arial"/>
        </w:rPr>
        <w:t xml:space="preserve">From the assignment, I acknowledge its influence to improve my theoretical understanding of international market research and professional outlook on critical evaluation of information from multiple resources for deriving diverse effects of business factors. The theoretical framework application and guidance from the Research Onion Model indicated the significance of an integrative practice that supports evidence-based decision-making. Nonetheless, I gained knowledge of systematic secondary research from reliable sources to maintain the validity of findings. Finally, the experience has increased my appreciation for the cross-bridge of theoretical foundations with complex international business scenarios successfully. </w:t>
      </w:r>
    </w:p>
    <w:p w14:paraId="72BD03FA" w14:textId="77777777" w:rsidR="00605D40" w:rsidRPr="00216A29" w:rsidRDefault="006F0C8D">
      <w:pPr>
        <w:pStyle w:val="Heading2"/>
      </w:pPr>
      <w:bookmarkStart w:id="28" w:name="_Toc237252909"/>
      <w:r w:rsidRPr="00216A29">
        <w:t>Action plan</w:t>
      </w:r>
      <w:bookmarkEnd w:id="28"/>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605D40" w:rsidRPr="00216A29" w14:paraId="5E716A8A" w14:textId="77777777">
        <w:tc>
          <w:tcPr>
            <w:tcW w:w="2340" w:type="dxa"/>
            <w:tcMar>
              <w:top w:w="100" w:type="dxa"/>
              <w:left w:w="100" w:type="dxa"/>
              <w:bottom w:w="100" w:type="dxa"/>
              <w:right w:w="100" w:type="dxa"/>
            </w:tcMar>
          </w:tcPr>
          <w:p w14:paraId="584E8D32" w14:textId="77777777" w:rsidR="00605D40" w:rsidRPr="00216A29" w:rsidRDefault="006F0C8D">
            <w:pPr>
              <w:widowControl w:val="0"/>
              <w:pBdr>
                <w:top w:val="nil"/>
                <w:left w:val="nil"/>
                <w:bottom w:val="nil"/>
                <w:right w:val="nil"/>
                <w:between w:val="nil"/>
              </w:pBdr>
              <w:spacing w:after="0"/>
              <w:rPr>
                <w:rFonts w:ascii="Arial" w:eastAsia="Arial" w:hAnsi="Arial" w:cs="Arial"/>
                <w:b/>
                <w:bCs/>
              </w:rPr>
            </w:pPr>
            <w:r w:rsidRPr="00216A29">
              <w:rPr>
                <w:rFonts w:ascii="Arial" w:eastAsia="Arial" w:hAnsi="Arial" w:cs="Arial"/>
                <w:b/>
                <w:bCs/>
              </w:rPr>
              <w:t xml:space="preserve">Goals </w:t>
            </w:r>
          </w:p>
        </w:tc>
        <w:tc>
          <w:tcPr>
            <w:tcW w:w="2340" w:type="dxa"/>
            <w:tcMar>
              <w:top w:w="100" w:type="dxa"/>
              <w:left w:w="100" w:type="dxa"/>
              <w:bottom w:w="100" w:type="dxa"/>
              <w:right w:w="100" w:type="dxa"/>
            </w:tcMar>
          </w:tcPr>
          <w:p w14:paraId="588BAF46" w14:textId="77777777" w:rsidR="00605D40" w:rsidRPr="00216A29" w:rsidRDefault="006F0C8D">
            <w:pPr>
              <w:widowControl w:val="0"/>
              <w:pBdr>
                <w:top w:val="nil"/>
                <w:left w:val="nil"/>
                <w:bottom w:val="nil"/>
                <w:right w:val="nil"/>
                <w:between w:val="nil"/>
              </w:pBdr>
              <w:spacing w:after="0"/>
              <w:rPr>
                <w:rFonts w:ascii="Arial" w:eastAsia="Arial" w:hAnsi="Arial" w:cs="Arial"/>
                <w:b/>
                <w:bCs/>
              </w:rPr>
            </w:pPr>
            <w:r w:rsidRPr="00216A29">
              <w:rPr>
                <w:rFonts w:ascii="Arial" w:eastAsia="Arial" w:hAnsi="Arial" w:cs="Arial"/>
                <w:b/>
                <w:bCs/>
              </w:rPr>
              <w:t>Actions taken</w:t>
            </w:r>
          </w:p>
        </w:tc>
        <w:tc>
          <w:tcPr>
            <w:tcW w:w="2340" w:type="dxa"/>
            <w:tcMar>
              <w:top w:w="100" w:type="dxa"/>
              <w:left w:w="100" w:type="dxa"/>
              <w:bottom w:w="100" w:type="dxa"/>
              <w:right w:w="100" w:type="dxa"/>
            </w:tcMar>
          </w:tcPr>
          <w:p w14:paraId="01CFF0CB" w14:textId="77777777" w:rsidR="00605D40" w:rsidRPr="00216A29" w:rsidRDefault="006F0C8D">
            <w:pPr>
              <w:widowControl w:val="0"/>
              <w:pBdr>
                <w:top w:val="nil"/>
                <w:left w:val="nil"/>
                <w:bottom w:val="nil"/>
                <w:right w:val="nil"/>
                <w:between w:val="nil"/>
              </w:pBdr>
              <w:spacing w:after="0"/>
              <w:rPr>
                <w:rFonts w:ascii="Arial" w:eastAsia="Arial" w:hAnsi="Arial" w:cs="Arial"/>
                <w:b/>
                <w:bCs/>
              </w:rPr>
            </w:pPr>
            <w:r w:rsidRPr="00216A29">
              <w:rPr>
                <w:rFonts w:ascii="Arial" w:eastAsia="Arial" w:hAnsi="Arial" w:cs="Arial"/>
                <w:b/>
                <w:bCs/>
              </w:rPr>
              <w:t xml:space="preserve">Required resources </w:t>
            </w:r>
          </w:p>
        </w:tc>
        <w:tc>
          <w:tcPr>
            <w:tcW w:w="2340" w:type="dxa"/>
            <w:tcMar>
              <w:top w:w="100" w:type="dxa"/>
              <w:left w:w="100" w:type="dxa"/>
              <w:bottom w:w="100" w:type="dxa"/>
              <w:right w:w="100" w:type="dxa"/>
            </w:tcMar>
          </w:tcPr>
          <w:p w14:paraId="21553F7D" w14:textId="77777777" w:rsidR="00605D40" w:rsidRPr="00216A29" w:rsidRDefault="006F0C8D">
            <w:pPr>
              <w:widowControl w:val="0"/>
              <w:pBdr>
                <w:top w:val="nil"/>
                <w:left w:val="nil"/>
                <w:bottom w:val="nil"/>
                <w:right w:val="nil"/>
                <w:between w:val="nil"/>
              </w:pBdr>
              <w:spacing w:after="0"/>
              <w:rPr>
                <w:rFonts w:ascii="Arial" w:eastAsia="Arial" w:hAnsi="Arial" w:cs="Arial"/>
                <w:b/>
                <w:bCs/>
              </w:rPr>
            </w:pPr>
            <w:r w:rsidRPr="00216A29">
              <w:rPr>
                <w:rFonts w:ascii="Arial" w:eastAsia="Arial" w:hAnsi="Arial" w:cs="Arial"/>
                <w:b/>
                <w:bCs/>
              </w:rPr>
              <w:t xml:space="preserve">Timeline </w:t>
            </w:r>
          </w:p>
        </w:tc>
      </w:tr>
      <w:tr w:rsidR="00605D40" w:rsidRPr="00216A29" w14:paraId="4DFFBAA8" w14:textId="77777777">
        <w:tc>
          <w:tcPr>
            <w:tcW w:w="2340" w:type="dxa"/>
            <w:tcMar>
              <w:top w:w="100" w:type="dxa"/>
              <w:left w:w="100" w:type="dxa"/>
              <w:bottom w:w="100" w:type="dxa"/>
              <w:right w:w="100" w:type="dxa"/>
            </w:tcMar>
          </w:tcPr>
          <w:p w14:paraId="40110F97"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To enhance reliability and research quality in future international business projects </w:t>
            </w:r>
          </w:p>
        </w:tc>
        <w:tc>
          <w:tcPr>
            <w:tcW w:w="2340" w:type="dxa"/>
            <w:tcMar>
              <w:top w:w="100" w:type="dxa"/>
              <w:left w:w="100" w:type="dxa"/>
              <w:bottom w:w="100" w:type="dxa"/>
              <w:right w:w="100" w:type="dxa"/>
            </w:tcMar>
          </w:tcPr>
          <w:p w14:paraId="698FFD6D"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Data source triangulation using multiple sources and datasets from 2024-2026</w:t>
            </w:r>
          </w:p>
        </w:tc>
        <w:tc>
          <w:tcPr>
            <w:tcW w:w="2340" w:type="dxa"/>
            <w:tcMar>
              <w:top w:w="100" w:type="dxa"/>
              <w:left w:w="100" w:type="dxa"/>
              <w:bottom w:w="100" w:type="dxa"/>
              <w:right w:w="100" w:type="dxa"/>
            </w:tcMar>
          </w:tcPr>
          <w:p w14:paraId="53FA3C2D"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Company annual reports, IBISWorld, World Bank databases, along with scholarly sources</w:t>
            </w:r>
          </w:p>
        </w:tc>
        <w:tc>
          <w:tcPr>
            <w:tcW w:w="2340" w:type="dxa"/>
            <w:tcMar>
              <w:top w:w="100" w:type="dxa"/>
              <w:left w:w="100" w:type="dxa"/>
              <w:bottom w:w="100" w:type="dxa"/>
              <w:right w:w="100" w:type="dxa"/>
            </w:tcMar>
          </w:tcPr>
          <w:p w14:paraId="41E374AC"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Next academic semester </w:t>
            </w:r>
          </w:p>
        </w:tc>
      </w:tr>
      <w:tr w:rsidR="00605D40" w:rsidRPr="00216A29" w14:paraId="6F36D2C8" w14:textId="77777777">
        <w:tc>
          <w:tcPr>
            <w:tcW w:w="2340" w:type="dxa"/>
            <w:tcMar>
              <w:top w:w="100" w:type="dxa"/>
              <w:left w:w="100" w:type="dxa"/>
              <w:bottom w:w="100" w:type="dxa"/>
              <w:right w:w="100" w:type="dxa"/>
            </w:tcMar>
          </w:tcPr>
          <w:p w14:paraId="66A8A681"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To improve critical evaluation skills along with data accuracy</w:t>
            </w:r>
          </w:p>
        </w:tc>
        <w:tc>
          <w:tcPr>
            <w:tcW w:w="2340" w:type="dxa"/>
            <w:tcMar>
              <w:top w:w="100" w:type="dxa"/>
              <w:left w:w="100" w:type="dxa"/>
              <w:bottom w:w="100" w:type="dxa"/>
              <w:right w:w="100" w:type="dxa"/>
            </w:tcMar>
          </w:tcPr>
          <w:p w14:paraId="6F089D25"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Accessing multiple databases for data triangulation</w:t>
            </w:r>
          </w:p>
        </w:tc>
        <w:tc>
          <w:tcPr>
            <w:tcW w:w="2340" w:type="dxa"/>
            <w:tcMar>
              <w:top w:w="100" w:type="dxa"/>
              <w:left w:w="100" w:type="dxa"/>
              <w:bottom w:w="100" w:type="dxa"/>
              <w:right w:w="100" w:type="dxa"/>
            </w:tcMar>
          </w:tcPr>
          <w:p w14:paraId="38817F11"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Approved databases and the company's annual report</w:t>
            </w:r>
          </w:p>
        </w:tc>
        <w:tc>
          <w:tcPr>
            <w:tcW w:w="2340" w:type="dxa"/>
            <w:tcMar>
              <w:top w:w="100" w:type="dxa"/>
              <w:left w:w="100" w:type="dxa"/>
              <w:bottom w:w="100" w:type="dxa"/>
              <w:right w:w="100" w:type="dxa"/>
            </w:tcMar>
          </w:tcPr>
          <w:p w14:paraId="5AF474EF"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6-12 months</w:t>
            </w:r>
          </w:p>
        </w:tc>
      </w:tr>
      <w:tr w:rsidR="00605D40" w:rsidRPr="00216A29" w14:paraId="45AED072" w14:textId="77777777">
        <w:tc>
          <w:tcPr>
            <w:tcW w:w="2340" w:type="dxa"/>
            <w:tcMar>
              <w:top w:w="100" w:type="dxa"/>
              <w:left w:w="100" w:type="dxa"/>
              <w:bottom w:w="100" w:type="dxa"/>
              <w:right w:w="100" w:type="dxa"/>
            </w:tcMar>
          </w:tcPr>
          <w:p w14:paraId="25413A52"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To strengthen research methods concepts </w:t>
            </w:r>
          </w:p>
        </w:tc>
        <w:tc>
          <w:tcPr>
            <w:tcW w:w="2340" w:type="dxa"/>
            <w:tcMar>
              <w:top w:w="100" w:type="dxa"/>
              <w:left w:w="100" w:type="dxa"/>
              <w:bottom w:w="100" w:type="dxa"/>
              <w:right w:w="100" w:type="dxa"/>
            </w:tcMar>
          </w:tcPr>
          <w:p w14:paraId="52671269"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Implementing complex methodological systems with a systematic approach </w:t>
            </w:r>
          </w:p>
        </w:tc>
        <w:tc>
          <w:tcPr>
            <w:tcW w:w="2340" w:type="dxa"/>
            <w:tcMar>
              <w:top w:w="100" w:type="dxa"/>
              <w:left w:w="100" w:type="dxa"/>
              <w:bottom w:w="100" w:type="dxa"/>
              <w:right w:w="100" w:type="dxa"/>
            </w:tcMar>
          </w:tcPr>
          <w:p w14:paraId="573A2FF1"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Class guidelines, textbooks and scholarly articles </w:t>
            </w:r>
          </w:p>
        </w:tc>
        <w:tc>
          <w:tcPr>
            <w:tcW w:w="2340" w:type="dxa"/>
            <w:tcMar>
              <w:top w:w="100" w:type="dxa"/>
              <w:left w:w="100" w:type="dxa"/>
              <w:bottom w:w="100" w:type="dxa"/>
              <w:right w:w="100" w:type="dxa"/>
            </w:tcMar>
          </w:tcPr>
          <w:p w14:paraId="6E4E1CAB" w14:textId="77777777" w:rsidR="00605D40" w:rsidRPr="00216A29" w:rsidRDefault="006F0C8D">
            <w:pPr>
              <w:widowControl w:val="0"/>
              <w:pBdr>
                <w:top w:val="nil"/>
                <w:left w:val="nil"/>
                <w:bottom w:val="nil"/>
                <w:right w:val="nil"/>
                <w:between w:val="nil"/>
              </w:pBdr>
              <w:spacing w:after="0"/>
              <w:rPr>
                <w:rFonts w:ascii="Arial" w:eastAsia="Arial" w:hAnsi="Arial" w:cs="Arial"/>
              </w:rPr>
            </w:pPr>
            <w:r w:rsidRPr="00216A29">
              <w:rPr>
                <w:rFonts w:ascii="Arial" w:eastAsia="Arial" w:hAnsi="Arial" w:cs="Arial"/>
              </w:rPr>
              <w:t xml:space="preserve">Ongoing </w:t>
            </w:r>
          </w:p>
        </w:tc>
      </w:tr>
    </w:tbl>
    <w:p w14:paraId="5E7F76DC" w14:textId="77777777" w:rsidR="00605D40" w:rsidRPr="00216A29" w:rsidRDefault="006F0C8D">
      <w:pPr>
        <w:jc w:val="center"/>
        <w:rPr>
          <w:rFonts w:ascii="Arial" w:eastAsia="Arial" w:hAnsi="Arial" w:cs="Arial"/>
          <w:b/>
          <w:bCs/>
        </w:rPr>
      </w:pPr>
      <w:r w:rsidRPr="00216A29">
        <w:rPr>
          <w:rFonts w:ascii="Arial" w:eastAsia="Arial" w:hAnsi="Arial" w:cs="Arial"/>
          <w:b/>
          <w:bCs/>
        </w:rPr>
        <w:t>Table 4: Action plan</w:t>
      </w:r>
    </w:p>
    <w:p w14:paraId="5AFFC0C5" w14:textId="77777777" w:rsidR="00605D40" w:rsidRPr="00216A29" w:rsidRDefault="006F0C8D">
      <w:pPr>
        <w:jc w:val="center"/>
        <w:rPr>
          <w:rFonts w:ascii="Arial" w:eastAsia="Arial" w:hAnsi="Arial" w:cs="Arial"/>
        </w:rPr>
      </w:pPr>
      <w:r w:rsidRPr="00216A29">
        <w:rPr>
          <w:rFonts w:ascii="Arial" w:eastAsia="Arial" w:hAnsi="Arial" w:cs="Arial"/>
        </w:rPr>
        <w:t>(Source: Self-developed)</w:t>
      </w:r>
    </w:p>
    <w:p w14:paraId="20932028" w14:textId="77777777" w:rsidR="00605D40" w:rsidRPr="00216A29" w:rsidRDefault="006F0C8D">
      <w:pPr>
        <w:pStyle w:val="Heading1"/>
      </w:pPr>
      <w:bookmarkStart w:id="29" w:name="_Toc237252910"/>
      <w:r w:rsidRPr="00216A29">
        <w:t>Conclusion</w:t>
      </w:r>
      <w:bookmarkEnd w:id="29"/>
    </w:p>
    <w:p w14:paraId="47456929" w14:textId="77777777" w:rsidR="00605D40" w:rsidRPr="00216A29" w:rsidRDefault="006F0C8D">
      <w:pPr>
        <w:rPr>
          <w:rFonts w:ascii="Arial" w:eastAsia="Arial" w:hAnsi="Arial" w:cs="Arial"/>
        </w:rPr>
      </w:pPr>
      <w:bookmarkStart w:id="30" w:name="_wzotdb3kymxy" w:colFirst="0" w:colLast="0"/>
      <w:bookmarkEnd w:id="30"/>
      <w:r w:rsidRPr="00216A29">
        <w:rPr>
          <w:rFonts w:ascii="Arial" w:eastAsia="Arial" w:hAnsi="Arial" w:cs="Arial"/>
        </w:rPr>
        <w:t xml:space="preserve">From the overall reflective discussion, it can be concluded that the current research study on Toyota has been a successful approach to integrating secondary research methods while critically evaluating diverse databases and information to derive the conclusion and suggest a suitable market expansion region. Applying the Gibbs’ reflective cycle, it became evident that critical understanding of research methods and the theoretical foundation for international market analysis created the base for the report. On the other hand, the practical implications of the research through statistical data evaluation have been obtained to develop the evidence-based assessment report. The strong alignment of business details and international marketing concepts helped to improve critical thinking, analytical skills and source evaluation techniques. </w:t>
      </w:r>
      <w:r w:rsidRPr="00216A29">
        <w:br w:type="page"/>
      </w:r>
    </w:p>
    <w:p w14:paraId="4CE02070" w14:textId="77777777" w:rsidR="00605D40" w:rsidRPr="00216A29" w:rsidRDefault="006F0C8D">
      <w:pPr>
        <w:pStyle w:val="Heading1"/>
      </w:pPr>
      <w:bookmarkStart w:id="31" w:name="_Toc237252911"/>
      <w:r w:rsidRPr="00216A29">
        <w:t>References</w:t>
      </w:r>
      <w:bookmarkEnd w:id="31"/>
    </w:p>
    <w:p w14:paraId="4D493AA9" w14:textId="77777777" w:rsidR="00605D40" w:rsidRPr="00216A29" w:rsidRDefault="006F0C8D">
      <w:pPr>
        <w:spacing w:after="160"/>
        <w:rPr>
          <w:rFonts w:ascii="Arial" w:eastAsia="Arial" w:hAnsi="Arial" w:cs="Arial"/>
        </w:rPr>
      </w:pPr>
      <w:r w:rsidRPr="00216A29">
        <w:rPr>
          <w:rFonts w:ascii="Arial" w:eastAsia="Arial" w:hAnsi="Arial" w:cs="Arial"/>
        </w:rPr>
        <w:t xml:space="preserve">Annual Report (2025). </w:t>
      </w:r>
      <w:r w:rsidRPr="00216A29">
        <w:rPr>
          <w:rFonts w:ascii="Arial" w:eastAsia="Arial" w:hAnsi="Arial" w:cs="Arial"/>
          <w:i/>
          <w:iCs/>
        </w:rPr>
        <w:t>Annual Report</w:t>
      </w:r>
      <w:r w:rsidRPr="00216A29">
        <w:rPr>
          <w:rFonts w:ascii="Arial" w:eastAsia="Arial" w:hAnsi="Arial" w:cs="Arial"/>
        </w:rPr>
        <w:t xml:space="preserve">. [online] Sec.gov. Available at: </w:t>
      </w:r>
      <w:hyperlink r:id="rId24">
        <w:r w:rsidR="00605D40" w:rsidRPr="00216A29">
          <w:rPr>
            <w:rFonts w:ascii="Arial" w:eastAsia="Arial" w:hAnsi="Arial" w:cs="Arial"/>
            <w:u w:val="single"/>
          </w:rPr>
          <w:t>https://www.sec.gov/Archives/edgar/data/1094517/000119312525142326/d925022d20f.htm</w:t>
        </w:r>
      </w:hyperlink>
      <w:r w:rsidRPr="00216A29">
        <w:rPr>
          <w:rFonts w:ascii="Arial" w:eastAsia="Arial" w:hAnsi="Arial" w:cs="Arial"/>
        </w:rPr>
        <w:t>. (Accessed: 12 June 2026)</w:t>
      </w:r>
    </w:p>
    <w:p w14:paraId="0D5C344C" w14:textId="77777777" w:rsidR="00605D40" w:rsidRPr="00216A29" w:rsidRDefault="006F0C8D">
      <w:pPr>
        <w:spacing w:after="160"/>
        <w:rPr>
          <w:rFonts w:ascii="Arial" w:eastAsia="Arial" w:hAnsi="Arial" w:cs="Arial"/>
        </w:rPr>
      </w:pPr>
      <w:r w:rsidRPr="00216A29">
        <w:rPr>
          <w:rFonts w:ascii="Arial" w:eastAsia="Arial" w:hAnsi="Arial" w:cs="Arial"/>
        </w:rPr>
        <w:t xml:space="preserve">BLS (2026). </w:t>
      </w:r>
      <w:r w:rsidRPr="00216A29">
        <w:rPr>
          <w:rFonts w:ascii="Arial" w:eastAsia="Arial" w:hAnsi="Arial" w:cs="Arial"/>
          <w:i/>
          <w:iCs/>
        </w:rPr>
        <w:t>CONSUMER PRICE INDEX – MAY 2026</w:t>
      </w:r>
      <w:r w:rsidRPr="00216A29">
        <w:rPr>
          <w:rFonts w:ascii="Arial" w:eastAsia="Arial" w:hAnsi="Arial" w:cs="Arial"/>
        </w:rPr>
        <w:t>. [Online]. Available at:</w:t>
      </w:r>
      <w:hyperlink r:id="rId25">
        <w:r w:rsidR="00605D40" w:rsidRPr="00216A29">
          <w:rPr>
            <w:rFonts w:ascii="Arial" w:eastAsia="Arial" w:hAnsi="Arial" w:cs="Arial"/>
          </w:rPr>
          <w:t xml:space="preserve"> </w:t>
        </w:r>
      </w:hyperlink>
      <w:hyperlink r:id="rId26">
        <w:r w:rsidR="00605D40" w:rsidRPr="00216A29">
          <w:rPr>
            <w:rFonts w:ascii="Arial" w:eastAsia="Arial" w:hAnsi="Arial" w:cs="Arial"/>
            <w:u w:val="single"/>
          </w:rPr>
          <w:t>https://www.bls.gov/news.release/pdf/cpi.pdf</w:t>
        </w:r>
      </w:hyperlink>
      <w:r w:rsidRPr="00216A29">
        <w:rPr>
          <w:rFonts w:ascii="Arial" w:eastAsia="Arial" w:hAnsi="Arial" w:cs="Arial"/>
        </w:rPr>
        <w:t xml:space="preserve"> [Accessed on: 24/06/2026]</w:t>
      </w:r>
    </w:p>
    <w:p w14:paraId="254F055A" w14:textId="77777777" w:rsidR="00605D40" w:rsidRPr="00216A29" w:rsidRDefault="006F0C8D">
      <w:pPr>
        <w:spacing w:after="160"/>
        <w:rPr>
          <w:rFonts w:ascii="Arial" w:eastAsia="Arial" w:hAnsi="Arial" w:cs="Arial"/>
        </w:rPr>
      </w:pPr>
      <w:r w:rsidRPr="00216A29">
        <w:rPr>
          <w:rFonts w:ascii="Arial" w:eastAsia="Arial" w:hAnsi="Arial" w:cs="Arial"/>
        </w:rPr>
        <w:t xml:space="preserve">BLS (2026). </w:t>
      </w:r>
      <w:r w:rsidRPr="00216A29">
        <w:rPr>
          <w:rFonts w:ascii="Arial" w:eastAsia="Arial" w:hAnsi="Arial" w:cs="Arial"/>
          <w:i/>
          <w:iCs/>
        </w:rPr>
        <w:t>Median weekly earnings were $1,204 in 2025</w:t>
      </w:r>
      <w:r w:rsidRPr="00216A29">
        <w:rPr>
          <w:rFonts w:ascii="Arial" w:eastAsia="Arial" w:hAnsi="Arial" w:cs="Arial"/>
        </w:rPr>
        <w:t>. [Online]. Available at:</w:t>
      </w:r>
      <w:hyperlink r:id="rId27">
        <w:r w:rsidR="00605D40" w:rsidRPr="00216A29">
          <w:rPr>
            <w:rFonts w:ascii="Arial" w:eastAsia="Arial" w:hAnsi="Arial" w:cs="Arial"/>
          </w:rPr>
          <w:t xml:space="preserve"> </w:t>
        </w:r>
      </w:hyperlink>
      <w:hyperlink r:id="rId28">
        <w:r w:rsidR="00605D40" w:rsidRPr="00216A29">
          <w:rPr>
            <w:rFonts w:ascii="Arial" w:eastAsia="Arial" w:hAnsi="Arial" w:cs="Arial"/>
            <w:u w:val="single"/>
          </w:rPr>
          <w:t>https://www.bls.gov/opub/ted/2026/median-weekly-earnings-were-1204-in-2025.htm</w:t>
        </w:r>
      </w:hyperlink>
      <w:r w:rsidRPr="00216A29">
        <w:rPr>
          <w:rFonts w:ascii="Arial" w:eastAsia="Arial" w:hAnsi="Arial" w:cs="Arial"/>
        </w:rPr>
        <w:t xml:space="preserve"> [Accessed on: 20/06/2026]</w:t>
      </w:r>
    </w:p>
    <w:p w14:paraId="638D1AF2" w14:textId="77777777" w:rsidR="00605D40" w:rsidRPr="00216A29" w:rsidRDefault="006F0C8D">
      <w:pPr>
        <w:rPr>
          <w:rFonts w:ascii="Arial" w:eastAsia="Arial" w:hAnsi="Arial" w:cs="Arial"/>
        </w:rPr>
      </w:pPr>
      <w:r w:rsidRPr="00216A29">
        <w:rPr>
          <w:rFonts w:ascii="Arial" w:eastAsia="Arial" w:hAnsi="Arial" w:cs="Arial"/>
        </w:rPr>
        <w:t xml:space="preserve">Bncap.in, (2026). </w:t>
      </w:r>
      <w:r w:rsidRPr="00216A29">
        <w:rPr>
          <w:rFonts w:ascii="Arial" w:eastAsia="Arial" w:hAnsi="Arial" w:cs="Arial"/>
          <w:i/>
          <w:iCs/>
        </w:rPr>
        <w:t>Safety Beyond Regulation</w:t>
      </w:r>
      <w:r w:rsidRPr="00216A29">
        <w:rPr>
          <w:rFonts w:ascii="Arial" w:eastAsia="Arial" w:hAnsi="Arial" w:cs="Arial"/>
        </w:rPr>
        <w:t xml:space="preserve">. Available at: </w:t>
      </w:r>
      <w:hyperlink r:id="rId29">
        <w:r w:rsidR="00605D40" w:rsidRPr="00216A29">
          <w:rPr>
            <w:rFonts w:ascii="Arial" w:eastAsia="Arial" w:hAnsi="Arial" w:cs="Arial"/>
            <w:u w:val="single"/>
          </w:rPr>
          <w:t>https://www.bncap.in/</w:t>
        </w:r>
      </w:hyperlink>
      <w:r w:rsidRPr="00216A29">
        <w:rPr>
          <w:rFonts w:ascii="Arial" w:eastAsia="Arial" w:hAnsi="Arial" w:cs="Arial"/>
        </w:rPr>
        <w:t xml:space="preserve"> (Accessed: 16 June 2026).</w:t>
      </w:r>
    </w:p>
    <w:p w14:paraId="374F9A2B" w14:textId="77777777" w:rsidR="00605D40" w:rsidRPr="00216A29" w:rsidRDefault="006F0C8D">
      <w:pPr>
        <w:spacing w:after="160"/>
        <w:rPr>
          <w:rFonts w:ascii="Arial" w:eastAsia="Arial" w:hAnsi="Arial" w:cs="Arial"/>
        </w:rPr>
      </w:pPr>
      <w:r w:rsidRPr="00216A29">
        <w:rPr>
          <w:rFonts w:ascii="Arial" w:eastAsia="Arial" w:hAnsi="Arial" w:cs="Arial"/>
        </w:rPr>
        <w:t xml:space="preserve">CNBC (2025). </w:t>
      </w:r>
      <w:r w:rsidRPr="00216A29">
        <w:rPr>
          <w:rFonts w:ascii="Arial" w:eastAsia="Arial" w:hAnsi="Arial" w:cs="Arial"/>
          <w:i/>
          <w:iCs/>
        </w:rPr>
        <w:t>Toyota sells 10.8 million vehicles in 2024 to remain world’s top-selling automaker.</w:t>
      </w:r>
      <w:r w:rsidRPr="00216A29">
        <w:rPr>
          <w:rFonts w:ascii="Arial" w:eastAsia="Arial" w:hAnsi="Arial" w:cs="Arial"/>
        </w:rPr>
        <w:t xml:space="preserve"> [Online]. Available at:</w:t>
      </w:r>
      <w:hyperlink r:id="rId30">
        <w:r w:rsidR="00605D40" w:rsidRPr="00216A29">
          <w:rPr>
            <w:rFonts w:ascii="Arial" w:eastAsia="Arial" w:hAnsi="Arial" w:cs="Arial"/>
          </w:rPr>
          <w:t xml:space="preserve"> </w:t>
        </w:r>
      </w:hyperlink>
      <w:hyperlink r:id="rId31">
        <w:r w:rsidR="00605D40" w:rsidRPr="00216A29">
          <w:rPr>
            <w:rFonts w:ascii="Arial" w:eastAsia="Arial" w:hAnsi="Arial" w:cs="Arial"/>
            <w:u w:val="single"/>
          </w:rPr>
          <w:t>https://www.cnbc.com/2025/01/30/toyota-remains-worlds-top-selling-automaker.html</w:t>
        </w:r>
      </w:hyperlink>
      <w:r w:rsidRPr="00216A29">
        <w:rPr>
          <w:rFonts w:ascii="Arial" w:eastAsia="Arial" w:hAnsi="Arial" w:cs="Arial"/>
        </w:rPr>
        <w:t xml:space="preserve"> [Accessed on: 23/06/2026]</w:t>
      </w:r>
    </w:p>
    <w:p w14:paraId="03DA3ED0" w14:textId="77777777" w:rsidR="00605D40" w:rsidRPr="00216A29" w:rsidRDefault="006F0C8D">
      <w:pPr>
        <w:spacing w:after="160"/>
        <w:rPr>
          <w:rFonts w:ascii="Arial" w:eastAsia="Arial" w:hAnsi="Arial" w:cs="Arial"/>
        </w:rPr>
      </w:pPr>
      <w:r w:rsidRPr="00216A29">
        <w:rPr>
          <w:rFonts w:ascii="Arial" w:eastAsia="Arial" w:hAnsi="Arial" w:cs="Arial"/>
        </w:rPr>
        <w:t xml:space="preserve">Das, A. (2025). Turning Rupees into Results: Assessing the Effectiveness of State EV Incentives. </w:t>
      </w:r>
      <w:r w:rsidRPr="00216A29">
        <w:rPr>
          <w:rFonts w:ascii="Arial" w:eastAsia="Arial" w:hAnsi="Arial" w:cs="Arial"/>
          <w:i/>
          <w:iCs/>
        </w:rPr>
        <w:t>UC Berkeley</w:t>
      </w:r>
      <w:r w:rsidRPr="00216A29">
        <w:rPr>
          <w:rFonts w:ascii="Arial" w:eastAsia="Arial" w:hAnsi="Arial" w:cs="Arial"/>
        </w:rPr>
        <w:t>. doi:https://doi.org/10.7922/g2mk6b8r.</w:t>
      </w:r>
    </w:p>
    <w:p w14:paraId="66A86736" w14:textId="77777777" w:rsidR="00605D40" w:rsidRPr="00216A29" w:rsidRDefault="006F0C8D">
      <w:pPr>
        <w:rPr>
          <w:rFonts w:ascii="Arial" w:eastAsia="Arial" w:hAnsi="Arial" w:cs="Arial"/>
        </w:rPr>
      </w:pPr>
      <w:r w:rsidRPr="00216A29">
        <w:rPr>
          <w:rFonts w:ascii="Arial" w:eastAsia="Arial" w:hAnsi="Arial" w:cs="Arial"/>
        </w:rPr>
        <w:t xml:space="preserve">Drishtiias, (2025). </w:t>
      </w:r>
      <w:r w:rsidRPr="00216A29">
        <w:rPr>
          <w:rFonts w:ascii="Arial" w:eastAsia="Arial" w:hAnsi="Arial" w:cs="Arial"/>
          <w:i/>
          <w:iCs/>
        </w:rPr>
        <w:t>India’s Carbon Emission Growth Slows in 2025</w:t>
      </w:r>
      <w:r w:rsidRPr="00216A29">
        <w:rPr>
          <w:rFonts w:ascii="Arial" w:eastAsia="Arial" w:hAnsi="Arial" w:cs="Arial"/>
        </w:rPr>
        <w:t xml:space="preserve">. Available at: </w:t>
      </w:r>
      <w:hyperlink r:id="rId32">
        <w:r w:rsidR="00605D40" w:rsidRPr="00216A29">
          <w:rPr>
            <w:rFonts w:ascii="Arial" w:eastAsia="Arial" w:hAnsi="Arial" w:cs="Arial"/>
            <w:u w:val="single"/>
          </w:rPr>
          <w:t>https://www.drishtiias.com/daily-updates/daily-news-analysis/india-s-carbon-emission-growth-slows-in-2025</w:t>
        </w:r>
      </w:hyperlink>
      <w:r w:rsidRPr="00216A29">
        <w:rPr>
          <w:rFonts w:ascii="Arial" w:eastAsia="Arial" w:hAnsi="Arial" w:cs="Arial"/>
        </w:rPr>
        <w:t xml:space="preserve"> (Accessed: 15 June 2026).</w:t>
      </w:r>
    </w:p>
    <w:p w14:paraId="658C5E8D" w14:textId="77777777" w:rsidR="00605D40" w:rsidRPr="00216A29" w:rsidRDefault="006F0C8D">
      <w:pPr>
        <w:rPr>
          <w:rFonts w:ascii="Arial" w:eastAsia="Arial" w:hAnsi="Arial" w:cs="Arial"/>
        </w:rPr>
      </w:pPr>
      <w:r w:rsidRPr="00216A29">
        <w:rPr>
          <w:rFonts w:ascii="Arial" w:eastAsia="Arial" w:hAnsi="Arial" w:cs="Arial"/>
        </w:rPr>
        <w:t xml:space="preserve">Epa.gov, (2025). </w:t>
      </w:r>
      <w:r w:rsidRPr="00216A29">
        <w:rPr>
          <w:rFonts w:ascii="Arial" w:eastAsia="Arial" w:hAnsi="Arial" w:cs="Arial"/>
          <w:i/>
          <w:iCs/>
        </w:rPr>
        <w:t>Carbon Pollution from Transportation</w:t>
      </w:r>
      <w:r w:rsidRPr="00216A29">
        <w:rPr>
          <w:rFonts w:ascii="Arial" w:eastAsia="Arial" w:hAnsi="Arial" w:cs="Arial"/>
        </w:rPr>
        <w:t xml:space="preserve">. Available at: </w:t>
      </w:r>
      <w:hyperlink r:id="rId33">
        <w:r w:rsidR="00605D40" w:rsidRPr="00216A29">
          <w:rPr>
            <w:rFonts w:ascii="Arial" w:eastAsia="Arial" w:hAnsi="Arial" w:cs="Arial"/>
            <w:u w:val="single"/>
          </w:rPr>
          <w:t>https://www.epa.gov/transportation-air-pollution-and-climate-change/carbon-pollution-transportation</w:t>
        </w:r>
      </w:hyperlink>
      <w:r w:rsidRPr="00216A29">
        <w:rPr>
          <w:rFonts w:ascii="Arial" w:eastAsia="Arial" w:hAnsi="Arial" w:cs="Arial"/>
        </w:rPr>
        <w:t xml:space="preserve"> (Accessed: 14 June 2026).</w:t>
      </w:r>
    </w:p>
    <w:p w14:paraId="5514428E" w14:textId="77777777" w:rsidR="00605D40" w:rsidRPr="00216A29" w:rsidRDefault="006F0C8D">
      <w:pPr>
        <w:spacing w:after="160"/>
        <w:rPr>
          <w:rFonts w:ascii="Arial" w:eastAsia="Arial" w:hAnsi="Arial" w:cs="Arial"/>
        </w:rPr>
      </w:pPr>
      <w:r w:rsidRPr="00216A29">
        <w:rPr>
          <w:rFonts w:ascii="Arial" w:eastAsia="Arial" w:hAnsi="Arial" w:cs="Arial"/>
        </w:rPr>
        <w:t xml:space="preserve">Figueiredo, O.C. de, Oliveira, U.R. de, Aprigliano Fernandes, V., França, S.L.B. and Lemos, W. de M. (2025). Lean and sustainability in automotive organizations: a comparative analysis with Toyota. </w:t>
      </w:r>
      <w:r w:rsidRPr="00216A29">
        <w:rPr>
          <w:rFonts w:ascii="Arial" w:eastAsia="Arial" w:hAnsi="Arial" w:cs="Arial"/>
          <w:i/>
          <w:iCs/>
        </w:rPr>
        <w:t>Gestão &amp; Produção</w:t>
      </w:r>
      <w:r w:rsidRPr="00216A29">
        <w:rPr>
          <w:rFonts w:ascii="Arial" w:eastAsia="Arial" w:hAnsi="Arial" w:cs="Arial"/>
        </w:rPr>
        <w:t>, 32. doi:https://doi.org/10.1590/1806-9649-2025v32e11424.</w:t>
      </w:r>
    </w:p>
    <w:p w14:paraId="054A1AAE" w14:textId="77777777" w:rsidR="00605D40" w:rsidRPr="00216A29" w:rsidRDefault="006F0C8D">
      <w:pPr>
        <w:spacing w:after="160"/>
        <w:rPr>
          <w:rFonts w:ascii="Arial" w:eastAsia="Arial" w:hAnsi="Arial" w:cs="Arial"/>
        </w:rPr>
      </w:pPr>
      <w:r w:rsidRPr="00216A29">
        <w:rPr>
          <w:rFonts w:ascii="Arial" w:eastAsia="Arial" w:hAnsi="Arial" w:cs="Arial"/>
        </w:rPr>
        <w:t xml:space="preserve">Ghosh, T., Kanitkar, T. and Srikanth, R. (2025). Enhancing inclusiveness and sustainability: impact of accessibility and affordability on public transportation in an Indian megacity. </w:t>
      </w:r>
      <w:r w:rsidRPr="00216A29">
        <w:rPr>
          <w:rFonts w:ascii="Arial" w:eastAsia="Arial" w:hAnsi="Arial" w:cs="Arial"/>
          <w:i/>
          <w:iCs/>
        </w:rPr>
        <w:t>Deleted Journal</w:t>
      </w:r>
      <w:r w:rsidRPr="00216A29">
        <w:rPr>
          <w:rFonts w:ascii="Arial" w:eastAsia="Arial" w:hAnsi="Arial" w:cs="Arial"/>
        </w:rPr>
        <w:t>, 2(1), pp.1–31. doi:https://doi.org/10.1080/29941849.2025.2449830.</w:t>
      </w:r>
    </w:p>
    <w:p w14:paraId="06EE3791" w14:textId="77777777" w:rsidR="00605D40" w:rsidRPr="00216A29" w:rsidRDefault="006F0C8D">
      <w:pPr>
        <w:spacing w:after="160"/>
        <w:rPr>
          <w:rFonts w:ascii="Arial" w:eastAsia="Arial" w:hAnsi="Arial" w:cs="Arial"/>
        </w:rPr>
      </w:pPr>
      <w:r w:rsidRPr="00216A29">
        <w:rPr>
          <w:rFonts w:ascii="Arial" w:eastAsia="Arial" w:hAnsi="Arial" w:cs="Arial"/>
        </w:rPr>
        <w:t xml:space="preserve">Grand View Research (2025). </w:t>
      </w:r>
      <w:r w:rsidRPr="00216A29">
        <w:rPr>
          <w:rFonts w:ascii="Arial" w:eastAsia="Arial" w:hAnsi="Arial" w:cs="Arial"/>
          <w:i/>
          <w:iCs/>
        </w:rPr>
        <w:t>India Automotive Market Share &amp; Trends Report, 2020-2027</w:t>
      </w:r>
      <w:r w:rsidRPr="00216A29">
        <w:rPr>
          <w:rFonts w:ascii="Arial" w:eastAsia="Arial" w:hAnsi="Arial" w:cs="Arial"/>
        </w:rPr>
        <w:t xml:space="preserve">. [online] www.grandviewresearch.com. Available at: </w:t>
      </w:r>
      <w:hyperlink r:id="rId34">
        <w:r w:rsidR="00605D40" w:rsidRPr="00216A29">
          <w:rPr>
            <w:rFonts w:ascii="Arial" w:eastAsia="Arial" w:hAnsi="Arial" w:cs="Arial"/>
            <w:u w:val="single"/>
          </w:rPr>
          <w:t>https://www.grandviewresearch.com/industry-analysis/india-automotive-market</w:t>
        </w:r>
      </w:hyperlink>
      <w:r w:rsidRPr="00216A29">
        <w:rPr>
          <w:rFonts w:ascii="Arial" w:eastAsia="Arial" w:hAnsi="Arial" w:cs="Arial"/>
        </w:rPr>
        <w:t>. (Accessed: 13 June 2026)</w:t>
      </w:r>
    </w:p>
    <w:p w14:paraId="7BD66B8C" w14:textId="77777777" w:rsidR="00605D40" w:rsidRPr="00216A29" w:rsidRDefault="006F0C8D">
      <w:pPr>
        <w:spacing w:after="160"/>
        <w:rPr>
          <w:rFonts w:ascii="Arial" w:eastAsia="Arial" w:hAnsi="Arial" w:cs="Arial"/>
        </w:rPr>
      </w:pPr>
      <w:r w:rsidRPr="00216A29">
        <w:rPr>
          <w:rFonts w:ascii="Arial" w:eastAsia="Arial" w:hAnsi="Arial" w:cs="Arial"/>
        </w:rPr>
        <w:t xml:space="preserve">Hechavarria, D.M., Carsrud, A. and Pandey, P., (2025). Leveraging large-scale secondary data in entrepreneurship research. In </w:t>
      </w:r>
      <w:r w:rsidRPr="00216A29">
        <w:rPr>
          <w:rFonts w:ascii="Arial" w:eastAsia="Arial" w:hAnsi="Arial" w:cs="Arial"/>
          <w:i/>
          <w:iCs/>
        </w:rPr>
        <w:t>Handbook of Research Methods and Applications in Entrepreneurship and Small Business, Second Edition</w:t>
      </w:r>
      <w:r w:rsidRPr="00216A29">
        <w:rPr>
          <w:rFonts w:ascii="Arial" w:eastAsia="Arial" w:hAnsi="Arial" w:cs="Arial"/>
        </w:rPr>
        <w:t xml:space="preserve"> (pp. 42-68). Edward Elgar Publishing.</w:t>
      </w:r>
    </w:p>
    <w:p w14:paraId="6BE8CAB3" w14:textId="77777777" w:rsidR="00605D40" w:rsidRPr="00216A29" w:rsidRDefault="006F0C8D">
      <w:pPr>
        <w:spacing w:after="160"/>
        <w:rPr>
          <w:rFonts w:ascii="Arial" w:eastAsia="Arial" w:hAnsi="Arial" w:cs="Arial"/>
        </w:rPr>
      </w:pPr>
      <w:r w:rsidRPr="00216A29">
        <w:rPr>
          <w:rFonts w:ascii="Arial" w:eastAsia="Arial" w:hAnsi="Arial" w:cs="Arial"/>
        </w:rPr>
        <w:t xml:space="preserve">Ito, H. and Kato, K. (2025). Redefining Toyota’s Woven City as a ‘glocal’ innovation ecosystem for integrated sustainable development. </w:t>
      </w:r>
      <w:r w:rsidRPr="00216A29">
        <w:rPr>
          <w:rFonts w:ascii="Arial" w:eastAsia="Arial" w:hAnsi="Arial" w:cs="Arial"/>
          <w:i/>
          <w:iCs/>
        </w:rPr>
        <w:t>Journal of Innovation and Entrepreneurship</w:t>
      </w:r>
      <w:r w:rsidRPr="00216A29">
        <w:rPr>
          <w:rFonts w:ascii="Arial" w:eastAsia="Arial" w:hAnsi="Arial" w:cs="Arial"/>
        </w:rPr>
        <w:t>, 14(1). doi:https://doi.org/10.1186/s13731-025-00488-7.</w:t>
      </w:r>
    </w:p>
    <w:p w14:paraId="5CB52425" w14:textId="77777777" w:rsidR="00605D40" w:rsidRPr="00216A29" w:rsidRDefault="006F0C8D">
      <w:pPr>
        <w:spacing w:after="160"/>
        <w:rPr>
          <w:rFonts w:ascii="Arial" w:eastAsia="Arial" w:hAnsi="Arial" w:cs="Arial"/>
        </w:rPr>
      </w:pPr>
      <w:r w:rsidRPr="00216A29">
        <w:rPr>
          <w:rFonts w:ascii="Arial" w:eastAsia="Arial" w:hAnsi="Arial" w:cs="Arial"/>
        </w:rPr>
        <w:t xml:space="preserve">Kumar, N. (2025). </w:t>
      </w:r>
      <w:r w:rsidRPr="00216A29">
        <w:rPr>
          <w:rFonts w:ascii="Arial" w:eastAsia="Arial" w:hAnsi="Arial" w:cs="Arial"/>
          <w:i/>
          <w:iCs/>
        </w:rPr>
        <w:t>Harnessing India-Japan Economic Partnership for Supply Chain Resilience in the Context of Global Trade Policy Uncertainties</w:t>
      </w:r>
      <w:r w:rsidRPr="00216A29">
        <w:rPr>
          <w:rFonts w:ascii="Arial" w:eastAsia="Arial" w:hAnsi="Arial" w:cs="Arial"/>
        </w:rPr>
        <w:t>. [online] Available at: https://isid.org.in/wp-content/uploads/2025/09/WP301.pdf.</w:t>
      </w:r>
    </w:p>
    <w:p w14:paraId="2C3887AB" w14:textId="77777777" w:rsidR="00605D40" w:rsidRPr="00216A29" w:rsidRDefault="006F0C8D">
      <w:pPr>
        <w:spacing w:after="160"/>
        <w:rPr>
          <w:rFonts w:ascii="Arial" w:eastAsia="Arial" w:hAnsi="Arial" w:cs="Arial"/>
        </w:rPr>
      </w:pPr>
      <w:r w:rsidRPr="00216A29">
        <w:rPr>
          <w:rFonts w:ascii="Arial" w:eastAsia="Arial" w:hAnsi="Arial" w:cs="Arial"/>
        </w:rPr>
        <w:t xml:space="preserve">Lund, B. (2025). Diffusion of innovations: still a relevant theory for studying library technology in the age of AI? </w:t>
      </w:r>
      <w:r w:rsidRPr="00216A29">
        <w:rPr>
          <w:rFonts w:ascii="Arial" w:eastAsia="Arial" w:hAnsi="Arial" w:cs="Arial"/>
          <w:i/>
          <w:iCs/>
        </w:rPr>
        <w:t>Library Hi Tech News</w:t>
      </w:r>
      <w:r w:rsidRPr="00216A29">
        <w:rPr>
          <w:rFonts w:ascii="Arial" w:eastAsia="Arial" w:hAnsi="Arial" w:cs="Arial"/>
        </w:rPr>
        <w:t>. doi:https://doi.org/10.1108/lhtn-12-2024-0209.</w:t>
      </w:r>
    </w:p>
    <w:p w14:paraId="0FB97800" w14:textId="77777777" w:rsidR="00605D40" w:rsidRPr="00216A29" w:rsidRDefault="006F0C8D">
      <w:pPr>
        <w:spacing w:after="160"/>
        <w:rPr>
          <w:rFonts w:ascii="Arial" w:eastAsia="Arial" w:hAnsi="Arial" w:cs="Arial"/>
        </w:rPr>
      </w:pPr>
      <w:r w:rsidRPr="00216A29">
        <w:rPr>
          <w:rFonts w:ascii="Arial" w:eastAsia="Arial" w:hAnsi="Arial" w:cs="Arial"/>
        </w:rPr>
        <w:t xml:space="preserve">Macrotrends (2025). </w:t>
      </w:r>
      <w:r w:rsidRPr="00216A29">
        <w:rPr>
          <w:rFonts w:ascii="Arial" w:eastAsia="Arial" w:hAnsi="Arial" w:cs="Arial"/>
          <w:i/>
          <w:iCs/>
        </w:rPr>
        <w:t>Toyota Revenue 2012-2025 | TM</w:t>
      </w:r>
      <w:r w:rsidRPr="00216A29">
        <w:rPr>
          <w:rFonts w:ascii="Arial" w:eastAsia="Arial" w:hAnsi="Arial" w:cs="Arial"/>
        </w:rPr>
        <w:t xml:space="preserve">. [online] www.macrotrends.net. Available at: </w:t>
      </w:r>
      <w:hyperlink r:id="rId35">
        <w:r w:rsidR="00605D40" w:rsidRPr="00216A29">
          <w:rPr>
            <w:rFonts w:ascii="Arial" w:eastAsia="Arial" w:hAnsi="Arial" w:cs="Arial"/>
            <w:u w:val="single"/>
          </w:rPr>
          <w:t>https://www.macrotrends.net/stocks/charts/TM/toyota/revenue</w:t>
        </w:r>
      </w:hyperlink>
      <w:r w:rsidRPr="00216A29">
        <w:rPr>
          <w:rFonts w:ascii="Arial" w:eastAsia="Arial" w:hAnsi="Arial" w:cs="Arial"/>
        </w:rPr>
        <w:t>. (Accessed: 14 June 2026)</w:t>
      </w:r>
    </w:p>
    <w:p w14:paraId="593D5969" w14:textId="77777777" w:rsidR="00605D40" w:rsidRPr="00216A29" w:rsidRDefault="006F0C8D">
      <w:pPr>
        <w:spacing w:after="160"/>
        <w:rPr>
          <w:rFonts w:ascii="Arial" w:eastAsia="Arial" w:hAnsi="Arial" w:cs="Arial"/>
        </w:rPr>
      </w:pPr>
      <w:r w:rsidRPr="00216A29">
        <w:rPr>
          <w:rFonts w:ascii="Arial" w:eastAsia="Arial" w:hAnsi="Arial" w:cs="Arial"/>
        </w:rPr>
        <w:t xml:space="preserve">Malek (2025). </w:t>
      </w:r>
      <w:r w:rsidRPr="00216A29">
        <w:rPr>
          <w:rFonts w:ascii="Arial" w:eastAsia="Arial" w:hAnsi="Arial" w:cs="Arial"/>
          <w:i/>
          <w:iCs/>
        </w:rPr>
        <w:t>Maintenance, diagnostics and repair of traction batteries for hybrid vehicles</w:t>
      </w:r>
      <w:r w:rsidRPr="00216A29">
        <w:rPr>
          <w:rFonts w:ascii="Arial" w:eastAsia="Arial" w:hAnsi="Arial" w:cs="Arial"/>
        </w:rPr>
        <w:t>. [online] Available at: http://www.aaejournal.com/Maintenance-diagnostics-and-repair-of-traction-batteries-for-hybrid-vehicles,214935,0,2.html.</w:t>
      </w:r>
    </w:p>
    <w:p w14:paraId="219C00F1" w14:textId="77777777" w:rsidR="00605D40" w:rsidRPr="00216A29" w:rsidRDefault="006F0C8D">
      <w:pPr>
        <w:spacing w:after="160"/>
        <w:rPr>
          <w:rFonts w:ascii="Arial" w:eastAsia="Arial" w:hAnsi="Arial" w:cs="Arial"/>
        </w:rPr>
      </w:pPr>
      <w:r w:rsidRPr="00216A29">
        <w:rPr>
          <w:rFonts w:ascii="Arial" w:eastAsia="Arial" w:hAnsi="Arial" w:cs="Arial"/>
        </w:rPr>
        <w:t xml:space="preserve">Mohan, D. S., Elango, S., Mallya, H. and Jain H. (2025). How Will India’s Vehicle Ownership Grow? </w:t>
      </w:r>
      <w:r w:rsidRPr="00216A29">
        <w:rPr>
          <w:rFonts w:ascii="Arial" w:eastAsia="Arial" w:hAnsi="Arial" w:cs="Arial"/>
          <w:i/>
          <w:iCs/>
        </w:rPr>
        <w:t xml:space="preserve">CEEW The Council. </w:t>
      </w:r>
      <w:r w:rsidRPr="00216A29">
        <w:rPr>
          <w:rFonts w:ascii="Arial" w:eastAsia="Arial" w:hAnsi="Arial" w:cs="Arial"/>
        </w:rPr>
        <w:t>[Online]. Available at:</w:t>
      </w:r>
      <w:hyperlink r:id="rId36">
        <w:r w:rsidR="00605D40" w:rsidRPr="00216A29">
          <w:rPr>
            <w:rFonts w:ascii="Arial" w:eastAsia="Arial" w:hAnsi="Arial" w:cs="Arial"/>
          </w:rPr>
          <w:t xml:space="preserve"> </w:t>
        </w:r>
      </w:hyperlink>
      <w:hyperlink r:id="rId37">
        <w:r w:rsidR="00605D40" w:rsidRPr="00216A29">
          <w:rPr>
            <w:rFonts w:ascii="Arial" w:eastAsia="Arial" w:hAnsi="Arial" w:cs="Arial"/>
            <w:u w:val="single"/>
          </w:rPr>
          <w:t>https://www.ceew.in/publications/how-will-indias-private-and-passenger-vehicle-ownership-grow-by-2050</w:t>
        </w:r>
      </w:hyperlink>
      <w:r w:rsidRPr="00216A29">
        <w:rPr>
          <w:rFonts w:ascii="Arial" w:eastAsia="Arial" w:hAnsi="Arial" w:cs="Arial"/>
        </w:rPr>
        <w:t xml:space="preserve"> [Accessed on: 21/06/2026]</w:t>
      </w:r>
    </w:p>
    <w:p w14:paraId="78DCD153" w14:textId="77777777" w:rsidR="00605D40" w:rsidRPr="00216A29" w:rsidRDefault="006F0C8D">
      <w:pPr>
        <w:rPr>
          <w:rFonts w:ascii="Arial" w:eastAsia="Arial" w:hAnsi="Arial" w:cs="Arial"/>
        </w:rPr>
      </w:pPr>
      <w:r w:rsidRPr="00216A29">
        <w:rPr>
          <w:rFonts w:ascii="Arial" w:eastAsia="Arial" w:hAnsi="Arial" w:cs="Arial"/>
        </w:rPr>
        <w:t>Murali, K., (2025). I</w:t>
      </w:r>
      <w:r w:rsidRPr="00216A29">
        <w:rPr>
          <w:rFonts w:ascii="Arial" w:eastAsia="Arial" w:hAnsi="Arial" w:cs="Arial"/>
          <w:i/>
          <w:iCs/>
        </w:rPr>
        <w:t xml:space="preserve">ndia EV Sector Funding at $1.4 Billion in 2025, up 27% YoY: Tracxn. </w:t>
      </w:r>
      <w:r w:rsidRPr="00216A29">
        <w:rPr>
          <w:rFonts w:ascii="Arial" w:eastAsia="Arial" w:hAnsi="Arial" w:cs="Arial"/>
        </w:rPr>
        <w:t xml:space="preserve">Available at: </w:t>
      </w:r>
      <w:hyperlink r:id="rId38">
        <w:r w:rsidR="00605D40" w:rsidRPr="00216A29">
          <w:rPr>
            <w:rFonts w:ascii="Arial" w:eastAsia="Arial" w:hAnsi="Arial" w:cs="Arial"/>
            <w:u w:val="single"/>
          </w:rPr>
          <w:t>https://www.autocarpro.in/news/india-ev-sector-funding-at-$14-billion-in-2025-up-27-yoy-tracxn-130153</w:t>
        </w:r>
      </w:hyperlink>
      <w:r w:rsidRPr="00216A29">
        <w:rPr>
          <w:rFonts w:ascii="Arial" w:eastAsia="Arial" w:hAnsi="Arial" w:cs="Arial"/>
        </w:rPr>
        <w:t xml:space="preserve"> (Accessed: 13 June 2026).</w:t>
      </w:r>
    </w:p>
    <w:p w14:paraId="4A574AB2" w14:textId="77777777" w:rsidR="00605D40" w:rsidRPr="00216A29" w:rsidRDefault="006F0C8D">
      <w:pPr>
        <w:spacing w:after="160"/>
        <w:rPr>
          <w:rFonts w:ascii="Arial" w:eastAsia="Arial" w:hAnsi="Arial" w:cs="Arial"/>
        </w:rPr>
      </w:pPr>
      <w:r w:rsidRPr="00216A29">
        <w:rPr>
          <w:rFonts w:ascii="Arial" w:eastAsia="Arial" w:hAnsi="Arial" w:cs="Arial"/>
        </w:rPr>
        <w:t xml:space="preserve">Nalin, A. (2026). Toyota Absolutely Dominated Hybrid Sales In 2025 — 4.4 Million Sold. </w:t>
      </w:r>
      <w:r w:rsidRPr="00216A29">
        <w:rPr>
          <w:rFonts w:ascii="Arial" w:eastAsia="Arial" w:hAnsi="Arial" w:cs="Arial"/>
          <w:i/>
          <w:iCs/>
        </w:rPr>
        <w:t>Yahoo Finance</w:t>
      </w:r>
      <w:r w:rsidRPr="00216A29">
        <w:rPr>
          <w:rFonts w:ascii="Arial" w:eastAsia="Arial" w:hAnsi="Arial" w:cs="Arial"/>
        </w:rPr>
        <w:t>. [Online]. Available at:</w:t>
      </w:r>
      <w:hyperlink r:id="rId39">
        <w:r w:rsidR="00605D40" w:rsidRPr="00216A29">
          <w:rPr>
            <w:rFonts w:ascii="Arial" w:eastAsia="Arial" w:hAnsi="Arial" w:cs="Arial"/>
          </w:rPr>
          <w:t xml:space="preserve"> </w:t>
        </w:r>
      </w:hyperlink>
      <w:hyperlink r:id="rId40">
        <w:r w:rsidR="00605D40" w:rsidRPr="00216A29">
          <w:rPr>
            <w:rFonts w:ascii="Arial" w:eastAsia="Arial" w:hAnsi="Arial" w:cs="Arial"/>
            <w:u w:val="single"/>
          </w:rPr>
          <w:t>https://finance.yahoo.com/sectors/energy/articles/toyota-absolutely-dominated-hybrid-sales-220036493.html</w:t>
        </w:r>
      </w:hyperlink>
      <w:r w:rsidRPr="00216A29">
        <w:rPr>
          <w:rFonts w:ascii="Arial" w:eastAsia="Arial" w:hAnsi="Arial" w:cs="Arial"/>
        </w:rPr>
        <w:t xml:space="preserve"> [Accessed on: 23/06/2026]</w:t>
      </w:r>
    </w:p>
    <w:p w14:paraId="11D97E16" w14:textId="77777777" w:rsidR="00605D40" w:rsidRPr="00216A29" w:rsidRDefault="006F0C8D">
      <w:pPr>
        <w:spacing w:after="160"/>
        <w:rPr>
          <w:rFonts w:ascii="Arial" w:eastAsia="Arial" w:hAnsi="Arial" w:cs="Arial"/>
        </w:rPr>
      </w:pPr>
      <w:r w:rsidRPr="00216A29">
        <w:rPr>
          <w:rFonts w:ascii="Arial" w:eastAsia="Arial" w:hAnsi="Arial" w:cs="Arial"/>
        </w:rPr>
        <w:t xml:space="preserve">PIB (2026). </w:t>
      </w:r>
      <w:r w:rsidRPr="00216A29">
        <w:rPr>
          <w:rFonts w:ascii="Arial" w:eastAsia="Arial" w:hAnsi="Arial" w:cs="Arial"/>
          <w:i/>
          <w:iCs/>
        </w:rPr>
        <w:t>Economic Survey 2025-26</w:t>
      </w:r>
      <w:r w:rsidRPr="00216A29">
        <w:rPr>
          <w:rFonts w:ascii="Arial" w:eastAsia="Arial" w:hAnsi="Arial" w:cs="Arial"/>
        </w:rPr>
        <w:t>. [Online]. Available at:</w:t>
      </w:r>
      <w:hyperlink r:id="rId41">
        <w:r w:rsidR="00605D40" w:rsidRPr="00216A29">
          <w:rPr>
            <w:rFonts w:ascii="Arial" w:eastAsia="Arial" w:hAnsi="Arial" w:cs="Arial"/>
          </w:rPr>
          <w:t xml:space="preserve"> </w:t>
        </w:r>
      </w:hyperlink>
      <w:hyperlink r:id="rId42">
        <w:r w:rsidR="00605D40" w:rsidRPr="00216A29">
          <w:rPr>
            <w:rFonts w:ascii="Arial" w:eastAsia="Arial" w:hAnsi="Arial" w:cs="Arial"/>
            <w:u w:val="single"/>
          </w:rPr>
          <w:t>https://www.pib.gov.in/PressReleasePage.aspx?PRID=2220800&amp;lang=2&amp;reg=3</w:t>
        </w:r>
      </w:hyperlink>
      <w:r w:rsidRPr="00216A29">
        <w:rPr>
          <w:rFonts w:ascii="Arial" w:eastAsia="Arial" w:hAnsi="Arial" w:cs="Arial"/>
        </w:rPr>
        <w:t xml:space="preserve"> [Accessed on: 22/06/2026]</w:t>
      </w:r>
    </w:p>
    <w:p w14:paraId="5FC6C94A" w14:textId="77777777" w:rsidR="00605D40" w:rsidRPr="00216A29" w:rsidRDefault="006F0C8D">
      <w:pPr>
        <w:rPr>
          <w:rFonts w:ascii="Arial" w:eastAsia="Arial" w:hAnsi="Arial" w:cs="Arial"/>
        </w:rPr>
      </w:pPr>
      <w:r w:rsidRPr="00216A29">
        <w:rPr>
          <w:rFonts w:ascii="Arial" w:eastAsia="Arial" w:hAnsi="Arial" w:cs="Arial"/>
        </w:rPr>
        <w:t xml:space="preserve">Pib.gov.in, (2025). </w:t>
      </w:r>
      <w:r w:rsidRPr="00216A29">
        <w:rPr>
          <w:rFonts w:ascii="Arial" w:eastAsia="Arial" w:hAnsi="Arial" w:cs="Arial"/>
          <w:i/>
          <w:iCs/>
        </w:rPr>
        <w:t>PM e-DRIVE AND PLI SCHEMES</w:t>
      </w:r>
      <w:r w:rsidRPr="00216A29">
        <w:rPr>
          <w:rFonts w:ascii="Arial" w:eastAsia="Arial" w:hAnsi="Arial" w:cs="Arial"/>
        </w:rPr>
        <w:t>. Available at:</w:t>
      </w:r>
      <w:hyperlink r:id="rId43">
        <w:r w:rsidR="00605D40" w:rsidRPr="00216A29">
          <w:rPr>
            <w:rFonts w:ascii="Arial" w:eastAsia="Arial" w:hAnsi="Arial" w:cs="Arial"/>
          </w:rPr>
          <w:t xml:space="preserve"> </w:t>
        </w:r>
      </w:hyperlink>
      <w:hyperlink r:id="rId44">
        <w:r w:rsidR="00605D40" w:rsidRPr="00216A29">
          <w:rPr>
            <w:rFonts w:ascii="Arial" w:eastAsia="Arial" w:hAnsi="Arial" w:cs="Arial"/>
            <w:u w:val="single"/>
          </w:rPr>
          <w:t>https://www.pib.gov.in/PressReleasePage.aspx?PRID=2147042&amp;lang=2&amp;reg=48</w:t>
        </w:r>
      </w:hyperlink>
      <w:r w:rsidRPr="00216A29">
        <w:rPr>
          <w:rFonts w:ascii="Arial" w:eastAsia="Arial" w:hAnsi="Arial" w:cs="Arial"/>
        </w:rPr>
        <w:t xml:space="preserve"> (Accessed: 09 June 2026).</w:t>
      </w:r>
    </w:p>
    <w:p w14:paraId="6824F7AB" w14:textId="77777777" w:rsidR="00605D40" w:rsidRPr="00216A29" w:rsidRDefault="006F0C8D">
      <w:pPr>
        <w:spacing w:after="160"/>
        <w:rPr>
          <w:rFonts w:ascii="Arial" w:eastAsia="Arial" w:hAnsi="Arial" w:cs="Arial"/>
        </w:rPr>
      </w:pPr>
      <w:r w:rsidRPr="00216A29">
        <w:rPr>
          <w:rFonts w:ascii="Arial" w:eastAsia="Arial" w:hAnsi="Arial" w:cs="Arial"/>
        </w:rPr>
        <w:t xml:space="preserve">Putri, K.A., Nasukha, K.S., Febriyanti, M.Y. and Rasyid, S. (2025). A Comparative Study of Honda and Toyota Brands in Hybrid Vehicle Sustainability Using the Competitive Profile Matrix (CPM) Framework. </w:t>
      </w:r>
      <w:r w:rsidRPr="00216A29">
        <w:rPr>
          <w:rFonts w:ascii="Arial" w:eastAsia="Arial" w:hAnsi="Arial" w:cs="Arial"/>
          <w:i/>
          <w:iCs/>
        </w:rPr>
        <w:t>EPJ Web of Conferences</w:t>
      </w:r>
      <w:r w:rsidRPr="00216A29">
        <w:rPr>
          <w:rFonts w:ascii="Arial" w:eastAsia="Arial" w:hAnsi="Arial" w:cs="Arial"/>
        </w:rPr>
        <w:t>, [online] 328, p.01037. doi:https://doi.org/10.1051/epjconf/202532801037.</w:t>
      </w:r>
    </w:p>
    <w:p w14:paraId="6D3E4884" w14:textId="77777777" w:rsidR="00605D40" w:rsidRPr="00216A29" w:rsidRDefault="006F0C8D">
      <w:pPr>
        <w:spacing w:after="160"/>
        <w:rPr>
          <w:rFonts w:ascii="Arial" w:eastAsia="Arial" w:hAnsi="Arial" w:cs="Arial"/>
        </w:rPr>
      </w:pPr>
      <w:r w:rsidRPr="00216A29">
        <w:rPr>
          <w:rFonts w:ascii="Arial" w:eastAsia="Arial" w:hAnsi="Arial" w:cs="Arial"/>
        </w:rPr>
        <w:t xml:space="preserve">Reuters (2025). Toyota recalling 1.02 million US vehicles over rear camera flaw. </w:t>
      </w:r>
      <w:r w:rsidRPr="00216A29">
        <w:rPr>
          <w:rFonts w:ascii="Arial" w:eastAsia="Arial" w:hAnsi="Arial" w:cs="Arial"/>
          <w:i/>
          <w:iCs/>
        </w:rPr>
        <w:t>Reuters</w:t>
      </w:r>
      <w:r w:rsidRPr="00216A29">
        <w:rPr>
          <w:rFonts w:ascii="Arial" w:eastAsia="Arial" w:hAnsi="Arial" w:cs="Arial"/>
        </w:rPr>
        <w:t xml:space="preserve">. [online] 5 Nov. Available at: </w:t>
      </w:r>
      <w:hyperlink r:id="rId45">
        <w:r w:rsidR="00605D40" w:rsidRPr="00216A29">
          <w:rPr>
            <w:rFonts w:ascii="Arial" w:eastAsia="Arial" w:hAnsi="Arial" w:cs="Arial"/>
            <w:u w:val="single"/>
          </w:rPr>
          <w:t>https://www.reuters.com/business/autos-transportation/toyota-recall-over-million-us-vehicles-over-camera-flaw-nhtsa-says-2025-11-05/</w:t>
        </w:r>
      </w:hyperlink>
      <w:r w:rsidRPr="00216A29">
        <w:rPr>
          <w:rFonts w:ascii="Arial" w:eastAsia="Arial" w:hAnsi="Arial" w:cs="Arial"/>
        </w:rPr>
        <w:t>. (Accessed: 11 June 2026)</w:t>
      </w:r>
    </w:p>
    <w:p w14:paraId="0970D14A" w14:textId="77777777" w:rsidR="00605D40" w:rsidRPr="00216A29" w:rsidRDefault="006F0C8D">
      <w:pPr>
        <w:spacing w:after="160"/>
        <w:rPr>
          <w:rFonts w:ascii="Arial" w:eastAsia="Arial" w:hAnsi="Arial" w:cs="Arial"/>
        </w:rPr>
      </w:pPr>
      <w:r w:rsidRPr="00216A29">
        <w:rPr>
          <w:rFonts w:ascii="Arial" w:eastAsia="Arial" w:hAnsi="Arial" w:cs="Arial"/>
        </w:rPr>
        <w:t xml:space="preserve">S&amp;P Global Mobility (2025). </w:t>
      </w:r>
      <w:r w:rsidRPr="00216A29">
        <w:rPr>
          <w:rFonts w:ascii="Arial" w:eastAsia="Arial" w:hAnsi="Arial" w:cs="Arial"/>
          <w:i/>
          <w:iCs/>
        </w:rPr>
        <w:t>U.S. Vehicle Age Rises Again to 12.8 Years in 2025, According to S&amp;P Global Mobility</w:t>
      </w:r>
      <w:r w:rsidRPr="00216A29">
        <w:rPr>
          <w:rFonts w:ascii="Arial" w:eastAsia="Arial" w:hAnsi="Arial" w:cs="Arial"/>
        </w:rPr>
        <w:t>. [Online]. Available at:</w:t>
      </w:r>
      <w:hyperlink r:id="rId46">
        <w:r w:rsidR="00605D40" w:rsidRPr="00216A29">
          <w:rPr>
            <w:rFonts w:ascii="Arial" w:eastAsia="Arial" w:hAnsi="Arial" w:cs="Arial"/>
          </w:rPr>
          <w:t xml:space="preserve"> </w:t>
        </w:r>
      </w:hyperlink>
      <w:hyperlink r:id="rId47">
        <w:r w:rsidR="00605D40" w:rsidRPr="00216A29">
          <w:rPr>
            <w:rFonts w:ascii="Arial" w:eastAsia="Arial" w:hAnsi="Arial" w:cs="Arial"/>
            <w:u w:val="single"/>
          </w:rPr>
          <w:t>https://press.spglobal.com/2025-05-21-U-S-Vehicle-Age-Rises-Again-to-12-8-Years-in-2025,-According-to-S-P-Global-Mobility</w:t>
        </w:r>
      </w:hyperlink>
      <w:r w:rsidRPr="00216A29">
        <w:rPr>
          <w:rFonts w:ascii="Arial" w:eastAsia="Arial" w:hAnsi="Arial" w:cs="Arial"/>
        </w:rPr>
        <w:t xml:space="preserve"> [Accessed on: 22/06/2026]</w:t>
      </w:r>
    </w:p>
    <w:p w14:paraId="4819B58F" w14:textId="77777777" w:rsidR="00605D40" w:rsidRPr="00216A29" w:rsidRDefault="006F0C8D">
      <w:pPr>
        <w:spacing w:after="160"/>
        <w:rPr>
          <w:rFonts w:ascii="Arial" w:eastAsia="Arial" w:hAnsi="Arial" w:cs="Arial"/>
        </w:rPr>
      </w:pPr>
      <w:r w:rsidRPr="00216A29">
        <w:rPr>
          <w:rFonts w:ascii="Arial" w:eastAsia="Arial" w:hAnsi="Arial" w:cs="Arial"/>
        </w:rPr>
        <w:t xml:space="preserve">Sri, J.D. and Khan, R., (2026). THE ROLE OF MARKET ANALYSIS IN PRODUCT DEVELOPMENT AND INNOVATION STRATEGIES AT HARSHA TOYOTA. </w:t>
      </w:r>
      <w:r w:rsidRPr="00216A29">
        <w:rPr>
          <w:rFonts w:ascii="Arial" w:eastAsia="Arial" w:hAnsi="Arial" w:cs="Arial"/>
          <w:i/>
          <w:iCs/>
        </w:rPr>
        <w:t>International Journal of Data Science and IoT Management System</w:t>
      </w:r>
      <w:r w:rsidRPr="00216A29">
        <w:rPr>
          <w:rFonts w:ascii="Arial" w:eastAsia="Arial" w:hAnsi="Arial" w:cs="Arial"/>
        </w:rPr>
        <w:t xml:space="preserve">, </w:t>
      </w:r>
      <w:r w:rsidRPr="00216A29">
        <w:rPr>
          <w:rFonts w:ascii="Arial" w:eastAsia="Arial" w:hAnsi="Arial" w:cs="Arial"/>
          <w:i/>
          <w:iCs/>
        </w:rPr>
        <w:t>5</w:t>
      </w:r>
      <w:r w:rsidRPr="00216A29">
        <w:rPr>
          <w:rFonts w:ascii="Arial" w:eastAsia="Arial" w:hAnsi="Arial" w:cs="Arial"/>
        </w:rPr>
        <w:t>(2 (3)), pp.216-223.</w:t>
      </w:r>
    </w:p>
    <w:p w14:paraId="1D571933" w14:textId="77777777" w:rsidR="00605D40" w:rsidRPr="00216A29" w:rsidRDefault="006F0C8D">
      <w:pPr>
        <w:spacing w:after="160"/>
        <w:rPr>
          <w:rFonts w:ascii="Arial" w:eastAsia="Arial" w:hAnsi="Arial" w:cs="Arial"/>
        </w:rPr>
      </w:pPr>
      <w:r w:rsidRPr="00216A29">
        <w:rPr>
          <w:rFonts w:ascii="Arial" w:eastAsia="Arial" w:hAnsi="Arial" w:cs="Arial"/>
        </w:rPr>
        <w:t xml:space="preserve">Statista (2025), </w:t>
      </w:r>
      <w:r w:rsidRPr="00216A29">
        <w:rPr>
          <w:rFonts w:ascii="Arial" w:eastAsia="Arial" w:hAnsi="Arial" w:cs="Arial"/>
          <w:i/>
          <w:iCs/>
        </w:rPr>
        <w:t>Toyota Motor Corporation's retail vehicle sales from 2017 to 2024</w:t>
      </w:r>
      <w:r w:rsidRPr="00216A29">
        <w:rPr>
          <w:rFonts w:ascii="Arial" w:eastAsia="Arial" w:hAnsi="Arial" w:cs="Arial"/>
        </w:rPr>
        <w:t>. [Online]. Available at:</w:t>
      </w:r>
      <w:hyperlink r:id="rId48">
        <w:r w:rsidR="00605D40" w:rsidRPr="00216A29">
          <w:rPr>
            <w:rFonts w:ascii="Arial" w:eastAsia="Arial" w:hAnsi="Arial" w:cs="Arial"/>
          </w:rPr>
          <w:t xml:space="preserve"> </w:t>
        </w:r>
      </w:hyperlink>
      <w:hyperlink r:id="rId49">
        <w:r w:rsidR="00605D40" w:rsidRPr="00216A29">
          <w:rPr>
            <w:rFonts w:ascii="Arial" w:eastAsia="Arial" w:hAnsi="Arial" w:cs="Arial"/>
            <w:u w:val="single"/>
          </w:rPr>
          <w:t>https://www.statista.com/statistics/267274/worldwide-vehicle-sales-of-toyota-since-2007/?srsltid=AfmBOopu9z5D-s12J8ymGvdVMqr7xejqIjVH7Tz9Q8rCFC4cIOLLitGE</w:t>
        </w:r>
      </w:hyperlink>
      <w:r w:rsidRPr="00216A29">
        <w:rPr>
          <w:rFonts w:ascii="Arial" w:eastAsia="Arial" w:hAnsi="Arial" w:cs="Arial"/>
        </w:rPr>
        <w:t xml:space="preserve"> [Accessed on: 24/06/2026]</w:t>
      </w:r>
    </w:p>
    <w:p w14:paraId="316E82BC" w14:textId="77777777" w:rsidR="00605D40" w:rsidRPr="00216A29" w:rsidRDefault="006F0C8D">
      <w:pPr>
        <w:rPr>
          <w:rFonts w:ascii="Arial" w:eastAsia="Arial" w:hAnsi="Arial" w:cs="Arial"/>
        </w:rPr>
      </w:pPr>
      <w:r w:rsidRPr="00216A29">
        <w:rPr>
          <w:rFonts w:ascii="Arial" w:eastAsia="Arial" w:hAnsi="Arial" w:cs="Arial"/>
        </w:rPr>
        <w:t xml:space="preserve">Statista, (2025). </w:t>
      </w:r>
      <w:r w:rsidRPr="00216A29">
        <w:rPr>
          <w:rFonts w:ascii="Arial" w:eastAsia="Arial" w:hAnsi="Arial" w:cs="Arial"/>
          <w:i/>
          <w:iCs/>
        </w:rPr>
        <w:t>Volume of passenger cars sold across India in financial year 2025, by original equipment manufacturer.</w:t>
      </w:r>
      <w:r w:rsidRPr="00216A29">
        <w:rPr>
          <w:rFonts w:ascii="Arial" w:eastAsia="Arial" w:hAnsi="Arial" w:cs="Arial"/>
        </w:rPr>
        <w:t xml:space="preserve"> Available at: </w:t>
      </w:r>
      <w:hyperlink r:id="rId50">
        <w:r w:rsidR="00605D40" w:rsidRPr="00216A29">
          <w:rPr>
            <w:rFonts w:ascii="Arial" w:eastAsia="Arial" w:hAnsi="Arial" w:cs="Arial"/>
            <w:u w:val="single"/>
          </w:rPr>
          <w:t>https://www.statista.com/statistics/1090709/india-car-sales-volume-by-oem/?srsltid=AfmBOopPZxBwRq3l2a70BFmOxYBmzvOoRBxhFOJ7CyGYW2RYPVu6sVSX</w:t>
        </w:r>
      </w:hyperlink>
      <w:r w:rsidRPr="00216A29">
        <w:rPr>
          <w:rFonts w:ascii="Arial" w:eastAsia="Arial" w:hAnsi="Arial" w:cs="Arial"/>
        </w:rPr>
        <w:t xml:space="preserve"> (Accessed: 12 June 2026).</w:t>
      </w:r>
    </w:p>
    <w:p w14:paraId="779A2B87" w14:textId="77777777" w:rsidR="00605D40" w:rsidRPr="00216A29" w:rsidRDefault="006F0C8D">
      <w:pPr>
        <w:spacing w:after="160"/>
        <w:rPr>
          <w:rFonts w:ascii="Arial" w:eastAsia="Arial" w:hAnsi="Arial" w:cs="Arial"/>
        </w:rPr>
      </w:pPr>
      <w:r w:rsidRPr="00216A29">
        <w:rPr>
          <w:rFonts w:ascii="Arial" w:eastAsia="Arial" w:hAnsi="Arial" w:cs="Arial"/>
        </w:rPr>
        <w:t xml:space="preserve">Taylor, T., Naimoli, S., Latham, S., Shok, K., Fertik, T., Rayef, R., Pinchot, A. and Johnson, R. (2026). </w:t>
      </w:r>
      <w:r w:rsidRPr="00216A29">
        <w:rPr>
          <w:rFonts w:ascii="Arial" w:eastAsia="Arial" w:hAnsi="Arial" w:cs="Arial"/>
          <w:i/>
          <w:iCs/>
        </w:rPr>
        <w:t>TRACKING THE STATE OF U.S. EV MANUFACTURING</w:t>
      </w:r>
      <w:r w:rsidRPr="00216A29">
        <w:rPr>
          <w:rFonts w:ascii="Arial" w:eastAsia="Arial" w:hAnsi="Arial" w:cs="Arial"/>
        </w:rPr>
        <w:t>. [online] Available at: https://atlaspolicy.com/wp-content/uploads/2025/01/Tracking-the-State-of-U.S.-EV-Manufacturing.pdf.</w:t>
      </w:r>
    </w:p>
    <w:p w14:paraId="7084D3F3" w14:textId="77777777" w:rsidR="00605D40" w:rsidRPr="00216A29" w:rsidRDefault="006F0C8D">
      <w:pPr>
        <w:spacing w:after="160"/>
        <w:rPr>
          <w:rFonts w:ascii="Arial" w:eastAsia="Arial" w:hAnsi="Arial" w:cs="Arial"/>
        </w:rPr>
      </w:pPr>
      <w:r w:rsidRPr="00216A29">
        <w:rPr>
          <w:rFonts w:ascii="Arial" w:eastAsia="Arial" w:hAnsi="Arial" w:cs="Arial"/>
        </w:rPr>
        <w:t xml:space="preserve">The Culture Factor, (2025). </w:t>
      </w:r>
      <w:r w:rsidRPr="00216A29">
        <w:rPr>
          <w:rFonts w:ascii="Arial" w:eastAsia="Arial" w:hAnsi="Arial" w:cs="Arial"/>
          <w:i/>
          <w:iCs/>
        </w:rPr>
        <w:t>Country Comparison tool.</w:t>
      </w:r>
      <w:r w:rsidRPr="00216A29">
        <w:rPr>
          <w:rFonts w:ascii="Arial" w:eastAsia="Arial" w:hAnsi="Arial" w:cs="Arial"/>
        </w:rPr>
        <w:t xml:space="preserve"> Available at: </w:t>
      </w:r>
      <w:hyperlink r:id="rId51">
        <w:r w:rsidR="00605D40" w:rsidRPr="00216A29">
          <w:rPr>
            <w:rFonts w:ascii="Arial" w:eastAsia="Arial" w:hAnsi="Arial" w:cs="Arial"/>
            <w:u w:val="single"/>
          </w:rPr>
          <w:t>https://www.theculturefactor.com/country-comparison</w:t>
        </w:r>
      </w:hyperlink>
      <w:r w:rsidRPr="00216A29">
        <w:rPr>
          <w:rFonts w:ascii="Arial" w:eastAsia="Arial" w:hAnsi="Arial" w:cs="Arial"/>
        </w:rPr>
        <w:t xml:space="preserve"> tool?countries=india%2Cunited+states  (Accessed: 17 June 2026).</w:t>
      </w:r>
    </w:p>
    <w:p w14:paraId="32C3FF7F" w14:textId="77777777" w:rsidR="00605D40" w:rsidRPr="00216A29" w:rsidRDefault="006F0C8D">
      <w:pPr>
        <w:rPr>
          <w:rFonts w:ascii="Arial" w:eastAsia="Arial" w:hAnsi="Arial" w:cs="Arial"/>
        </w:rPr>
      </w:pPr>
      <w:r w:rsidRPr="00216A29">
        <w:rPr>
          <w:rFonts w:ascii="Arial" w:eastAsia="Arial" w:hAnsi="Arial" w:cs="Arial"/>
        </w:rPr>
        <w:t xml:space="preserve">The Global Economy, (2024). </w:t>
      </w:r>
      <w:r w:rsidRPr="00216A29">
        <w:rPr>
          <w:rFonts w:ascii="Arial" w:eastAsia="Arial" w:hAnsi="Arial" w:cs="Arial"/>
          <w:i/>
          <w:iCs/>
        </w:rPr>
        <w:t>India: Political stability</w:t>
      </w:r>
      <w:r w:rsidRPr="00216A29">
        <w:rPr>
          <w:rFonts w:ascii="Arial" w:eastAsia="Arial" w:hAnsi="Arial" w:cs="Arial"/>
        </w:rPr>
        <w:t xml:space="preserve">. Available at: </w:t>
      </w:r>
      <w:hyperlink r:id="rId52">
        <w:r w:rsidR="00605D40" w:rsidRPr="00216A29">
          <w:rPr>
            <w:rFonts w:ascii="Arial" w:eastAsia="Arial" w:hAnsi="Arial" w:cs="Arial"/>
            <w:u w:val="single"/>
          </w:rPr>
          <w:t>https://www.theglobaleconomy.com/India/wb_political_stability/</w:t>
        </w:r>
      </w:hyperlink>
      <w:r w:rsidRPr="00216A29">
        <w:rPr>
          <w:rFonts w:ascii="Arial" w:eastAsia="Arial" w:hAnsi="Arial" w:cs="Arial"/>
        </w:rPr>
        <w:t xml:space="preserve"> (Accessed: 10 June 2026).</w:t>
      </w:r>
    </w:p>
    <w:p w14:paraId="242D8C78" w14:textId="77777777" w:rsidR="00605D40" w:rsidRPr="00216A29" w:rsidRDefault="006F0C8D">
      <w:pPr>
        <w:spacing w:after="160"/>
        <w:rPr>
          <w:rFonts w:ascii="Arial" w:eastAsia="Arial" w:hAnsi="Arial" w:cs="Arial"/>
        </w:rPr>
      </w:pPr>
      <w:r w:rsidRPr="00216A29">
        <w:rPr>
          <w:rFonts w:ascii="Arial" w:eastAsia="Arial" w:hAnsi="Arial" w:cs="Arial"/>
        </w:rPr>
        <w:t xml:space="preserve">Times of India (2025). </w:t>
      </w:r>
      <w:r w:rsidRPr="00216A29">
        <w:rPr>
          <w:rFonts w:ascii="Arial" w:eastAsia="Arial" w:hAnsi="Arial" w:cs="Arial"/>
          <w:i/>
          <w:iCs/>
        </w:rPr>
        <w:t>Toyota Urban Cruiser Hyryder recalled in India: Check if yours is affected</w:t>
      </w:r>
      <w:r w:rsidRPr="00216A29">
        <w:rPr>
          <w:rFonts w:ascii="Arial" w:eastAsia="Arial" w:hAnsi="Arial" w:cs="Arial"/>
        </w:rPr>
        <w:t xml:space="preserve">. [online] The Times of India. Available at: </w:t>
      </w:r>
      <w:hyperlink r:id="rId53">
        <w:r w:rsidR="00605D40" w:rsidRPr="00216A29">
          <w:rPr>
            <w:rFonts w:ascii="Arial" w:eastAsia="Arial" w:hAnsi="Arial" w:cs="Arial"/>
            <w:u w:val="single"/>
          </w:rPr>
          <w:t>https://timesofindia.indiatimes.com/auto/cars/toyota-urban-cruiser-hyryder-recalled-in-india-check-if-yours-is-affected/articleshow/125536796.cms</w:t>
        </w:r>
      </w:hyperlink>
      <w:r w:rsidRPr="00216A29">
        <w:rPr>
          <w:rFonts w:ascii="Arial" w:eastAsia="Arial" w:hAnsi="Arial" w:cs="Arial"/>
        </w:rPr>
        <w:t>. (Accessed: 13 June 2026)</w:t>
      </w:r>
    </w:p>
    <w:p w14:paraId="0272AF90" w14:textId="77777777" w:rsidR="00605D40" w:rsidRPr="00216A29" w:rsidRDefault="006F0C8D">
      <w:pPr>
        <w:spacing w:after="160"/>
        <w:rPr>
          <w:rFonts w:ascii="Arial" w:eastAsia="Arial" w:hAnsi="Arial" w:cs="Arial"/>
        </w:rPr>
      </w:pPr>
      <w:r w:rsidRPr="00216A29">
        <w:rPr>
          <w:rFonts w:ascii="Arial" w:eastAsia="Arial" w:hAnsi="Arial" w:cs="Arial"/>
        </w:rPr>
        <w:t xml:space="preserve">Tinwala, M., Singh, V. and Jignesh Vidani (2025). A Comparative Study on Urban Cruiser of Toyota V/S Harrier of Tata Engine, Mileage and Safety Among Consumers in Ahmedabad City. </w:t>
      </w:r>
      <w:r w:rsidRPr="00216A29">
        <w:rPr>
          <w:rFonts w:ascii="Arial" w:eastAsia="Arial" w:hAnsi="Arial" w:cs="Arial"/>
          <w:i/>
          <w:iCs/>
        </w:rPr>
        <w:t>International Journal of Management Analytics</w:t>
      </w:r>
      <w:r w:rsidRPr="00216A29">
        <w:rPr>
          <w:rFonts w:ascii="Arial" w:eastAsia="Arial" w:hAnsi="Arial" w:cs="Arial"/>
        </w:rPr>
        <w:t>, [online] 3(1), pp.21–42. doi:https://doi.org/10.59890/ijma.v3i1.145.</w:t>
      </w:r>
    </w:p>
    <w:p w14:paraId="04C5E43C"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(2025). </w:t>
      </w:r>
      <w:r w:rsidRPr="00216A29">
        <w:rPr>
          <w:rFonts w:ascii="Arial" w:eastAsia="Arial" w:hAnsi="Arial" w:cs="Arial"/>
          <w:i/>
          <w:iCs/>
        </w:rPr>
        <w:t>Toyota Customer Service</w:t>
      </w:r>
      <w:r w:rsidRPr="00216A29">
        <w:rPr>
          <w:rFonts w:ascii="Arial" w:eastAsia="Arial" w:hAnsi="Arial" w:cs="Arial"/>
        </w:rPr>
        <w:t xml:space="preserve">. [online] Toyota.com. Available at: </w:t>
      </w:r>
      <w:hyperlink r:id="rId54">
        <w:r w:rsidR="00605D40" w:rsidRPr="00216A29">
          <w:rPr>
            <w:rFonts w:ascii="Arial" w:eastAsia="Arial" w:hAnsi="Arial" w:cs="Arial"/>
            <w:u w:val="single"/>
          </w:rPr>
          <w:t>https://support.toyota.com/s/article/What-are-Toyotas-Miss-7654?language=en_US</w:t>
        </w:r>
      </w:hyperlink>
      <w:r w:rsidRPr="00216A29">
        <w:rPr>
          <w:rFonts w:ascii="Arial" w:eastAsia="Arial" w:hAnsi="Arial" w:cs="Arial"/>
        </w:rPr>
        <w:t>. (Accessed: 10 June 2026)</w:t>
      </w:r>
    </w:p>
    <w:p w14:paraId="36D178C3"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Bharat (2025). </w:t>
      </w:r>
      <w:r w:rsidRPr="00216A29">
        <w:rPr>
          <w:rFonts w:ascii="Arial" w:eastAsia="Arial" w:hAnsi="Arial" w:cs="Arial"/>
          <w:i/>
          <w:iCs/>
        </w:rPr>
        <w:t>Toyota Kirloskar Motor Records Best-Ever Fiscal Performance in FY24-25 with 28% Growth.</w:t>
      </w:r>
      <w:r w:rsidRPr="00216A29">
        <w:rPr>
          <w:rFonts w:ascii="Arial" w:eastAsia="Arial" w:hAnsi="Arial" w:cs="Arial"/>
        </w:rPr>
        <w:t xml:space="preserve"> [Online]. Available at:</w:t>
      </w:r>
      <w:hyperlink r:id="rId55">
        <w:r w:rsidR="00605D40" w:rsidRPr="00216A29">
          <w:rPr>
            <w:rFonts w:ascii="Arial" w:eastAsia="Arial" w:hAnsi="Arial" w:cs="Arial"/>
          </w:rPr>
          <w:t xml:space="preserve"> </w:t>
        </w:r>
      </w:hyperlink>
      <w:hyperlink r:id="rId56">
        <w:r w:rsidR="00605D40" w:rsidRPr="00216A29">
          <w:rPr>
            <w:rFonts w:ascii="Arial" w:eastAsia="Arial" w:hAnsi="Arial" w:cs="Arial"/>
            <w:u w:val="single"/>
          </w:rPr>
          <w:t>https://www.toyotabharat.com/news/2025/tkm-records-best-ever-fiscal-performance-in-fy24-25-with-28-growth.html</w:t>
        </w:r>
      </w:hyperlink>
      <w:r w:rsidRPr="00216A29">
        <w:rPr>
          <w:rFonts w:ascii="Arial" w:eastAsia="Arial" w:hAnsi="Arial" w:cs="Arial"/>
        </w:rPr>
        <w:t xml:space="preserve"> [Accessed on: 22/06/2026]</w:t>
      </w:r>
    </w:p>
    <w:p w14:paraId="1D12ACB2"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Care (2026). </w:t>
      </w:r>
      <w:r w:rsidRPr="00216A29">
        <w:rPr>
          <w:rFonts w:ascii="Arial" w:eastAsia="Arial" w:hAnsi="Arial" w:cs="Arial"/>
          <w:i/>
          <w:iCs/>
        </w:rPr>
        <w:t>Maintenance plans</w:t>
      </w:r>
      <w:r w:rsidRPr="00216A29">
        <w:rPr>
          <w:rFonts w:ascii="Arial" w:eastAsia="Arial" w:hAnsi="Arial" w:cs="Arial"/>
        </w:rPr>
        <w:t xml:space="preserve">. [online] www.toyota.com. Available at: </w:t>
      </w:r>
      <w:hyperlink r:id="rId57">
        <w:r w:rsidR="00605D40" w:rsidRPr="00216A29">
          <w:rPr>
            <w:rFonts w:ascii="Arial" w:eastAsia="Arial" w:hAnsi="Arial" w:cs="Arial"/>
            <w:u w:val="single"/>
          </w:rPr>
          <w:t>https://www.toyota.com/maintenance-plans/</w:t>
        </w:r>
      </w:hyperlink>
      <w:r w:rsidRPr="00216A29">
        <w:rPr>
          <w:rFonts w:ascii="Arial" w:eastAsia="Arial" w:hAnsi="Arial" w:cs="Arial"/>
        </w:rPr>
        <w:t>. (Accessed: 11 June 2026)</w:t>
      </w:r>
    </w:p>
    <w:p w14:paraId="7077E760"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Global (2025). </w:t>
      </w:r>
      <w:r w:rsidRPr="00216A29">
        <w:rPr>
          <w:rFonts w:ascii="Arial" w:eastAsia="Arial" w:hAnsi="Arial" w:cs="Arial"/>
          <w:i/>
          <w:iCs/>
        </w:rPr>
        <w:t>FINANCIAL SUMMARY FY2025</w:t>
      </w:r>
      <w:r w:rsidRPr="00216A29">
        <w:rPr>
          <w:rFonts w:ascii="Arial" w:eastAsia="Arial" w:hAnsi="Arial" w:cs="Arial"/>
        </w:rPr>
        <w:t>. [Online]. Available at:</w:t>
      </w:r>
      <w:hyperlink r:id="rId58">
        <w:r w:rsidR="00605D40" w:rsidRPr="00216A29">
          <w:rPr>
            <w:rFonts w:ascii="Arial" w:eastAsia="Arial" w:hAnsi="Arial" w:cs="Arial"/>
          </w:rPr>
          <w:t xml:space="preserve"> </w:t>
        </w:r>
      </w:hyperlink>
      <w:hyperlink r:id="rId59">
        <w:r w:rsidR="00605D40" w:rsidRPr="00216A29">
          <w:rPr>
            <w:rFonts w:ascii="Arial" w:eastAsia="Arial" w:hAnsi="Arial" w:cs="Arial"/>
            <w:u w:val="single"/>
          </w:rPr>
          <w:t>https://global.toyota/pages/global_toyota/ir/financial-results/2025_4q_summary_en.pdf</w:t>
        </w:r>
      </w:hyperlink>
      <w:r w:rsidRPr="00216A29">
        <w:rPr>
          <w:rFonts w:ascii="Arial" w:eastAsia="Arial" w:hAnsi="Arial" w:cs="Arial"/>
        </w:rPr>
        <w:t xml:space="preserve"> [Accessed on: 24/06/2026]</w:t>
      </w:r>
    </w:p>
    <w:p w14:paraId="42F44F5A"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Global (2025). </w:t>
      </w:r>
      <w:r w:rsidRPr="00216A29">
        <w:rPr>
          <w:rFonts w:ascii="Arial" w:eastAsia="Arial" w:hAnsi="Arial" w:cs="Arial"/>
          <w:i/>
          <w:iCs/>
        </w:rPr>
        <w:t>Integrated Report 2025</w:t>
      </w:r>
      <w:r w:rsidRPr="00216A29">
        <w:rPr>
          <w:rFonts w:ascii="Arial" w:eastAsia="Arial" w:hAnsi="Arial" w:cs="Arial"/>
        </w:rPr>
        <w:t>. [Online]. Available at:</w:t>
      </w:r>
      <w:hyperlink r:id="rId60">
        <w:r w:rsidR="00605D40" w:rsidRPr="00216A29">
          <w:rPr>
            <w:rFonts w:ascii="Arial" w:eastAsia="Arial" w:hAnsi="Arial" w:cs="Arial"/>
          </w:rPr>
          <w:t xml:space="preserve"> </w:t>
        </w:r>
      </w:hyperlink>
      <w:hyperlink r:id="rId61">
        <w:r w:rsidR="00605D40" w:rsidRPr="00216A29">
          <w:rPr>
            <w:rFonts w:ascii="Arial" w:eastAsia="Arial" w:hAnsi="Arial" w:cs="Arial"/>
            <w:u w:val="single"/>
          </w:rPr>
          <w:t>https://global.toyota/pages/global_toyota/ir/library/annual/2025_001_integrated_en.pdf?utm_source=openai</w:t>
        </w:r>
      </w:hyperlink>
      <w:r w:rsidRPr="00216A29">
        <w:rPr>
          <w:rFonts w:ascii="Arial" w:eastAsia="Arial" w:hAnsi="Arial" w:cs="Arial"/>
        </w:rPr>
        <w:t xml:space="preserve"> [Accessed on: 25/06/2026]</w:t>
      </w:r>
    </w:p>
    <w:p w14:paraId="319504BD" w14:textId="77777777" w:rsidR="00605D40" w:rsidRPr="00216A29" w:rsidRDefault="006F0C8D">
      <w:pPr>
        <w:spacing w:after="160"/>
        <w:rPr>
          <w:rFonts w:ascii="Arial" w:eastAsia="Arial" w:hAnsi="Arial" w:cs="Arial"/>
        </w:rPr>
      </w:pPr>
      <w:r w:rsidRPr="00216A29">
        <w:rPr>
          <w:rFonts w:ascii="Arial" w:eastAsia="Arial" w:hAnsi="Arial" w:cs="Arial"/>
        </w:rPr>
        <w:t xml:space="preserve">Toyota India (2025). </w:t>
      </w:r>
      <w:r w:rsidRPr="00216A29">
        <w:rPr>
          <w:rFonts w:ascii="Arial" w:eastAsia="Arial" w:hAnsi="Arial" w:cs="Arial"/>
          <w:i/>
          <w:iCs/>
        </w:rPr>
        <w:t>Toyota Kirloskar Motor Records 3,88,801 Units Sales in CY 2025</w:t>
      </w:r>
      <w:r w:rsidRPr="00216A29">
        <w:rPr>
          <w:rFonts w:ascii="Arial" w:eastAsia="Arial" w:hAnsi="Arial" w:cs="Arial"/>
        </w:rPr>
        <w:t xml:space="preserve">. [online] Toyotabharat.com. Available at: </w:t>
      </w:r>
      <w:hyperlink r:id="rId62">
        <w:r w:rsidR="00605D40" w:rsidRPr="00216A29">
          <w:rPr>
            <w:rFonts w:ascii="Arial" w:eastAsia="Arial" w:hAnsi="Arial" w:cs="Arial"/>
            <w:u w:val="single"/>
          </w:rPr>
          <w:t>https://www.toyotabharat.com/news/2026/tkm-records-388801-units-sales-in-cy-2025.html</w:t>
        </w:r>
      </w:hyperlink>
      <w:r w:rsidRPr="00216A29">
        <w:rPr>
          <w:rFonts w:ascii="Arial" w:eastAsia="Arial" w:hAnsi="Arial" w:cs="Arial"/>
        </w:rPr>
        <w:t>. (Accessed: 12 June 2026)</w:t>
      </w:r>
    </w:p>
    <w:p w14:paraId="3CE3A6B8" w14:textId="77777777" w:rsidR="00605D40" w:rsidRPr="00216A29" w:rsidRDefault="006F0C8D">
      <w:pPr>
        <w:rPr>
          <w:rFonts w:ascii="Arial" w:eastAsia="Arial" w:hAnsi="Arial" w:cs="Arial"/>
        </w:rPr>
      </w:pPr>
      <w:r w:rsidRPr="00216A29">
        <w:rPr>
          <w:rFonts w:ascii="Arial" w:eastAsia="Arial" w:hAnsi="Arial" w:cs="Arial"/>
        </w:rPr>
        <w:t xml:space="preserve">Toyota, (2025). </w:t>
      </w:r>
      <w:r w:rsidRPr="00216A29">
        <w:rPr>
          <w:rFonts w:ascii="Arial" w:eastAsia="Arial" w:hAnsi="Arial" w:cs="Arial"/>
          <w:i/>
          <w:iCs/>
        </w:rPr>
        <w:t>Toyota Announces $912 Million Investment in U.S. to Expand Hybrid Vehicle Production Capacity</w:t>
      </w:r>
      <w:r w:rsidRPr="00216A29">
        <w:rPr>
          <w:rFonts w:ascii="Arial" w:eastAsia="Arial" w:hAnsi="Arial" w:cs="Arial"/>
        </w:rPr>
        <w:t>. Available at:</w:t>
      </w:r>
      <w:hyperlink r:id="rId63">
        <w:r w:rsidR="00605D40" w:rsidRPr="00216A29">
          <w:rPr>
            <w:rFonts w:ascii="Arial" w:eastAsia="Arial" w:hAnsi="Arial" w:cs="Arial"/>
          </w:rPr>
          <w:t xml:space="preserve"> </w:t>
        </w:r>
      </w:hyperlink>
      <w:hyperlink r:id="rId64">
        <w:r w:rsidR="00605D40" w:rsidRPr="00216A29">
          <w:rPr>
            <w:rFonts w:ascii="Arial" w:eastAsia="Arial" w:hAnsi="Arial" w:cs="Arial"/>
            <w:u w:val="single"/>
          </w:rPr>
          <w:t>https://global.toyota/en/newsroom/corporate/43577463.html</w:t>
        </w:r>
      </w:hyperlink>
      <w:r w:rsidRPr="00216A29">
        <w:rPr>
          <w:rFonts w:ascii="Arial" w:eastAsia="Arial" w:hAnsi="Arial" w:cs="Arial"/>
        </w:rPr>
        <w:t xml:space="preserve"> (Accessed: 09 June 2026).</w:t>
      </w:r>
    </w:p>
    <w:p w14:paraId="047FB571" w14:textId="77777777" w:rsidR="00605D40" w:rsidRPr="00216A29" w:rsidRDefault="006F0C8D">
      <w:pPr>
        <w:rPr>
          <w:rFonts w:ascii="Arial" w:eastAsia="Arial" w:hAnsi="Arial" w:cs="Arial"/>
        </w:rPr>
      </w:pPr>
      <w:r w:rsidRPr="00216A29">
        <w:rPr>
          <w:rFonts w:ascii="Arial" w:eastAsia="Arial" w:hAnsi="Arial" w:cs="Arial"/>
        </w:rPr>
        <w:t xml:space="preserve">Toyota, (2025). </w:t>
      </w:r>
      <w:r w:rsidRPr="00216A29">
        <w:rPr>
          <w:rFonts w:ascii="Arial" w:eastAsia="Arial" w:hAnsi="Arial" w:cs="Arial"/>
          <w:i/>
          <w:iCs/>
        </w:rPr>
        <w:t>Toyota Motor North America Reports 2024 U.S. Sales Results</w:t>
      </w:r>
      <w:r w:rsidRPr="00216A29">
        <w:rPr>
          <w:rFonts w:ascii="Arial" w:eastAsia="Arial" w:hAnsi="Arial" w:cs="Arial"/>
        </w:rPr>
        <w:t xml:space="preserve">. Available at: </w:t>
      </w:r>
      <w:hyperlink r:id="rId65">
        <w:r w:rsidR="00605D40" w:rsidRPr="00216A29">
          <w:rPr>
            <w:rFonts w:ascii="Arial" w:eastAsia="Arial" w:hAnsi="Arial" w:cs="Arial"/>
            <w:u w:val="single"/>
          </w:rPr>
          <w:t>https://pressroom.toyota.com/toyota-motor-north-america-reports-2024-u-s-sales-results/</w:t>
        </w:r>
      </w:hyperlink>
      <w:r w:rsidRPr="00216A29">
        <w:rPr>
          <w:rFonts w:ascii="Arial" w:eastAsia="Arial" w:hAnsi="Arial" w:cs="Arial"/>
        </w:rPr>
        <w:t xml:space="preserve"> (Accessed: 12 June 2026).</w:t>
      </w:r>
    </w:p>
    <w:p w14:paraId="3260664D" w14:textId="77777777" w:rsidR="00605D40" w:rsidRPr="00216A29" w:rsidRDefault="006F0C8D">
      <w:pPr>
        <w:rPr>
          <w:rFonts w:ascii="Arial" w:eastAsia="Arial" w:hAnsi="Arial" w:cs="Arial"/>
        </w:rPr>
      </w:pPr>
      <w:r w:rsidRPr="00216A29">
        <w:rPr>
          <w:rFonts w:ascii="Arial" w:eastAsia="Arial" w:hAnsi="Arial" w:cs="Arial"/>
        </w:rPr>
        <w:t xml:space="preserve">Toyotabharat, (2025). </w:t>
      </w:r>
      <w:r w:rsidRPr="00216A29">
        <w:rPr>
          <w:rFonts w:ascii="Arial" w:eastAsia="Arial" w:hAnsi="Arial" w:cs="Arial"/>
          <w:i/>
          <w:iCs/>
        </w:rPr>
        <w:t>Toyota Kirloskar Motor Records Its Highest Ever Calendar Year Sales in 2024 by Selling 3,26,329 Units</w:t>
      </w:r>
      <w:r w:rsidRPr="00216A29">
        <w:rPr>
          <w:rFonts w:ascii="Arial" w:eastAsia="Arial" w:hAnsi="Arial" w:cs="Arial"/>
        </w:rPr>
        <w:t xml:space="preserve">. Available at: </w:t>
      </w:r>
      <w:hyperlink r:id="rId66">
        <w:r w:rsidR="00605D40" w:rsidRPr="00216A29">
          <w:rPr>
            <w:rFonts w:ascii="Arial" w:eastAsia="Arial" w:hAnsi="Arial" w:cs="Arial"/>
            <w:u w:val="single"/>
          </w:rPr>
          <w:t>https://www.toyotabharat.com/news/2025/tkm-records-its-highest-ever-calendar-year-sales-in-2024-by-selling-326329-units.html</w:t>
        </w:r>
      </w:hyperlink>
      <w:r w:rsidRPr="00216A29">
        <w:rPr>
          <w:rFonts w:ascii="Arial" w:eastAsia="Arial" w:hAnsi="Arial" w:cs="Arial"/>
        </w:rPr>
        <w:t xml:space="preserve"> (Accessed: 12 June 2026).</w:t>
      </w:r>
    </w:p>
    <w:p w14:paraId="37415EEE" w14:textId="77777777" w:rsidR="00605D40" w:rsidRPr="00216A29" w:rsidRDefault="006F0C8D">
      <w:pPr>
        <w:rPr>
          <w:rFonts w:ascii="Arial" w:eastAsia="Arial" w:hAnsi="Arial" w:cs="Arial"/>
        </w:rPr>
      </w:pPr>
      <w:r w:rsidRPr="00216A29">
        <w:rPr>
          <w:rFonts w:ascii="Arial" w:eastAsia="Arial" w:hAnsi="Arial" w:cs="Arial"/>
        </w:rPr>
        <w:t>Worldometers, (2026).</w:t>
      </w:r>
      <w:r w:rsidRPr="00216A29">
        <w:rPr>
          <w:rFonts w:ascii="Arial" w:eastAsia="Arial" w:hAnsi="Arial" w:cs="Arial"/>
          <w:i/>
          <w:iCs/>
        </w:rPr>
        <w:t xml:space="preserve"> India GDP (2026)</w:t>
      </w:r>
      <w:r w:rsidRPr="00216A29">
        <w:rPr>
          <w:rFonts w:ascii="Arial" w:eastAsia="Arial" w:hAnsi="Arial" w:cs="Arial"/>
        </w:rPr>
        <w:t xml:space="preserve">. Available at: </w:t>
      </w:r>
      <w:hyperlink r:id="rId67">
        <w:r w:rsidR="00605D40" w:rsidRPr="00216A29">
          <w:rPr>
            <w:rFonts w:ascii="Arial" w:eastAsia="Arial" w:hAnsi="Arial" w:cs="Arial"/>
            <w:u w:val="single"/>
          </w:rPr>
          <w:t>https://www.worldometers.info/gdp/india-gdp/</w:t>
        </w:r>
      </w:hyperlink>
      <w:r w:rsidRPr="00216A29">
        <w:rPr>
          <w:rFonts w:ascii="Arial" w:eastAsia="Arial" w:hAnsi="Arial" w:cs="Arial"/>
        </w:rPr>
        <w:t xml:space="preserve"> (Accessed: 11 June 2026).</w:t>
      </w:r>
    </w:p>
    <w:p w14:paraId="61E3AAD3" w14:textId="77777777" w:rsidR="00605D40" w:rsidRPr="00216A29" w:rsidRDefault="006F0C8D">
      <w:pPr>
        <w:rPr>
          <w:rFonts w:ascii="Arial" w:eastAsia="Arial" w:hAnsi="Arial" w:cs="Arial"/>
        </w:rPr>
      </w:pPr>
      <w:r w:rsidRPr="00216A29">
        <w:rPr>
          <w:rFonts w:ascii="Arial" w:eastAsia="Arial" w:hAnsi="Arial" w:cs="Arial"/>
        </w:rPr>
        <w:t xml:space="preserve">Worldometers, (2026). </w:t>
      </w:r>
      <w:r w:rsidRPr="00216A29">
        <w:rPr>
          <w:rFonts w:ascii="Arial" w:eastAsia="Arial" w:hAnsi="Arial" w:cs="Arial"/>
          <w:i/>
          <w:iCs/>
        </w:rPr>
        <w:t xml:space="preserve">India Population (LIVE). </w:t>
      </w:r>
      <w:r w:rsidRPr="00216A29">
        <w:rPr>
          <w:rFonts w:ascii="Arial" w:eastAsia="Arial" w:hAnsi="Arial" w:cs="Arial"/>
        </w:rPr>
        <w:t xml:space="preserve">Available at: </w:t>
      </w:r>
      <w:hyperlink r:id="rId68">
        <w:r w:rsidR="00605D40" w:rsidRPr="00216A29">
          <w:rPr>
            <w:rFonts w:ascii="Arial" w:eastAsia="Arial" w:hAnsi="Arial" w:cs="Arial"/>
            <w:u w:val="single"/>
          </w:rPr>
          <w:t>https://www.worldometers.info/world-population/india-population/</w:t>
        </w:r>
      </w:hyperlink>
      <w:r w:rsidRPr="00216A29">
        <w:rPr>
          <w:rFonts w:ascii="Arial" w:eastAsia="Arial" w:hAnsi="Arial" w:cs="Arial"/>
        </w:rPr>
        <w:t xml:space="preserve"> (Accessed: 13 June 2026).</w:t>
      </w:r>
    </w:p>
    <w:p w14:paraId="761D3CBC" w14:textId="77777777" w:rsidR="00605D40" w:rsidRPr="00216A29" w:rsidRDefault="006F0C8D">
      <w:pPr>
        <w:rPr>
          <w:rFonts w:ascii="Arial" w:eastAsia="Arial" w:hAnsi="Arial" w:cs="Arial"/>
        </w:rPr>
      </w:pPr>
      <w:r w:rsidRPr="00216A29">
        <w:rPr>
          <w:rFonts w:ascii="Arial" w:eastAsia="Arial" w:hAnsi="Arial" w:cs="Arial"/>
        </w:rPr>
        <w:t xml:space="preserve">Worldometers, (2026). </w:t>
      </w:r>
      <w:r w:rsidRPr="00216A29">
        <w:rPr>
          <w:rFonts w:ascii="Arial" w:eastAsia="Arial" w:hAnsi="Arial" w:cs="Arial"/>
          <w:i/>
          <w:iCs/>
        </w:rPr>
        <w:t>United States GDP (2026)</w:t>
      </w:r>
      <w:r w:rsidRPr="00216A29">
        <w:rPr>
          <w:rFonts w:ascii="Arial" w:eastAsia="Arial" w:hAnsi="Arial" w:cs="Arial"/>
        </w:rPr>
        <w:t xml:space="preserve">. Available at: </w:t>
      </w:r>
      <w:hyperlink r:id="rId69">
        <w:r w:rsidR="00605D40" w:rsidRPr="00216A29">
          <w:rPr>
            <w:rFonts w:ascii="Arial" w:eastAsia="Arial" w:hAnsi="Arial" w:cs="Arial"/>
            <w:u w:val="single"/>
          </w:rPr>
          <w:t>https://www.worldometers.info/gdp/us-gdp/</w:t>
        </w:r>
      </w:hyperlink>
      <w:r w:rsidRPr="00216A29">
        <w:rPr>
          <w:rFonts w:ascii="Arial" w:eastAsia="Arial" w:hAnsi="Arial" w:cs="Arial"/>
        </w:rPr>
        <w:t xml:space="preserve"> (Accessed: 11 June 2026).</w:t>
      </w:r>
    </w:p>
    <w:p w14:paraId="5AB00190" w14:textId="77777777" w:rsidR="00605D40" w:rsidRPr="00216A29" w:rsidRDefault="006F0C8D">
      <w:pPr>
        <w:rPr>
          <w:rFonts w:ascii="Arial" w:eastAsia="Arial" w:hAnsi="Arial" w:cs="Arial"/>
        </w:rPr>
      </w:pPr>
      <w:r w:rsidRPr="00216A29">
        <w:rPr>
          <w:rFonts w:ascii="Arial" w:eastAsia="Arial" w:hAnsi="Arial" w:cs="Arial"/>
        </w:rPr>
        <w:t xml:space="preserve">Worldometers, (2026). </w:t>
      </w:r>
      <w:r w:rsidRPr="00216A29">
        <w:rPr>
          <w:rFonts w:ascii="Arial" w:eastAsia="Arial" w:hAnsi="Arial" w:cs="Arial"/>
          <w:i/>
          <w:iCs/>
        </w:rPr>
        <w:t xml:space="preserve">United States Population (LIVE). </w:t>
      </w:r>
      <w:r w:rsidRPr="00216A29">
        <w:rPr>
          <w:rFonts w:ascii="Arial" w:eastAsia="Arial" w:hAnsi="Arial" w:cs="Arial"/>
        </w:rPr>
        <w:t xml:space="preserve">Available at: </w:t>
      </w:r>
      <w:hyperlink r:id="rId70">
        <w:r w:rsidR="00605D40" w:rsidRPr="00216A29">
          <w:rPr>
            <w:rFonts w:ascii="Arial" w:eastAsia="Arial" w:hAnsi="Arial" w:cs="Arial"/>
            <w:u w:val="single"/>
          </w:rPr>
          <w:t>https://www.worldometers.info/world-population/us-population/</w:t>
        </w:r>
      </w:hyperlink>
      <w:r w:rsidRPr="00216A29">
        <w:rPr>
          <w:rFonts w:ascii="Arial" w:eastAsia="Arial" w:hAnsi="Arial" w:cs="Arial"/>
        </w:rPr>
        <w:t xml:space="preserve"> (Accessed: 11 June 2026).</w:t>
      </w:r>
    </w:p>
    <w:p w14:paraId="2D38E886" w14:textId="77777777" w:rsidR="00605D40" w:rsidRPr="00216A29" w:rsidRDefault="006F0C8D">
      <w:pPr>
        <w:spacing w:after="160"/>
        <w:rPr>
          <w:rFonts w:ascii="Arial" w:eastAsia="Arial" w:hAnsi="Arial" w:cs="Arial"/>
        </w:rPr>
      </w:pPr>
      <w:r w:rsidRPr="00216A29">
        <w:rPr>
          <w:rFonts w:ascii="Arial" w:eastAsia="Arial" w:hAnsi="Arial" w:cs="Arial"/>
        </w:rPr>
        <w:t xml:space="preserve">Yahoo Finance (2025). </w:t>
      </w:r>
      <w:r w:rsidRPr="00216A29">
        <w:rPr>
          <w:rFonts w:ascii="Arial" w:eastAsia="Arial" w:hAnsi="Arial" w:cs="Arial"/>
          <w:i/>
          <w:iCs/>
        </w:rPr>
        <w:t>U.S. car maker wins 2025 sales race with 2.8 million vehicles sold</w:t>
      </w:r>
      <w:r w:rsidRPr="00216A29">
        <w:rPr>
          <w:rFonts w:ascii="Arial" w:eastAsia="Arial" w:hAnsi="Arial" w:cs="Arial"/>
        </w:rPr>
        <w:t xml:space="preserve">. [online] Yahoo Finance. Available at: </w:t>
      </w:r>
      <w:hyperlink r:id="rId71">
        <w:r w:rsidR="00605D40" w:rsidRPr="00216A29">
          <w:rPr>
            <w:rFonts w:ascii="Arial" w:eastAsia="Arial" w:hAnsi="Arial" w:cs="Arial"/>
            <w:u w:val="single"/>
          </w:rPr>
          <w:t>https://finance.yahoo.com/news/u-car-maker-wins-2025-170300839.html</w:t>
        </w:r>
      </w:hyperlink>
      <w:r w:rsidRPr="00216A29">
        <w:rPr>
          <w:rFonts w:ascii="Arial" w:eastAsia="Arial" w:hAnsi="Arial" w:cs="Arial"/>
        </w:rPr>
        <w:t>. (Accessed: 13 June 2026)</w:t>
      </w:r>
    </w:p>
    <w:p w14:paraId="7B3D3624" w14:textId="77777777" w:rsidR="00605D40" w:rsidRPr="00216A29" w:rsidRDefault="006F0C8D">
      <w:pPr>
        <w:spacing w:after="160"/>
        <w:rPr>
          <w:rFonts w:ascii="Arial" w:eastAsia="Arial" w:hAnsi="Arial" w:cs="Arial"/>
        </w:rPr>
      </w:pPr>
      <w:r w:rsidRPr="00216A29">
        <w:rPr>
          <w:rFonts w:ascii="Arial" w:eastAsia="Arial" w:hAnsi="Arial" w:cs="Arial"/>
        </w:rPr>
        <w:t xml:space="preserve">Yu, Q., (2025). Constructing a Design Research Model—Exploration of Research Paradigms Based on Research Tree Diagram. </w:t>
      </w:r>
      <w:r w:rsidRPr="00216A29">
        <w:rPr>
          <w:rFonts w:ascii="Arial" w:eastAsia="Arial" w:hAnsi="Arial" w:cs="Arial"/>
          <w:i/>
          <w:iCs/>
        </w:rPr>
        <w:t>Methodology Insight</w:t>
      </w:r>
      <w:r w:rsidRPr="00216A29">
        <w:rPr>
          <w:rFonts w:ascii="Arial" w:eastAsia="Arial" w:hAnsi="Arial" w:cs="Arial"/>
        </w:rPr>
        <w:t xml:space="preserve">, </w:t>
      </w:r>
      <w:r w:rsidRPr="00216A29">
        <w:rPr>
          <w:rFonts w:ascii="Arial" w:eastAsia="Arial" w:hAnsi="Arial" w:cs="Arial"/>
          <w:i/>
          <w:iCs/>
        </w:rPr>
        <w:t>1</w:t>
      </w:r>
      <w:r w:rsidRPr="00216A29">
        <w:rPr>
          <w:rFonts w:ascii="Arial" w:eastAsia="Arial" w:hAnsi="Arial" w:cs="Arial"/>
        </w:rPr>
        <w:t>(1), pp.35-49.</w:t>
      </w:r>
    </w:p>
    <w:p w14:paraId="7652FEA2" w14:textId="77777777" w:rsidR="00605D40" w:rsidRPr="00216A29" w:rsidRDefault="00605D40">
      <w:pPr>
        <w:spacing w:after="160"/>
        <w:rPr>
          <w:rFonts w:ascii="Arial" w:eastAsia="Arial" w:hAnsi="Arial" w:cs="Arial"/>
        </w:rPr>
      </w:pPr>
    </w:p>
    <w:sectPr w:rsidR="00605D40" w:rsidRPr="00216A29">
      <w:headerReference w:type="even" r:id="rId72"/>
      <w:headerReference w:type="default" r:id="rId73"/>
      <w:footerReference w:type="even" r:id="rId74"/>
      <w:footerReference w:type="default" r:id="rId75"/>
      <w:headerReference w:type="first" r:id="rId76"/>
      <w:footerReference w:type="first" r:id="rId7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ED0FE" w14:textId="77777777" w:rsidR="006F0C8D" w:rsidRDefault="006F0C8D">
      <w:pPr>
        <w:spacing w:after="0" w:line="240" w:lineRule="auto"/>
      </w:pPr>
      <w:r>
        <w:separator/>
      </w:r>
    </w:p>
  </w:endnote>
  <w:endnote w:type="continuationSeparator" w:id="0">
    <w:p w14:paraId="7C9B12A3" w14:textId="77777777" w:rsidR="006F0C8D" w:rsidRDefault="006F0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5895969-E3AF-FA4D-BB62-A4B1B86A00D6}"/>
    <w:embedItalic r:id="rId2" w:fontKey="{AF78B529-A9A5-7642-8A16-07F5DD696503}"/>
  </w:font>
  <w:font w:name="Arial">
    <w:panose1 w:val="020B0604020202020204"/>
    <w:charset w:val="00"/>
    <w:family w:val="swiss"/>
    <w:pitch w:val="variable"/>
    <w:sig w:usb0="E0002EFF" w:usb1="C000785B" w:usb2="00000009" w:usb3="00000000" w:csb0="000001FF" w:csb1="00000000"/>
    <w:embedRegular r:id="rId3" w:fontKey="{F5E4E832-AE07-FB42-B057-D6DC5097DAC2}"/>
    <w:embedBold r:id="rId4" w:fontKey="{3EA7E1B7-BC87-A04C-A3D5-E18E9D374B69}"/>
    <w:embedItalic r:id="rId5" w:fontKey="{AC273E48-F59C-FD4C-841D-9D651D850662}"/>
    <w:embedBoldItalic r:id="rId6" w:fontKey="{1F5A2EC4-DC05-7B49-8570-6413521F923E}"/>
  </w:font>
  <w:font w:name="Calibri">
    <w:panose1 w:val="020F0502020204030204"/>
    <w:charset w:val="00"/>
    <w:family w:val="swiss"/>
    <w:pitch w:val="variable"/>
    <w:sig w:usb0="E4002EFF" w:usb1="C200ACFF" w:usb2="00000009" w:usb3="00000000" w:csb0="000001FF" w:csb1="00000000"/>
    <w:embedRegular r:id="rId7" w:fontKey="{85CEF7CD-BE24-A948-B70E-AF5B7416223C}"/>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9" w:fontKey="{FC5F9257-A7AC-5146-8740-4865E2080B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BD388" w14:textId="77777777" w:rsidR="00605D40" w:rsidRDefault="00605D4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3FF54" w14:textId="77777777" w:rsidR="00605D40" w:rsidRDefault="006F0C8D">
    <w:pPr>
      <w:jc w:val="right"/>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040237">
      <w:rPr>
        <w:rFonts w:ascii="Arial" w:eastAsia="Arial" w:hAnsi="Arial" w:cs="Arial"/>
        <w:noProof/>
        <w:sz w:val="20"/>
        <w:szCs w:val="20"/>
      </w:rPr>
      <w:t>1</w:t>
    </w:r>
    <w:r>
      <w:rPr>
        <w:rFonts w:ascii="Arial" w:eastAsia="Arial" w:hAnsi="Arial" w:cs="Arial"/>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2BE43" w14:textId="77777777" w:rsidR="00605D40" w:rsidRDefault="00605D4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E7441" w14:textId="77777777" w:rsidR="006F0C8D" w:rsidRDefault="006F0C8D">
      <w:pPr>
        <w:spacing w:after="0" w:line="240" w:lineRule="auto"/>
      </w:pPr>
      <w:r>
        <w:separator/>
      </w:r>
    </w:p>
  </w:footnote>
  <w:footnote w:type="continuationSeparator" w:id="0">
    <w:p w14:paraId="15606F7D" w14:textId="77777777" w:rsidR="006F0C8D" w:rsidRDefault="006F0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6FB72" w14:textId="77777777" w:rsidR="00605D40" w:rsidRDefault="00605D4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CE5F" w14:textId="77777777" w:rsidR="00605D40" w:rsidRDefault="00605D4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4ACA7" w14:textId="77777777" w:rsidR="00605D40" w:rsidRDefault="00605D4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7D6E"/>
    <w:multiLevelType w:val="multilevel"/>
    <w:tmpl w:val="866C5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56622"/>
    <w:multiLevelType w:val="multilevel"/>
    <w:tmpl w:val="F04C3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9840CB"/>
    <w:multiLevelType w:val="multilevel"/>
    <w:tmpl w:val="D3366B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9C2879"/>
    <w:multiLevelType w:val="multilevel"/>
    <w:tmpl w:val="EEA24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97491A"/>
    <w:multiLevelType w:val="multilevel"/>
    <w:tmpl w:val="0062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1B0F77"/>
    <w:multiLevelType w:val="multilevel"/>
    <w:tmpl w:val="F0EAE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9E5A2E"/>
    <w:multiLevelType w:val="multilevel"/>
    <w:tmpl w:val="DA708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783EA6"/>
    <w:multiLevelType w:val="multilevel"/>
    <w:tmpl w:val="672EE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51B40E8"/>
    <w:multiLevelType w:val="multilevel"/>
    <w:tmpl w:val="70283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B75B3D"/>
    <w:multiLevelType w:val="multilevel"/>
    <w:tmpl w:val="F6027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7A159C"/>
    <w:multiLevelType w:val="multilevel"/>
    <w:tmpl w:val="6114A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3A0540"/>
    <w:multiLevelType w:val="multilevel"/>
    <w:tmpl w:val="0D828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5A573D"/>
    <w:multiLevelType w:val="multilevel"/>
    <w:tmpl w:val="32DEC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3D7797D"/>
    <w:multiLevelType w:val="multilevel"/>
    <w:tmpl w:val="008AF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FB70E2"/>
    <w:multiLevelType w:val="multilevel"/>
    <w:tmpl w:val="AA4A5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46B18CA"/>
    <w:multiLevelType w:val="multilevel"/>
    <w:tmpl w:val="5F887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B03DFE"/>
    <w:multiLevelType w:val="multilevel"/>
    <w:tmpl w:val="FAC05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CA1172"/>
    <w:multiLevelType w:val="multilevel"/>
    <w:tmpl w:val="08143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AFD3146"/>
    <w:multiLevelType w:val="multilevel"/>
    <w:tmpl w:val="F1AE5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DFF1999"/>
    <w:multiLevelType w:val="multilevel"/>
    <w:tmpl w:val="6BAE5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ECA1C0B"/>
    <w:multiLevelType w:val="multilevel"/>
    <w:tmpl w:val="060C6E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7E5E04"/>
    <w:multiLevelType w:val="multilevel"/>
    <w:tmpl w:val="F4785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444F35"/>
    <w:multiLevelType w:val="multilevel"/>
    <w:tmpl w:val="EE002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47A3FDD"/>
    <w:multiLevelType w:val="multilevel"/>
    <w:tmpl w:val="90802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BD91B51"/>
    <w:multiLevelType w:val="multilevel"/>
    <w:tmpl w:val="44106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8904E2"/>
    <w:multiLevelType w:val="multilevel"/>
    <w:tmpl w:val="F9A28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58A4B5F"/>
    <w:multiLevelType w:val="multilevel"/>
    <w:tmpl w:val="9AEA6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6360FC9"/>
    <w:multiLevelType w:val="multilevel"/>
    <w:tmpl w:val="A4B2CF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97D5595"/>
    <w:multiLevelType w:val="multilevel"/>
    <w:tmpl w:val="E3E6A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F0E770B"/>
    <w:multiLevelType w:val="multilevel"/>
    <w:tmpl w:val="6DB2B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3A62ED6"/>
    <w:multiLevelType w:val="multilevel"/>
    <w:tmpl w:val="051A1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9302C9F"/>
    <w:multiLevelType w:val="multilevel"/>
    <w:tmpl w:val="FF88B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9D02F54"/>
    <w:multiLevelType w:val="multilevel"/>
    <w:tmpl w:val="B66A7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BF3873"/>
    <w:multiLevelType w:val="multilevel"/>
    <w:tmpl w:val="A0AA2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17B5D0B"/>
    <w:multiLevelType w:val="multilevel"/>
    <w:tmpl w:val="81E6F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3F43643"/>
    <w:multiLevelType w:val="multilevel"/>
    <w:tmpl w:val="B6509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47D3E8E"/>
    <w:multiLevelType w:val="multilevel"/>
    <w:tmpl w:val="09EABE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5DB2A21"/>
    <w:multiLevelType w:val="multilevel"/>
    <w:tmpl w:val="D320F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445986">
    <w:abstractNumId w:val="4"/>
  </w:num>
  <w:num w:numId="2" w16cid:durableId="527569771">
    <w:abstractNumId w:val="8"/>
  </w:num>
  <w:num w:numId="3" w16cid:durableId="1300963475">
    <w:abstractNumId w:val="3"/>
  </w:num>
  <w:num w:numId="4" w16cid:durableId="1050228275">
    <w:abstractNumId w:val="17"/>
  </w:num>
  <w:num w:numId="5" w16cid:durableId="2115323032">
    <w:abstractNumId w:val="16"/>
  </w:num>
  <w:num w:numId="6" w16cid:durableId="742531225">
    <w:abstractNumId w:val="10"/>
  </w:num>
  <w:num w:numId="7" w16cid:durableId="894242488">
    <w:abstractNumId w:val="12"/>
  </w:num>
  <w:num w:numId="8" w16cid:durableId="1586182339">
    <w:abstractNumId w:val="29"/>
  </w:num>
  <w:num w:numId="9" w16cid:durableId="1335718500">
    <w:abstractNumId w:val="19"/>
  </w:num>
  <w:num w:numId="10" w16cid:durableId="876433750">
    <w:abstractNumId w:val="22"/>
  </w:num>
  <w:num w:numId="11" w16cid:durableId="355426603">
    <w:abstractNumId w:val="30"/>
  </w:num>
  <w:num w:numId="12" w16cid:durableId="1515994840">
    <w:abstractNumId w:val="18"/>
  </w:num>
  <w:num w:numId="13" w16cid:durableId="1758330982">
    <w:abstractNumId w:val="36"/>
  </w:num>
  <w:num w:numId="14" w16cid:durableId="764614573">
    <w:abstractNumId w:val="28"/>
  </w:num>
  <w:num w:numId="15" w16cid:durableId="1873106193">
    <w:abstractNumId w:val="34"/>
  </w:num>
  <w:num w:numId="16" w16cid:durableId="1966160244">
    <w:abstractNumId w:val="24"/>
  </w:num>
  <w:num w:numId="17" w16cid:durableId="2045666066">
    <w:abstractNumId w:val="7"/>
  </w:num>
  <w:num w:numId="18" w16cid:durableId="728111370">
    <w:abstractNumId w:val="0"/>
  </w:num>
  <w:num w:numId="19" w16cid:durableId="1615670108">
    <w:abstractNumId w:val="33"/>
  </w:num>
  <w:num w:numId="20" w16cid:durableId="611475787">
    <w:abstractNumId w:val="1"/>
  </w:num>
  <w:num w:numId="21" w16cid:durableId="137000587">
    <w:abstractNumId w:val="13"/>
  </w:num>
  <w:num w:numId="22" w16cid:durableId="1322657692">
    <w:abstractNumId w:val="27"/>
  </w:num>
  <w:num w:numId="23" w16cid:durableId="545488435">
    <w:abstractNumId w:val="25"/>
  </w:num>
  <w:num w:numId="24" w16cid:durableId="1461920806">
    <w:abstractNumId w:val="37"/>
  </w:num>
  <w:num w:numId="25" w16cid:durableId="153959280">
    <w:abstractNumId w:val="23"/>
  </w:num>
  <w:num w:numId="26" w16cid:durableId="503132908">
    <w:abstractNumId w:val="9"/>
  </w:num>
  <w:num w:numId="27" w16cid:durableId="1187794958">
    <w:abstractNumId w:val="2"/>
  </w:num>
  <w:num w:numId="28" w16cid:durableId="1418402811">
    <w:abstractNumId w:val="21"/>
  </w:num>
  <w:num w:numId="29" w16cid:durableId="1650861077">
    <w:abstractNumId w:val="11"/>
  </w:num>
  <w:num w:numId="30" w16cid:durableId="1681199110">
    <w:abstractNumId w:val="5"/>
  </w:num>
  <w:num w:numId="31" w16cid:durableId="2064517923">
    <w:abstractNumId w:val="20"/>
  </w:num>
  <w:num w:numId="32" w16cid:durableId="619997131">
    <w:abstractNumId w:val="15"/>
  </w:num>
  <w:num w:numId="33" w16cid:durableId="887764426">
    <w:abstractNumId w:val="6"/>
  </w:num>
  <w:num w:numId="34" w16cid:durableId="1273128299">
    <w:abstractNumId w:val="32"/>
  </w:num>
  <w:num w:numId="35" w16cid:durableId="1898278450">
    <w:abstractNumId w:val="35"/>
  </w:num>
  <w:num w:numId="36" w16cid:durableId="2078700943">
    <w:abstractNumId w:val="26"/>
  </w:num>
  <w:num w:numId="37" w16cid:durableId="182019135">
    <w:abstractNumId w:val="14"/>
  </w:num>
  <w:num w:numId="38" w16cid:durableId="16599230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7"/>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40"/>
    <w:rsid w:val="00025DAB"/>
    <w:rsid w:val="00040237"/>
    <w:rsid w:val="00067C23"/>
    <w:rsid w:val="0013343A"/>
    <w:rsid w:val="00142718"/>
    <w:rsid w:val="00216A29"/>
    <w:rsid w:val="00401130"/>
    <w:rsid w:val="00476B43"/>
    <w:rsid w:val="0054208C"/>
    <w:rsid w:val="005807C1"/>
    <w:rsid w:val="00605D40"/>
    <w:rsid w:val="00646186"/>
    <w:rsid w:val="006C1531"/>
    <w:rsid w:val="006F0C8D"/>
    <w:rsid w:val="007402A7"/>
    <w:rsid w:val="007F478A"/>
    <w:rsid w:val="009428BD"/>
    <w:rsid w:val="00972EEC"/>
    <w:rsid w:val="009826B7"/>
    <w:rsid w:val="00A16B6C"/>
    <w:rsid w:val="00B51C53"/>
    <w:rsid w:val="00BC5C16"/>
    <w:rsid w:val="00C34732"/>
    <w:rsid w:val="00CF428F"/>
    <w:rsid w:val="00D04457"/>
    <w:rsid w:val="00E769E7"/>
    <w:rsid w:val="00F35408"/>
    <w:rsid w:val="00F70C97"/>
    <w:rsid w:val="00FA6D2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7020"/>
  <w15:docId w15:val="{B2F3927A-421D-4722-8863-1E81CD57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gu-IN"/>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Arial" w:eastAsia="Arial" w:hAnsi="Arial" w:cs="Arial"/>
      <w:b/>
      <w:bCs/>
    </w:rPr>
  </w:style>
  <w:style w:type="paragraph" w:styleId="Heading2">
    <w:name w:val="heading 2"/>
    <w:basedOn w:val="Normal"/>
    <w:next w:val="Normal"/>
    <w:uiPriority w:val="9"/>
    <w:unhideWhenUsed/>
    <w:qFormat/>
    <w:pPr>
      <w:keepNext/>
      <w:keepLines/>
      <w:outlineLvl w:val="1"/>
    </w:pPr>
    <w:rPr>
      <w:rFonts w:ascii="Arial" w:eastAsia="Arial" w:hAnsi="Arial" w:cs="Arial"/>
      <w:b/>
      <w:bCs/>
    </w:rPr>
  </w:style>
  <w:style w:type="paragraph" w:styleId="Heading3">
    <w:name w:val="heading 3"/>
    <w:basedOn w:val="Normal"/>
    <w:next w:val="Normal"/>
    <w:uiPriority w:val="9"/>
    <w:semiHidden/>
    <w:unhideWhenUsed/>
    <w:qFormat/>
    <w:pPr>
      <w:keepNext/>
      <w:keepLines/>
      <w:spacing w:before="32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216A29"/>
    <w:pPr>
      <w:spacing w:after="100"/>
    </w:pPr>
  </w:style>
  <w:style w:type="paragraph" w:styleId="TOC2">
    <w:name w:val="toc 2"/>
    <w:basedOn w:val="Normal"/>
    <w:next w:val="Normal"/>
    <w:autoRedefine/>
    <w:uiPriority w:val="39"/>
    <w:unhideWhenUsed/>
    <w:rsid w:val="00216A29"/>
    <w:pPr>
      <w:spacing w:after="100"/>
      <w:ind w:left="240"/>
    </w:pPr>
  </w:style>
  <w:style w:type="character" w:styleId="Hyperlink">
    <w:name w:val="Hyperlink"/>
    <w:basedOn w:val="DefaultParagraphFont"/>
    <w:uiPriority w:val="99"/>
    <w:unhideWhenUsed/>
    <w:rsid w:val="00216A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12.png" /><Relationship Id="rId26" Type="http://schemas.openxmlformats.org/officeDocument/2006/relationships/hyperlink" Target="https://www.bls.gov/news.release/pdf/cpi.pdf" TargetMode="External" /><Relationship Id="rId39" Type="http://schemas.openxmlformats.org/officeDocument/2006/relationships/hyperlink" Target="https://finance.yahoo.com/sectors/energy/articles/toyota-absolutely-dominated-hybrid-sales-220036493.html" TargetMode="External" /><Relationship Id="rId21" Type="http://schemas.openxmlformats.org/officeDocument/2006/relationships/image" Target="media/image15.png" /><Relationship Id="rId34" Type="http://schemas.openxmlformats.org/officeDocument/2006/relationships/hyperlink" Target="https://www.grandviewresearch.com/industry-analysis/india-automotive-market" TargetMode="External" /><Relationship Id="rId42" Type="http://schemas.openxmlformats.org/officeDocument/2006/relationships/hyperlink" Target="https://www.pib.gov.in/PressReleasePage.aspx?PRID=2220800&amp;lang=2&amp;reg=3" TargetMode="External" /><Relationship Id="rId47" Type="http://schemas.openxmlformats.org/officeDocument/2006/relationships/hyperlink" Target="https://press.spglobal.com/2025-05-21-U-S-Vehicle-Age-Rises-Again-to-12-8-Years-in-2025,-According-to-S-P-Global-Mobility" TargetMode="External" /><Relationship Id="rId50" Type="http://schemas.openxmlformats.org/officeDocument/2006/relationships/hyperlink" Target="https://www.statista.com/statistics/1090709/india-car-sales-volume-by-oem/?srsltid=AfmBOopPZxBwRq3l2a70BFmOxYBmzvOoRBxhFOJ7CyGYW2RYPVu6sVSX" TargetMode="External" /><Relationship Id="rId55" Type="http://schemas.openxmlformats.org/officeDocument/2006/relationships/hyperlink" Target="https://www.toyotabharat.com/news/2025/tkm-records-best-ever-fiscal-performance-in-fy24-25-with-28-growth.html" TargetMode="External" /><Relationship Id="rId63" Type="http://schemas.openxmlformats.org/officeDocument/2006/relationships/hyperlink" Target="https://www.worldometers.info/gdp/india-gdp/" TargetMode="External" /><Relationship Id="rId68" Type="http://schemas.openxmlformats.org/officeDocument/2006/relationships/hyperlink" Target="https://www.worldometers.info/world-population/india-population/" TargetMode="External" /><Relationship Id="rId76" Type="http://schemas.openxmlformats.org/officeDocument/2006/relationships/header" Target="header3.xml" /><Relationship Id="rId7" Type="http://schemas.openxmlformats.org/officeDocument/2006/relationships/image" Target="media/image1.png" /><Relationship Id="rId71" Type="http://schemas.openxmlformats.org/officeDocument/2006/relationships/hyperlink" Target="https://finance.yahoo.com/news/u-car-maker-wins-2025-170300839.html" TargetMode="External"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hyperlink" Target="https://www.bncap.in/" TargetMode="External" /><Relationship Id="rId11" Type="http://schemas.openxmlformats.org/officeDocument/2006/relationships/image" Target="media/image5.png" /><Relationship Id="rId24" Type="http://schemas.openxmlformats.org/officeDocument/2006/relationships/hyperlink" Target="https://www.sec.gov/Archives/edgar/data/1094517/000119312525142326/d925022d20f.htm" TargetMode="External" /><Relationship Id="rId32" Type="http://schemas.openxmlformats.org/officeDocument/2006/relationships/hyperlink" Target="https://www.drishtiias.com/daily-updates/daily-news-analysis/india-s-carbon-emission-growth-slows-in-2025" TargetMode="External" /><Relationship Id="rId37" Type="http://schemas.openxmlformats.org/officeDocument/2006/relationships/hyperlink" Target="https://www.ceew.in/publications/how-will-indias-private-and-passenger-vehicle-ownership-grow-by-2050" TargetMode="External" /><Relationship Id="rId40" Type="http://schemas.openxmlformats.org/officeDocument/2006/relationships/hyperlink" Target="https://finance.yahoo.com/sectors/energy/articles/toyota-absolutely-dominated-hybrid-sales-220036493.html" TargetMode="External" /><Relationship Id="rId45" Type="http://schemas.openxmlformats.org/officeDocument/2006/relationships/hyperlink" Target="https://www.reuters.com/business/autos-transportation/toyota-recall-over-million-us-vehicles-over-camera-flaw-nhtsa-says-2025-11-05/" TargetMode="External" /><Relationship Id="rId53" Type="http://schemas.openxmlformats.org/officeDocument/2006/relationships/hyperlink" Target="https://timesofindia.indiatimes.com/auto/cars/toyota-urban-cruiser-hyryder-recalled-in-india-check-if-yours-is-affected/articleshow/125536796.cms" TargetMode="External" /><Relationship Id="rId58" Type="http://schemas.openxmlformats.org/officeDocument/2006/relationships/hyperlink" Target="https://global.toyota/pages/global_toyota/ir/financial-results/2025_4q_summary_en.pdf" TargetMode="External" /><Relationship Id="rId66" Type="http://schemas.openxmlformats.org/officeDocument/2006/relationships/hyperlink" Target="https://www.toyotabharat.com/news/2025/tkm-records-its-highest-ever-calendar-year-sales-in-2024-by-selling-326329-units.html" TargetMode="External" /><Relationship Id="rId74" Type="http://schemas.openxmlformats.org/officeDocument/2006/relationships/footer" Target="footer1.xml" /><Relationship Id="rId79" Type="http://schemas.openxmlformats.org/officeDocument/2006/relationships/theme" Target="theme/theme1.xml" /><Relationship Id="rId5" Type="http://schemas.openxmlformats.org/officeDocument/2006/relationships/footnotes" Target="footnotes.xml" /><Relationship Id="rId61" Type="http://schemas.openxmlformats.org/officeDocument/2006/relationships/hyperlink" Target="https://global.toyota/pages/global_toyota/ir/library/annual/2025_001_integrated_en.pdf?utm_source=openai" TargetMode="External" /><Relationship Id="rId10" Type="http://schemas.openxmlformats.org/officeDocument/2006/relationships/image" Target="media/image4.png" /><Relationship Id="rId19" Type="http://schemas.openxmlformats.org/officeDocument/2006/relationships/image" Target="media/image13.png" /><Relationship Id="rId31" Type="http://schemas.openxmlformats.org/officeDocument/2006/relationships/hyperlink" Target="https://www.cnbc.com/2025/01/30/toyota-remains-worlds-top-selling-automaker.html" TargetMode="External" /><Relationship Id="rId44" Type="http://schemas.openxmlformats.org/officeDocument/2006/relationships/hyperlink" Target="https://www.pib.gov.in/PressReleasePage.aspx?PRID=2147042&amp;lang=2&amp;reg=48" TargetMode="External" /><Relationship Id="rId52" Type="http://schemas.openxmlformats.org/officeDocument/2006/relationships/hyperlink" Target="https://www.theglobaleconomy.com/India/wb_political_stability/" TargetMode="External" /><Relationship Id="rId60" Type="http://schemas.openxmlformats.org/officeDocument/2006/relationships/hyperlink" Target="https://global.toyota/pages/global_toyota/ir/library/annual/2025_001_integrated_en.pdf?utm_source=openai" TargetMode="External" /><Relationship Id="rId65" Type="http://schemas.openxmlformats.org/officeDocument/2006/relationships/hyperlink" Target="https://pressroom.toyota.com/toyota-motor-north-america-reports-2024-u-s-sales-results/" TargetMode="External" /><Relationship Id="rId73" Type="http://schemas.openxmlformats.org/officeDocument/2006/relationships/header" Target="header2.xml" /><Relationship Id="rId78"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png" /><Relationship Id="rId27" Type="http://schemas.openxmlformats.org/officeDocument/2006/relationships/hyperlink" Target="https://www.bls.gov/opub/ted/2026/median-weekly-earnings-were-1204-in-2025.htm" TargetMode="External" /><Relationship Id="rId30" Type="http://schemas.openxmlformats.org/officeDocument/2006/relationships/hyperlink" Target="https://www.cnbc.com/2025/01/30/toyota-remains-worlds-top-selling-automaker.html" TargetMode="External" /><Relationship Id="rId35" Type="http://schemas.openxmlformats.org/officeDocument/2006/relationships/hyperlink" Target="https://www.macrotrends.net/stocks/charts/TM/toyota/revenue" TargetMode="External" /><Relationship Id="rId43" Type="http://schemas.openxmlformats.org/officeDocument/2006/relationships/hyperlink" Target="https://www.worldometers.info/gdp/india-gdp/" TargetMode="External" /><Relationship Id="rId48" Type="http://schemas.openxmlformats.org/officeDocument/2006/relationships/hyperlink" Target="https://www.statista.com/statistics/267274/worldwide-vehicle-sales-of-toyota-since-2007/?srsltid=AfmBOopu9z5D-s12J8ymGvdVMqr7xejqIjVH7Tz9Q8rCFC4cIOLLitGE" TargetMode="External" /><Relationship Id="rId56" Type="http://schemas.openxmlformats.org/officeDocument/2006/relationships/hyperlink" Target="https://www.toyotabharat.com/news/2025/tkm-records-best-ever-fiscal-performance-in-fy24-25-with-28-growth.html" TargetMode="External" /><Relationship Id="rId64" Type="http://schemas.openxmlformats.org/officeDocument/2006/relationships/hyperlink" Target="https://global.toyota/en/newsroom/corporate/43577463.html" TargetMode="External" /><Relationship Id="rId69" Type="http://schemas.openxmlformats.org/officeDocument/2006/relationships/hyperlink" Target="https://www.worldometers.info/gdp/us-gdp/" TargetMode="External" /><Relationship Id="rId77" Type="http://schemas.openxmlformats.org/officeDocument/2006/relationships/footer" Target="footer3.xml" /><Relationship Id="rId8" Type="http://schemas.openxmlformats.org/officeDocument/2006/relationships/image" Target="media/image2.png" /><Relationship Id="rId51" Type="http://schemas.openxmlformats.org/officeDocument/2006/relationships/hyperlink" Target="https://www.theculturefactor.com/country-comparison" TargetMode="External" /><Relationship Id="rId72" Type="http://schemas.openxmlformats.org/officeDocument/2006/relationships/header" Target="header1.xm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www.bls.gov/news.release/pdf/cpi.pdf" TargetMode="External" /><Relationship Id="rId33" Type="http://schemas.openxmlformats.org/officeDocument/2006/relationships/hyperlink" Target="https://www.epa.gov/transportation-air-pollution-and-climate-change/carbon-pollution-transportation" TargetMode="External" /><Relationship Id="rId38" Type="http://schemas.openxmlformats.org/officeDocument/2006/relationships/hyperlink" Target="https://www.autocarpro.in/news/india-ev-sector-funding-at-$14-billion-in-2025-up-27-yoy-tracxn-130153" TargetMode="External" /><Relationship Id="rId46" Type="http://schemas.openxmlformats.org/officeDocument/2006/relationships/hyperlink" Target="https://press.spglobal.com/2025-05-21-U-S-Vehicle-Age-Rises-Again-to-12-8-Years-in-2025,-According-to-S-P-Global-Mobility" TargetMode="External" /><Relationship Id="rId59" Type="http://schemas.openxmlformats.org/officeDocument/2006/relationships/hyperlink" Target="https://global.toyota/pages/global_toyota/ir/financial-results/2025_4q_summary_en.pdf" TargetMode="External" /><Relationship Id="rId67" Type="http://schemas.openxmlformats.org/officeDocument/2006/relationships/hyperlink" Target="https://www.worldometers.info/gdp/india-gdp/" TargetMode="External" /><Relationship Id="rId20" Type="http://schemas.openxmlformats.org/officeDocument/2006/relationships/image" Target="media/image14.png" /><Relationship Id="rId41" Type="http://schemas.openxmlformats.org/officeDocument/2006/relationships/hyperlink" Target="https://www.pib.gov.in/PressReleasePage.aspx?PRID=2220800&amp;lang=2&amp;reg=3" TargetMode="External" /><Relationship Id="rId54" Type="http://schemas.openxmlformats.org/officeDocument/2006/relationships/hyperlink" Target="https://support.toyota.com/s/article/What-are-Toyotas-Miss-7654?language=en_US" TargetMode="External" /><Relationship Id="rId62" Type="http://schemas.openxmlformats.org/officeDocument/2006/relationships/hyperlink" Target="https://www.toyotabharat.com/news/2026/tkm-records-388801-units-sales-in-cy-2025.html" TargetMode="External" /><Relationship Id="rId70" Type="http://schemas.openxmlformats.org/officeDocument/2006/relationships/hyperlink" Target="https://www.worldometers.info/world-population/us-population/" TargetMode="External" /><Relationship Id="rId75"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5" Type="http://schemas.openxmlformats.org/officeDocument/2006/relationships/image" Target="media/image9.png" /><Relationship Id="rId23" Type="http://schemas.openxmlformats.org/officeDocument/2006/relationships/image" Target="media/image17.png" /><Relationship Id="rId28" Type="http://schemas.openxmlformats.org/officeDocument/2006/relationships/hyperlink" Target="https://www.bls.gov/opub/ted/2026/median-weekly-earnings-were-1204-in-2025.htm" TargetMode="External" /><Relationship Id="rId36" Type="http://schemas.openxmlformats.org/officeDocument/2006/relationships/hyperlink" Target="https://www.ceew.in/publications/how-will-indias-private-and-passenger-vehicle-ownership-grow-by-2050" TargetMode="External" /><Relationship Id="rId49" Type="http://schemas.openxmlformats.org/officeDocument/2006/relationships/hyperlink" Target="https://www.statista.com/statistics/267274/worldwide-vehicle-sales-of-toyota-since-2007/?srsltid=AfmBOopu9z5D-s12J8ymGvdVMqr7xejqIjVH7Tz9Q8rCFC4cIOLLitGE" TargetMode="External" /><Relationship Id="rId57" Type="http://schemas.openxmlformats.org/officeDocument/2006/relationships/hyperlink" Target="https://www.toyota.com/maintenance-plans/"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7964</Words>
  <Characters>45396</Characters>
  <Application>Microsoft Office Word</Application>
  <DocSecurity>0</DocSecurity>
  <Lines>378</Lines>
  <Paragraphs>106</Paragraphs>
  <ScaleCrop>false</ScaleCrop>
  <Company/>
  <LinksUpToDate>false</LinksUpToDate>
  <CharactersWithSpaces>53254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MEET PATEL</cp:lastModifiedBy>
  <cp:revision>2</cp:revision>
  <dcterms:created xsi:type="dcterms:W3CDTF">2026-08-10T08:17:00Z</dcterms:created>
  <dcterms:modified xsi:type="dcterms:W3CDTF">2026-08-10T08:17:00Z</dcterms:modified>
</cp:coreProperties>
</file>