
<file path=[Content_Types].xml><?xml version="1.0" encoding="utf-8"?>
<Types xmlns="http://schemas.openxmlformats.org/package/2006/content-types">
  <Default Extension="xml" ContentType="application/xml"/>
  <Default Extension="jpg" ContentType="image/jpeg"/>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jc w:val="center"/>
        <w:rPr>
          <w:rFonts w:ascii="Tahoma" w:cs="Tahoma" w:hAnsi="Tahoma"/>
          <w:b/>
          <w:u w:val="single"/>
        </w:rPr>
      </w:pPr>
    </w:p>
    <w:p>
      <w:pPr>
        <w:jc w:val="both"/>
        <w:rPr>
          <w:rFonts w:ascii="Tahoma" w:cs="Tahoma" w:hAnsi="Tahoma"/>
          <w:b/>
          <w:u w:val="single"/>
        </w:rPr>
      </w:pPr>
    </w:p>
    <w:p>
      <w:pPr>
        <w:jc w:val="both"/>
        <w:rPr>
          <w:rFonts w:ascii="Tahoma" w:cs="Tahoma" w:hAnsi="Tahoma"/>
          <w:b/>
          <w:u w:val="single"/>
        </w:rPr>
      </w:pPr>
    </w:p>
    <w:p>
      <w:pPr>
        <w:jc w:val="both"/>
        <w:rPr>
          <w:rFonts w:ascii="Tahoma" w:cs="Tahoma" w:hAnsi="Tahoma"/>
          <w:b/>
          <w:u w:val="single"/>
        </w:rPr>
      </w:pPr>
      <w:r>
        <w:rPr>
          <w:rFonts w:ascii="Tahoma" w:cs="Tahoma" w:hAnsi="Tahoma"/>
          <w:b/>
          <w:u w:val="single"/>
        </w:rPr>
        <w:t>L</w:t>
      </w:r>
      <w:r>
        <w:rPr>
          <w:rFonts w:ascii="Tahoma" w:cs="Tahoma" w:hAnsi="Tahoma"/>
          <w:b/>
          <w:u w:val="single"/>
        </w:rPr>
        <w:t>E</w:t>
      </w:r>
      <w:r>
        <w:rPr>
          <w:rFonts w:ascii="Tahoma" w:cs="Tahoma" w:hAnsi="Tahoma"/>
          <w:b/>
          <w:u w:val="single"/>
        </w:rPr>
        <w:t>V</w:t>
      </w:r>
      <w:r>
        <w:rPr>
          <w:rFonts w:ascii="Tahoma" w:cs="Tahoma" w:hAnsi="Tahoma"/>
          <w:b/>
          <w:u w:val="single"/>
        </w:rPr>
        <w:t>EL 4</w:t>
      </w:r>
      <w:r>
        <w:rPr>
          <w:rFonts w:ascii="Tahoma" w:cs="Tahoma" w:hAnsi="Tahoma"/>
          <w:b/>
          <w:u w:val="single"/>
        </w:rPr>
        <w:t xml:space="preserve"> </w:t>
      </w:r>
      <w:r>
        <w:rPr>
          <w:rFonts w:ascii="Tahoma" w:cs="Tahoma" w:hAnsi="Tahoma"/>
          <w:b/>
          <w:u w:val="single"/>
        </w:rPr>
        <w:t>–</w:t>
      </w:r>
      <w:r>
        <w:rPr>
          <w:rFonts w:ascii="Tahoma" w:cs="Tahoma" w:hAnsi="Tahoma"/>
          <w:b/>
          <w:u w:val="single"/>
        </w:rPr>
        <w:t xml:space="preserve"> </w:t>
      </w:r>
      <w:r>
        <w:rPr>
          <w:rFonts w:ascii="Tahoma" w:cs="Tahoma" w:hAnsi="Tahoma"/>
          <w:b/>
          <w:u w:val="single"/>
        </w:rPr>
        <w:t xml:space="preserve">Student Journal </w:t>
      </w:r>
      <w:r>
        <w:rPr>
          <w:rFonts w:ascii="Tahoma" w:cs="Tahoma" w:hAnsi="Tahoma"/>
          <w:b/>
          <w:u w:val="single"/>
        </w:rPr>
        <w:t>(750 words)</w:t>
      </w:r>
    </w:p>
    <w:p>
      <w:pPr>
        <w:jc w:val="both"/>
        <w:rPr>
          <w:rFonts w:ascii="Tahoma" w:cs="Tahoma" w:hAnsi="Tahoma"/>
          <w:b/>
          <w:u w:val="single"/>
        </w:rPr>
      </w:pPr>
    </w:p>
    <w:p>
      <w:pPr>
        <w:jc w:val="both"/>
        <w:rPr>
          <w:rFonts w:ascii="Tahoma" w:cs="Tahoma" w:hAnsi="Tahoma"/>
        </w:rPr>
      </w:pPr>
      <w:r>
        <w:rPr>
          <w:rFonts w:ascii="Tahoma" w:cs="Tahoma" w:hAnsi="Tahoma"/>
        </w:rPr>
        <w:t xml:space="preserve">You are required to complete a </w:t>
      </w:r>
      <w:r>
        <w:rPr>
          <w:rFonts w:ascii="Tahoma" w:cs="Tahoma" w:hAnsi="Tahoma"/>
        </w:rPr>
        <w:t>j</w:t>
      </w:r>
      <w:r>
        <w:rPr>
          <w:rFonts w:ascii="Tahoma" w:cs="Tahoma" w:hAnsi="Tahoma"/>
        </w:rPr>
        <w:t>ournal</w:t>
      </w:r>
      <w:r>
        <w:rPr>
          <w:rFonts w:ascii="Tahoma" w:cs="Tahoma" w:hAnsi="Tahoma"/>
        </w:rPr>
        <w:t xml:space="preserve"> entry</w:t>
      </w:r>
      <w:r>
        <w:rPr>
          <w:rFonts w:ascii="Tahoma" w:cs="Tahoma" w:hAnsi="Tahoma"/>
        </w:rPr>
        <w:t xml:space="preserve"> to capture the learning experience and knowledge you </w:t>
      </w:r>
      <w:r>
        <w:rPr>
          <w:rFonts w:ascii="Tahoma" w:cs="Tahoma" w:hAnsi="Tahoma"/>
        </w:rPr>
        <w:t>have</w:t>
      </w:r>
      <w:r>
        <w:rPr>
          <w:rFonts w:ascii="Tahoma" w:cs="Tahoma" w:hAnsi="Tahoma"/>
        </w:rPr>
        <w:t xml:space="preserve"> acquiring during </w:t>
      </w:r>
      <w:r>
        <w:rPr>
          <w:rFonts w:ascii="Tahoma" w:cs="Tahoma" w:hAnsi="Tahoma"/>
        </w:rPr>
        <w:t>a particular lecture</w:t>
      </w:r>
      <w:r>
        <w:rPr>
          <w:rFonts w:ascii="Tahoma" w:cs="Tahoma" w:hAnsi="Tahoma"/>
        </w:rPr>
        <w:t xml:space="preserve">. </w:t>
      </w:r>
      <w:r>
        <w:rPr>
          <w:rFonts w:ascii="Tahoma" w:cs="Tahoma" w:hAnsi="Tahoma"/>
        </w:rPr>
        <w:t xml:space="preserve"> </w:t>
      </w:r>
      <w:r>
        <w:rPr>
          <w:rFonts w:ascii="Tahoma" w:cs="Tahoma" w:hAnsi="Tahoma"/>
        </w:rPr>
        <w:t>You may choose from the following topics:</w:t>
      </w:r>
    </w:p>
    <w:p>
      <w:pPr>
        <w:pStyle w:val="Normal(Web)"/>
        <w:numPr>
          <w:ilvl w:val="0"/>
          <w:numId w:val="28"/>
        </w:numPr>
        <w:rPr>
          <w:rFonts w:ascii="SymbolMT" w:hAnsi="SymbolMT"/>
        </w:rPr>
      </w:pPr>
      <w:r>
        <w:rPr>
          <w:rFonts w:ascii="Calibri" w:cs="Calibri" w:hAnsi="Calibri"/>
        </w:rPr>
        <w:t xml:space="preserve">Allergies and Intolerances and the importance within the industry </w:t>
      </w:r>
    </w:p>
    <w:p>
      <w:pPr>
        <w:pStyle w:val="Normal(Web)"/>
        <w:numPr>
          <w:ilvl w:val="0"/>
          <w:numId w:val="28"/>
        </w:numPr>
        <w:rPr>
          <w:rFonts w:ascii="SymbolMT" w:hAnsi="SymbolMT"/>
        </w:rPr>
      </w:pPr>
      <w:r>
        <w:rPr>
          <w:rFonts w:ascii="Calibri" w:cs="Calibri" w:hAnsi="Calibri"/>
        </w:rPr>
        <w:t xml:space="preserve">Ratings, Inspections and Reporting Procedures </w:t>
      </w:r>
    </w:p>
    <w:p>
      <w:pPr>
        <w:jc w:val="both"/>
        <w:rPr>
          <w:rFonts w:ascii="Tahoma" w:cs="Tahoma" w:hAnsi="Tahoma"/>
        </w:rPr>
      </w:pPr>
    </w:p>
    <w:p>
      <w:pPr>
        <w:jc w:val="both"/>
        <w:rPr>
          <w:rFonts w:ascii="Tahoma" w:cs="Tahoma" w:hAnsi="Tahoma"/>
        </w:rPr>
      </w:pPr>
      <w:r>
        <w:rPr>
          <w:rFonts w:ascii="Tahoma" w:cs="Tahoma" w:hAnsi="Tahoma"/>
        </w:rPr>
        <w:t xml:space="preserve">Consider the </w:t>
      </w:r>
      <w:r>
        <w:rPr>
          <w:rFonts w:ascii="Tahoma" w:cs="Tahoma" w:hAnsi="Tahoma"/>
        </w:rPr>
        <w:t xml:space="preserve">appropriate </w:t>
      </w:r>
      <w:r>
        <w:rPr>
          <w:rFonts w:ascii="Tahoma" w:cs="Tahoma" w:hAnsi="Tahoma"/>
        </w:rPr>
        <w:t>lecture</w:t>
      </w:r>
      <w:r>
        <w:rPr>
          <w:rFonts w:ascii="Tahoma" w:cs="Tahoma" w:hAnsi="Tahoma"/>
        </w:rPr>
        <w:t>s</w:t>
      </w:r>
      <w:r>
        <w:rPr>
          <w:rFonts w:ascii="Tahoma" w:cs="Tahoma" w:hAnsi="Tahoma"/>
        </w:rPr>
        <w:t xml:space="preserve">. What was the </w:t>
      </w:r>
      <w:r>
        <w:rPr>
          <w:rFonts w:ascii="Tahoma" w:cs="Tahoma" w:hAnsi="Tahoma"/>
        </w:rPr>
        <w:t>topic and w</w:t>
      </w:r>
      <w:r>
        <w:rPr>
          <w:rFonts w:ascii="Tahoma" w:cs="Tahoma" w:hAnsi="Tahoma"/>
        </w:rPr>
        <w:t>hat have you learn</w:t>
      </w:r>
      <w:r>
        <w:rPr>
          <w:rFonts w:ascii="Tahoma" w:cs="Tahoma" w:hAnsi="Tahoma"/>
        </w:rPr>
        <w:t>t</w:t>
      </w:r>
      <w:r>
        <w:rPr>
          <w:rFonts w:ascii="Tahoma" w:cs="Tahoma" w:hAnsi="Tahoma"/>
        </w:rPr>
        <w:t xml:space="preserve">? </w:t>
      </w:r>
      <w:r>
        <w:rPr>
          <w:rFonts w:ascii="Tahoma" w:cs="Tahoma" w:hAnsi="Tahoma"/>
        </w:rPr>
        <w:t xml:space="preserve">Provide </w:t>
      </w:r>
      <w:r>
        <w:rPr>
          <w:rFonts w:ascii="Tahoma" w:cs="Tahoma" w:hAnsi="Tahoma"/>
        </w:rPr>
        <w:t xml:space="preserve">a </w:t>
      </w:r>
      <w:r>
        <w:rPr>
          <w:rFonts w:ascii="Tahoma" w:cs="Tahoma" w:hAnsi="Tahoma"/>
          <w:b/>
          <w:bCs/>
        </w:rPr>
        <w:t>brief summary</w:t>
      </w:r>
      <w:r>
        <w:rPr>
          <w:rFonts w:ascii="Tahoma" w:cs="Tahoma" w:hAnsi="Tahoma"/>
        </w:rPr>
        <w:t xml:space="preserve">. </w:t>
      </w:r>
      <w:r>
        <w:rPr>
          <w:rFonts w:ascii="Tahoma" w:cs="Tahoma" w:hAnsi="Tahoma"/>
        </w:rPr>
        <w:t xml:space="preserve">What </w:t>
      </w:r>
      <w:r>
        <w:rPr>
          <w:rFonts w:ascii="Tahoma" w:cs="Tahoma" w:hAnsi="Tahoma"/>
          <w:b/>
          <w:bCs/>
        </w:rPr>
        <w:t>new skills</w:t>
      </w:r>
      <w:r>
        <w:rPr>
          <w:rFonts w:ascii="Tahoma" w:cs="Tahoma" w:hAnsi="Tahoma"/>
          <w:b/>
          <w:bCs/>
        </w:rPr>
        <w:t xml:space="preserve"> / knowledge</w:t>
      </w:r>
      <w:r>
        <w:rPr>
          <w:rFonts w:ascii="Tahoma" w:cs="Tahoma" w:hAnsi="Tahoma"/>
          <w:b/>
          <w:bCs/>
        </w:rPr>
        <w:t xml:space="preserve"> have you acquired</w:t>
      </w:r>
      <w:r>
        <w:rPr>
          <w:rFonts w:ascii="Tahoma" w:cs="Tahoma" w:hAnsi="Tahoma"/>
        </w:rPr>
        <w:t xml:space="preserve">? How will you </w:t>
      </w:r>
      <w:r>
        <w:rPr>
          <w:rFonts w:ascii="Tahoma" w:cs="Tahoma" w:hAnsi="Tahoma"/>
          <w:b/>
          <w:bCs/>
        </w:rPr>
        <w:t>apply your knowledge</w:t>
      </w:r>
      <w:r>
        <w:rPr>
          <w:rFonts w:ascii="Tahoma" w:cs="Tahoma" w:hAnsi="Tahoma"/>
          <w:b/>
          <w:bCs/>
        </w:rPr>
        <w:t xml:space="preserve"> in the future</w:t>
      </w:r>
      <w:r>
        <w:rPr>
          <w:rFonts w:ascii="Tahoma" w:cs="Tahoma" w:hAnsi="Tahoma"/>
        </w:rPr>
        <w:t xml:space="preserve">? </w:t>
      </w:r>
      <w:r>
        <w:rPr>
          <w:rFonts w:ascii="Tahoma" w:cs="Tahoma" w:hAnsi="Tahoma"/>
        </w:rPr>
        <w:t xml:space="preserve">What are your </w:t>
      </w:r>
      <w:r>
        <w:rPr>
          <w:rFonts w:ascii="Tahoma" w:cs="Tahoma" w:hAnsi="Tahoma"/>
          <w:b/>
          <w:bCs/>
        </w:rPr>
        <w:t>personal reflections</w:t>
      </w:r>
      <w:r>
        <w:rPr>
          <w:rFonts w:ascii="Tahoma" w:cs="Tahoma" w:hAnsi="Tahoma"/>
        </w:rPr>
        <w:t xml:space="preserve"> on the subject</w:t>
      </w:r>
      <w:r>
        <w:rPr>
          <w:rFonts w:ascii="Tahoma" w:cs="Tahoma" w:hAnsi="Tahoma"/>
        </w:rPr>
        <w:t xml:space="preserve">? </w:t>
      </w:r>
      <w:r>
        <w:rPr>
          <w:rFonts w:ascii="Tahoma" w:cs="Tahoma" w:hAnsi="Tahoma"/>
        </w:rPr>
        <w:t xml:space="preserve">Why is this </w:t>
      </w:r>
      <w:r>
        <w:rPr>
          <w:rFonts w:ascii="Tahoma" w:cs="Tahoma" w:hAnsi="Tahoma"/>
          <w:b/>
          <w:bCs/>
        </w:rPr>
        <w:t>topic impo</w:t>
      </w:r>
      <w:r>
        <w:rPr>
          <w:rFonts w:ascii="Tahoma" w:cs="Tahoma" w:hAnsi="Tahoma"/>
          <w:b/>
          <w:bCs/>
        </w:rPr>
        <w:t>rtant within the industry</w:t>
      </w:r>
      <w:r>
        <w:rPr>
          <w:rFonts w:ascii="Tahoma" w:cs="Tahoma" w:hAnsi="Tahoma"/>
        </w:rPr>
        <w:t xml:space="preserve">? </w:t>
      </w:r>
      <w:r>
        <w:rPr>
          <w:rFonts w:ascii="Tahoma" w:cs="Tahoma" w:hAnsi="Tahoma"/>
        </w:rPr>
        <w:t xml:space="preserve">Provide </w:t>
      </w:r>
      <w:r>
        <w:rPr>
          <w:rFonts w:ascii="Tahoma" w:cs="Tahoma" w:hAnsi="Tahoma"/>
          <w:b/>
          <w:bCs/>
        </w:rPr>
        <w:t>evidence of further reading</w:t>
      </w:r>
      <w:r>
        <w:rPr>
          <w:rFonts w:ascii="Tahoma" w:cs="Tahoma" w:hAnsi="Tahoma"/>
        </w:rPr>
        <w:t>. Include a minimum of 5 references</w:t>
      </w:r>
      <w:r>
        <w:rPr>
          <w:rFonts w:ascii="Tahoma" w:cs="Tahoma" w:hAnsi="Tahoma"/>
        </w:rPr>
        <w:t>.</w:t>
      </w:r>
    </w:p>
    <w:p>
      <w:pPr>
        <w:rPr>
          <w:rFonts w:ascii="Tahoma" w:cs="Tahoma" w:hAnsi="Tahoma"/>
          <w:sz w:val="20"/>
          <w:szCs w:val="20"/>
        </w:rPr>
      </w:pPr>
    </w:p>
    <w:tbl>
      <w:tblPr>
        <w:tblStyle w:val="TableGrid"/>
        <w:tblW w:w="0" w:type="auto"/>
        <w:tblLook w:val="01E0"/>
      </w:tblPr>
      <w:tblGrid>
        <w:gridCol w:w="3987"/>
        <w:gridCol w:w="7195"/>
      </w:tblGrid>
      <w:tr>
        <w:trPr/>
        <w:tc>
          <w:tcPr>
            <w:cnfStyle w:val="101000000000"/>
            <w:tcW w:w="3987" w:type="dxa"/>
            <w:shd w:val="clear" w:color="auto" w:fill="8db4e3" w:themeFill="text2" w:themeFillTint="66"/>
          </w:tcPr>
          <w:p>
            <w:pPr>
              <w:rPr>
                <w:rFonts w:ascii="Tahoma" w:cs="Tahoma" w:hAnsi="Tahoma"/>
                <w:b/>
                <w:sz w:val="20"/>
                <w:szCs w:val="20"/>
              </w:rPr>
            </w:pPr>
            <w:r>
              <w:rPr>
                <w:rFonts w:ascii="Tahoma" w:cs="Tahoma" w:hAnsi="Tahoma"/>
                <w:b/>
                <w:sz w:val="20"/>
                <w:szCs w:val="20"/>
              </w:rPr>
              <w:t xml:space="preserve">Student </w:t>
            </w:r>
            <w:r>
              <w:rPr>
                <w:rFonts w:ascii="Tahoma" w:cs="Tahoma" w:hAnsi="Tahoma"/>
                <w:b/>
                <w:sz w:val="20"/>
                <w:szCs w:val="20"/>
              </w:rPr>
              <w:t>Name:</w:t>
            </w:r>
            <w:r>
              <w:rPr>
                <w:rFonts w:ascii="Tahoma" w:cs="Tahoma" w:hAnsi="Tahoma"/>
                <w:b/>
                <w:sz w:val="20"/>
                <w:szCs w:val="20"/>
              </w:rPr>
              <w:t xml:space="preserve"> Marius Stroe</w:t>
            </w:r>
          </w:p>
          <w:p>
            <w:pPr>
              <w:rPr>
                <w:rFonts w:ascii="Tahoma" w:cs="Tahoma" w:hAnsi="Tahoma"/>
                <w:b/>
                <w:sz w:val="20"/>
                <w:szCs w:val="20"/>
              </w:rPr>
            </w:pPr>
          </w:p>
          <w:p>
            <w:pPr>
              <w:rPr>
                <w:rFonts w:ascii="Tahoma" w:cs="Tahoma" w:hAnsi="Tahoma"/>
                <w:b/>
                <w:sz w:val="20"/>
                <w:szCs w:val="20"/>
              </w:rPr>
            </w:pPr>
            <w:r>
              <w:rPr>
                <w:rFonts w:ascii="Tahoma" w:cs="Tahoma" w:hAnsi="Tahoma"/>
                <w:b/>
                <w:sz w:val="20"/>
                <w:szCs w:val="20"/>
              </w:rPr>
              <w:t>Student Number:</w:t>
            </w:r>
            <w:r>
              <w:rPr>
                <w:rFonts w:ascii="Tahoma" w:cs="Tahoma" w:hAnsi="Tahoma"/>
                <w:b/>
                <w:sz w:val="20"/>
                <w:szCs w:val="20"/>
              </w:rPr>
              <w:t xml:space="preserve"> 2117199</w:t>
            </w:r>
          </w:p>
          <w:p>
            <w:pPr>
              <w:rPr>
                <w:rFonts w:ascii="Tahoma" w:cs="Tahoma" w:hAnsi="Tahoma"/>
                <w:b/>
                <w:sz w:val="20"/>
                <w:szCs w:val="20"/>
              </w:rPr>
            </w:pPr>
          </w:p>
        </w:tc>
        <w:tc>
          <w:tcPr>
            <w:cnfStyle w:val="100100000000"/>
            <w:tcW w:w="7195" w:type="dxa"/>
            <w:shd w:val="clear" w:color="auto" w:fill="8db4e3" w:themeFill="text2" w:themeFillTint="66"/>
          </w:tcPr>
          <w:p>
            <w:pPr>
              <w:rPr>
                <w:rFonts w:ascii="Tahoma" w:cs="Tahoma" w:hAnsi="Tahoma"/>
                <w:b/>
                <w:sz w:val="20"/>
                <w:szCs w:val="20"/>
              </w:rPr>
            </w:pPr>
            <w:r>
              <w:rPr>
                <w:rFonts w:ascii="Tahoma" w:cs="Tahoma" w:hAnsi="Tahoma"/>
                <w:b/>
                <w:sz w:val="20"/>
                <w:szCs w:val="20"/>
              </w:rPr>
              <w:t>Module:</w:t>
            </w:r>
            <w:r>
              <w:rPr>
                <w:rFonts w:ascii="Tahoma" w:cs="Tahoma" w:hAnsi="Tahoma"/>
                <w:b/>
                <w:sz w:val="20"/>
                <w:szCs w:val="20"/>
              </w:rPr>
              <w:t xml:space="preserve"> BMIH4002</w:t>
            </w:r>
          </w:p>
          <w:p>
            <w:pPr>
              <w:rPr>
                <w:rFonts w:ascii="Tahoma" w:cs="Tahoma" w:hAnsi="Tahoma"/>
                <w:b/>
                <w:sz w:val="20"/>
                <w:szCs w:val="20"/>
              </w:rPr>
            </w:pPr>
          </w:p>
          <w:p>
            <w:pPr>
              <w:rPr>
                <w:rFonts w:ascii="Tahoma" w:cs="Tahoma" w:hAnsi="Tahoma"/>
                <w:b/>
                <w:sz w:val="20"/>
                <w:szCs w:val="20"/>
              </w:rPr>
            </w:pPr>
            <w:r>
              <w:rPr>
                <w:rFonts w:ascii="Tahoma" w:cs="Tahoma" w:hAnsi="Tahoma"/>
                <w:b/>
                <w:sz w:val="20"/>
                <w:szCs w:val="20"/>
              </w:rPr>
              <w:t>Lecturer:</w:t>
            </w:r>
            <w:r>
              <w:rPr>
                <w:rFonts w:ascii="Tahoma" w:cs="Tahoma" w:hAnsi="Tahoma"/>
                <w:b/>
                <w:sz w:val="20"/>
                <w:szCs w:val="20"/>
              </w:rPr>
              <w:t xml:space="preserve"> Laurence Blake</w:t>
            </w:r>
          </w:p>
        </w:tc>
      </w:tr>
    </w:tbl>
    <w:p>
      <w:pPr>
        <w:rPr>
          <w:rFonts w:ascii="Tahoma" w:cs="Tahoma" w:hAnsi="Tahoma"/>
          <w:sz w:val="20"/>
          <w:szCs w:val="20"/>
        </w:rPr>
      </w:pPr>
    </w:p>
    <w:tbl>
      <w:tblPr>
        <w:tblStyle w:val="TableGrid"/>
        <w:tblW w:w="0" w:type="auto"/>
        <w:tblLook w:val="01E0"/>
      </w:tblPr>
      <w:tblGrid>
        <w:gridCol w:w="3983"/>
        <w:gridCol w:w="7199"/>
      </w:tblGrid>
      <w:tr>
        <w:trPr/>
        <w:tc>
          <w:tcPr>
            <w:cnfStyle w:val="101000000000"/>
            <w:tcW w:w="3983" w:type="dxa"/>
            <w:shd w:val="clear" w:color="auto" w:fill="fcd5b4" w:themeFill="accent6" w:themeFillTint="66"/>
          </w:tcPr>
          <w:p>
            <w:pPr>
              <w:rPr>
                <w:rFonts w:ascii="Tahoma" w:cs="Tahoma" w:hAnsi="Tahoma"/>
                <w:b/>
                <w:sz w:val="20"/>
                <w:szCs w:val="20"/>
              </w:rPr>
            </w:pPr>
            <w:r>
              <w:rPr>
                <w:rFonts w:ascii="Tahoma" w:cs="Tahoma" w:hAnsi="Tahoma"/>
                <w:b/>
                <w:sz w:val="20"/>
                <w:szCs w:val="20"/>
              </w:rPr>
              <w:t>Topic of choice:</w:t>
            </w:r>
            <w:r>
              <w:rPr>
                <w:rFonts w:ascii="Tahoma" w:cs="Tahoma" w:hAnsi="Tahoma"/>
                <w:b/>
                <w:sz w:val="20"/>
                <w:szCs w:val="20"/>
              </w:rPr>
              <w:t xml:space="preserve"> </w:t>
            </w:r>
          </w:p>
        </w:tc>
        <w:tc>
          <w:tcPr>
            <w:cnfStyle w:val="100100000000"/>
            <w:tcW w:w="7199" w:type="dxa"/>
            <w:shd w:val="clear" w:color="auto" w:fill="fcd5b4" w:themeFill="accent6" w:themeFillTint="66"/>
          </w:tcPr>
          <w:p>
            <w:pPr>
              <w:spacing w:line="360" w:lineRule="auto"/>
              <w:rPr>
                <w:b/>
                <w:bCs/>
              </w:rPr>
            </w:pPr>
            <w:r>
              <w:rPr>
                <w:b/>
                <w:bCs/>
              </w:rPr>
              <w:t>ALLERGIES AND INTOLERANCES AND THE IMPORTANCE WITHIN THE INDUSTRY</w:t>
            </w:r>
          </w:p>
          <w:p>
            <w:pPr>
              <w:jc w:val="center"/>
              <w:rPr>
                <w:rFonts w:ascii="Tahoma" w:cs="Tahoma" w:hAnsi="Tahoma"/>
                <w:b/>
                <w:sz w:val="20"/>
                <w:szCs w:val="20"/>
              </w:rPr>
            </w:pPr>
          </w:p>
          <w:p>
            <w:pPr>
              <w:jc w:val="center"/>
              <w:rPr>
                <w:rFonts w:ascii="Tahoma" w:cs="Tahoma" w:hAnsi="Tahoma"/>
                <w:b/>
                <w:sz w:val="20"/>
                <w:szCs w:val="20"/>
              </w:rPr>
            </w:pPr>
          </w:p>
        </w:tc>
      </w:tr>
      <w:tr>
        <w:trPr>
          <w:trHeight w:val="2494"/>
        </w:trPr>
        <w:tc>
          <w:tcPr>
            <w:cnfStyle w:val="011000000000"/>
            <w:tcW w:w="11182" w:type="dxa"/>
            <w:gridSpan w:val="2"/>
          </w:tcPr>
          <w:p>
            <w:pPr>
              <w:rPr>
                <w:rFonts w:ascii="Tahoma" w:cs="Tahoma" w:hAnsi="Tahoma"/>
                <w:sz w:val="20"/>
                <w:szCs w:val="20"/>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pPr>
            <w:r>
              <w:t xml:space="preserve">According to, </w:t>
            </w:r>
            <w:r>
              <w:rPr>
                <w:shd w:val="clear" w:color="auto" w:fill="ffffff"/>
              </w:rPr>
              <w:t xml:space="preserve">Popping, and Diaz-Amigo, (2018) </w:t>
            </w:r>
            <w:r>
              <w:t xml:space="preserve">it has been noted that the allergy to the food u is considered an immune system which is being responded to when it comes in the contact with a certain kind of the food. In addition to this, while learning from this module I got to know that these substances have the involvement in the triggering of the allergic reaction which is particularly known as the allergens, these items in the food are not harmful to the majority but the things are while working within the industry there is need to work on the comfort of all of the customers which will further lead to the progress of the industry, as well as the employee, also lead to winning the trust of the customers as well. </w:t>
            </w:r>
          </w:p>
          <w:p>
            <w:pPr>
              <w:spacing w:line="360" w:lineRule="auto"/>
              <w:jc w:val="both"/>
              <w:rPr/>
            </w:pPr>
            <w:r>
              <w:tab/>
              <w:t xml:space="preserve">Working with this module has helped me to undertake the information related to the needs of the individual as well as conclusively I have found that in the case of the allergen item the most common ingredients include milk as well peanuts. While analysing the needs of the customers in this assignment I got to know that sometimes a few quantities of those ingredients might be the reason for the allergic reaction most of them due to the sensitivity of the consumers, the instant reaction is noted even though after the ingestion. In addition to this, the reaction of the customers has indicated that the instant reaction of food may lead to the range of the greatest from mild or the server. The gained knowledge related to the allergies will be implemented in my professional time, I will ensure </w:t>
            </w:r>
            <w:r>
              <w:t xml:space="preserve">that the real ingredients of the food must be clearly described on the packing. This will be indicated as an aspect which might lead the individual to save from the threatening condition which is known as Anaphylaxis (An acute allergic reaction to an allergen to which the body has become hypersensitive). Which is usually observed as an instant condition of an individual. </w:t>
            </w:r>
          </w:p>
          <w:p>
            <w:pPr>
              <w:spacing w:line="360" w:lineRule="auto"/>
              <w:jc w:val="both"/>
              <w:rPr/>
            </w:pPr>
            <w:r>
              <w:t>It has been encouraged that the total number of reactions related to the number of solutions revolves around the number of the performance of the management (</w:t>
            </w:r>
            <w:r>
              <w:rPr>
                <w:shd w:val="clear" w:color="auto" w:fill="ffffff"/>
              </w:rPr>
              <w:t>Labrosse, Graham, and Caubet, 2020)</w:t>
            </w:r>
            <w:r>
              <w:t xml:space="preserve">. The gained knowledge from this course has informed me of the number of techniques which will be considered a significant aspect for the sake of the most reliable strategies. In a similar manner, I got to know that the effective management programs related to the allergen is depends on the segregation of the physical foods of the allergenic ingredients from other products as well as the ingredients at the single step related to the manufacturing of food. In line with this in the professional role I will make sure that the </w:t>
            </w:r>
            <w:r>
              <w:t>main focus</w:t>
            </w:r>
            <w:r>
              <w:t xml:space="preserve"> of my service will be beyond the production of the food, which will I make effective by gaining raw materials in order to deliver the final product to the customers. In addition, my aim in professional development will be interlinked to eliminating the unrequired presence of allergens in the products and the food.</w:t>
            </w:r>
          </w:p>
          <w:p>
            <w:pPr>
              <w:spacing w:line="360" w:lineRule="auto"/>
              <w:jc w:val="both"/>
              <w:rPr/>
            </w:pPr>
            <w:r>
              <w:tab/>
              <w:t xml:space="preserve">In addition to this, while elaborating the point of the view of </w:t>
            </w:r>
            <w:r>
              <w:rPr>
                <w:shd w:val="clear" w:color="auto" w:fill="ffffff"/>
              </w:rPr>
              <w:t>Pacholek</w:t>
            </w:r>
            <w:r>
              <w:rPr>
                <w:shd w:val="clear" w:color="auto" w:fill="ffffff"/>
              </w:rPr>
              <w:t xml:space="preserve">, Sady, and </w:t>
            </w:r>
            <w:r>
              <w:rPr>
                <w:shd w:val="clear" w:color="auto" w:fill="ffffff"/>
              </w:rPr>
              <w:t>Kupinska</w:t>
            </w:r>
            <w:r>
              <w:rPr>
                <w:shd w:val="clear" w:color="auto" w:fill="ffffff"/>
              </w:rPr>
              <w:t xml:space="preserve">-Adamczyk, (2018) </w:t>
            </w:r>
            <w:r>
              <w:t xml:space="preserve">on the techniques related to the allergies, it has been noted that the provision of the education, as well as training to the staff related to the allergies, must be a significant and the primary aspect of the employer. In addition to this, I will make sure that while working in the food industry all employees must be aware of the needs of the customer as well as the having a remarkable knowledge related to the food allergen risks, management as well as the communication ought a priority for the providers of the foods. </w:t>
            </w:r>
          </w:p>
          <w:p>
            <w:pPr>
              <w:spacing w:line="360" w:lineRule="auto"/>
              <w:jc w:val="both"/>
              <w:rPr/>
            </w:pPr>
            <w:r>
              <w:tab/>
              <w:t>In addition to this, it has been demonstrated that allergens tend to be present in the products (</w:t>
            </w:r>
            <w:r>
              <w:rPr>
                <w:shd w:val="clear" w:color="auto" w:fill="ffffff"/>
              </w:rPr>
              <w:t>Dupuis et al., 2020)</w:t>
            </w:r>
            <w:r>
              <w:t xml:space="preserve">. While having the collective information related to allergens food in my job line, I will ensure the declaration of those items which cause the allergies and try to gain a competitive advantage while working on this element. On the other hand, while prioritising the information related to the allergies, at the time of the manufacturing of food I will make sure to precisely indicate the ingredients for the clients. It will help those customers who are allergic to a special ingredient, as well as the substitute of that food, will be provided for filling the needs of the individual as well. </w:t>
            </w:r>
          </w:p>
          <w:p>
            <w:pPr>
              <w:spacing w:line="360" w:lineRule="auto"/>
              <w:jc w:val="both"/>
              <w:rPr>
                <w:rFonts w:ascii="Arial" w:cs="Arial" w:hAnsi="Arial"/>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p>
            <w:pPr>
              <w:jc w:val="both"/>
              <w:rPr>
                <w:rFonts w:ascii="Tahoma" w:cs="Tahoma" w:hAnsi="Tahoma"/>
                <w:sz w:val="20"/>
                <w:szCs w:val="20"/>
              </w:rPr>
            </w:pPr>
          </w:p>
        </w:tc>
      </w:tr>
    </w:tbl>
    <w:p>
      <w:pPr>
        <w:rPr>
          <w:rFonts w:ascii="Tahoma" w:cs="Tahoma" w:hAnsi="Tahoma"/>
          <w:b/>
        </w:rPr>
      </w:pPr>
    </w:p>
    <w:tbl>
      <w:tblPr>
        <w:tblStyle w:val="TableGrid"/>
        <w:tblW w:w="0" w:type="auto"/>
        <w:tblLook w:val="01E0"/>
      </w:tblPr>
      <w:tblGrid>
        <w:gridCol w:w="10910"/>
        <w:gridCol w:w="272"/>
      </w:tblGrid>
      <w:tr>
        <w:trPr/>
        <w:tc>
          <w:tcPr>
            <w:cnfStyle w:val="101000000000"/>
            <w:tcW w:w="10910" w:type="dxa"/>
            <w:shd w:val="clear" w:color="auto" w:fill="fcd5b4" w:themeFill="accent6" w:themeFillTint="66"/>
          </w:tcPr>
          <w:p>
            <w:pPr>
              <w:rPr>
                <w:rFonts w:ascii="Tahoma" w:cs="Tahoma" w:hAnsi="Tahoma"/>
                <w:b/>
                <w:sz w:val="20"/>
                <w:szCs w:val="20"/>
              </w:rPr>
            </w:pPr>
            <w:r>
              <w:rPr>
                <w:rFonts w:ascii="Tahoma" w:cs="Tahoma" w:hAnsi="Tahoma"/>
                <w:b/>
                <w:sz w:val="20"/>
                <w:szCs w:val="20"/>
              </w:rPr>
              <w:t xml:space="preserve">REFERENCE LIST </w:t>
            </w:r>
            <w:r>
              <w:rPr>
                <w:rFonts w:ascii="Tahoma" w:cs="Tahoma" w:hAnsi="Tahoma"/>
                <w:b/>
                <w:sz w:val="20"/>
                <w:szCs w:val="20"/>
              </w:rPr>
              <w:t>(not included in word count)</w:t>
            </w:r>
          </w:p>
        </w:tc>
        <w:tc>
          <w:tcPr>
            <w:cnfStyle w:val="100100000000"/>
            <w:tcW w:w="272" w:type="dxa"/>
            <w:shd w:val="clear" w:color="auto" w:fill="fcd5b4" w:themeFill="accent6" w:themeFillTint="66"/>
          </w:tcPr>
          <w:p>
            <w:pPr>
              <w:jc w:val="center"/>
              <w:rPr>
                <w:rFonts w:ascii="Tahoma" w:cs="Tahoma" w:hAnsi="Tahoma"/>
                <w:b/>
                <w:sz w:val="20"/>
                <w:szCs w:val="20"/>
              </w:rPr>
            </w:pPr>
          </w:p>
          <w:p>
            <w:pPr>
              <w:jc w:val="center"/>
              <w:rPr>
                <w:rFonts w:ascii="Tahoma" w:cs="Tahoma" w:hAnsi="Tahoma"/>
                <w:b/>
                <w:sz w:val="20"/>
                <w:szCs w:val="20"/>
              </w:rPr>
            </w:pPr>
          </w:p>
        </w:tc>
      </w:tr>
      <w:tr>
        <w:trPr>
          <w:trHeight w:val="2494"/>
        </w:trPr>
        <w:tc>
          <w:tcPr>
            <w:cnfStyle w:val="011000000000"/>
            <w:tcW w:w="11182" w:type="dxa"/>
            <w:gridSpan w:val="2"/>
          </w:tcPr>
          <w:p>
            <w:pPr>
              <w:rPr>
                <w:rFonts w:ascii="Tahoma" w:cs="Tahoma" w:hAnsi="Tahoma"/>
                <w:sz w:val="20"/>
                <w:szCs w:val="20"/>
              </w:rPr>
            </w:pPr>
          </w:p>
          <w:p>
            <w:pPr>
              <w:ind w:left="720" w:hanging="720"/>
              <w:rPr>
                <w:i/>
                <w:iCs/>
              </w:rPr>
            </w:pPr>
            <w:r>
              <w:rPr>
                <w:shd w:val="clear" w:color="auto" w:fill="ffffff"/>
              </w:rPr>
              <w:t xml:space="preserve">Dupuis, R., Herbert, L., Young, M., Sicherer, S., </w:t>
            </w:r>
            <w:r>
              <w:rPr>
                <w:shd w:val="clear" w:color="auto" w:fill="ffffff"/>
              </w:rPr>
              <w:t>Phipatanakul</w:t>
            </w:r>
            <w:r>
              <w:rPr>
                <w:shd w:val="clear" w:color="auto" w:fill="ffffff"/>
              </w:rPr>
              <w:t xml:space="preserve">, W. and </w:t>
            </w:r>
            <w:r>
              <w:rPr>
                <w:shd w:val="clear" w:color="auto" w:fill="ffffff"/>
              </w:rPr>
              <w:t>Bartnikas</w:t>
            </w:r>
            <w:r>
              <w:rPr>
                <w:shd w:val="clear" w:color="auto" w:fill="ffffff"/>
              </w:rPr>
              <w:t>, L., 2022. Disrupted foodways: Food allergies and food insecurity. </w:t>
            </w:r>
            <w:r>
              <w:rPr>
                <w:i/>
                <w:iCs/>
                <w:shd w:val="clear" w:color="auto" w:fill="ffffff"/>
              </w:rPr>
              <w:t>Journal of Allergy and Clinical Immunology</w:t>
            </w:r>
            <w:r>
              <w:rPr>
                <w:shd w:val="clear" w:color="auto" w:fill="ffffff"/>
              </w:rPr>
              <w:t>, </w:t>
            </w:r>
            <w:r>
              <w:rPr>
                <w:i/>
                <w:iCs/>
                <w:shd w:val="clear" w:color="auto" w:fill="ffffff"/>
              </w:rPr>
              <w:t>149</w:t>
            </w:r>
            <w:r>
              <w:rPr>
                <w:shd w:val="clear" w:color="auto" w:fill="ffffff"/>
              </w:rPr>
              <w:t xml:space="preserve">(2), </w:t>
            </w:r>
            <w:r>
              <w:rPr>
                <w:shd w:val="clear" w:color="auto" w:fill="ffffff"/>
              </w:rPr>
              <w:t>p.AB</w:t>
            </w:r>
            <w:r>
              <w:rPr>
                <w:shd w:val="clear" w:color="auto" w:fill="ffffff"/>
              </w:rPr>
              <w:t>106.</w:t>
            </w:r>
            <w:r>
              <w:rPr>
                <w:i/>
                <w:iCs/>
              </w:rPr>
              <w:t xml:space="preserve"> </w:t>
            </w:r>
          </w:p>
          <w:p>
            <w:pPr>
              <w:ind w:left="720" w:hanging="720"/>
              <w:rPr>
                <w:shd w:val="clear" w:color="auto" w:fill="ffffff"/>
              </w:rPr>
            </w:pPr>
            <w:r>
              <w:rPr>
                <w:shd w:val="clear" w:color="auto" w:fill="ffffff"/>
              </w:rPr>
              <w:t>Labrosse, R., Graham, F. and Caubet, J.C., 2020. Non-</w:t>
            </w:r>
            <w:r>
              <w:rPr>
                <w:shd w:val="clear" w:color="auto" w:fill="ffffff"/>
              </w:rPr>
              <w:t>IgE</w:t>
            </w:r>
            <w:r>
              <w:rPr>
                <w:shd w:val="clear" w:color="auto" w:fill="ffffff"/>
              </w:rPr>
              <w:t>-mediated gastrointestinal food allergies in children: an update. </w:t>
            </w:r>
            <w:r>
              <w:rPr>
                <w:i/>
                <w:iCs/>
                <w:shd w:val="clear" w:color="auto" w:fill="ffffff"/>
              </w:rPr>
              <w:t>Nutrients</w:t>
            </w:r>
            <w:r>
              <w:rPr>
                <w:shd w:val="clear" w:color="auto" w:fill="ffffff"/>
              </w:rPr>
              <w:t>, </w:t>
            </w:r>
            <w:r>
              <w:rPr>
                <w:i/>
                <w:iCs/>
                <w:shd w:val="clear" w:color="auto" w:fill="ffffff"/>
              </w:rPr>
              <w:t>12</w:t>
            </w:r>
            <w:r>
              <w:rPr>
                <w:shd w:val="clear" w:color="auto" w:fill="ffffff"/>
              </w:rPr>
              <w:t>(7), p.2086.</w:t>
            </w:r>
          </w:p>
          <w:p>
            <w:pPr>
              <w:ind w:left="720" w:hanging="720"/>
              <w:rPr>
                <w:shd w:val="clear" w:color="auto" w:fill="ffffff"/>
              </w:rPr>
            </w:pPr>
            <w:r>
              <w:rPr>
                <w:shd w:val="clear" w:color="auto" w:fill="ffffff"/>
              </w:rPr>
              <w:t>Pacholek</w:t>
            </w:r>
            <w:r>
              <w:rPr>
                <w:shd w:val="clear" w:color="auto" w:fill="ffffff"/>
              </w:rPr>
              <w:t xml:space="preserve">, B., Sady, S. and </w:t>
            </w:r>
            <w:r>
              <w:rPr>
                <w:shd w:val="clear" w:color="auto" w:fill="ffffff"/>
              </w:rPr>
              <w:t>Kupinska</w:t>
            </w:r>
            <w:r>
              <w:rPr>
                <w:shd w:val="clear" w:color="auto" w:fill="ffffff"/>
              </w:rPr>
              <w:t>-Adamczyk, E., 2018. Management of food allergens in the food industry. </w:t>
            </w:r>
            <w:r>
              <w:rPr>
                <w:i/>
                <w:iCs/>
                <w:shd w:val="clear" w:color="auto" w:fill="ffffff"/>
              </w:rPr>
              <w:t>Journal of Agribusiness and Rural Development</w:t>
            </w:r>
            <w:r>
              <w:rPr>
                <w:shd w:val="clear" w:color="auto" w:fill="ffffff"/>
              </w:rPr>
              <w:t>, (1 [47]).</w:t>
            </w:r>
          </w:p>
          <w:p>
            <w:pPr>
              <w:ind w:left="720" w:hanging="720"/>
              <w:rPr>
                <w:shd w:val="clear" w:color="auto" w:fill="ffffff"/>
              </w:rPr>
            </w:pPr>
            <w:r>
              <w:rPr>
                <w:shd w:val="clear" w:color="auto" w:fill="ffffff"/>
              </w:rPr>
              <w:t xml:space="preserve">Popping, B. and Diaz-Amigo, C., 2018. European regulations for </w:t>
            </w:r>
            <w:r>
              <w:rPr>
                <w:shd w:val="clear" w:color="auto" w:fill="ffffff"/>
              </w:rPr>
              <w:t>labeling</w:t>
            </w:r>
            <w:r>
              <w:rPr>
                <w:shd w:val="clear" w:color="auto" w:fill="ffffff"/>
              </w:rPr>
              <w:t xml:space="preserve"> requirements for food allergens and substances causing intolerances: history and future. </w:t>
            </w:r>
            <w:r>
              <w:rPr>
                <w:i/>
                <w:iCs/>
                <w:shd w:val="clear" w:color="auto" w:fill="ffffff"/>
              </w:rPr>
              <w:t>Journal of AOAC International</w:t>
            </w:r>
            <w:r>
              <w:rPr>
                <w:shd w:val="clear" w:color="auto" w:fill="ffffff"/>
              </w:rPr>
              <w:t>, </w:t>
            </w:r>
            <w:r>
              <w:rPr>
                <w:i/>
                <w:iCs/>
                <w:shd w:val="clear" w:color="auto" w:fill="ffffff"/>
              </w:rPr>
              <w:t>101</w:t>
            </w:r>
            <w:r>
              <w:rPr>
                <w:shd w:val="clear" w:color="auto" w:fill="ffffff"/>
              </w:rPr>
              <w:t>(1), pp.2-7.</w:t>
            </w: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spacing w:line="360" w:lineRule="auto"/>
              <w:jc w:val="both"/>
              <w:rPr>
                <w:rFonts w:ascii="Arial" w:cs="Arial" w:hAnsi="Arial"/>
              </w:rPr>
            </w:pPr>
          </w:p>
          <w:p>
            <w:pPr>
              <w:jc w:val="both"/>
              <w:rPr>
                <w:rFonts w:ascii="Tahoma" w:cs="Tahoma" w:hAnsi="Tahoma"/>
                <w:sz w:val="20"/>
                <w:szCs w:val="20"/>
              </w:rPr>
            </w:pPr>
          </w:p>
        </w:tc>
      </w:tr>
    </w:tbl>
    <w:p>
      <w:pPr>
        <w:rPr>
          <w:rFonts w:ascii="Tahoma" w:cs="Tahoma" w:hAnsi="Tahoma"/>
          <w:b/>
        </w:rPr>
      </w:pPr>
    </w:p>
    <w:p>
      <w:pPr>
        <w:rPr>
          <w:rFonts w:ascii="Tahoma" w:cs="Tahoma" w:hAnsi="Tahoma"/>
          <w:b/>
        </w:rPr>
      </w:pPr>
    </w:p>
    <w:p>
      <w:pPr>
        <w:rPr>
          <w:rFonts w:ascii="Tahoma" w:cs="Tahoma" w:hAnsi="Tahoma"/>
          <w:b/>
        </w:rPr>
      </w:pPr>
    </w:p>
    <w:p>
      <w:pPr>
        <w:rPr>
          <w:rFonts w:ascii="Tahoma" w:cs="Tahoma" w:hAnsi="Tahoma"/>
          <w:b/>
        </w:rPr>
      </w:pPr>
    </w:p>
    <w:p>
      <w:pPr>
        <w:rPr>
          <w:rFonts w:ascii="Tahoma" w:cs="Tahoma" w:hAnsi="Tahoma"/>
          <w:b/>
        </w:rPr>
      </w:pPr>
    </w:p>
    <w:p>
      <w:pPr>
        <w:rPr>
          <w:rFonts w:ascii="Tahoma" w:cs="Tahoma" w:hAnsi="Tahoma"/>
          <w:b/>
        </w:rPr>
      </w:pPr>
    </w:p>
    <w:p>
      <w:pPr>
        <w:rPr>
          <w:rFonts w:ascii="Tahoma" w:cs="Tahoma" w:hAnsi="Tahoma"/>
          <w:b/>
        </w:rPr>
      </w:pPr>
    </w:p>
    <w:sectPr>
      <w:headerReference w:type="default" r:id="rId13"/>
      <w:footerReference w:type="default" r:id="rId14"/>
      <w:pgSz w:w="11906" w:h="16838"/>
      <w:pgMar w:top="360" w:right="357" w:bottom="0" w:left="35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r>
        <w:rPr/>
        <w:separator/>
      </w:r>
    </w:p>
  </w:endnote>
  <w:endnote w:type="continuationSeparator" w:id="1">
    <w:p>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Tahoma">
    <w:panose1 w:val="020b0604030504040204"/>
    <w:charset w:val="00"/>
    <w:family w:val="swiss"/>
    <w:pitch w:val="variable"/>
    <w:sig w:usb0="00000000" w:usb1="00000000" w:usb2="00000029" w:usb3="00000000" w:csb0="000101ff" w:csb1="00000000"/>
  </w:font>
  <w:font w:name="Calibri">
    <w:panose1 w:val="020f0502020204030204"/>
    <w:charset w:val="00"/>
    <w:family w:val="swiss"/>
    <w:pitch w:val="variable"/>
    <w:sig w:usb0="00000000" w:usb1="00000000" w:usb2="00000009" w:usb3="00000000" w:csb0="000001ff" w:csb1="00000000"/>
  </w:font>
  <w:font w:name="SymbolMT">
    <w:altName w:val="Cambria"/>
    <w:panose1 w:val="00000000000000000000"/>
    <w:charset w:val="00"/>
    <w:family w:val="roman"/>
    <w:notTrueType w:val="on"/>
    <w:pitch w:val="default"/>
  </w:font>
  <w:font w:name="Arial">
    <w:panose1 w:val="020b0604020202020204"/>
    <w:charset w:val="00"/>
    <w:family w:val="swiss"/>
    <w:pitch w:val="variable"/>
    <w:sig w:usb0="00000000" w:usb1="00000000"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00000000" w:usb1="420024ff" w:usb2="02000000" w:usb3="00000000" w:csb0="0000019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pPr>
    <w:r>
      <w:fldChar w:fldCharType="begin"/>
    </w:r>
    <w:r>
      <w:instrText xml:space="preserve"> PAGE   \* MERGEFORMAT </w:instrText>
    </w:r>
    <w:r>
      <w:fldChar w:fldCharType="separate"/>
    </w:r>
    <w:r>
      <w:t>1</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r>
        <w:rPr/>
        <w:separator/>
      </w:r>
    </w:p>
  </w:footnote>
  <w:footnote w:type="continuationSeparator" w:id="1">
    <w:p>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Header"/>
      <w:jc w:val="right"/>
      <w:rPr>
        <w:rFonts w:asciiTheme="minorHAnsi" w:hAnsiTheme="minorHAnsi"/>
      </w:rPr>
    </w:pPr>
    <w:r>
      <w:rPr>
        <w:rFonts w:asciiTheme="minorHAnsi" w:hAnsiTheme="minorHAnsi"/>
      </w:rPr>
      <w:drawing xmlns:mc="http://schemas.openxmlformats.org/markup-compatibility/2006">
        <wp:anchor allowOverlap="1" behindDoc="0" distT="0" distB="0" distL="114300" distR="114300" layoutInCell="1" locked="0" relativeHeight="251658240" simplePos="0">
          <wp:simplePos x="0" y="0"/>
          <wp:positionH relativeFrom="margin">
            <wp:posOffset>1380</wp:posOffset>
          </wp:positionH>
          <wp:positionV relativeFrom="margin">
            <wp:posOffset>-357615</wp:posOffset>
          </wp:positionV>
          <wp:extent cx="2303780" cy="765175"/>
          <wp:effectExtent l="0" t="0" r="0" b="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3"/>
                  <a:srcRect/>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rPr>
      <w:t>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multiLevelType w:val="hybridMultilevel"/>
    <w:lvl w:ilvl="0" w:tentative="0">
      <w:start w:val="1"/>
      <w:numFmt w:val="decimal"/>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5">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6">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7">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8">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2">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6">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7">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18">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9">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3">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24">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5">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6">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27">
    <w:multiLevelType w:val="hybridMultilevel"/>
    <w:lvl w:ilvl="0" w:tentative="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cs="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cs="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cs="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228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94D"/>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6DDB537D"/>
  <w15:docId w15:val="{EE55EFAD-E45A-48F8-9EE5-834D3F60DDC6}"/>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lang w:val="en-GB" w:bidi="ar-SA" w:eastAsia="en-GB"/>
      </w:rPr>
    </w:rPrDefault>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76091"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character" w:customStyle="1" w:styleId="HeaderChar">
    <w:name w:val="Header Char"/>
    <w:basedOn w:val="DefaultParagraphFont"/>
    <w:link w:val="Header"/>
    <w:uiPriority w:val="99"/>
  </w:style>
  <w:style w:type="paragraph" w:default="1" w:styleId="Normal">
    <w:name w:val="Normal"/>
    <w:uiPriority w:val="99"/>
    <w:qFormat w:val="on"/>
    <w:rPr>
      <w:sz w:val="24"/>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Header">
    <w:name w:val="Header"/>
    <w:basedOn w:val="Normal"/>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table" w:styleId="TableGrid">
    <w:name w:val="Table Grid"/>
    <w:basedOn w:val="NormalTable"/>
    <w:uiPriority w:val="9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uiPriority w:val="99"/>
    <w:semiHidden w:val="on"/>
    <w:rPr>
      <w:rFonts w:ascii="Tahoma" w:cs="Tahoma" w:hAnsi="Tahoma"/>
      <w:sz w:val="16"/>
      <w:szCs w:val="16"/>
    </w:rPr>
  </w:style>
  <w:style w:type="paragraph" w:styleId="ListParagraph">
    <w:name w:val="List Paragraph"/>
    <w:basedOn w:val="Normal"/>
    <w:uiPriority w:val="34"/>
    <w:qFormat w:val="on"/>
    <w:pPr>
      <w:ind w:left="720"/>
      <w:contextualSpacing w:val="on"/>
    </w:pPr>
  </w:style>
  <w:style w:type="character" w:customStyle="1" w:styleId="FooterChar">
    <w:name w:val="Footer Char"/>
    <w:basedOn w:val="DefaultParagraphFont"/>
    <w:link w:val="Footer"/>
    <w:uiPriority w:val="99"/>
    <w:rPr>
      <w:sz w:val="24"/>
      <w:szCs w:val="24"/>
    </w:rPr>
  </w:style>
  <w:style w:type="paragraph" w:styleId="Normal(Web)">
    <w:name w:val="Normal (Web)"/>
    <w:basedOn w:val="Normal"/>
    <w:uiPriority w:val="99"/>
    <w:semiHidden w:val="on"/>
    <w:unhideWhenUsed w:val="on"/>
    <w:pPr>
      <w:spacing w:before="100"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theme" Target="theme/theme1.xml"/><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header" Target="header1.xml"/><Relationship Id="rId14"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 Id="rId2" Type="http://schemas.openxmlformats.org/officeDocument/2006/relationships/image" Target="media/image1.jpeg"/><Relationship Id="rId3" Type="http://schemas.openxmlformats.org/officeDocument/2006/relationships/image" Target="media/image2.jpeg"/></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977</Words>
  <Characters>5026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Marius Stroe</cp:lastModifiedBy>
</cp:coreProperties>
</file>