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A664" w14:textId="66384FDF" w:rsidR="00350882" w:rsidRPr="00436638" w:rsidRDefault="002476CA" w:rsidP="00436638">
      <w:pPr>
        <w:spacing w:line="360" w:lineRule="auto"/>
        <w:jc w:val="center"/>
        <w:rPr>
          <w:sz w:val="24"/>
          <w:szCs w:val="24"/>
          <w:u w:val="single"/>
        </w:rPr>
      </w:pPr>
      <w:r w:rsidRPr="00436638">
        <w:rPr>
          <w:sz w:val="24"/>
          <w:szCs w:val="24"/>
          <w:u w:val="single"/>
        </w:rPr>
        <w:t>500 Word</w:t>
      </w:r>
      <w:r w:rsidR="00B05AC8" w:rsidRPr="00436638">
        <w:rPr>
          <w:sz w:val="24"/>
          <w:szCs w:val="24"/>
          <w:u w:val="single"/>
        </w:rPr>
        <w:t>s</w:t>
      </w:r>
      <w:r w:rsidRPr="00436638">
        <w:rPr>
          <w:sz w:val="24"/>
          <w:szCs w:val="24"/>
          <w:u w:val="single"/>
        </w:rPr>
        <w:t xml:space="preserve"> Sources – Classical Mythology in Roman and Medieval Times</w:t>
      </w:r>
    </w:p>
    <w:p w14:paraId="1AA2802B" w14:textId="77777777" w:rsidR="00101EA1" w:rsidRDefault="00101EA1" w:rsidP="00436638">
      <w:pPr>
        <w:spacing w:line="360" w:lineRule="auto"/>
        <w:rPr>
          <w:u w:val="single"/>
        </w:rPr>
      </w:pPr>
    </w:p>
    <w:p w14:paraId="0A059919" w14:textId="500CB3EA" w:rsidR="00E619C8" w:rsidRDefault="00101EA1" w:rsidP="00436638">
      <w:pPr>
        <w:spacing w:line="360" w:lineRule="auto"/>
      </w:pPr>
      <w:r>
        <w:t>Almost e</w:t>
      </w:r>
      <w:r w:rsidR="004E7887">
        <w:t xml:space="preserve">very account of Alexander the Great’s history contains a passage on his meeting with Queen Thalestris of the Amazons, apart from the </w:t>
      </w:r>
      <w:r w:rsidR="004E7887">
        <w:rPr>
          <w:i/>
          <w:iCs/>
        </w:rPr>
        <w:t>Metz Epitome</w:t>
      </w:r>
      <w:r>
        <w:t>, due to probable text loss</w:t>
      </w:r>
      <w:r w:rsidR="004E7887">
        <w:t>. Three notable examples are</w:t>
      </w:r>
      <w:r w:rsidR="0005565B">
        <w:t>:</w:t>
      </w:r>
      <w:r w:rsidR="004E7887">
        <w:t xml:space="preserve"> Quintus Curtius Rufus, </w:t>
      </w:r>
      <w:r w:rsidR="0005565B">
        <w:t xml:space="preserve">a historical source of roman origin; Walter of Chatillon’s </w:t>
      </w:r>
      <w:r w:rsidR="0005565B">
        <w:rPr>
          <w:i/>
          <w:iCs/>
        </w:rPr>
        <w:t>Alexandris</w:t>
      </w:r>
      <w:r w:rsidR="0005565B">
        <w:t>, a medieval ten book epic</w:t>
      </w:r>
      <w:r>
        <w:t xml:space="preserve"> poem</w:t>
      </w:r>
      <w:r w:rsidR="0005565B">
        <w:t xml:space="preserve"> on the life of Alexander the Great; and the </w:t>
      </w:r>
      <w:r w:rsidR="0005565B">
        <w:rPr>
          <w:i/>
          <w:iCs/>
        </w:rPr>
        <w:t>Historia de Preliis</w:t>
      </w:r>
      <w:r w:rsidR="0005565B">
        <w:t xml:space="preserve">, a medieval </w:t>
      </w:r>
      <w:r>
        <w:t>Latin</w:t>
      </w:r>
      <w:r w:rsidR="0005565B">
        <w:t xml:space="preserve"> translation by Leo of Naples of a 3</w:t>
      </w:r>
      <w:r w:rsidR="0005565B" w:rsidRPr="0005565B">
        <w:rPr>
          <w:vertAlign w:val="superscript"/>
        </w:rPr>
        <w:t>rd</w:t>
      </w:r>
      <w:r w:rsidR="0005565B">
        <w:t xml:space="preserve"> century </w:t>
      </w:r>
      <w:r>
        <w:t xml:space="preserve">Greek history of Alexander the Great. This source analysis will summarise these three accounts and attempt to explain and justify why their differences might have occurred.  </w:t>
      </w:r>
    </w:p>
    <w:p w14:paraId="125EF9F1" w14:textId="77777777" w:rsidR="00722125" w:rsidRPr="00722125" w:rsidRDefault="00722125" w:rsidP="00436638">
      <w:pPr>
        <w:spacing w:line="360" w:lineRule="auto"/>
      </w:pPr>
    </w:p>
    <w:p w14:paraId="363950C0" w14:textId="6C8D60E9" w:rsidR="007D36FF" w:rsidRPr="004E7887" w:rsidRDefault="004E7887" w:rsidP="00436638">
      <w:pPr>
        <w:spacing w:line="360" w:lineRule="auto"/>
      </w:pPr>
      <w:r>
        <w:t xml:space="preserve">Both Quintus Curtius Rufus and Walter of </w:t>
      </w:r>
      <w:r>
        <w:t>Châtillon</w:t>
      </w:r>
      <w:r>
        <w:t xml:space="preserve"> share several details in their account of Alexander’s meeting with Thalestris. </w:t>
      </w:r>
      <w:r w:rsidR="008D7252">
        <w:t xml:space="preserve">They both begin by stating Thalestris’ desire to meet with Alexander, Walter of </w:t>
      </w:r>
      <w:r w:rsidR="00722125">
        <w:t>Châtillon</w:t>
      </w:r>
      <w:r w:rsidR="00722125">
        <w:t xml:space="preserve"> </w:t>
      </w:r>
      <w:r w:rsidR="008D7252">
        <w:t xml:space="preserve">calling her “aflame with desire”. They then detail her approach with an escort. While in Curtius, she </w:t>
      </w:r>
      <w:r w:rsidR="00587311">
        <w:t>must</w:t>
      </w:r>
      <w:r w:rsidR="008D7252">
        <w:t xml:space="preserve"> gain permission to approach and thus sent messengers ahead, in Walter she approaches the camp without announcement. In both accounts a detailed description of her dress, and the dress of the Amazons, is given when she leaves her horse. </w:t>
      </w:r>
      <w:r w:rsidR="00587311">
        <w:t>However, while Curtius gives minimal description of dress and appearance, Walter gives a much more embellished version, using words such as raiment (opposed to robe), infants (opposed to children), and javelin (opposed to spears). In both versions</w:t>
      </w:r>
      <w:r w:rsidR="00722125">
        <w:t xml:space="preserve"> Thalestris is unimpressed by Alexander’s physique and how it does not correspond to his fame, and yet she wishes to have children with him. Curtius calls her a barbarian in this moment, while Walter calls her a savage, most likely because in Walter’s time, barbarian as a Roman word had lost its meaning as someone outside of Rome’s ideal of a ‘civilised culture’.  Furthermore, Walter’s use of embellishment could be due to both his style of epic poetry and his culture’s familiarity with the Alexander mythos. </w:t>
      </w:r>
      <w:r w:rsidR="008E5277">
        <w:t xml:space="preserve">Neither of these accounts detail what happened to Thalestris or her potential child after meeting with Alexander. </w:t>
      </w:r>
    </w:p>
    <w:p w14:paraId="74C2426F" w14:textId="77777777" w:rsidR="008E5277" w:rsidRDefault="008E5277" w:rsidP="00436638">
      <w:pPr>
        <w:spacing w:line="360" w:lineRule="auto"/>
      </w:pPr>
    </w:p>
    <w:p w14:paraId="7CE0DDC4" w14:textId="77777777" w:rsidR="008E5277" w:rsidRDefault="004E7887" w:rsidP="00436638">
      <w:pPr>
        <w:spacing w:line="360" w:lineRule="auto"/>
      </w:pPr>
      <w:r>
        <w:t xml:space="preserve">On the </w:t>
      </w:r>
      <w:r w:rsidR="00587311">
        <w:t>o</w:t>
      </w:r>
      <w:r>
        <w:t xml:space="preserve">ther hand, the Historia de Preliis presents a very different account. </w:t>
      </w:r>
      <w:r w:rsidR="00587311">
        <w:t>Here, Alexander is the first to contact Thalestris within a letter format. Here, he demands tribute in return for leaving the Amazons alone</w:t>
      </w:r>
      <w:r w:rsidR="00AC1CA5">
        <w:t xml:space="preserve">, as he has established himself as a military power. Thalestris responds by writing a letter back to Alexander, </w:t>
      </w:r>
      <w:r w:rsidR="008C59AA">
        <w:t xml:space="preserve">talking about where and how the Amazon’s live, including details about childbirth. This is all </w:t>
      </w:r>
      <w:r w:rsidR="004E171E">
        <w:t xml:space="preserve">written in an impersonal manner, as if the author is using Thalestris’ words </w:t>
      </w:r>
      <w:r w:rsidR="008E5277">
        <w:t>to</w:t>
      </w:r>
      <w:r w:rsidR="004E171E">
        <w:t xml:space="preserve"> tell the audience about how the Amazon’s live</w:t>
      </w:r>
      <w:r w:rsidR="000E3D68">
        <w:t xml:space="preserve">. </w:t>
      </w:r>
      <w:r w:rsidR="001076BB">
        <w:t xml:space="preserve">Alexander then has a second letter back to Thalestris, </w:t>
      </w:r>
      <w:r w:rsidR="001076BB">
        <w:lastRenderedPageBreak/>
        <w:t xml:space="preserve">bragging about his achievements in ‘subjugating the three parts of the world’, and threatening Thalestris by asking them to send a tribute or he would invade. </w:t>
      </w:r>
      <w:r w:rsidR="008E5277">
        <w:t>The passage then ends with Thalestris sending him 10 untamed colts and 10 fine white horses. In this version of events, Thalestris and Alexander never met in person, as the extent of their communication was through letters. This is much different to other accounts, where they were said to meet. This could be due to the nature of this account, being a supposed translation of a 3</w:t>
      </w:r>
      <w:r w:rsidR="008E5277" w:rsidRPr="008E5277">
        <w:rPr>
          <w:vertAlign w:val="superscript"/>
        </w:rPr>
        <w:t>rd</w:t>
      </w:r>
      <w:r w:rsidR="008E5277">
        <w:t xml:space="preserve"> century AD Greek text, translated by Leo of Naples in the 10</w:t>
      </w:r>
      <w:r w:rsidR="008E5277" w:rsidRPr="008E5277">
        <w:rPr>
          <w:vertAlign w:val="superscript"/>
        </w:rPr>
        <w:t>th</w:t>
      </w:r>
      <w:r w:rsidR="008E5277">
        <w:t xml:space="preserve"> century AD.</w:t>
      </w:r>
    </w:p>
    <w:p w14:paraId="37AA6002" w14:textId="77777777" w:rsidR="008E5277" w:rsidRDefault="008E5277" w:rsidP="00436638">
      <w:pPr>
        <w:spacing w:line="360" w:lineRule="auto"/>
      </w:pPr>
    </w:p>
    <w:p w14:paraId="628AD7FE" w14:textId="77777777" w:rsidR="008E5277" w:rsidRDefault="008E5277" w:rsidP="00436638">
      <w:pPr>
        <w:spacing w:line="360" w:lineRule="auto"/>
      </w:pPr>
      <w:r>
        <w:t xml:space="preserve">[Word Count – 540 words] </w:t>
      </w:r>
    </w:p>
    <w:p w14:paraId="56E9DA19" w14:textId="77777777" w:rsidR="008E5277" w:rsidRDefault="008E5277" w:rsidP="00436638">
      <w:pPr>
        <w:spacing w:line="360" w:lineRule="auto"/>
      </w:pPr>
    </w:p>
    <w:p w14:paraId="73C8407A" w14:textId="77777777" w:rsidR="008E5277" w:rsidRDefault="008E5277" w:rsidP="00436638">
      <w:pPr>
        <w:spacing w:line="360" w:lineRule="auto"/>
        <w:rPr>
          <w:u w:val="single"/>
        </w:rPr>
      </w:pPr>
      <w:r>
        <w:rPr>
          <w:u w:val="single"/>
        </w:rPr>
        <w:t xml:space="preserve">Bibliography </w:t>
      </w:r>
    </w:p>
    <w:p w14:paraId="18A5E159" w14:textId="7FF72F93" w:rsidR="00A04F05" w:rsidRPr="00081513" w:rsidRDefault="00A04F05" w:rsidP="00436638">
      <w:pPr>
        <w:spacing w:line="360" w:lineRule="auto"/>
        <w:rPr>
          <w:b/>
          <w:bCs/>
        </w:rPr>
      </w:pPr>
      <w:r w:rsidRPr="00081513">
        <w:rPr>
          <w:b/>
          <w:bCs/>
        </w:rPr>
        <w:t xml:space="preserve">Primary Sources – </w:t>
      </w:r>
    </w:p>
    <w:p w14:paraId="48E90CD1" w14:textId="49ABFDC1" w:rsidR="00A04F05" w:rsidRDefault="00A04F05" w:rsidP="00436638">
      <w:pPr>
        <w:spacing w:line="360" w:lineRule="auto"/>
      </w:pPr>
      <w:r>
        <w:t xml:space="preserve">Historia de Preliis 77-9 (Pritchard, R. </w:t>
      </w:r>
      <w:proofErr w:type="spellStart"/>
      <w:r>
        <w:t>Telfryn</w:t>
      </w:r>
      <w:proofErr w:type="spellEnd"/>
      <w:r>
        <w:t xml:space="preserve">. (1992). The History of Alexander’s Battles: Historia De Preliis, the J1 Version. (Toronto: Pontifical Institute of Mediaeval Studies)). </w:t>
      </w:r>
    </w:p>
    <w:p w14:paraId="6632A210" w14:textId="77777777" w:rsidR="00081513" w:rsidRDefault="00081513" w:rsidP="00436638">
      <w:pPr>
        <w:spacing w:line="360" w:lineRule="auto"/>
      </w:pPr>
    </w:p>
    <w:p w14:paraId="21172E63" w14:textId="23D8D001" w:rsidR="00A04F05" w:rsidRPr="00081513" w:rsidRDefault="00081513" w:rsidP="00436638">
      <w:pPr>
        <w:spacing w:line="360" w:lineRule="auto"/>
        <w:rPr>
          <w:i/>
          <w:iCs/>
        </w:rPr>
      </w:pPr>
      <w:r>
        <w:t xml:space="preserve">Townsend, David. ‘The </w:t>
      </w:r>
      <w:proofErr w:type="spellStart"/>
      <w:r>
        <w:t>Alexandreis</w:t>
      </w:r>
      <w:proofErr w:type="spellEnd"/>
      <w:r>
        <w:t xml:space="preserve"> of Walter of </w:t>
      </w:r>
      <w:proofErr w:type="spellStart"/>
      <w:r>
        <w:t>Ch</w:t>
      </w:r>
      <w:r w:rsidRPr="00081513">
        <w:t>â</w:t>
      </w:r>
      <w:r>
        <w:t>tillon</w:t>
      </w:r>
      <w:proofErr w:type="spellEnd"/>
      <w:r>
        <w:t xml:space="preserve">: A Twelfth-century Epic: A Verse Translation’. 1996. Middle Ages Ser. </w:t>
      </w:r>
    </w:p>
    <w:p w14:paraId="342ADABD" w14:textId="6B1640FA" w:rsidR="00081513" w:rsidRDefault="00081513" w:rsidP="00436638">
      <w:pPr>
        <w:spacing w:line="360" w:lineRule="auto"/>
      </w:pPr>
    </w:p>
    <w:p w14:paraId="4FC79920" w14:textId="6051124E" w:rsidR="00081513" w:rsidRDefault="00081513" w:rsidP="00436638">
      <w:pPr>
        <w:spacing w:line="360" w:lineRule="auto"/>
      </w:pPr>
      <w:r>
        <w:t xml:space="preserve">Quintus Curtius Rufus. History of Alexander, Volume II. Harvard UP. </w:t>
      </w:r>
    </w:p>
    <w:p w14:paraId="79F3064A" w14:textId="77777777" w:rsidR="00A04F05" w:rsidRDefault="00A04F05" w:rsidP="00436638">
      <w:pPr>
        <w:spacing w:line="360" w:lineRule="auto"/>
      </w:pPr>
    </w:p>
    <w:p w14:paraId="6C4CBB08" w14:textId="00FA548D" w:rsidR="00A04F05" w:rsidRPr="00A04F05" w:rsidRDefault="00A04F05" w:rsidP="00436638">
      <w:pPr>
        <w:spacing w:line="360" w:lineRule="auto"/>
        <w:rPr>
          <w:b/>
          <w:bCs/>
        </w:rPr>
      </w:pPr>
      <w:r w:rsidRPr="00A04F05">
        <w:rPr>
          <w:b/>
          <w:bCs/>
        </w:rPr>
        <w:t xml:space="preserve">Secondary Sources – </w:t>
      </w:r>
    </w:p>
    <w:p w14:paraId="1E8A4ECF" w14:textId="0458A154" w:rsidR="00A04F05" w:rsidRDefault="00A04F05" w:rsidP="00436638">
      <w:pPr>
        <w:spacing w:line="360" w:lineRule="auto"/>
      </w:pPr>
      <w:proofErr w:type="spellStart"/>
      <w:r>
        <w:t>Baynham</w:t>
      </w:r>
      <w:proofErr w:type="spellEnd"/>
      <w:r>
        <w:t xml:space="preserve">, E (2001). ‘Alexander and the Amazons’ Classical Quarterly 51.1, 115-126. </w:t>
      </w:r>
    </w:p>
    <w:p w14:paraId="6443F391" w14:textId="686DDD0E" w:rsidR="00F11E5C" w:rsidRDefault="00F11E5C" w:rsidP="00436638">
      <w:pPr>
        <w:spacing w:line="360" w:lineRule="auto"/>
      </w:pPr>
    </w:p>
    <w:p w14:paraId="59C65480" w14:textId="1FA3E78C" w:rsidR="00081513" w:rsidRDefault="00081513" w:rsidP="00436638">
      <w:pPr>
        <w:spacing w:line="360" w:lineRule="auto"/>
      </w:pPr>
      <w:proofErr w:type="spellStart"/>
      <w:r>
        <w:t>Munding</w:t>
      </w:r>
      <w:proofErr w:type="spellEnd"/>
      <w:r>
        <w:t xml:space="preserve">, </w:t>
      </w:r>
      <w:proofErr w:type="spellStart"/>
      <w:r>
        <w:t>M</w:t>
      </w:r>
      <w:r w:rsidRPr="00081513">
        <w:t>á</w:t>
      </w:r>
      <w:r>
        <w:t>rta</w:t>
      </w:r>
      <w:proofErr w:type="spellEnd"/>
      <w:r>
        <w:t xml:space="preserve">. (2011). ‘Alexander and the Amazon queen’ Graeco-Latina </w:t>
      </w:r>
      <w:proofErr w:type="spellStart"/>
      <w:r>
        <w:t>Brunensia</w:t>
      </w:r>
      <w:proofErr w:type="spellEnd"/>
      <w:r>
        <w:t xml:space="preserve">. 16. 2, pp. 125-142. </w:t>
      </w:r>
    </w:p>
    <w:p w14:paraId="4BD85F57" w14:textId="6DF6AD0A" w:rsidR="00081513" w:rsidRPr="002476CA" w:rsidRDefault="00081513" w:rsidP="00436638">
      <w:pPr>
        <w:spacing w:line="360" w:lineRule="auto"/>
      </w:pPr>
    </w:p>
    <w:sectPr w:rsidR="00081513" w:rsidRPr="00247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07E0E"/>
    <w:multiLevelType w:val="hybridMultilevel"/>
    <w:tmpl w:val="53F6871E"/>
    <w:lvl w:ilvl="0" w:tplc="110E88F2">
      <w:start w:val="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9272E"/>
    <w:multiLevelType w:val="hybridMultilevel"/>
    <w:tmpl w:val="B9602446"/>
    <w:lvl w:ilvl="0" w:tplc="66D4422A">
      <w:start w:val="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2243489">
    <w:abstractNumId w:val="0"/>
  </w:num>
  <w:num w:numId="2" w16cid:durableId="1276405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6CA"/>
    <w:rsid w:val="0005565B"/>
    <w:rsid w:val="00081513"/>
    <w:rsid w:val="000E3D68"/>
    <w:rsid w:val="00101EA1"/>
    <w:rsid w:val="001076BB"/>
    <w:rsid w:val="0018522F"/>
    <w:rsid w:val="002476CA"/>
    <w:rsid w:val="00255A22"/>
    <w:rsid w:val="002D3789"/>
    <w:rsid w:val="00436638"/>
    <w:rsid w:val="004E171E"/>
    <w:rsid w:val="004E7887"/>
    <w:rsid w:val="00587311"/>
    <w:rsid w:val="006B7420"/>
    <w:rsid w:val="00722125"/>
    <w:rsid w:val="007D36FF"/>
    <w:rsid w:val="008C59AA"/>
    <w:rsid w:val="008D7252"/>
    <w:rsid w:val="008E5277"/>
    <w:rsid w:val="009B2046"/>
    <w:rsid w:val="009C1CF7"/>
    <w:rsid w:val="00A04F05"/>
    <w:rsid w:val="00AC1CA5"/>
    <w:rsid w:val="00B05AC8"/>
    <w:rsid w:val="00E619C8"/>
    <w:rsid w:val="00F11E5C"/>
    <w:rsid w:val="00FB2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D3AC"/>
  <w15:chartTrackingRefBased/>
  <w15:docId w15:val="{950C4D6B-B457-4A42-8A4D-1655323E1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6FF"/>
    <w:pPr>
      <w:ind w:left="720"/>
      <w:contextualSpacing/>
    </w:pPr>
  </w:style>
  <w:style w:type="character" w:customStyle="1" w:styleId="instancename">
    <w:name w:val="instancename"/>
    <w:basedOn w:val="DefaultParagraphFont"/>
    <w:rsid w:val="00A04F05"/>
  </w:style>
  <w:style w:type="character" w:customStyle="1" w:styleId="accesshide">
    <w:name w:val="accesshide"/>
    <w:basedOn w:val="DefaultParagraphFont"/>
    <w:rsid w:val="00A04F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2</Pages>
  <Words>600</Words>
  <Characters>3426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11</cp:revision>
  <dcterms:created xsi:type="dcterms:W3CDTF">2022-05-23T11:53:00Z</dcterms:created>
  <dcterms:modified xsi:type="dcterms:W3CDTF">2022-05-23T15:54:00Z</dcterms:modified>
</cp:coreProperties>
</file>