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margin" w:tblpX="0" w:tblpY="0"/>
        <w:tblW w:w="9811.0" w:type="dxa"/>
        <w:jc w:val="left"/>
        <w:tblLayout w:type="fixed"/>
        <w:tblLook w:val="0400"/>
      </w:tblPr>
      <w:tblGrid>
        <w:gridCol w:w="9811"/>
        <w:tblGridChange w:id="0">
          <w:tblGrid>
            <w:gridCol w:w="9811"/>
          </w:tblGrid>
        </w:tblGridChange>
      </w:tblGrid>
      <w:tr>
        <w:trPr>
          <w:cantSplit w:val="0"/>
          <w:trHeight w:val="1604" w:hRule="atLeast"/>
          <w:tblHeader w:val="0"/>
        </w:trPr>
        <w:tc>
          <w:tcPr/>
          <w:p w:rsidR="00000000" w:rsidDel="00000000" w:rsidP="00000000" w:rsidRDefault="00000000" w:rsidRPr="00000000" w14:paraId="00000002">
            <w:pPr>
              <w:rPr>
                <w:rFonts w:ascii="Trebuchet MS" w:cs="Trebuchet MS" w:eastAsia="Trebuchet MS" w:hAnsi="Trebuchet MS"/>
                <w:i w:val="1"/>
                <w:iCs w:val="1"/>
                <w:color w:val="004146"/>
                <w:sz w:val="72"/>
                <w:szCs w:val="72"/>
              </w:rPr>
            </w:pPr>
            <w:bookmarkStart w:colFirst="0" w:colLast="0" w:name="_heading=h.6cu1n5r6tyhb" w:id="0"/>
            <w:bookmarkEnd w:id="0"/>
            <w:r w:rsidDel="00000000" w:rsidR="00000000" w:rsidRPr="00000000">
              <w:rPr>
                <w:rFonts w:ascii="Trebuchet MS" w:cs="Trebuchet MS" w:eastAsia="Trebuchet MS" w:hAnsi="Trebuchet MS"/>
                <w:color w:val="004146"/>
                <w:sz w:val="56"/>
                <w:szCs w:val="56"/>
                <w:rtl w:val="0"/>
              </w:rPr>
              <w:t xml:space="preserve">5CO01 </w:t>
              <w:br w:type="textWrapping"/>
              <w:t xml:space="preserve">Organisational performance and culture in practice</w:t>
            </w:r>
            <w:r w:rsidDel="00000000" w:rsidR="00000000" w:rsidRPr="00000000">
              <w:rPr>
                <w:rtl w:val="0"/>
              </w:rPr>
            </w:r>
          </w:p>
        </w:tc>
      </w:tr>
      <w:tr>
        <w:trPr>
          <w:cantSplit w:val="0"/>
          <w:trHeight w:val="719"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iCs w:val="1"/>
                <w:color w:val="595959"/>
                <w:sz w:val="56"/>
                <w:szCs w:val="56"/>
              </w:rPr>
            </w:pPr>
            <w:r w:rsidDel="00000000" w:rsidR="00000000" w:rsidRPr="00000000">
              <w:rPr>
                <w:rFonts w:ascii="Trebuchet MS" w:cs="Trebuchet MS" w:eastAsia="Trebuchet MS" w:hAnsi="Trebuchet MS"/>
                <w:i w:val="1"/>
                <w:iCs w:val="1"/>
                <w:color w:val="595959"/>
                <w:sz w:val="56"/>
                <w:szCs w:val="56"/>
                <w:rtl w:val="0"/>
              </w:rPr>
              <w:t xml:space="preserve">Learner Assessment Brief</w:t>
            </w:r>
          </w:p>
        </w:tc>
      </w:tr>
      <w:tr>
        <w:trPr>
          <w:cantSplit w:val="0"/>
          <w:trHeight w:val="413"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b w:val="1"/>
                <w:bCs w:val="1"/>
                <w:color w:val="595959"/>
                <w:sz w:val="28"/>
                <w:szCs w:val="28"/>
              </w:rPr>
            </w:pPr>
            <w:r w:rsidDel="00000000" w:rsidR="00000000" w:rsidRPr="00000000">
              <w:rPr>
                <w:rFonts w:ascii="Trebuchet MS" w:cs="Trebuchet MS" w:eastAsia="Trebuchet MS" w:hAnsi="Trebuchet MS"/>
                <w:b w:val="1"/>
                <w:bCs w:val="1"/>
                <w:color w:val="595959"/>
                <w:sz w:val="28"/>
                <w:szCs w:val="28"/>
                <w:rtl w:val="0"/>
              </w:rPr>
              <w:t xml:space="preserve">Assessment ID / CIPD_5CO01_25_01</w:t>
            </w:r>
          </w:p>
          <w:p w:rsidR="00000000" w:rsidDel="00000000" w:rsidP="00000000" w:rsidRDefault="00000000" w:rsidRPr="00000000" w14:paraId="00000005">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p>
          <w:p w:rsidR="00000000" w:rsidDel="00000000" w:rsidP="00000000" w:rsidRDefault="00000000" w:rsidRPr="00000000" w14:paraId="00000006">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2707005</wp:posOffset>
                      </wp:positionH>
                      <wp:positionV relativeFrom="paragraph">
                        <wp:posOffset>58419</wp:posOffset>
                      </wp:positionV>
                      <wp:extent cx="3098800" cy="2908300"/>
                      <wp:effectExtent b="0" l="0" r="0" t="0"/>
                      <wp:wrapNone/>
                      <wp:docPr id="608787168" name=""/>
                      <a:graphic>
                        <a:graphicData uri="http://schemas.microsoft.com/office/word/2010/wordprocessingGroup">
                          <wpg:wgp>
                            <wpg:cNvGrpSpPr/>
                            <wpg:grpSpPr>
                              <a:xfrm>
                                <a:off x="3796575" y="2325850"/>
                                <a:ext cx="3098800" cy="2908300"/>
                                <a:chOff x="3796575" y="2325850"/>
                                <a:chExt cx="3098825" cy="2908300"/>
                              </a:xfrm>
                            </wpg:grpSpPr>
                            <wpg:grpSp>
                              <wpg:cNvGrpSpPr/>
                              <wpg:grpSpPr>
                                <a:xfrm>
                                  <a:off x="3796600" y="2325850"/>
                                  <a:ext cx="3098800" cy="29083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2707005</wp:posOffset>
                      </wp:positionH>
                      <wp:positionV relativeFrom="paragraph">
                        <wp:posOffset>58419</wp:posOffset>
                      </wp:positionV>
                      <wp:extent cx="3098800" cy="2908300"/>
                      <wp:effectExtent b="0" l="0" r="0" t="0"/>
                      <wp:wrapNone/>
                      <wp:docPr id="608787168"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3098800" cy="2908300"/>
                              </a:xfrm>
                              <a:prstGeom prst="rect"/>
                              <a:ln/>
                            </pic:spPr>
                          </pic:pic>
                        </a:graphicData>
                      </a:graphic>
                    </wp:anchor>
                  </w:drawing>
                </mc:Fallback>
              </mc:AlternateContent>
            </w:r>
          </w:p>
          <w:p w:rsidR="00000000" w:rsidDel="00000000" w:rsidP="00000000" w:rsidRDefault="00000000" w:rsidRPr="00000000" w14:paraId="00000007">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p>
        </w:tc>
      </w:tr>
      <w:tr>
        <w:trPr>
          <w:cantSplit w:val="0"/>
          <w:trHeight w:val="4422" w:hRule="atLeast"/>
          <w:tblHeader w:val="0"/>
        </w:trPr>
        <w:tc>
          <w:tcPr/>
          <w:p w:rsidR="00000000" w:rsidDel="00000000" w:rsidP="00000000" w:rsidRDefault="00000000" w:rsidRPr="00000000" w14:paraId="00000008">
            <w:pPr>
              <w:rPr>
                <w:rFonts w:ascii="Trebuchet MS" w:cs="Trebuchet MS" w:eastAsia="Trebuchet MS" w:hAnsi="Trebuchet MS"/>
                <w:i w:val="1"/>
                <w:iCs w:val="1"/>
                <w:color w:val="595959"/>
                <w:sz w:val="72"/>
                <w:szCs w:val="72"/>
              </w:rPr>
            </w:pPr>
            <w:r w:rsidDel="00000000" w:rsidR="00000000" w:rsidRPr="00000000">
              <w:rPr>
                <w:rtl w:val="0"/>
              </w:rPr>
            </w:r>
          </w:p>
        </w:tc>
      </w:tr>
      <w:tr>
        <w:trPr>
          <w:cantSplit w:val="0"/>
          <w:trHeight w:val="1524" w:hRule="atLeast"/>
          <w:tblHeader w:val="0"/>
        </w:trPr>
        <w:tc>
          <w:tcPr/>
          <w:p w:rsidR="00000000" w:rsidDel="00000000" w:rsidP="00000000" w:rsidRDefault="00000000" w:rsidRPr="00000000" w14:paraId="00000009">
            <w:pPr>
              <w:spacing w:after="120" w:lineRule="auto"/>
              <w:rPr>
                <w:rFonts w:ascii="Trebuchet MS" w:cs="Trebuchet MS" w:eastAsia="Trebuchet MS" w:hAnsi="Trebuchet MS"/>
                <w:i w:val="1"/>
                <w:iCs w:val="1"/>
                <w:color w:val="595959"/>
                <w:sz w:val="44"/>
                <w:szCs w:val="44"/>
              </w:rPr>
            </w:pPr>
            <w:r w:rsidDel="00000000" w:rsidR="00000000" w:rsidRPr="00000000">
              <w:rPr>
                <w:rFonts w:ascii="Trebuchet MS" w:cs="Trebuchet MS" w:eastAsia="Trebuchet MS" w:hAnsi="Trebuchet MS"/>
                <w:i w:val="1"/>
                <w:iCs w:val="1"/>
                <w:color w:val="595959"/>
                <w:sz w:val="44"/>
                <w:szCs w:val="44"/>
                <w:rtl w:val="0"/>
              </w:rPr>
              <w:t xml:space="preserve">Level 5 Associate Diploma in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hanging="426"/>
              <w:jc w:val="left"/>
              <w:rPr>
                <w:rFonts w:ascii="Trebuchet MS" w:cs="Trebuchet MS" w:eastAsia="Trebuchet MS" w:hAnsi="Trebuchet MS"/>
                <w:b w:val="0"/>
                <w:bCs w:val="0"/>
                <w:i w:val="0"/>
                <w:iCs w:val="0"/>
                <w:smallCaps w:val="0"/>
                <w:strike w:val="0"/>
                <w:color w:val="004146"/>
                <w:sz w:val="48"/>
                <w:szCs w:val="4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Trebuchet MS" w:cs="Trebuchet MS" w:eastAsia="Trebuchet MS" w:hAnsi="Trebuchet MS"/>
                <w:b w:val="0"/>
                <w:bCs w:val="0"/>
                <w:i w:val="1"/>
                <w:iCs w:val="1"/>
                <w:smallCaps w:val="0"/>
                <w:strike w:val="0"/>
                <w:color w:val="595959"/>
                <w:sz w:val="72"/>
                <w:szCs w:val="7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bCs w:val="0"/>
                <w:i w:val="0"/>
                <w:iCs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C">
      <w:pPr>
        <w:rPr>
          <w:rFonts w:ascii="Trebuchet MS" w:cs="Trebuchet MS" w:eastAsia="Trebuchet MS" w:hAnsi="Trebuchet MS"/>
          <w:color w:val="520d5d"/>
          <w:sz w:val="16"/>
          <w:szCs w:val="16"/>
        </w:rPr>
        <w:sectPr>
          <w:headerReference r:id="rId8" w:type="default"/>
          <w:footerReference r:id="rId9" w:type="default"/>
          <w:pgSz w:h="16840" w:w="11900" w:orient="portrait"/>
          <w:pgMar w:bottom="340" w:top="3062" w:left="1077" w:right="1077" w:header="624" w:footer="720"/>
          <w:pgNumType w:start="1"/>
        </w:sectPr>
      </w:pPr>
      <w:r w:rsidDel="00000000" w:rsidR="00000000" w:rsidRPr="00000000">
        <w:rPr>
          <w:rFonts w:ascii="Trebuchet MS" w:cs="Trebuchet MS" w:eastAsia="Trebuchet MS" w:hAnsi="Trebuchet MS"/>
        </w:rPr>
        <mc:AlternateContent>
          <mc:Choice Requires="wpg">
            <w:drawing>
              <wp:anchor allowOverlap="1" behindDoc="1" distB="0" distT="0" distL="0" distR="0" hidden="0" layoutInCell="1" locked="0" relativeHeight="0" simplePos="0">
                <wp:simplePos x="0" y="0"/>
                <wp:positionH relativeFrom="page">
                  <wp:posOffset>-1022349</wp:posOffset>
                </wp:positionH>
                <wp:positionV relativeFrom="page">
                  <wp:posOffset>-6953249</wp:posOffset>
                </wp:positionV>
                <wp:extent cx="8737600" cy="17684750"/>
                <wp:effectExtent b="0" l="0" r="0" t="0"/>
                <wp:wrapNone/>
                <wp:docPr id="608787172" name=""/>
                <a:graphic>
                  <a:graphicData uri="http://schemas.microsoft.com/office/word/2010/wordprocessingShape">
                    <wps:wsp>
                      <wps:cNvSpPr/>
                      <wps:cNvPr id="14" name="Shape 14"/>
                      <wps:spPr>
                        <a:xfrm>
                          <a:off x="983550" y="0"/>
                          <a:ext cx="8724900" cy="7560000"/>
                        </a:xfrm>
                        <a:prstGeom prst="rect">
                          <a:avLst/>
                        </a:prstGeom>
                        <a:solidFill>
                          <a:srgbClr val="00838E">
                            <a:alpha val="4705"/>
                          </a:srgb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-1022349</wp:posOffset>
                </wp:positionH>
                <wp:positionV relativeFrom="page">
                  <wp:posOffset>-6953249</wp:posOffset>
                </wp:positionV>
                <wp:extent cx="8737600" cy="17684750"/>
                <wp:effectExtent b="0" l="0" r="0" t="0"/>
                <wp:wrapNone/>
                <wp:docPr id="608787172"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8737600" cy="17684750"/>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D">
      <w:pPr>
        <w:rPr>
          <w:rFonts w:ascii="Trebuchet MS" w:cs="Trebuchet MS" w:eastAsia="Trebuchet MS" w:hAnsi="Trebuchet MS"/>
          <w:b w:val="1"/>
          <w:bCs w:val="1"/>
          <w:color w:val="520d5d"/>
          <w:sz w:val="72"/>
          <w:szCs w:val="72"/>
        </w:rPr>
      </w:pPr>
      <w:r w:rsidDel="00000000" w:rsidR="00000000" w:rsidRPr="00000000">
        <w:rPr>
          <w:rtl w:val="0"/>
        </w:rPr>
      </w:r>
    </w:p>
    <w:p w:rsidR="00000000" w:rsidDel="00000000" w:rsidP="00000000" w:rsidRDefault="00000000" w:rsidRPr="00000000" w14:paraId="0000000E">
      <w:pPr>
        <w:rPr>
          <w:rFonts w:ascii="Trebuchet MS" w:cs="Trebuchet MS" w:eastAsia="Trebuchet MS" w:hAnsi="Trebuchet MS"/>
        </w:rPr>
      </w:pPr>
      <w:r w:rsidDel="00000000" w:rsidR="00000000" w:rsidRPr="00000000">
        <w:rPr>
          <w:rtl w:val="0"/>
        </w:rPr>
      </w:r>
    </w:p>
    <w:tbl>
      <w:tblPr>
        <w:tblStyle w:val="Table2"/>
        <w:tblpPr w:leftFromText="180" w:rightFromText="180" w:topFromText="0" w:bottomFromText="0" w:vertAnchor="text" w:horzAnchor="text" w:tblpX="0" w:tblpY="0"/>
        <w:tblW w:w="9736.0" w:type="dxa"/>
        <w:jc w:val="left"/>
        <w:tblLayout w:type="fixed"/>
        <w:tblLook w:val="0400"/>
      </w:tblPr>
      <w:tblGrid>
        <w:gridCol w:w="4142"/>
        <w:gridCol w:w="798"/>
        <w:gridCol w:w="600"/>
        <w:gridCol w:w="199"/>
        <w:gridCol w:w="798"/>
        <w:gridCol w:w="401"/>
        <w:gridCol w:w="399"/>
        <w:gridCol w:w="798"/>
        <w:gridCol w:w="201"/>
        <w:gridCol w:w="598"/>
        <w:gridCol w:w="802"/>
        <w:tblGridChange w:id="0">
          <w:tblGrid>
            <w:gridCol w:w="4142"/>
            <w:gridCol w:w="798"/>
            <w:gridCol w:w="600"/>
            <w:gridCol w:w="199"/>
            <w:gridCol w:w="798"/>
            <w:gridCol w:w="401"/>
            <w:gridCol w:w="399"/>
            <w:gridCol w:w="798"/>
            <w:gridCol w:w="201"/>
            <w:gridCol w:w="598"/>
            <w:gridCol w:w="802"/>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F">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rFonts w:ascii="Trebuchet MS" w:cs="Trebuchet MS" w:eastAsia="Trebuchet MS" w:hAnsi="Trebuchet MS"/>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name:</w:t>
            </w:r>
          </w:p>
          <w:p w:rsidR="00000000" w:rsidDel="00000000" w:rsidP="00000000" w:rsidRDefault="00000000" w:rsidRPr="00000000" w14:paraId="0000001B">
            <w:pPr>
              <w:rPr>
                <w:rFonts w:ascii="Trebuchet MS" w:cs="Trebuchet MS" w:eastAsia="Trebuchet MS" w:hAnsi="Trebuchet MS"/>
                <w:b w:val="1"/>
                <w:bCs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UWTSD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7">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Probert</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Bethany Elisha Jade</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7">
            <w:pPr>
              <w:rPr>
                <w:rFonts w:ascii="Trebuchet MS" w:cs="Trebuchet MS" w:eastAsia="Trebuchet MS" w:hAnsi="Trebuchet MS"/>
                <w:color w:val="004147"/>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2">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5CO01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D">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Organisational performance and culture in practice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8">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CIPD_5CO01_25_01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3">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08/10/25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01/12/25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9">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A">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4">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F">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4313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1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B">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5">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2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6">
            <w:pPr>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C0">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C1">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C2">
      <w:pPr>
        <w:rPr>
          <w:rFonts w:ascii="Trebuchet MS" w:cs="Trebuchet MS" w:eastAsia="Trebuchet MS" w:hAnsi="Trebuchet MS"/>
          <w:b w:val="1"/>
          <w:bCs w:val="1"/>
        </w:rPr>
        <w:sectPr>
          <w:headerReference r:id="rId10" w:type="default"/>
          <w:footerReference r:id="rId11" w:type="default"/>
          <w:type w:val="nextPage"/>
          <w:pgSz w:h="16840" w:w="11900" w:orient="portrait"/>
          <w:pgMar w:bottom="1134" w:top="1418" w:left="1077" w:right="1077" w:header="568" w:footer="720"/>
        </w:sectPr>
      </w:pPr>
      <w:r w:rsidDel="00000000" w:rsidR="00000000" w:rsidRPr="00000000">
        <w:br w:type="page"/>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608787166" name=""/>
                <a:graphic>
                  <a:graphicData uri="http://schemas.microsoft.com/office/word/2010/wordprocessingShape">
                    <wps:wsp>
                      <wps:cNvSpPr/>
                      <wps:cNvPr id="2" name="Shape 2"/>
                      <wps:spPr>
                        <a:xfrm>
                          <a:off x="2288475" y="3208500"/>
                          <a:ext cx="6115050" cy="11430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608787166"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124575" cy="11525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5CO01</w:t>
        <w:br w:type="textWrapping"/>
        <w:t xml:space="preserve">Organisational performance and culture in practice </w:t>
      </w:r>
      <w:r w:rsidDel="00000000" w:rsidR="00000000" w:rsidRPr="00000000">
        <w:drawing>
          <wp:anchor allowOverlap="1" behindDoc="0" distB="0" distT="0" distL="114300" distR="114300" hidden="0" layoutInCell="1" locked="0" relativeHeight="0" simplePos="0">
            <wp:simplePos x="0" y="0"/>
            <wp:positionH relativeFrom="column">
              <wp:posOffset>4704080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608787176" name="image3.png"/>
            <a:graphic>
              <a:graphicData uri="http://schemas.openxmlformats.org/drawingml/2006/picture">
                <pic:pic>
                  <pic:nvPicPr>
                    <pic:cNvPr descr="C:\Users\dominiqueb\AppData\Local\Microsoft\Windows\INetCache\Content.MSO\B4F4A35.tmp" id="0" name="image3.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32"/>
          <w:szCs w:val="32"/>
          <w:u w:val="none"/>
          <w:shd w:fill="auto" w:val="clear"/>
          <w:vertAlign w:val="baseline"/>
          <w:rtl w:val="0"/>
        </w:rPr>
        <w:t xml:space="preserve">CIPD’s insight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-51751</wp:posOffset>
                </wp:positionH>
                <wp:positionV relativeFrom="paragraph">
                  <wp:posOffset>-2856</wp:posOffset>
                </wp:positionV>
                <wp:extent cx="6175375" cy="5673725"/>
                <wp:effectExtent b="0" l="0" r="0" t="0"/>
                <wp:wrapNone/>
                <wp:docPr id="608787169" name=""/>
                <a:graphic>
                  <a:graphicData uri="http://schemas.microsoft.com/office/word/2010/wordprocessingShape">
                    <wps:wsp>
                      <wps:cNvSpPr/>
                      <wps:cNvPr id="11" name="Shape 11"/>
                      <wps:spPr>
                        <a:xfrm>
                          <a:off x="2263075" y="947900"/>
                          <a:ext cx="6165850" cy="56642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-51751</wp:posOffset>
                </wp:positionH>
                <wp:positionV relativeFrom="paragraph">
                  <wp:posOffset>-2856</wp:posOffset>
                </wp:positionV>
                <wp:extent cx="6175375" cy="5673725"/>
                <wp:effectExtent b="0" l="0" r="0" t="0"/>
                <wp:wrapNone/>
                <wp:docPr id="608787169"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175375" cy="5673725"/>
                        </a:xfrm>
                        <a:prstGeom prst="rect"/>
                        <a:ln/>
                      </pic:spPr>
                    </pic:pic>
                  </a:graphicData>
                </a:graphic>
              </wp:anchor>
            </w:drawing>
          </mc:Fallback>
        </mc:AlternateConten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We provide you with this information from our website to connect you with our research and insights on the topic, so you can explore our latest thinking.  It is not intended to replace the learning and formative assessment provided by your Study Centre.</w:t>
      </w: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Organisational climate and culture (October 2024)</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5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Explore </w:t>
      </w:r>
      <w:hyperlink r:id="rId13">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our viewpoint on organisational culture</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in more detail, along with actions for government and recommendations for employers.</w:t>
      </w:r>
    </w:p>
    <w:p w:rsidR="00000000" w:rsidDel="00000000" w:rsidP="00000000" w:rsidRDefault="00000000" w:rsidRPr="00000000" w14:paraId="000000CA">
      <w:pPr>
        <w:rPr>
          <w:rFonts w:ascii="Trebuchet MS" w:cs="Trebuchet MS" w:eastAsia="Trebuchet MS" w:hAnsi="Trebuchet MS"/>
          <w:b w:val="1"/>
          <w:bCs w:val="1"/>
          <w:color w:val="004147"/>
          <w:u w:val="single"/>
        </w:rPr>
      </w:pPr>
      <w:hyperlink r:id="rId14">
        <w:r w:rsidDel="00000000" w:rsidR="00000000" w:rsidRPr="00000000">
          <w:rPr>
            <w:rFonts w:ascii="Trebuchet MS" w:cs="Trebuchet MS" w:eastAsia="Trebuchet MS" w:hAnsi="Trebuchet MS"/>
            <w:b w:val="1"/>
            <w:bCs w:val="1"/>
            <w:color w:val="004147"/>
            <w:u w:val="single"/>
            <w:rtl w:val="0"/>
          </w:rPr>
          <w:t xml:space="preserve">https://www.cipd.org/uk/knowledge/factsheets/organisation-culture-change-factsheet/</w:t>
        </w:r>
      </w:hyperlink>
      <w:r w:rsidDel="00000000" w:rsidR="00000000" w:rsidRPr="00000000">
        <w:rPr>
          <w:rtl w:val="0"/>
        </w:rPr>
      </w:r>
    </w:p>
    <w:p w:rsidR="00000000" w:rsidDel="00000000" w:rsidP="00000000" w:rsidRDefault="00000000" w:rsidRPr="00000000" w14:paraId="000000C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C">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0C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Organisation development (May 2024)</w:t>
      </w:r>
    </w:p>
    <w:p w:rsidR="00000000" w:rsidDel="00000000" w:rsidP="00000000" w:rsidRDefault="00000000" w:rsidRPr="00000000" w14:paraId="000000CE">
      <w:pPr>
        <w:spacing w:before="15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an ever evolving world of work, it’s important that organisations adapt to ensure businesses performance. This factsheet explains what organisation development (ODV) is, what areas of focus and expertise it involves, and explores what ODV looks like in practice. </w:t>
      </w:r>
    </w:p>
    <w:p w:rsidR="00000000" w:rsidDel="00000000" w:rsidP="00000000" w:rsidRDefault="00000000" w:rsidRPr="00000000" w14:paraId="000000CF">
      <w:pPr>
        <w:spacing w:before="15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There are many ways to describe ODV, all of which share common features despite their varied meanings. In this factsheet we will use the abbreviation ODV rather than OD to distinguish organisation development from organisation design. </w:t>
      </w:r>
    </w:p>
    <w:p w:rsidR="00000000" w:rsidDel="00000000" w:rsidP="00000000" w:rsidRDefault="00000000" w:rsidRPr="00000000" w14:paraId="000000D0">
      <w:pPr>
        <w:rPr>
          <w:rFonts w:ascii="Trebuchet MS" w:cs="Trebuchet MS" w:eastAsia="Trebuchet MS" w:hAnsi="Trebuchet MS"/>
          <w:b w:val="1"/>
          <w:bCs w:val="1"/>
          <w:color w:val="004147"/>
          <w:u w:val="single"/>
        </w:rPr>
      </w:pPr>
      <w:hyperlink r:id="rId15">
        <w:r w:rsidDel="00000000" w:rsidR="00000000" w:rsidRPr="00000000">
          <w:rPr>
            <w:rFonts w:ascii="Trebuchet MS" w:cs="Trebuchet MS" w:eastAsia="Trebuchet MS" w:hAnsi="Trebuchet MS"/>
            <w:b w:val="1"/>
            <w:bCs w:val="1"/>
            <w:color w:val="004147"/>
            <w:u w:val="single"/>
            <w:rtl w:val="0"/>
          </w:rPr>
          <w:t xml:space="preserve">https://www.cipd.org/uk/knowledge/factsheets/organisational-development-factsheet/</w:t>
        </w:r>
      </w:hyperlink>
      <w:r w:rsidDel="00000000" w:rsidR="00000000" w:rsidRPr="00000000">
        <w:rPr>
          <w:rtl w:val="0"/>
        </w:rPr>
      </w:r>
    </w:p>
    <w:p w:rsidR="00000000" w:rsidDel="00000000" w:rsidP="00000000" w:rsidRDefault="00000000" w:rsidRPr="00000000" w14:paraId="000000D1">
      <w:pPr>
        <w:spacing w:line="244" w:lineRule="auto"/>
        <w:rPr>
          <w:rFonts w:ascii="Trebuchet MS" w:cs="Trebuchet MS" w:eastAsia="Trebuchet MS" w:hAnsi="Trebuchet MS"/>
          <w:b w:val="1"/>
          <w:bCs w:val="1"/>
          <w:color w:val="004147"/>
          <w:u w:val="single"/>
        </w:rPr>
      </w:pPr>
      <w:r w:rsidDel="00000000" w:rsidR="00000000" w:rsidRPr="00000000">
        <w:rPr>
          <w:rtl w:val="0"/>
        </w:rPr>
      </w:r>
    </w:p>
    <w:p w:rsidR="00000000" w:rsidDel="00000000" w:rsidP="00000000" w:rsidRDefault="00000000" w:rsidRPr="00000000" w14:paraId="000000D2">
      <w:pPr>
        <w:pStyle w:val="Heading2"/>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pStyle w:val="Heading2"/>
        <w:rPr>
          <w:rFonts w:ascii="Trebuchet MS" w:cs="Trebuchet MS" w:eastAsia="Trebuchet MS" w:hAnsi="Trebuchet MS"/>
        </w:rPr>
      </w:pPr>
      <w:r w:rsidDel="00000000" w:rsidR="00000000" w:rsidRPr="00000000">
        <w:rPr>
          <w:rFonts w:ascii="Trebuchet MS" w:cs="Trebuchet MS" w:eastAsia="Trebuchet MS" w:hAnsi="Trebuchet MS"/>
          <w:sz w:val="24"/>
          <w:szCs w:val="24"/>
          <w:rtl w:val="0"/>
        </w:rPr>
        <w:t xml:space="preserve">Preparation for the Tasks:</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-51751</wp:posOffset>
                </wp:positionH>
                <wp:positionV relativeFrom="paragraph">
                  <wp:posOffset>-32701</wp:posOffset>
                </wp:positionV>
                <wp:extent cx="6042025" cy="1222375"/>
                <wp:effectExtent b="0" l="0" r="0" t="0"/>
                <wp:wrapNone/>
                <wp:docPr id="608787171" name=""/>
                <a:graphic>
                  <a:graphicData uri="http://schemas.microsoft.com/office/word/2010/wordprocessingShape">
                    <wps:wsp>
                      <wps:cNvSpPr/>
                      <wps:cNvPr id="13" name="Shape 13"/>
                      <wps:spPr>
                        <a:xfrm>
                          <a:off x="2329750" y="3173575"/>
                          <a:ext cx="6032500" cy="12128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-51751</wp:posOffset>
                </wp:positionH>
                <wp:positionV relativeFrom="paragraph">
                  <wp:posOffset>-32701</wp:posOffset>
                </wp:positionV>
                <wp:extent cx="6042025" cy="1222375"/>
                <wp:effectExtent b="0" l="0" r="0" t="0"/>
                <wp:wrapNone/>
                <wp:docPr id="60878717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6042025" cy="1222375"/>
                        </a:xfrm>
                        <a:prstGeom prst="rect"/>
                        <a:ln/>
                      </pic:spPr>
                    </pic:pic>
                  </a:graphicData>
                </a:graphic>
              </wp:anchor>
            </w:drawing>
          </mc:Fallback>
        </mc:AlternateContent>
      </w:r>
    </w:p>
    <w:p w:rsidR="00000000" w:rsidDel="00000000" w:rsidP="00000000" w:rsidRDefault="00000000" w:rsidRPr="00000000" w14:paraId="000000D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make sure you understand your Study Centre's instructions on how to complete and submit your assessment.</w:t>
      </w:r>
    </w:p>
    <w:p w:rsidR="00000000" w:rsidDel="00000000" w:rsidP="00000000" w:rsidRDefault="00000000" w:rsidRPr="00000000" w14:paraId="000000D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watch the supporting video for this unit: </w:t>
      </w:r>
      <w:hyperlink r:id="rId16">
        <w:r w:rsidDel="00000000" w:rsidR="00000000" w:rsidRPr="00000000">
          <w:rPr>
            <w:rFonts w:ascii="Trebuchet MS" w:cs="Trebuchet MS" w:eastAsia="Trebuchet MS" w:hAnsi="Trebuchet MS"/>
            <w:b w:val="0"/>
            <w:bCs w:val="0"/>
            <w:i w:val="0"/>
            <w:iCs w:val="0"/>
            <w:smallCaps w:val="0"/>
            <w:strike w:val="0"/>
            <w:color w:val="0000ff"/>
            <w:sz w:val="22"/>
            <w:szCs w:val="22"/>
            <w:u w:val="single"/>
            <w:shd w:fill="auto" w:val="clear"/>
            <w:vertAlign w:val="baseline"/>
            <w:rtl w:val="0"/>
          </w:rPr>
          <w:t xml:space="preserve">https://youtu.be/0T_j8yCai8g</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ead the CIPD’s word count policy which your Study Centre will provide for you. Remember that your work will be referred if you go over the unit word count.</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36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spacing w:line="240" w:lineRule="auto"/>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rPr>
        <w:drawing>
          <wp:anchor allowOverlap="1" behindDoc="0" distB="0" distT="0" distL="114300" distR="114300" hidden="0" layoutInCell="1" locked="0" relativeHeight="0" simplePos="0">
            <wp:simplePos x="0" y="0"/>
            <wp:positionH relativeFrom="margin">
              <wp:posOffset>4838700</wp:posOffset>
            </wp:positionH>
            <wp:positionV relativeFrom="margin">
              <wp:posOffset>1433195</wp:posOffset>
            </wp:positionV>
            <wp:extent cx="1149350" cy="1144270"/>
            <wp:effectExtent b="0" l="0" r="0" t="0"/>
            <wp:wrapSquare wrapText="bothSides" distB="0" distT="0" distL="114300" distR="114300"/>
            <wp:docPr id="608787177" name="image2.png"/>
            <a:graphic>
              <a:graphicData uri="http://schemas.openxmlformats.org/drawingml/2006/picture">
                <pic:pic>
                  <pic:nvPicPr>
                    <pic:cNvPr id="0" name="image2.png"/>
                    <pic:cNvPicPr preferRelativeResize="0"/>
                  </pic:nvPicPr>
                  <pic:blipFill>
                    <a:blip r:embed="rId17"/>
                    <a:srcRect b="0" l="15789" r="16746" t="0"/>
                    <a:stretch>
                      <a:fillRect/>
                    </a:stretch>
                  </pic:blipFill>
                  <pic:spPr>
                    <a:xfrm>
                      <a:off x="0" y="0"/>
                      <a:ext cx="1149350" cy="1144270"/>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DA">
      <w:pPr>
        <w:spacing w:line="264" w:lineRule="auto"/>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i w:val="1"/>
          <w:iCs w:val="1"/>
          <w:color w:val="004147"/>
          <w:sz w:val="48"/>
          <w:szCs w:val="48"/>
          <w:rtl w:val="0"/>
        </w:rPr>
        <w:t xml:space="preserve">Task </w:t>
      </w:r>
    </w:p>
    <w:p w:rsidR="00000000" w:rsidDel="00000000" w:rsidP="00000000" w:rsidRDefault="00000000" w:rsidRPr="00000000" w14:paraId="000000DB">
      <w:pPr>
        <w:spacing w:line="264" w:lineRule="auto"/>
        <w:rPr>
          <w:rFonts w:ascii="Trebuchet MS" w:cs="Trebuchet MS" w:eastAsia="Trebuchet MS" w:hAnsi="Trebuchet MS"/>
          <w:i w:val="1"/>
          <w:iCs w:val="1"/>
          <w:color w:val="004147"/>
          <w:sz w:val="48"/>
          <w:szCs w:val="48"/>
        </w:rPr>
      </w:pPr>
      <w:r w:rsidDel="00000000" w:rsidR="00000000" w:rsidRPr="00000000">
        <w:rPr>
          <w:rtl w:val="0"/>
        </w:rPr>
      </w:r>
    </w:p>
    <w:p w:rsidR="00000000" w:rsidDel="00000000" w:rsidP="00000000" w:rsidRDefault="00000000" w:rsidRPr="00000000" w14:paraId="000000DC">
      <w:pPr>
        <w:spacing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task requires you to answer </w:t>
      </w:r>
      <w:r w:rsidDel="00000000" w:rsidR="00000000" w:rsidRPr="00000000">
        <w:rPr>
          <w:rFonts w:ascii="Trebuchet MS" w:cs="Trebuchet MS" w:eastAsia="Trebuchet MS" w:hAnsi="Trebuchet MS"/>
          <w:b w:val="1"/>
          <w:bCs w:val="1"/>
          <w:rtl w:val="0"/>
        </w:rPr>
        <w:t xml:space="preserve">12</w:t>
      </w:r>
      <w:r w:rsidDel="00000000" w:rsidR="00000000" w:rsidRPr="00000000">
        <w:rPr>
          <w:rFonts w:ascii="Trebuchet MS" w:cs="Trebuchet MS" w:eastAsia="Trebuchet MS" w:hAnsi="Trebuchet MS"/>
          <w:rtl w:val="0"/>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rsidR="00000000" w:rsidDel="00000000" w:rsidP="00000000" w:rsidRDefault="00000000" w:rsidRPr="00000000" w14:paraId="000000DD">
      <w:pPr>
        <w:spacing w:line="264"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E">
      <w:pPr>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ensure that your work is presented clearly, typically using sub-headings or AC references to link your responses to the questions, and that your work complies with the wordcount requirements stated at the end of the assessment brief. If you exceed the word count by more than 10% your work will be referred. References should be included within your answers (unless the question specifically states that these are not required) and full details presented in a reference list at the end of your assessment.</w:t>
      </w:r>
    </w:p>
    <w:p w:rsidR="00000000" w:rsidDel="00000000" w:rsidP="00000000" w:rsidRDefault="00000000" w:rsidRPr="00000000" w14:paraId="000000DF">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E0">
      <w:pPr>
        <w:spacing w:after="160" w:line="264"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1">
      <w:pPr>
        <w:pStyle w:val="Heading1"/>
        <w:rPr>
          <w:rFonts w:ascii="Trebuchet MS" w:cs="Trebuchet MS" w:eastAsia="Trebuchet MS" w:hAnsi="Trebuchet MS"/>
        </w:rPr>
      </w:pPr>
      <w:r w:rsidDel="00000000" w:rsidR="00000000" w:rsidRPr="00000000">
        <w:rPr>
          <w:rFonts w:ascii="Trebuchet MS" w:cs="Trebuchet MS" w:eastAsia="Trebuchet MS" w:hAnsi="Trebuchet MS"/>
          <w:rtl w:val="0"/>
        </w:rPr>
        <w:t xml:space="preserve">Case study</w:t>
      </w:r>
    </w:p>
    <w:p w:rsidR="00000000" w:rsidDel="00000000" w:rsidP="00000000" w:rsidRDefault="00000000" w:rsidRPr="00000000" w14:paraId="000000E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Calmere House provides respite and residential care for adults with care needs. Established in 1974 by David and Anna Calmere, Calmere House’s ethos is centred around high quality care with a personal touch. David and Anna’s daughter, Kirsten, took over the business in 2002 when David and Anna retired. </w:t>
      </w:r>
    </w:p>
    <w:p w:rsidR="00000000" w:rsidDel="00000000" w:rsidP="00000000" w:rsidRDefault="00000000" w:rsidRPr="00000000" w14:paraId="000000E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Calmere House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Calmere House, with Kirsten telling stories about how her parents founded the Company and sold their own home to raise the money needed. Policies and procedures are limited, with informal ad-hoc approaches in place. Calmere House has a flat organisational structure with all 42 employees reporting directly to Kirsten.</w:t>
      </w:r>
    </w:p>
    <w:p w:rsidR="00000000" w:rsidDel="00000000" w:rsidP="00000000" w:rsidRDefault="00000000" w:rsidRPr="00000000" w14:paraId="000000E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more than two decades of running the care home, Kirsten has now decided that she would like to pursue her own, rather than her parents’ interests. In addition, Kirsten is worried about continuing increases in utility and staff costs and feel these may compromise residents’ care. Kirsten  decides to sell the business and use the money raised to start her own new business, a spa and wellness centre.</w:t>
      </w:r>
    </w:p>
    <w:p w:rsidR="00000000" w:rsidDel="00000000" w:rsidP="00000000" w:rsidRDefault="00000000" w:rsidRPr="00000000" w14:paraId="000000E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great deliberation, Kirsten decides to sell Calmere House to Chaffinch Group, a large care home company. Kirsten feels that Chaffinch Group have the resources to invest in much needed refurbishment of residents’ rooms and facilities and will provide her employees with greater job security.</w:t>
      </w:r>
    </w:p>
    <w:p w:rsidR="00000000" w:rsidDel="00000000" w:rsidP="00000000" w:rsidRDefault="00000000" w:rsidRPr="00000000" w14:paraId="000000E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sale goes ahead. Kirsten advises the employees of the sale and explains why it was necessary. Employees are shocked and find it hard to believe that the sale will go ahead as Kirsten had managed the business with passion and Calmere House was the focus of her life. Chaffinch Group appoints a manager, Kath, who has worked for Chaffinch Group for five years, and the Company starts to refurbish rooms. Chaffinch Group 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Chaffinch wants, and they need to see a return on their investment”. Chaffinch Group introduces the same policies and procedures in Calmere House that are in place throughout the rest of the Group, advising employees of these by email. The People team at Chaffinch Group consists of a people manager, a recruitment advisor, an employment relations case advisor, and an administrator. </w:t>
      </w:r>
    </w:p>
    <w:p w:rsidR="00000000" w:rsidDel="00000000" w:rsidP="00000000" w:rsidRDefault="00000000" w:rsidRPr="00000000" w14:paraId="000000E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rsidR="00000000" w:rsidDel="00000000" w:rsidP="00000000" w:rsidRDefault="00000000" w:rsidRPr="00000000" w14:paraId="000000E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Chaffinch Group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rsidR="00000000" w:rsidDel="00000000" w:rsidP="00000000" w:rsidRDefault="00000000" w:rsidRPr="00000000" w14:paraId="000000E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Chaffinch Group is also unhappy. Calmere House is not generating the income anticipated due to long-term residents choosing to move to alternative care homes and difficulties in attracting new permanent residents and new respite care residents. Chaffinch Group are wondering why a previously stable workforce now has high employee turnover and why Calmere House has changed from the care home that had a waiting list of potential residents to one with empty rooms. Chaffinch Group have set a goal to fill 100% of resident rooms within six months.</w:t>
      </w:r>
    </w:p>
    <w:p w:rsidR="00000000" w:rsidDel="00000000" w:rsidP="00000000" w:rsidRDefault="00000000" w:rsidRPr="00000000" w14:paraId="000000F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2">
      <w:pPr>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i w:val="1"/>
          <w:iCs w:val="1"/>
          <w:color w:val="004147"/>
          <w:sz w:val="48"/>
          <w:szCs w:val="48"/>
          <w:rtl w:val="0"/>
        </w:rPr>
        <w:t xml:space="preserve">Questions</w:t>
      </w:r>
    </w:p>
    <w:p w:rsidR="00000000" w:rsidDel="00000000" w:rsidP="00000000" w:rsidRDefault="00000000" w:rsidRPr="00000000" w14:paraId="00000103">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04">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w:t>
      </w:r>
      <w:r w:rsidDel="00000000" w:rsidR="00000000" w:rsidRPr="00000000">
        <w:rPr>
          <w:rFonts w:ascii="Trebuchet MS" w:cs="Trebuchet MS" w:eastAsia="Trebuchet MS" w:hAnsi="Trebuchet MS"/>
          <w:rtl w:val="0"/>
        </w:rPr>
        <w:t xml:space="preserve"> Evaluate the extent to which the flat non-hierarchical structure was appropriate under Kirsten’s ownership and the extent to which the hierarchical bureaucratic structure is suitable under Chaffinch Group’s ownership.  (AC 1.1)</w:t>
      </w:r>
    </w:p>
    <w:p w:rsidR="00000000" w:rsidDel="00000000" w:rsidP="00000000" w:rsidRDefault="00000000" w:rsidRPr="00000000" w14:paraId="00000105">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6">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Q2.</w:t>
      </w:r>
      <w:r w:rsidDel="00000000" w:rsidR="00000000" w:rsidRPr="00000000">
        <w:rPr>
          <w:rFonts w:ascii="Trebuchet MS" w:cs="Trebuchet MS" w:eastAsia="Trebuchet MS" w:hAnsi="Trebuchet MS"/>
          <w:rtl w:val="0"/>
        </w:rPr>
        <w:t xml:space="preserve"> Analyse how Chaffinch Group could use a rational approach to strategy formulation to ensure that services provided meet customer needs. (AC 1.2)</w:t>
      </w:r>
    </w:p>
    <w:p w:rsidR="00000000" w:rsidDel="00000000" w:rsidP="00000000" w:rsidRDefault="00000000" w:rsidRPr="00000000" w14:paraId="00000107">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8">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Q3.</w:t>
      </w:r>
      <w:r w:rsidDel="00000000" w:rsidR="00000000" w:rsidRPr="00000000">
        <w:rPr>
          <w:rFonts w:ascii="Trebuchet MS" w:cs="Trebuchet MS" w:eastAsia="Trebuchet MS" w:hAnsi="Trebuchet MS"/>
          <w:rtl w:val="0"/>
        </w:rPr>
        <w:t xml:space="preserve"> Analyse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external factor that is currently having a positive impact on the residential care industry. (AC 1.3)</w:t>
      </w:r>
    </w:p>
    <w:p w:rsidR="00000000" w:rsidDel="00000000" w:rsidP="00000000" w:rsidRDefault="00000000" w:rsidRPr="00000000" w14:paraId="00000109">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A">
      <w:pPr>
        <w:ind w:left="426" w:hanging="426"/>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color w:val="004147"/>
          <w:rtl w:val="0"/>
        </w:rPr>
        <w:t xml:space="preserve">Q4.</w:t>
      </w:r>
      <w:r w:rsidDel="00000000" w:rsidR="00000000" w:rsidRPr="00000000">
        <w:rPr>
          <w:rFonts w:ascii="Trebuchet MS" w:cs="Trebuchet MS" w:eastAsia="Trebuchet MS" w:hAnsi="Trebuchet MS"/>
          <w:rtl w:val="0"/>
        </w:rPr>
        <w:t xml:space="preserve"> 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r w:rsidDel="00000000" w:rsidR="00000000" w:rsidRPr="00000000">
        <w:rPr>
          <w:rtl w:val="0"/>
        </w:rPr>
      </w:r>
    </w:p>
    <w:p w:rsidR="00000000" w:rsidDel="00000000" w:rsidP="00000000" w:rsidRDefault="00000000" w:rsidRPr="00000000" w14:paraId="0000010B">
      <w:pPr>
        <w:ind w:left="426" w:hanging="426"/>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0C">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Q5.</w:t>
      </w:r>
      <w:r w:rsidDel="00000000" w:rsidR="00000000" w:rsidRPr="00000000">
        <w:rPr>
          <w:rFonts w:ascii="Trebuchet MS" w:cs="Trebuchet MS" w:eastAsia="Trebuchet MS" w:hAnsi="Trebuchet MS"/>
          <w:rtl w:val="0"/>
        </w:rPr>
        <w:t xml:space="preserve"> Using theories and models which examine organisational and human behaviour, explain why problems have arisen following the takeover of Calmere House by Chaffinch Group. (AC 2.1)</w:t>
      </w:r>
    </w:p>
    <w:p w:rsidR="00000000" w:rsidDel="00000000" w:rsidP="00000000" w:rsidRDefault="00000000" w:rsidRPr="00000000" w14:paraId="0000010D">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E">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Q6.</w:t>
      </w:r>
      <w:r w:rsidDel="00000000" w:rsidR="00000000" w:rsidRPr="00000000">
        <w:rPr>
          <w:rFonts w:ascii="Trebuchet MS" w:cs="Trebuchet MS" w:eastAsia="Trebuchet MS" w:hAnsi="Trebuchet MS"/>
          <w:rtl w:val="0"/>
        </w:rPr>
        <w:t xml:space="preserve"> Assess how changes to selection and employee voice have impacted organisational culture and behaviours at Chaffinch Group. (AC 2.2)</w:t>
      </w:r>
    </w:p>
    <w:p w:rsidR="00000000" w:rsidDel="00000000" w:rsidP="00000000" w:rsidRDefault="00000000" w:rsidRPr="00000000" w14:paraId="0000010F">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0">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Q7.</w:t>
      </w:r>
      <w:r w:rsidDel="00000000" w:rsidR="00000000" w:rsidRPr="00000000">
        <w:rPr>
          <w:rFonts w:ascii="Trebuchet MS" w:cs="Trebuchet MS" w:eastAsia="Trebuchet MS" w:hAnsi="Trebuchet MS"/>
          <w:rtl w:val="0"/>
        </w:rPr>
        <w:t xml:space="preserve"> Explain how Chaffinch Group could have better managed the change from a small owner-managed care home to Calmere House being part of a large organisation. (AC 2.3)</w:t>
      </w:r>
    </w:p>
    <w:p w:rsidR="00000000" w:rsidDel="00000000" w:rsidP="00000000" w:rsidRDefault="00000000" w:rsidRPr="00000000" w14:paraId="00000111">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2">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Q8.</w:t>
      </w:r>
      <w:r w:rsidDel="00000000" w:rsidR="00000000" w:rsidRPr="00000000">
        <w:rPr>
          <w:rFonts w:ascii="Trebuchet MS" w:cs="Trebuchet MS" w:eastAsia="Trebuchet MS" w:hAnsi="Trebuchet MS"/>
          <w:rtl w:val="0"/>
        </w:rPr>
        <w:t xml:space="preserve"> 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model. (AC 2.4)</w:t>
      </w:r>
    </w:p>
    <w:p w:rsidR="00000000" w:rsidDel="00000000" w:rsidP="00000000" w:rsidRDefault="00000000" w:rsidRPr="00000000" w14:paraId="00000113">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4">
      <w:pPr>
        <w:ind w:left="426" w:hanging="426"/>
        <w:rPr>
          <w:rFonts w:ascii="Trebuchet MS" w:cs="Trebuchet MS" w:eastAsia="Trebuchet MS" w:hAnsi="Trebuchet MS"/>
          <w:i w:val="1"/>
          <w:iCs w:val="1"/>
        </w:rPr>
      </w:pPr>
      <w:r w:rsidDel="00000000" w:rsidR="00000000" w:rsidRPr="00000000">
        <w:rPr>
          <w:rFonts w:ascii="Trebuchet MS" w:cs="Trebuchet MS" w:eastAsia="Trebuchet MS" w:hAnsi="Trebuchet MS"/>
          <w:b w:val="1"/>
          <w:bCs w:val="1"/>
          <w:color w:val="004147"/>
          <w:rtl w:val="0"/>
        </w:rPr>
        <w:t xml:space="preserve">Q9.</w:t>
      </w:r>
      <w:r w:rsidDel="00000000" w:rsidR="00000000" w:rsidRPr="00000000">
        <w:rPr>
          <w:rFonts w:ascii="Trebuchet MS" w:cs="Trebuchet MS" w:eastAsia="Trebuchet MS" w:hAnsi="Trebuchet MS"/>
          <w:rtl w:val="0"/>
        </w:rPr>
        <w:t xml:space="preserve"> Assess </w:t>
      </w:r>
      <w:r w:rsidDel="00000000" w:rsidR="00000000" w:rsidRPr="00000000">
        <w:rPr>
          <w:rFonts w:ascii="Trebuchet MS" w:cs="Trebuchet MS" w:eastAsia="Trebuchet MS" w:hAnsi="Trebuchet MS"/>
          <w:b w:val="1"/>
          <w:bCs w:val="1"/>
          <w:rtl w:val="0"/>
        </w:rPr>
        <w:t xml:space="preserve">two</w:t>
      </w:r>
      <w:r w:rsidDel="00000000" w:rsidR="00000000" w:rsidRPr="00000000">
        <w:rPr>
          <w:rFonts w:ascii="Trebuchet MS" w:cs="Trebuchet MS" w:eastAsia="Trebuchet MS" w:hAnsi="Trebuchet MS"/>
          <w:rtl w:val="0"/>
        </w:rPr>
        <w:t xml:space="preserve"> factors that could impact employee wellbeing at Calmere House including why it is important that these factors are addressed. (AC 2.5)</w:t>
      </w:r>
      <w:r w:rsidDel="00000000" w:rsidR="00000000" w:rsidRPr="00000000">
        <w:rPr>
          <w:rFonts w:ascii="Trebuchet MS" w:cs="Trebuchet MS" w:eastAsia="Trebuchet MS" w:hAnsi="Trebuchet MS"/>
          <w:i w:val="1"/>
          <w:iCs w:val="1"/>
          <w:rtl w:val="0"/>
        </w:rPr>
        <w:t xml:space="preserve"> </w:t>
      </w:r>
    </w:p>
    <w:p w:rsidR="00000000" w:rsidDel="00000000" w:rsidP="00000000" w:rsidRDefault="00000000" w:rsidRPr="00000000" w14:paraId="00000115">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6">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Q10. </w:t>
      </w:r>
      <w:r w:rsidDel="00000000" w:rsidR="00000000" w:rsidRPr="00000000">
        <w:rPr>
          <w:rFonts w:ascii="Trebuchet MS" w:cs="Trebuchet MS" w:eastAsia="Trebuchet MS" w:hAnsi="Trebuchet MS"/>
          <w:rtl w:val="0"/>
        </w:rPr>
        <w:t xml:space="preserve">Discuss how the people manager, recruitment advisor and employment relations case  </w:t>
      </w:r>
    </w:p>
    <w:p w:rsidR="00000000" w:rsidDel="00000000" w:rsidP="00000000" w:rsidRDefault="00000000" w:rsidRPr="00000000" w14:paraId="00000117">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advisor could support the retention stage of the employee lifecycle. (AC 3.1)</w:t>
      </w:r>
    </w:p>
    <w:p w:rsidR="00000000" w:rsidDel="00000000" w:rsidP="00000000" w:rsidRDefault="00000000" w:rsidRPr="00000000" w14:paraId="00000118">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9">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Q11.</w:t>
      </w:r>
      <w:r w:rsidDel="00000000" w:rsidR="00000000" w:rsidRPr="00000000">
        <w:rPr>
          <w:rFonts w:ascii="Trebuchet MS" w:cs="Trebuchet MS" w:eastAsia="Trebuchet MS" w:hAnsi="Trebuchet MS"/>
          <w:rtl w:val="0"/>
        </w:rPr>
        <w:t xml:space="preserve"> Analyse how people practices could help Chaffinch Group to fill 100% of resident rooms </w:t>
      </w:r>
    </w:p>
    <w:p w:rsidR="00000000" w:rsidDel="00000000" w:rsidP="00000000" w:rsidRDefault="00000000" w:rsidRPr="00000000" w14:paraId="0000011A">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within six months. (AC 3.2)</w:t>
      </w:r>
    </w:p>
    <w:p w:rsidR="00000000" w:rsidDel="00000000" w:rsidP="00000000" w:rsidRDefault="00000000" w:rsidRPr="00000000" w14:paraId="0000011B">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C">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Q12. </w:t>
      </w:r>
      <w:r w:rsidDel="00000000" w:rsidR="00000000" w:rsidRPr="00000000">
        <w:rPr>
          <w:rFonts w:ascii="Trebuchet MS" w:cs="Trebuchet MS" w:eastAsia="Trebuchet MS" w:hAnsi="Trebuchet MS"/>
          <w:rtl w:val="0"/>
        </w:rPr>
        <w:t xml:space="preserve">Discuss how Kath could consult and engage with employees to understand why employee </w:t>
      </w:r>
    </w:p>
    <w:p w:rsidR="00000000" w:rsidDel="00000000" w:rsidP="00000000" w:rsidRDefault="00000000" w:rsidRPr="00000000" w14:paraId="0000011D">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turnover at Calmere House has increased. (AC 3.3)</w:t>
      </w:r>
    </w:p>
    <w:p w:rsidR="00000000" w:rsidDel="00000000" w:rsidP="00000000" w:rsidRDefault="00000000" w:rsidRPr="00000000" w14:paraId="0000011E">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F">
      <w:pPr>
        <w:rPr>
          <w:rFonts w:ascii="Trebuchet MS" w:cs="Trebuchet MS" w:eastAsia="Trebuchet MS" w:hAnsi="Trebuchet MS"/>
          <w:b w:val="1"/>
          <w:bCs w:val="1"/>
          <w:color w:val="004147"/>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-70801</wp:posOffset>
                </wp:positionH>
                <wp:positionV relativeFrom="paragraph">
                  <wp:posOffset>161608</wp:posOffset>
                </wp:positionV>
                <wp:extent cx="6016625" cy="949325"/>
                <wp:effectExtent b="0" l="0" r="0" t="0"/>
                <wp:wrapNone/>
                <wp:docPr id="608787167" name=""/>
                <a:graphic>
                  <a:graphicData uri="http://schemas.microsoft.com/office/word/2010/wordprocessingShape">
                    <wps:wsp>
                      <wps:cNvSpPr/>
                      <wps:cNvPr id="3" name="Shape 3"/>
                      <wps:spPr>
                        <a:xfrm>
                          <a:off x="2342450" y="3310100"/>
                          <a:ext cx="6007100" cy="93980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-70801</wp:posOffset>
                </wp:positionH>
                <wp:positionV relativeFrom="paragraph">
                  <wp:posOffset>161608</wp:posOffset>
                </wp:positionV>
                <wp:extent cx="6016625" cy="949325"/>
                <wp:effectExtent b="0" l="0" r="0" t="0"/>
                <wp:wrapNone/>
                <wp:docPr id="608787167"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016625" cy="949325"/>
                        </a:xfrm>
                        <a:prstGeom prst="rect"/>
                        <a:ln/>
                      </pic:spPr>
                    </pic:pic>
                  </a:graphicData>
                </a:graphic>
              </wp:anchor>
            </w:drawing>
          </mc:Fallback>
        </mc:AlternateContent>
      </w:r>
    </w:p>
    <w:p w:rsidR="00000000" w:rsidDel="00000000" w:rsidP="00000000" w:rsidRDefault="00000000" w:rsidRPr="00000000" w14:paraId="00000120">
      <w:pPr>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sz w:val="24"/>
          <w:szCs w:val="24"/>
          <w:rtl w:val="0"/>
        </w:rPr>
        <w:t xml:space="preserve">Your evidence must consist of: </w:t>
      </w:r>
      <w:r w:rsidDel="00000000" w:rsidR="00000000" w:rsidRPr="00000000">
        <w:rPr>
          <w:rtl w:val="0"/>
        </w:rPr>
      </w:r>
    </w:p>
    <w:p w:rsidR="00000000" w:rsidDel="00000000" w:rsidP="00000000" w:rsidRDefault="00000000" w:rsidRPr="00000000" w14:paraId="00000121">
      <w:pPr>
        <w:spacing w:line="240" w:lineRule="auto"/>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Written answers to the assessment questions, approximately 4550 words (+/- 10%), refer to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CIPD word count policy.</w:t>
      </w:r>
    </w:p>
    <w:p w:rsidR="00000000" w:rsidDel="00000000" w:rsidP="00000000" w:rsidRDefault="00000000" w:rsidRPr="00000000" w14:paraId="00000124">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5">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6">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7">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Answer Checklist</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may find the following checklist helpful to make sure that you have answered all the questions. You don’t have to use it if you don’t want to.</w:t>
      </w:r>
    </w:p>
    <w:tbl>
      <w:tblPr>
        <w:tblStyle w:val="Table3"/>
        <w:tblW w:w="963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711"/>
        <w:gridCol w:w="7694"/>
        <w:gridCol w:w="1227"/>
        <w:tblGridChange w:id="0">
          <w:tblGrid>
            <w:gridCol w:w="711"/>
            <w:gridCol w:w="7694"/>
            <w:gridCol w:w="1227"/>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Questions</w:t>
            </w:r>
          </w:p>
        </w:tc>
        <w:tc>
          <w:tcPr>
            <w:shd w:fill="d0e0e2" w:val="clea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w:t>
            </w:r>
          </w:p>
        </w:tc>
        <w:tc>
          <w:tcPr>
            <w:tcBorders>
              <w:right w:color="d0e0e2" w:space="0" w:sz="4" w:val="single"/>
            </w:tcBorders>
            <w:shd w:fill="f0f5f6"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Evaluate the extent to which the flat non-hierarchical structure was appropriate under Kirsten’s ownership and the extent to which the hierarchical bureaucratic structure is suitable under Chaffinch Group’s ownership.  (AC 1.1)</w:t>
            </w:r>
          </w:p>
        </w:tc>
        <w:tc>
          <w:tcPr>
            <w:tcBorders>
              <w:left w:color="d0e0e2" w:space="0" w:sz="4" w:val="single"/>
              <w:right w:color="000000" w:space="0" w:sz="0" w:val="nil"/>
            </w:tcBorders>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Q2.</w:t>
            </w:r>
          </w:p>
        </w:tc>
        <w:tc>
          <w:tcPr>
            <w:tcBorders>
              <w:right w:color="d0e0e2" w:space="0" w:sz="4" w:val="single"/>
            </w:tcBorders>
            <w:shd w:fill="f0f5f6"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how Chaffinch Group could use a rational approach to strategy formulation to ensure that services provided meet customer needs.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1.2)</w:t>
            </w:r>
          </w:p>
        </w:tc>
        <w:tc>
          <w:tcPr>
            <w:tcBorders>
              <w:left w:color="d0e0e2" w:space="0" w:sz="4" w:val="single"/>
              <w:right w:color="000000" w:space="0" w:sz="0" w:val="nil"/>
            </w:tcBorders>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Q3.</w:t>
            </w:r>
          </w:p>
        </w:tc>
        <w:tc>
          <w:tcPr>
            <w:tcBorders>
              <w:right w:color="d0e0e2" w:space="0" w:sz="4" w:val="single"/>
            </w:tcBorders>
            <w:shd w:fill="f0f5f6"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external factor that is currently having a positive impact on the residential care industry. (AC 1.3)</w:t>
            </w:r>
          </w:p>
        </w:tc>
        <w:tc>
          <w:tcPr>
            <w:tcBorders>
              <w:left w:color="d0e0e2" w:space="0" w:sz="4" w:val="single"/>
              <w:right w:color="000000" w:space="0" w:sz="0" w:val="nil"/>
            </w:tcBorders>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Q4</w:t>
            </w:r>
          </w:p>
        </w:tc>
        <w:tc>
          <w:tcPr>
            <w:tcBorders>
              <w:right w:color="d0e0e2" w:space="0" w:sz="4" w:val="single"/>
            </w:tcBorders>
            <w:shd w:fill="f0f5f6" w:val="clea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tc>
        <w:tc>
          <w:tcPr>
            <w:tcBorders>
              <w:left w:color="d0e0e2" w:space="0" w:sz="4" w:val="single"/>
              <w:right w:color="000000" w:space="0" w:sz="0" w:val="nil"/>
            </w:tcBorders>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Q5.</w:t>
            </w:r>
          </w:p>
        </w:tc>
        <w:tc>
          <w:tcPr>
            <w:tcBorders>
              <w:right w:color="d0e0e2" w:space="0" w:sz="4" w:val="single"/>
            </w:tcBorders>
            <w:shd w:fill="f0f5f6"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Using theories and models which examine organisational and human behaviour, explain why problems have arisen following the takeover of Calmere House by Chaffinch Group. (AC 2.1)</w:t>
            </w:r>
          </w:p>
        </w:tc>
        <w:tc>
          <w:tcPr>
            <w:tcBorders>
              <w:left w:color="d0e0e2" w:space="0" w:sz="4" w:val="single"/>
              <w:right w:color="000000" w:space="0" w:sz="0" w:val="nil"/>
            </w:tcBorders>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Q6.</w:t>
            </w:r>
          </w:p>
        </w:tc>
        <w:tc>
          <w:tcPr>
            <w:tcBorders>
              <w:right w:color="d0e0e2" w:space="0" w:sz="4" w:val="single"/>
            </w:tcBorders>
            <w:shd w:fill="f0f5f6" w:val="clea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Assess how changes to selection and employee voice have impacted organisational culture and behaviours at Chaffinch Group. (AC 2.2)</w:t>
            </w:r>
          </w:p>
        </w:tc>
        <w:tc>
          <w:tcPr>
            <w:tcBorders>
              <w:left w:color="d0e0e2" w:space="0" w:sz="4" w:val="single"/>
              <w:right w:color="000000" w:space="0" w:sz="0" w:val="nil"/>
            </w:tcBorders>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Q7.</w:t>
            </w:r>
          </w:p>
        </w:tc>
        <w:tc>
          <w:tcPr>
            <w:tcBorders>
              <w:right w:color="d0e0e2" w:space="0" w:sz="4" w:val="single"/>
            </w:tcBorders>
            <w:shd w:fill="f0f5f6" w:val="clea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how Chaffinch Group could have better managed the change from a small owner-managed care home to Calmere House being part of a large organisation. (AC 2.3)</w:t>
            </w:r>
          </w:p>
        </w:tc>
        <w:tc>
          <w:tcPr>
            <w:tcBorders>
              <w:left w:color="d0e0e2" w:space="0" w:sz="4" w:val="single"/>
              <w:right w:color="000000" w:space="0" w:sz="0" w:val="nil"/>
            </w:tcBorders>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Q8.</w:t>
            </w:r>
          </w:p>
        </w:tc>
        <w:tc>
          <w:tcPr>
            <w:tcBorders>
              <w:right w:color="d0e0e2" w:space="0" w:sz="4" w:val="single"/>
            </w:tcBorders>
            <w:shd w:fill="f0f5f6"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model. (AC 2.4)</w:t>
            </w:r>
          </w:p>
        </w:tc>
        <w:tc>
          <w:tcPr>
            <w:tcBorders>
              <w:left w:color="d0e0e2" w:space="0" w:sz="4" w:val="single"/>
              <w:right w:color="000000" w:space="0" w:sz="0" w:val="nil"/>
            </w:tcBorders>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Q9.</w:t>
            </w:r>
          </w:p>
        </w:tc>
        <w:tc>
          <w:tcPr>
            <w:tcBorders>
              <w:right w:color="d0e0e2" w:space="0" w:sz="4" w:val="single"/>
            </w:tcBorders>
            <w:shd w:fill="f0f5f6" w:val="clea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Assess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factors that could impact employee wellbeing at Calmere House including why it is important that these factors are addressed.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2.5)</w:t>
            </w:r>
          </w:p>
        </w:tc>
        <w:tc>
          <w:tcPr>
            <w:tcBorders>
              <w:left w:color="d0e0e2" w:space="0" w:sz="4" w:val="single"/>
              <w:right w:color="000000" w:space="0" w:sz="0" w:val="nil"/>
            </w:tcBorders>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Q10.</w:t>
            </w:r>
          </w:p>
        </w:tc>
        <w:tc>
          <w:tcPr>
            <w:tcBorders>
              <w:right w:color="d0e0e2" w:space="0" w:sz="4" w:val="single"/>
            </w:tcBorders>
            <w:shd w:fill="f0f5f6"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how the people manager, recruitment advisor and employment relations case advisor could support the retention stage of the employee lifecycle. (AC 3.1)</w:t>
            </w:r>
          </w:p>
        </w:tc>
        <w:tc>
          <w:tcPr>
            <w:tcBorders>
              <w:left w:color="d0e0e2" w:space="0" w:sz="4" w:val="single"/>
              <w:right w:color="000000" w:space="0" w:sz="0" w:val="nil"/>
            </w:tcBorders>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Q11.</w:t>
            </w:r>
          </w:p>
        </w:tc>
        <w:tc>
          <w:tcPr>
            <w:tcBorders>
              <w:right w:color="d0e0e2" w:space="0" w:sz="4" w:val="single"/>
            </w:tcBorders>
            <w:shd w:fill="f0f5f6"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how people practices could help Chaffinch Group to fill 100% of resident rooms within six months. (AC 3.2)</w:t>
            </w:r>
          </w:p>
        </w:tc>
        <w:tc>
          <w:tcPr>
            <w:tcBorders>
              <w:left w:color="d0e0e2" w:space="0" w:sz="4" w:val="single"/>
              <w:right w:color="000000" w:space="0" w:sz="0" w:val="nil"/>
            </w:tcBorders>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Q12.</w:t>
            </w:r>
          </w:p>
        </w:tc>
        <w:tc>
          <w:tcPr>
            <w:tcBorders>
              <w:right w:color="d0e0e2" w:space="0" w:sz="4" w:val="single"/>
            </w:tcBorders>
            <w:shd w:fill="f0f5f6"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how Kath could consult and engage with employees to understand why employee turnover at Calmere House has increased. (AC 3.3)</w:t>
            </w:r>
          </w:p>
        </w:tc>
        <w:tc>
          <w:tcPr>
            <w:tcBorders>
              <w:left w:color="d0e0e2" w:space="0" w:sz="4" w:val="single"/>
              <w:right w:color="000000" w:space="0" w:sz="0" w:val="nil"/>
            </w:tcBorders>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52">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of Authentication </w:t>
      </w:r>
    </w:p>
    <w:p w:rsidR="00000000" w:rsidDel="00000000" w:rsidP="00000000" w:rsidRDefault="00000000" w:rsidRPr="00000000" w14:paraId="00000153">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tbl>
      <w:tblPr>
        <w:tblStyle w:val="Table4"/>
        <w:tblpPr w:leftFromText="180" w:rightFromText="180" w:topFromText="0" w:bottomFromText="0" w:vertAnchor="text" w:horzAnchor="text" w:tblpX="0" w:tblpY="0"/>
        <w:tblW w:w="9375.0" w:type="dxa"/>
        <w:jc w:val="left"/>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Borders>
              <w:top w:color="000000" w:space="0" w:sz="8" w:val="single"/>
              <w:left w:color="000000" w:space="0" w:sz="8" w:val="single"/>
              <w:bottom w:color="000000" w:space="0" w:sz="0" w:val="nil"/>
              <w:right w:color="000000" w:space="0" w:sz="8" w:val="single"/>
            </w:tcBorders>
          </w:tcPr>
          <w:p w:rsidR="00000000" w:rsidDel="00000000" w:rsidP="00000000" w:rsidRDefault="00000000" w:rsidRPr="00000000" w14:paraId="00000154">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I can confirm that:</w:t>
            </w:r>
          </w:p>
          <w:p w:rsidR="00000000" w:rsidDel="00000000" w:rsidP="00000000" w:rsidRDefault="00000000" w:rsidRPr="00000000" w14:paraId="00000155">
            <w:pPr>
              <w:rPr>
                <w:color w:val="004147"/>
              </w:rPr>
            </w:pPr>
            <w:r w:rsidDel="00000000" w:rsidR="00000000" w:rsidRPr="00000000">
              <w:rPr>
                <w:rtl w:val="0"/>
              </w:rPr>
            </w:r>
          </w:p>
          <w:p w:rsidR="00000000" w:rsidDel="00000000" w:rsidP="00000000" w:rsidRDefault="00000000" w:rsidRPr="00000000" w14:paraId="00000156">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this assessment is all my own work.  </w:t>
            </w:r>
          </w:p>
          <w:p w:rsidR="00000000" w:rsidDel="00000000" w:rsidP="00000000" w:rsidRDefault="00000000" w:rsidRPr="00000000" w14:paraId="00000157">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where I have used materials from other sources, they have been properly acknowledged and referenced.</w:t>
            </w:r>
          </w:p>
          <w:p w:rsidR="00000000" w:rsidDel="00000000" w:rsidP="00000000" w:rsidRDefault="00000000" w:rsidRPr="00000000" w14:paraId="00000158">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I have not used Artificial Intelligence tools to generate content for my assessment. </w:t>
            </w:r>
          </w:p>
          <w:p w:rsidR="00000000" w:rsidDel="00000000" w:rsidP="00000000" w:rsidRDefault="00000000" w:rsidRPr="00000000" w14:paraId="00000159">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I understand the consequences of </w:t>
            </w:r>
            <w:hyperlink r:id="rId18">
              <w:r w:rsidDel="00000000" w:rsidR="00000000" w:rsidRPr="00000000">
                <w:rPr>
                  <w:rFonts w:ascii="Trebuchet MS" w:cs="Trebuchet MS" w:eastAsia="Trebuchet MS" w:hAnsi="Trebuchet MS"/>
                  <w:b w:val="1"/>
                  <w:bCs w:val="1"/>
                  <w:i w:val="0"/>
                  <w:iCs w:val="0"/>
                  <w:color w:val="004147"/>
                  <w:sz w:val="22"/>
                  <w:szCs w:val="22"/>
                  <w:u w:val="single"/>
                  <w:rtl w:val="0"/>
                </w:rPr>
                <w:t xml:space="preserve">malpractice</w:t>
              </w:r>
            </w:hyperlink>
            <w:r w:rsidDel="00000000" w:rsidR="00000000" w:rsidRPr="00000000">
              <w:rPr>
                <w:rFonts w:ascii="Trebuchet MS" w:cs="Trebuchet MS" w:eastAsia="Trebuchet MS" w:hAnsi="Trebuchet MS"/>
                <w:i w:val="0"/>
                <w:iCs w:val="0"/>
                <w:color w:val="004147"/>
                <w:sz w:val="22"/>
                <w:szCs w:val="22"/>
                <w:rtl w:val="0"/>
              </w:rPr>
              <w:t xml:space="preserve"> and accept that any violation of this agreement may result in disciplinary action.</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5B">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Learner name:</w:t>
            </w:r>
            <w:r w:rsidDel="00000000" w:rsidR="00000000" w:rsidRPr="00000000">
              <w:rPr>
                <w:rFonts w:ascii="Trebuchet MS" w:cs="Trebuchet MS" w:eastAsia="Trebuchet MS" w:hAnsi="Trebuchet MS"/>
                <w:i w:val="0"/>
                <w:iCs w:val="0"/>
                <w:color w:val="004147"/>
                <w:sz w:val="22"/>
                <w:szCs w:val="22"/>
                <w:rtl w:val="0"/>
              </w:rPr>
              <w:t xml:space="preserve">  </w:t>
            </w:r>
            <w:r w:rsidDel="00000000" w:rsidR="00000000" w:rsidRPr="00000000">
              <w:rPr>
                <w:rFonts w:ascii="Trebuchet MS" w:cs="Trebuchet MS" w:eastAsia="Trebuchet MS" w:hAnsi="Trebuchet MS"/>
                <w:i w:val="0"/>
                <w:iCs w:val="0"/>
                <w:sz w:val="22"/>
                <w:szCs w:val="22"/>
                <w:rtl w:val="0"/>
              </w:rPr>
              <w:t xml:space="preserve">Bethany Probert</w:t>
            </w: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5C">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5D">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Learner signature:</w:t>
            </w:r>
            <w:r w:rsidDel="00000000" w:rsidR="00000000" w:rsidRPr="00000000">
              <w:rPr>
                <w:rFonts w:ascii="Trebuchet MS" w:cs="Trebuchet MS" w:eastAsia="Trebuchet MS" w:hAnsi="Trebuchet MS"/>
                <w:b w:val="1"/>
                <w:bCs w:val="1"/>
                <w:i w:val="0"/>
                <w:iCs w:val="0"/>
                <w:color w:val="004147"/>
                <w:sz w:val="22"/>
                <w:szCs w:val="22"/>
              </w:rPr>
              <w:drawing>
                <wp:inline distB="114300" distT="114300" distL="114300" distR="114300">
                  <wp:extent cx="4810125" cy="1280714"/>
                  <wp:effectExtent b="0" l="0" r="0" t="0"/>
                  <wp:docPr id="608787173" name="image12.jpg"/>
                  <a:graphic>
                    <a:graphicData uri="http://schemas.openxmlformats.org/drawingml/2006/picture">
                      <pic:pic>
                        <pic:nvPicPr>
                          <pic:cNvPr id="0" name="image12.jpg"/>
                          <pic:cNvPicPr preferRelativeResize="0"/>
                        </pic:nvPicPr>
                        <pic:blipFill>
                          <a:blip r:embed="rId19"/>
                          <a:srcRect b="37201" l="0" r="0" t="42843"/>
                          <a:stretch>
                            <a:fillRect/>
                          </a:stretch>
                        </pic:blipFill>
                        <pic:spPr>
                          <a:xfrm>
                            <a:off x="0" y="0"/>
                            <a:ext cx="4810125" cy="1280714"/>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 </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5F">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r>
        <w:trPr>
          <w:cantSplit w:val="0"/>
          <w:trHeight w:val="68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60">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submission* 01/12/2025</w:t>
            </w:r>
            <w:r w:rsidDel="00000000" w:rsidR="00000000" w:rsidRPr="00000000">
              <w:rPr>
                <w:rtl w:val="0"/>
              </w:rPr>
            </w:r>
          </w:p>
          <w:p w:rsidR="00000000" w:rsidDel="00000000" w:rsidP="00000000" w:rsidRDefault="00000000" w:rsidRPr="00000000" w14:paraId="00000161">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first re-submission (if applicable) *</w:t>
            </w:r>
          </w:p>
          <w:p w:rsidR="00000000" w:rsidDel="00000000" w:rsidP="00000000" w:rsidRDefault="00000000" w:rsidRPr="00000000" w14:paraId="00000162">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second re-submission (if applicable) * </w:t>
            </w:r>
          </w:p>
          <w:p w:rsidR="00000000" w:rsidDel="00000000" w:rsidP="00000000" w:rsidRDefault="00000000" w:rsidRPr="00000000" w14:paraId="00000163">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*This should be the date on which you submit your assessment for marking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64">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bl>
    <w:p w:rsidR="00000000" w:rsidDel="00000000" w:rsidP="00000000" w:rsidRDefault="00000000" w:rsidRPr="00000000" w14:paraId="0000016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6">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sectPr>
          <w:headerReference r:id="rId20" w:type="default"/>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margin">
                  <wp:posOffset>-58101</wp:posOffset>
                </wp:positionH>
                <wp:positionV relativeFrom="margin">
                  <wp:posOffset>-2856</wp:posOffset>
                </wp:positionV>
                <wp:extent cx="6289675" cy="1247775"/>
                <wp:effectExtent b="0" l="0" r="0" t="0"/>
                <wp:wrapNone/>
                <wp:docPr id="608787170" name=""/>
                <a:graphic>
                  <a:graphicData uri="http://schemas.microsoft.com/office/word/2010/wordprocessingShape">
                    <wps:wsp>
                      <wps:cNvSpPr/>
                      <wps:cNvPr id="12" name="Shape 12"/>
                      <wps:spPr>
                        <a:xfrm>
                          <a:off x="2205925" y="3160875"/>
                          <a:ext cx="6280150" cy="12382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-58101</wp:posOffset>
                </wp:positionH>
                <wp:positionV relativeFrom="margin">
                  <wp:posOffset>-2856</wp:posOffset>
                </wp:positionV>
                <wp:extent cx="6289675" cy="1247775"/>
                <wp:effectExtent b="0" l="0" r="0" t="0"/>
                <wp:wrapNone/>
                <wp:docPr id="608787170"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6289675" cy="12477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5CO01</w:t>
      </w:r>
      <w:r w:rsidDel="00000000" w:rsidR="00000000" w:rsidRPr="00000000">
        <w:drawing>
          <wp:anchor allowOverlap="1" behindDoc="0" distB="0" distT="0" distL="114300" distR="114300" hidden="0" layoutInCell="1" locked="0" relativeHeight="0" simplePos="0">
            <wp:simplePos x="0" y="0"/>
            <wp:positionH relativeFrom="column">
              <wp:posOffset>4856480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608787178" name="image3.png"/>
            <a:graphic>
              <a:graphicData uri="http://schemas.openxmlformats.org/drawingml/2006/picture">
                <pic:pic>
                  <pic:nvPicPr>
                    <pic:cNvPr descr="C:\Users\dominiqueb\AppData\Local\Microsoft\Windows\INetCache\Content.MSO\B4F4A35.tmp" id="0" name="image3.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2686" w:firstLine="0"/>
        <w:jc w:val="left"/>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Organisational performance and culture in practice</w:t>
      </w:r>
    </w:p>
    <w:p w:rsidR="00000000" w:rsidDel="00000000" w:rsidP="00000000" w:rsidRDefault="00000000" w:rsidRPr="00000000" w14:paraId="00000172">
      <w:pPr>
        <w:rPr>
          <w:rFonts w:ascii="Trebuchet MS" w:cs="Trebuchet MS" w:eastAsia="Trebuchet MS" w:hAnsi="Trebuchet MS"/>
          <w:i w:val="1"/>
          <w:iCs w:val="1"/>
          <w:color w:val="004146"/>
          <w:sz w:val="40"/>
          <w:szCs w:val="40"/>
        </w:rPr>
      </w:pPr>
      <w:r w:rsidDel="00000000" w:rsidR="00000000" w:rsidRPr="00000000">
        <w:rPr>
          <w:rFonts w:ascii="Trebuchet MS" w:cs="Trebuchet MS" w:eastAsia="Trebuchet MS" w:hAnsi="Trebuchet MS"/>
          <w:i w:val="1"/>
          <w:iCs w:val="1"/>
          <w:color w:val="004146"/>
          <w:sz w:val="40"/>
          <w:szCs w:val="40"/>
          <w:rtl w:val="0"/>
        </w:rPr>
        <w:t xml:space="preserve">Marking Guidance for Assessors</w:t>
      </w:r>
    </w:p>
    <w:p w:rsidR="00000000" w:rsidDel="00000000" w:rsidP="00000000" w:rsidRDefault="00000000" w:rsidRPr="00000000" w14:paraId="00000173">
      <w:pPr>
        <w:rPr>
          <w:rFonts w:ascii="Trebuchet MS" w:cs="Trebuchet MS" w:eastAsia="Trebuchet MS" w:hAnsi="Trebuchet MS"/>
          <w:b w:val="1"/>
          <w:bCs w:val="1"/>
          <w:color w:val="004147"/>
          <w:sz w:val="28"/>
          <w:szCs w:val="28"/>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should mark in line with the marking descriptors set out on page 12 of this brief.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must provide a mark from one to four for each question set. You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provide constructive, developmental feedback against each question where you award a mark of one, so refer/fail and rich summary feedback at the end of the feedback form, following the instructions provided there.</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pass the unit assessment learners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achieve a mark of two (Low Pass) or above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for each of</w:t>
      </w:r>
      <w:r w:rsidDel="00000000" w:rsidR="00000000" w:rsidRPr="00000000">
        <w:rPr>
          <w:rFonts w:ascii="Trebuchet MS" w:cs="Trebuchet MS" w:eastAsia="Trebuchet MS" w:hAnsi="Trebuchet MS"/>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the questions.</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You must refer/fail them if you award a mark of one for any of the questions.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ensure that you use the correct terminology. Learners have three attempts at the assessment. They only ‘fail’ the assessment if they do not achieve a mark of two for any of the questions at their third attempt. Until then they are ‘referred’.</w:t>
      </w:r>
      <w:r w:rsidDel="00000000" w:rsidR="00000000" w:rsidRPr="00000000">
        <w:rPr>
          <w:rtl w:val="0"/>
        </w:rPr>
      </w:r>
    </w:p>
    <w:p w:rsidR="00000000" w:rsidDel="00000000" w:rsidP="00000000" w:rsidRDefault="00000000" w:rsidRPr="00000000" w14:paraId="0000017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you have marked each question, you should total the marks awarded and determine the unit outcome. The table below shows the marking bands for each outcome for this unit.</w:t>
      </w:r>
    </w:p>
    <w:tbl>
      <w:tblPr>
        <w:tblStyle w:val="Table5"/>
        <w:tblpPr w:leftFromText="180" w:rightFromText="180" w:topFromText="0" w:bottomFromText="0" w:vertAnchor="text" w:horzAnchor="text" w:tblpX="2491" w:tblpY="119"/>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0 to 23</w:t>
            </w:r>
          </w:p>
        </w:tc>
        <w:tc>
          <w:tcPr>
            <w:shd w:fill="b3d7db" w:val="clear"/>
            <w:vAlign w:val="cente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Refer/Fail</w:t>
            </w:r>
          </w:p>
        </w:tc>
      </w:tr>
      <w:tr>
        <w:trPr>
          <w:cantSplit w:val="0"/>
          <w:trHeight w:val="454" w:hRule="atLeast"/>
          <w:tblHeader w:val="0"/>
        </w:trPr>
        <w:tc>
          <w:tcPr>
            <w:shd w:fill="cee6e8" w:val="clear"/>
            <w:vAlign w:val="cente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24 to 30 </w:t>
            </w:r>
          </w:p>
        </w:tc>
        <w:tc>
          <w:tcPr>
            <w:shd w:fill="cee6e8" w:val="clear"/>
            <w:vAlign w:val="cente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31 to 39</w:t>
            </w:r>
          </w:p>
        </w:tc>
        <w:tc>
          <w:tcPr>
            <w:shd w:fill="e3eff1" w:val="clea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40 to 48</w:t>
            </w:r>
          </w:p>
        </w:tc>
        <w:tc>
          <w:tcPr>
            <w:shd w:fill="eff6f7" w:val="cle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High Pass</w:t>
            </w:r>
          </w:p>
        </w:tc>
      </w:tr>
    </w:tbl>
    <w:p w:rsidR="00000000" w:rsidDel="00000000" w:rsidP="00000000" w:rsidRDefault="00000000" w:rsidRPr="00000000" w14:paraId="0000018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note that the unit outcome is provided: </w:t>
      </w:r>
    </w:p>
    <w:p w:rsidR="00000000" w:rsidDel="00000000" w:rsidP="00000000" w:rsidRDefault="00000000" w:rsidRPr="00000000" w14:paraId="000001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learners understand where they are performing well and where they may need to develop</w:t>
      </w:r>
    </w:p>
    <w:p w:rsidR="00000000" w:rsidDel="00000000" w:rsidP="00000000" w:rsidRDefault="00000000" w:rsidRPr="00000000" w14:paraId="000001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inform your teaching practice</w:t>
      </w:r>
    </w:p>
    <w:p w:rsidR="00000000" w:rsidDel="00000000" w:rsidP="00000000" w:rsidRDefault="00000000" w:rsidRPr="00000000" w14:paraId="0000018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for moderation purposes</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both"/>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8F">
      <w:pPr>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rtl w:val="0"/>
        </w:rPr>
        <w:t xml:space="preserve">The qualification is not graded and unit outcomes do not appear on learners’ certificates.</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rPr>
          <w:rFonts w:ascii="Trebuchet MS" w:cs="Trebuchet MS" w:eastAsia="Trebuchet MS" w:hAnsi="Trebuchet MS"/>
          <w:b w:val="1"/>
          <w:bCs w:val="1"/>
          <w:color w:val="29062e"/>
          <w:sz w:val="36"/>
          <w:szCs w:val="36"/>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pStyle w:val="Heading1"/>
        <w:spacing w:after="0" w:before="0" w:lineRule="auto"/>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Descriptors</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tbl>
      <w:tblPr>
        <w:tblStyle w:val="Table6"/>
        <w:tblpPr w:leftFromText="180" w:rightFromText="180" w:topFromText="0" w:bottomFromText="0" w:vertAnchor="page" w:horzAnchor="margin" w:tblpX="0" w:tblpY="1701"/>
        <w:tblW w:w="102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851"/>
        <w:gridCol w:w="8646"/>
        <w:tblGridChange w:id="0">
          <w:tblGrid>
            <w:gridCol w:w="704"/>
            <w:gridCol w:w="851"/>
            <w:gridCol w:w="8646"/>
          </w:tblGrid>
        </w:tblGridChange>
      </w:tblGrid>
      <w:tr>
        <w:trPr>
          <w:cantSplit w:val="1"/>
          <w:trHeight w:val="220" w:hRule="atLeast"/>
          <w:tblHeader w:val="1"/>
        </w:trPr>
        <w:tc>
          <w:tcPr>
            <w:shd w:fill="b3d7db" w:val="clear"/>
          </w:tcPr>
          <w:p w:rsidR="00000000" w:rsidDel="00000000" w:rsidP="00000000" w:rsidRDefault="00000000" w:rsidRPr="00000000" w14:paraId="00000199">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Mark</w:t>
            </w:r>
          </w:p>
        </w:tc>
        <w:tc>
          <w:tcPr>
            <w:shd w:fill="b3d7db" w:val="clear"/>
          </w:tcPr>
          <w:p w:rsidR="00000000" w:rsidDel="00000000" w:rsidP="00000000" w:rsidRDefault="00000000" w:rsidRPr="00000000" w14:paraId="0000019A">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Range</w:t>
            </w:r>
          </w:p>
        </w:tc>
        <w:tc>
          <w:tcPr>
            <w:shd w:fill="b3d7db" w:val="clear"/>
          </w:tcPr>
          <w:p w:rsidR="00000000" w:rsidDel="00000000" w:rsidP="00000000" w:rsidRDefault="00000000" w:rsidRPr="00000000" w14:paraId="0000019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Descriptor</w:t>
            </w:r>
          </w:p>
        </w:tc>
      </w:tr>
      <w:tr>
        <w:trPr>
          <w:cantSplit w:val="1"/>
          <w:trHeight w:val="2368" w:hRule="atLeast"/>
          <w:tblHeader w:val="1"/>
        </w:trPr>
        <w:tc>
          <w:tcPr>
            <w:shd w:fill="b3d7db" w:val="clear"/>
          </w:tcPr>
          <w:p w:rsidR="00000000" w:rsidDel="00000000" w:rsidP="00000000" w:rsidRDefault="00000000" w:rsidRPr="00000000" w14:paraId="0000019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1</w:t>
            </w:r>
          </w:p>
        </w:tc>
        <w:tc>
          <w:tcPr>
            <w:shd w:fill="b3d7db" w:val="clear"/>
          </w:tcPr>
          <w:p w:rsidR="00000000" w:rsidDel="00000000" w:rsidP="00000000" w:rsidRDefault="00000000" w:rsidRPr="00000000" w14:paraId="0000019D">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Refer/Fail </w:t>
            </w:r>
          </w:p>
        </w:tc>
        <w:tc>
          <w:tcPr/>
          <w:p w:rsidR="00000000" w:rsidDel="00000000" w:rsidP="00000000" w:rsidRDefault="00000000" w:rsidRPr="00000000" w14:paraId="0000019E">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NOT </w:t>
            </w:r>
          </w:p>
          <w:p w:rsidR="00000000" w:rsidDel="00000000" w:rsidP="00000000" w:rsidRDefault="00000000" w:rsidRPr="00000000" w14:paraId="000001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knowledge, understanding or skill required to meet the AC</w:t>
            </w:r>
          </w:p>
          <w:p w:rsidR="00000000" w:rsidDel="00000000" w:rsidP="00000000" w:rsidRDefault="00000000" w:rsidRPr="00000000" w14:paraId="000001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any, or appropriate examples, where these are required to support the answer</w:t>
            </w:r>
          </w:p>
          <w:p w:rsidR="00000000" w:rsidDel="00000000" w:rsidP="00000000" w:rsidRDefault="00000000" w:rsidRPr="00000000" w14:paraId="000001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the use of reading and research to inform the answer</w:t>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at least one appropriate reference for each assessment criteria (where this is required) *</w:t>
            </w:r>
          </w:p>
          <w:p w:rsidR="00000000" w:rsidDel="00000000" w:rsidP="00000000" w:rsidRDefault="00000000" w:rsidRPr="00000000" w14:paraId="000001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clearly to the question/task and is not well expressed</w:t>
            </w:r>
          </w:p>
          <w:p w:rsidR="00000000" w:rsidDel="00000000" w:rsidP="00000000" w:rsidRDefault="00000000" w:rsidRPr="00000000" w14:paraId="000001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2149" w:hRule="atLeast"/>
          <w:tblHeader w:val="1"/>
        </w:trPr>
        <w:tc>
          <w:tcPr>
            <w:shd w:fill="cee6e8" w:val="clear"/>
          </w:tcPr>
          <w:p w:rsidR="00000000" w:rsidDel="00000000" w:rsidP="00000000" w:rsidRDefault="00000000" w:rsidRPr="00000000" w14:paraId="000001A6">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2</w:t>
            </w:r>
          </w:p>
        </w:tc>
        <w:tc>
          <w:tcPr>
            <w:shd w:fill="cee6e8" w:val="clear"/>
          </w:tcPr>
          <w:p w:rsidR="00000000" w:rsidDel="00000000" w:rsidP="00000000" w:rsidRDefault="00000000" w:rsidRPr="00000000" w14:paraId="000001A7">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Low Pass</w:t>
            </w:r>
          </w:p>
        </w:tc>
        <w:tc>
          <w:tcPr/>
          <w:p w:rsidR="00000000" w:rsidDel="00000000" w:rsidP="00000000" w:rsidRDefault="00000000" w:rsidRPr="00000000" w14:paraId="000001A8">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w:t>
            </w:r>
          </w:p>
          <w:p w:rsidR="00000000" w:rsidDel="00000000" w:rsidP="00000000" w:rsidRDefault="00000000" w:rsidRPr="00000000" w14:paraId="000001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minimum level of knowledge, understanding or skill required to meet the AC.  </w:t>
            </w:r>
          </w:p>
          <w:p w:rsidR="00000000" w:rsidDel="00000000" w:rsidP="00000000" w:rsidRDefault="00000000" w:rsidRPr="00000000" w14:paraId="000001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 appropriate example where this is required to support the answer.</w:t>
            </w:r>
          </w:p>
          <w:p w:rsidR="00000000" w:rsidDel="00000000" w:rsidP="00000000" w:rsidRDefault="00000000" w:rsidRPr="00000000" w14:paraId="000001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some reading and research to inform the answer. </w:t>
            </w:r>
          </w:p>
          <w:p w:rsidR="00000000" w:rsidDel="00000000" w:rsidP="00000000" w:rsidRDefault="00000000" w:rsidRPr="00000000" w14:paraId="000001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 reference for each assessment criteria (where this is required) *</w:t>
            </w:r>
          </w:p>
          <w:p w:rsidR="00000000" w:rsidDel="00000000" w:rsidP="00000000" w:rsidRDefault="00000000" w:rsidRPr="00000000" w14:paraId="000001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to the question or task although it could be clearer and/or better expressed</w:t>
            </w:r>
          </w:p>
          <w:p w:rsidR="00000000" w:rsidDel="00000000" w:rsidP="00000000" w:rsidRDefault="00000000" w:rsidRPr="00000000" w14:paraId="000001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494" w:hRule="atLeast"/>
          <w:tblHeader w:val="1"/>
        </w:trPr>
        <w:tc>
          <w:tcPr>
            <w:shd w:fill="e3eff1" w:val="clear"/>
          </w:tcPr>
          <w:p w:rsidR="00000000" w:rsidDel="00000000" w:rsidP="00000000" w:rsidRDefault="00000000" w:rsidRPr="00000000" w14:paraId="000001B0">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3</w:t>
            </w:r>
          </w:p>
        </w:tc>
        <w:tc>
          <w:tcPr>
            <w:shd w:fill="e3eff1" w:val="clear"/>
          </w:tcPr>
          <w:p w:rsidR="00000000" w:rsidDel="00000000" w:rsidP="00000000" w:rsidRDefault="00000000" w:rsidRPr="00000000" w14:paraId="000001B1">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Pass</w:t>
            </w:r>
          </w:p>
          <w:p w:rsidR="00000000" w:rsidDel="00000000" w:rsidP="00000000" w:rsidRDefault="00000000" w:rsidRPr="00000000" w14:paraId="000001B2">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B3">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 good level of the knowledge, understanding or skill required to meet the AC</w:t>
            </w:r>
          </w:p>
          <w:p w:rsidR="00000000" w:rsidDel="00000000" w:rsidP="00000000" w:rsidRDefault="00000000" w:rsidRPr="00000000" w14:paraId="000001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 good example or examples where these are required to support the answer</w:t>
            </w:r>
          </w:p>
          <w:p w:rsidR="00000000" w:rsidDel="00000000" w:rsidP="00000000" w:rsidRDefault="00000000" w:rsidRPr="00000000" w14:paraId="000001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a good level of reading and research to inform the answer</w:t>
            </w:r>
          </w:p>
          <w:p w:rsidR="00000000" w:rsidDel="00000000" w:rsidP="00000000" w:rsidRDefault="00000000" w:rsidRPr="00000000" w14:paraId="000001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good use of at least one reference for each assessment criteria (where this is required). *</w:t>
            </w:r>
          </w:p>
          <w:p w:rsidR="00000000" w:rsidDel="00000000" w:rsidP="00000000" w:rsidRDefault="00000000" w:rsidRPr="00000000" w14:paraId="000001B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good reference to the case study </w:t>
            </w:r>
          </w:p>
          <w:p w:rsidR="00000000" w:rsidDel="00000000" w:rsidP="00000000" w:rsidRDefault="00000000" w:rsidRPr="00000000" w14:paraId="000001B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directly addresses the question/task and is well expressed</w:t>
            </w:r>
          </w:p>
          <w:p w:rsidR="00000000" w:rsidDel="00000000" w:rsidP="00000000" w:rsidRDefault="00000000" w:rsidRPr="00000000" w14:paraId="000001BA">
            <w:pPr>
              <w:keepNext w:val="1"/>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3" w:right="0" w:hanging="111.0000000000000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 good format or structure which meets the requirements set out in the brief</w:t>
            </w:r>
          </w:p>
        </w:tc>
      </w:tr>
      <w:tr>
        <w:trPr>
          <w:cantSplit w:val="1"/>
          <w:trHeight w:val="494" w:hRule="atLeast"/>
          <w:tblHeader w:val="1"/>
        </w:trPr>
        <w:tc>
          <w:tcPr>
            <w:shd w:fill="e3eff1" w:val="clear"/>
          </w:tcPr>
          <w:p w:rsidR="00000000" w:rsidDel="00000000" w:rsidP="00000000" w:rsidRDefault="00000000" w:rsidRPr="00000000" w14:paraId="000001B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4</w:t>
            </w:r>
          </w:p>
        </w:tc>
        <w:tc>
          <w:tcPr>
            <w:shd w:fill="e3eff1" w:val="clear"/>
          </w:tcPr>
          <w:p w:rsidR="00000000" w:rsidDel="00000000" w:rsidP="00000000" w:rsidRDefault="00000000" w:rsidRPr="00000000" w14:paraId="000001B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High Pass</w:t>
            </w:r>
          </w:p>
        </w:tc>
        <w:tc>
          <w:tcPr/>
          <w:p w:rsidR="00000000" w:rsidDel="00000000" w:rsidP="00000000" w:rsidRDefault="00000000" w:rsidRPr="00000000" w14:paraId="000001BD">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an excellent level of the knowledge, understanding or skill required to meet the AC</w:t>
            </w:r>
          </w:p>
          <w:p w:rsidR="00000000" w:rsidDel="00000000" w:rsidP="00000000" w:rsidRDefault="00000000" w:rsidRPr="00000000" w14:paraId="000001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an excellent example or examples where these are required to support the answer</w:t>
            </w:r>
          </w:p>
          <w:p w:rsidR="00000000" w:rsidDel="00000000" w:rsidP="00000000" w:rsidRDefault="00000000" w:rsidRPr="00000000" w14:paraId="000001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extensive reading and research to inform the answer.  </w:t>
            </w:r>
          </w:p>
          <w:p w:rsidR="00000000" w:rsidDel="00000000" w:rsidP="00000000" w:rsidRDefault="00000000" w:rsidRPr="00000000" w14:paraId="000001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excellent use of at least one reference for each assessment criteria (where this is required) *</w:t>
            </w:r>
          </w:p>
          <w:p w:rsidR="00000000" w:rsidDel="00000000" w:rsidP="00000000" w:rsidRDefault="00000000" w:rsidRPr="00000000" w14:paraId="000001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excellent reference to the case study </w:t>
            </w:r>
          </w:p>
          <w:p w:rsidR="00000000" w:rsidDel="00000000" w:rsidP="00000000" w:rsidRDefault="00000000" w:rsidRPr="00000000" w14:paraId="000001C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responds very clearly to the question/task and is particularly well expressed</w:t>
            </w:r>
          </w:p>
          <w:p w:rsidR="00000000" w:rsidDel="00000000" w:rsidP="00000000" w:rsidRDefault="00000000" w:rsidRPr="00000000" w14:paraId="000001C4">
            <w:pPr>
              <w:spacing w:after="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has an excellent format or structure which meets the requirements set out in the brief</w:t>
            </w:r>
          </w:p>
        </w:tc>
      </w:tr>
      <w:tr>
        <w:trPr>
          <w:cantSplit w:val="1"/>
          <w:trHeight w:val="362" w:hRule="atLeast"/>
          <w:tblHeader w:val="1"/>
        </w:trPr>
        <w:tc>
          <w:tcPr>
            <w:gridSpan w:val="2"/>
            <w:shd w:fill="eff6f7" w:val="clear"/>
          </w:tcPr>
          <w:p w:rsidR="00000000" w:rsidDel="00000000" w:rsidP="00000000" w:rsidRDefault="00000000" w:rsidRPr="00000000" w14:paraId="000001C5">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C7">
            <w:pPr>
              <w:keepNext w:val="1"/>
              <w:spacing w:line="2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*Not all ACs in each unit need a reference. If they don’t, the brief will say so.  </w:t>
            </w:r>
            <w:r w:rsidDel="00000000" w:rsidR="00000000" w:rsidRPr="00000000">
              <w:rPr>
                <w:rFonts w:ascii="Trebuchet MS" w:cs="Trebuchet MS" w:eastAsia="Trebuchet MS" w:hAnsi="Trebuchet MS"/>
                <w:b w:val="1"/>
                <w:bCs w:val="1"/>
                <w:color w:val="004147"/>
                <w:sz w:val="20"/>
                <w:szCs w:val="20"/>
                <w:rtl w:val="0"/>
              </w:rPr>
              <w:t xml:space="preserve">All </w:t>
            </w:r>
            <w:r w:rsidDel="00000000" w:rsidR="00000000" w:rsidRPr="00000000">
              <w:rPr>
                <w:rFonts w:ascii="Trebuchet MS" w:cs="Trebuchet MS" w:eastAsia="Trebuchet MS" w:hAnsi="Trebuchet MS"/>
                <w:color w:val="004147"/>
                <w:sz w:val="20"/>
                <w:szCs w:val="20"/>
                <w:rtl w:val="0"/>
              </w:rPr>
              <w:t xml:space="preserve">ACs in Unit 5CO01 require a reference.</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color w:val="004147"/>
                <w:sz w:val="20"/>
                <w:szCs w:val="20"/>
                <w:rtl w:val="0"/>
              </w:rPr>
              <w:t xml:space="preserve">References should be presented using a recognised form of referencing. For example, if using Harvard referencing, this would include in-text citations and a list of references or bibliography at the end of the assessment.</w:t>
            </w:r>
          </w:p>
        </w:tc>
      </w:tr>
    </w:tbl>
    <w:p w:rsidR="00000000" w:rsidDel="00000000" w:rsidP="00000000" w:rsidRDefault="00000000" w:rsidRPr="00000000" w14:paraId="000001C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9">
      <w:pPr>
        <w:pStyle w:val="Heading1"/>
        <w:spacing w:after="240" w:line="360" w:lineRule="auto"/>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1CA">
      <w:pPr>
        <w:pStyle w:val="Heading1"/>
        <w:spacing w:after="240" w:line="360" w:lineRule="auto"/>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7"/>
        <w:tblpPr w:leftFromText="180" w:rightFromText="180" w:topFromText="0" w:bottomFromText="0" w:vertAnchor="page" w:horzAnchor="margin" w:tblpX="0" w:tblpY="173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379"/>
        <w:tblGridChange w:id="0">
          <w:tblGrid>
            <w:gridCol w:w="3397"/>
            <w:gridCol w:w="6379"/>
          </w:tblGrid>
        </w:tblGridChange>
      </w:tblGrid>
      <w:tr>
        <w:trPr>
          <w:cantSplit w:val="0"/>
          <w:tblHeader w:val="0"/>
        </w:trPr>
        <w:tc>
          <w:tcPr>
            <w:gridSpan w:val="2"/>
            <w:shd w:fill="d0e0e2" w:val="clear"/>
          </w:tcPr>
          <w:p w:rsidR="00000000" w:rsidDel="00000000" w:rsidP="00000000" w:rsidRDefault="00000000" w:rsidRPr="00000000" w14:paraId="000001CB">
            <w:pPr>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Unit 5CO01: Assessor Feedback to Learner</w:t>
            </w:r>
          </w:p>
          <w:p w:rsidR="00000000" w:rsidDel="00000000" w:rsidP="00000000" w:rsidRDefault="00000000" w:rsidRPr="00000000" w14:paraId="000001CC">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number</w:t>
            </w:r>
          </w:p>
        </w:tc>
        <w:tc>
          <w:tcPr>
            <w:shd w:fill="auto" w:val="clear"/>
          </w:tcPr>
          <w:p w:rsidR="00000000" w:rsidDel="00000000" w:rsidP="00000000" w:rsidRDefault="00000000" w:rsidRPr="00000000" w14:paraId="000001C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669</w:t>
            </w:r>
          </w:p>
        </w:tc>
      </w:tr>
      <w:tr>
        <w:trPr>
          <w:cantSplit w:val="0"/>
          <w:tblHeader w:val="0"/>
        </w:trPr>
        <w:tc>
          <w:tcPr>
            <w:shd w:fill="d0e0e2" w:val="clear"/>
          </w:tcPr>
          <w:p w:rsidR="00000000" w:rsidDel="00000000" w:rsidP="00000000" w:rsidRDefault="00000000" w:rsidRPr="00000000" w14:paraId="000001D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name</w:t>
            </w:r>
          </w:p>
        </w:tc>
        <w:tc>
          <w:tcPr>
            <w:shd w:fill="auto" w:val="clear"/>
          </w:tcPr>
          <w:p w:rsidR="00000000" w:rsidDel="00000000" w:rsidP="00000000" w:rsidRDefault="00000000" w:rsidRPr="00000000" w14:paraId="000001D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UWTSD</w:t>
            </w:r>
          </w:p>
        </w:tc>
      </w:tr>
      <w:tr>
        <w:trPr>
          <w:cantSplit w:val="0"/>
          <w:tblHeader w:val="0"/>
        </w:trPr>
        <w:tc>
          <w:tcPr>
            <w:shd w:fill="d0e0e2" w:val="clear"/>
          </w:tcPr>
          <w:p w:rsidR="00000000" w:rsidDel="00000000" w:rsidP="00000000" w:rsidRDefault="00000000" w:rsidRPr="00000000" w14:paraId="000001D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number (1st 7 digits of CIPD Membership number)</w:t>
            </w:r>
          </w:p>
        </w:tc>
        <w:tc>
          <w:tcPr>
            <w:shd w:fill="auto" w:val="clear"/>
          </w:tcPr>
          <w:p w:rsidR="00000000" w:rsidDel="00000000" w:rsidP="00000000" w:rsidRDefault="00000000" w:rsidRPr="00000000" w14:paraId="000001D3">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surname</w:t>
            </w:r>
          </w:p>
        </w:tc>
        <w:tc>
          <w:tcPr>
            <w:shd w:fill="auto" w:val="clear"/>
          </w:tcPr>
          <w:p w:rsidR="00000000" w:rsidDel="00000000" w:rsidP="00000000" w:rsidRDefault="00000000" w:rsidRPr="00000000" w14:paraId="000001D5">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other names (e.g. first name and middle name(s))</w:t>
            </w:r>
          </w:p>
        </w:tc>
        <w:tc>
          <w:tcPr>
            <w:shd w:fill="auto" w:val="clear"/>
          </w:tcPr>
          <w:p w:rsidR="00000000" w:rsidDel="00000000" w:rsidP="00000000" w:rsidRDefault="00000000" w:rsidRPr="00000000" w14:paraId="000001D7">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1D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9">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bCs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bCs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DA">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DB">
      <w:pPr>
        <w:spacing w:line="240" w:lineRule="auto"/>
        <w:rPr>
          <w:rFonts w:ascii="Trebuchet MS" w:cs="Trebuchet MS" w:eastAsia="Trebuchet MS" w:hAnsi="Trebuchet MS"/>
        </w:rPr>
      </w:pPr>
      <w:r w:rsidDel="00000000" w:rsidR="00000000" w:rsidRPr="00000000">
        <w:rPr>
          <w:rtl w:val="0"/>
        </w:rPr>
      </w:r>
    </w:p>
    <w:tbl>
      <w:tblPr>
        <w:tblStyle w:val="Table8"/>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7457"/>
        <w:gridCol w:w="1134"/>
        <w:tblGridChange w:id="0">
          <w:tblGrid>
            <w:gridCol w:w="1185"/>
            <w:gridCol w:w="7457"/>
            <w:gridCol w:w="1134"/>
          </w:tblGrid>
        </w:tblGridChange>
      </w:tblGrid>
      <w:tr>
        <w:trPr>
          <w:cantSplit w:val="0"/>
          <w:tblHeader w:val="0"/>
        </w:trPr>
        <w:tc>
          <w:tcPr>
            <w:gridSpan w:val="3"/>
            <w:shd w:fill="d0e0e2" w:val="clear"/>
          </w:tcPr>
          <w:p w:rsidR="00000000" w:rsidDel="00000000" w:rsidP="00000000" w:rsidRDefault="00000000" w:rsidRPr="00000000" w14:paraId="000001D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w:t>
            </w:r>
          </w:p>
        </w:tc>
      </w:tr>
      <w:tr>
        <w:trPr>
          <w:cantSplit w:val="0"/>
          <w:tblHeader w:val="0"/>
        </w:trPr>
        <w:tc>
          <w:tcPr>
            <w:shd w:fill="d0e0e2" w:val="clear"/>
          </w:tcPr>
          <w:p w:rsidR="00000000" w:rsidDel="00000000" w:rsidP="00000000" w:rsidRDefault="00000000" w:rsidRPr="00000000" w14:paraId="000001D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E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E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E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E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w:t>
            </w:r>
          </w:p>
        </w:tc>
        <w:tc>
          <w:tcPr>
            <w:shd w:fill="d0e0e2" w:val="clear"/>
          </w:tcPr>
          <w:p w:rsidR="00000000" w:rsidDel="00000000" w:rsidP="00000000" w:rsidRDefault="00000000" w:rsidRPr="00000000" w14:paraId="000001E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Evaluate the extent to which the flat non-hierarchical structure was appropriate under Kirsten’s ownership and the extent to which the hierarchical bureaucratic structure is suitable under Chaffinch Group’s ownership.  (AC 1.1)</w:t>
            </w:r>
            <w:r w:rsidDel="00000000" w:rsidR="00000000" w:rsidRPr="00000000">
              <w:rPr>
                <w:rtl w:val="0"/>
              </w:rPr>
            </w:r>
          </w:p>
        </w:tc>
        <w:tc>
          <w:tcPr>
            <w:shd w:fill="d0e0e2" w:val="clear"/>
          </w:tcPr>
          <w:p w:rsidR="00000000" w:rsidDel="00000000" w:rsidP="00000000" w:rsidRDefault="00000000" w:rsidRPr="00000000" w14:paraId="000001E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E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E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E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F0">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F1">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F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Q2.</w:t>
            </w:r>
          </w:p>
        </w:tc>
        <w:tc>
          <w:tcPr>
            <w:shd w:fill="d0e0e2" w:val="clear"/>
          </w:tcPr>
          <w:p w:rsidR="00000000" w:rsidDel="00000000" w:rsidP="00000000" w:rsidRDefault="00000000" w:rsidRPr="00000000" w14:paraId="000001F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how Chaffinch Group could use a rational approach to strategy formulation to ensure that services provided meet customer needs. (AC 1.2)</w:t>
            </w:r>
          </w:p>
        </w:tc>
        <w:tc>
          <w:tcPr>
            <w:shd w:fill="d0e0e2" w:val="clear"/>
          </w:tcPr>
          <w:p w:rsidR="00000000" w:rsidDel="00000000" w:rsidP="00000000" w:rsidRDefault="00000000" w:rsidRPr="00000000" w14:paraId="000001F4">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F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F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F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0">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0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Q3.</w:t>
            </w:r>
          </w:p>
        </w:tc>
        <w:tc>
          <w:tcPr>
            <w:shd w:fill="d0e0e2" w:val="clear"/>
          </w:tcPr>
          <w:p w:rsidR="00000000" w:rsidDel="00000000" w:rsidP="00000000" w:rsidRDefault="00000000" w:rsidRPr="00000000" w14:paraId="00000202">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external factor that is currently having a positive impact on the residential care industry. (AC 1.3)</w:t>
            </w:r>
          </w:p>
        </w:tc>
        <w:tc>
          <w:tcPr>
            <w:shd w:fill="d0e0e2" w:val="clear"/>
          </w:tcPr>
          <w:p w:rsidR="00000000" w:rsidDel="00000000" w:rsidP="00000000" w:rsidRDefault="00000000" w:rsidRPr="00000000" w14:paraId="00000203">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06">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7">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B">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0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F">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1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Q4.</w:t>
            </w:r>
          </w:p>
        </w:tc>
        <w:tc>
          <w:tcPr>
            <w:shd w:fill="d0e0e2" w:val="clear"/>
          </w:tcPr>
          <w:p w:rsidR="00000000" w:rsidDel="00000000" w:rsidP="00000000" w:rsidRDefault="00000000" w:rsidRPr="00000000" w14:paraId="0000021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r w:rsidDel="00000000" w:rsidR="00000000" w:rsidRPr="00000000">
              <w:rPr>
                <w:rtl w:val="0"/>
              </w:rPr>
            </w:r>
          </w:p>
        </w:tc>
        <w:tc>
          <w:tcPr>
            <w:shd w:fill="d0e0e2" w:val="clear"/>
          </w:tcPr>
          <w:p w:rsidR="00000000" w:rsidDel="00000000" w:rsidP="00000000" w:rsidRDefault="00000000" w:rsidRPr="00000000" w14:paraId="00000212">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15">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6">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A">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1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Q5.</w:t>
            </w:r>
          </w:p>
        </w:tc>
        <w:tc>
          <w:tcPr>
            <w:shd w:fill="d0e0e2" w:val="clear"/>
          </w:tcPr>
          <w:p w:rsidR="00000000" w:rsidDel="00000000" w:rsidP="00000000" w:rsidRDefault="00000000" w:rsidRPr="00000000" w14:paraId="00000220">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Using theories and models which examine organisational and human behaviour, explain why problems have arisen following the takeover of Calmere House by Chaffinch Group. (AC 2.1)</w:t>
            </w:r>
          </w:p>
        </w:tc>
        <w:tc>
          <w:tcPr>
            <w:shd w:fill="d0e0e2" w:val="clear"/>
          </w:tcPr>
          <w:p w:rsidR="00000000" w:rsidDel="00000000" w:rsidP="00000000" w:rsidRDefault="00000000" w:rsidRPr="00000000" w14:paraId="00000221">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24">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5">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8">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2C">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Q6.</w:t>
            </w:r>
          </w:p>
        </w:tc>
        <w:tc>
          <w:tcPr>
            <w:shd w:fill="d0e0e2" w:val="clear"/>
          </w:tcPr>
          <w:p w:rsidR="00000000" w:rsidDel="00000000" w:rsidP="00000000" w:rsidRDefault="00000000" w:rsidRPr="00000000" w14:paraId="0000022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how changes to selection and employee voice have impacted organisational culture and behaviours at Chaffinch Group. (AC 2.2)</w:t>
            </w:r>
          </w:p>
        </w:tc>
        <w:tc>
          <w:tcPr>
            <w:shd w:fill="d0e0e2" w:val="clear"/>
          </w:tcPr>
          <w:p w:rsidR="00000000" w:rsidDel="00000000" w:rsidP="00000000" w:rsidRDefault="00000000" w:rsidRPr="00000000" w14:paraId="0000023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33">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37">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3B">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Q7.</w:t>
            </w:r>
          </w:p>
        </w:tc>
        <w:tc>
          <w:tcPr>
            <w:shd w:fill="d0e0e2" w:val="clear"/>
          </w:tcPr>
          <w:p w:rsidR="00000000" w:rsidDel="00000000" w:rsidP="00000000" w:rsidRDefault="00000000" w:rsidRPr="00000000" w14:paraId="0000023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how Chaffinch Group could have better managed the change from a small owner-managed care home to Calmere House being part of a large organisation. (AC 2.3)</w:t>
            </w:r>
          </w:p>
        </w:tc>
        <w:tc>
          <w:tcPr>
            <w:shd w:fill="d0e0e2" w:val="clear"/>
          </w:tcPr>
          <w:p w:rsidR="00000000" w:rsidDel="00000000" w:rsidP="00000000" w:rsidRDefault="00000000" w:rsidRPr="00000000" w14:paraId="0000023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4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4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4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4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Q8.</w:t>
            </w:r>
          </w:p>
        </w:tc>
        <w:tc>
          <w:tcPr>
            <w:shd w:fill="d0e0e2" w:val="clear"/>
          </w:tcPr>
          <w:p w:rsidR="00000000" w:rsidDel="00000000" w:rsidP="00000000" w:rsidRDefault="00000000" w:rsidRPr="00000000" w14:paraId="0000024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model. </w:t>
            </w:r>
          </w:p>
          <w:p w:rsidR="00000000" w:rsidDel="00000000" w:rsidP="00000000" w:rsidRDefault="00000000" w:rsidRPr="00000000" w14:paraId="0000024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(AC 2.4)</w:t>
            </w:r>
          </w:p>
        </w:tc>
        <w:tc>
          <w:tcPr>
            <w:shd w:fill="d0e0e2" w:val="clear"/>
          </w:tcPr>
          <w:p w:rsidR="00000000" w:rsidDel="00000000" w:rsidP="00000000" w:rsidRDefault="00000000" w:rsidRPr="00000000" w14:paraId="0000024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5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5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5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5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Q9.</w:t>
            </w:r>
          </w:p>
        </w:tc>
        <w:tc>
          <w:tcPr>
            <w:shd w:fill="d0e0e2" w:val="clear"/>
          </w:tcPr>
          <w:p w:rsidR="00000000" w:rsidDel="00000000" w:rsidP="00000000" w:rsidRDefault="00000000" w:rsidRPr="00000000" w14:paraId="0000025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factors that could impact employee wellbeing at Calmere House including why it is important that these factors are addressed. (AC 2.5)</w:t>
            </w:r>
          </w:p>
        </w:tc>
        <w:tc>
          <w:tcPr>
            <w:shd w:fill="d0e0e2" w:val="clear"/>
          </w:tcPr>
          <w:p w:rsidR="00000000" w:rsidDel="00000000" w:rsidP="00000000" w:rsidRDefault="00000000" w:rsidRPr="00000000" w14:paraId="0000025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61">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2">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65">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6">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69">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6B">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Q10.</w:t>
            </w:r>
          </w:p>
        </w:tc>
        <w:tc>
          <w:tcPr>
            <w:shd w:fill="d0e0e2" w:val="clear"/>
          </w:tcPr>
          <w:p w:rsidR="00000000" w:rsidDel="00000000" w:rsidP="00000000" w:rsidRDefault="00000000" w:rsidRPr="00000000" w14:paraId="0000026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how the people manager, recruitment advisor and employment relations case advisor could support the retention stage of the employee lifecycle. (AC 3.1)</w:t>
            </w:r>
          </w:p>
        </w:tc>
        <w:tc>
          <w:tcPr>
            <w:shd w:fill="d0e0e2" w:val="clear"/>
          </w:tcPr>
          <w:p w:rsidR="00000000" w:rsidDel="00000000" w:rsidP="00000000" w:rsidRDefault="00000000" w:rsidRPr="00000000" w14:paraId="0000026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70">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1">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74">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5">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78">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7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Q11.</w:t>
            </w:r>
          </w:p>
        </w:tc>
        <w:tc>
          <w:tcPr>
            <w:shd w:fill="d0e0e2" w:val="clear"/>
          </w:tcPr>
          <w:p w:rsidR="00000000" w:rsidDel="00000000" w:rsidP="00000000" w:rsidRDefault="00000000" w:rsidRPr="00000000" w14:paraId="0000027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how people practices could help Chaffinch Group to fill 100% of resident rooms within six months. (AC 3.2)</w:t>
            </w:r>
          </w:p>
        </w:tc>
        <w:tc>
          <w:tcPr>
            <w:shd w:fill="d0e0e2" w:val="clear"/>
          </w:tcPr>
          <w:p w:rsidR="00000000" w:rsidDel="00000000" w:rsidP="00000000" w:rsidRDefault="00000000" w:rsidRPr="00000000" w14:paraId="0000027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7F">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83">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87">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8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Q12.</w:t>
            </w:r>
          </w:p>
        </w:tc>
        <w:tc>
          <w:tcPr>
            <w:shd w:fill="d0e0e2" w:val="clear"/>
          </w:tcPr>
          <w:p w:rsidR="00000000" w:rsidDel="00000000" w:rsidP="00000000" w:rsidRDefault="00000000" w:rsidRPr="00000000" w14:paraId="0000028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how Kath could consult and engage with employees to understand why employee turnover at Calmere House has increased. (AC 3.3)</w:t>
            </w:r>
          </w:p>
        </w:tc>
        <w:tc>
          <w:tcPr>
            <w:shd w:fill="d0e0e2" w:val="clear"/>
          </w:tcPr>
          <w:p w:rsidR="00000000" w:rsidDel="00000000" w:rsidP="00000000" w:rsidRDefault="00000000" w:rsidRPr="00000000" w14:paraId="0000028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8E">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9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9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7">
            <w:pPr>
              <w:rPr>
                <w:rFonts w:ascii="Trebuchet MS" w:cs="Trebuchet MS" w:eastAsia="Trebuchet MS" w:hAnsi="Trebuchet MS"/>
                <w:i w:val="1"/>
                <w:i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9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w:t>
            </w:r>
          </w:p>
          <w:p w:rsidR="00000000" w:rsidDel="00000000" w:rsidP="00000000" w:rsidRDefault="00000000" w:rsidRPr="00000000" w14:paraId="00000299">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9B">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9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1 if applicable)</w:t>
            </w:r>
          </w:p>
          <w:p w:rsidR="00000000" w:rsidDel="00000000" w:rsidP="00000000" w:rsidRDefault="00000000" w:rsidRPr="00000000" w14:paraId="0000029D">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9F">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A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2 if applicable)</w:t>
            </w:r>
          </w:p>
          <w:p w:rsidR="00000000" w:rsidDel="00000000" w:rsidP="00000000" w:rsidRDefault="00000000" w:rsidRPr="00000000" w14:paraId="000002A1">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A3">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A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A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A6">
      <w:pPr>
        <w:spacing w:line="240" w:lineRule="auto"/>
        <w:rPr>
          <w:rFonts w:ascii="Trebuchet MS" w:cs="Trebuchet MS" w:eastAsia="Trebuchet MS" w:hAnsi="Trebuchet MS"/>
        </w:rPr>
      </w:pPr>
      <w:r w:rsidDel="00000000" w:rsidR="00000000" w:rsidRPr="00000000">
        <w:rPr>
          <w:rtl w:val="0"/>
        </w:rPr>
      </w:r>
    </w:p>
    <w:tbl>
      <w:tblPr>
        <w:tblStyle w:val="Table9"/>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04"/>
        <w:gridCol w:w="1844"/>
        <w:gridCol w:w="92"/>
        <w:gridCol w:w="2126"/>
        <w:gridCol w:w="535"/>
        <w:gridCol w:w="1875"/>
        <w:tblGridChange w:id="0">
          <w:tblGrid>
            <w:gridCol w:w="3304"/>
            <w:gridCol w:w="1844"/>
            <w:gridCol w:w="92"/>
            <w:gridCol w:w="2126"/>
            <w:gridCol w:w="535"/>
            <w:gridCol w:w="1875"/>
          </w:tblGrid>
        </w:tblGridChange>
      </w:tblGrid>
      <w:tr>
        <w:trPr>
          <w:cantSplit w:val="0"/>
          <w:trHeight w:val="213" w:hRule="atLeast"/>
          <w:tblHeader w:val="0"/>
        </w:trPr>
        <w:tc>
          <w:tcPr>
            <w:shd w:fill="d0e0e2" w:val="clear"/>
          </w:tcPr>
          <w:p w:rsidR="00000000" w:rsidDel="00000000" w:rsidP="00000000" w:rsidRDefault="00000000" w:rsidRPr="00000000" w14:paraId="000002A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w:t>
            </w:r>
          </w:p>
          <w:p w:rsidR="00000000" w:rsidDel="00000000" w:rsidP="00000000" w:rsidRDefault="00000000" w:rsidRPr="00000000" w14:paraId="000002A8">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A9">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AA">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AB">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w:t>
            </w:r>
          </w:p>
        </w:tc>
        <w:tc>
          <w:tcPr>
            <w:shd w:fill="auto" w:val="clear"/>
          </w:tcPr>
          <w:p w:rsidR="00000000" w:rsidDel="00000000" w:rsidP="00000000" w:rsidRDefault="00000000" w:rsidRPr="00000000" w14:paraId="000002A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A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1 if applicable)</w:t>
            </w:r>
          </w:p>
          <w:p w:rsidR="00000000" w:rsidDel="00000000" w:rsidP="00000000" w:rsidRDefault="00000000" w:rsidRPr="00000000" w14:paraId="000002B0">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B1">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B2">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1 if applicable)</w:t>
            </w:r>
          </w:p>
        </w:tc>
        <w:tc>
          <w:tcPr>
            <w:shd w:fill="auto" w:val="clear"/>
          </w:tcPr>
          <w:p w:rsidR="00000000" w:rsidDel="00000000" w:rsidP="00000000" w:rsidRDefault="00000000" w:rsidRPr="00000000" w14:paraId="000002B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B6">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2 if applicable)</w:t>
            </w:r>
          </w:p>
          <w:p w:rsidR="00000000" w:rsidDel="00000000" w:rsidP="00000000" w:rsidRDefault="00000000" w:rsidRPr="00000000" w14:paraId="000002B7">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B8">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B9">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2 if applicable)</w:t>
            </w:r>
          </w:p>
        </w:tc>
        <w:tc>
          <w:tcPr>
            <w:shd w:fill="auto" w:val="clear"/>
          </w:tcPr>
          <w:p w:rsidR="00000000" w:rsidDel="00000000" w:rsidP="00000000" w:rsidRDefault="00000000" w:rsidRPr="00000000" w14:paraId="000002BC">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B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Feedback Summary</w:t>
            </w:r>
          </w:p>
          <w:p w:rsidR="00000000" w:rsidDel="00000000" w:rsidP="00000000" w:rsidRDefault="00000000" w:rsidRPr="00000000" w14:paraId="000002B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B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rtl w:val="0"/>
              </w:rPr>
              <w:t xml:space="preserve">Please use a different</w:t>
            </w:r>
            <w:r w:rsidDel="00000000" w:rsidR="00000000" w:rsidRPr="00000000">
              <w:rPr>
                <w:rFonts w:ascii="Trebuchet MS" w:cs="Trebuchet MS" w:eastAsia="Trebuchet MS" w:hAnsi="Trebuchet MS"/>
                <w:i w:val="1"/>
                <w:iCs w:val="1"/>
                <w:color w:val="ff0000"/>
                <w:rtl w:val="0"/>
              </w:rPr>
              <w:t xml:space="preserve"> font colour</w:t>
            </w:r>
            <w:r w:rsidDel="00000000" w:rsidR="00000000" w:rsidRPr="00000000">
              <w:rPr>
                <w:rFonts w:ascii="Trebuchet MS" w:cs="Trebuchet MS" w:eastAsia="Trebuchet MS" w:hAnsi="Trebuchet MS"/>
                <w:i w:val="1"/>
                <w:iCs w:val="1"/>
                <w:color w:val="004147"/>
                <w:rtl w:val="0"/>
              </w:rPr>
              <w:t xml:space="preserve"> for any resubmission comments)</w:t>
            </w:r>
            <w:r w:rsidDel="00000000" w:rsidR="00000000" w:rsidRPr="00000000">
              <w:rPr>
                <w:rtl w:val="0"/>
              </w:rPr>
            </w:r>
          </w:p>
        </w:tc>
        <w:tc>
          <w:tcPr>
            <w:gridSpan w:val="5"/>
            <w:shd w:fill="auto" w:val="clear"/>
          </w:tcPr>
          <w:p w:rsidR="00000000" w:rsidDel="00000000" w:rsidP="00000000" w:rsidRDefault="00000000" w:rsidRPr="00000000" w14:paraId="000002C0">
            <w:pPr>
              <w:spacing w:line="240" w:lineRule="auto"/>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C1">
            <w:pPr>
              <w:rPr>
                <w:rFonts w:ascii="Trebuchet MS" w:cs="Trebuchet MS" w:eastAsia="Trebuchet MS" w:hAnsi="Trebuchet MS"/>
                <w:b w:val="1"/>
                <w:bCs w:val="1"/>
                <w:color w:val="004147"/>
              </w:rPr>
            </w:pPr>
            <w:r w:rsidDel="00000000" w:rsidR="00000000" w:rsidRPr="00000000">
              <w:rPr>
                <w:rtl w:val="0"/>
              </w:rPr>
            </w:r>
          </w:p>
        </w:tc>
      </w:tr>
      <w:tr>
        <w:trPr>
          <w:cantSplit w:val="0"/>
          <w:trHeight w:val="110" w:hRule="atLeast"/>
          <w:tblHeader w:val="0"/>
        </w:trPr>
        <w:tc>
          <w:tcPr>
            <w:shd w:fill="d0e0e2" w:val="clear"/>
          </w:tcPr>
          <w:p w:rsidR="00000000" w:rsidDel="00000000" w:rsidP="00000000" w:rsidRDefault="00000000" w:rsidRPr="00000000" w14:paraId="000002C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name</w:t>
            </w:r>
          </w:p>
        </w:tc>
        <w:tc>
          <w:tcPr>
            <w:gridSpan w:val="2"/>
            <w:shd w:fill="d0e0e2" w:val="clear"/>
          </w:tcPr>
          <w:p w:rsidR="00000000" w:rsidDel="00000000" w:rsidP="00000000" w:rsidRDefault="00000000" w:rsidRPr="00000000" w14:paraId="000002C7">
            <w:pPr>
              <w:rPr>
                <w:rFonts w:ascii="Trebuchet MS" w:cs="Trebuchet MS" w:eastAsia="Trebuchet MS" w:hAnsi="Trebuchet MS"/>
                <w:b w:val="1"/>
                <w:bCs w:val="1"/>
                <w:color w:val="004147"/>
                <w:highlight w:val="yellow"/>
              </w:rPr>
            </w:pPr>
            <w:r w:rsidDel="00000000" w:rsidR="00000000" w:rsidRPr="00000000">
              <w:rPr>
                <w:rFonts w:ascii="Trebuchet MS" w:cs="Trebuchet MS" w:eastAsia="Trebuchet MS" w:hAnsi="Trebuchet MS"/>
                <w:b w:val="1"/>
                <w:bCs w:val="1"/>
                <w:color w:val="004147"/>
                <w:rtl w:val="0"/>
              </w:rPr>
              <w:t xml:space="preserve">Submission</w:t>
            </w:r>
            <w:r w:rsidDel="00000000" w:rsidR="00000000" w:rsidRPr="00000000">
              <w:rPr>
                <w:rtl w:val="0"/>
              </w:rPr>
            </w:r>
          </w:p>
        </w:tc>
        <w:tc>
          <w:tcPr>
            <w:shd w:fill="d0e0e2" w:val="clear"/>
          </w:tcPr>
          <w:p w:rsidR="00000000" w:rsidDel="00000000" w:rsidP="00000000" w:rsidRDefault="00000000" w:rsidRPr="00000000" w14:paraId="000002C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1</w:t>
            </w:r>
          </w:p>
        </w:tc>
        <w:tc>
          <w:tcPr>
            <w:gridSpan w:val="2"/>
            <w:shd w:fill="d0e0e2" w:val="clear"/>
          </w:tcPr>
          <w:p w:rsidR="00000000" w:rsidDel="00000000" w:rsidP="00000000" w:rsidRDefault="00000000" w:rsidRPr="00000000" w14:paraId="000002C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2</w:t>
            </w:r>
          </w:p>
        </w:tc>
      </w:tr>
      <w:tr>
        <w:trPr>
          <w:cantSplit w:val="0"/>
          <w:trHeight w:val="160" w:hRule="atLeast"/>
          <w:tblHeader w:val="0"/>
        </w:trPr>
        <w:tc>
          <w:tcPr>
            <w:shd w:fill="d0e0e2" w:val="clear"/>
          </w:tcPr>
          <w:p w:rsidR="00000000" w:rsidDel="00000000" w:rsidP="00000000" w:rsidRDefault="00000000" w:rsidRPr="00000000" w14:paraId="000002CC">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CD">
            <w:pPr>
              <w:rPr>
                <w:rFonts w:ascii="Trebuchet MS" w:cs="Trebuchet MS" w:eastAsia="Trebuchet MS" w:hAnsi="Trebuchet MS"/>
                <w:b w:val="1"/>
                <w:bCs w:val="1"/>
                <w:color w:val="004147"/>
                <w:highlight w:val="yellow"/>
              </w:rPr>
            </w:pPr>
            <w:r w:rsidDel="00000000" w:rsidR="00000000" w:rsidRPr="00000000">
              <w:rPr>
                <w:rtl w:val="0"/>
              </w:rPr>
            </w:r>
          </w:p>
          <w:p w:rsidR="00000000" w:rsidDel="00000000" w:rsidP="00000000" w:rsidRDefault="00000000" w:rsidRPr="00000000" w14:paraId="000002CE">
            <w:pPr>
              <w:rPr>
                <w:rFonts w:ascii="Trebuchet MS" w:cs="Trebuchet MS" w:eastAsia="Trebuchet MS" w:hAnsi="Trebuchet MS"/>
                <w:b w:val="1"/>
                <w:bCs w:val="1"/>
                <w:color w:val="004147"/>
                <w:highlight w:val="yellow"/>
              </w:rPr>
            </w:pPr>
            <w:r w:rsidDel="00000000" w:rsidR="00000000" w:rsidRPr="00000000">
              <w:rPr>
                <w:rtl w:val="0"/>
              </w:rPr>
            </w:r>
          </w:p>
        </w:tc>
        <w:tc>
          <w:tcPr>
            <w:shd w:fill="auto" w:val="clear"/>
          </w:tcPr>
          <w:p w:rsidR="00000000" w:rsidDel="00000000" w:rsidP="00000000" w:rsidRDefault="00000000" w:rsidRPr="00000000" w14:paraId="000002D0">
            <w:pPr>
              <w:rPr>
                <w:rFonts w:ascii="Trebuchet MS" w:cs="Trebuchet MS" w:eastAsia="Trebuchet MS" w:hAnsi="Trebuchet MS"/>
                <w:b w:val="1"/>
                <w:bCs w:val="1"/>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D1">
            <w:pPr>
              <w:rPr>
                <w:rFonts w:ascii="Trebuchet MS" w:cs="Trebuchet MS" w:eastAsia="Trebuchet MS" w:hAnsi="Trebuchet MS"/>
                <w:b w:val="1"/>
                <w:bCs w:val="1"/>
                <w:color w:val="004147"/>
                <w:highlight w:val="yellow"/>
              </w:rPr>
            </w:pPr>
            <w:r w:rsidDel="00000000" w:rsidR="00000000" w:rsidRPr="00000000">
              <w:rPr>
                <w:rtl w:val="0"/>
              </w:rPr>
            </w:r>
          </w:p>
        </w:tc>
      </w:tr>
      <w:tr>
        <w:trPr>
          <w:cantSplit w:val="0"/>
          <w:trHeight w:val="1380" w:hRule="atLeast"/>
          <w:tblHeader w:val="0"/>
        </w:trPr>
        <w:tc>
          <w:tcPr>
            <w:shd w:fill="d0e0e2" w:val="clear"/>
          </w:tcPr>
          <w:p w:rsidR="00000000" w:rsidDel="00000000" w:rsidP="00000000" w:rsidRDefault="00000000" w:rsidRPr="00000000" w14:paraId="000002D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signature</w:t>
            </w:r>
            <w:r w:rsidDel="00000000" w:rsidR="00000000" w:rsidRPr="00000000">
              <w:rPr>
                <w:rFonts w:ascii="Trebuchet MS" w:cs="Trebuchet MS" w:eastAsia="Trebuchet MS" w:hAnsi="Trebuchet MS"/>
                <w:i w:val="1"/>
                <w:iCs w:val="1"/>
                <w:color w:val="004147"/>
                <w:rtl w:val="0"/>
              </w:rPr>
              <w:t xml:space="preserve">*</w:t>
            </w:r>
            <w:r w:rsidDel="00000000" w:rsidR="00000000" w:rsidRPr="00000000">
              <w:rPr>
                <w:rtl w:val="0"/>
              </w:rPr>
            </w:r>
          </w:p>
          <w:p w:rsidR="00000000" w:rsidDel="00000000" w:rsidP="00000000" w:rsidRDefault="00000000" w:rsidRPr="00000000" w14:paraId="000002D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shd w:fill="auto" w:val="clear"/>
          </w:tcPr>
          <w:p w:rsidR="00000000" w:rsidDel="00000000" w:rsidP="00000000" w:rsidRDefault="00000000" w:rsidRPr="00000000" w14:paraId="000002D5">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D7">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D8">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D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Date</w:t>
            </w:r>
          </w:p>
          <w:p w:rsidR="00000000" w:rsidDel="00000000" w:rsidP="00000000" w:rsidRDefault="00000000" w:rsidRPr="00000000" w14:paraId="000002DB">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DC">
            <w:pPr>
              <w:rPr>
                <w:rFonts w:ascii="Trebuchet MS" w:cs="Trebuchet MS" w:eastAsia="Trebuchet MS" w:hAnsi="Trebuchet MS"/>
                <w:b w:val="1"/>
                <w:bCs w:val="1"/>
                <w:color w:val="004147"/>
                <w:highlight w:val="yellow"/>
              </w:rPr>
            </w:pPr>
            <w:r w:rsidDel="00000000" w:rsidR="00000000" w:rsidRPr="00000000">
              <w:rPr>
                <w:rtl w:val="0"/>
              </w:rPr>
            </w:r>
          </w:p>
        </w:tc>
        <w:tc>
          <w:tcPr>
            <w:shd w:fill="auto" w:val="clear"/>
          </w:tcPr>
          <w:p w:rsidR="00000000" w:rsidDel="00000000" w:rsidP="00000000" w:rsidRDefault="00000000" w:rsidRPr="00000000" w14:paraId="000002DE">
            <w:pPr>
              <w:rPr>
                <w:rFonts w:ascii="Trebuchet MS" w:cs="Trebuchet MS" w:eastAsia="Trebuchet MS" w:hAnsi="Trebuchet MS"/>
                <w:b w:val="1"/>
                <w:bCs w:val="1"/>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DF">
            <w:pPr>
              <w:rPr>
                <w:rFonts w:ascii="Trebuchet MS" w:cs="Trebuchet MS" w:eastAsia="Trebuchet MS" w:hAnsi="Trebuchet MS"/>
                <w:b w:val="1"/>
                <w:bCs w:val="1"/>
                <w:color w:val="004147"/>
                <w:highlight w:val="yellow"/>
              </w:rPr>
            </w:pPr>
            <w:r w:rsidDel="00000000" w:rsidR="00000000" w:rsidRPr="00000000">
              <w:rPr>
                <w:rtl w:val="0"/>
              </w:rPr>
            </w:r>
          </w:p>
        </w:tc>
      </w:tr>
    </w:tbl>
    <w:p w:rsidR="00000000" w:rsidDel="00000000" w:rsidP="00000000" w:rsidRDefault="00000000" w:rsidRPr="00000000" w14:paraId="000002E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E2">
      <w:pPr>
        <w:pStyle w:val="Heading1"/>
        <w:spacing w:after="240" w:line="360" w:lineRule="auto"/>
        <w:rPr>
          <w:rFonts w:ascii="Trebuchet MS" w:cs="Trebuchet MS" w:eastAsia="Trebuchet MS" w:hAnsi="Trebuchet MS"/>
        </w:rPr>
      </w:pPr>
      <w:r w:rsidDel="00000000" w:rsidR="00000000" w:rsidRPr="00000000">
        <w:rPr>
          <w:rtl w:val="0"/>
        </w:rPr>
      </w:r>
    </w:p>
    <w:sectPr>
      <w:headerReference r:id="rId21" w:type="default"/>
      <w:type w:val="nextPage"/>
      <w:pgSz w:h="16840" w:w="11900" w:orient="portrait"/>
      <w:pgMar w:bottom="1077" w:top="1077" w:left="96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Version 1 – Released June 2025</w:t>
    </w:r>
  </w:p>
  <w:p w:rsidR="00000000" w:rsidDel="00000000" w:rsidP="00000000" w:rsidRDefault="00000000" w:rsidRPr="00000000" w14:paraId="000002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Study Centre information only: Last moderation window is September 2026</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608787175" name="image1.png"/>
          <a:graphic>
            <a:graphicData uri="http://schemas.openxmlformats.org/drawingml/2006/picture">
              <pic:pic>
                <pic:nvPicPr>
                  <pic:cNvPr descr="A picture containing drawing&#10;&#10;Description automatically generated" id="0" name="image1.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Version 1 - Released June 2025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60878717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right"/>
      <w:rPr>
        <w:rFonts w:ascii="Trebuchet MS" w:cs="Trebuchet MS" w:eastAsia="Trebuchet MS" w:hAnsi="Trebuchet MS"/>
        <w:b w:val="0"/>
        <w:bCs w:val="0"/>
        <w:i w:val="0"/>
        <w:iCs w:val="0"/>
        <w:smallCaps w:val="0"/>
        <w:strike w:val="0"/>
        <w:color w:val="0041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4146"/>
        <w:sz w:val="22"/>
        <w:szCs w:val="22"/>
        <w:u w:val="none"/>
        <w:shd w:fill="auto" w:val="clear"/>
        <w:vertAlign w:val="baseline"/>
        <w:rtl w:val="0"/>
      </w:rPr>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471" w:hanging="111"/>
      </w:pPr>
      <w:rPr>
        <w:rFonts w:ascii="Noto Sans Symbols" w:cs="Noto Sans Symbols" w:eastAsia="Noto Sans Symbols" w:hAnsi="Noto Sans Symbols"/>
        <w:color w:val="00414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471" w:hanging="111"/>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471" w:hanging="111"/>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rFonts w:ascii="Trebuchet MS" w:cs="Trebuchet MS" w:eastAsia="Trebuchet MS" w:hAnsi="Trebuchet MS"/>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414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4147"/>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360" w:before="120" w:line="264" w:lineRule="auto"/>
    </w:pPr>
    <w:rPr>
      <w:rFonts w:ascii="Georgia" w:cs="Georgia" w:eastAsia="Georgia" w:hAnsi="Georgia"/>
      <w:b w:val="0"/>
      <w:bCs w:val="0"/>
      <w:i w:val="1"/>
      <w:iCs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240" w:before="360" w:line="264" w:lineRule="auto"/>
      <w:ind w:right="227"/>
    </w:pPr>
    <w:rPr>
      <w:b w:val="1"/>
      <w:bCs w:val="1"/>
      <w:color w:val="004147"/>
      <w:sz w:val="32"/>
      <w:szCs w:val="32"/>
    </w:rPr>
  </w:style>
  <w:style w:type="paragraph" w:styleId="Heading4">
    <w:name w:val="heading 4"/>
    <w:basedOn w:val="Normal"/>
    <w:next w:val="Normal"/>
    <w:pPr>
      <w:keepNext w:val="1"/>
      <w:keepLines w:val="1"/>
      <w:spacing w:before="40" w:lineRule="auto"/>
    </w:pPr>
    <w:rPr>
      <w:rFonts w:ascii="Arial" w:cs="Arial" w:eastAsia="Arial" w:hAnsi="Arial"/>
      <w:i w:val="1"/>
      <w:iCs w:val="1"/>
      <w:color w:val="3d0945"/>
    </w:rPr>
  </w:style>
  <w:style w:type="paragraph" w:styleId="Heading5">
    <w:name w:val="heading 5"/>
    <w:basedOn w:val="Normal"/>
    <w:next w:val="Normal"/>
    <w:pPr>
      <w:spacing w:after="120" w:before="240" w:lineRule="auto"/>
    </w:pPr>
    <w:rPr>
      <w:color w:val="004146"/>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lideSession" w:customStyle="1">
    <w:name w:val="Slide Session"/>
    <w:basedOn w:val="Normal"/>
    <w:qFormat w:val="1"/>
    <w:rsid w:val="0039172C"/>
    <w:pPr>
      <w:widowControl w:val="0"/>
    </w:pPr>
    <w:rPr>
      <w:rFonts w:cs="Arial" w:eastAsia="Times New Roman"/>
      <w:bCs w:val="1"/>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cs="Verdana Bold" w:eastAsia="Verdana Bold" w:hAnsi="Verdana Bold"/>
      <w:b w:val="1"/>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after="100" w:afterAutospacing="1" w:before="100" w:beforeAutospacing="1"/>
    </w:pPr>
    <w:rPr>
      <w:rFonts w:ascii="Times New Roman" w:cs="Times New Roman" w:eastAsia="Times New Roman" w:hAnsi="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val="1"/>
    <w:unhideWhenUsed w:val="1"/>
    <w:rsid w:val="00D7612A"/>
    <w:rPr>
      <w:sz w:val="16"/>
      <w:szCs w:val="16"/>
    </w:rPr>
  </w:style>
  <w:style w:type="paragraph" w:styleId="CommentText">
    <w:name w:val="annotation text"/>
    <w:basedOn w:val="Normal"/>
    <w:link w:val="CommentTextChar"/>
    <w:uiPriority w:val="99"/>
    <w:unhideWhenUsed w:val="1"/>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val="1"/>
    <w:unhideWhenUsed w:val="1"/>
    <w:rsid w:val="00D7612A"/>
    <w:rPr>
      <w:b w:val="1"/>
      <w:bCs w:val="1"/>
    </w:rPr>
  </w:style>
  <w:style w:type="character" w:styleId="CommentSubjectChar" w:customStyle="1">
    <w:name w:val="Comment Subject Char"/>
    <w:basedOn w:val="CommentTextChar"/>
    <w:link w:val="CommentSubject"/>
    <w:uiPriority w:val="99"/>
    <w:semiHidden w:val="1"/>
    <w:rsid w:val="00D7612A"/>
    <w:rPr>
      <w:b w:val="1"/>
      <w:bCs w:val="1"/>
      <w:sz w:val="20"/>
      <w:szCs w:val="20"/>
    </w:rPr>
  </w:style>
  <w:style w:type="paragraph" w:styleId="BalloonText">
    <w:name w:val="Balloon Text"/>
    <w:basedOn w:val="Normal"/>
    <w:link w:val="BalloonTextChar"/>
    <w:uiPriority w:val="99"/>
    <w:semiHidden w:val="1"/>
    <w:unhideWhenUsed w:val="1"/>
    <w:rsid w:val="00D7612A"/>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D7612A"/>
    <w:rPr>
      <w:rFonts w:ascii="Times New Roman" w:cs="Times New Roman" w:hAnsi="Times New Roman"/>
      <w:sz w:val="18"/>
      <w:szCs w:val="18"/>
    </w:rPr>
  </w:style>
  <w:style w:type="paragraph" w:styleId="Unittitle" w:customStyle="1">
    <w:name w:val="Unit title"/>
    <w:basedOn w:val="Normal"/>
    <w:qFormat w:val="1"/>
    <w:rsid w:val="008E2949"/>
    <w:pPr>
      <w:spacing w:after="120" w:before="120" w:line="264" w:lineRule="auto"/>
      <w:outlineLvl w:val="0"/>
    </w:pPr>
    <w:rPr>
      <w:rFonts w:cstheme="minorHAnsi"/>
      <w:b w:val="1"/>
      <w:bCs w:val="1"/>
      <w:color w:val="520d5d" w:themeColor="accent1"/>
      <w:sz w:val="32"/>
      <w:szCs w:val="32"/>
    </w:rPr>
  </w:style>
  <w:style w:type="paragraph" w:styleId="Credits" w:customStyle="1">
    <w:name w:val="Credits"/>
    <w:basedOn w:val="Normal"/>
    <w:qFormat w:val="1"/>
    <w:rsid w:val="008E2949"/>
    <w:pPr>
      <w:spacing w:after="240" w:line="264" w:lineRule="auto"/>
      <w:contextualSpacing w:val="1"/>
      <w:jc w:val="right"/>
      <w:outlineLvl w:val="0"/>
    </w:pPr>
    <w:rPr>
      <w:rFonts w:cs="Arial"/>
      <w:b w:val="1"/>
      <w:color w:val="520d5d" w:themeColor="accent1"/>
      <w:szCs w:val="22"/>
    </w:rPr>
  </w:style>
  <w:style w:type="paragraph" w:styleId="Description" w:customStyle="1">
    <w:name w:val="Description"/>
    <w:basedOn w:val="Normal"/>
    <w:qFormat w:val="1"/>
    <w:rsid w:val="008E2949"/>
    <w:pPr>
      <w:spacing w:line="264" w:lineRule="auto"/>
    </w:pPr>
    <w:rPr>
      <w:rFonts w:cs="Arial"/>
      <w:color w:val="000000" w:themeColor="text1"/>
      <w:szCs w:val="22"/>
    </w:rPr>
  </w:style>
  <w:style w:type="paragraph" w:styleId="About" w:customStyle="1">
    <w:name w:val="About"/>
    <w:basedOn w:val="Description"/>
    <w:qFormat w:val="1"/>
    <w:rsid w:val="008E2949"/>
    <w:pPr>
      <w:spacing w:after="120" w:before="240"/>
    </w:pPr>
    <w:rPr>
      <w:rFonts w:ascii="Georgia" w:hAnsi="Georgia"/>
      <w:bCs w:val="1"/>
      <w:i w:val="1"/>
      <w:iCs w:val="1"/>
      <w:color w:val="497c2b"/>
    </w:rPr>
  </w:style>
  <w:style w:type="paragraph" w:styleId="ListParagraph">
    <w:name w:val="List Paragraph"/>
    <w:basedOn w:val="Normal"/>
    <w:link w:val="ListParagraphChar"/>
    <w:uiPriority w:val="34"/>
    <w:qFormat w:val="1"/>
    <w:rsid w:val="002207B3"/>
    <w:pPr>
      <w:ind w:left="720"/>
      <w:contextualSpacing w:val="1"/>
    </w:pPr>
  </w:style>
  <w:style w:type="table" w:styleId="TableGrid">
    <w:name w:val="Table Grid"/>
    <w:basedOn w:val="TableNormal"/>
    <w:uiPriority w:val="39"/>
    <w:rsid w:val="00BB0B68"/>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0" w:customStyle="1">
    <w:name w:val="TableGrid"/>
    <w:rsid w:val="00CC4716"/>
    <w:rPr>
      <w:rFonts w:eastAsiaTheme="minorEastAsia"/>
      <w:lang w:eastAsia="en-GB"/>
    </w:rPr>
    <w:tblPr>
      <w:tblCellMar>
        <w:top w:w="0.0" w:type="dxa"/>
        <w:left w:w="0.0" w:type="dxa"/>
        <w:bottom w:w="0.0" w:type="dxa"/>
        <w:right w:w="0.0" w:type="dxa"/>
      </w:tblCellMar>
    </w:tblPr>
  </w:style>
  <w:style w:type="character" w:styleId="Heading6Char" w:customStyle="1">
    <w:name w:val="Heading 6 Char"/>
    <w:basedOn w:val="DefaultParagraphFont"/>
    <w:link w:val="Heading6"/>
    <w:uiPriority w:val="9"/>
    <w:rsid w:val="00B31A86"/>
    <w:rPr>
      <w:rFonts w:asciiTheme="majorHAnsi" w:cstheme="majorBidi" w:eastAsiaTheme="majorEastAsia" w:hAnsiTheme="majorHAnsi"/>
      <w:color w:val="28062e" w:themeColor="accent1" w:themeShade="00007F"/>
    </w:rPr>
  </w:style>
  <w:style w:type="paragraph" w:styleId="NormalWeb">
    <w:name w:val="Normal (Web)"/>
    <w:basedOn w:val="Normal"/>
    <w:uiPriority w:val="99"/>
    <w:unhideWhenUsed w:val="1"/>
    <w:rsid w:val="00EB7119"/>
    <w:pPr>
      <w:spacing w:after="100" w:afterAutospacing="1" w:before="100" w:beforeAutospacing="1"/>
    </w:pPr>
    <w:rPr>
      <w:rFonts w:ascii="Times New Roman" w:cs="Times New Roman" w:eastAsia="Times New Roman" w:hAnsi="Times New Roman"/>
      <w:lang w:eastAsia="en-GB"/>
    </w:rPr>
  </w:style>
  <w:style w:type="character" w:styleId="Hyperlink">
    <w:name w:val="Hyperlink"/>
    <w:basedOn w:val="DefaultParagraphFont"/>
    <w:unhideWhenUsed w:val="1"/>
    <w:rsid w:val="00EB7119"/>
    <w:rPr>
      <w:color w:val="0000ff"/>
      <w:u w:val="single"/>
    </w:rPr>
  </w:style>
  <w:style w:type="paragraph" w:styleId="Header">
    <w:name w:val="header"/>
    <w:basedOn w:val="Normal"/>
    <w:link w:val="HeaderChar"/>
    <w:uiPriority w:val="99"/>
    <w:unhideWhenUsed w:val="1"/>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val="1"/>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val="1"/>
    <w:rsid w:val="000F3DEA"/>
    <w:pPr>
      <w:autoSpaceDE w:val="0"/>
      <w:autoSpaceDN w:val="0"/>
      <w:adjustRightInd w:val="0"/>
      <w:spacing w:after="160"/>
      <w:jc w:val="both"/>
    </w:pPr>
    <w:rPr>
      <w:rFonts w:asciiTheme="minorHAnsi" w:cstheme="minorHAnsi" w:hAnsiTheme="minorHAnsi"/>
      <w:color w:val="000000" w:themeColor="text1"/>
    </w:rPr>
  </w:style>
  <w:style w:type="character" w:styleId="UnresolvedMention1" w:customStyle="1">
    <w:name w:val="Unresolved Mention1"/>
    <w:basedOn w:val="DefaultParagraphFont"/>
    <w:uiPriority w:val="99"/>
    <w:rsid w:val="00C5549D"/>
    <w:rPr>
      <w:color w:val="605e5c"/>
      <w:shd w:color="auto" w:fill="e1dfdd" w:val="clear"/>
    </w:rPr>
  </w:style>
  <w:style w:type="character" w:styleId="NornalChar" w:customStyle="1">
    <w:name w:val="Nornal Char"/>
    <w:basedOn w:val="DefaultParagraphFont"/>
    <w:link w:val="Nornal"/>
    <w:rsid w:val="000F3DEA"/>
    <w:rPr>
      <w:rFonts w:cstheme="minorHAnsi"/>
      <w:color w:val="000000" w:themeColor="text1"/>
      <w:sz w:val="22"/>
    </w:rPr>
  </w:style>
  <w:style w:type="character" w:styleId="Mention1" w:customStyle="1">
    <w:name w:val="Mention1"/>
    <w:basedOn w:val="DefaultParagraphFont"/>
    <w:uiPriority w:val="99"/>
    <w:unhideWhenUsed w:val="1"/>
    <w:rsid w:val="00C5549D"/>
    <w:rPr>
      <w:color w:val="2b579a"/>
      <w:shd w:color="auto" w:fill="e1dfdd" w:val="clear"/>
    </w:rPr>
  </w:style>
  <w:style w:type="character" w:styleId="Heading3Char" w:customStyle="1">
    <w:name w:val="Heading 3 Char"/>
    <w:basedOn w:val="DefaultParagraphFont"/>
    <w:link w:val="Heading3"/>
    <w:uiPriority w:val="9"/>
    <w:rsid w:val="002F4C07"/>
    <w:rPr>
      <w:rFonts w:ascii="Arial" w:cs="Arial" w:hAnsi="Arial" w:eastAsiaTheme="majorEastAsia"/>
      <w:b w:val="1"/>
      <w:bCs w:val="1"/>
      <w:noProof w:val="1"/>
      <w:color w:val="004147" w:themeColor="accent2" w:themeShade="000080"/>
      <w:sz w:val="32"/>
    </w:rPr>
  </w:style>
  <w:style w:type="character" w:styleId="Heading1Char" w:customStyle="1">
    <w:name w:val="Heading 1 Char"/>
    <w:basedOn w:val="DefaultParagraphFont"/>
    <w:link w:val="Heading1"/>
    <w:uiPriority w:val="9"/>
    <w:rsid w:val="00292803"/>
    <w:rPr>
      <w:rFonts w:ascii="Georgia" w:hAnsi="Georgia" w:cstheme="minorHAnsi"/>
      <w:i w:val="1"/>
      <w:iCs w:val="1"/>
      <w:color w:val="004147" w:themeColor="accent2" w:themeShade="000080"/>
      <w:sz w:val="48"/>
      <w:szCs w:val="48"/>
    </w:rPr>
  </w:style>
  <w:style w:type="character" w:styleId="Heading2Char" w:customStyle="1">
    <w:name w:val="Heading 2 Char"/>
    <w:basedOn w:val="DefaultParagraphFont"/>
    <w:link w:val="Heading2"/>
    <w:uiPriority w:val="9"/>
    <w:rsid w:val="00033368"/>
    <w:rPr>
      <w:rFonts w:eastAsia="Times New Roman" w:asciiTheme="majorHAnsi" w:cstheme="majorBidi" w:hAnsiTheme="majorHAnsi"/>
      <w:color w:val="7f7f7f" w:themeColor="text1" w:themeTint="000080"/>
      <w:sz w:val="28"/>
      <w:szCs w:val="28"/>
      <w:lang w:eastAsia="en-GB"/>
    </w:rPr>
  </w:style>
  <w:style w:type="paragraph" w:styleId="Listparag" w:customStyle="1">
    <w:name w:val="List parag"/>
    <w:basedOn w:val="ListParagraph"/>
    <w:link w:val="ListparagChar"/>
    <w:qFormat w:val="1"/>
    <w:rsid w:val="00907F13"/>
    <w:pPr>
      <w:numPr>
        <w:numId w:val="10"/>
      </w:numPr>
      <w:spacing w:after="120" w:line="264" w:lineRule="auto"/>
      <w:contextualSpacing w:val="0"/>
    </w:pPr>
    <w:rPr>
      <w:rFonts w:cs="Arial" w:eastAsia="Times New Roman"/>
      <w:lang w:eastAsia="en-GB"/>
    </w:rPr>
  </w:style>
  <w:style w:type="paragraph" w:styleId="Revision">
    <w:name w:val="Revision"/>
    <w:hidden w:val="1"/>
    <w:uiPriority w:val="99"/>
    <w:semiHidden w:val="1"/>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907F13"/>
    <w:rPr>
      <w:rFonts w:ascii="Arial" w:cs="Arial" w:eastAsia="Times New Roman" w:hAnsi="Arial"/>
      <w:sz w:val="22"/>
      <w:lang w:eastAsia="en-GB"/>
    </w:rPr>
  </w:style>
  <w:style w:type="character" w:styleId="Heading4Char" w:customStyle="1">
    <w:name w:val="Heading 4 Char"/>
    <w:basedOn w:val="DefaultParagraphFont"/>
    <w:link w:val="Heading4"/>
    <w:uiPriority w:val="9"/>
    <w:rsid w:val="000710CF"/>
    <w:rPr>
      <w:rFonts w:asciiTheme="majorHAnsi" w:cstheme="majorBidi" w:eastAsiaTheme="majorEastAsia" w:hAnsiTheme="majorHAnsi"/>
      <w:i w:val="1"/>
      <w:iCs w:val="1"/>
      <w:color w:val="3d0945" w:themeColor="accent1" w:themeShade="0000BF"/>
      <w:sz w:val="22"/>
    </w:rPr>
  </w:style>
  <w:style w:type="table" w:styleId="TableGridLight1" w:customStyle="1">
    <w:name w:val="Table Grid Light1"/>
    <w:basedOn w:val="TableNormal"/>
    <w:uiPriority w:val="40"/>
    <w:rsid w:val="00665FF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inparag" w:customStyle="1">
    <w:name w:val="list in parag"/>
    <w:basedOn w:val="Normal"/>
    <w:rsid w:val="008C7D26"/>
  </w:style>
  <w:style w:type="character" w:styleId="UnresolvedMention">
    <w:name w:val="Unresolved Mention"/>
    <w:basedOn w:val="DefaultParagraphFont"/>
    <w:uiPriority w:val="99"/>
    <w:unhideWhenUsed w:val="1"/>
    <w:rsid w:val="00722E4E"/>
    <w:rPr>
      <w:color w:val="605e5c"/>
      <w:shd w:color="auto" w:fill="e1dfdd" w:val="clear"/>
    </w:rPr>
  </w:style>
  <w:style w:type="character" w:styleId="Mention">
    <w:name w:val="Mention"/>
    <w:basedOn w:val="DefaultParagraphFont"/>
    <w:uiPriority w:val="99"/>
    <w:unhideWhenUsed w:val="1"/>
    <w:rsid w:val="00722E4E"/>
    <w:rPr>
      <w:color w:val="2b579a"/>
      <w:shd w:color="auto" w:fill="e1dfdd" w:val="clear"/>
    </w:rPr>
  </w:style>
  <w:style w:type="paragraph" w:styleId="BodyText">
    <w:name w:val="Body Text"/>
    <w:basedOn w:val="Normal"/>
    <w:link w:val="BodyTextChar"/>
    <w:uiPriority w:val="1"/>
    <w:qFormat w:val="1"/>
    <w:rsid w:val="00203DC2"/>
    <w:pPr>
      <w:widowControl w:val="0"/>
      <w:autoSpaceDE w:val="0"/>
      <w:autoSpaceDN w:val="0"/>
      <w:spacing w:line="240" w:lineRule="auto"/>
    </w:pPr>
    <w:rPr>
      <w:rFonts w:cs="Arial" w:eastAsia="Arial"/>
      <w:szCs w:val="22"/>
    </w:rPr>
  </w:style>
  <w:style w:type="character" w:styleId="BodyTextChar" w:customStyle="1">
    <w:name w:val="Body Text Char"/>
    <w:basedOn w:val="DefaultParagraphFont"/>
    <w:link w:val="BodyText"/>
    <w:uiPriority w:val="1"/>
    <w:rsid w:val="00203DC2"/>
    <w:rPr>
      <w:rFonts w:ascii="Arial" w:cs="Arial" w:eastAsia="Arial" w:hAnsi="Arial"/>
      <w:sz w:val="22"/>
      <w:szCs w:val="22"/>
    </w:rPr>
  </w:style>
  <w:style w:type="paragraph" w:styleId="TableParagraph" w:customStyle="1">
    <w:name w:val="Table Paragraph"/>
    <w:basedOn w:val="Normal"/>
    <w:uiPriority w:val="1"/>
    <w:qFormat w:val="1"/>
    <w:rsid w:val="00203DC2"/>
    <w:pPr>
      <w:widowControl w:val="0"/>
      <w:autoSpaceDE w:val="0"/>
      <w:autoSpaceDN w:val="0"/>
      <w:spacing w:line="240" w:lineRule="auto"/>
    </w:pPr>
    <w:rPr>
      <w:rFonts w:cs="Arial" w:eastAsia="Arial"/>
      <w:szCs w:val="22"/>
    </w:rPr>
  </w:style>
  <w:style w:type="table" w:styleId="TableGrid1" w:customStyle="1">
    <w:name w:val="Table Grid1"/>
    <w:basedOn w:val="TableNormal"/>
    <w:next w:val="TableGrid"/>
    <w:uiPriority w:val="39"/>
    <w:rsid w:val="00203DC2"/>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Light">
    <w:name w:val="Grid Table Light"/>
    <w:basedOn w:val="TableNormal"/>
    <w:uiPriority w:val="40"/>
    <w:rsid w:val="00203DC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IntenseEmphasis">
    <w:name w:val="Intense Emphasis"/>
    <w:basedOn w:val="DefaultParagraphFont"/>
    <w:uiPriority w:val="21"/>
    <w:qFormat w:val="1"/>
    <w:rsid w:val="00203DC2"/>
    <w:rPr>
      <w:i w:val="1"/>
      <w:iCs w:val="1"/>
      <w:color w:val="520d5d" w:themeColor="accent1"/>
    </w:rPr>
  </w:style>
  <w:style w:type="character" w:styleId="Mention2" w:customStyle="1">
    <w:name w:val="Mention2"/>
    <w:basedOn w:val="DefaultParagraphFont"/>
    <w:uiPriority w:val="99"/>
    <w:unhideWhenUsed w:val="1"/>
    <w:rsid w:val="00203DC2"/>
    <w:rPr>
      <w:color w:val="2b579a"/>
      <w:shd w:color="auto" w:fill="e1dfdd" w:val="clear"/>
    </w:rPr>
  </w:style>
  <w:style w:type="character" w:styleId="UnresolvedMention2" w:customStyle="1">
    <w:name w:val="Unresolved Mention2"/>
    <w:basedOn w:val="DefaultParagraphFont"/>
    <w:uiPriority w:val="99"/>
    <w:unhideWhenUsed w:val="1"/>
    <w:rsid w:val="00203DC2"/>
    <w:rPr>
      <w:color w:val="605e5c"/>
      <w:shd w:color="auto" w:fill="e1dfdd" w:val="clear"/>
    </w:rPr>
  </w:style>
  <w:style w:type="character" w:styleId="Heading5Char" w:customStyle="1">
    <w:name w:val="Heading 5 Char"/>
    <w:basedOn w:val="DefaultParagraphFont"/>
    <w:link w:val="Heading5"/>
    <w:uiPriority w:val="9"/>
    <w:rsid w:val="002B210B"/>
    <w:rPr>
      <w:rFonts w:ascii="Arial" w:hAnsi="Arial"/>
      <w:color w:val="004146"/>
      <w:sz w:val="28"/>
    </w:rPr>
  </w:style>
  <w:style w:type="paragraph" w:styleId="large" w:customStyle="1">
    <w:name w:val="large"/>
    <w:basedOn w:val="Normal"/>
    <w:rsid w:val="00DC48F8"/>
    <w:pPr>
      <w:spacing w:after="100" w:afterAutospacing="1" w:before="100" w:beforeAutospacing="1" w:line="240" w:lineRule="auto"/>
    </w:pPr>
    <w:rPr>
      <w:rFonts w:ascii="Times New Roman" w:cs="Times New Roman" w:eastAsia="Times New Roman" w:hAnsi="Times New Roman"/>
      <w:sz w:val="24"/>
      <w:lang w:eastAsia="en-GB"/>
    </w:rPr>
  </w:style>
  <w:style w:type="character" w:styleId="cf01" w:customStyle="1">
    <w:name w:val="cf01"/>
    <w:basedOn w:val="DefaultParagraphFont"/>
    <w:rsid w:val="0084542C"/>
    <w:rPr>
      <w:rFonts w:ascii="Segoe UI" w:cs="Segoe UI" w:hAnsi="Segoe UI" w:hint="default"/>
      <w:sz w:val="18"/>
      <w:szCs w:val="18"/>
    </w:rPr>
  </w:style>
  <w:style w:type="paragraph" w:styleId="pf0" w:customStyle="1">
    <w:name w:val="pf0"/>
    <w:basedOn w:val="Normal"/>
    <w:rsid w:val="00AE06D3"/>
    <w:pPr>
      <w:autoSpaceDN w:val="0"/>
      <w:spacing w:after="100" w:before="100" w:line="240" w:lineRule="auto"/>
    </w:pPr>
    <w:rPr>
      <w:rFonts w:ascii="Times New Roman" w:cs="Times New Roman" w:hAnsi="Times New Roman"/>
      <w:sz w:val="24"/>
      <w:lang w:eastAsia="en-GB"/>
    </w:rPr>
  </w:style>
  <w:style w:type="character" w:styleId="cf31" w:customStyle="1">
    <w:name w:val="cf31"/>
    <w:basedOn w:val="DefaultParagraphFont"/>
    <w:rsid w:val="00AE06D3"/>
    <w:rPr>
      <w:rFonts w:ascii="Segoe UI" w:cs="Segoe UI" w:hAnsi="Segoe UI" w:hint="default"/>
      <w:b w:val="1"/>
      <w:bCs w:val="1"/>
      <w:shd w:color="auto" w:fill="ffff00" w:val="clear"/>
    </w:rPr>
  </w:style>
  <w:style w:type="paragraph" w:styleId="p1" w:customStyle="1">
    <w:name w:val="p1"/>
    <w:basedOn w:val="Normal"/>
    <w:rsid w:val="0070055D"/>
    <w:pPr>
      <w:autoSpaceDN w:val="0"/>
      <w:spacing w:after="100" w:before="100" w:line="240" w:lineRule="auto"/>
    </w:pPr>
    <w:rPr>
      <w:rFonts w:ascii="Times New Roman" w:cs="Times New Roman" w:eastAsia="Times New Roman" w:hAnsi="Times New Roman"/>
      <w:sz w:val="24"/>
      <w:lang w:eastAsia="en-GB"/>
    </w:rPr>
  </w:style>
  <w:style w:type="character" w:styleId="s1" w:customStyle="1">
    <w:name w:val="s1"/>
    <w:basedOn w:val="DefaultParagraphFont"/>
    <w:rsid w:val="0070055D"/>
  </w:style>
  <w:style w:type="character" w:styleId="FollowedHyperlink">
    <w:name w:val="FollowedHyperlink"/>
    <w:basedOn w:val="DefaultParagraphFont"/>
    <w:uiPriority w:val="99"/>
    <w:semiHidden w:val="1"/>
    <w:unhideWhenUsed w:val="1"/>
    <w:rsid w:val="00415D08"/>
    <w:rPr>
      <w:color w:val="a3648b" w:themeColor="followedHyperlink"/>
      <w:u w:val="single"/>
    </w:rPr>
  </w:style>
  <w:style w:type="paragraph" w:styleId="elementtoproof" w:customStyle="1">
    <w:name w:val="elementtoproof"/>
    <w:basedOn w:val="Normal"/>
    <w:uiPriority w:val="99"/>
    <w:semiHidden w:val="1"/>
    <w:rsid w:val="008C62EB"/>
    <w:pPr>
      <w:spacing w:line="240" w:lineRule="auto"/>
    </w:pPr>
    <w:rPr>
      <w:rFonts w:ascii="Aptos" w:cs="Aptos" w:hAnsi="Aptos"/>
      <w:sz w:val="24"/>
      <w:lang w:eastAsia="en-GB"/>
    </w:rPr>
  </w:style>
  <w:style w:type="character" w:styleId="ui-provider" w:customStyle="1">
    <w:name w:val="ui-provider"/>
    <w:basedOn w:val="DefaultParagraphFont"/>
    <w:rsid w:val="00B10DCE"/>
  </w:style>
  <w:style w:type="character" w:styleId="IntenseReference">
    <w:name w:val="Intense Reference"/>
    <w:basedOn w:val="DefaultParagraphFont"/>
    <w:uiPriority w:val="32"/>
    <w:qFormat w:val="1"/>
    <w:rsid w:val="0005642A"/>
    <w:rPr>
      <w:b w:val="1"/>
      <w:bCs w:val="1"/>
      <w:smallCaps w:val="1"/>
      <w:color w:val="3d0945" w:themeColor="accent1" w:themeShade="0000BF"/>
      <w:spacing w:val="5"/>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57.0" w:type="dxa"/>
        <w:left w:w="255.0" w:type="dxa"/>
        <w:bottom w:w="0.0" w:type="dxa"/>
        <w:right w:w="108.0" w:type="dxa"/>
      </w:tblCellMar>
    </w:tblPr>
  </w:style>
  <w:style w:type="table" w:styleId="Table6">
    <w:basedOn w:val="TableNormal"/>
    <w:rPr>
      <w:sz w:val="22"/>
      <w:szCs w:val="22"/>
    </w:rPr>
    <w:tblPr>
      <w:tblStyleRowBandSize w:val="1"/>
      <w:tblStyleColBandSize w:val="1"/>
      <w:tblCellMar>
        <w:top w:w="57.0" w:type="dxa"/>
        <w:left w:w="57.0" w:type="dxa"/>
        <w:bottom w:w="57.0" w:type="dxa"/>
        <w:right w:w="57.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footer" Target="footer2.xml"/><Relationship Id="rId10" Type="http://schemas.openxmlformats.org/officeDocument/2006/relationships/header" Target="header2.xml"/><Relationship Id="rId21" Type="http://schemas.openxmlformats.org/officeDocument/2006/relationships/header" Target="header4.xml"/><Relationship Id="rId13" Type="http://schemas.openxmlformats.org/officeDocument/2006/relationships/hyperlink" Target="https://www.cipd.org/uk/views-and-insights/cipd-viewpoint/organisational-culture/"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cipd.org/uk/knowledge/factsheets/organisational-development-factsheet/" TargetMode="External"/><Relationship Id="rId14" Type="http://schemas.openxmlformats.org/officeDocument/2006/relationships/hyperlink" Target="https://www.cipd.org/uk/knowledge/factsheets/organisation-culture-change-factsheet/" TargetMode="External"/><Relationship Id="rId17" Type="http://schemas.openxmlformats.org/officeDocument/2006/relationships/image" Target="media/image2.png"/><Relationship Id="rId16" Type="http://schemas.openxmlformats.org/officeDocument/2006/relationships/hyperlink" Target="https://youtu.be/0T_j8yCai8g" TargetMode="External"/><Relationship Id="rId5" Type="http://schemas.openxmlformats.org/officeDocument/2006/relationships/styles" Target="styles.xml"/><Relationship Id="rId19" Type="http://schemas.openxmlformats.org/officeDocument/2006/relationships/image" Target="media/image12.jpg"/><Relationship Id="rId6" Type="http://schemas.openxmlformats.org/officeDocument/2006/relationships/customXml" Target="../customXML/item1.xml"/><Relationship Id="rId18" Type="http://schemas.openxmlformats.org/officeDocument/2006/relationships/hyperlink" Target="https://www.cipd.org/uk/learning/qualifications/policies/" TargetMode="External"/><Relationship Id="rId7" Type="http://schemas.openxmlformats.org/officeDocument/2006/relationships/image" Target="media/image7.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dD8HZFsPGRNaM6zmohOrNVtieA==">CgMxLjAyDmguNmN1MW41cjZ0eWhiOAByITFxLXpTeDJremxyVE54NjE5T1oyU25sQkpRUDdaTHBjWA==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2023-03-29T10:33:00Z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