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96BF6" w:rsidRDefault="00096BF6" w:rsidP="007D1390">
      <w:pPr>
        <w:pStyle w:val="NoSpacing"/>
        <w:jc w:val="both"/>
        <w:rPr>
          <w:sz w:val="24"/>
        </w:rPr>
      </w:pPr>
      <w:r>
        <w:rPr>
          <w:sz w:val="24"/>
        </w:rPr>
        <w:t xml:space="preserve"> </w:t>
      </w:r>
    </w:p>
    <w:p w:rsidR="006F2269" w:rsidRDefault="00BE4232" w:rsidP="007D1390">
      <w:pPr>
        <w:pStyle w:val="NoSpacing"/>
        <w:jc w:val="both"/>
        <w:rPr>
          <w:sz w:val="24"/>
        </w:rPr>
      </w:pPr>
      <w:r>
        <w:rPr>
          <w:sz w:val="24"/>
        </w:rPr>
        <w:tab/>
      </w:r>
      <w:r w:rsidRPr="00BE4232">
        <w:rPr>
          <w:sz w:val="24"/>
        </w:rPr>
        <w:t xml:space="preserve">This critical review will discuss </w:t>
      </w:r>
      <w:r w:rsidR="00971A63">
        <w:rPr>
          <w:sz w:val="24"/>
        </w:rPr>
        <w:t>two pieces of academic writing. The first</w:t>
      </w:r>
      <w:r w:rsidR="00096BF6">
        <w:rPr>
          <w:sz w:val="24"/>
        </w:rPr>
        <w:t xml:space="preserve"> is</w:t>
      </w:r>
      <w:r w:rsidR="00971A63">
        <w:rPr>
          <w:sz w:val="24"/>
        </w:rPr>
        <w:t xml:space="preserve"> </w:t>
      </w:r>
      <w:r w:rsidRPr="00BE4232">
        <w:rPr>
          <w:sz w:val="24"/>
        </w:rPr>
        <w:t>an article</w:t>
      </w:r>
      <w:r w:rsidR="00971A63">
        <w:rPr>
          <w:sz w:val="24"/>
        </w:rPr>
        <w:t xml:space="preserve"> by Michael Hoskin and the second</w:t>
      </w:r>
      <w:r w:rsidRPr="00BE4232">
        <w:rPr>
          <w:sz w:val="24"/>
        </w:rPr>
        <w:t xml:space="preserve"> </w:t>
      </w:r>
      <w:r w:rsidR="00096BF6">
        <w:rPr>
          <w:sz w:val="24"/>
        </w:rPr>
        <w:t xml:space="preserve">is </w:t>
      </w:r>
      <w:r w:rsidRPr="00BE4232">
        <w:rPr>
          <w:sz w:val="24"/>
        </w:rPr>
        <w:t xml:space="preserve">a chapter of a book </w:t>
      </w:r>
      <w:r w:rsidR="00971A63">
        <w:rPr>
          <w:sz w:val="24"/>
        </w:rPr>
        <w:t xml:space="preserve">by Fabio Silva. Both focus </w:t>
      </w:r>
      <w:r w:rsidRPr="00BE4232">
        <w:rPr>
          <w:sz w:val="24"/>
        </w:rPr>
        <w:t>on N</w:t>
      </w:r>
      <w:r>
        <w:rPr>
          <w:sz w:val="24"/>
        </w:rPr>
        <w:t>e</w:t>
      </w:r>
      <w:r w:rsidRPr="00BE4232">
        <w:rPr>
          <w:sz w:val="24"/>
        </w:rPr>
        <w:t xml:space="preserve">olithic Iberian </w:t>
      </w:r>
      <w:r w:rsidR="00971A63">
        <w:rPr>
          <w:sz w:val="24"/>
        </w:rPr>
        <w:t xml:space="preserve">Megalithic </w:t>
      </w:r>
      <w:r w:rsidRPr="00BE4232">
        <w:rPr>
          <w:sz w:val="24"/>
        </w:rPr>
        <w:t>archaeology.</w:t>
      </w:r>
      <w:r w:rsidR="00971A63">
        <w:rPr>
          <w:sz w:val="24"/>
        </w:rPr>
        <w:t xml:space="preserve"> </w:t>
      </w:r>
      <w:r>
        <w:rPr>
          <w:sz w:val="24"/>
        </w:rPr>
        <w:t>The article to be first reviewed is the 'Studies in Iberian Archaeoastronomy (5) Orientations of Megalithic Tombs of Northern and Western Iberia' by Michael Hoskin</w:t>
      </w:r>
      <w:r w:rsidR="00971A63">
        <w:rPr>
          <w:sz w:val="24"/>
        </w:rPr>
        <w:t xml:space="preserve">. The article was </w:t>
      </w:r>
      <w:r>
        <w:rPr>
          <w:sz w:val="24"/>
        </w:rPr>
        <w:t>published in</w:t>
      </w:r>
      <w:r w:rsidR="00971A63">
        <w:rPr>
          <w:sz w:val="24"/>
        </w:rPr>
        <w:t xml:space="preserve"> the journal of </w:t>
      </w:r>
      <w:r>
        <w:rPr>
          <w:i/>
          <w:sz w:val="24"/>
        </w:rPr>
        <w:t>Archaeoastronomy</w:t>
      </w:r>
      <w:r w:rsidR="00BE3264">
        <w:rPr>
          <w:sz w:val="24"/>
        </w:rPr>
        <w:t xml:space="preserve">, number 23, </w:t>
      </w:r>
      <w:r w:rsidR="00971A63">
        <w:rPr>
          <w:sz w:val="24"/>
        </w:rPr>
        <w:t>i</w:t>
      </w:r>
      <w:r>
        <w:rPr>
          <w:sz w:val="24"/>
        </w:rPr>
        <w:t>n 1998.</w:t>
      </w:r>
      <w:r w:rsidR="00971A63">
        <w:rPr>
          <w:sz w:val="24"/>
        </w:rPr>
        <w:t xml:space="preserve"> </w:t>
      </w:r>
      <w:r w:rsidR="006F2269">
        <w:rPr>
          <w:sz w:val="24"/>
        </w:rPr>
        <w:t>Due to its scientific content, the article</w:t>
      </w:r>
      <w:r w:rsidR="002B6E2B">
        <w:rPr>
          <w:sz w:val="24"/>
        </w:rPr>
        <w:t xml:space="preserve"> i</w:t>
      </w:r>
      <w:r w:rsidR="006F2269">
        <w:rPr>
          <w:sz w:val="24"/>
        </w:rPr>
        <w:t>s primarily aimed at scholars</w:t>
      </w:r>
      <w:r w:rsidR="00971A63">
        <w:rPr>
          <w:sz w:val="24"/>
        </w:rPr>
        <w:t xml:space="preserve"> and students of archaeology, cosmology and archaeoastronomy. </w:t>
      </w:r>
    </w:p>
    <w:p w:rsidR="006F2269" w:rsidRDefault="00BE4232" w:rsidP="007D1390">
      <w:pPr>
        <w:pStyle w:val="NoSpacing"/>
        <w:jc w:val="both"/>
        <w:rPr>
          <w:sz w:val="24"/>
        </w:rPr>
      </w:pPr>
      <w:r>
        <w:rPr>
          <w:sz w:val="24"/>
        </w:rPr>
        <w:t xml:space="preserve"> The second review will be of Fabio Silva's chapter entitled 'The View from Within: a 'time-space-action' approach to Megalithism in Central Portugal' published in </w:t>
      </w:r>
      <w:r w:rsidR="006F2269">
        <w:rPr>
          <w:i/>
          <w:sz w:val="24"/>
        </w:rPr>
        <w:t xml:space="preserve">Skyscapes: The Role and Importance of the Sky in Archaeology' </w:t>
      </w:r>
      <w:r w:rsidR="006F2269">
        <w:rPr>
          <w:sz w:val="24"/>
        </w:rPr>
        <w:t xml:space="preserve">which was edited by Fabio Silva and Nick Campion in 2015 and published by Oxbow Books. Silva's chapter, whilst also aimed at scholars and students, </w:t>
      </w:r>
      <w:r w:rsidR="00096BF6">
        <w:rPr>
          <w:sz w:val="24"/>
        </w:rPr>
        <w:t xml:space="preserve">it </w:t>
      </w:r>
      <w:r w:rsidR="006F2269">
        <w:rPr>
          <w:sz w:val="24"/>
        </w:rPr>
        <w:t>was also written for a general public audience.</w:t>
      </w:r>
    </w:p>
    <w:p w:rsidR="00F13D41" w:rsidRPr="00127ADC" w:rsidRDefault="00F13D41" w:rsidP="007D1390">
      <w:pPr>
        <w:pStyle w:val="NoSpacing"/>
        <w:jc w:val="both"/>
        <w:rPr>
          <w:sz w:val="24"/>
        </w:rPr>
      </w:pPr>
    </w:p>
    <w:p w:rsidR="00983DF2" w:rsidRDefault="00BB55F8" w:rsidP="007D1390">
      <w:pPr>
        <w:pStyle w:val="NoSpacing"/>
        <w:jc w:val="both"/>
        <w:rPr>
          <w:sz w:val="24"/>
        </w:rPr>
      </w:pPr>
      <w:r>
        <w:rPr>
          <w:sz w:val="24"/>
        </w:rPr>
        <w:tab/>
      </w:r>
      <w:r w:rsidR="00F13D41">
        <w:rPr>
          <w:sz w:val="24"/>
        </w:rPr>
        <w:t>In the fi</w:t>
      </w:r>
      <w:r w:rsidR="005E32F7">
        <w:rPr>
          <w:sz w:val="24"/>
        </w:rPr>
        <w:t>rst part of his</w:t>
      </w:r>
      <w:r w:rsidR="00A86F71">
        <w:rPr>
          <w:sz w:val="24"/>
        </w:rPr>
        <w:t xml:space="preserve"> article, Hoskins</w:t>
      </w:r>
      <w:r w:rsidR="00F13D41">
        <w:rPr>
          <w:sz w:val="24"/>
        </w:rPr>
        <w:t xml:space="preserve"> provides a brief description of the Iberian peninsula, highlights previous research carried out in said area and then states clearly that the research conducted and published in this paper was done 'in most of the remaining regions of the peninsula where megalithic tombs are plentiful'</w:t>
      </w:r>
      <w:r w:rsidR="00D01096">
        <w:rPr>
          <w:sz w:val="24"/>
        </w:rPr>
        <w:t xml:space="preserve"> thus narrowing for the reader the area that this paper relates to.</w:t>
      </w:r>
      <w:r w:rsidR="00F13D41">
        <w:rPr>
          <w:rStyle w:val="FootnoteReference"/>
          <w:sz w:val="24"/>
        </w:rPr>
        <w:footnoteReference w:id="1"/>
      </w:r>
      <w:r w:rsidR="00D01096">
        <w:rPr>
          <w:sz w:val="24"/>
        </w:rPr>
        <w:t xml:space="preserve"> A simple map showing </w:t>
      </w:r>
      <w:r w:rsidR="00127ADC">
        <w:rPr>
          <w:sz w:val="24"/>
        </w:rPr>
        <w:t xml:space="preserve">the area in full </w:t>
      </w:r>
      <w:r w:rsidR="005E32F7">
        <w:rPr>
          <w:sz w:val="24"/>
        </w:rPr>
        <w:t xml:space="preserve">as well as </w:t>
      </w:r>
      <w:r w:rsidR="00127ADC">
        <w:rPr>
          <w:sz w:val="24"/>
        </w:rPr>
        <w:t xml:space="preserve">highlighting </w:t>
      </w:r>
      <w:r w:rsidR="005E32F7">
        <w:rPr>
          <w:sz w:val="24"/>
        </w:rPr>
        <w:t xml:space="preserve">the </w:t>
      </w:r>
      <w:r w:rsidR="00D01096">
        <w:rPr>
          <w:sz w:val="24"/>
        </w:rPr>
        <w:t xml:space="preserve">areas where </w:t>
      </w:r>
      <w:r w:rsidR="00127ADC">
        <w:rPr>
          <w:sz w:val="24"/>
        </w:rPr>
        <w:t xml:space="preserve">the </w:t>
      </w:r>
      <w:r w:rsidR="00D01096">
        <w:rPr>
          <w:sz w:val="24"/>
        </w:rPr>
        <w:t xml:space="preserve">previous research </w:t>
      </w:r>
      <w:r w:rsidR="00127ADC">
        <w:rPr>
          <w:sz w:val="24"/>
        </w:rPr>
        <w:t xml:space="preserve">had been centred </w:t>
      </w:r>
      <w:r w:rsidR="00D01096">
        <w:rPr>
          <w:sz w:val="24"/>
        </w:rPr>
        <w:t xml:space="preserve">and </w:t>
      </w:r>
      <w:r w:rsidR="00127ADC">
        <w:rPr>
          <w:sz w:val="24"/>
        </w:rPr>
        <w:t xml:space="preserve">showing where the </w:t>
      </w:r>
      <w:r w:rsidR="00D01096">
        <w:rPr>
          <w:sz w:val="24"/>
        </w:rPr>
        <w:t>current research had been carried out is also included.</w:t>
      </w:r>
      <w:r w:rsidR="00D01096">
        <w:rPr>
          <w:rStyle w:val="FootnoteReference"/>
          <w:sz w:val="24"/>
        </w:rPr>
        <w:footnoteReference w:id="2"/>
      </w:r>
      <w:r w:rsidR="00127ADC">
        <w:rPr>
          <w:sz w:val="24"/>
        </w:rPr>
        <w:t xml:space="preserve"> The map allows the reader to familiarise themselves with the area, visually, and also to highlight </w:t>
      </w:r>
      <w:r w:rsidR="005E32F7">
        <w:rPr>
          <w:sz w:val="24"/>
        </w:rPr>
        <w:t>r</w:t>
      </w:r>
      <w:r w:rsidR="00127ADC">
        <w:rPr>
          <w:sz w:val="24"/>
        </w:rPr>
        <w:t xml:space="preserve">esearch </w:t>
      </w:r>
      <w:r w:rsidR="008F20FA">
        <w:rPr>
          <w:sz w:val="24"/>
        </w:rPr>
        <w:t xml:space="preserve">already </w:t>
      </w:r>
      <w:r w:rsidR="00127ADC">
        <w:rPr>
          <w:sz w:val="24"/>
        </w:rPr>
        <w:t>conducted in the area both of which are invaluable to any student or scholar carrying out research on the subject matter.</w:t>
      </w:r>
      <w:r>
        <w:rPr>
          <w:sz w:val="24"/>
        </w:rPr>
        <w:t xml:space="preserve"> </w:t>
      </w:r>
      <w:r w:rsidR="008F20FA">
        <w:rPr>
          <w:sz w:val="24"/>
        </w:rPr>
        <w:t xml:space="preserve">Hoskin has </w:t>
      </w:r>
      <w:r>
        <w:rPr>
          <w:sz w:val="24"/>
        </w:rPr>
        <w:t xml:space="preserve">also </w:t>
      </w:r>
      <w:r w:rsidR="008F20FA">
        <w:rPr>
          <w:sz w:val="24"/>
        </w:rPr>
        <w:t>provided</w:t>
      </w:r>
      <w:r>
        <w:rPr>
          <w:sz w:val="24"/>
        </w:rPr>
        <w:t xml:space="preserve"> </w:t>
      </w:r>
      <w:r w:rsidR="008F20FA">
        <w:rPr>
          <w:sz w:val="24"/>
        </w:rPr>
        <w:t>information on the tools used in the research conducted, the type</w:t>
      </w:r>
      <w:r w:rsidR="005E32F7">
        <w:rPr>
          <w:sz w:val="24"/>
        </w:rPr>
        <w:t xml:space="preserve"> of measurements taken and </w:t>
      </w:r>
      <w:r w:rsidR="008F20FA">
        <w:rPr>
          <w:sz w:val="24"/>
        </w:rPr>
        <w:t xml:space="preserve">how the results </w:t>
      </w:r>
      <w:r w:rsidR="005E32F7">
        <w:rPr>
          <w:sz w:val="24"/>
        </w:rPr>
        <w:t xml:space="preserve">obtained </w:t>
      </w:r>
      <w:r w:rsidR="008F20FA">
        <w:rPr>
          <w:sz w:val="24"/>
        </w:rPr>
        <w:t>were calculated.</w:t>
      </w:r>
      <w:r w:rsidR="008F20FA">
        <w:rPr>
          <w:rStyle w:val="FootnoteReference"/>
          <w:sz w:val="24"/>
        </w:rPr>
        <w:footnoteReference w:id="3"/>
      </w:r>
      <w:r w:rsidR="008F20FA">
        <w:rPr>
          <w:sz w:val="24"/>
        </w:rPr>
        <w:t xml:space="preserve"> Thus allowing the reader or researcher to know the margin of error in the data provided.</w:t>
      </w:r>
    </w:p>
    <w:p w:rsidR="006608A0" w:rsidRDefault="00983DF2" w:rsidP="007D1390">
      <w:pPr>
        <w:pStyle w:val="NoSpacing"/>
        <w:jc w:val="both"/>
        <w:rPr>
          <w:sz w:val="24"/>
        </w:rPr>
      </w:pPr>
      <w:r>
        <w:rPr>
          <w:sz w:val="24"/>
        </w:rPr>
        <w:t xml:space="preserve">The article does not provide any </w:t>
      </w:r>
      <w:r w:rsidR="008A465D">
        <w:rPr>
          <w:sz w:val="24"/>
        </w:rPr>
        <w:t xml:space="preserve">new </w:t>
      </w:r>
      <w:r>
        <w:rPr>
          <w:sz w:val="24"/>
        </w:rPr>
        <w:t xml:space="preserve">interpretation of the data collected. The results are placed into </w:t>
      </w:r>
      <w:r w:rsidR="008A465D">
        <w:rPr>
          <w:sz w:val="24"/>
        </w:rPr>
        <w:t xml:space="preserve">the convention of </w:t>
      </w:r>
      <w:r>
        <w:rPr>
          <w:sz w:val="24"/>
        </w:rPr>
        <w:t>orientation</w:t>
      </w:r>
      <w:r w:rsidR="008A465D">
        <w:rPr>
          <w:sz w:val="24"/>
        </w:rPr>
        <w:t xml:space="preserve"> which shows that, of the ones measured, </w:t>
      </w:r>
      <w:r>
        <w:rPr>
          <w:sz w:val="24"/>
        </w:rPr>
        <w:t>the</w:t>
      </w:r>
      <w:r w:rsidR="008A465D">
        <w:rPr>
          <w:sz w:val="24"/>
        </w:rPr>
        <w:t xml:space="preserve"> megalithic</w:t>
      </w:r>
      <w:r>
        <w:rPr>
          <w:sz w:val="24"/>
        </w:rPr>
        <w:t xml:space="preserve"> 'tombs faced the eastern half of the horizon' and that 'nearly all tombs faced directions in which the sun rose at some time of the year.'</w:t>
      </w:r>
      <w:r>
        <w:rPr>
          <w:rStyle w:val="FootnoteReference"/>
          <w:sz w:val="24"/>
        </w:rPr>
        <w:footnoteReference w:id="4"/>
      </w:r>
      <w:r w:rsidR="008A465D">
        <w:rPr>
          <w:sz w:val="24"/>
        </w:rPr>
        <w:t xml:space="preserve"> The remainder of the article is split into the regions where the research was carried out. Each section</w:t>
      </w:r>
      <w:r w:rsidR="003F0CA6">
        <w:rPr>
          <w:sz w:val="24"/>
        </w:rPr>
        <w:t xml:space="preserve"> is labelled with a letter that</w:t>
      </w:r>
      <w:r w:rsidR="008A465D">
        <w:rPr>
          <w:sz w:val="24"/>
        </w:rPr>
        <w:t xml:space="preserve"> relates back </w:t>
      </w:r>
      <w:r w:rsidR="003F0CA6">
        <w:rPr>
          <w:sz w:val="24"/>
        </w:rPr>
        <w:t>to the original map and provides background on that specific area, a table of data showing all the measurements taken, a drawing showing the o</w:t>
      </w:r>
      <w:r w:rsidR="00FE2218">
        <w:rPr>
          <w:sz w:val="24"/>
        </w:rPr>
        <w:t>rientations of the dolmens</w:t>
      </w:r>
      <w:r w:rsidR="003F0CA6">
        <w:rPr>
          <w:sz w:val="24"/>
        </w:rPr>
        <w:t xml:space="preserve"> and a short conclusion</w:t>
      </w:r>
      <w:r w:rsidR="00FE2218">
        <w:rPr>
          <w:sz w:val="24"/>
        </w:rPr>
        <w:t xml:space="preserve"> of the data obtained.</w:t>
      </w:r>
      <w:r w:rsidR="003F0CA6">
        <w:rPr>
          <w:rStyle w:val="FootnoteReference"/>
          <w:sz w:val="24"/>
        </w:rPr>
        <w:footnoteReference w:id="5"/>
      </w:r>
      <w:r w:rsidR="006608A0">
        <w:rPr>
          <w:sz w:val="24"/>
        </w:rPr>
        <w:t xml:space="preserve"> </w:t>
      </w:r>
      <w:r w:rsidR="00BB55F8">
        <w:rPr>
          <w:sz w:val="24"/>
        </w:rPr>
        <w:t xml:space="preserve">  </w:t>
      </w:r>
    </w:p>
    <w:p w:rsidR="00DE08C6" w:rsidRDefault="00CB4990" w:rsidP="007D1390">
      <w:pPr>
        <w:pStyle w:val="NoSpacing"/>
        <w:jc w:val="both"/>
        <w:rPr>
          <w:sz w:val="24"/>
        </w:rPr>
      </w:pPr>
      <w:r>
        <w:rPr>
          <w:sz w:val="24"/>
        </w:rPr>
        <w:t xml:space="preserve">This is an article that provides large amounts of data. However, it does not provide a context </w:t>
      </w:r>
      <w:r w:rsidR="006608A0">
        <w:rPr>
          <w:sz w:val="24"/>
        </w:rPr>
        <w:t>for the</w:t>
      </w:r>
      <w:r>
        <w:rPr>
          <w:sz w:val="24"/>
        </w:rPr>
        <w:t xml:space="preserve"> interpretation</w:t>
      </w:r>
      <w:r w:rsidR="006608A0">
        <w:rPr>
          <w:sz w:val="24"/>
        </w:rPr>
        <w:t xml:space="preserve"> of the data collected</w:t>
      </w:r>
      <w:r>
        <w:rPr>
          <w:sz w:val="24"/>
        </w:rPr>
        <w:t>, other than the basic alignment of the megalith's.</w:t>
      </w:r>
      <w:r>
        <w:rPr>
          <w:rStyle w:val="FootnoteReference"/>
          <w:sz w:val="24"/>
        </w:rPr>
        <w:footnoteReference w:id="6"/>
      </w:r>
      <w:r w:rsidR="006608A0">
        <w:rPr>
          <w:sz w:val="24"/>
        </w:rPr>
        <w:t xml:space="preserve"> </w:t>
      </w:r>
      <w:r>
        <w:rPr>
          <w:sz w:val="24"/>
        </w:rPr>
        <w:t xml:space="preserve">This is, by </w:t>
      </w:r>
      <w:r w:rsidR="001D577F">
        <w:rPr>
          <w:sz w:val="24"/>
        </w:rPr>
        <w:t>Hoskins</w:t>
      </w:r>
      <w:r w:rsidR="00A86F71">
        <w:rPr>
          <w:sz w:val="24"/>
        </w:rPr>
        <w:t>'</w:t>
      </w:r>
      <w:r w:rsidR="001D577F">
        <w:rPr>
          <w:sz w:val="24"/>
        </w:rPr>
        <w:t xml:space="preserve"> own admission, </w:t>
      </w:r>
      <w:r>
        <w:rPr>
          <w:sz w:val="24"/>
        </w:rPr>
        <w:t xml:space="preserve">what the intention of the article is. It is </w:t>
      </w:r>
      <w:r w:rsidR="006608A0">
        <w:rPr>
          <w:sz w:val="24"/>
        </w:rPr>
        <w:t xml:space="preserve">data </w:t>
      </w:r>
      <w:r w:rsidR="00A47CC4">
        <w:rPr>
          <w:sz w:val="24"/>
        </w:rPr>
        <w:t>presented for other 'archaeologists and archaeoastronomers' to use and 'interpret as they see fit.'</w:t>
      </w:r>
      <w:r w:rsidR="00A47CC4">
        <w:rPr>
          <w:rStyle w:val="FootnoteReference"/>
          <w:sz w:val="24"/>
        </w:rPr>
        <w:footnoteReference w:id="7"/>
      </w:r>
      <w:r w:rsidR="006608A0">
        <w:rPr>
          <w:sz w:val="24"/>
        </w:rPr>
        <w:t xml:space="preserve"> </w:t>
      </w:r>
      <w:r w:rsidR="00FE2218">
        <w:rPr>
          <w:sz w:val="24"/>
        </w:rPr>
        <w:t>However, Hoskin and his team only took one specific measurement</w:t>
      </w:r>
      <w:r w:rsidR="00B80D70">
        <w:rPr>
          <w:sz w:val="24"/>
        </w:rPr>
        <w:t xml:space="preserve"> of alignment </w:t>
      </w:r>
      <w:r w:rsidR="00FE2218">
        <w:rPr>
          <w:sz w:val="24"/>
        </w:rPr>
        <w:t>at each site</w:t>
      </w:r>
      <w:r w:rsidR="00B80D70">
        <w:rPr>
          <w:sz w:val="24"/>
        </w:rPr>
        <w:t>. As Silva rightly points out, this does not mean that this orientation alignment was the true 'orientation as perceived by its builders' and further measurements should have been taken at each site for a more comprehensive data set.</w:t>
      </w:r>
      <w:r w:rsidR="00FE2218">
        <w:rPr>
          <w:rStyle w:val="FootnoteReference"/>
          <w:sz w:val="24"/>
        </w:rPr>
        <w:footnoteReference w:id="8"/>
      </w:r>
      <w:r w:rsidR="00C06495">
        <w:rPr>
          <w:sz w:val="24"/>
        </w:rPr>
        <w:t xml:space="preserve"> </w:t>
      </w:r>
    </w:p>
    <w:p w:rsidR="00C06495" w:rsidRPr="002537CC" w:rsidRDefault="00C06495" w:rsidP="007D1390">
      <w:pPr>
        <w:pStyle w:val="NoSpacing"/>
        <w:jc w:val="both"/>
        <w:rPr>
          <w:sz w:val="24"/>
        </w:rPr>
      </w:pPr>
      <w:r w:rsidRPr="002537CC">
        <w:rPr>
          <w:sz w:val="24"/>
        </w:rPr>
        <w:lastRenderedPageBreak/>
        <w:t xml:space="preserve">The main critique of the article would be that Hoskin interchanges the term dolmen with </w:t>
      </w:r>
      <w:r w:rsidR="00902D0B" w:rsidRPr="002537CC">
        <w:rPr>
          <w:sz w:val="24"/>
        </w:rPr>
        <w:t xml:space="preserve">the term </w:t>
      </w:r>
      <w:r w:rsidRPr="002537CC">
        <w:rPr>
          <w:sz w:val="24"/>
        </w:rPr>
        <w:t>tomb without providing any evidence that the structures surveyed contained any human remains. The terminology</w:t>
      </w:r>
      <w:r w:rsidR="002537CC" w:rsidRPr="002537CC">
        <w:rPr>
          <w:sz w:val="24"/>
        </w:rPr>
        <w:t xml:space="preserve"> used is due to 'the default assumption of archaeologist's both locally and elsewhere in Atlantic Europe.'</w:t>
      </w:r>
      <w:r w:rsidR="002537CC" w:rsidRPr="002537CC">
        <w:rPr>
          <w:rStyle w:val="FootnoteReference"/>
          <w:sz w:val="24"/>
        </w:rPr>
        <w:footnoteReference w:id="9"/>
      </w:r>
      <w:r w:rsidR="002537CC" w:rsidRPr="002537CC">
        <w:rPr>
          <w:sz w:val="24"/>
        </w:rPr>
        <w:t xml:space="preserve"> </w:t>
      </w:r>
      <w:r w:rsidR="00902D0B" w:rsidRPr="002537CC">
        <w:rPr>
          <w:sz w:val="24"/>
        </w:rPr>
        <w:t xml:space="preserve"> </w:t>
      </w:r>
      <w:r w:rsidRPr="002537CC">
        <w:rPr>
          <w:sz w:val="24"/>
        </w:rPr>
        <w:t xml:space="preserve">  </w:t>
      </w:r>
    </w:p>
    <w:p w:rsidR="006A67F3" w:rsidRDefault="006A67F3" w:rsidP="007D1390">
      <w:pPr>
        <w:pStyle w:val="NoSpacing"/>
        <w:jc w:val="both"/>
        <w:rPr>
          <w:sz w:val="24"/>
        </w:rPr>
      </w:pPr>
    </w:p>
    <w:p w:rsidR="005B0DDD" w:rsidRDefault="002537CC" w:rsidP="007D1390">
      <w:pPr>
        <w:pStyle w:val="NoSpacing"/>
        <w:jc w:val="both"/>
        <w:rPr>
          <w:sz w:val="24"/>
        </w:rPr>
      </w:pPr>
      <w:r>
        <w:rPr>
          <w:sz w:val="24"/>
        </w:rPr>
        <w:tab/>
      </w:r>
      <w:r w:rsidR="009F5B12">
        <w:rPr>
          <w:sz w:val="24"/>
        </w:rPr>
        <w:t xml:space="preserve">In the first part of </w:t>
      </w:r>
      <w:r w:rsidR="00E044AC">
        <w:rPr>
          <w:sz w:val="24"/>
        </w:rPr>
        <w:t>his</w:t>
      </w:r>
      <w:r w:rsidR="00C06495">
        <w:rPr>
          <w:sz w:val="24"/>
        </w:rPr>
        <w:t xml:space="preserve"> chapter</w:t>
      </w:r>
      <w:r w:rsidR="00E044AC">
        <w:rPr>
          <w:sz w:val="24"/>
        </w:rPr>
        <w:t>,</w:t>
      </w:r>
      <w:r w:rsidR="00C06495">
        <w:rPr>
          <w:sz w:val="24"/>
        </w:rPr>
        <w:t xml:space="preserve"> Silva describes to the reader what the term dolmen encompasses</w:t>
      </w:r>
      <w:r w:rsidR="00D745C5">
        <w:rPr>
          <w:sz w:val="24"/>
        </w:rPr>
        <w:t xml:space="preserve"> and how these and other such structures are specifically 'positioned in relation to their landscape.'</w:t>
      </w:r>
      <w:r w:rsidR="00902D0B">
        <w:rPr>
          <w:rStyle w:val="FootnoteReference"/>
          <w:sz w:val="24"/>
        </w:rPr>
        <w:footnoteReference w:id="10"/>
      </w:r>
      <w:r w:rsidR="003F4F62">
        <w:rPr>
          <w:sz w:val="24"/>
        </w:rPr>
        <w:t xml:space="preserve"> By making</w:t>
      </w:r>
      <w:r w:rsidR="005B0DDD">
        <w:rPr>
          <w:sz w:val="24"/>
        </w:rPr>
        <w:t xml:space="preserve"> this point at the beginning of the chapter, Silva is </w:t>
      </w:r>
      <w:r w:rsidR="003F4F62">
        <w:rPr>
          <w:sz w:val="24"/>
        </w:rPr>
        <w:t xml:space="preserve">pointing out </w:t>
      </w:r>
      <w:r w:rsidR="005B0DDD">
        <w:rPr>
          <w:sz w:val="24"/>
        </w:rPr>
        <w:t>to the r</w:t>
      </w:r>
      <w:r w:rsidR="003F4F62">
        <w:rPr>
          <w:sz w:val="24"/>
        </w:rPr>
        <w:t>eader the direction in which this</w:t>
      </w:r>
      <w:r w:rsidR="005B0DDD">
        <w:rPr>
          <w:sz w:val="24"/>
        </w:rPr>
        <w:t xml:space="preserve"> chapter will </w:t>
      </w:r>
      <w:r w:rsidR="003F4F62">
        <w:rPr>
          <w:sz w:val="24"/>
        </w:rPr>
        <w:t xml:space="preserve">be </w:t>
      </w:r>
      <w:r w:rsidR="005B0DDD">
        <w:rPr>
          <w:sz w:val="24"/>
        </w:rPr>
        <w:t>head</w:t>
      </w:r>
      <w:r w:rsidR="003F4F62">
        <w:rPr>
          <w:sz w:val="24"/>
        </w:rPr>
        <w:t>ing</w:t>
      </w:r>
      <w:r w:rsidR="005B0DDD">
        <w:rPr>
          <w:sz w:val="24"/>
        </w:rPr>
        <w:t>.</w:t>
      </w:r>
      <w:r w:rsidR="00D2124D">
        <w:rPr>
          <w:sz w:val="24"/>
        </w:rPr>
        <w:t xml:space="preserve"> He also states that he will be using the 'time-space-act</w:t>
      </w:r>
      <w:r w:rsidR="005E32F7">
        <w:rPr>
          <w:sz w:val="24"/>
        </w:rPr>
        <w:t>ion model</w:t>
      </w:r>
      <w:r w:rsidR="00D2124D">
        <w:rPr>
          <w:sz w:val="24"/>
        </w:rPr>
        <w:t>'</w:t>
      </w:r>
      <w:r w:rsidR="005E32F7">
        <w:rPr>
          <w:sz w:val="24"/>
        </w:rPr>
        <w:t xml:space="preserve"> which is a </w:t>
      </w:r>
      <w:r w:rsidR="00D2124D">
        <w:rPr>
          <w:sz w:val="24"/>
        </w:rPr>
        <w:t>'generic term for the expression of particular ways of seeing the world</w:t>
      </w:r>
      <w:r w:rsidR="00686167">
        <w:rPr>
          <w:sz w:val="24"/>
        </w:rPr>
        <w:t>.</w:t>
      </w:r>
      <w:r w:rsidR="00D2124D">
        <w:rPr>
          <w:sz w:val="24"/>
        </w:rPr>
        <w:t>'</w:t>
      </w:r>
      <w:r w:rsidR="005E32F7">
        <w:rPr>
          <w:rStyle w:val="FootnoteReference"/>
          <w:sz w:val="24"/>
        </w:rPr>
        <w:footnoteReference w:id="11"/>
      </w:r>
      <w:r w:rsidR="005E32F7">
        <w:rPr>
          <w:sz w:val="24"/>
        </w:rPr>
        <w:t xml:space="preserve"> </w:t>
      </w:r>
      <w:r w:rsidR="00686167">
        <w:rPr>
          <w:sz w:val="24"/>
        </w:rPr>
        <w:t xml:space="preserve">It is also </w:t>
      </w:r>
      <w:r w:rsidR="005E32F7">
        <w:rPr>
          <w:sz w:val="24"/>
        </w:rPr>
        <w:t xml:space="preserve">what is </w:t>
      </w:r>
      <w:r w:rsidR="00686167">
        <w:rPr>
          <w:sz w:val="24"/>
        </w:rPr>
        <w:t>known as a phenomenological approach</w:t>
      </w:r>
      <w:r w:rsidR="005E32F7">
        <w:rPr>
          <w:sz w:val="24"/>
        </w:rPr>
        <w:t xml:space="preserve"> to the research</w:t>
      </w:r>
      <w:r w:rsidR="00686167">
        <w:rPr>
          <w:sz w:val="24"/>
        </w:rPr>
        <w:t>.</w:t>
      </w:r>
      <w:r w:rsidR="00686167">
        <w:rPr>
          <w:rStyle w:val="FootnoteReference"/>
          <w:sz w:val="24"/>
        </w:rPr>
        <w:footnoteReference w:id="12"/>
      </w:r>
      <w:r w:rsidR="005B0DDD">
        <w:rPr>
          <w:sz w:val="24"/>
        </w:rPr>
        <w:t xml:space="preserve"> </w:t>
      </w:r>
    </w:p>
    <w:p w:rsidR="00872899" w:rsidRDefault="00217853" w:rsidP="007D1390">
      <w:pPr>
        <w:pStyle w:val="NoSpacing"/>
        <w:jc w:val="both"/>
        <w:rPr>
          <w:sz w:val="24"/>
        </w:rPr>
      </w:pPr>
      <w:r>
        <w:rPr>
          <w:sz w:val="24"/>
        </w:rPr>
        <w:t>A large section of the chapter is devoted to the history of the region and its transition from the Me</w:t>
      </w:r>
      <w:r w:rsidR="00DE5370">
        <w:rPr>
          <w:sz w:val="24"/>
        </w:rPr>
        <w:t>solithic into the Neolithic</w:t>
      </w:r>
      <w:r w:rsidR="00A47554">
        <w:rPr>
          <w:sz w:val="24"/>
        </w:rPr>
        <w:t xml:space="preserve"> providing evidence of depositions and usage of the area</w:t>
      </w:r>
      <w:r w:rsidR="005E32F7">
        <w:rPr>
          <w:sz w:val="24"/>
        </w:rPr>
        <w:t xml:space="preserve">. </w:t>
      </w:r>
      <w:r w:rsidR="00872899">
        <w:rPr>
          <w:sz w:val="24"/>
        </w:rPr>
        <w:t>Silva, rather than just regurgitating theories previously put forward, also adds his own theories in relation to the evidence supplied.</w:t>
      </w:r>
      <w:r w:rsidR="00872899">
        <w:rPr>
          <w:rStyle w:val="FootnoteReference"/>
          <w:sz w:val="24"/>
        </w:rPr>
        <w:footnoteReference w:id="13"/>
      </w:r>
      <w:r w:rsidR="00872899">
        <w:rPr>
          <w:sz w:val="24"/>
        </w:rPr>
        <w:t xml:space="preserve"> </w:t>
      </w:r>
    </w:p>
    <w:p w:rsidR="005E32F7" w:rsidRDefault="00D2124D" w:rsidP="007D1390">
      <w:pPr>
        <w:pStyle w:val="NoSpacing"/>
        <w:jc w:val="both"/>
        <w:rPr>
          <w:sz w:val="24"/>
        </w:rPr>
      </w:pPr>
      <w:r>
        <w:rPr>
          <w:sz w:val="24"/>
        </w:rPr>
        <w:t>In his chapter, Silva</w:t>
      </w:r>
      <w:r w:rsidR="00872899">
        <w:rPr>
          <w:sz w:val="24"/>
        </w:rPr>
        <w:t xml:space="preserve"> refers to the </w:t>
      </w:r>
      <w:r w:rsidR="00832BFB">
        <w:rPr>
          <w:sz w:val="24"/>
        </w:rPr>
        <w:t>work carried out by Hoskin</w:t>
      </w:r>
      <w:r w:rsidR="00521058">
        <w:rPr>
          <w:sz w:val="24"/>
        </w:rPr>
        <w:t xml:space="preserve"> and states that the 'generalized solar interpretation' </w:t>
      </w:r>
      <w:r w:rsidR="00265AC0">
        <w:rPr>
          <w:sz w:val="24"/>
        </w:rPr>
        <w:t xml:space="preserve">that Hoskin used to </w:t>
      </w:r>
      <w:r w:rsidR="00521058">
        <w:rPr>
          <w:sz w:val="24"/>
        </w:rPr>
        <w:t>explain the orientations of the dolmen's</w:t>
      </w:r>
      <w:r w:rsidR="00265AC0">
        <w:rPr>
          <w:sz w:val="24"/>
        </w:rPr>
        <w:t xml:space="preserve"> could not be applied to the 'outlier' sites and </w:t>
      </w:r>
      <w:r w:rsidR="005E32F7">
        <w:rPr>
          <w:sz w:val="24"/>
        </w:rPr>
        <w:t xml:space="preserve">it was for this </w:t>
      </w:r>
      <w:r w:rsidR="00265AC0">
        <w:rPr>
          <w:sz w:val="24"/>
        </w:rPr>
        <w:t xml:space="preserve">reason </w:t>
      </w:r>
      <w:r w:rsidR="00827251">
        <w:rPr>
          <w:sz w:val="24"/>
        </w:rPr>
        <w:t>that he decided to carry</w:t>
      </w:r>
      <w:r w:rsidR="004535C0">
        <w:rPr>
          <w:sz w:val="24"/>
        </w:rPr>
        <w:t xml:space="preserve"> </w:t>
      </w:r>
      <w:r w:rsidR="00827251">
        <w:rPr>
          <w:sz w:val="24"/>
        </w:rPr>
        <w:t>out 'a more comprehensive survey of the region.'</w:t>
      </w:r>
      <w:r w:rsidR="00832BFB">
        <w:rPr>
          <w:rStyle w:val="FootnoteReference"/>
          <w:sz w:val="24"/>
        </w:rPr>
        <w:footnoteReference w:id="14"/>
      </w:r>
      <w:r w:rsidR="00C37004">
        <w:rPr>
          <w:sz w:val="24"/>
        </w:rPr>
        <w:t xml:space="preserve"> The survey re-examined dolmen's</w:t>
      </w:r>
      <w:r w:rsidR="005E32F7">
        <w:rPr>
          <w:sz w:val="24"/>
        </w:rPr>
        <w:t xml:space="preserve"> both</w:t>
      </w:r>
      <w:r w:rsidR="00C37004">
        <w:rPr>
          <w:sz w:val="24"/>
        </w:rPr>
        <w:t xml:space="preserve"> measured </w:t>
      </w:r>
      <w:r w:rsidR="005E32F7">
        <w:rPr>
          <w:sz w:val="24"/>
        </w:rPr>
        <w:t xml:space="preserve">and those not measured </w:t>
      </w:r>
      <w:r w:rsidR="00C37004">
        <w:rPr>
          <w:sz w:val="24"/>
        </w:rPr>
        <w:t>by Hoskin</w:t>
      </w:r>
      <w:r w:rsidR="005E32F7">
        <w:rPr>
          <w:sz w:val="24"/>
        </w:rPr>
        <w:t xml:space="preserve">. The measurements taken for </w:t>
      </w:r>
      <w:r w:rsidR="00C37004">
        <w:rPr>
          <w:sz w:val="24"/>
        </w:rPr>
        <w:t>what Silva labelled</w:t>
      </w:r>
      <w:r w:rsidR="005E32F7">
        <w:rPr>
          <w:sz w:val="24"/>
        </w:rPr>
        <w:t xml:space="preserve">  the </w:t>
      </w:r>
      <w:r w:rsidR="00C37004">
        <w:rPr>
          <w:sz w:val="24"/>
        </w:rPr>
        <w:t xml:space="preserve">'window of visibility' </w:t>
      </w:r>
      <w:r w:rsidR="005E32F7">
        <w:rPr>
          <w:sz w:val="24"/>
        </w:rPr>
        <w:t>of the dolmen</w:t>
      </w:r>
      <w:r w:rsidR="00086533">
        <w:rPr>
          <w:sz w:val="24"/>
        </w:rPr>
        <w:t xml:space="preserve"> is defined as 'the maximum</w:t>
      </w:r>
      <w:r w:rsidR="00C37004">
        <w:rPr>
          <w:sz w:val="24"/>
        </w:rPr>
        <w:t xml:space="preserve"> extent of the horizon which, given the dolmen's corridor and entrance geometry, can be seen from the chamber.'</w:t>
      </w:r>
      <w:r w:rsidR="00C37004">
        <w:rPr>
          <w:rStyle w:val="FootnoteReference"/>
          <w:sz w:val="24"/>
        </w:rPr>
        <w:footnoteReference w:id="15"/>
      </w:r>
      <w:r w:rsidR="00C37004">
        <w:rPr>
          <w:sz w:val="24"/>
        </w:rPr>
        <w:t xml:space="preserve"> </w:t>
      </w:r>
      <w:r w:rsidR="005E32F7">
        <w:rPr>
          <w:sz w:val="24"/>
        </w:rPr>
        <w:t>By carrying out two additional measurements for this ‘window, Silva is adding to the data previously collected and allowing, through this additional data, further interpretations of the uses of the dolmens to be carried out.</w:t>
      </w:r>
    </w:p>
    <w:p w:rsidR="00F67522" w:rsidRDefault="00F062BB" w:rsidP="007D1390">
      <w:pPr>
        <w:pStyle w:val="NoSpacing"/>
        <w:jc w:val="both"/>
        <w:rPr>
          <w:sz w:val="24"/>
        </w:rPr>
      </w:pPr>
      <w:r>
        <w:rPr>
          <w:sz w:val="24"/>
        </w:rPr>
        <w:t xml:space="preserve">Silva's chapter focus' on the specific landscape of the </w:t>
      </w:r>
      <w:r w:rsidRPr="00F062BB">
        <w:rPr>
          <w:i/>
          <w:sz w:val="24"/>
        </w:rPr>
        <w:t>Serra da Esrela</w:t>
      </w:r>
      <w:r>
        <w:rPr>
          <w:sz w:val="24"/>
        </w:rPr>
        <w:t xml:space="preserve"> region</w:t>
      </w:r>
      <w:r w:rsidR="0069168F">
        <w:rPr>
          <w:sz w:val="24"/>
        </w:rPr>
        <w:t xml:space="preserve"> and believes that the mountain range 'acted as a foresight' for important astronomical events that may have taken place</w:t>
      </w:r>
      <w:r w:rsidR="005E32F7">
        <w:rPr>
          <w:sz w:val="24"/>
        </w:rPr>
        <w:t xml:space="preserve"> in this area</w:t>
      </w:r>
      <w:r>
        <w:rPr>
          <w:sz w:val="24"/>
        </w:rPr>
        <w:t>.</w:t>
      </w:r>
      <w:r>
        <w:rPr>
          <w:rStyle w:val="FootnoteReference"/>
          <w:sz w:val="24"/>
        </w:rPr>
        <w:footnoteReference w:id="16"/>
      </w:r>
      <w:r w:rsidR="0069168F">
        <w:rPr>
          <w:sz w:val="24"/>
        </w:rPr>
        <w:t xml:space="preserve"> From the measurements car</w:t>
      </w:r>
      <w:r w:rsidR="005E32F7">
        <w:rPr>
          <w:sz w:val="24"/>
        </w:rPr>
        <w:t>r</w:t>
      </w:r>
      <w:r w:rsidR="0069168F">
        <w:rPr>
          <w:sz w:val="24"/>
        </w:rPr>
        <w:t xml:space="preserve">ied out, Silva concludes that </w:t>
      </w:r>
      <w:r w:rsidR="005E32F7">
        <w:rPr>
          <w:sz w:val="24"/>
        </w:rPr>
        <w:t xml:space="preserve">it is </w:t>
      </w:r>
      <w:r w:rsidR="0069168F">
        <w:rPr>
          <w:sz w:val="24"/>
        </w:rPr>
        <w:t xml:space="preserve">the star Aldebaran </w:t>
      </w:r>
      <w:r w:rsidR="00C55433">
        <w:rPr>
          <w:sz w:val="24"/>
        </w:rPr>
        <w:t xml:space="preserve">that </w:t>
      </w:r>
      <w:r w:rsidR="0069168F">
        <w:rPr>
          <w:sz w:val="24"/>
        </w:rPr>
        <w:t>would have been 'visible f</w:t>
      </w:r>
      <w:r w:rsidR="00F67522">
        <w:rPr>
          <w:sz w:val="24"/>
        </w:rPr>
        <w:t>rom within all corridor dolmens</w:t>
      </w:r>
      <w:r w:rsidR="0069168F">
        <w:rPr>
          <w:sz w:val="24"/>
        </w:rPr>
        <w:t>'</w:t>
      </w:r>
      <w:r w:rsidR="00F67522">
        <w:rPr>
          <w:sz w:val="24"/>
        </w:rPr>
        <w:t xml:space="preserve"> and that it's rising would be the marker for the inhabitants of the region to know it was time to move their settlements to higher ground</w:t>
      </w:r>
      <w:r w:rsidR="00C55433">
        <w:rPr>
          <w:sz w:val="24"/>
        </w:rPr>
        <w:t>, since they were seasonal hunter-gatherers</w:t>
      </w:r>
      <w:r w:rsidR="00F67522">
        <w:rPr>
          <w:sz w:val="24"/>
        </w:rPr>
        <w:t>.</w:t>
      </w:r>
      <w:r w:rsidR="0069168F">
        <w:rPr>
          <w:rStyle w:val="FootnoteReference"/>
          <w:sz w:val="24"/>
        </w:rPr>
        <w:footnoteReference w:id="17"/>
      </w:r>
    </w:p>
    <w:p w:rsidR="000D150C" w:rsidRDefault="00F67522" w:rsidP="007D1390">
      <w:pPr>
        <w:pStyle w:val="NoSpacing"/>
        <w:jc w:val="both"/>
        <w:rPr>
          <w:sz w:val="24"/>
        </w:rPr>
      </w:pPr>
      <w:r>
        <w:rPr>
          <w:sz w:val="24"/>
        </w:rPr>
        <w:t>Silva provides e</w:t>
      </w:r>
      <w:r w:rsidR="00C55433">
        <w:rPr>
          <w:sz w:val="24"/>
        </w:rPr>
        <w:t>xtremely detailed context to all</w:t>
      </w:r>
      <w:r>
        <w:rPr>
          <w:sz w:val="24"/>
        </w:rPr>
        <w:t xml:space="preserve"> </w:t>
      </w:r>
      <w:r w:rsidR="00C55433">
        <w:rPr>
          <w:sz w:val="24"/>
        </w:rPr>
        <w:t>of the evidence that he uses</w:t>
      </w:r>
      <w:r>
        <w:rPr>
          <w:sz w:val="24"/>
        </w:rPr>
        <w:t xml:space="preserve"> in</w:t>
      </w:r>
      <w:r w:rsidR="005C0223">
        <w:rPr>
          <w:sz w:val="24"/>
        </w:rPr>
        <w:t xml:space="preserve"> his chapter, even providing more than one hypothesis for a specific set of data.</w:t>
      </w:r>
      <w:r w:rsidR="005C0223">
        <w:rPr>
          <w:rStyle w:val="FootnoteReference"/>
          <w:sz w:val="24"/>
        </w:rPr>
        <w:footnoteReference w:id="18"/>
      </w:r>
      <w:r w:rsidR="005C0223">
        <w:rPr>
          <w:sz w:val="24"/>
        </w:rPr>
        <w:t xml:space="preserve"> This shows the reader that the information prov</w:t>
      </w:r>
      <w:r w:rsidR="00C55433">
        <w:rPr>
          <w:sz w:val="24"/>
        </w:rPr>
        <w:t xml:space="preserve">ided to them is well researched </w:t>
      </w:r>
      <w:r w:rsidR="005C0223">
        <w:rPr>
          <w:sz w:val="24"/>
        </w:rPr>
        <w:t xml:space="preserve">and not biased towards one specific theory. </w:t>
      </w:r>
    </w:p>
    <w:p w:rsidR="00217853" w:rsidRDefault="005C0223" w:rsidP="007D1390">
      <w:pPr>
        <w:pStyle w:val="NoSpacing"/>
        <w:jc w:val="both"/>
        <w:rPr>
          <w:sz w:val="24"/>
        </w:rPr>
      </w:pPr>
      <w:r>
        <w:rPr>
          <w:sz w:val="24"/>
        </w:rPr>
        <w:t>As it is believed that dolmen's are tombs for the dead, Silva includes this theory in his chapter.</w:t>
      </w:r>
      <w:r>
        <w:rPr>
          <w:rStyle w:val="FootnoteReference"/>
          <w:sz w:val="24"/>
        </w:rPr>
        <w:footnoteReference w:id="19"/>
      </w:r>
      <w:r>
        <w:rPr>
          <w:sz w:val="24"/>
        </w:rPr>
        <w:t xml:space="preserve"> However, he is quick to point out to his </w:t>
      </w:r>
      <w:r w:rsidR="000D150C">
        <w:rPr>
          <w:sz w:val="24"/>
        </w:rPr>
        <w:t>readership</w:t>
      </w:r>
      <w:r>
        <w:rPr>
          <w:sz w:val="24"/>
        </w:rPr>
        <w:t xml:space="preserve"> that evidence for the structures being tombs is scarce and </w:t>
      </w:r>
      <w:r w:rsidR="00C55433">
        <w:rPr>
          <w:sz w:val="24"/>
        </w:rPr>
        <w:t xml:space="preserve">this may </w:t>
      </w:r>
      <w:r>
        <w:rPr>
          <w:sz w:val="24"/>
        </w:rPr>
        <w:t>be attributed to the acidic soil in the region.</w:t>
      </w:r>
      <w:r>
        <w:rPr>
          <w:rStyle w:val="FootnoteReference"/>
          <w:sz w:val="24"/>
        </w:rPr>
        <w:footnoteReference w:id="20"/>
      </w:r>
      <w:r>
        <w:rPr>
          <w:sz w:val="24"/>
        </w:rPr>
        <w:t xml:space="preserve"> </w:t>
      </w:r>
      <w:r w:rsidR="00547CA4">
        <w:rPr>
          <w:sz w:val="24"/>
        </w:rPr>
        <w:t>Yet Silva, in his final section of th</w:t>
      </w:r>
      <w:r w:rsidR="000D150C">
        <w:rPr>
          <w:sz w:val="24"/>
        </w:rPr>
        <w:t>e</w:t>
      </w:r>
      <w:r w:rsidR="00547CA4">
        <w:rPr>
          <w:sz w:val="24"/>
        </w:rPr>
        <w:t xml:space="preserve"> chapter, states that the maj</w:t>
      </w:r>
      <w:r w:rsidR="000D150C">
        <w:rPr>
          <w:sz w:val="24"/>
        </w:rPr>
        <w:t xml:space="preserve">ority of the evidence found in </w:t>
      </w:r>
      <w:r w:rsidR="000D150C">
        <w:rPr>
          <w:sz w:val="24"/>
        </w:rPr>
        <w:lastRenderedPageBreak/>
        <w:t xml:space="preserve">the </w:t>
      </w:r>
      <w:r w:rsidR="00C55433">
        <w:rPr>
          <w:sz w:val="24"/>
        </w:rPr>
        <w:t xml:space="preserve">dolmen’s was in the forecourt area and that this </w:t>
      </w:r>
      <w:r w:rsidR="000D150C">
        <w:rPr>
          <w:sz w:val="24"/>
        </w:rPr>
        <w:t>points towards ceremonies taking place at the structures, most likely for initiation purposes.</w:t>
      </w:r>
      <w:r w:rsidR="000D150C">
        <w:rPr>
          <w:rStyle w:val="FootnoteReference"/>
          <w:sz w:val="24"/>
        </w:rPr>
        <w:footnoteReference w:id="21"/>
      </w:r>
      <w:r w:rsidR="00E47CB7">
        <w:rPr>
          <w:sz w:val="24"/>
        </w:rPr>
        <w:t xml:space="preserve"> In the conclusion of the chapter, Silva who has presented his readers with numerous hypothesis'</w:t>
      </w:r>
      <w:r w:rsidR="009D23C7">
        <w:rPr>
          <w:sz w:val="24"/>
        </w:rPr>
        <w:t xml:space="preserve"> so far</w:t>
      </w:r>
      <w:r w:rsidR="00E47CB7">
        <w:rPr>
          <w:sz w:val="24"/>
        </w:rPr>
        <w:t xml:space="preserve">, </w:t>
      </w:r>
      <w:r w:rsidR="009D23C7">
        <w:rPr>
          <w:sz w:val="24"/>
        </w:rPr>
        <w:t xml:space="preserve">states that he believes that the dolmen's themselves were built for more than one use and that they were 'the very materialization of liminality' considering their location, their alignments and their uses.  </w:t>
      </w:r>
      <w:r w:rsidR="006F6F6C">
        <w:rPr>
          <w:sz w:val="24"/>
        </w:rPr>
        <w:t xml:space="preserve">  </w:t>
      </w:r>
      <w:r w:rsidR="000D150C">
        <w:rPr>
          <w:sz w:val="24"/>
        </w:rPr>
        <w:t xml:space="preserve">   </w:t>
      </w:r>
      <w:r w:rsidR="00547CA4">
        <w:rPr>
          <w:sz w:val="24"/>
        </w:rPr>
        <w:t xml:space="preserve"> </w:t>
      </w:r>
      <w:r>
        <w:rPr>
          <w:sz w:val="24"/>
        </w:rPr>
        <w:t xml:space="preserve">  </w:t>
      </w:r>
      <w:r w:rsidR="00F67522">
        <w:rPr>
          <w:sz w:val="24"/>
        </w:rPr>
        <w:t xml:space="preserve">  </w:t>
      </w:r>
      <w:r w:rsidR="00872899">
        <w:rPr>
          <w:sz w:val="24"/>
        </w:rPr>
        <w:t xml:space="preserve"> </w:t>
      </w:r>
      <w:r w:rsidR="00A47554">
        <w:rPr>
          <w:sz w:val="24"/>
        </w:rPr>
        <w:t xml:space="preserve">   </w:t>
      </w:r>
    </w:p>
    <w:p w:rsidR="006F2269" w:rsidRPr="00AC1F21" w:rsidRDefault="006F2269" w:rsidP="007D1390">
      <w:pPr>
        <w:pStyle w:val="NoSpacing"/>
        <w:jc w:val="both"/>
        <w:rPr>
          <w:b/>
          <w:sz w:val="24"/>
        </w:rPr>
      </w:pPr>
      <w:r>
        <w:rPr>
          <w:sz w:val="24"/>
        </w:rPr>
        <w:t xml:space="preserve"> </w:t>
      </w:r>
    </w:p>
    <w:p w:rsidR="005920D7" w:rsidRDefault="00E47CB7" w:rsidP="007D1390">
      <w:pPr>
        <w:pStyle w:val="NoSpacing"/>
        <w:ind w:firstLine="720"/>
        <w:jc w:val="both"/>
        <w:rPr>
          <w:sz w:val="24"/>
        </w:rPr>
      </w:pPr>
      <w:r>
        <w:rPr>
          <w:sz w:val="24"/>
        </w:rPr>
        <w:t xml:space="preserve">The two works which have been reviewed could not be more different in content. </w:t>
      </w:r>
      <w:r w:rsidR="009D23C7">
        <w:rPr>
          <w:sz w:val="24"/>
        </w:rPr>
        <w:t xml:space="preserve">Hoskin's article was one that was data driven and primarily was written to provide a platform in which to present all the data that he and his team had collected. </w:t>
      </w:r>
      <w:r w:rsidR="00E044AC">
        <w:rPr>
          <w:sz w:val="24"/>
        </w:rPr>
        <w:t xml:space="preserve">The article does was it was originally set out to do, albeit in a restricted fashion due to the terminology used and only one specific measurement </w:t>
      </w:r>
      <w:r w:rsidR="00C55433">
        <w:rPr>
          <w:sz w:val="24"/>
        </w:rPr>
        <w:t xml:space="preserve">being </w:t>
      </w:r>
      <w:r w:rsidR="00E044AC">
        <w:rPr>
          <w:sz w:val="24"/>
        </w:rPr>
        <w:t xml:space="preserve">taken at each site. </w:t>
      </w:r>
      <w:r w:rsidR="009D23C7">
        <w:rPr>
          <w:sz w:val="24"/>
        </w:rPr>
        <w:t xml:space="preserve">Yet </w:t>
      </w:r>
      <w:r w:rsidR="00D0268B">
        <w:rPr>
          <w:sz w:val="24"/>
        </w:rPr>
        <w:t xml:space="preserve">Silva's chapter, whilst it does contain some scientific data, it is not data led and includes </w:t>
      </w:r>
      <w:r w:rsidR="009D23C7">
        <w:rPr>
          <w:sz w:val="24"/>
        </w:rPr>
        <w:t xml:space="preserve">hypothesis and </w:t>
      </w:r>
      <w:r w:rsidR="00D0268B">
        <w:rPr>
          <w:sz w:val="24"/>
        </w:rPr>
        <w:t xml:space="preserve">context to explain the </w:t>
      </w:r>
      <w:r w:rsidR="009D23C7">
        <w:rPr>
          <w:sz w:val="24"/>
        </w:rPr>
        <w:t>data and evidence provided.</w:t>
      </w:r>
      <w:r w:rsidR="00E044AC">
        <w:rPr>
          <w:sz w:val="24"/>
        </w:rPr>
        <w:t xml:space="preserve"> Silva's article was harder to critique than Hoskin's since it contained large numbers of hypothesis' and lots of contextual evidence to back up the theories</w:t>
      </w:r>
      <w:r w:rsidR="00C55433">
        <w:rPr>
          <w:sz w:val="24"/>
        </w:rPr>
        <w:t xml:space="preserve"> presented</w:t>
      </w:r>
      <w:r w:rsidR="00E044AC">
        <w:rPr>
          <w:sz w:val="24"/>
        </w:rPr>
        <w:t xml:space="preserve">. Neither author's presentation of their data was right or wrong, it is just completely different. </w:t>
      </w:r>
    </w:p>
    <w:p w:rsidR="007D1390" w:rsidRDefault="007D1390" w:rsidP="00D0268B">
      <w:pPr>
        <w:pStyle w:val="NoSpacing"/>
        <w:spacing w:line="480" w:lineRule="auto"/>
        <w:jc w:val="both"/>
        <w:rPr>
          <w:sz w:val="24"/>
        </w:rPr>
      </w:pPr>
    </w:p>
    <w:p w:rsidR="00C55433" w:rsidRDefault="00C55433" w:rsidP="00D0268B">
      <w:pPr>
        <w:pStyle w:val="NoSpacing"/>
        <w:spacing w:line="480" w:lineRule="auto"/>
        <w:jc w:val="both"/>
        <w:rPr>
          <w:sz w:val="24"/>
        </w:rPr>
      </w:pPr>
      <w:bookmarkStart w:id="0" w:name="_GoBack"/>
      <w:bookmarkEnd w:id="0"/>
      <w:r>
        <w:rPr>
          <w:sz w:val="24"/>
        </w:rPr>
        <w:t>Word count: 1407</w:t>
      </w:r>
    </w:p>
    <w:p w:rsidR="005920D7" w:rsidRDefault="005920D7" w:rsidP="00D0268B">
      <w:pPr>
        <w:pStyle w:val="NoSpacing"/>
        <w:spacing w:line="480" w:lineRule="auto"/>
        <w:jc w:val="both"/>
        <w:rPr>
          <w:sz w:val="24"/>
        </w:rPr>
      </w:pPr>
    </w:p>
    <w:p w:rsidR="005920D7" w:rsidRDefault="005920D7" w:rsidP="00D0268B">
      <w:pPr>
        <w:pStyle w:val="NoSpacing"/>
        <w:spacing w:line="480" w:lineRule="auto"/>
        <w:jc w:val="both"/>
        <w:rPr>
          <w:sz w:val="24"/>
        </w:rPr>
      </w:pPr>
    </w:p>
    <w:p w:rsidR="005920D7" w:rsidRDefault="005920D7" w:rsidP="00D0268B">
      <w:pPr>
        <w:pStyle w:val="NoSpacing"/>
        <w:spacing w:line="480" w:lineRule="auto"/>
        <w:jc w:val="both"/>
        <w:rPr>
          <w:sz w:val="24"/>
        </w:rPr>
      </w:pPr>
    </w:p>
    <w:p w:rsidR="005920D7" w:rsidRDefault="005920D7" w:rsidP="00D0268B">
      <w:pPr>
        <w:pStyle w:val="NoSpacing"/>
        <w:spacing w:line="480" w:lineRule="auto"/>
        <w:jc w:val="both"/>
        <w:rPr>
          <w:sz w:val="24"/>
        </w:rPr>
      </w:pPr>
    </w:p>
    <w:p w:rsidR="005920D7" w:rsidRDefault="005920D7" w:rsidP="00D0268B">
      <w:pPr>
        <w:pStyle w:val="NoSpacing"/>
        <w:spacing w:line="480" w:lineRule="auto"/>
        <w:jc w:val="both"/>
        <w:rPr>
          <w:sz w:val="24"/>
        </w:rPr>
      </w:pPr>
    </w:p>
    <w:p w:rsidR="005920D7" w:rsidRDefault="005920D7" w:rsidP="00D0268B">
      <w:pPr>
        <w:pStyle w:val="NoSpacing"/>
        <w:spacing w:line="480" w:lineRule="auto"/>
        <w:jc w:val="both"/>
        <w:rPr>
          <w:sz w:val="24"/>
        </w:rPr>
      </w:pPr>
    </w:p>
    <w:p w:rsidR="005920D7" w:rsidRDefault="005920D7" w:rsidP="00D0268B">
      <w:pPr>
        <w:pStyle w:val="NoSpacing"/>
        <w:spacing w:line="480" w:lineRule="auto"/>
        <w:jc w:val="both"/>
        <w:rPr>
          <w:sz w:val="24"/>
        </w:rPr>
      </w:pPr>
    </w:p>
    <w:p w:rsidR="005920D7" w:rsidRDefault="005920D7" w:rsidP="00D0268B">
      <w:pPr>
        <w:pStyle w:val="NoSpacing"/>
        <w:spacing w:line="480" w:lineRule="auto"/>
        <w:jc w:val="both"/>
        <w:rPr>
          <w:sz w:val="24"/>
        </w:rPr>
      </w:pPr>
    </w:p>
    <w:p w:rsidR="005920D7" w:rsidRDefault="005920D7" w:rsidP="00D0268B">
      <w:pPr>
        <w:pStyle w:val="NoSpacing"/>
        <w:spacing w:line="480" w:lineRule="auto"/>
        <w:jc w:val="both"/>
        <w:rPr>
          <w:sz w:val="24"/>
        </w:rPr>
      </w:pPr>
    </w:p>
    <w:p w:rsidR="005920D7" w:rsidRDefault="005920D7" w:rsidP="00D0268B">
      <w:pPr>
        <w:pStyle w:val="NoSpacing"/>
        <w:spacing w:line="480" w:lineRule="auto"/>
        <w:jc w:val="both"/>
        <w:rPr>
          <w:sz w:val="24"/>
        </w:rPr>
      </w:pPr>
    </w:p>
    <w:p w:rsidR="005920D7" w:rsidRDefault="005920D7" w:rsidP="00D0268B">
      <w:pPr>
        <w:pStyle w:val="NoSpacing"/>
        <w:spacing w:line="480" w:lineRule="auto"/>
        <w:jc w:val="both"/>
        <w:rPr>
          <w:sz w:val="24"/>
        </w:rPr>
      </w:pPr>
    </w:p>
    <w:p w:rsidR="005920D7" w:rsidRDefault="005920D7" w:rsidP="00D0268B">
      <w:pPr>
        <w:pStyle w:val="NoSpacing"/>
        <w:spacing w:line="480" w:lineRule="auto"/>
        <w:jc w:val="both"/>
        <w:rPr>
          <w:sz w:val="24"/>
        </w:rPr>
      </w:pPr>
    </w:p>
    <w:p w:rsidR="005920D7" w:rsidRDefault="005920D7" w:rsidP="00D0268B">
      <w:pPr>
        <w:pStyle w:val="NoSpacing"/>
        <w:spacing w:line="480" w:lineRule="auto"/>
        <w:jc w:val="both"/>
        <w:rPr>
          <w:sz w:val="24"/>
        </w:rPr>
      </w:pPr>
    </w:p>
    <w:p w:rsidR="005920D7" w:rsidRDefault="005920D7" w:rsidP="00D0268B">
      <w:pPr>
        <w:pStyle w:val="NoSpacing"/>
        <w:spacing w:line="480" w:lineRule="auto"/>
        <w:jc w:val="both"/>
        <w:rPr>
          <w:sz w:val="24"/>
        </w:rPr>
      </w:pPr>
    </w:p>
    <w:p w:rsidR="007D1390" w:rsidRDefault="007D1390" w:rsidP="00D0268B">
      <w:pPr>
        <w:pStyle w:val="NoSpacing"/>
        <w:spacing w:line="480" w:lineRule="auto"/>
        <w:jc w:val="both"/>
        <w:rPr>
          <w:sz w:val="24"/>
        </w:rPr>
      </w:pPr>
    </w:p>
    <w:p w:rsidR="007D1390" w:rsidRDefault="007D1390" w:rsidP="00D0268B">
      <w:pPr>
        <w:pStyle w:val="NoSpacing"/>
        <w:spacing w:line="480" w:lineRule="auto"/>
        <w:jc w:val="both"/>
        <w:rPr>
          <w:sz w:val="24"/>
        </w:rPr>
      </w:pPr>
    </w:p>
    <w:p w:rsidR="005920D7" w:rsidRDefault="005920D7" w:rsidP="00D0268B">
      <w:pPr>
        <w:pStyle w:val="NoSpacing"/>
        <w:spacing w:line="480" w:lineRule="auto"/>
        <w:jc w:val="both"/>
        <w:rPr>
          <w:sz w:val="24"/>
        </w:rPr>
      </w:pPr>
    </w:p>
    <w:p w:rsidR="00C55433" w:rsidRDefault="00C55433" w:rsidP="00C55433">
      <w:pPr>
        <w:pStyle w:val="NoSpacing"/>
        <w:spacing w:line="480" w:lineRule="auto"/>
        <w:jc w:val="center"/>
        <w:rPr>
          <w:b/>
          <w:sz w:val="28"/>
        </w:rPr>
      </w:pPr>
      <w:r>
        <w:rPr>
          <w:b/>
          <w:sz w:val="28"/>
        </w:rPr>
        <w:t>Bibliography</w:t>
      </w:r>
    </w:p>
    <w:p w:rsidR="00C55433" w:rsidRDefault="00C55433" w:rsidP="00C55433">
      <w:pPr>
        <w:pStyle w:val="Bibliography"/>
        <w:rPr>
          <w:noProof/>
        </w:rPr>
      </w:pPr>
      <w:r>
        <w:rPr>
          <w:b/>
          <w:sz w:val="28"/>
        </w:rPr>
        <w:fldChar w:fldCharType="begin"/>
      </w:r>
      <w:r>
        <w:rPr>
          <w:b/>
          <w:sz w:val="28"/>
        </w:rPr>
        <w:instrText xml:space="preserve"> BIBLIOGRAPHY  \l 2057 </w:instrText>
      </w:r>
      <w:r>
        <w:rPr>
          <w:b/>
          <w:sz w:val="28"/>
        </w:rPr>
        <w:fldChar w:fldCharType="separate"/>
      </w:r>
      <w:r>
        <w:rPr>
          <w:noProof/>
        </w:rPr>
        <w:t xml:space="preserve">Darvill, T., 1999. The historic environment, historic landscapes, and space-time-action models in landscape archaeology. In: P. J. Ucko &amp; R. Layton, eds. </w:t>
      </w:r>
      <w:r>
        <w:rPr>
          <w:i/>
          <w:iCs/>
          <w:noProof/>
        </w:rPr>
        <w:t xml:space="preserve">The Archaeology and Anthropology of Landscape. </w:t>
      </w:r>
      <w:r>
        <w:rPr>
          <w:noProof/>
        </w:rPr>
        <w:t>London and New York: Routledge, pp. 104-118.</w:t>
      </w:r>
    </w:p>
    <w:p w:rsidR="00C55433" w:rsidRDefault="00C55433" w:rsidP="00C55433">
      <w:pPr>
        <w:pStyle w:val="Bibliography"/>
        <w:rPr>
          <w:noProof/>
        </w:rPr>
      </w:pPr>
      <w:r>
        <w:rPr>
          <w:noProof/>
        </w:rPr>
        <w:t xml:space="preserve">Hoskin, M., 1998. Studies in Iberian Archaeostronomy: (5) Orientations of Megalithic Tombs of Northern and Western Iberia. </w:t>
      </w:r>
      <w:r>
        <w:rPr>
          <w:i/>
          <w:iCs/>
          <w:noProof/>
        </w:rPr>
        <w:t xml:space="preserve">Archaeostronomy, </w:t>
      </w:r>
      <w:r>
        <w:rPr>
          <w:noProof/>
        </w:rPr>
        <w:t>Volume 23, pp. S39-S48.</w:t>
      </w:r>
    </w:p>
    <w:p w:rsidR="00C55433" w:rsidRDefault="00C55433" w:rsidP="00C55433">
      <w:pPr>
        <w:pStyle w:val="Bibliography"/>
        <w:rPr>
          <w:noProof/>
        </w:rPr>
      </w:pPr>
      <w:r>
        <w:rPr>
          <w:noProof/>
        </w:rPr>
        <w:t xml:space="preserve">Ruggles, C. L., 2015. Nature and Analysis of Material Evidence Relevant to Archaeostronomy. In: C. L. Ruggles, ed. </w:t>
      </w:r>
      <w:r>
        <w:rPr>
          <w:i/>
          <w:iCs/>
          <w:noProof/>
        </w:rPr>
        <w:t xml:space="preserve">Handbook of Archaeostronomy and Ethnoastronomy. </w:t>
      </w:r>
      <w:r>
        <w:rPr>
          <w:noProof/>
        </w:rPr>
        <w:t>New York: Springer Science+Business Media, pp. 353-372.</w:t>
      </w:r>
    </w:p>
    <w:p w:rsidR="00C55433" w:rsidRDefault="00C55433" w:rsidP="00C55433">
      <w:pPr>
        <w:pStyle w:val="Bibliography"/>
        <w:rPr>
          <w:noProof/>
        </w:rPr>
      </w:pPr>
      <w:r>
        <w:rPr>
          <w:noProof/>
        </w:rPr>
        <w:t xml:space="preserve">Silva, F., 2014. A tomb with a View. </w:t>
      </w:r>
      <w:r>
        <w:rPr>
          <w:i/>
          <w:iCs/>
          <w:noProof/>
        </w:rPr>
        <w:t xml:space="preserve">Advances in Archaeological Practice: A Journal of the society for American Archaeology, </w:t>
      </w:r>
      <w:r>
        <w:rPr>
          <w:noProof/>
        </w:rPr>
        <w:t>Volume February, pp. 24-37.</w:t>
      </w:r>
    </w:p>
    <w:p w:rsidR="00C55433" w:rsidRDefault="00C55433" w:rsidP="00C55433">
      <w:pPr>
        <w:pStyle w:val="Bibliography"/>
        <w:rPr>
          <w:noProof/>
        </w:rPr>
      </w:pPr>
      <w:r>
        <w:rPr>
          <w:noProof/>
        </w:rPr>
        <w:t xml:space="preserve">Silva, F., 2015. The View from Within: a 'time-space-action' approach to Megalithism in Central Portugal. In: F. Silva &amp; N. Campion, eds. </w:t>
      </w:r>
      <w:r>
        <w:rPr>
          <w:i/>
          <w:iCs/>
          <w:noProof/>
        </w:rPr>
        <w:t xml:space="preserve">Skyscapes: The Role and Importance of the Sky in Archaeology. </w:t>
      </w:r>
      <w:r>
        <w:rPr>
          <w:noProof/>
        </w:rPr>
        <w:t>Oxford: Oxbow Books, pp. 120-139.</w:t>
      </w:r>
    </w:p>
    <w:p w:rsidR="00C55433" w:rsidRDefault="00C55433" w:rsidP="00C55433">
      <w:pPr>
        <w:pStyle w:val="Bibliography"/>
        <w:rPr>
          <w:noProof/>
        </w:rPr>
      </w:pPr>
      <w:r>
        <w:rPr>
          <w:noProof/>
        </w:rPr>
        <w:t xml:space="preserve">Tilley, C., 1994. </w:t>
      </w:r>
      <w:r>
        <w:rPr>
          <w:i/>
          <w:iCs/>
          <w:noProof/>
        </w:rPr>
        <w:t xml:space="preserve">A Phenomenology of Landscape Places, Paths and Monuments. </w:t>
      </w:r>
      <w:r>
        <w:rPr>
          <w:noProof/>
        </w:rPr>
        <w:t>Oxford and Providence: BERG.</w:t>
      </w:r>
    </w:p>
    <w:p w:rsidR="00C51885" w:rsidRPr="005920D7" w:rsidRDefault="00C55433" w:rsidP="00C55433">
      <w:pPr>
        <w:pStyle w:val="NoSpacing"/>
        <w:spacing w:line="480" w:lineRule="auto"/>
        <w:jc w:val="both"/>
        <w:rPr>
          <w:b/>
          <w:sz w:val="28"/>
        </w:rPr>
      </w:pPr>
      <w:r>
        <w:rPr>
          <w:b/>
          <w:sz w:val="28"/>
        </w:rPr>
        <w:fldChar w:fldCharType="end"/>
      </w:r>
    </w:p>
    <w:p w:rsidR="00D0268B" w:rsidRDefault="00E044AC" w:rsidP="00D0268B">
      <w:pPr>
        <w:pStyle w:val="NoSpacing"/>
        <w:spacing w:line="480" w:lineRule="auto"/>
        <w:jc w:val="both"/>
        <w:rPr>
          <w:sz w:val="24"/>
        </w:rPr>
      </w:pPr>
      <w:r>
        <w:rPr>
          <w:sz w:val="24"/>
        </w:rPr>
        <w:t xml:space="preserve">    </w:t>
      </w:r>
    </w:p>
    <w:p w:rsidR="00C63D6F" w:rsidRDefault="00C63D6F" w:rsidP="007D5C10">
      <w:pPr>
        <w:pStyle w:val="NoSpacing"/>
        <w:spacing w:line="480" w:lineRule="auto"/>
        <w:jc w:val="both"/>
        <w:rPr>
          <w:sz w:val="24"/>
        </w:rPr>
      </w:pPr>
    </w:p>
    <w:p w:rsidR="007C53CB" w:rsidRPr="00BE4232" w:rsidRDefault="00BE4232" w:rsidP="007D5C10">
      <w:pPr>
        <w:pStyle w:val="NoSpacing"/>
        <w:spacing w:line="480" w:lineRule="auto"/>
        <w:jc w:val="both"/>
        <w:rPr>
          <w:sz w:val="24"/>
        </w:rPr>
      </w:pPr>
      <w:r>
        <w:rPr>
          <w:sz w:val="24"/>
        </w:rPr>
        <w:t xml:space="preserve"> </w:t>
      </w:r>
      <w:r w:rsidRPr="00BE4232">
        <w:rPr>
          <w:sz w:val="24"/>
        </w:rPr>
        <w:t xml:space="preserve"> </w:t>
      </w:r>
    </w:p>
    <w:sectPr w:rsidR="007C53CB" w:rsidRPr="00BE4232" w:rsidSect="00C11B40">
      <w:footerReference w:type="default" r:id="rId7"/>
      <w:pgSz w:w="11906" w:h="16838"/>
      <w:pgMar w:top="426"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D507B" w:rsidRDefault="001D507B" w:rsidP="00971A63">
      <w:pPr>
        <w:spacing w:after="0" w:line="240" w:lineRule="auto"/>
      </w:pPr>
      <w:r>
        <w:separator/>
      </w:r>
    </w:p>
  </w:endnote>
  <w:endnote w:type="continuationSeparator" w:id="0">
    <w:p w:rsidR="001D507B" w:rsidRDefault="001D507B" w:rsidP="00971A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44239907"/>
      <w:docPartObj>
        <w:docPartGallery w:val="Page Numbers (Bottom of Page)"/>
        <w:docPartUnique/>
      </w:docPartObj>
    </w:sdtPr>
    <w:sdtEndPr/>
    <w:sdtContent>
      <w:p w:rsidR="00B654F2" w:rsidRDefault="001D507B">
        <w:pPr>
          <w:pStyle w:val="Footer"/>
          <w:jc w:val="right"/>
        </w:pPr>
        <w:r>
          <w:fldChar w:fldCharType="begin"/>
        </w:r>
        <w:r>
          <w:instrText xml:space="preserve"> PAGE   \* MERGEFORMAT </w:instrText>
        </w:r>
        <w:r>
          <w:fldChar w:fldCharType="separate"/>
        </w:r>
        <w:r w:rsidR="000366BE">
          <w:rPr>
            <w:noProof/>
          </w:rPr>
          <w:t>3</w:t>
        </w:r>
        <w:r>
          <w:rPr>
            <w:noProof/>
          </w:rPr>
          <w:fldChar w:fldCharType="end"/>
        </w:r>
      </w:p>
    </w:sdtContent>
  </w:sdt>
  <w:p w:rsidR="00B654F2" w:rsidRDefault="00B654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D507B" w:rsidRDefault="001D507B" w:rsidP="00971A63">
      <w:pPr>
        <w:spacing w:after="0" w:line="240" w:lineRule="auto"/>
      </w:pPr>
      <w:r>
        <w:separator/>
      </w:r>
    </w:p>
  </w:footnote>
  <w:footnote w:type="continuationSeparator" w:id="0">
    <w:p w:rsidR="001D507B" w:rsidRDefault="001D507B" w:rsidP="00971A63">
      <w:pPr>
        <w:spacing w:after="0" w:line="240" w:lineRule="auto"/>
      </w:pPr>
      <w:r>
        <w:continuationSeparator/>
      </w:r>
    </w:p>
  </w:footnote>
  <w:footnote w:id="1">
    <w:p w:rsidR="00F13D41" w:rsidRDefault="00F13D41">
      <w:pPr>
        <w:pStyle w:val="FootnoteText"/>
      </w:pPr>
      <w:r>
        <w:rPr>
          <w:rStyle w:val="FootnoteReference"/>
        </w:rPr>
        <w:footnoteRef/>
      </w:r>
      <w:r>
        <w:t xml:space="preserve"> Hoskins, 1998: S39</w:t>
      </w:r>
    </w:p>
  </w:footnote>
  <w:footnote w:id="2">
    <w:p w:rsidR="00D01096" w:rsidRDefault="00D01096" w:rsidP="007D1390">
      <w:pPr>
        <w:pStyle w:val="FootnoteText"/>
      </w:pPr>
      <w:r>
        <w:rPr>
          <w:rStyle w:val="FootnoteReference"/>
        </w:rPr>
        <w:footnoteRef/>
      </w:r>
      <w:r>
        <w:t xml:space="preserve"> Hoskins, 1998: S40</w:t>
      </w:r>
    </w:p>
  </w:footnote>
  <w:footnote w:id="3">
    <w:p w:rsidR="008F20FA" w:rsidRDefault="008F20FA">
      <w:pPr>
        <w:pStyle w:val="FootnoteText"/>
      </w:pPr>
      <w:r>
        <w:rPr>
          <w:rStyle w:val="FootnoteReference"/>
        </w:rPr>
        <w:footnoteRef/>
      </w:r>
      <w:r>
        <w:t xml:space="preserve"> Hoskin, 1998: S40</w:t>
      </w:r>
    </w:p>
  </w:footnote>
  <w:footnote w:id="4">
    <w:p w:rsidR="00983DF2" w:rsidRDefault="00983DF2">
      <w:pPr>
        <w:pStyle w:val="FootnoteText"/>
      </w:pPr>
      <w:r>
        <w:rPr>
          <w:rStyle w:val="FootnoteReference"/>
        </w:rPr>
        <w:footnoteRef/>
      </w:r>
      <w:r>
        <w:t xml:space="preserve"> Hoskin, 1998: S41</w:t>
      </w:r>
    </w:p>
  </w:footnote>
  <w:footnote w:id="5">
    <w:p w:rsidR="003F0CA6" w:rsidRDefault="003F0CA6">
      <w:pPr>
        <w:pStyle w:val="FootnoteText"/>
      </w:pPr>
      <w:r>
        <w:rPr>
          <w:rStyle w:val="FootnoteReference"/>
        </w:rPr>
        <w:footnoteRef/>
      </w:r>
      <w:r>
        <w:t xml:space="preserve"> Hoskin, 1998: S41-S48</w:t>
      </w:r>
    </w:p>
  </w:footnote>
  <w:footnote w:id="6">
    <w:p w:rsidR="00CB4990" w:rsidRDefault="00CB4990">
      <w:pPr>
        <w:pStyle w:val="FootnoteText"/>
      </w:pPr>
      <w:r>
        <w:rPr>
          <w:rStyle w:val="FootnoteReference"/>
        </w:rPr>
        <w:footnoteRef/>
      </w:r>
      <w:r>
        <w:t xml:space="preserve"> Hoskin, 1998: S40-S41</w:t>
      </w:r>
      <w:r w:rsidR="00A86F71">
        <w:t xml:space="preserve"> and Ruggles, 2015:</w:t>
      </w:r>
      <w:r w:rsidR="007D1390">
        <w:t xml:space="preserve"> </w:t>
      </w:r>
      <w:r w:rsidR="00A86F71">
        <w:t>361</w:t>
      </w:r>
    </w:p>
  </w:footnote>
  <w:footnote w:id="7">
    <w:p w:rsidR="00A47CC4" w:rsidRDefault="00A47CC4">
      <w:pPr>
        <w:pStyle w:val="FootnoteText"/>
      </w:pPr>
      <w:r>
        <w:rPr>
          <w:rStyle w:val="FootnoteReference"/>
        </w:rPr>
        <w:footnoteRef/>
      </w:r>
      <w:r>
        <w:t xml:space="preserve"> Hoskin, 1998: S41</w:t>
      </w:r>
    </w:p>
  </w:footnote>
  <w:footnote w:id="8">
    <w:p w:rsidR="00FE2218" w:rsidRDefault="00FE2218">
      <w:pPr>
        <w:pStyle w:val="FootnoteText"/>
      </w:pPr>
      <w:r>
        <w:rPr>
          <w:rStyle w:val="FootnoteReference"/>
        </w:rPr>
        <w:footnoteRef/>
      </w:r>
      <w:r>
        <w:t xml:space="preserve"> Silva, 2014: 26</w:t>
      </w:r>
    </w:p>
  </w:footnote>
  <w:footnote w:id="9">
    <w:p w:rsidR="002537CC" w:rsidRDefault="002537CC">
      <w:pPr>
        <w:pStyle w:val="FootnoteText"/>
      </w:pPr>
      <w:r>
        <w:rPr>
          <w:rStyle w:val="FootnoteReference"/>
        </w:rPr>
        <w:footnoteRef/>
      </w:r>
      <w:r>
        <w:t xml:space="preserve"> Silva, 2015: 134</w:t>
      </w:r>
    </w:p>
  </w:footnote>
  <w:footnote w:id="10">
    <w:p w:rsidR="00902D0B" w:rsidRDefault="00902D0B">
      <w:pPr>
        <w:pStyle w:val="FootnoteText"/>
      </w:pPr>
      <w:r>
        <w:rPr>
          <w:rStyle w:val="FootnoteReference"/>
        </w:rPr>
        <w:footnoteRef/>
      </w:r>
      <w:r>
        <w:t xml:space="preserve"> Silva, 2015: 120-121</w:t>
      </w:r>
    </w:p>
  </w:footnote>
  <w:footnote w:id="11">
    <w:p w:rsidR="005E32F7" w:rsidRDefault="005E32F7" w:rsidP="005E32F7">
      <w:pPr>
        <w:pStyle w:val="FootnoteText"/>
      </w:pPr>
      <w:r>
        <w:rPr>
          <w:rStyle w:val="FootnoteReference"/>
        </w:rPr>
        <w:footnoteRef/>
      </w:r>
      <w:r>
        <w:t xml:space="preserve"> Silva, 2015: 121</w:t>
      </w:r>
      <w:r>
        <w:t xml:space="preserve"> and Darvill, 1999: 104</w:t>
      </w:r>
    </w:p>
  </w:footnote>
  <w:footnote w:id="12">
    <w:p w:rsidR="00686167" w:rsidRDefault="00686167">
      <w:pPr>
        <w:pStyle w:val="FootnoteText"/>
      </w:pPr>
      <w:r>
        <w:rPr>
          <w:rStyle w:val="FootnoteReference"/>
        </w:rPr>
        <w:footnoteRef/>
      </w:r>
      <w:r>
        <w:t xml:space="preserve"> Tilley, 1994: 11 - 12</w:t>
      </w:r>
    </w:p>
  </w:footnote>
  <w:footnote w:id="13">
    <w:p w:rsidR="00872899" w:rsidRDefault="00872899">
      <w:pPr>
        <w:pStyle w:val="FootnoteText"/>
      </w:pPr>
      <w:r>
        <w:rPr>
          <w:rStyle w:val="FootnoteReference"/>
        </w:rPr>
        <w:footnoteRef/>
      </w:r>
      <w:r>
        <w:t xml:space="preserve"> Silva, 2015: 122</w:t>
      </w:r>
    </w:p>
  </w:footnote>
  <w:footnote w:id="14">
    <w:p w:rsidR="00832BFB" w:rsidRDefault="00832BFB">
      <w:pPr>
        <w:pStyle w:val="FootnoteText"/>
      </w:pPr>
      <w:r>
        <w:rPr>
          <w:rStyle w:val="FootnoteReference"/>
        </w:rPr>
        <w:footnoteRef/>
      </w:r>
      <w:r>
        <w:t xml:space="preserve"> Silva, 2015: 123</w:t>
      </w:r>
      <w:r w:rsidR="00827251">
        <w:t xml:space="preserve"> - 124</w:t>
      </w:r>
    </w:p>
  </w:footnote>
  <w:footnote w:id="15">
    <w:p w:rsidR="00C37004" w:rsidRDefault="00C37004">
      <w:pPr>
        <w:pStyle w:val="FootnoteText"/>
      </w:pPr>
      <w:r>
        <w:rPr>
          <w:rStyle w:val="FootnoteReference"/>
        </w:rPr>
        <w:footnoteRef/>
      </w:r>
      <w:r>
        <w:t xml:space="preserve"> Silva, 2015: 124</w:t>
      </w:r>
    </w:p>
  </w:footnote>
  <w:footnote w:id="16">
    <w:p w:rsidR="00F062BB" w:rsidRDefault="00F062BB">
      <w:pPr>
        <w:pStyle w:val="FootnoteText"/>
      </w:pPr>
      <w:r>
        <w:rPr>
          <w:rStyle w:val="FootnoteReference"/>
        </w:rPr>
        <w:footnoteRef/>
      </w:r>
      <w:r>
        <w:t xml:space="preserve"> Silva, 2015: 130</w:t>
      </w:r>
    </w:p>
  </w:footnote>
  <w:footnote w:id="17">
    <w:p w:rsidR="0069168F" w:rsidRDefault="0069168F">
      <w:pPr>
        <w:pStyle w:val="FootnoteText"/>
      </w:pPr>
      <w:r>
        <w:rPr>
          <w:rStyle w:val="FootnoteReference"/>
        </w:rPr>
        <w:footnoteRef/>
      </w:r>
      <w:r>
        <w:t xml:space="preserve"> Silva, 2015: 131</w:t>
      </w:r>
    </w:p>
  </w:footnote>
  <w:footnote w:id="18">
    <w:p w:rsidR="005C0223" w:rsidRDefault="005C0223">
      <w:pPr>
        <w:pStyle w:val="FootnoteText"/>
      </w:pPr>
      <w:r>
        <w:rPr>
          <w:rStyle w:val="FootnoteReference"/>
        </w:rPr>
        <w:footnoteRef/>
      </w:r>
      <w:r>
        <w:t xml:space="preserve"> Silva, 2015: 133, 134</w:t>
      </w:r>
    </w:p>
  </w:footnote>
  <w:footnote w:id="19">
    <w:p w:rsidR="005C0223" w:rsidRDefault="005C0223">
      <w:pPr>
        <w:pStyle w:val="FootnoteText"/>
      </w:pPr>
      <w:r>
        <w:rPr>
          <w:rStyle w:val="FootnoteReference"/>
        </w:rPr>
        <w:footnoteRef/>
      </w:r>
      <w:r>
        <w:t xml:space="preserve"> Silva, 2015: 134</w:t>
      </w:r>
    </w:p>
  </w:footnote>
  <w:footnote w:id="20">
    <w:p w:rsidR="005C0223" w:rsidRDefault="005C0223">
      <w:pPr>
        <w:pStyle w:val="FootnoteText"/>
      </w:pPr>
      <w:r>
        <w:rPr>
          <w:rStyle w:val="FootnoteReference"/>
        </w:rPr>
        <w:footnoteRef/>
      </w:r>
      <w:r>
        <w:t xml:space="preserve"> Silva, 2015: 134</w:t>
      </w:r>
    </w:p>
  </w:footnote>
  <w:footnote w:id="21">
    <w:p w:rsidR="000D150C" w:rsidRDefault="000D150C">
      <w:pPr>
        <w:pStyle w:val="FootnoteText"/>
      </w:pPr>
      <w:r>
        <w:rPr>
          <w:rStyle w:val="FootnoteReference"/>
        </w:rPr>
        <w:footnoteRef/>
      </w:r>
      <w:r>
        <w:t xml:space="preserve"> Silva, 2015: 134 - 135</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1B40"/>
    <w:rsid w:val="00000C57"/>
    <w:rsid w:val="000366BE"/>
    <w:rsid w:val="00086533"/>
    <w:rsid w:val="00096BF6"/>
    <w:rsid w:val="000D150C"/>
    <w:rsid w:val="00127ADC"/>
    <w:rsid w:val="001D507B"/>
    <w:rsid w:val="001D577F"/>
    <w:rsid w:val="00217853"/>
    <w:rsid w:val="00246197"/>
    <w:rsid w:val="002537CC"/>
    <w:rsid w:val="00265AC0"/>
    <w:rsid w:val="002B6E2B"/>
    <w:rsid w:val="002F469B"/>
    <w:rsid w:val="00334117"/>
    <w:rsid w:val="003F0CA6"/>
    <w:rsid w:val="003F4F62"/>
    <w:rsid w:val="004535C0"/>
    <w:rsid w:val="00521058"/>
    <w:rsid w:val="00547CA4"/>
    <w:rsid w:val="005920D7"/>
    <w:rsid w:val="005B0DDD"/>
    <w:rsid w:val="005C0223"/>
    <w:rsid w:val="005E32F7"/>
    <w:rsid w:val="006608A0"/>
    <w:rsid w:val="00686167"/>
    <w:rsid w:val="0069168F"/>
    <w:rsid w:val="006A49B1"/>
    <w:rsid w:val="006A67F3"/>
    <w:rsid w:val="006B3834"/>
    <w:rsid w:val="006F2269"/>
    <w:rsid w:val="006F6F6C"/>
    <w:rsid w:val="00706EB9"/>
    <w:rsid w:val="00732D2B"/>
    <w:rsid w:val="007C53CB"/>
    <w:rsid w:val="007D1390"/>
    <w:rsid w:val="007D5C10"/>
    <w:rsid w:val="007F7C50"/>
    <w:rsid w:val="00827251"/>
    <w:rsid w:val="00832BFB"/>
    <w:rsid w:val="00837DB0"/>
    <w:rsid w:val="00872899"/>
    <w:rsid w:val="008A465D"/>
    <w:rsid w:val="008B7BA2"/>
    <w:rsid w:val="008F20FA"/>
    <w:rsid w:val="00902D0B"/>
    <w:rsid w:val="00971A63"/>
    <w:rsid w:val="00983DF2"/>
    <w:rsid w:val="009D23C7"/>
    <w:rsid w:val="009F5B12"/>
    <w:rsid w:val="00A03642"/>
    <w:rsid w:val="00A438F1"/>
    <w:rsid w:val="00A47554"/>
    <w:rsid w:val="00A47CC4"/>
    <w:rsid w:val="00A86F71"/>
    <w:rsid w:val="00A95321"/>
    <w:rsid w:val="00AC1F21"/>
    <w:rsid w:val="00AE362B"/>
    <w:rsid w:val="00B654F2"/>
    <w:rsid w:val="00B80D70"/>
    <w:rsid w:val="00BB55F8"/>
    <w:rsid w:val="00BE3264"/>
    <w:rsid w:val="00BE4232"/>
    <w:rsid w:val="00C06495"/>
    <w:rsid w:val="00C11B40"/>
    <w:rsid w:val="00C37004"/>
    <w:rsid w:val="00C51885"/>
    <w:rsid w:val="00C55433"/>
    <w:rsid w:val="00C63D6F"/>
    <w:rsid w:val="00C912F1"/>
    <w:rsid w:val="00CB4990"/>
    <w:rsid w:val="00D01096"/>
    <w:rsid w:val="00D0268B"/>
    <w:rsid w:val="00D2124D"/>
    <w:rsid w:val="00D745C5"/>
    <w:rsid w:val="00DE08C6"/>
    <w:rsid w:val="00DE5370"/>
    <w:rsid w:val="00E044AC"/>
    <w:rsid w:val="00E159D2"/>
    <w:rsid w:val="00E47CB7"/>
    <w:rsid w:val="00E80BB9"/>
    <w:rsid w:val="00ED6778"/>
    <w:rsid w:val="00F062BB"/>
    <w:rsid w:val="00F13D41"/>
    <w:rsid w:val="00F67522"/>
    <w:rsid w:val="00F82E63"/>
    <w:rsid w:val="00FE2218"/>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5D6D07"/>
  <w15:docId w15:val="{6D0B7B46-5639-4DD0-AD8B-26CA82171D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C53C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11B40"/>
    <w:pPr>
      <w:spacing w:after="0" w:line="240" w:lineRule="auto"/>
    </w:pPr>
  </w:style>
  <w:style w:type="paragraph" w:styleId="FootnoteText">
    <w:name w:val="footnote text"/>
    <w:basedOn w:val="Normal"/>
    <w:link w:val="FootnoteTextChar"/>
    <w:uiPriority w:val="99"/>
    <w:semiHidden/>
    <w:unhideWhenUsed/>
    <w:rsid w:val="00971A6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71A63"/>
    <w:rPr>
      <w:sz w:val="20"/>
      <w:szCs w:val="20"/>
    </w:rPr>
  </w:style>
  <w:style w:type="character" w:styleId="FootnoteReference">
    <w:name w:val="footnote reference"/>
    <w:basedOn w:val="DefaultParagraphFont"/>
    <w:uiPriority w:val="99"/>
    <w:semiHidden/>
    <w:unhideWhenUsed/>
    <w:rsid w:val="00971A63"/>
    <w:rPr>
      <w:vertAlign w:val="superscript"/>
    </w:rPr>
  </w:style>
  <w:style w:type="paragraph" w:styleId="Bibliography">
    <w:name w:val="Bibliography"/>
    <w:basedOn w:val="Normal"/>
    <w:next w:val="Normal"/>
    <w:uiPriority w:val="37"/>
    <w:unhideWhenUsed/>
    <w:rsid w:val="00000C57"/>
  </w:style>
  <w:style w:type="paragraph" w:styleId="Header">
    <w:name w:val="header"/>
    <w:basedOn w:val="Normal"/>
    <w:link w:val="HeaderChar"/>
    <w:uiPriority w:val="99"/>
    <w:semiHidden/>
    <w:unhideWhenUsed/>
    <w:rsid w:val="00B654F2"/>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B654F2"/>
  </w:style>
  <w:style w:type="paragraph" w:styleId="Footer">
    <w:name w:val="footer"/>
    <w:basedOn w:val="Normal"/>
    <w:link w:val="FooterChar"/>
    <w:uiPriority w:val="99"/>
    <w:unhideWhenUsed/>
    <w:rsid w:val="00B654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54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b:Source>
    <b:Tag>Hos98</b:Tag>
    <b:SourceType>JournalArticle</b:SourceType>
    <b:Guid>{D04788B8-8082-4860-91C9-7491A18F8111}</b:Guid>
    <b:Author>
      <b:Author>
        <b:NameList>
          <b:Person>
            <b:Last>Hoskin</b:Last>
            <b:First>Michael</b:First>
          </b:Person>
        </b:NameList>
      </b:Author>
    </b:Author>
    <b:Title>Studies in Iberian Archaeostronomy: (5) Orientations of Megalithic Tombs of NOrthern and Western Iberia</b:Title>
    <b:Year>1998</b:Year>
    <b:JournalName>Archaeostronomy</b:JournalName>
    <b:Pages>S39-S48</b:Pages>
    <b:Volume>23</b:Volume>
    <b:RefOrder>1</b:RefOrder>
  </b:Source>
  <b:Source>
    <b:Tag>Rug15</b:Tag>
    <b:SourceType>BookSection</b:SourceType>
    <b:Guid>{3669778D-1654-4BA3-82F7-4E779473A65B}</b:Guid>
    <b:Author>
      <b:Author>
        <b:NameList>
          <b:Person>
            <b:Last>Ruggles</b:Last>
            <b:First>Clive</b:First>
            <b:Middle>L.N.</b:Middle>
          </b:Person>
        </b:NameList>
      </b:Author>
      <b:Editor>
        <b:NameList>
          <b:Person>
            <b:Last>Ruggles</b:Last>
            <b:First>Clive</b:First>
            <b:Middle>L.N.</b:Middle>
          </b:Person>
        </b:NameList>
      </b:Editor>
    </b:Author>
    <b:Title>Nature and Analysis of Material Evidence Relevant to Archaeostronomy</b:Title>
    <b:Year>2015</b:Year>
    <b:Pages>353-372</b:Pages>
    <b:BookTitle>Handbook of Archaeostronomy and Ethnoastronomy</b:BookTitle>
    <b:City>New York</b:City>
    <b:Publisher>Springer Science+Business Media</b:Publisher>
    <b:RefOrder>2</b:RefOrder>
  </b:Source>
  <b:Source>
    <b:Tag>Sil14</b:Tag>
    <b:SourceType>JournalArticle</b:SourceType>
    <b:Guid>{DCDAD317-7151-4E53-902E-A6011EAECBA6}</b:Guid>
    <b:Author>
      <b:Author>
        <b:NameList>
          <b:Person>
            <b:Last>Silva</b:Last>
            <b:First>Fabio</b:First>
          </b:Person>
        </b:NameList>
      </b:Author>
    </b:Author>
    <b:Title>A tomb with a View</b:Title>
    <b:Year>2014</b:Year>
    <b:Pages>24-37</b:Pages>
    <b:JournalName>Advances in Archaeological Practice: A Journal of the society for American Archaeology</b:JournalName>
    <b:Volume>February</b:Volume>
    <b:RefOrder>3</b:RefOrder>
  </b:Source>
  <b:Source>
    <b:Tag>Sil15</b:Tag>
    <b:SourceType>BookSection</b:SourceType>
    <b:Guid>{9902B71F-4767-4B55-B94B-61E184833184}</b:Guid>
    <b:Author>
      <b:Author>
        <b:NameList>
          <b:Person>
            <b:Last>Silva</b:Last>
            <b:First>Fabio</b:First>
          </b:Person>
        </b:NameList>
      </b:Author>
      <b:Editor>
        <b:NameList>
          <b:Person>
            <b:Last>Silva</b:Last>
            <b:First>Fabio</b:First>
          </b:Person>
          <b:Person>
            <b:Last>Campion</b:Last>
            <b:First>Nick</b:First>
          </b:Person>
        </b:NameList>
      </b:Editor>
    </b:Author>
    <b:Title>The View from Within: a 'time-space-action' approach to Megalithism in Central Portugal</b:Title>
    <b:Year>2015</b:Year>
    <b:Pages>120-139</b:Pages>
    <b:BookTitle>Skyscapes: The Role and Importance of the Sky in Archaeology</b:BookTitle>
    <b:City>Oxford</b:City>
    <b:Publisher>Oxbow Books</b:Publisher>
    <b:RefOrder>4</b:RefOrder>
  </b:Source>
  <b:Source>
    <b:Tag>Til94</b:Tag>
    <b:SourceType>Book</b:SourceType>
    <b:Guid>{15DDFD0B-2DE7-4310-89EC-677700C9C697}</b:Guid>
    <b:Author>
      <b:Author>
        <b:NameList>
          <b:Person>
            <b:Last>Tilley</b:Last>
            <b:First>Christopher</b:First>
          </b:Person>
        </b:NameList>
      </b:Author>
    </b:Author>
    <b:Title>A Phenomenology of Landscape Places, Paths and Monuments</b:Title>
    <b:Year>1994</b:Year>
    <b:City>Oxford and Providence</b:City>
    <b:Publisher>BERG</b:Publisher>
    <b:RefOrder>5</b:RefOrder>
  </b:Source>
  <b:Source>
    <b:Tag>Dar99</b:Tag>
    <b:SourceType>BookSection</b:SourceType>
    <b:Guid>{CA49FFB8-0C42-4CFC-B5BA-E855D565125E}</b:Guid>
    <b:Author>
      <b:Author>
        <b:NameList>
          <b:Person>
            <b:Last>Darvill</b:Last>
            <b:First>Timothy</b:First>
          </b:Person>
        </b:NameList>
      </b:Author>
      <b:Editor>
        <b:NameList>
          <b:Person>
            <b:Last>Ucko</b:Last>
            <b:First>Peter</b:First>
            <b:Middle>J.</b:Middle>
          </b:Person>
          <b:Person>
            <b:Last>Layton</b:Last>
            <b:First>Robert</b:First>
          </b:Person>
        </b:NameList>
      </b:Editor>
    </b:Author>
    <b:Title>The historic environment, historic landscapes, and space-time-action models in landscape archaeology</b:Title>
    <b:Year>1999</b:Year>
    <b:City>London and New York</b:City>
    <b:Publisher>Routledge</b:Publisher>
    <b:BookTitle>The Archaeology and Anthropology of Landscape</b:BookTitle>
    <b:Pages>104-118</b:Pages>
    <b:RefOrder>6</b:RefOrder>
  </b:Source>
</b:Sources>
</file>

<file path=customXml/itemProps1.xml><?xml version="1.0" encoding="utf-8"?>
<ds:datastoreItem xmlns:ds="http://schemas.openxmlformats.org/officeDocument/2006/customXml" ds:itemID="{1B4BE0FF-BBFD-43B6-B99C-CAE66F3616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1388</Words>
  <Characters>7917</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Johnson</dc:creator>
  <cp:keywords/>
  <dc:description/>
  <cp:lastModifiedBy>User</cp:lastModifiedBy>
  <cp:revision>2</cp:revision>
  <dcterms:created xsi:type="dcterms:W3CDTF">2018-07-09T13:19:00Z</dcterms:created>
  <dcterms:modified xsi:type="dcterms:W3CDTF">2018-07-09T13:19:00Z</dcterms:modified>
</cp:coreProperties>
</file>