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3C8CC" w14:textId="77777777" w:rsidR="00CB0D88" w:rsidRPr="00E2682F" w:rsidRDefault="00CB0D88">
      <w:pPr>
        <w:pStyle w:val="Heading1"/>
      </w:pPr>
    </w:p>
    <w:p w14:paraId="362AF8AD" w14:textId="77777777" w:rsidR="00CB0D88" w:rsidRPr="00E2682F" w:rsidRDefault="00CB0D88">
      <w:pPr>
        <w:pStyle w:val="Heading1"/>
      </w:pPr>
    </w:p>
    <w:p w14:paraId="2992D207" w14:textId="77777777" w:rsidR="00CB0D88" w:rsidRPr="00E2682F" w:rsidRDefault="00CB0D88">
      <w:pPr>
        <w:pStyle w:val="Heading1"/>
      </w:pPr>
    </w:p>
    <w:p w14:paraId="00900D78" w14:textId="77777777" w:rsidR="00CB0D88" w:rsidRPr="00E2682F" w:rsidRDefault="00CB0D88">
      <w:pPr>
        <w:pStyle w:val="Heading1"/>
      </w:pPr>
    </w:p>
    <w:p w14:paraId="31616D8A" w14:textId="77777777" w:rsidR="00CB0D88" w:rsidRPr="00E2682F" w:rsidRDefault="00CB0D88">
      <w:pPr>
        <w:pStyle w:val="Heading1"/>
        <w:jc w:val="center"/>
      </w:pPr>
    </w:p>
    <w:p w14:paraId="01B422C7" w14:textId="77777777" w:rsidR="00CB0D88" w:rsidRPr="00E2682F" w:rsidRDefault="00CB0D88">
      <w:pPr>
        <w:pStyle w:val="Heading1"/>
        <w:jc w:val="center"/>
      </w:pPr>
      <w:bookmarkStart w:id="0" w:name="_heading=h.lwn65djpisyc" w:colFirst="0" w:colLast="0"/>
      <w:bookmarkEnd w:id="0"/>
    </w:p>
    <w:p w14:paraId="76A6CA86" w14:textId="77777777" w:rsidR="00CB0D88" w:rsidRPr="00E2682F" w:rsidRDefault="00CB0D88">
      <w:pPr>
        <w:jc w:val="center"/>
      </w:pPr>
    </w:p>
    <w:p w14:paraId="77B46EE7" w14:textId="77777777" w:rsidR="00CB0D88" w:rsidRPr="00E2682F" w:rsidRDefault="00CB0D88">
      <w:pPr>
        <w:jc w:val="center"/>
        <w:rPr>
          <w:rFonts w:ascii="Arial" w:eastAsia="Arial" w:hAnsi="Arial" w:cs="Arial"/>
          <w:b/>
          <w:bCs/>
          <w:sz w:val="32"/>
          <w:szCs w:val="32"/>
        </w:rPr>
      </w:pPr>
    </w:p>
    <w:p w14:paraId="600F8296" w14:textId="77777777" w:rsidR="00CB0D88" w:rsidRPr="00E2682F" w:rsidRDefault="006E6EA5">
      <w:pPr>
        <w:jc w:val="center"/>
        <w:rPr>
          <w:rFonts w:ascii="Arial" w:eastAsia="Arial" w:hAnsi="Arial" w:cs="Arial"/>
          <w:b/>
          <w:bCs/>
          <w:sz w:val="32"/>
          <w:szCs w:val="32"/>
        </w:rPr>
      </w:pPr>
      <w:r w:rsidRPr="00E2682F">
        <w:rPr>
          <w:noProof/>
        </w:rPr>
        <w:drawing>
          <wp:inline distT="0" distB="0" distL="0" distR="0" wp14:anchorId="04D1CC07" wp14:editId="62481109">
            <wp:extent cx="3187700" cy="1346200"/>
            <wp:effectExtent l="0" t="0" r="0" b="635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187700" cy="1346200"/>
                    </a:xfrm>
                    <a:prstGeom prst="rect">
                      <a:avLst/>
                    </a:prstGeom>
                    <a:ln/>
                  </pic:spPr>
                </pic:pic>
              </a:graphicData>
            </a:graphic>
          </wp:inline>
        </w:drawing>
      </w:r>
    </w:p>
    <w:p w14:paraId="4E119945" w14:textId="77777777" w:rsidR="00CB0D88" w:rsidRPr="00E2682F" w:rsidRDefault="00CB0D88">
      <w:pPr>
        <w:jc w:val="center"/>
        <w:rPr>
          <w:rFonts w:ascii="Arial" w:eastAsia="Arial" w:hAnsi="Arial" w:cs="Arial"/>
          <w:b/>
          <w:bCs/>
          <w:sz w:val="32"/>
          <w:szCs w:val="32"/>
        </w:rPr>
      </w:pPr>
    </w:p>
    <w:p w14:paraId="1431D1AC" w14:textId="77777777" w:rsidR="00CB0D88" w:rsidRPr="00E2682F" w:rsidRDefault="006E6EA5">
      <w:pPr>
        <w:jc w:val="center"/>
        <w:rPr>
          <w:rFonts w:ascii="Arial" w:eastAsia="Arial" w:hAnsi="Arial" w:cs="Arial"/>
          <w:b/>
          <w:bCs/>
          <w:sz w:val="32"/>
          <w:szCs w:val="32"/>
        </w:rPr>
      </w:pPr>
      <w:r w:rsidRPr="00E2682F">
        <w:rPr>
          <w:rFonts w:ascii="Arial" w:eastAsia="Arial" w:hAnsi="Arial" w:cs="Arial"/>
          <w:b/>
          <w:bCs/>
          <w:sz w:val="32"/>
          <w:szCs w:val="32"/>
        </w:rPr>
        <w:t>PROGRAMME: MASTER OF BUSINESS ADMINISTRATION</w:t>
      </w:r>
    </w:p>
    <w:p w14:paraId="564572A6" w14:textId="77777777" w:rsidR="00CB0D88" w:rsidRPr="00E2682F" w:rsidRDefault="006E6EA5">
      <w:pPr>
        <w:jc w:val="center"/>
        <w:rPr>
          <w:rFonts w:ascii="Arial" w:eastAsia="Arial" w:hAnsi="Arial" w:cs="Arial"/>
          <w:b/>
          <w:bCs/>
          <w:sz w:val="32"/>
          <w:szCs w:val="32"/>
        </w:rPr>
      </w:pPr>
      <w:r w:rsidRPr="00E2682F">
        <w:rPr>
          <w:rFonts w:ascii="Arial" w:eastAsia="Arial" w:hAnsi="Arial" w:cs="Arial"/>
          <w:b/>
          <w:bCs/>
          <w:sz w:val="32"/>
          <w:szCs w:val="32"/>
        </w:rPr>
        <w:t>MODULE: INTERNATIONAL BUSINESS CONCEPTS</w:t>
      </w:r>
    </w:p>
    <w:p w14:paraId="414C28DD" w14:textId="77777777" w:rsidR="00CB0D88" w:rsidRPr="00E2682F" w:rsidRDefault="006E6EA5">
      <w:pPr>
        <w:jc w:val="center"/>
        <w:rPr>
          <w:rFonts w:ascii="Arial" w:eastAsia="Arial" w:hAnsi="Arial" w:cs="Arial"/>
          <w:b/>
          <w:bCs/>
          <w:sz w:val="32"/>
          <w:szCs w:val="32"/>
        </w:rPr>
      </w:pPr>
      <w:r w:rsidRPr="00E2682F">
        <w:rPr>
          <w:rFonts w:ascii="Arial" w:eastAsia="Arial" w:hAnsi="Arial" w:cs="Arial"/>
          <w:b/>
          <w:bCs/>
          <w:sz w:val="32"/>
          <w:szCs w:val="32"/>
        </w:rPr>
        <w:t>MODULE CODE: LCMB7034</w:t>
      </w:r>
    </w:p>
    <w:p w14:paraId="21C888F8" w14:textId="77777777" w:rsidR="00CB0D88" w:rsidRPr="00E2682F" w:rsidRDefault="006E6EA5">
      <w:pPr>
        <w:jc w:val="center"/>
        <w:rPr>
          <w:rFonts w:ascii="Arial" w:eastAsia="Arial" w:hAnsi="Arial" w:cs="Arial"/>
          <w:b/>
          <w:bCs/>
          <w:sz w:val="32"/>
          <w:szCs w:val="32"/>
        </w:rPr>
      </w:pPr>
      <w:r w:rsidRPr="00E2682F">
        <w:rPr>
          <w:rFonts w:ascii="Arial" w:eastAsia="Arial" w:hAnsi="Arial" w:cs="Arial"/>
          <w:b/>
          <w:bCs/>
          <w:sz w:val="32"/>
          <w:szCs w:val="32"/>
        </w:rPr>
        <w:t>LECTURER: CHUNG LAI JOHNNY WAN</w:t>
      </w:r>
    </w:p>
    <w:p w14:paraId="253B4E0A" w14:textId="77777777" w:rsidR="00CB0D88" w:rsidRPr="00E2682F" w:rsidRDefault="006E6EA5">
      <w:pPr>
        <w:jc w:val="center"/>
        <w:rPr>
          <w:rFonts w:ascii="Arial" w:eastAsia="Arial" w:hAnsi="Arial" w:cs="Arial"/>
          <w:b/>
          <w:bCs/>
          <w:sz w:val="32"/>
          <w:szCs w:val="32"/>
        </w:rPr>
      </w:pPr>
      <w:r w:rsidRPr="00E2682F">
        <w:rPr>
          <w:rFonts w:ascii="Arial" w:eastAsia="Arial" w:hAnsi="Arial" w:cs="Arial"/>
          <w:b/>
          <w:bCs/>
          <w:sz w:val="32"/>
          <w:szCs w:val="32"/>
        </w:rPr>
        <w:t>ASSIGNMENT TITLE: REPORT</w:t>
      </w:r>
    </w:p>
    <w:p w14:paraId="6F2D9518" w14:textId="58619CF9" w:rsidR="00CB0D88" w:rsidRPr="00E2682F" w:rsidRDefault="006E6EA5">
      <w:pPr>
        <w:jc w:val="center"/>
        <w:rPr>
          <w:rFonts w:ascii="Arial" w:eastAsia="Arial" w:hAnsi="Arial" w:cs="Arial"/>
          <w:b/>
          <w:bCs/>
          <w:sz w:val="32"/>
          <w:szCs w:val="32"/>
        </w:rPr>
      </w:pPr>
      <w:r w:rsidRPr="00E2682F">
        <w:rPr>
          <w:rFonts w:ascii="Arial" w:eastAsia="Arial" w:hAnsi="Arial" w:cs="Arial"/>
          <w:b/>
          <w:bCs/>
          <w:sz w:val="32"/>
          <w:szCs w:val="32"/>
        </w:rPr>
        <w:t>STUDENT NAME:</w:t>
      </w:r>
      <w:r w:rsidR="00722F45">
        <w:rPr>
          <w:rFonts w:ascii="Arial" w:eastAsia="Arial" w:hAnsi="Arial" w:cs="Arial"/>
          <w:b/>
          <w:bCs/>
          <w:sz w:val="32"/>
          <w:szCs w:val="32"/>
        </w:rPr>
        <w:t xml:space="preserve"> SAURABH BISHT</w:t>
      </w:r>
    </w:p>
    <w:p w14:paraId="42BDB427" w14:textId="69144F1C" w:rsidR="00CB0D88" w:rsidRPr="00E2682F" w:rsidRDefault="006E6EA5">
      <w:pPr>
        <w:jc w:val="center"/>
        <w:rPr>
          <w:rFonts w:ascii="Arial" w:eastAsia="Arial" w:hAnsi="Arial" w:cs="Arial"/>
          <w:b/>
          <w:bCs/>
          <w:sz w:val="32"/>
          <w:szCs w:val="32"/>
        </w:rPr>
      </w:pPr>
      <w:r w:rsidRPr="00E2682F">
        <w:rPr>
          <w:rFonts w:ascii="Arial" w:eastAsia="Arial" w:hAnsi="Arial" w:cs="Arial"/>
          <w:b/>
          <w:bCs/>
          <w:sz w:val="32"/>
          <w:szCs w:val="32"/>
        </w:rPr>
        <w:t>STUDENT ID NUMBER:</w:t>
      </w:r>
      <w:r w:rsidR="00722F45">
        <w:rPr>
          <w:rFonts w:ascii="Arial" w:eastAsia="Arial" w:hAnsi="Arial" w:cs="Arial"/>
          <w:b/>
          <w:bCs/>
          <w:sz w:val="32"/>
          <w:szCs w:val="32"/>
        </w:rPr>
        <w:t xml:space="preserve"> 2433287</w:t>
      </w:r>
    </w:p>
    <w:p w14:paraId="02B50E85" w14:textId="77777777" w:rsidR="00CB0D88" w:rsidRPr="00E2682F" w:rsidRDefault="00CB0D88">
      <w:pPr>
        <w:pBdr>
          <w:top w:val="nil"/>
          <w:left w:val="nil"/>
          <w:bottom w:val="nil"/>
          <w:right w:val="nil"/>
          <w:between w:val="nil"/>
        </w:pBdr>
        <w:rPr>
          <w:rFonts w:ascii="Arial" w:eastAsia="Arial" w:hAnsi="Arial" w:cs="Arial"/>
        </w:rPr>
      </w:pPr>
    </w:p>
    <w:p w14:paraId="76FAA954" w14:textId="77777777" w:rsidR="00CB0D88" w:rsidRPr="00E2682F" w:rsidRDefault="00CB0D88">
      <w:pPr>
        <w:pStyle w:val="Heading1"/>
      </w:pPr>
    </w:p>
    <w:p w14:paraId="093EF162" w14:textId="77777777" w:rsidR="00CB0D88" w:rsidRPr="00E2682F" w:rsidRDefault="00CB0D88">
      <w:pPr>
        <w:pStyle w:val="Heading1"/>
      </w:pPr>
    </w:p>
    <w:p w14:paraId="4EBEFC5D" w14:textId="77777777" w:rsidR="00CB0D88" w:rsidRPr="00E2682F" w:rsidRDefault="00CB0D88">
      <w:pPr>
        <w:pStyle w:val="Heading1"/>
      </w:pPr>
    </w:p>
    <w:p w14:paraId="0FE46BBB" w14:textId="77777777" w:rsidR="00CB0D88" w:rsidRPr="00E2682F" w:rsidRDefault="006E6EA5">
      <w:pPr>
        <w:rPr>
          <w:rFonts w:ascii="Arial" w:eastAsia="Arial" w:hAnsi="Arial" w:cs="Arial"/>
          <w:b/>
          <w:bCs/>
        </w:rPr>
      </w:pPr>
      <w:r w:rsidRPr="00E2682F">
        <w:br w:type="page"/>
      </w:r>
    </w:p>
    <w:p w14:paraId="4905A6A5" w14:textId="77777777" w:rsidR="00CB0D88" w:rsidRPr="00E2682F" w:rsidRDefault="006E6EA5">
      <w:pPr>
        <w:jc w:val="center"/>
        <w:rPr>
          <w:rFonts w:ascii="Arial" w:eastAsia="Arial" w:hAnsi="Arial" w:cs="Arial"/>
          <w:b/>
          <w:bCs/>
        </w:rPr>
      </w:pPr>
      <w:r w:rsidRPr="00E2682F">
        <w:rPr>
          <w:rFonts w:ascii="Arial" w:eastAsia="Arial" w:hAnsi="Arial" w:cs="Arial"/>
          <w:b/>
          <w:bCs/>
        </w:rPr>
        <w:lastRenderedPageBreak/>
        <w:t>Executive summary</w:t>
      </w:r>
    </w:p>
    <w:p w14:paraId="78D6ED3E" w14:textId="77777777" w:rsidR="00CB0D88" w:rsidRPr="00E2682F" w:rsidRDefault="006E6EA5">
      <w:pPr>
        <w:rPr>
          <w:rFonts w:ascii="Arial" w:eastAsia="Arial" w:hAnsi="Arial" w:cs="Arial"/>
          <w:b/>
          <w:bCs/>
        </w:rPr>
      </w:pPr>
      <w:bookmarkStart w:id="1" w:name="_heading=h.1o17dq1uhsz3" w:colFirst="0" w:colLast="0"/>
      <w:bookmarkEnd w:id="1"/>
      <w:r w:rsidRPr="00E2682F">
        <w:rPr>
          <w:rFonts w:ascii="Arial" w:eastAsia="Arial" w:hAnsi="Arial" w:cs="Arial"/>
        </w:rPr>
        <w:t>The report has focused on the internationalisation strategy of BP by focusing on its market expansion in different regions and countries including China, Canada and South Africa as compared to its home country UK. The benefits and challenges experienced by BP due to its global expansion have also been discussed for comprehending its dominant market entry mode. OLI framework helps to determine the current operational strategy of BP and benefits of the internationalisation in the growth. The report has analysed that focusing on the operational standards can help BP to manage risk in the oil production.</w:t>
      </w:r>
    </w:p>
    <w:p w14:paraId="6858538A" w14:textId="77777777" w:rsidR="00CB0D88" w:rsidRPr="00E2682F" w:rsidRDefault="006E6EA5">
      <w:pPr>
        <w:pBdr>
          <w:top w:val="nil"/>
          <w:left w:val="nil"/>
          <w:bottom w:val="nil"/>
          <w:right w:val="nil"/>
          <w:between w:val="nil"/>
        </w:pBdr>
        <w:rPr>
          <w:rFonts w:ascii="Arial" w:eastAsia="Arial" w:hAnsi="Arial" w:cs="Arial"/>
        </w:rPr>
      </w:pPr>
      <w:r w:rsidRPr="00E2682F">
        <w:br w:type="page"/>
      </w:r>
    </w:p>
    <w:p w14:paraId="1F89C441" w14:textId="77777777" w:rsidR="00CB0D88" w:rsidRPr="00E2682F" w:rsidRDefault="006E6EA5">
      <w:pPr>
        <w:keepNext/>
        <w:keepLines/>
        <w:pBdr>
          <w:top w:val="nil"/>
          <w:left w:val="nil"/>
          <w:bottom w:val="nil"/>
          <w:right w:val="nil"/>
          <w:between w:val="nil"/>
        </w:pBdr>
        <w:spacing w:before="480"/>
        <w:jc w:val="center"/>
        <w:rPr>
          <w:rFonts w:ascii="Arial" w:eastAsia="Arial" w:hAnsi="Arial" w:cs="Arial"/>
          <w:b/>
          <w:bCs/>
        </w:rPr>
      </w:pPr>
      <w:r w:rsidRPr="00E2682F">
        <w:rPr>
          <w:rFonts w:ascii="Arial" w:eastAsia="Arial" w:hAnsi="Arial" w:cs="Arial"/>
          <w:b/>
          <w:bCs/>
        </w:rPr>
        <w:lastRenderedPageBreak/>
        <w:t>Table of Contents</w:t>
      </w:r>
    </w:p>
    <w:sdt>
      <w:sdtPr>
        <w:id w:val="2119107678"/>
        <w:docPartObj>
          <w:docPartGallery w:val="Table of Contents"/>
          <w:docPartUnique/>
        </w:docPartObj>
      </w:sdtPr>
      <w:sdtContent>
        <w:p w14:paraId="22EA4107" w14:textId="77777777" w:rsidR="006F66E6" w:rsidRPr="006F66E6" w:rsidRDefault="006E6EA5">
          <w:pPr>
            <w:pStyle w:val="TOC1"/>
            <w:tabs>
              <w:tab w:val="right" w:leader="dot" w:pos="9350"/>
            </w:tabs>
            <w:rPr>
              <w:rFonts w:ascii="Arial" w:eastAsiaTheme="minorEastAsia" w:hAnsi="Arial" w:cs="Arial"/>
              <w:noProof/>
              <w:sz w:val="22"/>
              <w:szCs w:val="22"/>
            </w:rPr>
          </w:pPr>
          <w:r w:rsidRPr="00E2682F">
            <w:fldChar w:fldCharType="begin"/>
          </w:r>
          <w:r w:rsidRPr="00E2682F">
            <w:instrText xml:space="preserve"> TOC \h \u \z \t "Heading 1,1,Heading 2,2,Heading 3,3,"</w:instrText>
          </w:r>
          <w:r w:rsidRPr="00E2682F">
            <w:fldChar w:fldCharType="separate"/>
          </w:r>
          <w:hyperlink w:anchor="_Toc214367795" w:history="1">
            <w:r w:rsidR="006F66E6" w:rsidRPr="006F66E6">
              <w:rPr>
                <w:rStyle w:val="Hyperlink"/>
                <w:rFonts w:ascii="Arial" w:hAnsi="Arial" w:cs="Arial"/>
                <w:noProof/>
              </w:rPr>
              <w:t>1. Introduction to the report</w:t>
            </w:r>
            <w:r w:rsidR="006F66E6" w:rsidRPr="006F66E6">
              <w:rPr>
                <w:rFonts w:ascii="Arial" w:hAnsi="Arial" w:cs="Arial"/>
                <w:noProof/>
                <w:webHidden/>
              </w:rPr>
              <w:tab/>
            </w:r>
            <w:r w:rsidR="006F66E6" w:rsidRPr="006F66E6">
              <w:rPr>
                <w:rFonts w:ascii="Arial" w:hAnsi="Arial" w:cs="Arial"/>
                <w:noProof/>
                <w:webHidden/>
              </w:rPr>
              <w:fldChar w:fldCharType="begin"/>
            </w:r>
            <w:r w:rsidR="006F66E6" w:rsidRPr="006F66E6">
              <w:rPr>
                <w:rFonts w:ascii="Arial" w:hAnsi="Arial" w:cs="Arial"/>
                <w:noProof/>
                <w:webHidden/>
              </w:rPr>
              <w:instrText xml:space="preserve"> PAGEREF _Toc214367795 \h </w:instrText>
            </w:r>
            <w:r w:rsidR="006F66E6" w:rsidRPr="006F66E6">
              <w:rPr>
                <w:rFonts w:ascii="Arial" w:hAnsi="Arial" w:cs="Arial"/>
                <w:noProof/>
                <w:webHidden/>
              </w:rPr>
            </w:r>
            <w:r w:rsidR="006F66E6" w:rsidRPr="006F66E6">
              <w:rPr>
                <w:rFonts w:ascii="Arial" w:hAnsi="Arial" w:cs="Arial"/>
                <w:noProof/>
                <w:webHidden/>
              </w:rPr>
              <w:fldChar w:fldCharType="separate"/>
            </w:r>
            <w:r w:rsidR="006F66E6" w:rsidRPr="006F66E6">
              <w:rPr>
                <w:rFonts w:ascii="Arial" w:hAnsi="Arial" w:cs="Arial"/>
                <w:noProof/>
                <w:webHidden/>
              </w:rPr>
              <w:t>4</w:t>
            </w:r>
            <w:r w:rsidR="006F66E6" w:rsidRPr="006F66E6">
              <w:rPr>
                <w:rFonts w:ascii="Arial" w:hAnsi="Arial" w:cs="Arial"/>
                <w:noProof/>
                <w:webHidden/>
              </w:rPr>
              <w:fldChar w:fldCharType="end"/>
            </w:r>
          </w:hyperlink>
        </w:p>
        <w:p w14:paraId="0FCD6138" w14:textId="77777777" w:rsidR="006F66E6" w:rsidRPr="006F66E6" w:rsidRDefault="006F66E6">
          <w:pPr>
            <w:pStyle w:val="TOC1"/>
            <w:tabs>
              <w:tab w:val="right" w:leader="dot" w:pos="9350"/>
            </w:tabs>
            <w:rPr>
              <w:rFonts w:ascii="Arial" w:eastAsiaTheme="minorEastAsia" w:hAnsi="Arial" w:cs="Arial"/>
              <w:noProof/>
              <w:sz w:val="22"/>
              <w:szCs w:val="22"/>
            </w:rPr>
          </w:pPr>
          <w:hyperlink w:anchor="_Toc214367796" w:history="1">
            <w:r w:rsidRPr="006F66E6">
              <w:rPr>
                <w:rStyle w:val="Hyperlink"/>
                <w:rFonts w:ascii="Arial" w:hAnsi="Arial" w:cs="Arial"/>
                <w:noProof/>
              </w:rPr>
              <w:t>2. Benefits and challenges of international operations</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_Toc214367796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5</w:t>
            </w:r>
            <w:r w:rsidRPr="006F66E6">
              <w:rPr>
                <w:rFonts w:ascii="Arial" w:hAnsi="Arial" w:cs="Arial"/>
                <w:noProof/>
                <w:webHidden/>
              </w:rPr>
              <w:fldChar w:fldCharType="end"/>
            </w:r>
          </w:hyperlink>
        </w:p>
        <w:p w14:paraId="5517533F"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797" w:history="1">
            <w:r w:rsidRPr="006F66E6">
              <w:rPr>
                <w:rStyle w:val="Hyperlink"/>
                <w:rFonts w:ascii="Arial" w:hAnsi="Arial" w:cs="Arial"/>
                <w:noProof/>
              </w:rPr>
              <w:t>a. Explaining why BP can be designated an MNC</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_Toc214367797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5</w:t>
            </w:r>
            <w:r w:rsidRPr="006F66E6">
              <w:rPr>
                <w:rFonts w:ascii="Arial" w:hAnsi="Arial" w:cs="Arial"/>
                <w:noProof/>
                <w:webHidden/>
              </w:rPr>
              <w:fldChar w:fldCharType="end"/>
            </w:r>
          </w:hyperlink>
        </w:p>
        <w:p w14:paraId="7AE170AC"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798" w:history="1">
            <w:r w:rsidRPr="006F66E6">
              <w:rPr>
                <w:rStyle w:val="Hyperlink"/>
                <w:rFonts w:ascii="Arial" w:hAnsi="Arial" w:cs="Arial"/>
                <w:noProof/>
              </w:rPr>
              <w:t>b. Summarising BP’s nature of global operations and important aspects of the value chain</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_Toc214367798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6</w:t>
            </w:r>
            <w:r w:rsidRPr="006F66E6">
              <w:rPr>
                <w:rFonts w:ascii="Arial" w:hAnsi="Arial" w:cs="Arial"/>
                <w:noProof/>
                <w:webHidden/>
              </w:rPr>
              <w:fldChar w:fldCharType="end"/>
            </w:r>
          </w:hyperlink>
        </w:p>
        <w:p w14:paraId="35AC800E"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799" w:history="1">
            <w:r w:rsidRPr="006F66E6">
              <w:rPr>
                <w:rStyle w:val="Hyperlink"/>
                <w:rFonts w:ascii="Arial" w:hAnsi="Arial" w:cs="Arial"/>
                <w:noProof/>
              </w:rPr>
              <w:t>c. Identifying different entry mode of BP for entering to International market</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_Toc214367799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10</w:t>
            </w:r>
            <w:r w:rsidRPr="006F66E6">
              <w:rPr>
                <w:rFonts w:ascii="Arial" w:hAnsi="Arial" w:cs="Arial"/>
                <w:noProof/>
                <w:webHidden/>
              </w:rPr>
              <w:fldChar w:fldCharType="end"/>
            </w:r>
          </w:hyperlink>
        </w:p>
        <w:p w14:paraId="35B95F72"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00" w:history="1">
            <w:r w:rsidRPr="006F66E6">
              <w:rPr>
                <w:rStyle w:val="Hyperlink"/>
                <w:rFonts w:ascii="Arial" w:hAnsi="Arial" w:cs="Arial"/>
                <w:noProof/>
              </w:rPr>
              <w:t>d. Explaining the key benefits of the International options of BP</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_Toc214367800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11</w:t>
            </w:r>
            <w:r w:rsidRPr="006F66E6">
              <w:rPr>
                <w:rFonts w:ascii="Arial" w:hAnsi="Arial" w:cs="Arial"/>
                <w:noProof/>
                <w:webHidden/>
              </w:rPr>
              <w:fldChar w:fldCharType="end"/>
            </w:r>
          </w:hyperlink>
        </w:p>
        <w:p w14:paraId="238F6165" w14:textId="77777777" w:rsidR="006F66E6" w:rsidRPr="006F66E6" w:rsidRDefault="006F66E6">
          <w:pPr>
            <w:pStyle w:val="TOC1"/>
            <w:tabs>
              <w:tab w:val="right" w:leader="dot" w:pos="9350"/>
            </w:tabs>
            <w:rPr>
              <w:rFonts w:ascii="Arial" w:eastAsiaTheme="minorEastAsia" w:hAnsi="Arial" w:cs="Arial"/>
              <w:noProof/>
              <w:sz w:val="22"/>
              <w:szCs w:val="22"/>
            </w:rPr>
          </w:pPr>
          <w:hyperlink w:anchor="_Toc214367801" w:history="1">
            <w:r w:rsidRPr="006F66E6">
              <w:rPr>
                <w:rStyle w:val="Hyperlink"/>
                <w:rFonts w:ascii="Arial" w:hAnsi="Arial" w:cs="Arial"/>
                <w:noProof/>
              </w:rPr>
              <w:t>3. OLI Framework: Ownership, Location, Internalisation &amp; BP’s Entry Mode into China and South Africa</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_Toc214367801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12</w:t>
            </w:r>
            <w:r w:rsidRPr="006F66E6">
              <w:rPr>
                <w:rFonts w:ascii="Arial" w:hAnsi="Arial" w:cs="Arial"/>
                <w:noProof/>
                <w:webHidden/>
              </w:rPr>
              <w:fldChar w:fldCharType="end"/>
            </w:r>
          </w:hyperlink>
        </w:p>
        <w:p w14:paraId="4E983662"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02" w:history="1">
            <w:r w:rsidRPr="006F66E6">
              <w:rPr>
                <w:rStyle w:val="Hyperlink"/>
                <w:rFonts w:ascii="Arial" w:hAnsi="Arial" w:cs="Arial"/>
                <w:noProof/>
              </w:rPr>
              <w:t>a. Ownership analysis regarding its impact on BP’s entry mode</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_Toc214367802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13</w:t>
            </w:r>
            <w:r w:rsidRPr="006F66E6">
              <w:rPr>
                <w:rFonts w:ascii="Arial" w:hAnsi="Arial" w:cs="Arial"/>
                <w:noProof/>
                <w:webHidden/>
              </w:rPr>
              <w:fldChar w:fldCharType="end"/>
            </w:r>
          </w:hyperlink>
        </w:p>
        <w:p w14:paraId="406B2D83"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03" w:history="1">
            <w:r w:rsidRPr="006F66E6">
              <w:rPr>
                <w:rStyle w:val="Hyperlink"/>
                <w:rFonts w:ascii="Arial" w:hAnsi="Arial" w:cs="Arial"/>
                <w:noProof/>
              </w:rPr>
              <w:t>b. Location Advantages</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_Toc214367803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13</w:t>
            </w:r>
            <w:r w:rsidRPr="006F66E6">
              <w:rPr>
                <w:rFonts w:ascii="Arial" w:hAnsi="Arial" w:cs="Arial"/>
                <w:noProof/>
                <w:webHidden/>
              </w:rPr>
              <w:fldChar w:fldCharType="end"/>
            </w:r>
          </w:hyperlink>
        </w:p>
        <w:p w14:paraId="6ABDC13F"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04" w:history="1">
            <w:r w:rsidRPr="006F66E6">
              <w:rPr>
                <w:rStyle w:val="Hyperlink"/>
                <w:rFonts w:ascii="Arial" w:hAnsi="Arial" w:cs="Arial"/>
                <w:noProof/>
              </w:rPr>
              <w:t>c. Internalisation Advantages</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_Toc214367804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14</w:t>
            </w:r>
            <w:r w:rsidRPr="006F66E6">
              <w:rPr>
                <w:rFonts w:ascii="Arial" w:hAnsi="Arial" w:cs="Arial"/>
                <w:noProof/>
                <w:webHidden/>
              </w:rPr>
              <w:fldChar w:fldCharType="end"/>
            </w:r>
          </w:hyperlink>
        </w:p>
        <w:p w14:paraId="0CAB72BE" w14:textId="77777777" w:rsidR="006F66E6" w:rsidRPr="006F66E6" w:rsidRDefault="006F66E6">
          <w:pPr>
            <w:pStyle w:val="TOC1"/>
            <w:tabs>
              <w:tab w:val="right" w:leader="dot" w:pos="9350"/>
            </w:tabs>
            <w:rPr>
              <w:rFonts w:ascii="Arial" w:eastAsiaTheme="minorEastAsia" w:hAnsi="Arial" w:cs="Arial"/>
              <w:noProof/>
              <w:sz w:val="22"/>
              <w:szCs w:val="22"/>
            </w:rPr>
          </w:pPr>
          <w:hyperlink w:anchor="_Toc214367805" w:history="1">
            <w:r w:rsidRPr="006F66E6">
              <w:rPr>
                <w:rStyle w:val="Hyperlink"/>
                <w:rFonts w:ascii="Arial" w:hAnsi="Arial" w:cs="Arial"/>
                <w:noProof/>
              </w:rPr>
              <w:t>4. Critical evaluation of cultural differences between the UK, China and South Africa</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_Toc214367805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16</w:t>
            </w:r>
            <w:r w:rsidRPr="006F66E6">
              <w:rPr>
                <w:rFonts w:ascii="Arial" w:hAnsi="Arial" w:cs="Arial"/>
                <w:noProof/>
                <w:webHidden/>
              </w:rPr>
              <w:fldChar w:fldCharType="end"/>
            </w:r>
          </w:hyperlink>
        </w:p>
        <w:p w14:paraId="285DA93C"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06" w:history="1">
            <w:r w:rsidRPr="006F66E6">
              <w:rPr>
                <w:rStyle w:val="Hyperlink"/>
                <w:rFonts w:ascii="Arial" w:hAnsi="Arial" w:cs="Arial"/>
                <w:noProof/>
              </w:rPr>
              <w:t>a. Hofstede cultural model</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_Toc214367806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16</w:t>
            </w:r>
            <w:r w:rsidRPr="006F66E6">
              <w:rPr>
                <w:rFonts w:ascii="Arial" w:hAnsi="Arial" w:cs="Arial"/>
                <w:noProof/>
                <w:webHidden/>
              </w:rPr>
              <w:fldChar w:fldCharType="end"/>
            </w:r>
          </w:hyperlink>
        </w:p>
        <w:p w14:paraId="2C321DD8"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07" w:history="1">
            <w:r w:rsidRPr="006F66E6">
              <w:rPr>
                <w:rStyle w:val="Hyperlink"/>
                <w:rFonts w:ascii="Arial" w:hAnsi="Arial" w:cs="Arial"/>
                <w:noProof/>
              </w:rPr>
              <w:t>b. Impact of both the company’s market entry strategy and its potential for success in BP</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_Toc214367807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19</w:t>
            </w:r>
            <w:r w:rsidRPr="006F66E6">
              <w:rPr>
                <w:rFonts w:ascii="Arial" w:hAnsi="Arial" w:cs="Arial"/>
                <w:noProof/>
                <w:webHidden/>
              </w:rPr>
              <w:fldChar w:fldCharType="end"/>
            </w:r>
          </w:hyperlink>
        </w:p>
        <w:p w14:paraId="19AFA00B"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08" w:history="1">
            <w:r w:rsidRPr="006F66E6">
              <w:rPr>
                <w:rStyle w:val="Hyperlink"/>
                <w:rFonts w:ascii="Arial" w:hAnsi="Arial" w:cs="Arial"/>
                <w:noProof/>
              </w:rPr>
              <w:t>c. Cultural factors between UK and South Africa chosen as emerging economic country for BP</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_Toc214367808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20</w:t>
            </w:r>
            <w:r w:rsidRPr="006F66E6">
              <w:rPr>
                <w:rFonts w:ascii="Arial" w:hAnsi="Arial" w:cs="Arial"/>
                <w:noProof/>
                <w:webHidden/>
              </w:rPr>
              <w:fldChar w:fldCharType="end"/>
            </w:r>
          </w:hyperlink>
        </w:p>
        <w:p w14:paraId="019B7ECC" w14:textId="77777777" w:rsidR="006F66E6" w:rsidRPr="006F66E6" w:rsidRDefault="006F66E6">
          <w:pPr>
            <w:pStyle w:val="TOC1"/>
            <w:tabs>
              <w:tab w:val="right" w:leader="dot" w:pos="9350"/>
            </w:tabs>
            <w:rPr>
              <w:rFonts w:ascii="Arial" w:eastAsiaTheme="minorEastAsia" w:hAnsi="Arial" w:cs="Arial"/>
              <w:noProof/>
              <w:sz w:val="22"/>
              <w:szCs w:val="22"/>
            </w:rPr>
          </w:pPr>
          <w:hyperlink w:anchor="_Toc214367809" w:history="1">
            <w:r w:rsidRPr="006F66E6">
              <w:rPr>
                <w:rStyle w:val="Hyperlink"/>
                <w:rFonts w:ascii="Arial" w:hAnsi="Arial" w:cs="Arial"/>
                <w:noProof/>
              </w:rPr>
              <w:t>5. Critically evaluate and propose three SOP adjustments essential for company success in emerging economies under OLI</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_Toc214367809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21</w:t>
            </w:r>
            <w:r w:rsidRPr="006F66E6">
              <w:rPr>
                <w:rFonts w:ascii="Arial" w:hAnsi="Arial" w:cs="Arial"/>
                <w:noProof/>
                <w:webHidden/>
              </w:rPr>
              <w:fldChar w:fldCharType="end"/>
            </w:r>
          </w:hyperlink>
        </w:p>
        <w:p w14:paraId="455BFF72"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10" w:history="1">
            <w:r w:rsidRPr="006F66E6">
              <w:rPr>
                <w:rStyle w:val="Hyperlink"/>
                <w:rFonts w:ascii="Arial" w:hAnsi="Arial" w:cs="Arial"/>
                <w:noProof/>
              </w:rPr>
              <w:t>a. Recommendation 1: SOP for Regulatory &amp; Institutional Flexibility</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_Toc214367810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21</w:t>
            </w:r>
            <w:r w:rsidRPr="006F66E6">
              <w:rPr>
                <w:rFonts w:ascii="Arial" w:hAnsi="Arial" w:cs="Arial"/>
                <w:noProof/>
                <w:webHidden/>
              </w:rPr>
              <w:fldChar w:fldCharType="end"/>
            </w:r>
          </w:hyperlink>
        </w:p>
        <w:p w14:paraId="7563A01D"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11" w:history="1">
            <w:r w:rsidRPr="006F66E6">
              <w:rPr>
                <w:rStyle w:val="Hyperlink"/>
                <w:rFonts w:ascii="Arial" w:hAnsi="Arial" w:cs="Arial"/>
                <w:noProof/>
              </w:rPr>
              <w:t>b. Recommendation 2: SOP for Local Partnerships &amp; Stakeholder Engagement</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_Toc214367811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22</w:t>
            </w:r>
            <w:r w:rsidRPr="006F66E6">
              <w:rPr>
                <w:rFonts w:ascii="Arial" w:hAnsi="Arial" w:cs="Arial"/>
                <w:noProof/>
                <w:webHidden/>
              </w:rPr>
              <w:fldChar w:fldCharType="end"/>
            </w:r>
          </w:hyperlink>
        </w:p>
        <w:p w14:paraId="0A026CD4" w14:textId="77777777" w:rsidR="006F66E6" w:rsidRPr="006F66E6" w:rsidRDefault="006F66E6">
          <w:pPr>
            <w:pStyle w:val="TOC2"/>
            <w:tabs>
              <w:tab w:val="right" w:leader="dot" w:pos="9350"/>
            </w:tabs>
            <w:rPr>
              <w:rFonts w:ascii="Arial" w:eastAsiaTheme="minorEastAsia" w:hAnsi="Arial" w:cs="Arial"/>
              <w:noProof/>
              <w:sz w:val="22"/>
              <w:szCs w:val="22"/>
            </w:rPr>
          </w:pPr>
          <w:hyperlink w:anchor="_Toc214367812" w:history="1">
            <w:r w:rsidRPr="006F66E6">
              <w:rPr>
                <w:rStyle w:val="Hyperlink"/>
                <w:rFonts w:ascii="Arial" w:hAnsi="Arial" w:cs="Arial"/>
                <w:noProof/>
              </w:rPr>
              <w:t>c. Recommendation 3: SOP for Renewable Energy &amp; Technology Innovation Integration</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_Toc214367812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22</w:t>
            </w:r>
            <w:r w:rsidRPr="006F66E6">
              <w:rPr>
                <w:rFonts w:ascii="Arial" w:hAnsi="Arial" w:cs="Arial"/>
                <w:noProof/>
                <w:webHidden/>
              </w:rPr>
              <w:fldChar w:fldCharType="end"/>
            </w:r>
          </w:hyperlink>
        </w:p>
        <w:p w14:paraId="1A15B0E6" w14:textId="77777777" w:rsidR="006F66E6" w:rsidRPr="006F66E6" w:rsidRDefault="006F66E6">
          <w:pPr>
            <w:pStyle w:val="TOC1"/>
            <w:tabs>
              <w:tab w:val="right" w:leader="dot" w:pos="9350"/>
            </w:tabs>
            <w:rPr>
              <w:rFonts w:ascii="Arial" w:eastAsiaTheme="minorEastAsia" w:hAnsi="Arial" w:cs="Arial"/>
              <w:noProof/>
              <w:sz w:val="22"/>
              <w:szCs w:val="22"/>
            </w:rPr>
          </w:pPr>
          <w:hyperlink w:anchor="_Toc214367813" w:history="1">
            <w:r w:rsidRPr="006F66E6">
              <w:rPr>
                <w:rStyle w:val="Hyperlink"/>
                <w:rFonts w:ascii="Arial" w:hAnsi="Arial" w:cs="Arial"/>
                <w:noProof/>
              </w:rPr>
              <w:t>6. Conclusion to the report</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_Toc214367813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23</w:t>
            </w:r>
            <w:r w:rsidRPr="006F66E6">
              <w:rPr>
                <w:rFonts w:ascii="Arial" w:hAnsi="Arial" w:cs="Arial"/>
                <w:noProof/>
                <w:webHidden/>
              </w:rPr>
              <w:fldChar w:fldCharType="end"/>
            </w:r>
          </w:hyperlink>
        </w:p>
        <w:p w14:paraId="4D301DA7" w14:textId="77777777" w:rsidR="006F66E6" w:rsidRDefault="006F66E6">
          <w:pPr>
            <w:pStyle w:val="TOC1"/>
            <w:tabs>
              <w:tab w:val="right" w:leader="dot" w:pos="9350"/>
            </w:tabs>
            <w:rPr>
              <w:rFonts w:asciiTheme="minorHAnsi" w:eastAsiaTheme="minorEastAsia" w:hAnsiTheme="minorHAnsi" w:cstheme="minorBidi"/>
              <w:noProof/>
              <w:sz w:val="22"/>
              <w:szCs w:val="22"/>
            </w:rPr>
          </w:pPr>
          <w:hyperlink w:anchor="_Toc214367814" w:history="1">
            <w:r w:rsidRPr="006F66E6">
              <w:rPr>
                <w:rStyle w:val="Hyperlink"/>
                <w:rFonts w:ascii="Arial" w:hAnsi="Arial" w:cs="Arial"/>
                <w:noProof/>
              </w:rPr>
              <w:t>References</w:t>
            </w:r>
            <w:r w:rsidRPr="006F66E6">
              <w:rPr>
                <w:rFonts w:ascii="Arial" w:hAnsi="Arial" w:cs="Arial"/>
                <w:noProof/>
                <w:webHidden/>
              </w:rPr>
              <w:tab/>
            </w:r>
            <w:r w:rsidRPr="006F66E6">
              <w:rPr>
                <w:rFonts w:ascii="Arial" w:hAnsi="Arial" w:cs="Arial"/>
                <w:noProof/>
                <w:webHidden/>
              </w:rPr>
              <w:fldChar w:fldCharType="begin"/>
            </w:r>
            <w:r w:rsidRPr="006F66E6">
              <w:rPr>
                <w:rFonts w:ascii="Arial" w:hAnsi="Arial" w:cs="Arial"/>
                <w:noProof/>
                <w:webHidden/>
              </w:rPr>
              <w:instrText xml:space="preserve"> PAGEREF _Toc214367814 \h </w:instrText>
            </w:r>
            <w:r w:rsidRPr="006F66E6">
              <w:rPr>
                <w:rFonts w:ascii="Arial" w:hAnsi="Arial" w:cs="Arial"/>
                <w:noProof/>
                <w:webHidden/>
              </w:rPr>
            </w:r>
            <w:r w:rsidRPr="006F66E6">
              <w:rPr>
                <w:rFonts w:ascii="Arial" w:hAnsi="Arial" w:cs="Arial"/>
                <w:noProof/>
                <w:webHidden/>
              </w:rPr>
              <w:fldChar w:fldCharType="separate"/>
            </w:r>
            <w:r w:rsidRPr="006F66E6">
              <w:rPr>
                <w:rFonts w:ascii="Arial" w:hAnsi="Arial" w:cs="Arial"/>
                <w:noProof/>
                <w:webHidden/>
              </w:rPr>
              <w:t>25</w:t>
            </w:r>
            <w:r w:rsidRPr="006F66E6">
              <w:rPr>
                <w:rFonts w:ascii="Arial" w:hAnsi="Arial" w:cs="Arial"/>
                <w:noProof/>
                <w:webHidden/>
              </w:rPr>
              <w:fldChar w:fldCharType="end"/>
            </w:r>
          </w:hyperlink>
        </w:p>
        <w:p w14:paraId="4AF4AE03" w14:textId="21371203" w:rsidR="00CB0D88" w:rsidRPr="00E2682F" w:rsidRDefault="006E6EA5" w:rsidP="006F66E6">
          <w:pPr>
            <w:pBdr>
              <w:top w:val="nil"/>
              <w:left w:val="nil"/>
              <w:bottom w:val="nil"/>
              <w:right w:val="nil"/>
              <w:between w:val="nil"/>
            </w:pBdr>
            <w:tabs>
              <w:tab w:val="right" w:leader="dot" w:pos="9350"/>
            </w:tabs>
            <w:spacing w:after="100"/>
            <w:rPr>
              <w:rFonts w:ascii="Arial" w:eastAsia="Arial" w:hAnsi="Arial" w:cs="Arial"/>
            </w:rPr>
          </w:pPr>
          <w:r w:rsidRPr="00E2682F">
            <w:lastRenderedPageBreak/>
            <w:fldChar w:fldCharType="end"/>
          </w:r>
        </w:p>
      </w:sdtContent>
    </w:sdt>
    <w:p w14:paraId="27C48B79" w14:textId="77777777" w:rsidR="00CB0D88" w:rsidRPr="00E2682F" w:rsidRDefault="006E6EA5">
      <w:pPr>
        <w:pStyle w:val="Heading1"/>
      </w:pPr>
      <w:bookmarkStart w:id="2" w:name="_Toc214367795"/>
      <w:r w:rsidRPr="00E2682F">
        <w:t>1. Introduction to the report</w:t>
      </w:r>
      <w:bookmarkEnd w:id="2"/>
    </w:p>
    <w:p w14:paraId="3A276764" w14:textId="76099EE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 xml:space="preserve">The report is aimed to focus on the internal business options of the selected company, BP (British Petroleum) that has global operations in countries such as the UK, China, South Africa and Canada. The report evaluates the global operations of BP through focusing on the business expansion and entry mode of BP for market access in 4 countries Canada, South Africa, China and the UK as home countries. The report discusses the international organisational strategy of BP and </w:t>
      </w:r>
      <w:r w:rsidR="00E2682F" w:rsidRPr="00E2682F">
        <w:rPr>
          <w:rFonts w:ascii="Arial" w:eastAsia="Arial" w:hAnsi="Arial" w:cs="Arial"/>
        </w:rPr>
        <w:t>analyses</w:t>
      </w:r>
      <w:r w:rsidRPr="00E2682F">
        <w:rPr>
          <w:rFonts w:ascii="Arial" w:eastAsia="Arial" w:hAnsi="Arial" w:cs="Arial"/>
        </w:rPr>
        <w:t xml:space="preserve"> the market entry strategies that the business has integrated for improving its international market presence. </w:t>
      </w:r>
      <w:proofErr w:type="spellStart"/>
      <w:r w:rsidRPr="00E2682F">
        <w:rPr>
          <w:rFonts w:ascii="Arial" w:eastAsia="Arial" w:hAnsi="Arial" w:cs="Arial"/>
        </w:rPr>
        <w:t>Rochayatun</w:t>
      </w:r>
      <w:proofErr w:type="spellEnd"/>
      <w:r w:rsidRPr="00E2682F">
        <w:rPr>
          <w:rFonts w:ascii="Arial" w:eastAsia="Arial" w:hAnsi="Arial" w:cs="Arial"/>
        </w:rPr>
        <w:t xml:space="preserve"> and Bidin (2022) have defined that entry mode for business internationalization is directly associated with balancing the risks, penetrating the market and improving customer engagement of the business. Lastly, the report compares and </w:t>
      </w:r>
      <w:r w:rsidR="00E2682F" w:rsidRPr="00E2682F">
        <w:rPr>
          <w:rFonts w:ascii="Arial" w:eastAsia="Arial" w:hAnsi="Arial" w:cs="Arial"/>
        </w:rPr>
        <w:t>analyses</w:t>
      </w:r>
      <w:r w:rsidRPr="00E2682F">
        <w:rPr>
          <w:rFonts w:ascii="Arial" w:eastAsia="Arial" w:hAnsi="Arial" w:cs="Arial"/>
        </w:rPr>
        <w:t xml:space="preserve"> the effectiveness of BP’s internationalization through </w:t>
      </w:r>
      <w:r w:rsidR="00E2682F" w:rsidRPr="00E2682F">
        <w:rPr>
          <w:rFonts w:ascii="Arial" w:eastAsia="Arial" w:hAnsi="Arial" w:cs="Arial"/>
        </w:rPr>
        <w:t>analysing</w:t>
      </w:r>
      <w:r w:rsidRPr="00E2682F">
        <w:rPr>
          <w:rFonts w:ascii="Arial" w:eastAsia="Arial" w:hAnsi="Arial" w:cs="Arial"/>
        </w:rPr>
        <w:t xml:space="preserve"> its expansion in the global oil and gas industry. </w:t>
      </w:r>
    </w:p>
    <w:p w14:paraId="14B63748" w14:textId="77777777" w:rsidR="00CB0D88" w:rsidRPr="00E2682F" w:rsidRDefault="006E6EA5">
      <w:pPr>
        <w:pBdr>
          <w:top w:val="nil"/>
          <w:left w:val="nil"/>
          <w:bottom w:val="nil"/>
          <w:right w:val="nil"/>
          <w:between w:val="nil"/>
        </w:pBdr>
        <w:jc w:val="center"/>
        <w:rPr>
          <w:rFonts w:ascii="Arial" w:eastAsia="Arial" w:hAnsi="Arial" w:cs="Arial"/>
        </w:rPr>
      </w:pPr>
      <w:r w:rsidRPr="00E2682F">
        <w:rPr>
          <w:rFonts w:ascii="Arial" w:eastAsia="Arial" w:hAnsi="Arial" w:cs="Arial"/>
          <w:noProof/>
        </w:rPr>
        <w:drawing>
          <wp:inline distT="0" distB="0" distL="0" distR="0" wp14:anchorId="5BDE4699" wp14:editId="79473485">
            <wp:extent cx="5399823" cy="2976465"/>
            <wp:effectExtent l="38100" t="38100" r="38100" b="3810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399823" cy="2976465"/>
                    </a:xfrm>
                    <a:prstGeom prst="rect">
                      <a:avLst/>
                    </a:prstGeom>
                    <a:ln w="38100">
                      <a:solidFill>
                        <a:srgbClr val="000000"/>
                      </a:solidFill>
                      <a:prstDash val="solid"/>
                    </a:ln>
                  </pic:spPr>
                </pic:pic>
              </a:graphicData>
            </a:graphic>
          </wp:inline>
        </w:drawing>
      </w:r>
    </w:p>
    <w:p w14:paraId="2D73715E" w14:textId="77777777" w:rsidR="00CB0D88" w:rsidRPr="00E2682F" w:rsidRDefault="006E6EA5">
      <w:pPr>
        <w:pBdr>
          <w:top w:val="nil"/>
          <w:left w:val="nil"/>
          <w:bottom w:val="nil"/>
          <w:right w:val="nil"/>
          <w:between w:val="nil"/>
        </w:pBdr>
        <w:jc w:val="center"/>
        <w:rPr>
          <w:rFonts w:ascii="Arial" w:eastAsia="Arial" w:hAnsi="Arial" w:cs="Arial"/>
          <w:b/>
          <w:bCs/>
        </w:rPr>
      </w:pPr>
      <w:r w:rsidRPr="00E2682F">
        <w:rPr>
          <w:rFonts w:ascii="Arial" w:eastAsia="Arial" w:hAnsi="Arial" w:cs="Arial"/>
          <w:b/>
          <w:bCs/>
        </w:rPr>
        <w:t>Figure 1: Strategy of BP</w:t>
      </w:r>
    </w:p>
    <w:p w14:paraId="40D0DD11" w14:textId="77777777" w:rsidR="00CB0D88" w:rsidRPr="00E2682F" w:rsidRDefault="006E6EA5">
      <w:pPr>
        <w:jc w:val="center"/>
        <w:rPr>
          <w:rFonts w:ascii="Arial" w:eastAsia="Arial" w:hAnsi="Arial" w:cs="Arial"/>
        </w:rPr>
      </w:pPr>
      <w:r w:rsidRPr="00E2682F">
        <w:rPr>
          <w:rFonts w:ascii="Arial" w:eastAsia="Arial" w:hAnsi="Arial" w:cs="Arial"/>
        </w:rPr>
        <w:t xml:space="preserve">(Source: </w:t>
      </w:r>
      <w:proofErr w:type="spellStart"/>
      <w:r w:rsidRPr="00E2682F">
        <w:rPr>
          <w:rFonts w:ascii="Arial" w:eastAsia="Arial" w:hAnsi="Arial" w:cs="Arial"/>
        </w:rPr>
        <w:t>Umbrex</w:t>
      </w:r>
      <w:proofErr w:type="spellEnd"/>
      <w:r w:rsidRPr="00E2682F">
        <w:rPr>
          <w:rFonts w:ascii="Arial" w:eastAsia="Arial" w:hAnsi="Arial" w:cs="Arial"/>
        </w:rPr>
        <w:t>, 2024)</w:t>
      </w:r>
    </w:p>
    <w:p w14:paraId="27BDBEAD" w14:textId="77777777" w:rsidR="00CB0D88" w:rsidRPr="00E2682F" w:rsidRDefault="00CB0D88">
      <w:pPr>
        <w:pBdr>
          <w:top w:val="nil"/>
          <w:left w:val="nil"/>
          <w:bottom w:val="nil"/>
          <w:right w:val="nil"/>
          <w:between w:val="nil"/>
        </w:pBdr>
        <w:jc w:val="center"/>
        <w:rPr>
          <w:rFonts w:ascii="Arial" w:eastAsia="Arial" w:hAnsi="Arial" w:cs="Arial"/>
        </w:rPr>
      </w:pPr>
    </w:p>
    <w:p w14:paraId="3548C319" w14:textId="77777777" w:rsidR="00CB0D88" w:rsidRPr="00E2682F" w:rsidRDefault="00CB0D88">
      <w:pPr>
        <w:pBdr>
          <w:top w:val="nil"/>
          <w:left w:val="nil"/>
          <w:bottom w:val="nil"/>
          <w:right w:val="nil"/>
          <w:between w:val="nil"/>
        </w:pBdr>
        <w:jc w:val="center"/>
        <w:rPr>
          <w:rFonts w:ascii="Arial" w:eastAsia="Arial" w:hAnsi="Arial" w:cs="Arial"/>
        </w:rPr>
      </w:pPr>
    </w:p>
    <w:p w14:paraId="43715E2A" w14:textId="77777777" w:rsidR="00CB0D88" w:rsidRPr="00E2682F" w:rsidRDefault="00CB0D88">
      <w:pPr>
        <w:pBdr>
          <w:top w:val="nil"/>
          <w:left w:val="nil"/>
          <w:bottom w:val="nil"/>
          <w:right w:val="nil"/>
          <w:between w:val="nil"/>
        </w:pBdr>
        <w:jc w:val="center"/>
        <w:rPr>
          <w:rFonts w:ascii="Arial" w:eastAsia="Arial" w:hAnsi="Arial" w:cs="Arial"/>
        </w:rPr>
      </w:pPr>
    </w:p>
    <w:p w14:paraId="6F36410E" w14:textId="77777777" w:rsidR="00CB0D88" w:rsidRPr="00E2682F" w:rsidRDefault="006E6EA5">
      <w:pPr>
        <w:pStyle w:val="Heading1"/>
      </w:pPr>
      <w:bookmarkStart w:id="3" w:name="_Toc214367796"/>
      <w:r w:rsidRPr="00E2682F">
        <w:lastRenderedPageBreak/>
        <w:t>2. Benefits and challenges of international operations</w:t>
      </w:r>
      <w:bookmarkEnd w:id="3"/>
    </w:p>
    <w:p w14:paraId="0F6AA116" w14:textId="77777777" w:rsidR="00CB0D88" w:rsidRPr="00E2682F" w:rsidRDefault="006E6EA5">
      <w:pPr>
        <w:pStyle w:val="Heading2"/>
      </w:pPr>
      <w:bookmarkStart w:id="4" w:name="_Toc214367797"/>
      <w:r w:rsidRPr="00E2682F">
        <w:t>a. Explaining why BP can be designated an MNC</w:t>
      </w:r>
      <w:bookmarkEnd w:id="4"/>
      <w:r w:rsidRPr="00E2682F">
        <w:t xml:space="preserve"> </w:t>
      </w:r>
    </w:p>
    <w:p w14:paraId="08B28B28"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 xml:space="preserve">BP is considered a global option due to its global expansion and business operations along with a diverse range of subsidiaries and branches, with headquarters in the UK. Currently, BP has global options in more than 70 countries including Europe, America, Africa, Middle East and Asia Pacific (BP, 2025). The global expansion and operations of BP is crucial for the business to enhance its financial growth and market presence through engaging with global consumers and businesses. </w:t>
      </w:r>
      <w:proofErr w:type="spellStart"/>
      <w:r w:rsidRPr="00E2682F">
        <w:rPr>
          <w:rFonts w:ascii="Arial" w:eastAsia="Arial" w:hAnsi="Arial" w:cs="Arial"/>
        </w:rPr>
        <w:t>Sanili</w:t>
      </w:r>
      <w:proofErr w:type="spellEnd"/>
      <w:r w:rsidRPr="00E2682F">
        <w:rPr>
          <w:rFonts w:ascii="Arial" w:eastAsia="Arial" w:hAnsi="Arial" w:cs="Arial"/>
        </w:rPr>
        <w:t xml:space="preserve"> Aydin and </w:t>
      </w:r>
      <w:proofErr w:type="spellStart"/>
      <w:r w:rsidRPr="00E2682F">
        <w:rPr>
          <w:rFonts w:ascii="Arial" w:eastAsia="Arial" w:hAnsi="Arial" w:cs="Arial"/>
        </w:rPr>
        <w:t>Uste</w:t>
      </w:r>
      <w:proofErr w:type="spellEnd"/>
      <w:r w:rsidRPr="00E2682F">
        <w:rPr>
          <w:rFonts w:ascii="Arial" w:eastAsia="Arial" w:hAnsi="Arial" w:cs="Arial"/>
        </w:rPr>
        <w:t xml:space="preserve"> (2022) defined that BP is the largest MNC in Eastern Europe providing 7.0 thousand million barrels of oil and 2.8 trillion cubic metres of gas reserves. </w:t>
      </w:r>
    </w:p>
    <w:p w14:paraId="44913FEB" w14:textId="77777777" w:rsidR="00CB0D88" w:rsidRPr="00E2682F" w:rsidRDefault="006E6EA5">
      <w:pPr>
        <w:pBdr>
          <w:top w:val="nil"/>
          <w:left w:val="nil"/>
          <w:bottom w:val="nil"/>
          <w:right w:val="nil"/>
          <w:between w:val="nil"/>
        </w:pBdr>
        <w:jc w:val="center"/>
        <w:rPr>
          <w:rFonts w:ascii="Arial" w:eastAsia="Arial" w:hAnsi="Arial" w:cs="Arial"/>
        </w:rPr>
      </w:pPr>
      <w:r w:rsidRPr="00E2682F">
        <w:rPr>
          <w:rFonts w:ascii="Arial" w:eastAsia="Arial" w:hAnsi="Arial" w:cs="Arial"/>
          <w:noProof/>
        </w:rPr>
        <w:drawing>
          <wp:inline distT="114300" distB="114300" distL="114300" distR="114300" wp14:anchorId="3BB6C375" wp14:editId="6D754421">
            <wp:extent cx="5124450" cy="2876550"/>
            <wp:effectExtent l="38100" t="38100" r="38100" b="3810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124450" cy="2876550"/>
                    </a:xfrm>
                    <a:prstGeom prst="rect">
                      <a:avLst/>
                    </a:prstGeom>
                    <a:ln w="38100">
                      <a:solidFill>
                        <a:srgbClr val="000000"/>
                      </a:solidFill>
                      <a:prstDash val="solid"/>
                    </a:ln>
                  </pic:spPr>
                </pic:pic>
              </a:graphicData>
            </a:graphic>
          </wp:inline>
        </w:drawing>
      </w:r>
    </w:p>
    <w:p w14:paraId="134DF1AA" w14:textId="77777777" w:rsidR="00CB0D88" w:rsidRPr="00E2682F" w:rsidRDefault="006E6EA5">
      <w:pPr>
        <w:pBdr>
          <w:top w:val="nil"/>
          <w:left w:val="nil"/>
          <w:bottom w:val="nil"/>
          <w:right w:val="nil"/>
          <w:between w:val="nil"/>
        </w:pBdr>
        <w:jc w:val="center"/>
        <w:rPr>
          <w:rFonts w:ascii="Arial" w:eastAsia="Arial" w:hAnsi="Arial" w:cs="Arial"/>
          <w:b/>
          <w:bCs/>
        </w:rPr>
      </w:pPr>
      <w:r w:rsidRPr="00E2682F">
        <w:rPr>
          <w:rFonts w:ascii="Arial" w:eastAsia="Arial" w:hAnsi="Arial" w:cs="Arial"/>
          <w:b/>
          <w:bCs/>
        </w:rPr>
        <w:t xml:space="preserve">Figure 2: Global business strategy of BP </w:t>
      </w:r>
    </w:p>
    <w:p w14:paraId="303CD1B0" w14:textId="77777777" w:rsidR="00CB0D88" w:rsidRPr="00E2682F" w:rsidRDefault="006E6EA5">
      <w:pPr>
        <w:pBdr>
          <w:top w:val="nil"/>
          <w:left w:val="nil"/>
          <w:bottom w:val="nil"/>
          <w:right w:val="nil"/>
          <w:between w:val="nil"/>
        </w:pBdr>
        <w:jc w:val="center"/>
        <w:rPr>
          <w:rFonts w:ascii="Arial" w:eastAsia="Arial" w:hAnsi="Arial" w:cs="Arial"/>
        </w:rPr>
      </w:pPr>
      <w:r w:rsidRPr="00E2682F">
        <w:rPr>
          <w:rFonts w:ascii="Arial" w:eastAsia="Arial" w:hAnsi="Arial" w:cs="Arial"/>
        </w:rPr>
        <w:t>(Source: BP, 2023)</w:t>
      </w:r>
    </w:p>
    <w:p w14:paraId="284518FE" w14:textId="77777777" w:rsidR="00CB0D88" w:rsidRPr="00E2682F" w:rsidRDefault="006E6EA5">
      <w:pPr>
        <w:rPr>
          <w:rFonts w:ascii="Arial" w:eastAsia="Arial" w:hAnsi="Arial" w:cs="Arial"/>
          <w:b/>
          <w:bCs/>
        </w:rPr>
      </w:pPr>
      <w:r w:rsidRPr="00E2682F">
        <w:rPr>
          <w:rFonts w:ascii="Arial" w:eastAsia="Arial" w:hAnsi="Arial" w:cs="Arial"/>
          <w:b/>
          <w:bCs/>
        </w:rPr>
        <w:t>Challenges faced by BP in its international operations</w:t>
      </w:r>
    </w:p>
    <w:p w14:paraId="7DDC89C2" w14:textId="77777777" w:rsidR="00CB0D88" w:rsidRPr="00E2682F" w:rsidRDefault="006E6EA5">
      <w:pPr>
        <w:numPr>
          <w:ilvl w:val="0"/>
          <w:numId w:val="3"/>
        </w:numPr>
        <w:rPr>
          <w:rFonts w:ascii="Arial" w:eastAsia="Arial" w:hAnsi="Arial" w:cs="Arial"/>
          <w:b/>
          <w:bCs/>
          <w:color w:val="FF0000"/>
        </w:rPr>
      </w:pPr>
      <w:r w:rsidRPr="00E2682F">
        <w:rPr>
          <w:rFonts w:ascii="Arial" w:eastAsia="Arial" w:hAnsi="Arial" w:cs="Arial"/>
          <w:b/>
          <w:bCs/>
          <w:color w:val="FF0000"/>
        </w:rPr>
        <w:t>Challenge 1-Regulatory Non-compliance issues</w:t>
      </w:r>
    </w:p>
    <w:p w14:paraId="1DC1EC3C" w14:textId="77777777" w:rsidR="00204A36" w:rsidRDefault="006E6EA5">
      <w:pPr>
        <w:rPr>
          <w:rFonts w:ascii="Arial" w:eastAsia="Arial" w:hAnsi="Arial" w:cs="Arial"/>
          <w:color w:val="FF0000"/>
        </w:rPr>
      </w:pPr>
      <w:r w:rsidRPr="00E2682F">
        <w:rPr>
          <w:rFonts w:ascii="Arial" w:eastAsia="Arial" w:hAnsi="Arial" w:cs="Arial"/>
          <w:color w:val="FF0000"/>
        </w:rPr>
        <w:t>BP is facing non-compliance issues and litigation by The International Energy Agency, as one of the employees have died due to excessive gas flaring and exposure to high levels of toxic emissions (Bauer, 2024). The issue has brought legal litigation to BP that outlined the poor accountability of the business to address its high level of methane emissions.</w:t>
      </w:r>
    </w:p>
    <w:p w14:paraId="4B51CA57" w14:textId="77777777" w:rsidR="00204A36" w:rsidRDefault="00204A36">
      <w:pPr>
        <w:rPr>
          <w:rFonts w:ascii="Arial" w:eastAsia="Arial" w:hAnsi="Arial" w:cs="Arial"/>
          <w:color w:val="FF0000"/>
        </w:rPr>
      </w:pPr>
    </w:p>
    <w:p w14:paraId="109DCE3E" w14:textId="33908BD9" w:rsidR="00CB0D88" w:rsidRPr="00E2682F" w:rsidRDefault="006E6EA5">
      <w:pPr>
        <w:rPr>
          <w:rFonts w:ascii="Arial" w:eastAsia="Arial" w:hAnsi="Arial" w:cs="Arial"/>
          <w:color w:val="FF0000"/>
        </w:rPr>
      </w:pPr>
      <w:r w:rsidRPr="00E2682F">
        <w:rPr>
          <w:rFonts w:ascii="Arial" w:eastAsia="Arial" w:hAnsi="Arial" w:cs="Arial"/>
          <w:color w:val="FF0000"/>
        </w:rPr>
        <w:t xml:space="preserve"> </w:t>
      </w:r>
    </w:p>
    <w:p w14:paraId="10FDD042" w14:textId="77777777" w:rsidR="00CB0D88" w:rsidRPr="00E2682F" w:rsidRDefault="006E6EA5">
      <w:pPr>
        <w:numPr>
          <w:ilvl w:val="0"/>
          <w:numId w:val="3"/>
        </w:numPr>
        <w:rPr>
          <w:rFonts w:ascii="Arial" w:eastAsia="Arial" w:hAnsi="Arial" w:cs="Arial"/>
          <w:b/>
          <w:bCs/>
          <w:color w:val="FF0000"/>
        </w:rPr>
      </w:pPr>
      <w:r w:rsidRPr="00E2682F">
        <w:rPr>
          <w:rFonts w:ascii="Arial" w:eastAsia="Arial" w:hAnsi="Arial" w:cs="Arial"/>
          <w:b/>
          <w:bCs/>
          <w:color w:val="FF0000"/>
        </w:rPr>
        <w:lastRenderedPageBreak/>
        <w:t>Challenge 2- Poor Stakeholder management and engagement</w:t>
      </w:r>
    </w:p>
    <w:p w14:paraId="742B1C23" w14:textId="77777777" w:rsidR="00CB0D88" w:rsidRPr="00E2682F" w:rsidRDefault="006E6EA5">
      <w:pPr>
        <w:rPr>
          <w:rFonts w:ascii="Arial" w:eastAsia="Arial" w:hAnsi="Arial" w:cs="Arial"/>
          <w:color w:val="FF0000"/>
        </w:rPr>
      </w:pPr>
      <w:r w:rsidRPr="00E2682F">
        <w:rPr>
          <w:rFonts w:ascii="Arial" w:eastAsia="Arial" w:hAnsi="Arial" w:cs="Arial"/>
          <w:color w:val="FF0000"/>
        </w:rPr>
        <w:t xml:space="preserve">BP is facing backlash from its shareholders due to poor collaboration and engagement and BP’s approach to abandoning its climate strategy, causing investor rebellion and shareholder dissatisfaction. Approximately 10% of BP’s investors and shareholders have voted against the chairman of the business due to their emphasis on profitability rather than sustainability and environmental accountability (Ambrose, 2025). </w:t>
      </w:r>
    </w:p>
    <w:p w14:paraId="34E35257" w14:textId="77777777" w:rsidR="00CB0D88" w:rsidRPr="00E2682F" w:rsidRDefault="006E6EA5">
      <w:pPr>
        <w:numPr>
          <w:ilvl w:val="0"/>
          <w:numId w:val="3"/>
        </w:numPr>
        <w:rPr>
          <w:rFonts w:ascii="Arial" w:eastAsia="Arial" w:hAnsi="Arial" w:cs="Arial"/>
          <w:b/>
          <w:bCs/>
          <w:color w:val="FF0000"/>
        </w:rPr>
      </w:pPr>
      <w:r w:rsidRPr="00E2682F">
        <w:rPr>
          <w:rFonts w:ascii="Arial" w:eastAsia="Arial" w:hAnsi="Arial" w:cs="Arial"/>
          <w:b/>
          <w:bCs/>
          <w:color w:val="FF0000"/>
        </w:rPr>
        <w:t>Challenge 3- Issues of High energy consumption, high energy and oil output</w:t>
      </w:r>
    </w:p>
    <w:p w14:paraId="0FDAB58A" w14:textId="0620DD22" w:rsidR="00CB0D88" w:rsidRPr="00E2682F" w:rsidRDefault="006E6EA5">
      <w:pPr>
        <w:rPr>
          <w:rFonts w:ascii="Arial" w:eastAsia="Arial" w:hAnsi="Arial" w:cs="Arial"/>
          <w:color w:val="FF0000"/>
        </w:rPr>
      </w:pPr>
      <w:r w:rsidRPr="00E2682F">
        <w:rPr>
          <w:rFonts w:ascii="Arial" w:eastAsia="Arial" w:hAnsi="Arial" w:cs="Arial"/>
          <w:color w:val="FF0000"/>
        </w:rPr>
        <w:t xml:space="preserve">One of the major issues faced by BP is its high energy and oil output that impacts its business sustainability and </w:t>
      </w:r>
      <w:r w:rsidR="00204A36" w:rsidRPr="00E2682F">
        <w:rPr>
          <w:rFonts w:ascii="Arial" w:eastAsia="Arial" w:hAnsi="Arial" w:cs="Arial"/>
          <w:color w:val="FF0000"/>
        </w:rPr>
        <w:t>long-term</w:t>
      </w:r>
      <w:r w:rsidRPr="00E2682F">
        <w:rPr>
          <w:rFonts w:ascii="Arial" w:eastAsia="Arial" w:hAnsi="Arial" w:cs="Arial"/>
          <w:color w:val="FF0000"/>
        </w:rPr>
        <w:t xml:space="preserve"> growth. BP has failed to cut its oil and energy output by 40% as the company is only able to achieve a 25% cut in the output in 2024, reflecting on its poor sustainability practice (Bousso, 2024). </w:t>
      </w:r>
    </w:p>
    <w:p w14:paraId="5473321E" w14:textId="77777777" w:rsidR="00CB0D88" w:rsidRPr="00E2682F" w:rsidRDefault="006E6EA5">
      <w:pPr>
        <w:pStyle w:val="Heading2"/>
      </w:pPr>
      <w:bookmarkStart w:id="5" w:name="_Toc214367798"/>
      <w:r w:rsidRPr="00E2682F">
        <w:t>b. Summarising BP’s nature of global operations and important aspects of the value chain</w:t>
      </w:r>
      <w:bookmarkEnd w:id="5"/>
    </w:p>
    <w:p w14:paraId="62569192" w14:textId="77777777" w:rsidR="00CB0D88" w:rsidRPr="00E2682F" w:rsidRDefault="006E6EA5">
      <w:pPr>
        <w:numPr>
          <w:ilvl w:val="0"/>
          <w:numId w:val="4"/>
        </w:numPr>
        <w:pBdr>
          <w:top w:val="nil"/>
          <w:left w:val="nil"/>
          <w:bottom w:val="nil"/>
          <w:right w:val="nil"/>
          <w:between w:val="nil"/>
        </w:pBdr>
        <w:rPr>
          <w:rFonts w:ascii="Arial" w:eastAsia="Arial" w:hAnsi="Arial" w:cs="Arial"/>
          <w:b/>
          <w:bCs/>
        </w:rPr>
      </w:pPr>
      <w:r w:rsidRPr="00E2682F">
        <w:rPr>
          <w:rFonts w:ascii="Arial" w:eastAsia="Arial" w:hAnsi="Arial" w:cs="Arial"/>
          <w:b/>
          <w:bCs/>
        </w:rPr>
        <w:t>Research and development (R&amp;D)</w:t>
      </w:r>
    </w:p>
    <w:p w14:paraId="2E1B84BA" w14:textId="77777777" w:rsidR="00CB0D88" w:rsidRPr="00E2682F" w:rsidRDefault="006E6EA5">
      <w:pPr>
        <w:rPr>
          <w:rFonts w:ascii="Arial" w:eastAsia="Arial" w:hAnsi="Arial" w:cs="Arial"/>
        </w:rPr>
      </w:pPr>
      <w:r w:rsidRPr="00E2682F">
        <w:rPr>
          <w:rFonts w:ascii="Arial" w:eastAsia="Arial" w:hAnsi="Arial" w:cs="Arial"/>
        </w:rPr>
        <w:t>R&amp;D is a major aspect of BP that enables the company to develop market strategy along with services and products for meeting the consumer demands and market trend in global oil and gas energy. BP has applied science and technology across 10 technology centres and has invested $316 million per year in its research and development (BP, 2025). BP needs to develop operational standards for achieving the highest standards in the energy operation. The further innovation of BP in the domain of low-carbon energy, digital transformation, and renewable technologies is an indicator that it is dedicated to becoming net-zero and competitive in the changing world of energy (Bp global, 2022).</w:t>
      </w:r>
    </w:p>
    <w:p w14:paraId="70BFA29E" w14:textId="77777777" w:rsidR="00CB0D88" w:rsidRPr="00E2682F" w:rsidRDefault="006E6EA5">
      <w:pPr>
        <w:jc w:val="center"/>
        <w:rPr>
          <w:rFonts w:ascii="Arial" w:eastAsia="Arial" w:hAnsi="Arial" w:cs="Arial"/>
        </w:rPr>
      </w:pPr>
      <w:r w:rsidRPr="00E2682F">
        <w:rPr>
          <w:rFonts w:ascii="Arial" w:eastAsia="Arial" w:hAnsi="Arial" w:cs="Arial"/>
          <w:noProof/>
        </w:rPr>
        <w:lastRenderedPageBreak/>
        <w:drawing>
          <wp:inline distT="0" distB="0" distL="0" distR="0" wp14:anchorId="46C3A405" wp14:editId="5A781B5F">
            <wp:extent cx="5048250" cy="4819650"/>
            <wp:effectExtent l="0" t="0" r="0" b="0"/>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048250" cy="4819650"/>
                    </a:xfrm>
                    <a:prstGeom prst="rect">
                      <a:avLst/>
                    </a:prstGeom>
                    <a:ln/>
                  </pic:spPr>
                </pic:pic>
              </a:graphicData>
            </a:graphic>
          </wp:inline>
        </w:drawing>
      </w:r>
    </w:p>
    <w:p w14:paraId="02CE7972" w14:textId="77777777" w:rsidR="00CB0D88" w:rsidRPr="00E2682F" w:rsidRDefault="006E6EA5">
      <w:pPr>
        <w:jc w:val="center"/>
        <w:rPr>
          <w:rFonts w:ascii="Arial" w:eastAsia="Arial" w:hAnsi="Arial" w:cs="Arial"/>
          <w:b/>
          <w:bCs/>
        </w:rPr>
      </w:pPr>
      <w:r w:rsidRPr="00E2682F">
        <w:rPr>
          <w:rFonts w:ascii="Arial" w:eastAsia="Arial" w:hAnsi="Arial" w:cs="Arial"/>
          <w:b/>
          <w:bCs/>
        </w:rPr>
        <w:t>Figure 3: BP gas and carbon energy</w:t>
      </w:r>
    </w:p>
    <w:p w14:paraId="4615A936" w14:textId="77777777" w:rsidR="00CB0D88" w:rsidRPr="00E2682F" w:rsidRDefault="006E6EA5">
      <w:pPr>
        <w:jc w:val="center"/>
        <w:rPr>
          <w:rFonts w:ascii="Arial" w:eastAsia="Arial" w:hAnsi="Arial" w:cs="Arial"/>
        </w:rPr>
      </w:pPr>
      <w:r w:rsidRPr="00E2682F">
        <w:rPr>
          <w:rFonts w:ascii="Arial" w:eastAsia="Arial" w:hAnsi="Arial" w:cs="Arial"/>
        </w:rPr>
        <w:t>(Source: Bp global, 2022)</w:t>
      </w:r>
    </w:p>
    <w:p w14:paraId="48094932" w14:textId="77777777" w:rsidR="00CB0D88" w:rsidRPr="00E2682F" w:rsidRDefault="006E6EA5">
      <w:pPr>
        <w:numPr>
          <w:ilvl w:val="0"/>
          <w:numId w:val="4"/>
        </w:numPr>
        <w:pBdr>
          <w:top w:val="nil"/>
          <w:left w:val="nil"/>
          <w:bottom w:val="nil"/>
          <w:right w:val="nil"/>
          <w:between w:val="nil"/>
        </w:pBdr>
        <w:rPr>
          <w:rFonts w:ascii="Arial" w:eastAsia="Arial" w:hAnsi="Arial" w:cs="Arial"/>
          <w:b/>
          <w:bCs/>
        </w:rPr>
      </w:pPr>
      <w:r w:rsidRPr="00E2682F">
        <w:rPr>
          <w:rFonts w:ascii="Arial" w:eastAsia="Arial" w:hAnsi="Arial" w:cs="Arial"/>
          <w:b/>
          <w:bCs/>
        </w:rPr>
        <w:t>Sourcing</w:t>
      </w:r>
    </w:p>
    <w:p w14:paraId="2749E612" w14:textId="0BC16EEC"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 xml:space="preserve">BP, at the global level, has diverse sourcing options and processes that enable BP to access and obtain key resources and technological capabilities. BP primarily integrates SAP Ariba Proposals and Questionnaires, </w:t>
      </w:r>
      <w:r w:rsidR="00204A36" w:rsidRPr="00E2682F">
        <w:rPr>
          <w:rFonts w:ascii="Arial" w:eastAsia="Arial" w:hAnsi="Arial" w:cs="Arial"/>
        </w:rPr>
        <w:t>two types of sourcing system</w:t>
      </w:r>
      <w:r w:rsidRPr="00E2682F">
        <w:rPr>
          <w:rFonts w:ascii="Arial" w:eastAsia="Arial" w:hAnsi="Arial" w:cs="Arial"/>
        </w:rPr>
        <w:t xml:space="preserve"> within its global procurement systems (BP, 2025). The implication of the SAP Ariba Proposals and Questionnaires enable BP to conduct the overall digital sourcing processes of the business for managing events such as Requests for Proposals. In comparison, the sourcing process of BP in Canada includes the procurement and extraction of natural resources such as natural gas and oil from the eastern provinces of Canada, Newfoundland and Labrador (BP, 2025). On the other hand, the global operations of BP </w:t>
      </w:r>
      <w:r w:rsidRPr="00E2682F">
        <w:rPr>
          <w:rFonts w:ascii="Arial" w:eastAsia="Arial" w:hAnsi="Arial" w:cs="Arial"/>
        </w:rPr>
        <w:lastRenderedPageBreak/>
        <w:t xml:space="preserve">also e includes the products and management of purified terephthalic acid (PTA) in China. BP is improving its operations and procurement in China through building a PTA plant in Zhuhai that produces 200,000 tonnes of PTA (BP, 2024). Thus, global operations of the business including sourcing and procurement are at the core of its internationalization, providing BP access to key partners and suppliers. </w:t>
      </w:r>
    </w:p>
    <w:p w14:paraId="590C1163" w14:textId="77777777" w:rsidR="00CB0D88" w:rsidRPr="00E2682F" w:rsidRDefault="006E6EA5">
      <w:pPr>
        <w:numPr>
          <w:ilvl w:val="0"/>
          <w:numId w:val="4"/>
        </w:numPr>
        <w:pBdr>
          <w:top w:val="nil"/>
          <w:left w:val="nil"/>
          <w:bottom w:val="nil"/>
          <w:right w:val="nil"/>
          <w:between w:val="nil"/>
        </w:pBdr>
        <w:rPr>
          <w:rFonts w:ascii="Arial" w:eastAsia="Arial" w:hAnsi="Arial" w:cs="Arial"/>
          <w:b/>
          <w:bCs/>
        </w:rPr>
      </w:pPr>
      <w:r w:rsidRPr="00E2682F">
        <w:rPr>
          <w:rFonts w:ascii="Arial" w:eastAsia="Arial" w:hAnsi="Arial" w:cs="Arial"/>
          <w:b/>
          <w:bCs/>
        </w:rPr>
        <w:t xml:space="preserve">Production </w:t>
      </w:r>
    </w:p>
    <w:p w14:paraId="3F03DC6E" w14:textId="77777777" w:rsidR="00CB0D88" w:rsidRPr="00E2682F" w:rsidRDefault="006E6EA5">
      <w:pPr>
        <w:pBdr>
          <w:top w:val="nil"/>
          <w:left w:val="nil"/>
          <w:bottom w:val="nil"/>
          <w:right w:val="nil"/>
          <w:between w:val="nil"/>
        </w:pBdr>
        <w:jc w:val="center"/>
        <w:rPr>
          <w:rFonts w:ascii="Arial" w:eastAsia="Arial" w:hAnsi="Arial" w:cs="Arial"/>
        </w:rPr>
      </w:pPr>
      <w:r w:rsidRPr="00E2682F">
        <w:rPr>
          <w:rFonts w:ascii="Arial" w:eastAsia="Arial" w:hAnsi="Arial" w:cs="Arial"/>
          <w:noProof/>
        </w:rPr>
        <w:drawing>
          <wp:inline distT="114300" distB="114300" distL="114300" distR="114300" wp14:anchorId="4CBEF742" wp14:editId="55208075">
            <wp:extent cx="4129088" cy="3409950"/>
            <wp:effectExtent l="12700" t="12700" r="12700" b="1270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129088" cy="3409950"/>
                    </a:xfrm>
                    <a:prstGeom prst="rect">
                      <a:avLst/>
                    </a:prstGeom>
                    <a:ln w="12700">
                      <a:solidFill>
                        <a:srgbClr val="000000"/>
                      </a:solidFill>
                      <a:prstDash val="solid"/>
                    </a:ln>
                  </pic:spPr>
                </pic:pic>
              </a:graphicData>
            </a:graphic>
          </wp:inline>
        </w:drawing>
      </w:r>
    </w:p>
    <w:p w14:paraId="122C3D28" w14:textId="77777777" w:rsidR="00CB0D88" w:rsidRPr="00E2682F" w:rsidRDefault="006E6EA5">
      <w:pPr>
        <w:pBdr>
          <w:top w:val="nil"/>
          <w:left w:val="nil"/>
          <w:bottom w:val="nil"/>
          <w:right w:val="nil"/>
          <w:between w:val="nil"/>
        </w:pBdr>
        <w:jc w:val="center"/>
        <w:rPr>
          <w:rFonts w:ascii="Arial" w:eastAsia="Arial" w:hAnsi="Arial" w:cs="Arial"/>
          <w:b/>
          <w:bCs/>
        </w:rPr>
      </w:pPr>
      <w:r w:rsidRPr="00E2682F">
        <w:rPr>
          <w:rFonts w:ascii="Arial" w:eastAsia="Arial" w:hAnsi="Arial" w:cs="Arial"/>
          <w:b/>
          <w:bCs/>
        </w:rPr>
        <w:t xml:space="preserve">Figure 4: Upstream production of BP in 2023 and 2024 </w:t>
      </w:r>
    </w:p>
    <w:p w14:paraId="4632EF2A" w14:textId="77777777" w:rsidR="00CB0D88" w:rsidRPr="00E2682F" w:rsidRDefault="006E6EA5">
      <w:pPr>
        <w:pBdr>
          <w:top w:val="nil"/>
          <w:left w:val="nil"/>
          <w:bottom w:val="nil"/>
          <w:right w:val="nil"/>
          <w:between w:val="nil"/>
        </w:pBdr>
        <w:jc w:val="center"/>
        <w:rPr>
          <w:rFonts w:ascii="Arial" w:eastAsia="Arial" w:hAnsi="Arial" w:cs="Arial"/>
          <w:b/>
          <w:bCs/>
        </w:rPr>
      </w:pPr>
      <w:r w:rsidRPr="00E2682F">
        <w:rPr>
          <w:rFonts w:ascii="Arial" w:eastAsia="Arial" w:hAnsi="Arial" w:cs="Arial"/>
        </w:rPr>
        <w:t>(Source: BP, 2023)</w:t>
      </w:r>
    </w:p>
    <w:p w14:paraId="2B0DEA9D"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The key focus of global production processes by BP includes developing and operating oil and gas resources and assets along with refineries, pipelines for global supply chain management. In 2023, BP’s oil production was at 2.3 million barrels of oil equivalent upstream production with $5.78/</w:t>
      </w:r>
      <w:proofErr w:type="spellStart"/>
      <w:r w:rsidRPr="00E2682F">
        <w:rPr>
          <w:rFonts w:ascii="Arial" w:eastAsia="Arial" w:hAnsi="Arial" w:cs="Arial"/>
        </w:rPr>
        <w:t>boe</w:t>
      </w:r>
      <w:proofErr w:type="spellEnd"/>
      <w:r w:rsidRPr="00E2682F">
        <w:rPr>
          <w:rFonts w:ascii="Arial" w:eastAsia="Arial" w:hAnsi="Arial" w:cs="Arial"/>
        </w:rPr>
        <w:t xml:space="preserve"> upstream unit production costs, globally (BP, 2023). BP is enhancing its production capability in Africa through the development of GTA Phase 1 with production capability of 2.3 million tonnes of liquefied natural gas (LNG) per year (BP, 2024). The advancement of the project is crucial for BP to expand its natural gas capability in the Atlantic Ocean, off the coast of West Africa for improving its business growth in the region. </w:t>
      </w:r>
    </w:p>
    <w:p w14:paraId="4FEE4008" w14:textId="77777777" w:rsidR="00CB0D88" w:rsidRPr="00E2682F" w:rsidRDefault="006E6EA5">
      <w:pPr>
        <w:numPr>
          <w:ilvl w:val="0"/>
          <w:numId w:val="4"/>
        </w:numPr>
        <w:pBdr>
          <w:top w:val="nil"/>
          <w:left w:val="nil"/>
          <w:bottom w:val="nil"/>
          <w:right w:val="nil"/>
          <w:between w:val="nil"/>
        </w:pBdr>
        <w:rPr>
          <w:rFonts w:ascii="Arial" w:eastAsia="Arial" w:hAnsi="Arial" w:cs="Arial"/>
          <w:b/>
          <w:bCs/>
        </w:rPr>
      </w:pPr>
      <w:r w:rsidRPr="00E2682F">
        <w:rPr>
          <w:rFonts w:ascii="Arial" w:eastAsia="Arial" w:hAnsi="Arial" w:cs="Arial"/>
          <w:b/>
          <w:bCs/>
        </w:rPr>
        <w:t xml:space="preserve">Sales </w:t>
      </w:r>
    </w:p>
    <w:p w14:paraId="021B5930" w14:textId="77777777" w:rsidR="00CB0D88" w:rsidRPr="00E2682F" w:rsidRDefault="006E6EA5">
      <w:pPr>
        <w:rPr>
          <w:rFonts w:ascii="Arial" w:eastAsia="Arial" w:hAnsi="Arial" w:cs="Arial"/>
        </w:rPr>
      </w:pPr>
      <w:r w:rsidRPr="00E2682F">
        <w:rPr>
          <w:rFonts w:ascii="Arial" w:eastAsia="Arial" w:hAnsi="Arial" w:cs="Arial"/>
        </w:rPr>
        <w:lastRenderedPageBreak/>
        <w:t xml:space="preserve">The profit rate of BP in 2025 dropped to 48% to $1.4 billion due to weaker gas trading, forcing BP to sell its $20 billion assets by 2027 (Nasralla, 2025). On the other hand, </w:t>
      </w:r>
      <w:proofErr w:type="gramStart"/>
      <w:r w:rsidRPr="00E2682F">
        <w:rPr>
          <w:rFonts w:ascii="Arial" w:eastAsia="Arial" w:hAnsi="Arial" w:cs="Arial"/>
        </w:rPr>
        <w:t>The</w:t>
      </w:r>
      <w:proofErr w:type="gramEnd"/>
      <w:r w:rsidRPr="00E2682F">
        <w:rPr>
          <w:rFonts w:ascii="Arial" w:eastAsia="Arial" w:hAnsi="Arial" w:cs="Arial"/>
        </w:rPr>
        <w:t xml:space="preserve"> share of BP in 2025 after the annual and financial results of the business reduced by 4% that is forcing BP to slash its hydrocarbon production and focus on lower carbon production (Nasralla, 2025). BP remains operational inefficient and facing the problem of balancing energy transition investments and profitability goals, an issue that has remained relevant since 2020 as the company has tried to adjust to market forces of volatility and sustainability commitment issues (Crowley </w:t>
      </w:r>
      <w:r w:rsidRPr="00E2682F">
        <w:rPr>
          <w:rFonts w:ascii="Arial" w:eastAsia="Arial" w:hAnsi="Arial" w:cs="Arial"/>
          <w:i/>
          <w:iCs/>
        </w:rPr>
        <w:t>et al.,</w:t>
      </w:r>
      <w:r w:rsidRPr="00E2682F">
        <w:rPr>
          <w:rFonts w:ascii="Arial" w:eastAsia="Arial" w:hAnsi="Arial" w:cs="Arial"/>
        </w:rPr>
        <w:t xml:space="preserve"> 2025)</w:t>
      </w:r>
    </w:p>
    <w:p w14:paraId="6E393797" w14:textId="77777777" w:rsidR="00CB0D88" w:rsidRPr="00E2682F" w:rsidRDefault="006E6EA5">
      <w:pPr>
        <w:numPr>
          <w:ilvl w:val="0"/>
          <w:numId w:val="4"/>
        </w:numPr>
        <w:pBdr>
          <w:top w:val="nil"/>
          <w:left w:val="nil"/>
          <w:bottom w:val="nil"/>
          <w:right w:val="nil"/>
          <w:between w:val="nil"/>
        </w:pBdr>
        <w:rPr>
          <w:rFonts w:ascii="Arial" w:eastAsia="Arial" w:hAnsi="Arial" w:cs="Arial"/>
          <w:b/>
          <w:bCs/>
        </w:rPr>
      </w:pPr>
      <w:r w:rsidRPr="00E2682F">
        <w:rPr>
          <w:rFonts w:ascii="Arial" w:eastAsia="Arial" w:hAnsi="Arial" w:cs="Arial"/>
          <w:b/>
          <w:bCs/>
        </w:rPr>
        <w:t xml:space="preserve">Financing </w:t>
      </w:r>
    </w:p>
    <w:p w14:paraId="24167BB1"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 xml:space="preserve">The financial performance and growth of BP differ in different regions and sectors due to the fluctuations in sales and revenue. BP has a total of 100,500 employees operating in around 61 countries and 21,200 retail outlets, contributing to $0.4 billion in operating profits (BP, 2024). The global options of the business are also crucial for the business as it assists BP in improving its financial performance and market growth in the global oil and gas sector. </w:t>
      </w:r>
    </w:p>
    <w:p w14:paraId="0D940BFF" w14:textId="77777777" w:rsidR="00CB0D88" w:rsidRPr="00E2682F" w:rsidRDefault="006E6EA5">
      <w:pPr>
        <w:pBdr>
          <w:top w:val="nil"/>
          <w:left w:val="nil"/>
          <w:bottom w:val="nil"/>
          <w:right w:val="nil"/>
          <w:between w:val="nil"/>
        </w:pBdr>
        <w:jc w:val="center"/>
        <w:rPr>
          <w:rFonts w:ascii="Arial" w:eastAsia="Arial" w:hAnsi="Arial" w:cs="Arial"/>
          <w:b/>
          <w:bCs/>
        </w:rPr>
      </w:pPr>
      <w:r w:rsidRPr="00E2682F">
        <w:rPr>
          <w:rFonts w:ascii="Arial" w:eastAsia="Arial" w:hAnsi="Arial" w:cs="Arial"/>
          <w:b/>
          <w:bCs/>
          <w:noProof/>
        </w:rPr>
        <w:drawing>
          <wp:inline distT="114300" distB="114300" distL="114300" distR="114300" wp14:anchorId="5AECEE68" wp14:editId="4E82E6D2">
            <wp:extent cx="5943600" cy="3644900"/>
            <wp:effectExtent l="0" t="0" r="0" b="0"/>
            <wp:docPr id="2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3644900"/>
                    </a:xfrm>
                    <a:prstGeom prst="rect">
                      <a:avLst/>
                    </a:prstGeom>
                    <a:ln/>
                  </pic:spPr>
                </pic:pic>
              </a:graphicData>
            </a:graphic>
          </wp:inline>
        </w:drawing>
      </w:r>
    </w:p>
    <w:p w14:paraId="039CEF30" w14:textId="77777777" w:rsidR="00CB0D88" w:rsidRPr="008F7F9D" w:rsidRDefault="006E6EA5">
      <w:pPr>
        <w:pBdr>
          <w:top w:val="nil"/>
          <w:left w:val="nil"/>
          <w:bottom w:val="nil"/>
          <w:right w:val="nil"/>
          <w:between w:val="nil"/>
        </w:pBdr>
        <w:jc w:val="center"/>
        <w:rPr>
          <w:rFonts w:ascii="Arial" w:eastAsia="Arial" w:hAnsi="Arial" w:cs="Arial"/>
          <w:b/>
          <w:bCs/>
          <w:color w:val="FF0000"/>
        </w:rPr>
      </w:pPr>
      <w:r w:rsidRPr="008F7F9D">
        <w:rPr>
          <w:rFonts w:ascii="Arial" w:eastAsia="Arial" w:hAnsi="Arial" w:cs="Arial"/>
          <w:b/>
          <w:bCs/>
          <w:color w:val="FF0000"/>
        </w:rPr>
        <w:t xml:space="preserve">Figure 5: Value chain Analysis of BP </w:t>
      </w:r>
    </w:p>
    <w:p w14:paraId="3690A4BC" w14:textId="77777777" w:rsidR="00CB0D88" w:rsidRPr="00E2682F" w:rsidRDefault="006E6EA5">
      <w:pPr>
        <w:pBdr>
          <w:top w:val="nil"/>
          <w:left w:val="nil"/>
          <w:bottom w:val="nil"/>
          <w:right w:val="nil"/>
          <w:between w:val="nil"/>
        </w:pBdr>
        <w:jc w:val="center"/>
        <w:rPr>
          <w:rFonts w:ascii="Arial" w:eastAsia="Arial" w:hAnsi="Arial" w:cs="Arial"/>
        </w:rPr>
      </w:pPr>
      <w:r w:rsidRPr="00E2682F">
        <w:rPr>
          <w:rFonts w:ascii="Arial" w:eastAsia="Arial" w:hAnsi="Arial" w:cs="Arial"/>
        </w:rPr>
        <w:t>(Source: Self-created)</w:t>
      </w:r>
    </w:p>
    <w:p w14:paraId="660C7EC9" w14:textId="77777777" w:rsidR="00CB0D88" w:rsidRPr="00E2682F" w:rsidRDefault="006E6EA5" w:rsidP="008F7F9D">
      <w:pPr>
        <w:pBdr>
          <w:top w:val="nil"/>
          <w:left w:val="nil"/>
          <w:bottom w:val="nil"/>
          <w:right w:val="nil"/>
          <w:between w:val="nil"/>
        </w:pBdr>
        <w:jc w:val="left"/>
        <w:rPr>
          <w:rFonts w:ascii="Arial" w:eastAsia="Arial" w:hAnsi="Arial" w:cs="Arial"/>
          <w:b/>
          <w:bCs/>
          <w:color w:val="FF0000"/>
        </w:rPr>
      </w:pPr>
      <w:r w:rsidRPr="00E2682F">
        <w:rPr>
          <w:rFonts w:ascii="Arial" w:eastAsia="Arial" w:hAnsi="Arial" w:cs="Arial"/>
          <w:b/>
          <w:bCs/>
          <w:color w:val="FF0000"/>
        </w:rPr>
        <w:lastRenderedPageBreak/>
        <w:t>Define Value Chain Analysis</w:t>
      </w:r>
    </w:p>
    <w:p w14:paraId="0868D198" w14:textId="77777777" w:rsidR="00CB0D88" w:rsidRPr="00E2682F" w:rsidRDefault="006E6EA5" w:rsidP="008F7F9D">
      <w:pPr>
        <w:pBdr>
          <w:top w:val="nil"/>
          <w:left w:val="nil"/>
          <w:bottom w:val="nil"/>
          <w:right w:val="nil"/>
          <w:between w:val="nil"/>
        </w:pBdr>
        <w:rPr>
          <w:rFonts w:ascii="Arial" w:eastAsia="Arial" w:hAnsi="Arial" w:cs="Arial"/>
          <w:color w:val="FF0000"/>
        </w:rPr>
      </w:pPr>
      <w:r w:rsidRPr="00E2682F">
        <w:rPr>
          <w:rFonts w:ascii="Arial" w:eastAsia="Arial" w:hAnsi="Arial" w:cs="Arial"/>
          <w:color w:val="FF0000"/>
        </w:rPr>
        <w:t>Value chain analysis is a tool for contemplating the activities that generate business value. It assists the enterprises in determining their position and examining the value chain activities, and removing the activities that do not contribute value to the product or service (</w:t>
      </w:r>
      <w:proofErr w:type="spellStart"/>
      <w:r w:rsidRPr="00E2682F">
        <w:rPr>
          <w:rFonts w:ascii="Arial" w:eastAsia="Arial" w:hAnsi="Arial" w:cs="Arial"/>
          <w:color w:val="FF0000"/>
        </w:rPr>
        <w:t>Strakova</w:t>
      </w:r>
      <w:proofErr w:type="spellEnd"/>
      <w:r w:rsidRPr="00E2682F">
        <w:rPr>
          <w:rFonts w:ascii="Arial" w:eastAsia="Arial" w:hAnsi="Arial" w:cs="Arial"/>
          <w:color w:val="FF0000"/>
        </w:rPr>
        <w:t xml:space="preserve"> </w:t>
      </w:r>
      <w:r w:rsidRPr="008F7F9D">
        <w:rPr>
          <w:rFonts w:ascii="Arial" w:eastAsia="Arial" w:hAnsi="Arial" w:cs="Arial"/>
          <w:i/>
          <w:color w:val="FF0000"/>
        </w:rPr>
        <w:t>et al.</w:t>
      </w:r>
      <w:r w:rsidRPr="00E2682F">
        <w:rPr>
          <w:rFonts w:ascii="Arial" w:eastAsia="Arial" w:hAnsi="Arial" w:cs="Arial"/>
          <w:color w:val="FF0000"/>
        </w:rPr>
        <w:t xml:space="preserve"> 2020). Separating a firm into primary and support activities, firms can evaluate how each of the segments helps reach profitability and competitive advantage and, therefore, make their decisions on where to make an investment or cut costs. In the context of sustainable business strategy, it can be seen that some activities, such as the management of human resources, scientific and technological development, and input logistics can be especially critical to long-term profitability.</w:t>
      </w:r>
    </w:p>
    <w:p w14:paraId="383D6F43" w14:textId="77777777" w:rsidR="00CB0D88" w:rsidRPr="00E2682F" w:rsidRDefault="00CB0D88">
      <w:pPr>
        <w:pBdr>
          <w:top w:val="nil"/>
          <w:left w:val="nil"/>
          <w:bottom w:val="nil"/>
          <w:right w:val="nil"/>
          <w:between w:val="nil"/>
        </w:pBdr>
        <w:ind w:left="720"/>
        <w:jc w:val="left"/>
        <w:rPr>
          <w:rFonts w:ascii="Arial" w:eastAsia="Arial" w:hAnsi="Arial" w:cs="Arial"/>
          <w:b/>
          <w:bCs/>
          <w:color w:val="FF0000"/>
        </w:rPr>
      </w:pPr>
    </w:p>
    <w:p w14:paraId="27E23C47" w14:textId="77777777" w:rsidR="00CB0D88" w:rsidRPr="00E2682F" w:rsidRDefault="006E6EA5">
      <w:pPr>
        <w:pStyle w:val="Heading2"/>
      </w:pPr>
      <w:bookmarkStart w:id="6" w:name="_Toc214367799"/>
      <w:r w:rsidRPr="00E2682F">
        <w:t xml:space="preserve">c. Identifying different entry mode of BP for entering to </w:t>
      </w:r>
      <w:proofErr w:type="gramStart"/>
      <w:r w:rsidRPr="00E2682F">
        <w:t>International</w:t>
      </w:r>
      <w:proofErr w:type="gramEnd"/>
      <w:r w:rsidRPr="00E2682F">
        <w:t xml:space="preserve"> market</w:t>
      </w:r>
      <w:bookmarkEnd w:id="6"/>
    </w:p>
    <w:p w14:paraId="2D2F2897"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 xml:space="preserve">BP integrated joint ventures as a key strategy for entering into the oil and gas industry of </w:t>
      </w:r>
      <w:r w:rsidRPr="00E2682F">
        <w:rPr>
          <w:rFonts w:ascii="Arial" w:eastAsia="Arial" w:hAnsi="Arial" w:cs="Arial"/>
          <w:b/>
          <w:bCs/>
          <w:i/>
          <w:iCs/>
        </w:rPr>
        <w:t xml:space="preserve">China </w:t>
      </w:r>
      <w:r w:rsidRPr="00E2682F">
        <w:rPr>
          <w:rFonts w:ascii="Arial" w:eastAsia="Arial" w:hAnsi="Arial" w:cs="Arial"/>
        </w:rPr>
        <w:t>for reducing internationalization risks such as financial burdens and operational complexities. BP entered into a</w:t>
      </w:r>
      <w:r w:rsidRPr="00E2682F">
        <w:rPr>
          <w:rFonts w:ascii="Arial" w:eastAsia="Arial" w:hAnsi="Arial" w:cs="Arial"/>
          <w:b/>
          <w:bCs/>
          <w:i/>
          <w:iCs/>
        </w:rPr>
        <w:t xml:space="preserve"> joint venture agreement </w:t>
      </w:r>
      <w:r w:rsidRPr="00E2682F">
        <w:rPr>
          <w:rFonts w:ascii="Arial" w:eastAsia="Arial" w:hAnsi="Arial" w:cs="Arial"/>
        </w:rPr>
        <w:t>with Shandong Dongming Petrochemical Group for expanding BP operations through opening 500 petrol stations in China (</w:t>
      </w:r>
      <w:proofErr w:type="spellStart"/>
      <w:r w:rsidRPr="00E2682F">
        <w:rPr>
          <w:rFonts w:ascii="Arial" w:eastAsia="Arial" w:hAnsi="Arial" w:cs="Arial"/>
        </w:rPr>
        <w:t>McConalogue</w:t>
      </w:r>
      <w:proofErr w:type="spellEnd"/>
      <w:r w:rsidRPr="00E2682F">
        <w:rPr>
          <w:rFonts w:ascii="Arial" w:eastAsia="Arial" w:hAnsi="Arial" w:cs="Arial"/>
        </w:rPr>
        <w:t xml:space="preserve">, 2022). On the other hand, BP also expanded its operations in the Canadian petroleum sector through making purchases of small and medium sized companies. For example, BP entered </w:t>
      </w:r>
      <w:r w:rsidRPr="00E2682F">
        <w:rPr>
          <w:rFonts w:ascii="Arial" w:eastAsia="Arial" w:hAnsi="Arial" w:cs="Arial"/>
          <w:b/>
          <w:bCs/>
          <w:i/>
          <w:iCs/>
        </w:rPr>
        <w:t xml:space="preserve">Canada </w:t>
      </w:r>
      <w:r w:rsidRPr="00E2682F">
        <w:rPr>
          <w:rFonts w:ascii="Arial" w:eastAsia="Arial" w:hAnsi="Arial" w:cs="Arial"/>
        </w:rPr>
        <w:t xml:space="preserve">by </w:t>
      </w:r>
      <w:r w:rsidRPr="00E2682F">
        <w:rPr>
          <w:rFonts w:ascii="Arial" w:eastAsia="Arial" w:hAnsi="Arial" w:cs="Arial"/>
          <w:b/>
          <w:bCs/>
          <w:i/>
          <w:iCs/>
        </w:rPr>
        <w:t>acquiring a stake</w:t>
      </w:r>
      <w:r w:rsidRPr="00E2682F">
        <w:rPr>
          <w:rFonts w:ascii="Arial" w:eastAsia="Arial" w:hAnsi="Arial" w:cs="Arial"/>
        </w:rPr>
        <w:t xml:space="preserve"> of Calgary-based Triad Oil Company and acquired 97.8% stake of </w:t>
      </w:r>
      <w:proofErr w:type="spellStart"/>
      <w:r w:rsidRPr="00E2682F">
        <w:rPr>
          <w:rFonts w:ascii="Arial" w:eastAsia="Arial" w:hAnsi="Arial" w:cs="Arial"/>
        </w:rPr>
        <w:t>Supertest</w:t>
      </w:r>
      <w:proofErr w:type="spellEnd"/>
      <w:r w:rsidRPr="00E2682F">
        <w:rPr>
          <w:rFonts w:ascii="Arial" w:eastAsia="Arial" w:hAnsi="Arial" w:cs="Arial"/>
        </w:rPr>
        <w:t xml:space="preserve"> (</w:t>
      </w:r>
      <w:proofErr w:type="spellStart"/>
      <w:r w:rsidRPr="00E2682F">
        <w:rPr>
          <w:rFonts w:ascii="Arial" w:eastAsia="Arial" w:hAnsi="Arial" w:cs="Arial"/>
        </w:rPr>
        <w:t>Petroleumhistory</w:t>
      </w:r>
      <w:proofErr w:type="spellEnd"/>
      <w:r w:rsidRPr="00E2682F">
        <w:rPr>
          <w:rFonts w:ascii="Arial" w:eastAsia="Arial" w:hAnsi="Arial" w:cs="Arial"/>
        </w:rPr>
        <w:t xml:space="preserve">, 2023). Making a purchase and stake of the business is an effective strategy for companies such as BP as it provides it immediate access to the existing market and customer base. BP integrated </w:t>
      </w:r>
      <w:r w:rsidRPr="00E2682F">
        <w:rPr>
          <w:rFonts w:ascii="Arial" w:eastAsia="Arial" w:hAnsi="Arial" w:cs="Arial"/>
          <w:b/>
          <w:bCs/>
          <w:i/>
          <w:iCs/>
        </w:rPr>
        <w:t>strategic partnership</w:t>
      </w:r>
      <w:r w:rsidRPr="00E2682F">
        <w:rPr>
          <w:rFonts w:ascii="Arial" w:eastAsia="Arial" w:hAnsi="Arial" w:cs="Arial"/>
        </w:rPr>
        <w:t xml:space="preserve"> for entering into </w:t>
      </w:r>
      <w:r w:rsidRPr="00E2682F">
        <w:rPr>
          <w:rFonts w:ascii="Arial" w:eastAsia="Arial" w:hAnsi="Arial" w:cs="Arial"/>
          <w:b/>
          <w:bCs/>
          <w:i/>
          <w:iCs/>
        </w:rPr>
        <w:t>South African</w:t>
      </w:r>
      <w:r w:rsidRPr="00E2682F">
        <w:rPr>
          <w:rFonts w:ascii="Arial" w:eastAsia="Arial" w:hAnsi="Arial" w:cs="Arial"/>
        </w:rPr>
        <w:t xml:space="preserve"> regions through establishing partnership with PETROSEN and Kosmos Energy for expanding the South African production plant and invested $4.8 billion (McBain, 2024). </w:t>
      </w:r>
    </w:p>
    <w:p w14:paraId="0534F68F" w14:textId="77777777" w:rsidR="00CB0D88" w:rsidRPr="00E2682F" w:rsidRDefault="006E6EA5">
      <w:pPr>
        <w:pBdr>
          <w:top w:val="nil"/>
          <w:left w:val="nil"/>
          <w:bottom w:val="nil"/>
          <w:right w:val="nil"/>
          <w:between w:val="nil"/>
        </w:pBdr>
        <w:rPr>
          <w:rFonts w:ascii="Arial" w:eastAsia="Arial" w:hAnsi="Arial" w:cs="Arial"/>
          <w:b/>
          <w:bCs/>
          <w:i/>
          <w:iCs/>
        </w:rPr>
      </w:pPr>
      <w:r w:rsidRPr="00E2682F">
        <w:rPr>
          <w:rFonts w:ascii="Arial" w:eastAsia="Arial" w:hAnsi="Arial" w:cs="Arial"/>
          <w:b/>
          <w:bCs/>
          <w:i/>
          <w:iCs/>
        </w:rPr>
        <w:t>Evaluating the dominant entry mode for the company</w:t>
      </w:r>
    </w:p>
    <w:p w14:paraId="5BE38D49"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One of the most dominating entry modes that BP integrated for exercising its business operations includes strategic agreement and partnership with local and global business to enhance market expansion. Jain</w:t>
      </w:r>
      <w:r w:rsidRPr="00E2682F">
        <w:rPr>
          <w:rFonts w:ascii="Arial" w:eastAsia="Arial" w:hAnsi="Arial" w:cs="Arial"/>
          <w:i/>
          <w:iCs/>
        </w:rPr>
        <w:t xml:space="preserve"> et al.</w:t>
      </w:r>
      <w:r w:rsidRPr="00E2682F">
        <w:rPr>
          <w:rFonts w:ascii="Arial" w:eastAsia="Arial" w:hAnsi="Arial" w:cs="Arial"/>
        </w:rPr>
        <w:t xml:space="preserve"> (2023) have outlined that strategic partnership is an effective market entry made for companies as it allows businesses to leverage partnering companies ‘market position, resources and customers. Accordingly, BP has </w:t>
      </w:r>
      <w:r w:rsidRPr="00E2682F">
        <w:rPr>
          <w:rFonts w:ascii="Arial" w:eastAsia="Arial" w:hAnsi="Arial" w:cs="Arial"/>
        </w:rPr>
        <w:lastRenderedPageBreak/>
        <w:t xml:space="preserve">also integrated strategic partnership with global businesses and forums for improving its market position and engagement to enhance international operations. The strategic partnership has been a significant aspect of BP’ global operations enabling BP to establish partnership with Audi to develop FIA-specified Advanced Sustainable fuel for Formula 1 (BP, 2024). Thus, strategic partnership and alliance of BP is a key internationalisation strategy of the business that assists BP in enhancing its global presence. </w:t>
      </w:r>
    </w:p>
    <w:p w14:paraId="43B01258" w14:textId="77777777" w:rsidR="00CB0D88" w:rsidRPr="00E2682F" w:rsidRDefault="006E6EA5">
      <w:pPr>
        <w:pStyle w:val="Heading2"/>
      </w:pPr>
      <w:bookmarkStart w:id="7" w:name="_Toc214367800"/>
      <w:r w:rsidRPr="00E2682F">
        <w:t xml:space="preserve">d. Explaining the key benefits of the </w:t>
      </w:r>
      <w:proofErr w:type="gramStart"/>
      <w:r w:rsidRPr="00E2682F">
        <w:t>International</w:t>
      </w:r>
      <w:proofErr w:type="gramEnd"/>
      <w:r w:rsidRPr="00E2682F">
        <w:t xml:space="preserve"> options of BP</w:t>
      </w:r>
      <w:bookmarkEnd w:id="7"/>
    </w:p>
    <w:p w14:paraId="54BC983A" w14:textId="77777777" w:rsidR="00CB0D88" w:rsidRPr="00E2682F" w:rsidRDefault="006E6EA5">
      <w:pPr>
        <w:pBdr>
          <w:top w:val="nil"/>
          <w:left w:val="nil"/>
          <w:bottom w:val="nil"/>
          <w:right w:val="nil"/>
          <w:between w:val="nil"/>
        </w:pBdr>
        <w:jc w:val="center"/>
        <w:rPr>
          <w:rFonts w:ascii="Arial" w:eastAsia="Arial" w:hAnsi="Arial" w:cs="Arial"/>
        </w:rPr>
      </w:pPr>
      <w:r w:rsidRPr="00E2682F">
        <w:rPr>
          <w:rFonts w:ascii="Arial" w:eastAsia="Arial" w:hAnsi="Arial" w:cs="Arial"/>
          <w:noProof/>
        </w:rPr>
        <w:drawing>
          <wp:inline distT="114300" distB="114300" distL="114300" distR="114300" wp14:anchorId="0EDDD45E" wp14:editId="6F28D7F6">
            <wp:extent cx="4238625" cy="3048000"/>
            <wp:effectExtent l="0" t="0" r="0" b="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238625" cy="3048000"/>
                    </a:xfrm>
                    <a:prstGeom prst="rect">
                      <a:avLst/>
                    </a:prstGeom>
                    <a:ln/>
                  </pic:spPr>
                </pic:pic>
              </a:graphicData>
            </a:graphic>
          </wp:inline>
        </w:drawing>
      </w:r>
    </w:p>
    <w:p w14:paraId="6228D63D" w14:textId="77777777" w:rsidR="00CB0D88" w:rsidRPr="00E2682F" w:rsidRDefault="006E6EA5">
      <w:pPr>
        <w:pBdr>
          <w:top w:val="nil"/>
          <w:left w:val="nil"/>
          <w:bottom w:val="nil"/>
          <w:right w:val="nil"/>
          <w:between w:val="nil"/>
        </w:pBdr>
        <w:jc w:val="center"/>
        <w:rPr>
          <w:rFonts w:ascii="Arial" w:eastAsia="Arial" w:hAnsi="Arial" w:cs="Arial"/>
          <w:b/>
          <w:bCs/>
        </w:rPr>
      </w:pPr>
      <w:r w:rsidRPr="00E2682F">
        <w:rPr>
          <w:rFonts w:ascii="Arial" w:eastAsia="Arial" w:hAnsi="Arial" w:cs="Arial"/>
          <w:b/>
          <w:bCs/>
        </w:rPr>
        <w:t xml:space="preserve">Figure 6: BP’s contribution to EU27 </w:t>
      </w:r>
    </w:p>
    <w:p w14:paraId="53AFD4F3" w14:textId="77777777" w:rsidR="00CB0D88" w:rsidRPr="00E2682F" w:rsidRDefault="006E6EA5">
      <w:pPr>
        <w:pBdr>
          <w:top w:val="nil"/>
          <w:left w:val="nil"/>
          <w:bottom w:val="nil"/>
          <w:right w:val="nil"/>
          <w:between w:val="nil"/>
        </w:pBdr>
        <w:jc w:val="center"/>
        <w:rPr>
          <w:rFonts w:ascii="Arial" w:eastAsia="Arial" w:hAnsi="Arial" w:cs="Arial"/>
        </w:rPr>
      </w:pPr>
      <w:r w:rsidRPr="00E2682F">
        <w:rPr>
          <w:rFonts w:ascii="Arial" w:eastAsia="Arial" w:hAnsi="Arial" w:cs="Arial"/>
        </w:rPr>
        <w:t>(Source: BP, 2022)</w:t>
      </w:r>
    </w:p>
    <w:p w14:paraId="1B89529C"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BP’s global expansion assisted BP to contribute to the EU27 economy by generating €4,2 billion gross value-added along with contributing €1,4 billion to Spain’s GDP (BP, 2022). The aforementioned figures provide a comprehensive overview of the major contribution and benefits of BP and its globalisation in EU countries and regions. BP is accelerating transitioning within the global energy system by reducing carbon emissions by 50% within 2050 (BP, 2024). The global presence of operations and sales helps BP to implement low-carbon technologies at scale and create cross-border value creation in the emerging markets (BP Global, 2021</w:t>
      </w:r>
      <w:proofErr w:type="gramStart"/>
      <w:r w:rsidRPr="00E2682F">
        <w:rPr>
          <w:rFonts w:ascii="Arial" w:eastAsia="Arial" w:hAnsi="Arial" w:cs="Arial"/>
        </w:rPr>
        <w:t>).Thus</w:t>
      </w:r>
      <w:proofErr w:type="gramEnd"/>
      <w:r w:rsidRPr="00E2682F">
        <w:rPr>
          <w:rFonts w:ascii="Arial" w:eastAsia="Arial" w:hAnsi="Arial" w:cs="Arial"/>
        </w:rPr>
        <w:t xml:space="preserve">, the business expansion and internationalization of BP </w:t>
      </w:r>
      <w:r w:rsidRPr="00E2682F">
        <w:rPr>
          <w:rFonts w:ascii="Arial" w:eastAsia="Arial" w:hAnsi="Arial" w:cs="Arial"/>
        </w:rPr>
        <w:lastRenderedPageBreak/>
        <w:t xml:space="preserve">has enabled BP to lead the sustainable transition of the global oil and gas industry by accelerating systemic mobility. </w:t>
      </w:r>
    </w:p>
    <w:p w14:paraId="7E32E676" w14:textId="77777777" w:rsidR="00CB0D88" w:rsidRPr="00E2682F" w:rsidRDefault="006E6EA5">
      <w:pPr>
        <w:pStyle w:val="Heading1"/>
      </w:pPr>
      <w:bookmarkStart w:id="8" w:name="_Toc214367801"/>
      <w:r w:rsidRPr="00E2682F">
        <w:t>3. OLI Framework: Ownership, Location, Internalisation &amp; BP’s Entry Mode into China and South Africa</w:t>
      </w:r>
      <w:bookmarkEnd w:id="8"/>
      <w:r w:rsidRPr="00E2682F">
        <w:t xml:space="preserve"> </w:t>
      </w:r>
    </w:p>
    <w:p w14:paraId="01C03B20" w14:textId="77777777" w:rsidR="00CB0D88" w:rsidRPr="00E2682F" w:rsidRDefault="006E6EA5">
      <w:pPr>
        <w:numPr>
          <w:ilvl w:val="0"/>
          <w:numId w:val="2"/>
        </w:numPr>
        <w:rPr>
          <w:rFonts w:ascii="Arial" w:eastAsia="Arial" w:hAnsi="Arial" w:cs="Arial"/>
          <w:b/>
          <w:bCs/>
          <w:i/>
          <w:iCs/>
          <w:color w:val="FF0000"/>
        </w:rPr>
      </w:pPr>
      <w:r w:rsidRPr="00E2682F">
        <w:rPr>
          <w:rFonts w:ascii="Arial" w:eastAsia="Arial" w:hAnsi="Arial" w:cs="Arial"/>
          <w:b/>
          <w:bCs/>
          <w:i/>
          <w:iCs/>
          <w:color w:val="FF0000"/>
        </w:rPr>
        <w:t>Define OLI Framework</w:t>
      </w:r>
    </w:p>
    <w:p w14:paraId="46A8F0A6" w14:textId="77777777" w:rsidR="00CB0D88" w:rsidRPr="00E2682F" w:rsidRDefault="006E6EA5">
      <w:pPr>
        <w:ind w:left="720"/>
        <w:rPr>
          <w:rFonts w:ascii="Arial" w:eastAsia="Arial" w:hAnsi="Arial" w:cs="Arial"/>
          <w:color w:val="FF0000"/>
        </w:rPr>
      </w:pPr>
      <w:r w:rsidRPr="00E2682F">
        <w:rPr>
          <w:rFonts w:ascii="Arial" w:eastAsia="Arial" w:hAnsi="Arial" w:cs="Arial"/>
          <w:color w:val="FF0000"/>
        </w:rPr>
        <w:t>The eclectic paradigm, also known as the OLI (Ownership Location Internalization) paradigm. It describes why multinational companies engage in foreign direct investment: ownership benefits (assets that are specific to firms, making it profitable to invest), location benefits (host country factors. It makes investment profitable), and internalization benefits (benefits of controlling cross-border transactions at the internal level). It remains a central focus of modern research on FDI and international business.</w:t>
      </w:r>
    </w:p>
    <w:p w14:paraId="5A24E8B9" w14:textId="77777777" w:rsidR="00CB0D88" w:rsidRPr="00E2682F" w:rsidRDefault="006E6EA5">
      <w:pPr>
        <w:jc w:val="center"/>
        <w:rPr>
          <w:rFonts w:ascii="Arial" w:eastAsia="Arial" w:hAnsi="Arial" w:cs="Arial"/>
          <w:color w:val="FF0000"/>
        </w:rPr>
      </w:pPr>
      <w:r w:rsidRPr="00E2682F">
        <w:rPr>
          <w:rFonts w:ascii="Arial" w:eastAsia="Arial" w:hAnsi="Arial" w:cs="Arial"/>
          <w:noProof/>
          <w:color w:val="FF0000"/>
        </w:rPr>
        <w:drawing>
          <wp:inline distT="114300" distB="114300" distL="114300" distR="114300" wp14:anchorId="0CF1F2F4" wp14:editId="39023469">
            <wp:extent cx="5634038" cy="4673266"/>
            <wp:effectExtent l="0" t="0" r="0" b="0"/>
            <wp:docPr id="2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634038" cy="4673266"/>
                    </a:xfrm>
                    <a:prstGeom prst="rect">
                      <a:avLst/>
                    </a:prstGeom>
                    <a:ln/>
                  </pic:spPr>
                </pic:pic>
              </a:graphicData>
            </a:graphic>
          </wp:inline>
        </w:drawing>
      </w:r>
    </w:p>
    <w:p w14:paraId="5500D893" w14:textId="77777777" w:rsidR="00CB0D88" w:rsidRPr="00E2682F" w:rsidRDefault="006E6EA5">
      <w:pPr>
        <w:jc w:val="center"/>
        <w:rPr>
          <w:rFonts w:ascii="Arial" w:eastAsia="Arial" w:hAnsi="Arial" w:cs="Arial"/>
          <w:b/>
          <w:bCs/>
          <w:color w:val="FF0000"/>
        </w:rPr>
      </w:pPr>
      <w:r w:rsidRPr="00E2682F">
        <w:rPr>
          <w:rFonts w:ascii="Arial" w:eastAsia="Arial" w:hAnsi="Arial" w:cs="Arial"/>
          <w:b/>
          <w:bCs/>
          <w:color w:val="FF0000"/>
        </w:rPr>
        <w:t xml:space="preserve">Figure 7: OLI Framework Implications for understanding BP’s internationalisation </w:t>
      </w:r>
    </w:p>
    <w:p w14:paraId="1C81514D" w14:textId="77777777" w:rsidR="00CB0D88" w:rsidRPr="00E2682F" w:rsidRDefault="006E6EA5">
      <w:pPr>
        <w:jc w:val="center"/>
        <w:rPr>
          <w:rFonts w:ascii="Arial" w:eastAsia="Arial" w:hAnsi="Arial" w:cs="Arial"/>
          <w:color w:val="FF0000"/>
        </w:rPr>
      </w:pPr>
      <w:r w:rsidRPr="00E2682F">
        <w:rPr>
          <w:rFonts w:ascii="Arial" w:eastAsia="Arial" w:hAnsi="Arial" w:cs="Arial"/>
          <w:color w:val="FF0000"/>
        </w:rPr>
        <w:lastRenderedPageBreak/>
        <w:t>(Source: Self-Created)</w:t>
      </w:r>
    </w:p>
    <w:p w14:paraId="2818BEE8" w14:textId="77777777" w:rsidR="00CB0D88" w:rsidRPr="00E2682F" w:rsidRDefault="006E6EA5">
      <w:pPr>
        <w:pStyle w:val="Heading2"/>
      </w:pPr>
      <w:bookmarkStart w:id="9" w:name="_Toc214367802"/>
      <w:r w:rsidRPr="00E2682F">
        <w:t>a. Ownership analysis regarding its impact on BP’s entry mode</w:t>
      </w:r>
      <w:bookmarkEnd w:id="9"/>
    </w:p>
    <w:p w14:paraId="58608C24" w14:textId="77777777" w:rsidR="00CB0D88" w:rsidRPr="00E2682F" w:rsidRDefault="006E6EA5">
      <w:pPr>
        <w:ind w:right="280"/>
        <w:rPr>
          <w:rFonts w:ascii="Arial" w:eastAsia="Arial" w:hAnsi="Arial" w:cs="Arial"/>
          <w:color w:val="FF0000"/>
        </w:rPr>
      </w:pPr>
      <w:r w:rsidRPr="00E2682F">
        <w:rPr>
          <w:rFonts w:ascii="Arial" w:eastAsia="Arial" w:hAnsi="Arial" w:cs="Arial"/>
          <w:b/>
          <w:bCs/>
          <w:i/>
          <w:iCs/>
        </w:rPr>
        <w:t xml:space="preserve">1. Organisational Structure: </w:t>
      </w:r>
      <w:r w:rsidRPr="00E2682F">
        <w:rPr>
          <w:rFonts w:ascii="Arial" w:eastAsia="Arial" w:hAnsi="Arial" w:cs="Arial"/>
        </w:rPr>
        <w:t xml:space="preserve">BP has reorganized into four business groups, namely Production and Operations, Customers and Products, Gas and Low Carbon, and Innovation and Engineering (BP, 2020). </w:t>
      </w:r>
      <w:r w:rsidRPr="00E2682F">
        <w:rPr>
          <w:rFonts w:ascii="Arial" w:eastAsia="Arial" w:hAnsi="Arial" w:cs="Arial"/>
          <w:color w:val="FF0000"/>
        </w:rPr>
        <w:t>The design allows for focus on growth, innovation, and success in working globally and enhances its effectiveness of BP’s strategic partnership approaches as key market entry modes.</w:t>
      </w:r>
    </w:p>
    <w:p w14:paraId="0AED3452"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2. Technological Leadership: </w:t>
      </w:r>
      <w:r w:rsidRPr="00E2682F">
        <w:rPr>
          <w:rFonts w:ascii="Arial" w:eastAsia="Arial" w:hAnsi="Arial" w:cs="Arial"/>
          <w:color w:val="FF0000"/>
        </w:rPr>
        <w:t>BP has superior refining and petrochemical technologies that uphold efficiency and minimize emissions that is enhanced with its strategic partnership strategy in the global oil and gas sector.</w:t>
      </w:r>
      <w:r w:rsidRPr="00E2682F">
        <w:rPr>
          <w:rFonts w:ascii="Arial" w:eastAsia="Arial" w:hAnsi="Arial" w:cs="Arial"/>
        </w:rPr>
        <w:t xml:space="preserve"> Its proprietary digital platforms, including BP Pulse platforms, reinforce favourable operations in the emerging markets. In 2023, BP spent more than $5 billion in low-carbon technologies across the world (</w:t>
      </w:r>
      <w:proofErr w:type="spellStart"/>
      <w:r w:rsidRPr="00E2682F">
        <w:rPr>
          <w:rFonts w:ascii="Arial" w:eastAsia="Arial" w:hAnsi="Arial" w:cs="Arial"/>
        </w:rPr>
        <w:t>Livemint</w:t>
      </w:r>
      <w:proofErr w:type="spellEnd"/>
      <w:r w:rsidRPr="00E2682F">
        <w:rPr>
          <w:rFonts w:ascii="Arial" w:eastAsia="Arial" w:hAnsi="Arial" w:cs="Arial"/>
        </w:rPr>
        <w:t>, 2025).</w:t>
      </w:r>
    </w:p>
    <w:p w14:paraId="48FCEF34"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3. Financial Strength: </w:t>
      </w:r>
      <w:r w:rsidRPr="00E2682F">
        <w:rPr>
          <w:rFonts w:ascii="Arial" w:eastAsia="Arial" w:hAnsi="Arial" w:cs="Arial"/>
        </w:rPr>
        <w:t xml:space="preserve">In the year 2022, BP generated an underlying replacement cost profit of 28 billion, which helps it to invest long-term in the volatile energy markets such as China and South Africa (BP, 2023). </w:t>
      </w:r>
    </w:p>
    <w:p w14:paraId="2A716752"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4. Brand Reputation: </w:t>
      </w:r>
      <w:r w:rsidRPr="00E2682F">
        <w:rPr>
          <w:rFonts w:ascii="Arial" w:eastAsia="Arial" w:hAnsi="Arial" w:cs="Arial"/>
        </w:rPr>
        <w:t>BP has successfully established good consumer and stakeholder awareness, with more than 20,000 retail outlets worldwide, making it the leading supplier of retail service stations in South Africa (BP, 2024).</w:t>
      </w:r>
    </w:p>
    <w:p w14:paraId="5B958EED"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5. Renewable Energy Expertise: </w:t>
      </w:r>
      <w:r w:rsidRPr="00E2682F">
        <w:rPr>
          <w:rFonts w:ascii="Arial" w:eastAsia="Arial" w:hAnsi="Arial" w:cs="Arial"/>
        </w:rPr>
        <w:t>The renewable energy China has an objective of 1,200 GW of wind and solar by 2030, which is in line with its expertise in offshore wind and solar (Climate Action Tracker, 2023). Coal continues to supply more than 80% of electricity in South Africa, and BP can contribute to diversification through renewable developments (</w:t>
      </w:r>
      <w:proofErr w:type="spellStart"/>
      <w:r w:rsidRPr="00E2682F">
        <w:rPr>
          <w:rFonts w:ascii="Arial" w:eastAsia="Arial" w:hAnsi="Arial" w:cs="Arial"/>
        </w:rPr>
        <w:t>Smarte</w:t>
      </w:r>
      <w:proofErr w:type="spellEnd"/>
      <w:r w:rsidRPr="00E2682F">
        <w:rPr>
          <w:rFonts w:ascii="Arial" w:eastAsia="Arial" w:hAnsi="Arial" w:cs="Arial"/>
          <w:i/>
          <w:iCs/>
        </w:rPr>
        <w:t xml:space="preserve"> et al</w:t>
      </w:r>
      <w:r w:rsidRPr="00E2682F">
        <w:rPr>
          <w:rFonts w:ascii="Arial" w:eastAsia="Arial" w:hAnsi="Arial" w:cs="Arial"/>
        </w:rPr>
        <w:t>. 2024).</w:t>
      </w:r>
    </w:p>
    <w:p w14:paraId="139907A5" w14:textId="77777777" w:rsidR="00CB0D88" w:rsidRPr="00E2682F" w:rsidRDefault="006E6EA5">
      <w:pPr>
        <w:ind w:right="280"/>
        <w:rPr>
          <w:rFonts w:ascii="Arial" w:eastAsia="Arial" w:hAnsi="Arial" w:cs="Arial"/>
        </w:rPr>
      </w:pPr>
      <w:r w:rsidRPr="00E2682F">
        <w:rPr>
          <w:rFonts w:ascii="Arial" w:eastAsia="Arial" w:hAnsi="Arial" w:cs="Arial"/>
          <w:b/>
          <w:bCs/>
        </w:rPr>
        <w:t xml:space="preserve">6. </w:t>
      </w:r>
      <w:r w:rsidRPr="00E2682F">
        <w:rPr>
          <w:rFonts w:ascii="Arial" w:eastAsia="Arial" w:hAnsi="Arial" w:cs="Arial"/>
          <w:b/>
          <w:bCs/>
          <w:i/>
          <w:iCs/>
        </w:rPr>
        <w:t xml:space="preserve">Global Operational Experience: </w:t>
      </w:r>
      <w:r w:rsidRPr="00E2682F">
        <w:rPr>
          <w:rFonts w:ascii="Arial" w:eastAsia="Arial" w:hAnsi="Arial" w:cs="Arial"/>
        </w:rPr>
        <w:t>BP has been conducting its business in more than 70 countries showing global flexibility and strength (Ammar and Elsayed, 2024). South Africa operational history since 1924, there has been a long-term participation (</w:t>
      </w:r>
      <w:proofErr w:type="spellStart"/>
      <w:r w:rsidRPr="00E2682F">
        <w:rPr>
          <w:rFonts w:ascii="Arial" w:eastAsia="Arial" w:hAnsi="Arial" w:cs="Arial"/>
        </w:rPr>
        <w:t>Whyle</w:t>
      </w:r>
      <w:proofErr w:type="spellEnd"/>
      <w:r w:rsidRPr="00E2682F">
        <w:rPr>
          <w:rFonts w:ascii="Arial" w:eastAsia="Arial" w:hAnsi="Arial" w:cs="Arial"/>
        </w:rPr>
        <w:t xml:space="preserve"> and Olivier, 2023).</w:t>
      </w:r>
    </w:p>
    <w:p w14:paraId="70C70DD8" w14:textId="77777777" w:rsidR="00CB0D88" w:rsidRPr="00E2682F" w:rsidRDefault="006E6EA5">
      <w:pPr>
        <w:pStyle w:val="Heading2"/>
      </w:pPr>
      <w:bookmarkStart w:id="10" w:name="_Toc214367803"/>
      <w:r w:rsidRPr="00E2682F">
        <w:t>b. Location Advantages</w:t>
      </w:r>
      <w:bookmarkEnd w:id="10"/>
    </w:p>
    <w:p w14:paraId="1F6B0D8F"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1. Energy Demand Growth: </w:t>
      </w:r>
      <w:r w:rsidRPr="00E2682F">
        <w:rPr>
          <w:rFonts w:ascii="Arial" w:eastAsia="Arial" w:hAnsi="Arial" w:cs="Arial"/>
        </w:rPr>
        <w:t xml:space="preserve">In 2023, global consumption was also increasing at a slower pace, with BP increasing its energy demand by only 1.3% (BP, 2024). China is </w:t>
      </w:r>
      <w:r w:rsidRPr="00E2682F">
        <w:rPr>
          <w:rFonts w:ascii="Arial" w:eastAsia="Arial" w:hAnsi="Arial" w:cs="Arial"/>
        </w:rPr>
        <w:lastRenderedPageBreak/>
        <w:t xml:space="preserve">the largest consumer of energy in the world, with almost 26% of the world’s demand (Asif Raihan and </w:t>
      </w:r>
      <w:proofErr w:type="spellStart"/>
      <w:r w:rsidRPr="00E2682F">
        <w:rPr>
          <w:rFonts w:ascii="Arial" w:eastAsia="Arial" w:hAnsi="Arial" w:cs="Arial"/>
        </w:rPr>
        <w:t>Mainul</w:t>
      </w:r>
      <w:proofErr w:type="spellEnd"/>
      <w:r w:rsidRPr="00E2682F">
        <w:rPr>
          <w:rFonts w:ascii="Arial" w:eastAsia="Arial" w:hAnsi="Arial" w:cs="Arial"/>
        </w:rPr>
        <w:t xml:space="preserve"> Bari, 2024). The accelerated growth in China offers BP greater expansion opportunities than the developed markets in Europe and North America through the integration of strategic partnership and market entry mode.</w:t>
      </w:r>
    </w:p>
    <w:p w14:paraId="68F3E49D"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2. Resource Endowment: </w:t>
      </w:r>
      <w:r w:rsidRPr="00E2682F">
        <w:rPr>
          <w:rFonts w:ascii="Arial" w:eastAsia="Arial" w:hAnsi="Arial" w:cs="Arial"/>
        </w:rPr>
        <w:t>BP has resources in over 70 countries to manage globally, with many markets not having the same diversity as South Africa does. South Africa has 3.5% of the world's coal reserves with enormous renewable potential (</w:t>
      </w:r>
      <w:proofErr w:type="spellStart"/>
      <w:r w:rsidRPr="00E2682F">
        <w:rPr>
          <w:rFonts w:ascii="Arial" w:eastAsia="Arial" w:hAnsi="Arial" w:cs="Arial"/>
        </w:rPr>
        <w:t>Smarte</w:t>
      </w:r>
      <w:proofErr w:type="spellEnd"/>
      <w:r w:rsidRPr="00E2682F">
        <w:rPr>
          <w:rFonts w:ascii="Arial" w:eastAsia="Arial" w:hAnsi="Arial" w:cs="Arial"/>
        </w:rPr>
        <w:t xml:space="preserve"> </w:t>
      </w:r>
      <w:r w:rsidRPr="00E2682F">
        <w:rPr>
          <w:rFonts w:ascii="Arial" w:eastAsia="Arial" w:hAnsi="Arial" w:cs="Arial"/>
          <w:i/>
          <w:iCs/>
        </w:rPr>
        <w:t>et al</w:t>
      </w:r>
      <w:r w:rsidRPr="00E2682F">
        <w:rPr>
          <w:rFonts w:ascii="Arial" w:eastAsia="Arial" w:hAnsi="Arial" w:cs="Arial"/>
        </w:rPr>
        <w:t xml:space="preserve">. 2024). </w:t>
      </w:r>
    </w:p>
    <w:p w14:paraId="6F9647AE"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3. Renewable Energy Potential: </w:t>
      </w:r>
      <w:r w:rsidRPr="00E2682F">
        <w:rPr>
          <w:rFonts w:ascii="Arial" w:eastAsia="Arial" w:hAnsi="Arial" w:cs="Arial"/>
        </w:rPr>
        <w:t xml:space="preserve">In 2023, BP owns a solar power of over 217 GW, the largest in the entire world, and is adding to it in China (Barnard, 2025) The blackouts are frequent in South Africa; the highest load-shedding amounted to 6,000 MW in 2023 (Ghosh and Kew, 2025). </w:t>
      </w:r>
    </w:p>
    <w:p w14:paraId="7348C695" w14:textId="77777777" w:rsidR="00CB0D88" w:rsidRPr="00E2682F" w:rsidRDefault="006E6EA5">
      <w:pPr>
        <w:ind w:right="280"/>
        <w:rPr>
          <w:rFonts w:ascii="Arial" w:eastAsia="Arial" w:hAnsi="Arial" w:cs="Arial"/>
        </w:rPr>
      </w:pPr>
      <w:r w:rsidRPr="00E2682F">
        <w:rPr>
          <w:rFonts w:ascii="Arial" w:eastAsia="Arial" w:hAnsi="Arial" w:cs="Arial"/>
          <w:b/>
          <w:bCs/>
          <w:i/>
          <w:iCs/>
        </w:rPr>
        <w:t>4. Government Incentives:</w:t>
      </w:r>
      <w:r w:rsidRPr="00E2682F">
        <w:rPr>
          <w:rFonts w:ascii="Arial" w:eastAsia="Arial" w:hAnsi="Arial" w:cs="Arial"/>
        </w:rPr>
        <w:t xml:space="preserve"> According to BP Energy Outlook 2024, China has a friendly policy where foreign energy investments are welcome (BP, 2024). China provides tax relief and subsidies on clean energy and hydrogen projects. The incentives are above the global standards, as regulatory assistance is uneven among the markets.</w:t>
      </w:r>
    </w:p>
    <w:p w14:paraId="49F74361"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5. Policy Environment: </w:t>
      </w:r>
      <w:r w:rsidRPr="00E2682F">
        <w:rPr>
          <w:rFonts w:ascii="Arial" w:eastAsia="Arial" w:hAnsi="Arial" w:cs="Arial"/>
        </w:rPr>
        <w:t>Globally, the BP strategy is consistent with the net-zero goals, but implementation is not evenly spread throughout the regions. The Integrated Resource Plan 2019 of the South African government aims to achieve 33% of renewable energy in the energy mix by the year 2030 (Enerdata.net, 2024). The policy reforms in South Africa offer prospects that are in line with the low-carbon goals that BP has globally.</w:t>
      </w:r>
    </w:p>
    <w:p w14:paraId="2DE0C6D1" w14:textId="77777777" w:rsidR="00CB0D88" w:rsidRPr="00E2682F" w:rsidRDefault="006E6EA5">
      <w:pPr>
        <w:pStyle w:val="Heading2"/>
      </w:pPr>
      <w:bookmarkStart w:id="11" w:name="_Toc214367804"/>
      <w:r w:rsidRPr="00E2682F">
        <w:t>c. Internalisation Advantages</w:t>
      </w:r>
      <w:bookmarkEnd w:id="11"/>
    </w:p>
    <w:p w14:paraId="23380CF4" w14:textId="4ED7CEEE" w:rsidR="00CB0D88" w:rsidRPr="00E2682F" w:rsidRDefault="006E6EA5">
      <w:pPr>
        <w:ind w:right="280"/>
        <w:rPr>
          <w:rFonts w:ascii="Arial" w:eastAsia="Arial" w:hAnsi="Arial" w:cs="Arial"/>
        </w:rPr>
      </w:pPr>
      <w:r w:rsidRPr="00E2682F">
        <w:rPr>
          <w:rFonts w:ascii="Arial" w:eastAsia="Arial" w:hAnsi="Arial" w:cs="Arial"/>
          <w:b/>
          <w:bCs/>
          <w:i/>
          <w:iCs/>
        </w:rPr>
        <w:t xml:space="preserve">1. Technology and intellectual property protection: </w:t>
      </w:r>
      <w:r w:rsidRPr="00E2682F">
        <w:rPr>
          <w:rFonts w:ascii="Arial" w:eastAsia="Arial" w:hAnsi="Arial" w:cs="Arial"/>
        </w:rPr>
        <w:t xml:space="preserve">The BP internalises the operations to protect the sophisticated technologies that were created in the UK (BP Global, 2023). Proprietary refining and petrochemical procedures make it competitive all over the world. The risk of intellectual property in China is greater because of more complex regulations and less effective enforcement tools. Internalisation enables BP to keep the knowledge under control and avoids leakage. Risks in South Africa are less, but still </w:t>
      </w:r>
      <w:r w:rsidR="00E2682F" w:rsidRPr="00E2682F">
        <w:rPr>
          <w:rFonts w:ascii="Arial" w:eastAsia="Arial" w:hAnsi="Arial" w:cs="Arial"/>
        </w:rPr>
        <w:t>existed</w:t>
      </w:r>
      <w:r w:rsidRPr="00E2682F">
        <w:rPr>
          <w:rFonts w:ascii="Arial" w:eastAsia="Arial" w:hAnsi="Arial" w:cs="Arial"/>
        </w:rPr>
        <w:t xml:space="preserve"> in the partnership with the local firms.</w:t>
      </w:r>
    </w:p>
    <w:p w14:paraId="3855BBFE" w14:textId="77777777" w:rsidR="00CB0D88" w:rsidRPr="00E2682F" w:rsidRDefault="006E6EA5">
      <w:pPr>
        <w:ind w:right="280"/>
        <w:rPr>
          <w:rFonts w:ascii="Arial" w:eastAsia="Arial" w:hAnsi="Arial" w:cs="Arial"/>
        </w:rPr>
      </w:pPr>
      <w:r w:rsidRPr="00E2682F">
        <w:rPr>
          <w:rFonts w:ascii="Arial" w:eastAsia="Arial" w:hAnsi="Arial" w:cs="Arial"/>
          <w:b/>
          <w:bCs/>
          <w:i/>
          <w:iCs/>
        </w:rPr>
        <w:lastRenderedPageBreak/>
        <w:t xml:space="preserve">2. Quality and Safety Standards: </w:t>
      </w:r>
      <w:r w:rsidRPr="00E2682F">
        <w:rPr>
          <w:rFonts w:ascii="Arial" w:eastAsia="Arial" w:hAnsi="Arial" w:cs="Arial"/>
        </w:rPr>
        <w:t xml:space="preserve">BP uses high operational safety standards in the world. Internalised systems are used in the UK to make sure there is a level of strong regulation. BP uses rigorous safety measures, such as Process Safety Event Rate (PSER), Lost Time Injury Frequency (LTIF), and Tier-1 incident reporting (BP global, 2023). </w:t>
      </w:r>
      <w:r w:rsidRPr="00E2682F">
        <w:rPr>
          <w:rFonts w:ascii="Arial" w:eastAsia="Arial" w:hAnsi="Arial" w:cs="Arial"/>
          <w:color w:val="FF0000"/>
        </w:rPr>
        <w:t>Local partners in China might focus on efficiency and strict adherence to safety for BP through the implication of strategic business partnership approach. For example, BP has entered into a strategic partnership with Zhejiang Energy for utilising the existing business framework and ensuring regulatory compliance to conduct LNG sales in China (Selvam, 2024).</w:t>
      </w:r>
      <w:r w:rsidRPr="00E2682F">
        <w:rPr>
          <w:rFonts w:ascii="Arial" w:eastAsia="Arial" w:hAnsi="Arial" w:cs="Arial"/>
        </w:rPr>
        <w:t xml:space="preserve"> Internalisation helps BP to have global standards of safety at all times. In South Africa, infrastructure conditions are unstable, and direct control is needed to achieve stable safety practices.</w:t>
      </w:r>
    </w:p>
    <w:p w14:paraId="4C19C076"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3. Transaction Cost Reduction: </w:t>
      </w:r>
      <w:r w:rsidRPr="00E2682F">
        <w:rPr>
          <w:rFonts w:ascii="Arial" w:eastAsia="Arial" w:hAnsi="Arial" w:cs="Arial"/>
        </w:rPr>
        <w:t>Internalisation enables BP to save the transaction costs of renegotiation of contracts regularly and monitoring of partners. BP internalises the reduction of transaction risks in advanced institutions in the UK to maintain efficiency (BP, 2024). Costs in China are increased by regulatory delays and the opportunism of partners. Internalisation reduces uncertainties and ensures quick implementation. Policy inconsistencies have resulted in revisions in South Africa; the BP benefits from internal governance more than external contracts.</w:t>
      </w:r>
    </w:p>
    <w:p w14:paraId="12F949C2"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4. Control over Strategic Resources: </w:t>
      </w:r>
      <w:r w:rsidRPr="00E2682F">
        <w:rPr>
          <w:rFonts w:ascii="Arial" w:eastAsia="Arial" w:hAnsi="Arial" w:cs="Arial"/>
        </w:rPr>
        <w:t>BP ensures that it has control of the important supply chains to achieve global competitiveness (BP, 2024). In the UK, there are developed logistics networks that favour efficiency and reliability. In China, energy supply chains are not well integrated and need to be more resilient. Internalisation facilitates the management of the refinery inputs and distribution networks. It is because of inadequate infrastructure and electricity blackout in South Africa, which endangers business and direct control, which ensures continuity and reliability.</w:t>
      </w:r>
    </w:p>
    <w:p w14:paraId="008F579F" w14:textId="77777777" w:rsidR="00CB0D88" w:rsidRPr="00E2682F" w:rsidRDefault="006E6EA5">
      <w:pPr>
        <w:ind w:right="280"/>
        <w:rPr>
          <w:rFonts w:ascii="Arial" w:eastAsia="Arial" w:hAnsi="Arial" w:cs="Arial"/>
        </w:rPr>
      </w:pPr>
      <w:r w:rsidRPr="00E2682F">
        <w:rPr>
          <w:rFonts w:ascii="Arial" w:eastAsia="Arial" w:hAnsi="Arial" w:cs="Arial"/>
          <w:b/>
          <w:bCs/>
          <w:i/>
          <w:iCs/>
        </w:rPr>
        <w:t>5. Protection of Global Brand and Reputation:</w:t>
      </w:r>
      <w:r w:rsidRPr="00E2682F">
        <w:rPr>
          <w:rFonts w:ascii="Arial" w:eastAsia="Arial" w:hAnsi="Arial" w:cs="Arial"/>
        </w:rPr>
        <w:t xml:space="preserve"> The Deepwater Horizon spill that occurred in 2010 harmed the reputation of BP (Adam Vaughan, 2022). Internalisation in the UK secures the brand of BP, as all the activities are in line with the corporate standards. The scrutiny on environmental and safety ineptitude by foreign companies is keen in China. Internalisation helps BP to avoid facing reputational damage by </w:t>
      </w:r>
      <w:r w:rsidRPr="00E2682F">
        <w:rPr>
          <w:rFonts w:ascii="Arial" w:eastAsia="Arial" w:hAnsi="Arial" w:cs="Arial"/>
        </w:rPr>
        <w:lastRenderedPageBreak/>
        <w:t xml:space="preserve">sticking to the same practices. South African social inequality and energy shortages raise the expectations of the population. </w:t>
      </w:r>
    </w:p>
    <w:p w14:paraId="16210E76" w14:textId="77777777" w:rsidR="00CB0D88" w:rsidRPr="00E2682F" w:rsidRDefault="006E6EA5">
      <w:pPr>
        <w:ind w:right="280"/>
        <w:rPr>
          <w:rFonts w:ascii="Arial" w:eastAsia="Arial" w:hAnsi="Arial" w:cs="Arial"/>
        </w:rPr>
      </w:pPr>
      <w:r w:rsidRPr="00E2682F">
        <w:rPr>
          <w:rFonts w:ascii="Arial" w:eastAsia="Arial" w:hAnsi="Arial" w:cs="Arial"/>
          <w:b/>
          <w:bCs/>
          <w:i/>
          <w:iCs/>
        </w:rPr>
        <w:t>6. Comparative Growth Outcomes:</w:t>
      </w:r>
      <w:r w:rsidRPr="00E2682F">
        <w:rPr>
          <w:rFonts w:ascii="Arial" w:eastAsia="Arial" w:hAnsi="Arial" w:cs="Arial"/>
        </w:rPr>
        <w:t xml:space="preserve"> The UK market of BP is developed, and the energy demand is not growing. BP experiences increasing demand for natural gas, petrochemicals, and renewable energy in China. Internalisation is important in ensuring long-term involvement in strategic projects. The natural gas demand in China increased at an average of 5.5% in 2010-2022 (Zhang </w:t>
      </w:r>
      <w:r w:rsidRPr="00E2682F">
        <w:rPr>
          <w:rFonts w:ascii="Arial" w:eastAsia="Arial" w:hAnsi="Arial" w:cs="Arial"/>
          <w:i/>
          <w:iCs/>
        </w:rPr>
        <w:t xml:space="preserve">et al. </w:t>
      </w:r>
      <w:r w:rsidRPr="00E2682F">
        <w:rPr>
          <w:rFonts w:ascii="Arial" w:eastAsia="Arial" w:hAnsi="Arial" w:cs="Arial"/>
        </w:rPr>
        <w:t>2023). Energy shortage in South Africa compels the need to seek a reliable source. The internalisation will enable BP to internalize retail growth and renewable projects. The average increase in the GDP of South Africa was 1.2% in 2013-2023 (World Bank, 2025).</w:t>
      </w:r>
    </w:p>
    <w:p w14:paraId="0D3471FB" w14:textId="77777777" w:rsidR="00CB0D88" w:rsidRPr="00E2682F" w:rsidRDefault="006E6EA5">
      <w:pPr>
        <w:ind w:right="280"/>
        <w:jc w:val="center"/>
        <w:rPr>
          <w:rFonts w:ascii="Arial" w:eastAsia="Arial" w:hAnsi="Arial" w:cs="Arial"/>
        </w:rPr>
      </w:pPr>
      <w:r w:rsidRPr="00E2682F">
        <w:rPr>
          <w:rFonts w:ascii="Arial" w:eastAsia="Arial" w:hAnsi="Arial" w:cs="Arial"/>
          <w:noProof/>
        </w:rPr>
        <w:drawing>
          <wp:inline distT="114300" distB="114300" distL="114300" distR="114300" wp14:anchorId="24A17BB5" wp14:editId="6213A73E">
            <wp:extent cx="5468775" cy="2934465"/>
            <wp:effectExtent l="0" t="0" r="0" b="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468775" cy="2934465"/>
                    </a:xfrm>
                    <a:prstGeom prst="rect">
                      <a:avLst/>
                    </a:prstGeom>
                    <a:ln/>
                  </pic:spPr>
                </pic:pic>
              </a:graphicData>
            </a:graphic>
          </wp:inline>
        </w:drawing>
      </w:r>
    </w:p>
    <w:p w14:paraId="30055023" w14:textId="77777777" w:rsidR="00CB0D88" w:rsidRPr="00E2682F" w:rsidRDefault="006E6EA5">
      <w:pPr>
        <w:ind w:right="280"/>
        <w:jc w:val="center"/>
        <w:rPr>
          <w:rFonts w:ascii="Arial" w:eastAsia="Arial" w:hAnsi="Arial" w:cs="Arial"/>
          <w:b/>
          <w:bCs/>
        </w:rPr>
      </w:pPr>
      <w:r w:rsidRPr="00E2682F">
        <w:rPr>
          <w:rFonts w:ascii="Arial" w:eastAsia="Arial" w:hAnsi="Arial" w:cs="Arial"/>
          <w:b/>
          <w:bCs/>
        </w:rPr>
        <w:t>Figure 8: China’s Natural Gas Development Report</w:t>
      </w:r>
    </w:p>
    <w:p w14:paraId="56E01569" w14:textId="77777777" w:rsidR="00CB0D88" w:rsidRPr="00E2682F" w:rsidRDefault="006E6EA5">
      <w:pPr>
        <w:ind w:right="280"/>
        <w:jc w:val="center"/>
        <w:rPr>
          <w:rFonts w:ascii="Arial" w:eastAsia="Arial" w:hAnsi="Arial" w:cs="Arial"/>
        </w:rPr>
      </w:pPr>
      <w:r w:rsidRPr="00E2682F">
        <w:rPr>
          <w:rFonts w:ascii="Arial" w:eastAsia="Arial" w:hAnsi="Arial" w:cs="Arial"/>
        </w:rPr>
        <w:t xml:space="preserve">(Source: Zhang </w:t>
      </w:r>
      <w:r w:rsidRPr="00E2682F">
        <w:rPr>
          <w:rFonts w:ascii="Arial" w:eastAsia="Arial" w:hAnsi="Arial" w:cs="Arial"/>
          <w:i/>
          <w:iCs/>
        </w:rPr>
        <w:t xml:space="preserve">et al. </w:t>
      </w:r>
      <w:r w:rsidRPr="00E2682F">
        <w:rPr>
          <w:rFonts w:ascii="Arial" w:eastAsia="Arial" w:hAnsi="Arial" w:cs="Arial"/>
        </w:rPr>
        <w:t>2023)</w:t>
      </w:r>
    </w:p>
    <w:p w14:paraId="6DA2324C" w14:textId="77777777" w:rsidR="00CB0D88" w:rsidRPr="00E2682F" w:rsidRDefault="00CB0D88">
      <w:pPr>
        <w:ind w:right="280"/>
        <w:jc w:val="center"/>
        <w:rPr>
          <w:rFonts w:ascii="Arial" w:eastAsia="Arial" w:hAnsi="Arial" w:cs="Arial"/>
        </w:rPr>
      </w:pPr>
    </w:p>
    <w:p w14:paraId="02708B58" w14:textId="77777777" w:rsidR="00CB0D88" w:rsidRPr="00E2682F" w:rsidRDefault="006E6EA5">
      <w:pPr>
        <w:pStyle w:val="Heading1"/>
      </w:pPr>
      <w:bookmarkStart w:id="12" w:name="_Toc214367805"/>
      <w:r w:rsidRPr="00E2682F">
        <w:t>4. Critical evaluation of cultural differences between the UK, China and South Africa</w:t>
      </w:r>
      <w:bookmarkEnd w:id="12"/>
      <w:r w:rsidRPr="00E2682F">
        <w:t xml:space="preserve"> </w:t>
      </w:r>
    </w:p>
    <w:p w14:paraId="329E5AA7" w14:textId="77777777" w:rsidR="00CB0D88" w:rsidRPr="00E2682F" w:rsidRDefault="006E6EA5">
      <w:pPr>
        <w:pStyle w:val="Heading2"/>
      </w:pPr>
      <w:bookmarkStart w:id="13" w:name="_Toc214367806"/>
      <w:r w:rsidRPr="00E2682F">
        <w:t>a. Hofstede cultural model</w:t>
      </w:r>
      <w:bookmarkEnd w:id="13"/>
    </w:p>
    <w:p w14:paraId="00088E8B" w14:textId="77777777" w:rsidR="00CB0D88" w:rsidRPr="00E2682F" w:rsidRDefault="006E6EA5">
      <w:pPr>
        <w:rPr>
          <w:rFonts w:ascii="Arial" w:eastAsia="Arial" w:hAnsi="Arial" w:cs="Arial"/>
          <w:color w:val="FF0000"/>
        </w:rPr>
      </w:pPr>
      <w:r w:rsidRPr="00E2682F">
        <w:rPr>
          <w:rFonts w:ascii="Arial" w:eastAsia="Arial" w:hAnsi="Arial" w:cs="Arial"/>
          <w:b/>
          <w:bCs/>
          <w:i/>
          <w:iCs/>
          <w:color w:val="FF0000"/>
        </w:rPr>
        <w:t xml:space="preserve">Define Hofstede cultural model: </w:t>
      </w:r>
      <w:r w:rsidRPr="00E2682F">
        <w:rPr>
          <w:rFonts w:ascii="Arial" w:eastAsia="Arial" w:hAnsi="Arial" w:cs="Arial"/>
          <w:color w:val="FF0000"/>
        </w:rPr>
        <w:t xml:space="preserve">The conceptual model of culture presented by Hofstede views culture as a shared programming of the mind that separates individuals within a particular group from those in other groups (Escandon-Barbosa </w:t>
      </w:r>
      <w:r w:rsidRPr="006F66E6">
        <w:rPr>
          <w:rFonts w:ascii="Arial" w:eastAsia="Arial" w:hAnsi="Arial" w:cs="Arial"/>
          <w:i/>
          <w:color w:val="FF0000"/>
        </w:rPr>
        <w:t>et al.</w:t>
      </w:r>
      <w:r w:rsidRPr="00E2682F">
        <w:rPr>
          <w:rFonts w:ascii="Arial" w:eastAsia="Arial" w:hAnsi="Arial" w:cs="Arial"/>
          <w:color w:val="FF0000"/>
        </w:rPr>
        <w:t xml:space="preserve"> 2021). It determines six global dimensions that include power distance, individualism-collectivism, </w:t>
      </w:r>
      <w:r w:rsidRPr="00E2682F">
        <w:rPr>
          <w:rFonts w:ascii="Arial" w:eastAsia="Arial" w:hAnsi="Arial" w:cs="Arial"/>
          <w:color w:val="FF0000"/>
        </w:rPr>
        <w:lastRenderedPageBreak/>
        <w:t>masculinity-femininity, uncertainty avoidance, long-term orientation, and indulgence-restraint to compare cultural values in a country.</w:t>
      </w:r>
    </w:p>
    <w:p w14:paraId="635114C1" w14:textId="3A5FC631" w:rsidR="00CB0D88" w:rsidRPr="00E2682F" w:rsidRDefault="006E6EA5">
      <w:pPr>
        <w:ind w:right="280"/>
        <w:rPr>
          <w:rFonts w:ascii="Arial" w:eastAsia="Arial" w:hAnsi="Arial" w:cs="Arial"/>
        </w:rPr>
      </w:pPr>
      <w:r w:rsidRPr="00E2682F">
        <w:rPr>
          <w:rFonts w:ascii="Arial" w:eastAsia="Arial" w:hAnsi="Arial" w:cs="Arial"/>
          <w:b/>
          <w:bCs/>
          <w:i/>
          <w:iCs/>
        </w:rPr>
        <w:t>1. Power Distance:</w:t>
      </w:r>
      <w:r w:rsidRPr="00E2682F">
        <w:rPr>
          <w:rFonts w:ascii="Arial" w:eastAsia="Arial" w:hAnsi="Arial" w:cs="Arial"/>
        </w:rPr>
        <w:t xml:space="preserve"> China has a very high score (80) on power distance, and it is highly accepted by the Chinese society. Employees anticipate top-down decision-making and do not question their superiors publicly. South Africa is characterized by relatively </w:t>
      </w:r>
      <w:r w:rsidR="00204A36" w:rsidRPr="00E2682F">
        <w:rPr>
          <w:rFonts w:ascii="Arial" w:eastAsia="Arial" w:hAnsi="Arial" w:cs="Arial"/>
        </w:rPr>
        <w:t>high-power</w:t>
      </w:r>
      <w:r w:rsidRPr="00E2682F">
        <w:rPr>
          <w:rFonts w:ascii="Arial" w:eastAsia="Arial" w:hAnsi="Arial" w:cs="Arial"/>
        </w:rPr>
        <w:t xml:space="preserve"> distance (49), but not as extreme as compared to China (The culture factor, 2025). It is an element of respecting seniority, although there is a degree of openness to discussions. Management in the UK is low or moderate (35) with a preference towards flatter hierarchies and participative management. The cultural disparity poses a strain to BP, as the management styles have to vary between nations.</w:t>
      </w:r>
    </w:p>
    <w:p w14:paraId="38961B0A"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2. Individualism vs Collectivism: </w:t>
      </w:r>
      <w:r w:rsidRPr="00E2682F">
        <w:rPr>
          <w:rFonts w:ascii="Arial" w:eastAsia="Arial" w:hAnsi="Arial" w:cs="Arial"/>
        </w:rPr>
        <w:t>The UK has a very high individualism, where personal autonomy and direct communication are highly appreciated. Employees value personalities, freedom, and personal success. China is still more collectivistic, and loyalty, harmony, and group agreement are more important. South Africa is in a middle position, with a balance between the values of the community and the moderate individualists. In the case of BP, it requires a change in incentive systems: the individual-oriented recognition system works better in the UK, and collective-oriented systems are more appropriate in China. The hybrid system that would reflect the personal and community contribution could work in South Africa.</w:t>
      </w:r>
    </w:p>
    <w:p w14:paraId="71981776" w14:textId="77777777" w:rsidR="00CB0D88" w:rsidRPr="00E2682F" w:rsidRDefault="006E6EA5">
      <w:pPr>
        <w:ind w:right="280"/>
        <w:rPr>
          <w:rFonts w:ascii="Arial" w:eastAsia="Arial" w:hAnsi="Arial" w:cs="Arial"/>
        </w:rPr>
      </w:pPr>
      <w:r w:rsidRPr="00E2682F">
        <w:rPr>
          <w:rFonts w:ascii="Arial" w:eastAsia="Arial" w:hAnsi="Arial" w:cs="Arial"/>
          <w:b/>
          <w:bCs/>
          <w:i/>
          <w:iCs/>
        </w:rPr>
        <w:t>3. Masculinity and Achievement Orientation:</w:t>
      </w:r>
      <w:r w:rsidRPr="00E2682F">
        <w:rPr>
          <w:rFonts w:ascii="Arial" w:eastAsia="Arial" w:hAnsi="Arial" w:cs="Arial"/>
        </w:rPr>
        <w:t xml:space="preserve"> The three countries are rather masculine, with success, competition, and material success being prioritized. Competitive motive in China is an indication of long working hours and a performance-oriented culture (The culture factor, 2025). The UK also lays stress on measurable outcomes, ambition, and recognition. South Africa is another example of such an orientation, but it involves community upliftment and developmental objectives and personal achievement. BP should understand the following nuances: hard-selling performance indicators can work in China, but in South Africa, demands to be socially responsible are no less influential. BP should develop an effective culture for managing growth and revenue in the international operation through internationalisation. </w:t>
      </w:r>
    </w:p>
    <w:p w14:paraId="72C8F8FC"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4. Uncertainty Avoidance: </w:t>
      </w:r>
      <w:r w:rsidRPr="00E2682F">
        <w:rPr>
          <w:rFonts w:ascii="Arial" w:eastAsia="Arial" w:hAnsi="Arial" w:cs="Arial"/>
        </w:rPr>
        <w:t xml:space="preserve">China is rated low in uncertainty avoidance, meaning that they tolerate ambiguity and are adaptive. The UK is also moderate in comfort related </w:t>
      </w:r>
      <w:r w:rsidRPr="00E2682F">
        <w:rPr>
          <w:rFonts w:ascii="Arial" w:eastAsia="Arial" w:hAnsi="Arial" w:cs="Arial"/>
        </w:rPr>
        <w:lastRenderedPageBreak/>
        <w:t xml:space="preserve">to uncertainty and is open to debate and pragmatic solutions. South Africa has higher uncertainty avoidance than the two, with a greater preference for structure and rules (Barbosa </w:t>
      </w:r>
      <w:r w:rsidRPr="00E2682F">
        <w:rPr>
          <w:rFonts w:ascii="Arial" w:eastAsia="Arial" w:hAnsi="Arial" w:cs="Arial"/>
          <w:i/>
          <w:iCs/>
        </w:rPr>
        <w:t>et al.</w:t>
      </w:r>
      <w:r w:rsidRPr="00E2682F">
        <w:rPr>
          <w:rFonts w:ascii="Arial" w:eastAsia="Arial" w:hAnsi="Arial" w:cs="Arial"/>
        </w:rPr>
        <w:t xml:space="preserve"> 2021). BP should consider the following differences: contracts and procedures can be important in South Africa, and flexibility and trust in the relations are more significant in China.</w:t>
      </w:r>
    </w:p>
    <w:p w14:paraId="2304C3C6"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5. Long-Term Orientation: </w:t>
      </w:r>
      <w:r w:rsidRPr="00E2682F">
        <w:rPr>
          <w:rFonts w:ascii="Arial" w:eastAsia="Arial" w:hAnsi="Arial" w:cs="Arial"/>
        </w:rPr>
        <w:t>China is highly ranked in long-term orientation, which depicts strategic patience and future-based planning (The culture factor, 2025). Sustainability and infrastructure investments fit the Chinese cultural values. South Africa also proves to be a long-term thinker, which focuses on structural development and strategies. The UK exhibits a more balanced orientation, which is pragmatic planning, but short-term accountability. In the case of BP, China and South Africa should focus on long-term relationships, and the UK operations may focus on short-term results and long-term perspective.</w:t>
      </w:r>
    </w:p>
    <w:p w14:paraId="08D74FE2"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6. Indulgences Restraint: </w:t>
      </w:r>
      <w:r w:rsidRPr="00E2682F">
        <w:rPr>
          <w:rFonts w:ascii="Arial" w:eastAsia="Arial" w:hAnsi="Arial" w:cs="Arial"/>
        </w:rPr>
        <w:t>The UK is an indulgent nation that is open to leisure, freedom, and enjoyment. China is restrained and is concerned with discipline, duty, and controlled gratification. South Africa is in the middle between the two, with greater indulgence than China but less than the UK. In the case of BP, this is achieving workplace benefits: lifestyle benefits work in the UK, social stability benefits in China, and community benefits in South Africa (BP global, 2025).</w:t>
      </w:r>
    </w:p>
    <w:p w14:paraId="4720597B" w14:textId="77777777" w:rsidR="00CB0D88" w:rsidRPr="00E2682F" w:rsidRDefault="006E6EA5">
      <w:pPr>
        <w:ind w:right="280"/>
        <w:jc w:val="center"/>
        <w:rPr>
          <w:rFonts w:ascii="Arial" w:eastAsia="Arial" w:hAnsi="Arial" w:cs="Arial"/>
          <w:b/>
          <w:bCs/>
        </w:rPr>
      </w:pPr>
      <w:r w:rsidRPr="00E2682F">
        <w:rPr>
          <w:rFonts w:ascii="Arial" w:eastAsia="Arial" w:hAnsi="Arial" w:cs="Arial"/>
          <w:b/>
          <w:bCs/>
          <w:noProof/>
        </w:rPr>
        <w:drawing>
          <wp:inline distT="114300" distB="114300" distL="114300" distR="114300" wp14:anchorId="2703E338" wp14:editId="5B30B22F">
            <wp:extent cx="5731200" cy="3009900"/>
            <wp:effectExtent l="0" t="0" r="0" b="0"/>
            <wp:docPr id="2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731200" cy="3009900"/>
                    </a:xfrm>
                    <a:prstGeom prst="rect">
                      <a:avLst/>
                    </a:prstGeom>
                    <a:ln/>
                  </pic:spPr>
                </pic:pic>
              </a:graphicData>
            </a:graphic>
          </wp:inline>
        </w:drawing>
      </w:r>
    </w:p>
    <w:p w14:paraId="3F15AF5B" w14:textId="77777777" w:rsidR="00CB0D88" w:rsidRPr="00E2682F" w:rsidRDefault="006E6EA5">
      <w:pPr>
        <w:ind w:right="280"/>
        <w:jc w:val="center"/>
        <w:rPr>
          <w:rFonts w:ascii="Arial" w:eastAsia="Arial" w:hAnsi="Arial" w:cs="Arial"/>
          <w:b/>
          <w:bCs/>
        </w:rPr>
      </w:pPr>
      <w:r w:rsidRPr="00E2682F">
        <w:rPr>
          <w:rFonts w:ascii="Arial" w:eastAsia="Arial" w:hAnsi="Arial" w:cs="Arial"/>
          <w:b/>
          <w:bCs/>
        </w:rPr>
        <w:lastRenderedPageBreak/>
        <w:t>Figure 9: Cultural difference between UK, China and South Africa</w:t>
      </w:r>
    </w:p>
    <w:p w14:paraId="3DF51093" w14:textId="77777777" w:rsidR="00CB0D88" w:rsidRPr="00E2682F" w:rsidRDefault="006E6EA5">
      <w:pPr>
        <w:ind w:right="280"/>
        <w:jc w:val="center"/>
        <w:rPr>
          <w:rFonts w:ascii="Arial" w:eastAsia="Arial" w:hAnsi="Arial" w:cs="Arial"/>
        </w:rPr>
      </w:pPr>
      <w:r w:rsidRPr="00E2682F">
        <w:rPr>
          <w:rFonts w:ascii="Arial" w:eastAsia="Arial" w:hAnsi="Arial" w:cs="Arial"/>
        </w:rPr>
        <w:t xml:space="preserve"> (Source: The culture factor, 2025)</w:t>
      </w:r>
    </w:p>
    <w:p w14:paraId="7D899B0F" w14:textId="77777777" w:rsidR="00CB0D88" w:rsidRPr="00E2682F" w:rsidRDefault="00CB0D88">
      <w:pPr>
        <w:ind w:right="280"/>
        <w:rPr>
          <w:rFonts w:ascii="Arial" w:eastAsia="Arial" w:hAnsi="Arial" w:cs="Arial"/>
          <w:b/>
          <w:bCs/>
        </w:rPr>
      </w:pPr>
    </w:p>
    <w:p w14:paraId="230E8F7A" w14:textId="77777777" w:rsidR="00CB0D88" w:rsidRPr="00E2682F" w:rsidRDefault="006E6EA5">
      <w:pPr>
        <w:pStyle w:val="Heading2"/>
      </w:pPr>
      <w:bookmarkStart w:id="14" w:name="_Toc214367807"/>
      <w:r w:rsidRPr="00E2682F">
        <w:t>b. Impact of both the company’s market entry strategy and its potential for success in BP</w:t>
      </w:r>
      <w:bookmarkEnd w:id="14"/>
      <w:r w:rsidRPr="00E2682F">
        <w:t xml:space="preserve"> </w:t>
      </w:r>
    </w:p>
    <w:p w14:paraId="00A30D12"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1. Influence on Market Entry Strategy: </w:t>
      </w:r>
      <w:r w:rsidRPr="00E2682F">
        <w:rPr>
          <w:rFonts w:ascii="Arial" w:eastAsia="Arial" w:hAnsi="Arial" w:cs="Arial"/>
        </w:rPr>
        <w:t xml:space="preserve">The use of cultural differences has a large influence on the entry mode adopted by BP in China and South Africa. The power distance and collectivist culture in China favour joint ventures with the state-owned enterprises (Jin </w:t>
      </w:r>
      <w:r w:rsidRPr="00E2682F">
        <w:rPr>
          <w:rFonts w:ascii="Arial" w:eastAsia="Arial" w:hAnsi="Arial" w:cs="Arial"/>
          <w:i/>
          <w:iCs/>
        </w:rPr>
        <w:t xml:space="preserve">et al. </w:t>
      </w:r>
      <w:r w:rsidRPr="00E2682F">
        <w:rPr>
          <w:rFonts w:ascii="Arial" w:eastAsia="Arial" w:hAnsi="Arial" w:cs="Arial"/>
        </w:rPr>
        <w:t>2022). The alliances are compliant with hierarchical decision-making and establish trust based on government and guanxi networks. The choice of wholly owned subsidiaries in China is not as viable in the highly regulated industry within the UK. The strategy at BP should be based on alliances, patience, and long-term engagement. South Africa has a moderate hierarchy and mixed collectivism that permits more flexible structures (Terblanché-Greeff, 2022). In downstream and retail operations, it can have wholly owned subsidiaries that are acceptable to the regulators. The local legislations, such as the Black Economic Empowerment, promote joint ventures with the local partners. The fairness and inclusion culture in South Africa are other factors that influence the entry structure of BP.</w:t>
      </w:r>
    </w:p>
    <w:p w14:paraId="0A39258A" w14:textId="77777777" w:rsidR="00CB0D88" w:rsidRPr="00E2682F" w:rsidRDefault="006E6EA5">
      <w:pPr>
        <w:ind w:right="280"/>
        <w:rPr>
          <w:rFonts w:ascii="Arial" w:eastAsia="Arial" w:hAnsi="Arial" w:cs="Arial"/>
        </w:rPr>
      </w:pPr>
      <w:r w:rsidRPr="00E2682F">
        <w:rPr>
          <w:rFonts w:ascii="Arial" w:eastAsia="Arial" w:hAnsi="Arial" w:cs="Arial"/>
          <w:b/>
          <w:bCs/>
          <w:i/>
          <w:iCs/>
        </w:rPr>
        <w:t xml:space="preserve">2. Impact on Organisational Effectiveness: </w:t>
      </w:r>
      <w:r w:rsidRPr="00E2682F">
        <w:rPr>
          <w:rFonts w:ascii="Arial" w:eastAsia="Arial" w:hAnsi="Arial" w:cs="Arial"/>
        </w:rPr>
        <w:t>The issue of cultural misalignment would alter the communication, leadership, and motivation in the functioning of BP. The American communication style used directly in the UK may contradict the indirect style of the Chinese, which may result in offence or loss of face (Think Cultural Health, 2024). The mixed communication culture in South Africa needs an understanding of diversity and community views. The risks are mitigated through training and localisation of the management, which brings a smoother integration with the local staff. The expectations of performance also vary in different situations. The long-term orientation of China requires that there be a sustainable strategy that is patient with results. The community orientation of South Africa requires that corporate responsibility be visible, and that there be energy security contributions and empowerment of the locals (Cheruiyot-Koech and Reddy, 2022). Ensuring legitimacy and commitment among employees, BP needs to synchronize its practices with the local cultures.</w:t>
      </w:r>
    </w:p>
    <w:p w14:paraId="4D61C2E0" w14:textId="77777777" w:rsidR="00CB0D88" w:rsidRPr="00E2682F" w:rsidRDefault="006E6EA5">
      <w:pPr>
        <w:ind w:right="280"/>
        <w:jc w:val="center"/>
        <w:rPr>
          <w:rFonts w:ascii="Arial" w:eastAsia="Arial" w:hAnsi="Arial" w:cs="Arial"/>
        </w:rPr>
      </w:pPr>
      <w:r w:rsidRPr="00E2682F">
        <w:rPr>
          <w:rFonts w:ascii="Arial" w:eastAsia="Arial" w:hAnsi="Arial" w:cs="Arial"/>
          <w:noProof/>
        </w:rPr>
        <w:lastRenderedPageBreak/>
        <mc:AlternateContent>
          <mc:Choice Requires="wpg">
            <w:drawing>
              <wp:inline distT="0" distB="0" distL="0" distR="0" wp14:anchorId="7630A2EB" wp14:editId="42E6F626">
                <wp:extent cx="5486400" cy="3200400"/>
                <wp:effectExtent l="0" t="0" r="0" b="0"/>
                <wp:docPr id="13" name="Group 13"/>
                <wp:cNvGraphicFramePr/>
                <a:graphic xmlns:a="http://schemas.openxmlformats.org/drawingml/2006/main">
                  <a:graphicData uri="http://schemas.microsoft.com/office/word/2010/wordprocessingGroup">
                    <wpg:wgp>
                      <wpg:cNvGrpSpPr/>
                      <wpg:grpSpPr>
                        <a:xfrm>
                          <a:off x="0" y="0"/>
                          <a:ext cx="5486400" cy="3200400"/>
                          <a:chOff x="0" y="0"/>
                          <a:chExt cx="5499125" cy="3200425"/>
                        </a:xfrm>
                      </wpg:grpSpPr>
                      <wpg:grpSp>
                        <wpg:cNvPr id="1" name="Group 1"/>
                        <wpg:cNvGrpSpPr/>
                        <wpg:grpSpPr>
                          <a:xfrm>
                            <a:off x="0" y="0"/>
                            <a:ext cx="5486400" cy="3200400"/>
                            <a:chOff x="0" y="0"/>
                            <a:chExt cx="5486400" cy="3200400"/>
                          </a:xfrm>
                        </wpg:grpSpPr>
                        <wps:wsp>
                          <wps:cNvPr id="2" name="Rectangle 2"/>
                          <wps:cNvSpPr/>
                          <wps:spPr>
                            <a:xfrm>
                              <a:off x="0" y="0"/>
                              <a:ext cx="5486400" cy="3200400"/>
                            </a:xfrm>
                            <a:prstGeom prst="rect">
                              <a:avLst/>
                            </a:prstGeom>
                            <a:noFill/>
                            <a:ln>
                              <a:noFill/>
                            </a:ln>
                          </wps:spPr>
                          <wps:txbx>
                            <w:txbxContent>
                              <w:p w14:paraId="317DF57C" w14:textId="77777777" w:rsidR="00CB0D88" w:rsidRDefault="00CB0D88">
                                <w:pPr>
                                  <w:spacing w:line="240" w:lineRule="auto"/>
                                  <w:jc w:val="left"/>
                                  <w:textDirection w:val="btLr"/>
                                </w:pPr>
                              </w:p>
                            </w:txbxContent>
                          </wps:txbx>
                          <wps:bodyPr spcFirstLastPara="1" wrap="square" lIns="91425" tIns="91425" rIns="91425" bIns="91425" anchor="ctr" anchorCtr="0">
                            <a:noAutofit/>
                          </wps:bodyPr>
                        </wps:wsp>
                        <wps:wsp>
                          <wps:cNvPr id="3" name="Arrow: Right 3"/>
                          <wps:cNvSpPr/>
                          <wps:spPr>
                            <a:xfrm>
                              <a:off x="411479" y="0"/>
                              <a:ext cx="4663440" cy="3200400"/>
                            </a:xfrm>
                            <a:prstGeom prst="rightArrow">
                              <a:avLst>
                                <a:gd name="adj1" fmla="val 50000"/>
                                <a:gd name="adj2" fmla="val 50000"/>
                              </a:avLst>
                            </a:prstGeom>
                            <a:solidFill>
                              <a:srgbClr val="E7CFCF"/>
                            </a:solidFill>
                            <a:ln>
                              <a:noFill/>
                            </a:ln>
                          </wps:spPr>
                          <wps:txbx>
                            <w:txbxContent>
                              <w:p w14:paraId="41C02B26" w14:textId="77777777" w:rsidR="00CB0D88" w:rsidRDefault="00CB0D88">
                                <w:pPr>
                                  <w:spacing w:line="240" w:lineRule="auto"/>
                                  <w:jc w:val="left"/>
                                  <w:textDirection w:val="btLr"/>
                                </w:pPr>
                              </w:p>
                            </w:txbxContent>
                          </wps:txbx>
                          <wps:bodyPr spcFirstLastPara="1" wrap="square" lIns="91425" tIns="91425" rIns="91425" bIns="91425" anchor="ctr" anchorCtr="0">
                            <a:noAutofit/>
                          </wps:bodyPr>
                        </wps:wsp>
                        <wps:wsp>
                          <wps:cNvPr id="4" name="Rectangle: Rounded Corners 4"/>
                          <wps:cNvSpPr/>
                          <wps:spPr>
                            <a:xfrm>
                              <a:off x="0" y="960120"/>
                              <a:ext cx="1645920" cy="1280160"/>
                            </a:xfrm>
                            <a:prstGeom prst="roundRect">
                              <a:avLst>
                                <a:gd name="adj" fmla="val 16667"/>
                              </a:avLst>
                            </a:prstGeom>
                            <a:solidFill>
                              <a:srgbClr val="BF504D"/>
                            </a:solidFill>
                            <a:ln w="25400" cap="flat" cmpd="sng">
                              <a:solidFill>
                                <a:schemeClr val="lt1"/>
                              </a:solidFill>
                              <a:prstDash val="solid"/>
                              <a:round/>
                              <a:headEnd type="none" w="sm" len="sm"/>
                              <a:tailEnd type="none" w="sm" len="sm"/>
                            </a:ln>
                          </wps:spPr>
                          <wps:txbx>
                            <w:txbxContent>
                              <w:p w14:paraId="47865DB5" w14:textId="77777777" w:rsidR="00CB0D88" w:rsidRDefault="00CB0D88">
                                <w:pPr>
                                  <w:spacing w:line="240" w:lineRule="auto"/>
                                  <w:jc w:val="left"/>
                                  <w:textDirection w:val="btLr"/>
                                </w:pPr>
                              </w:p>
                            </w:txbxContent>
                          </wps:txbx>
                          <wps:bodyPr spcFirstLastPara="1" wrap="square" lIns="91425" tIns="91425" rIns="91425" bIns="91425" anchor="ctr" anchorCtr="0">
                            <a:noAutofit/>
                          </wps:bodyPr>
                        </wps:wsp>
                        <wps:wsp>
                          <wps:cNvPr id="5" name="Text Box 5"/>
                          <wps:cNvSpPr txBox="1"/>
                          <wps:spPr>
                            <a:xfrm>
                              <a:off x="62492" y="1022612"/>
                              <a:ext cx="1520936" cy="1155176"/>
                            </a:xfrm>
                            <a:prstGeom prst="rect">
                              <a:avLst/>
                            </a:prstGeom>
                            <a:noFill/>
                            <a:ln>
                              <a:noFill/>
                            </a:ln>
                          </wps:spPr>
                          <wps:txbx>
                            <w:txbxContent>
                              <w:p w14:paraId="247C81C4" w14:textId="77777777" w:rsidR="00CB0D88" w:rsidRDefault="006E6EA5">
                                <w:pPr>
                                  <w:spacing w:line="215" w:lineRule="auto"/>
                                  <w:jc w:val="center"/>
                                  <w:textDirection w:val="btLr"/>
                                </w:pPr>
                                <w:r>
                                  <w:rPr>
                                    <w:rFonts w:ascii="Arial" w:eastAsia="Arial" w:hAnsi="Arial" w:cs="Arial"/>
                                    <w:color w:val="000000"/>
                                  </w:rPr>
                                  <w:t xml:space="preserve">Energy security contributions </w:t>
                                </w:r>
                              </w:p>
                            </w:txbxContent>
                          </wps:txbx>
                          <wps:bodyPr spcFirstLastPara="1" wrap="square" lIns="45700" tIns="45700" rIns="45700" bIns="45700" anchor="ctr" anchorCtr="0">
                            <a:noAutofit/>
                          </wps:bodyPr>
                        </wps:wsp>
                        <wps:wsp>
                          <wps:cNvPr id="6" name="Rectangle: Rounded Corners 6"/>
                          <wps:cNvSpPr/>
                          <wps:spPr>
                            <a:xfrm>
                              <a:off x="1920240" y="960120"/>
                              <a:ext cx="1645920" cy="1280160"/>
                            </a:xfrm>
                            <a:prstGeom prst="roundRect">
                              <a:avLst>
                                <a:gd name="adj" fmla="val 16667"/>
                              </a:avLst>
                            </a:prstGeom>
                            <a:solidFill>
                              <a:schemeClr val="accent3"/>
                            </a:solidFill>
                            <a:ln w="25400" cap="flat" cmpd="sng">
                              <a:solidFill>
                                <a:schemeClr val="lt1"/>
                              </a:solidFill>
                              <a:prstDash val="solid"/>
                              <a:round/>
                              <a:headEnd type="none" w="sm" len="sm"/>
                              <a:tailEnd type="none" w="sm" len="sm"/>
                            </a:ln>
                          </wps:spPr>
                          <wps:txbx>
                            <w:txbxContent>
                              <w:p w14:paraId="0A10C141" w14:textId="77777777" w:rsidR="00CB0D88" w:rsidRDefault="00CB0D88">
                                <w:pPr>
                                  <w:spacing w:line="240" w:lineRule="auto"/>
                                  <w:jc w:val="left"/>
                                  <w:textDirection w:val="btLr"/>
                                </w:pPr>
                              </w:p>
                            </w:txbxContent>
                          </wps:txbx>
                          <wps:bodyPr spcFirstLastPara="1" wrap="square" lIns="91425" tIns="91425" rIns="91425" bIns="91425" anchor="ctr" anchorCtr="0">
                            <a:noAutofit/>
                          </wps:bodyPr>
                        </wps:wsp>
                        <wps:wsp>
                          <wps:cNvPr id="7" name="Text Box 7"/>
                          <wps:cNvSpPr txBox="1"/>
                          <wps:spPr>
                            <a:xfrm>
                              <a:off x="1982732" y="1022612"/>
                              <a:ext cx="1520936" cy="1155176"/>
                            </a:xfrm>
                            <a:prstGeom prst="rect">
                              <a:avLst/>
                            </a:prstGeom>
                            <a:noFill/>
                            <a:ln>
                              <a:noFill/>
                            </a:ln>
                          </wps:spPr>
                          <wps:txbx>
                            <w:txbxContent>
                              <w:p w14:paraId="0CB8AD7C" w14:textId="77777777" w:rsidR="00CB0D88" w:rsidRDefault="006E6EA5">
                                <w:pPr>
                                  <w:spacing w:line="215" w:lineRule="auto"/>
                                  <w:jc w:val="center"/>
                                  <w:textDirection w:val="btLr"/>
                                </w:pPr>
                                <w:r>
                                  <w:rPr>
                                    <w:rFonts w:ascii="Arial" w:eastAsia="Arial" w:hAnsi="Arial" w:cs="Arial"/>
                                    <w:color w:val="000000"/>
                                  </w:rPr>
                                  <w:t>Empowering the local</w:t>
                                </w:r>
                              </w:p>
                            </w:txbxContent>
                          </wps:txbx>
                          <wps:bodyPr spcFirstLastPara="1" wrap="square" lIns="45700" tIns="45700" rIns="45700" bIns="45700" anchor="ctr" anchorCtr="0">
                            <a:noAutofit/>
                          </wps:bodyPr>
                        </wps:wsp>
                        <wps:wsp>
                          <wps:cNvPr id="8" name="Rectangle: Rounded Corners 8"/>
                          <wps:cNvSpPr/>
                          <wps:spPr>
                            <a:xfrm>
                              <a:off x="3840480" y="960120"/>
                              <a:ext cx="1645920" cy="1280160"/>
                            </a:xfrm>
                            <a:prstGeom prst="roundRect">
                              <a:avLst>
                                <a:gd name="adj" fmla="val 16667"/>
                              </a:avLst>
                            </a:prstGeom>
                            <a:solidFill>
                              <a:schemeClr val="accent4"/>
                            </a:solidFill>
                            <a:ln w="25400" cap="flat" cmpd="sng">
                              <a:solidFill>
                                <a:schemeClr val="lt1"/>
                              </a:solidFill>
                              <a:prstDash val="solid"/>
                              <a:round/>
                              <a:headEnd type="none" w="sm" len="sm"/>
                              <a:tailEnd type="none" w="sm" len="sm"/>
                            </a:ln>
                          </wps:spPr>
                          <wps:txbx>
                            <w:txbxContent>
                              <w:p w14:paraId="052B5DB9" w14:textId="77777777" w:rsidR="00CB0D88" w:rsidRDefault="00CB0D88">
                                <w:pPr>
                                  <w:spacing w:line="240" w:lineRule="auto"/>
                                  <w:jc w:val="left"/>
                                  <w:textDirection w:val="btLr"/>
                                </w:pPr>
                              </w:p>
                            </w:txbxContent>
                          </wps:txbx>
                          <wps:bodyPr spcFirstLastPara="1" wrap="square" lIns="91425" tIns="91425" rIns="91425" bIns="91425" anchor="ctr" anchorCtr="0">
                            <a:noAutofit/>
                          </wps:bodyPr>
                        </wps:wsp>
                        <wps:wsp>
                          <wps:cNvPr id="9" name="Text Box 9"/>
                          <wps:cNvSpPr txBox="1"/>
                          <wps:spPr>
                            <a:xfrm>
                              <a:off x="3902972" y="1022612"/>
                              <a:ext cx="1520936" cy="1155176"/>
                            </a:xfrm>
                            <a:prstGeom prst="rect">
                              <a:avLst/>
                            </a:prstGeom>
                            <a:noFill/>
                            <a:ln>
                              <a:noFill/>
                            </a:ln>
                          </wps:spPr>
                          <wps:txbx>
                            <w:txbxContent>
                              <w:p w14:paraId="6D03BE38" w14:textId="77777777" w:rsidR="00CB0D88" w:rsidRDefault="006E6EA5">
                                <w:pPr>
                                  <w:spacing w:line="215" w:lineRule="auto"/>
                                  <w:jc w:val="center"/>
                                  <w:textDirection w:val="btLr"/>
                                </w:pPr>
                                <w:r>
                                  <w:rPr>
                                    <w:rFonts w:ascii="Arial" w:eastAsia="Arial" w:hAnsi="Arial" w:cs="Arial"/>
                                    <w:color w:val="000000"/>
                                  </w:rPr>
                                  <w:t>Ensuring legitimacy and commitment among employees</w:t>
                                </w:r>
                              </w:p>
                            </w:txbxContent>
                          </wps:txbx>
                          <wps:bodyPr spcFirstLastPara="1" wrap="square" lIns="45700" tIns="45700" rIns="45700" bIns="45700" anchor="ctr" anchorCtr="0">
                            <a:noAutofit/>
                          </wps:bodyPr>
                        </wps:wsp>
                      </wpg:grpSp>
                    </wpg:wgp>
                  </a:graphicData>
                </a:graphic>
              </wp:inline>
            </w:drawing>
          </mc:Choice>
          <mc:Fallback>
            <w:pict>
              <v:group w14:anchorId="7630A2EB" id="Group 13" o:spid="_x0000_s1026" style="width:6in;height:252pt;mso-position-horizontal-relative:char;mso-position-vertical-relative:line" coordsize="5499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">
                <v:group id="Group 1"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17DF57C" w14:textId="77777777" w:rsidR="00CB0D88" w:rsidRDefault="00CB0D88">
                          <w:pPr>
                            <w:spacing w:line="240" w:lineRule="auto"/>
                            <w:jc w:val="left"/>
                            <w:textDirection w:val="btLr"/>
                          </w:pP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9" type="#_x0000_t13" style="position:absolute;left:4114;width:46635;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" adj="14188" fillcolor="#e7cfcf" stroked="f">
                    <v:textbox inset="2.53958mm,2.53958mm,2.53958mm,2.53958mm">
                      <w:txbxContent>
                        <w:p w14:paraId="41C02B26" w14:textId="77777777" w:rsidR="00CB0D88" w:rsidRDefault="00CB0D88">
                          <w:pPr>
                            <w:spacing w:line="240" w:lineRule="auto"/>
                            <w:jc w:val="left"/>
                            <w:textDirection w:val="btLr"/>
                          </w:pPr>
                        </w:p>
                      </w:txbxContent>
                    </v:textbox>
                  </v:shape>
                  <v:roundrect id="Rectangle: Rounded Corners 4" o:spid="_x0000_s1030" style="position:absolute;top:9601;width:16459;height:128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" fillcolor="#bf504d" strokecolor="white [3201]" strokeweight="2pt">
                    <v:stroke startarrowwidth="narrow" startarrowlength="short" endarrowwidth="narrow" endarrowlength="short"/>
                    <v:textbox inset="2.53958mm,2.53958mm,2.53958mm,2.53958mm">
                      <w:txbxContent>
                        <w:p w14:paraId="47865DB5" w14:textId="77777777" w:rsidR="00CB0D88" w:rsidRDefault="00CB0D88">
                          <w:pPr>
                            <w:spacing w:line="240" w:lineRule="auto"/>
                            <w:jc w:val="left"/>
                            <w:textDirection w:val="btLr"/>
                          </w:pPr>
                        </w:p>
                      </w:txbxContent>
                    </v:textbox>
                  </v:roundrect>
                  <v:shapetype id="_x0000_t202" coordsize="21600,21600" o:spt="202" path="m,l,21600r21600,l21600,xe">
                    <v:stroke joinstyle="miter"/>
                    <v:path gradientshapeok="t" o:connecttype="rect"/>
                  </v:shapetype>
                  <v:shape id="Text Box 5" o:spid="_x0000_s1031" type="#_x0000_t202" style="position:absolute;left:624;top:10226;width:15210;height:11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" filled="f" stroked="f">
                    <v:textbox inset="1.2694mm,1.2694mm,1.2694mm,1.2694mm">
                      <w:txbxContent>
                        <w:p w14:paraId="247C81C4" w14:textId="77777777" w:rsidR="00CB0D88" w:rsidRDefault="006E6EA5">
                          <w:pPr>
                            <w:spacing w:line="215" w:lineRule="auto"/>
                            <w:jc w:val="center"/>
                            <w:textDirection w:val="btLr"/>
                          </w:pPr>
                          <w:r>
                            <w:rPr>
                              <w:rFonts w:ascii="Arial" w:eastAsia="Arial" w:hAnsi="Arial" w:cs="Arial"/>
                              <w:color w:val="000000"/>
                            </w:rPr>
                            <w:t xml:space="preserve">Energy security contributions </w:t>
                          </w:r>
                        </w:p>
                      </w:txbxContent>
                    </v:textbox>
                  </v:shape>
                  <v:roundrect id="Rectangle: Rounded Corners 6" o:spid="_x0000_s1032" style="position:absolute;left:19202;top:9601;width:16459;height:128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" fillcolor="#9bbb59 [3206]" strokecolor="white [3201]" strokeweight="2pt">
                    <v:stroke startarrowwidth="narrow" startarrowlength="short" endarrowwidth="narrow" endarrowlength="short"/>
                    <v:textbox inset="2.53958mm,2.53958mm,2.53958mm,2.53958mm">
                      <w:txbxContent>
                        <w:p w14:paraId="0A10C141" w14:textId="77777777" w:rsidR="00CB0D88" w:rsidRDefault="00CB0D88">
                          <w:pPr>
                            <w:spacing w:line="240" w:lineRule="auto"/>
                            <w:jc w:val="left"/>
                            <w:textDirection w:val="btLr"/>
                          </w:pPr>
                        </w:p>
                      </w:txbxContent>
                    </v:textbox>
                  </v:roundrect>
                  <v:shape id="Text Box 7" o:spid="_x0000_s1033" type="#_x0000_t202" style="position:absolute;left:19827;top:10226;width:15209;height:11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" filled="f" stroked="f">
                    <v:textbox inset="1.2694mm,1.2694mm,1.2694mm,1.2694mm">
                      <w:txbxContent>
                        <w:p w14:paraId="0CB8AD7C" w14:textId="77777777" w:rsidR="00CB0D88" w:rsidRDefault="006E6EA5">
                          <w:pPr>
                            <w:spacing w:line="215" w:lineRule="auto"/>
                            <w:jc w:val="center"/>
                            <w:textDirection w:val="btLr"/>
                          </w:pPr>
                          <w:r>
                            <w:rPr>
                              <w:rFonts w:ascii="Arial" w:eastAsia="Arial" w:hAnsi="Arial" w:cs="Arial"/>
                              <w:color w:val="000000"/>
                            </w:rPr>
                            <w:t>Empowering the local</w:t>
                          </w:r>
                        </w:p>
                      </w:txbxContent>
                    </v:textbox>
                  </v:shape>
                  <v:roundrect id="Rectangle: Rounded Corners 8" o:spid="_x0000_s1034" style="position:absolute;left:38404;top:9601;width:16460;height:128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" fillcolor="#8064a2 [3207]" strokecolor="white [3201]" strokeweight="2pt">
                    <v:stroke startarrowwidth="narrow" startarrowlength="short" endarrowwidth="narrow" endarrowlength="short"/>
                    <v:textbox inset="2.53958mm,2.53958mm,2.53958mm,2.53958mm">
                      <w:txbxContent>
                        <w:p w14:paraId="052B5DB9" w14:textId="77777777" w:rsidR="00CB0D88" w:rsidRDefault="00CB0D88">
                          <w:pPr>
                            <w:spacing w:line="240" w:lineRule="auto"/>
                            <w:jc w:val="left"/>
                            <w:textDirection w:val="btLr"/>
                          </w:pPr>
                        </w:p>
                      </w:txbxContent>
                    </v:textbox>
                  </v:roundrect>
                  <v:shape id="Text Box 9" o:spid="_x0000_s1035" type="#_x0000_t202" style="position:absolute;left:39029;top:10226;width:15210;height:11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" filled="f" stroked="f">
                    <v:textbox inset="1.2694mm,1.2694mm,1.2694mm,1.2694mm">
                      <w:txbxContent>
                        <w:p w14:paraId="6D03BE38" w14:textId="77777777" w:rsidR="00CB0D88" w:rsidRDefault="006E6EA5">
                          <w:pPr>
                            <w:spacing w:line="215" w:lineRule="auto"/>
                            <w:jc w:val="center"/>
                            <w:textDirection w:val="btLr"/>
                          </w:pPr>
                          <w:r>
                            <w:rPr>
                              <w:rFonts w:ascii="Arial" w:eastAsia="Arial" w:hAnsi="Arial" w:cs="Arial"/>
                              <w:color w:val="000000"/>
                            </w:rPr>
                            <w:t>Ensuring legitimacy and commitment among employees</w:t>
                          </w:r>
                        </w:p>
                      </w:txbxContent>
                    </v:textbox>
                  </v:shape>
                </v:group>
                <w10:anchorlock/>
              </v:group>
            </w:pict>
          </mc:Fallback>
        </mc:AlternateContent>
      </w:r>
    </w:p>
    <w:p w14:paraId="3A7DE301" w14:textId="77777777" w:rsidR="00CB0D88" w:rsidRPr="00E2682F" w:rsidRDefault="006E6EA5">
      <w:pPr>
        <w:ind w:right="280"/>
        <w:jc w:val="center"/>
        <w:rPr>
          <w:rFonts w:ascii="Arial" w:eastAsia="Arial" w:hAnsi="Arial" w:cs="Arial"/>
          <w:b/>
          <w:bCs/>
        </w:rPr>
      </w:pPr>
      <w:r w:rsidRPr="00E2682F">
        <w:rPr>
          <w:rFonts w:ascii="Arial" w:eastAsia="Arial" w:hAnsi="Arial" w:cs="Arial"/>
          <w:b/>
          <w:bCs/>
        </w:rPr>
        <w:t>Figure 10: Community orientation process</w:t>
      </w:r>
    </w:p>
    <w:p w14:paraId="0A7A746F" w14:textId="77777777" w:rsidR="00CB0D88" w:rsidRDefault="006E6EA5">
      <w:pPr>
        <w:ind w:right="280"/>
        <w:jc w:val="center"/>
        <w:rPr>
          <w:rFonts w:ascii="Arial" w:eastAsia="Arial" w:hAnsi="Arial" w:cs="Arial"/>
        </w:rPr>
      </w:pPr>
      <w:r w:rsidRPr="00E2682F">
        <w:rPr>
          <w:rFonts w:ascii="Arial" w:eastAsia="Arial" w:hAnsi="Arial" w:cs="Arial"/>
        </w:rPr>
        <w:t>(Source: As influenced by Cheruiyot-Koech and Reddy, 2022)</w:t>
      </w:r>
    </w:p>
    <w:p w14:paraId="004251D4" w14:textId="5FE1316E" w:rsidR="002D1298" w:rsidRPr="00E2682F" w:rsidRDefault="002D1298" w:rsidP="002D1298">
      <w:pPr>
        <w:pStyle w:val="Heading2"/>
      </w:pPr>
      <w:bookmarkStart w:id="15" w:name="_Toc214367808"/>
      <w:r>
        <w:t>c</w:t>
      </w:r>
      <w:r w:rsidRPr="00E2682F">
        <w:t>. Cultural factors between UK and South Africa chosen as emerging economic country for BP</w:t>
      </w:r>
      <w:bookmarkEnd w:id="15"/>
    </w:p>
    <w:p w14:paraId="0B49DF6D" w14:textId="77777777" w:rsidR="002D1298" w:rsidRPr="00E2682F" w:rsidRDefault="002D1298" w:rsidP="002D1298">
      <w:pPr>
        <w:pBdr>
          <w:top w:val="nil"/>
          <w:left w:val="nil"/>
          <w:bottom w:val="nil"/>
          <w:right w:val="nil"/>
          <w:between w:val="nil"/>
        </w:pBdr>
        <w:rPr>
          <w:rFonts w:ascii="Arial" w:eastAsia="Arial" w:hAnsi="Arial" w:cs="Arial"/>
        </w:rPr>
      </w:pPr>
      <w:r w:rsidRPr="00E2682F">
        <w:rPr>
          <w:rFonts w:ascii="Arial" w:eastAsia="Arial" w:hAnsi="Arial" w:cs="Arial"/>
          <w:b/>
          <w:bCs/>
          <w:i/>
          <w:iCs/>
        </w:rPr>
        <w:t>Communication and negotiation-</w:t>
      </w:r>
      <w:r w:rsidRPr="00E2682F">
        <w:rPr>
          <w:rFonts w:ascii="Arial" w:eastAsia="Arial" w:hAnsi="Arial" w:cs="Arial"/>
        </w:rPr>
        <w:t xml:space="preserve"> Communication and negotiation are the key cultural factors that need to be addressed and emphasized by BP for enhancing its expansion in South Africa as a key emerging market. Liu </w:t>
      </w:r>
      <w:r w:rsidRPr="00E2682F">
        <w:rPr>
          <w:rFonts w:ascii="Arial" w:eastAsia="Arial" w:hAnsi="Arial" w:cs="Arial"/>
          <w:i/>
          <w:iCs/>
        </w:rPr>
        <w:t xml:space="preserve">et al. </w:t>
      </w:r>
      <w:r w:rsidRPr="00E2682F">
        <w:rPr>
          <w:rFonts w:ascii="Arial" w:eastAsia="Arial" w:hAnsi="Arial" w:cs="Arial"/>
        </w:rPr>
        <w:t xml:space="preserve">(2021) have outlined that the British business sector is one of the leading companies with a high rating for individualism with influence from religious reformation and the industrial revolution. This outline that focuses on individual outcome and benefits is crucial and supported in the UK business sector and is also emphasized by BP. On the other hand, </w:t>
      </w:r>
      <w:proofErr w:type="spellStart"/>
      <w:r w:rsidRPr="00E2682F">
        <w:rPr>
          <w:rFonts w:ascii="Arial" w:eastAsia="Arial" w:hAnsi="Arial" w:cs="Arial"/>
        </w:rPr>
        <w:t>Zici</w:t>
      </w:r>
      <w:proofErr w:type="spellEnd"/>
      <w:r w:rsidRPr="00E2682F">
        <w:rPr>
          <w:rFonts w:ascii="Arial" w:eastAsia="Arial" w:hAnsi="Arial" w:cs="Arial"/>
        </w:rPr>
        <w:t xml:space="preserve"> </w:t>
      </w:r>
      <w:r w:rsidRPr="00E2682F">
        <w:rPr>
          <w:rFonts w:ascii="Arial" w:eastAsia="Arial" w:hAnsi="Arial" w:cs="Arial"/>
          <w:i/>
          <w:iCs/>
        </w:rPr>
        <w:t>et al.</w:t>
      </w:r>
      <w:r w:rsidRPr="00E2682F">
        <w:rPr>
          <w:rFonts w:ascii="Arial" w:eastAsia="Arial" w:hAnsi="Arial" w:cs="Arial"/>
        </w:rPr>
        <w:t xml:space="preserve"> (2021) have discussed South African emphasis more on </w:t>
      </w:r>
      <w:proofErr w:type="spellStart"/>
      <w:r w:rsidRPr="00E2682F">
        <w:rPr>
          <w:rFonts w:ascii="Arial" w:eastAsia="Arial" w:hAnsi="Arial" w:cs="Arial"/>
        </w:rPr>
        <w:t>collectivity</w:t>
      </w:r>
      <w:proofErr w:type="spellEnd"/>
      <w:r w:rsidRPr="00E2682F">
        <w:rPr>
          <w:rFonts w:ascii="Arial" w:eastAsia="Arial" w:hAnsi="Arial" w:cs="Arial"/>
        </w:rPr>
        <w:t xml:space="preserve"> by facilitating interdependence on the cultural belief for guiding behaviour. The comparison between the UK and South Africa outlined that BP needs to focus on improving its business options for the benefits of wider communities for increased market presence. </w:t>
      </w:r>
    </w:p>
    <w:p w14:paraId="05D2BA50" w14:textId="0C02500A" w:rsidR="002D1298" w:rsidRPr="00E2682F" w:rsidRDefault="002D1298" w:rsidP="002D1298">
      <w:pPr>
        <w:pBdr>
          <w:top w:val="nil"/>
          <w:left w:val="nil"/>
          <w:bottom w:val="nil"/>
          <w:right w:val="nil"/>
          <w:between w:val="nil"/>
        </w:pBdr>
        <w:rPr>
          <w:rFonts w:ascii="Arial" w:eastAsia="Arial" w:hAnsi="Arial" w:cs="Arial"/>
        </w:rPr>
      </w:pPr>
      <w:r w:rsidRPr="00E2682F">
        <w:rPr>
          <w:rFonts w:ascii="Arial" w:eastAsia="Arial" w:hAnsi="Arial" w:cs="Arial"/>
          <w:b/>
          <w:bCs/>
          <w:i/>
          <w:iCs/>
        </w:rPr>
        <w:t>Hierarchy and Authority-</w:t>
      </w:r>
      <w:r w:rsidRPr="00E2682F">
        <w:rPr>
          <w:rFonts w:ascii="Arial" w:eastAsia="Arial" w:hAnsi="Arial" w:cs="Arial"/>
        </w:rPr>
        <w:t xml:space="preserve"> </w:t>
      </w:r>
      <w:proofErr w:type="spellStart"/>
      <w:r w:rsidRPr="00E2682F">
        <w:rPr>
          <w:rFonts w:ascii="Arial" w:eastAsia="Arial" w:hAnsi="Arial" w:cs="Arial"/>
        </w:rPr>
        <w:t>Gasela</w:t>
      </w:r>
      <w:proofErr w:type="spellEnd"/>
      <w:r w:rsidRPr="00E2682F">
        <w:rPr>
          <w:rFonts w:ascii="Arial" w:eastAsia="Arial" w:hAnsi="Arial" w:cs="Arial"/>
        </w:rPr>
        <w:t xml:space="preserve"> (2022) have outlined that South African culture and organizational processes are significantly influenced by traditional hierarchical and the blend of collaborative approach for managing the workplace. On the other hand, UK organizational culture focuses on a collaborative and engaging workplace environment </w:t>
      </w:r>
      <w:r w:rsidRPr="00E2682F">
        <w:rPr>
          <w:rFonts w:ascii="Arial" w:eastAsia="Arial" w:hAnsi="Arial" w:cs="Arial"/>
        </w:rPr>
        <w:lastRenderedPageBreak/>
        <w:t>for creative engagement and innovation leading to enhanced organizational performance. Kumar</w:t>
      </w:r>
      <w:r w:rsidRPr="00E2682F">
        <w:rPr>
          <w:rFonts w:ascii="Arial" w:eastAsia="Arial" w:hAnsi="Arial" w:cs="Arial"/>
          <w:i/>
          <w:iCs/>
        </w:rPr>
        <w:t xml:space="preserve"> et al.</w:t>
      </w:r>
      <w:r w:rsidRPr="00E2682F">
        <w:rPr>
          <w:rFonts w:ascii="Arial" w:eastAsia="Arial" w:hAnsi="Arial" w:cs="Arial"/>
        </w:rPr>
        <w:t xml:space="preserve"> (2021) have outlined that UK organizational culture is influenced by Collaboration, representing resource sharing, directly influencing sustainability and business growth. Aligning the organizational culture of BP in South Africa through moving from the UK requires BP to prioritize local relevance and community engagement. </w:t>
      </w:r>
    </w:p>
    <w:p w14:paraId="16D17C5A" w14:textId="77777777" w:rsidR="00CB0D88" w:rsidRPr="00E2682F" w:rsidRDefault="006E6EA5">
      <w:pPr>
        <w:pStyle w:val="Heading1"/>
      </w:pPr>
      <w:bookmarkStart w:id="16" w:name="_Toc214367809"/>
      <w:r w:rsidRPr="00E2682F">
        <w:t>5. Critically evaluate and propose three SOP adjustments essential for company success in emerging economies under OLI</w:t>
      </w:r>
      <w:bookmarkEnd w:id="16"/>
    </w:p>
    <w:p w14:paraId="7D9C3ABE" w14:textId="77777777" w:rsidR="00CB0D88" w:rsidRPr="00E2682F" w:rsidRDefault="006E6EA5">
      <w:pPr>
        <w:pStyle w:val="Heading2"/>
      </w:pPr>
      <w:bookmarkStart w:id="17" w:name="_Toc214367810"/>
      <w:r w:rsidRPr="00E2682F">
        <w:t>a. Recommendation 1: SOP for Regulatory &amp; Institutional Flexibility</w:t>
      </w:r>
      <w:bookmarkEnd w:id="17"/>
    </w:p>
    <w:p w14:paraId="6D86981C" w14:textId="77777777" w:rsidR="00CB0D88" w:rsidRPr="00E2682F" w:rsidRDefault="006E6EA5">
      <w:pPr>
        <w:ind w:right="280"/>
        <w:rPr>
          <w:rFonts w:ascii="Arial" w:eastAsia="Arial" w:hAnsi="Arial" w:cs="Arial"/>
        </w:rPr>
      </w:pPr>
      <w:r w:rsidRPr="00E2682F">
        <w:rPr>
          <w:rFonts w:ascii="Arial" w:eastAsia="Arial" w:hAnsi="Arial" w:cs="Arial"/>
        </w:rPr>
        <w:t>The BP presently has organised SOPs that focus on high standards of safety, compliance, and governance, but to succeed in China and South Africa in the future, the company will have to pay extra attention to the flexibility in regulations and institutions. The company will also ensure a complete regulatory risk evaluation protocol that will be inculcated in every market entry and operational decision. The SOP will also have regular scenario planning, which will be carried out every six months, to foresee the changes in the energy policies, taxation, and environmental standards. In China, the government committed to being carbon-neutral by 2060 and requiring non-fossil sources to exceed 20% of the total energy mix by 2025 (Zhao, 2022), the energy regulatory landscape is supposed to change rapidly and requires close observation and adaptation. The desire to have proactive compliance frameworks is reflected in South Africa by the government initiative of the Just Transition Strategy to decarbonise by 2050 (</w:t>
      </w:r>
      <w:proofErr w:type="spellStart"/>
      <w:r w:rsidRPr="00E2682F">
        <w:rPr>
          <w:rFonts w:ascii="Arial" w:eastAsia="Arial" w:hAnsi="Arial" w:cs="Arial"/>
        </w:rPr>
        <w:t>NqobileXaba</w:t>
      </w:r>
      <w:proofErr w:type="spellEnd"/>
      <w:r w:rsidRPr="00E2682F">
        <w:rPr>
          <w:rFonts w:ascii="Arial" w:eastAsia="Arial" w:hAnsi="Arial" w:cs="Arial"/>
        </w:rPr>
        <w:t xml:space="preserve">, 2025). Solve these situations, and BP will officially establish a local compliance office in the two countries with regulatory experts and legal advisors who would be able to meet with policymakers and make sure that there is ongoing compliance with the changing laws. This decentralised compliance centre will enable faster reaction to policy changes without affecting the wholesomeness of the global standards of BP. BP will incorporate escalation mechanisms in its SOPs, and the top management must review them when risks to the regulations are detected to hit the set predetermined limits. The adjustment will not only improve the quality of BP in handling institutional uncertainty, but it will also improve its internalisation advantage on the OLI framework since it will be more </w:t>
      </w:r>
      <w:r w:rsidRPr="00E2682F">
        <w:rPr>
          <w:rFonts w:ascii="Arial" w:eastAsia="Arial" w:hAnsi="Arial" w:cs="Arial"/>
        </w:rPr>
        <w:lastRenderedPageBreak/>
        <w:t>capable of controlling the strategic response. BP will ensure sustainability in operations as it prepares to expand into the new markets in the long term.</w:t>
      </w:r>
    </w:p>
    <w:p w14:paraId="5F866B92" w14:textId="77777777" w:rsidR="00CB0D88" w:rsidRPr="00E2682F" w:rsidRDefault="006E6EA5">
      <w:pPr>
        <w:pStyle w:val="Heading2"/>
      </w:pPr>
      <w:bookmarkStart w:id="18" w:name="_Toc214367811"/>
      <w:r w:rsidRPr="00E2682F">
        <w:t>b. Recommendation 2: SOP for Local Partnerships &amp; Stakeholder Engagement</w:t>
      </w:r>
      <w:bookmarkEnd w:id="18"/>
    </w:p>
    <w:p w14:paraId="42D9B48D" w14:textId="77777777" w:rsidR="00CB0D88" w:rsidRPr="00E2682F" w:rsidRDefault="006E6EA5">
      <w:pPr>
        <w:ind w:right="280"/>
        <w:rPr>
          <w:rFonts w:ascii="Arial" w:eastAsia="Arial" w:hAnsi="Arial" w:cs="Arial"/>
        </w:rPr>
      </w:pPr>
      <w:r w:rsidRPr="00E2682F">
        <w:rPr>
          <w:rFonts w:ascii="Arial" w:eastAsia="Arial" w:hAnsi="Arial" w:cs="Arial"/>
        </w:rPr>
        <w:t>In entering into operations in China and South Africa, BP will need to modify its Standard Operating Procedures by incorporating a clear and systematic approach to the local partnerships and stakeholder involvement. In future operations, BP will conduct normative stakeholder mapping exercises to determine the key factors, such as government agencies, regulatory bodies, local communities, and institutional stakeholders, before the development of the project. The engagement frameworks will be required to be prepared by Ops at the beginning of each project, indicating the consultation, negotiation, and partnership-building mechanisms. In some of its markets, like South Africa, BP will establish compliance with Broad-Based Black Economic Empowerment (B-BBEE) provisions directly into operational policies, and supplier development and local employment are enshrined in all investment decisions (Business Insurance, 2024). China will focus on the significance of creating long-term cooperative projects with state-owned enterprises and local companies. China will make it easier to enter closed energy markets and have a legitimate position in a policy-oriented environment (Most.gov.cn, 2020). The company will insist that all the projects should incorporate community benefit plans to build trust, such as local hiring programmes, training initiatives, and visible CSR activities based on the national and regional priorities. The institutionalisation will enhance the ownership advantages by lowering transaction costs associated with stable partnerships and location advantages by aligning with local social-political systems. The strategy will enable BP to reduce institutional and social obstacles, besides enhancing competitiveness in the long term in both developing economies.</w:t>
      </w:r>
    </w:p>
    <w:p w14:paraId="34F0705F" w14:textId="77777777" w:rsidR="00CB0D88" w:rsidRPr="00E2682F" w:rsidRDefault="006E6EA5">
      <w:pPr>
        <w:pStyle w:val="Heading2"/>
      </w:pPr>
      <w:bookmarkStart w:id="19" w:name="_Toc214367812"/>
      <w:r w:rsidRPr="00E2682F">
        <w:t>c. Recommendation 3: SOP for Renewable Energy &amp; Technology Innovation Integration</w:t>
      </w:r>
      <w:bookmarkEnd w:id="19"/>
    </w:p>
    <w:p w14:paraId="0713BC9D" w14:textId="77777777" w:rsidR="00CB0D88" w:rsidRPr="00E2682F" w:rsidRDefault="006E6EA5">
      <w:pPr>
        <w:ind w:right="280"/>
        <w:rPr>
          <w:rFonts w:ascii="Arial" w:eastAsia="Arial" w:hAnsi="Arial" w:cs="Arial"/>
        </w:rPr>
      </w:pPr>
      <w:r w:rsidRPr="00E2682F">
        <w:rPr>
          <w:rFonts w:ascii="Arial" w:eastAsia="Arial" w:hAnsi="Arial" w:cs="Arial"/>
        </w:rPr>
        <w:t xml:space="preserve"> BP will update its Standard Operating Procedures (SOPs) by incorporating renewable energy and technological innovation as the main pillar of project design and implementation in China and South Africa. All new projects shall undergo feasibility studies where the economic, environmental, and regulatory viability of renewable </w:t>
      </w:r>
      <w:r w:rsidRPr="00E2682F">
        <w:rPr>
          <w:rFonts w:ascii="Arial" w:eastAsia="Arial" w:hAnsi="Arial" w:cs="Arial"/>
        </w:rPr>
        <w:lastRenderedPageBreak/>
        <w:t>projects are compared to the conventional fossil fuel ventures to ensure that the company is in line with national priorities regarding energy transition. BP will incorporate solar and hybrid energy storage methods in its SOPs to stabilize the grid and meet increased energy needs in South Africa. South Africa's solar photovoltaic capacity is expected to grow dramatically during the next 30 years, with more than 8,400 MW of proposed solar capacity (</w:t>
      </w:r>
      <w:proofErr w:type="spellStart"/>
      <w:r w:rsidRPr="00E2682F">
        <w:rPr>
          <w:rFonts w:ascii="Arial" w:eastAsia="Arial" w:hAnsi="Arial" w:cs="Arial"/>
        </w:rPr>
        <w:t>Techsci</w:t>
      </w:r>
      <w:proofErr w:type="spellEnd"/>
      <w:r w:rsidRPr="00E2682F">
        <w:rPr>
          <w:rFonts w:ascii="Arial" w:eastAsia="Arial" w:hAnsi="Arial" w:cs="Arial"/>
        </w:rPr>
        <w:t xml:space="preserve"> Research, 2024). BP will create SOPs that will unite the smart grid solutions and flexibility mechanism in China, which is also fast approaching the goal of renewable generation shares of power. </w:t>
      </w:r>
    </w:p>
    <w:p w14:paraId="1B378D2F" w14:textId="77777777" w:rsidR="00CB0D88" w:rsidRPr="00E2682F" w:rsidRDefault="006E6EA5">
      <w:pPr>
        <w:ind w:right="280"/>
        <w:rPr>
          <w:rFonts w:ascii="Arial" w:eastAsia="Arial" w:hAnsi="Arial" w:cs="Arial"/>
        </w:rPr>
      </w:pPr>
      <w:r w:rsidRPr="00E2682F">
        <w:rPr>
          <w:rFonts w:ascii="Arial" w:eastAsia="Arial" w:hAnsi="Arial" w:cs="Arial"/>
        </w:rPr>
        <w:t xml:space="preserve">China is committed to reaching its carbon neutrality by 2060 and meeting the challenges of the intermittency of renewable power and ensuring long-term competitiveness (Hepburn </w:t>
      </w:r>
      <w:r w:rsidRPr="00E2682F">
        <w:rPr>
          <w:rFonts w:ascii="Arial" w:eastAsia="Arial" w:hAnsi="Arial" w:cs="Arial"/>
          <w:i/>
          <w:iCs/>
        </w:rPr>
        <w:t xml:space="preserve">et al. </w:t>
      </w:r>
      <w:r w:rsidRPr="00E2682F">
        <w:rPr>
          <w:rFonts w:ascii="Arial" w:eastAsia="Arial" w:hAnsi="Arial" w:cs="Arial"/>
        </w:rPr>
        <w:t>2021). Institutionalisation of research and development partnerships with local universities and clean technology companies in SOPs will facilitate technology transfer, innovation, and up-skilling the local workforce. Integrating renewable in the operational processes, BP will enhance its location benefits in the emerging economies with significant renewable resources and internalise technological resources that lower transaction costs and reliance on external providers. The strategic SOP change will enable BP to future-proof its operations, become a leader in the low-carbon energy markets, and guarantee long-term growth that will be consistent with the global sustainability agenda and national energy strategies.</w:t>
      </w:r>
    </w:p>
    <w:p w14:paraId="5792B490" w14:textId="77777777" w:rsidR="00CB0D88" w:rsidRPr="00E2682F" w:rsidRDefault="006E6EA5">
      <w:pPr>
        <w:pStyle w:val="Heading1"/>
      </w:pPr>
      <w:bookmarkStart w:id="20" w:name="_Toc214367813"/>
      <w:r w:rsidRPr="00E2682F">
        <w:t>6. Conclusion to the report</w:t>
      </w:r>
      <w:bookmarkEnd w:id="20"/>
    </w:p>
    <w:p w14:paraId="3225D2D4"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 xml:space="preserve">It can be concluded that global operations of BP assist in enhancing operational efficiency and accessibility to sustainable resources for improving its business accountability and contribution. It has been identified that BP has global operations and has enhanced its processes in emerging nations such as South Africa, China, and Canada along with its home country UK. The comparison of BP’s global operations in China, Africa, Canada and the UK has been discussed for comprehending BP’s performance and internationalization. BP has navigated its global options through the international market entry strategy and mode for enhancing operational efficiency. The findings of the report reflected that BP is approaching market penetration through strategic alliance and </w:t>
      </w:r>
      <w:r w:rsidRPr="00E2682F">
        <w:rPr>
          <w:rFonts w:ascii="Arial" w:eastAsia="Arial" w:hAnsi="Arial" w:cs="Arial"/>
        </w:rPr>
        <w:lastRenderedPageBreak/>
        <w:t xml:space="preserve">partnership as key entry modes, dominantly being used by BP for expanding its global operations. </w:t>
      </w:r>
    </w:p>
    <w:p w14:paraId="7015D2AC" w14:textId="77777777" w:rsidR="00CB0D88" w:rsidRPr="00E2682F" w:rsidRDefault="006E6EA5">
      <w:pPr>
        <w:pBdr>
          <w:top w:val="nil"/>
          <w:left w:val="nil"/>
          <w:bottom w:val="nil"/>
          <w:right w:val="nil"/>
          <w:between w:val="nil"/>
        </w:pBdr>
        <w:rPr>
          <w:rFonts w:ascii="Arial" w:eastAsia="Arial" w:hAnsi="Arial" w:cs="Arial"/>
        </w:rPr>
      </w:pPr>
      <w:r w:rsidRPr="00E2682F">
        <w:rPr>
          <w:rFonts w:ascii="Arial" w:eastAsia="Arial" w:hAnsi="Arial" w:cs="Arial"/>
        </w:rPr>
        <w:t xml:space="preserve">The OLI Framework has also been integrated in the study for understanding the strategic decision that can be effective for BP to enhance its investment opportunities. Cultural difference is also a major business aspect for companies such as BP that needs to be focused on to enhance BP’s successful expansion to the global business environment. The cultural difference between emerging countries such as South Africa and China is discussed for understanding the cultural difference. Lastly, recommendations of major adjustment are provided to BP with consideration to its Standard Operating Procedures for successful business internationalization. </w:t>
      </w:r>
    </w:p>
    <w:p w14:paraId="10401184" w14:textId="77777777" w:rsidR="00CB0D88" w:rsidRPr="00E2682F" w:rsidRDefault="006E6EA5">
      <w:pPr>
        <w:pBdr>
          <w:top w:val="nil"/>
          <w:left w:val="nil"/>
          <w:bottom w:val="nil"/>
          <w:right w:val="nil"/>
          <w:between w:val="nil"/>
        </w:pBdr>
        <w:rPr>
          <w:rFonts w:ascii="Arial" w:eastAsia="Arial" w:hAnsi="Arial" w:cs="Arial"/>
        </w:rPr>
      </w:pPr>
      <w:r w:rsidRPr="00E2682F">
        <w:br w:type="page"/>
      </w:r>
    </w:p>
    <w:p w14:paraId="04ECA057" w14:textId="77777777" w:rsidR="00CB0D88" w:rsidRPr="00E2682F" w:rsidRDefault="006E6EA5">
      <w:pPr>
        <w:pStyle w:val="Heading1"/>
      </w:pPr>
      <w:bookmarkStart w:id="21" w:name="_Toc214367814"/>
      <w:r w:rsidRPr="00E2682F">
        <w:lastRenderedPageBreak/>
        <w:t>References</w:t>
      </w:r>
      <w:bookmarkEnd w:id="21"/>
    </w:p>
    <w:p w14:paraId="4603F6F1"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Adam Vaughan (2022). </w:t>
      </w:r>
      <w:r w:rsidRPr="006E6EA5">
        <w:rPr>
          <w:rFonts w:ascii="Arial" w:eastAsia="Arial" w:hAnsi="Arial" w:cs="Arial"/>
          <w:i/>
          <w:iCs/>
        </w:rPr>
        <w:t>Deepwater Horizon oil spill did no harm to BP’s long-term share value</w:t>
      </w:r>
      <w:r w:rsidRPr="006E6EA5">
        <w:rPr>
          <w:rFonts w:ascii="Arial" w:eastAsia="Arial" w:hAnsi="Arial" w:cs="Arial"/>
        </w:rPr>
        <w:t xml:space="preserve">. Available at: </w:t>
      </w:r>
      <w:hyperlink r:id="rId17">
        <w:r w:rsidRPr="006E6EA5">
          <w:rPr>
            <w:rFonts w:ascii="Arial" w:eastAsia="Arial" w:hAnsi="Arial" w:cs="Arial"/>
            <w:u w:val="single"/>
          </w:rPr>
          <w:t>https://www.newscientist.com/article/2324039-deepwater-horizon-oil-spill-did-no-harm-to-bps-long-term-share-value/</w:t>
        </w:r>
      </w:hyperlink>
      <w:r w:rsidRPr="006E6EA5">
        <w:rPr>
          <w:rFonts w:ascii="Arial" w:eastAsia="Arial" w:hAnsi="Arial" w:cs="Arial"/>
        </w:rPr>
        <w:t xml:space="preserve"> (Accessed: 19 September 2025).</w:t>
      </w:r>
    </w:p>
    <w:p w14:paraId="2125497A" w14:textId="77777777" w:rsidR="006F66E6" w:rsidRPr="006E6EA5" w:rsidRDefault="006F66E6" w:rsidP="006E6EA5">
      <w:pPr>
        <w:spacing w:after="240" w:line="480" w:lineRule="auto"/>
        <w:rPr>
          <w:rFonts w:ascii="Arial" w:eastAsia="Arial" w:hAnsi="Arial" w:cs="Arial"/>
          <w:color w:val="FF0000"/>
        </w:rPr>
      </w:pPr>
      <w:r w:rsidRPr="006E6EA5">
        <w:rPr>
          <w:rFonts w:ascii="Arial" w:eastAsia="Arial" w:hAnsi="Arial" w:cs="Arial"/>
          <w:color w:val="FF0000"/>
        </w:rPr>
        <w:t xml:space="preserve">Ambrose, J., (2025), </w:t>
      </w:r>
      <w:r w:rsidRPr="006E6EA5">
        <w:rPr>
          <w:rFonts w:ascii="Arial" w:eastAsia="Arial" w:hAnsi="Arial" w:cs="Arial"/>
          <w:i/>
          <w:iCs/>
          <w:color w:val="FF0000"/>
        </w:rPr>
        <w:t>BP suffers investor rebellion at first AGM since climate strategy U-turn,</w:t>
      </w:r>
      <w:r w:rsidRPr="006E6EA5">
        <w:rPr>
          <w:rFonts w:ascii="Arial" w:eastAsia="Arial" w:hAnsi="Arial" w:cs="Arial"/>
          <w:color w:val="FF0000"/>
        </w:rPr>
        <w:t xml:space="preserve"> Available at: </w:t>
      </w:r>
      <w:hyperlink r:id="rId18">
        <w:r w:rsidRPr="006E6EA5">
          <w:rPr>
            <w:rFonts w:ascii="Arial" w:eastAsia="Arial" w:hAnsi="Arial" w:cs="Arial"/>
            <w:color w:val="1155CC"/>
            <w:u w:val="single"/>
          </w:rPr>
          <w:t>https://www.theguardian.com/business/2025/apr/17/bp-braces-for-investor-rebellion-at-first-agm-since-climate-strategy-u-turn</w:t>
        </w:r>
      </w:hyperlink>
      <w:r w:rsidRPr="006E6EA5">
        <w:rPr>
          <w:rFonts w:ascii="Arial" w:eastAsia="Arial" w:hAnsi="Arial" w:cs="Arial"/>
          <w:color w:val="FF0000"/>
        </w:rPr>
        <w:t xml:space="preserve"> (Accessed: 18 November 2025).</w:t>
      </w:r>
    </w:p>
    <w:p w14:paraId="2E80A390"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Ammar, S. and Elsayed, N. (2024). ‘Unfolding </w:t>
      </w:r>
      <w:proofErr w:type="gramStart"/>
      <w:r w:rsidRPr="006E6EA5">
        <w:rPr>
          <w:rFonts w:ascii="Arial" w:eastAsia="Arial" w:hAnsi="Arial" w:cs="Arial"/>
        </w:rPr>
        <w:t>BP’s</w:t>
      </w:r>
      <w:proofErr w:type="gramEnd"/>
      <w:r w:rsidRPr="006E6EA5">
        <w:rPr>
          <w:rFonts w:ascii="Arial" w:eastAsia="Arial" w:hAnsi="Arial" w:cs="Arial"/>
        </w:rPr>
        <w:t xml:space="preserve"> reframe through reform strategies for politically connected governance practice and geopolitical </w:t>
      </w:r>
      <w:proofErr w:type="gramStart"/>
      <w:r w:rsidRPr="006E6EA5">
        <w:rPr>
          <w:rFonts w:ascii="Arial" w:eastAsia="Arial" w:hAnsi="Arial" w:cs="Arial"/>
        </w:rPr>
        <w:t>disruptions’</w:t>
      </w:r>
      <w:proofErr w:type="gramEnd"/>
      <w:r w:rsidRPr="006E6EA5">
        <w:rPr>
          <w:rFonts w:ascii="Arial" w:eastAsia="Arial" w:hAnsi="Arial" w:cs="Arial"/>
        </w:rPr>
        <w:t xml:space="preserve">. pp.1–19. Available at: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://doi.org/10.1111/acfi.13304</w:t>
      </w:r>
      <w:proofErr w:type="gramEnd"/>
      <w:r w:rsidRPr="006E6EA5">
        <w:rPr>
          <w:rFonts w:ascii="Arial" w:eastAsia="Arial" w:hAnsi="Arial" w:cs="Arial"/>
        </w:rPr>
        <w:t>.</w:t>
      </w:r>
    </w:p>
    <w:p w14:paraId="180FA7C7"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AsifRaihan</w:t>
      </w:r>
      <w:proofErr w:type="spellEnd"/>
      <w:r w:rsidRPr="006E6EA5">
        <w:rPr>
          <w:rFonts w:ascii="Arial" w:eastAsia="Arial" w:hAnsi="Arial" w:cs="Arial"/>
        </w:rPr>
        <w:t xml:space="preserve"> and A.B.M. </w:t>
      </w:r>
      <w:proofErr w:type="spellStart"/>
      <w:r w:rsidRPr="006E6EA5">
        <w:rPr>
          <w:rFonts w:ascii="Arial" w:eastAsia="Arial" w:hAnsi="Arial" w:cs="Arial"/>
        </w:rPr>
        <w:t>Mainul</w:t>
      </w:r>
      <w:proofErr w:type="spellEnd"/>
      <w:r w:rsidRPr="006E6EA5">
        <w:rPr>
          <w:rFonts w:ascii="Arial" w:eastAsia="Arial" w:hAnsi="Arial" w:cs="Arial"/>
        </w:rPr>
        <w:t xml:space="preserve"> Bari (2024). ‘Energy-economy-environment nexus in China: The role of renewable energies toward carbon neutrality’. pp.100139–100139. Available at: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://doi.org/10.1016/j.igd.2024.100139</w:t>
      </w:r>
      <w:proofErr w:type="gramEnd"/>
      <w:r w:rsidRPr="006E6EA5">
        <w:rPr>
          <w:rFonts w:ascii="Arial" w:eastAsia="Arial" w:hAnsi="Arial" w:cs="Arial"/>
        </w:rPr>
        <w:t>.</w:t>
      </w:r>
    </w:p>
    <w:p w14:paraId="2BA43651"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Barnard, M. (2025). </w:t>
      </w:r>
      <w:r w:rsidRPr="006E6EA5">
        <w:rPr>
          <w:rFonts w:ascii="Arial" w:eastAsia="Arial" w:hAnsi="Arial" w:cs="Arial"/>
          <w:i/>
          <w:iCs/>
        </w:rPr>
        <w:t>China Installed a Record 217 GW of Solar in 2023 — More Than the Rest of the World Combined</w:t>
      </w:r>
      <w:r w:rsidRPr="006E6EA5">
        <w:rPr>
          <w:rFonts w:ascii="Arial" w:eastAsia="Arial" w:hAnsi="Arial" w:cs="Arial"/>
        </w:rPr>
        <w:t xml:space="preserve">. Available at: </w:t>
      </w:r>
      <w:hyperlink r:id="rId19">
        <w:r w:rsidRPr="006E6EA5">
          <w:rPr>
            <w:rFonts w:ascii="Arial" w:eastAsia="Arial" w:hAnsi="Arial" w:cs="Arial"/>
            <w:u w:val="single"/>
          </w:rPr>
          <w:t>https://medium.com/climate-wins/china-installed-a-record-217-gw-of-solar-in-2023-more-than-the-rest-of-the-world-combined-41018a52c462</w:t>
        </w:r>
      </w:hyperlink>
      <w:r w:rsidRPr="006E6EA5">
        <w:rPr>
          <w:rFonts w:ascii="Arial" w:eastAsia="Arial" w:hAnsi="Arial" w:cs="Arial"/>
        </w:rPr>
        <w:t xml:space="preserve"> (Accessed: 19 September 2025).</w:t>
      </w:r>
    </w:p>
    <w:p w14:paraId="55C47DAB"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color w:val="FF0000"/>
        </w:rPr>
      </w:pPr>
      <w:r w:rsidRPr="006E6EA5">
        <w:rPr>
          <w:rFonts w:ascii="Arial" w:eastAsia="Arial" w:hAnsi="Arial" w:cs="Arial"/>
          <w:color w:val="FF0000"/>
        </w:rPr>
        <w:t xml:space="preserve">Bauer, D., (2024), </w:t>
      </w:r>
      <w:r w:rsidRPr="006E6EA5">
        <w:rPr>
          <w:rFonts w:ascii="Arial" w:eastAsia="Arial" w:hAnsi="Arial" w:cs="Arial"/>
          <w:i/>
          <w:iCs/>
          <w:color w:val="FF0000"/>
        </w:rPr>
        <w:t>In a historic first, BP was hit by legal action alleging that its excessive gas flaring caused death of young Iraqi.</w:t>
      </w:r>
      <w:r w:rsidRPr="006E6EA5">
        <w:rPr>
          <w:rFonts w:ascii="Arial" w:eastAsia="Arial" w:hAnsi="Arial" w:cs="Arial"/>
          <w:color w:val="FF0000"/>
        </w:rPr>
        <w:t xml:space="preserve"> Available at: </w:t>
      </w:r>
      <w:hyperlink r:id="rId20">
        <w:r w:rsidRPr="006E6EA5">
          <w:rPr>
            <w:rFonts w:ascii="Arial" w:eastAsia="Arial" w:hAnsi="Arial" w:cs="Arial"/>
            <w:color w:val="1155CC"/>
            <w:u w:val="single"/>
          </w:rPr>
          <w:t>https://www.hausfeld.com/en-gb/news/bp-hit-by-legal-action-alleging-that-its-excessive-gas-flaring-caused-death-of-young-iraqi</w:t>
        </w:r>
      </w:hyperlink>
      <w:r w:rsidRPr="006E6EA5">
        <w:rPr>
          <w:rFonts w:ascii="Arial" w:eastAsia="Arial" w:hAnsi="Arial" w:cs="Arial"/>
          <w:color w:val="FF0000"/>
        </w:rPr>
        <w:t xml:space="preserve"> (Accessed: 18 November 2025).</w:t>
      </w:r>
    </w:p>
    <w:p w14:paraId="6E15E475"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color w:val="FF0000"/>
        </w:rPr>
      </w:pPr>
      <w:r w:rsidRPr="006E6EA5">
        <w:rPr>
          <w:rFonts w:ascii="Arial" w:eastAsia="Arial" w:hAnsi="Arial" w:cs="Arial"/>
          <w:color w:val="FF0000"/>
        </w:rPr>
        <w:lastRenderedPageBreak/>
        <w:t xml:space="preserve">Bousso, R, (2024). </w:t>
      </w:r>
      <w:r w:rsidRPr="006E6EA5">
        <w:rPr>
          <w:rFonts w:ascii="Arial" w:eastAsia="Arial" w:hAnsi="Arial" w:cs="Arial"/>
          <w:i/>
          <w:iCs/>
          <w:color w:val="FF0000"/>
        </w:rPr>
        <w:t>Exclusive: BP abandons goal to cut oil output, resets strategy,</w:t>
      </w:r>
      <w:r w:rsidRPr="006E6EA5">
        <w:rPr>
          <w:rFonts w:ascii="Arial" w:eastAsia="Arial" w:hAnsi="Arial" w:cs="Arial"/>
          <w:color w:val="FF0000"/>
        </w:rPr>
        <w:t xml:space="preserve"> Available at: </w:t>
      </w:r>
      <w:hyperlink r:id="rId21">
        <w:r w:rsidRPr="006E6EA5">
          <w:rPr>
            <w:rFonts w:ascii="Arial" w:eastAsia="Arial" w:hAnsi="Arial" w:cs="Arial"/>
            <w:color w:val="1155CC"/>
            <w:u w:val="single"/>
          </w:rPr>
          <w:t>https://www.reuters.com/business/energy/bp-drops-oil-output-target-strategy-reset-sources-say-2024-10-07/</w:t>
        </w:r>
      </w:hyperlink>
      <w:r w:rsidRPr="006E6EA5">
        <w:rPr>
          <w:rFonts w:ascii="Arial" w:eastAsia="Arial" w:hAnsi="Arial" w:cs="Arial"/>
        </w:rPr>
        <w:t xml:space="preserve"> </w:t>
      </w:r>
      <w:r w:rsidRPr="006E6EA5">
        <w:rPr>
          <w:rFonts w:ascii="Arial" w:eastAsia="Arial" w:hAnsi="Arial" w:cs="Arial"/>
          <w:color w:val="FF0000"/>
        </w:rPr>
        <w:t>(Accessed: 18 November 2025).</w:t>
      </w:r>
    </w:p>
    <w:p w14:paraId="58EA4674"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(2020). </w:t>
      </w:r>
      <w:r w:rsidRPr="006E6EA5">
        <w:rPr>
          <w:rFonts w:ascii="Arial" w:eastAsia="Arial" w:hAnsi="Arial" w:cs="Arial"/>
          <w:i/>
          <w:iCs/>
        </w:rPr>
        <w:t>BP sets ambition for net zero by 2050, fundamentally changing organisation to deliver | News and insights | Home</w:t>
      </w:r>
      <w:r w:rsidRPr="006E6EA5">
        <w:rPr>
          <w:rFonts w:ascii="Arial" w:eastAsia="Arial" w:hAnsi="Arial" w:cs="Arial"/>
        </w:rPr>
        <w:t>. Available at: https://www.bp.com/en/global/corporate/news-and-insights/press-releases/bernard-looney-announces-new-ambition-for-bp.html (Accessed: 19 September 2025).</w:t>
      </w:r>
    </w:p>
    <w:p w14:paraId="2E9DA3FD"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(2023). </w:t>
      </w:r>
      <w:r w:rsidRPr="006E6EA5">
        <w:rPr>
          <w:rFonts w:ascii="Arial" w:eastAsia="Arial" w:hAnsi="Arial" w:cs="Arial"/>
          <w:i/>
          <w:iCs/>
        </w:rPr>
        <w:t>BP Integrated Energy Company strategy update: Growing investment, growing value, growing distributions | News and insights | Home</w:t>
      </w:r>
      <w:r w:rsidRPr="006E6EA5">
        <w:rPr>
          <w:rFonts w:ascii="Arial" w:eastAsia="Arial" w:hAnsi="Arial" w:cs="Arial"/>
        </w:rPr>
        <w:t xml:space="preserve">. Available at: </w:t>
      </w:r>
      <w:hyperlink r:id="rId22">
        <w:r w:rsidRPr="006E6EA5">
          <w:rPr>
            <w:rFonts w:ascii="Arial" w:eastAsia="Arial" w:hAnsi="Arial" w:cs="Arial"/>
            <w:u w:val="single"/>
          </w:rPr>
          <w:t>https://www.bp.com/en/global/corporate/news-and-insights/press-releases/4q-2022-update-on-strategic-progress.html</w:t>
        </w:r>
      </w:hyperlink>
      <w:r w:rsidRPr="006E6EA5">
        <w:rPr>
          <w:rFonts w:ascii="Arial" w:eastAsia="Arial" w:hAnsi="Arial" w:cs="Arial"/>
        </w:rPr>
        <w:t xml:space="preserve"> (Accessed: 19 September 2025).</w:t>
      </w:r>
    </w:p>
    <w:p w14:paraId="70A8DE33"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(2024). </w:t>
      </w:r>
      <w:r w:rsidRPr="006E6EA5">
        <w:rPr>
          <w:rFonts w:ascii="Arial" w:eastAsia="Arial" w:hAnsi="Arial" w:cs="Arial"/>
          <w:i/>
          <w:iCs/>
        </w:rPr>
        <w:t>Bp Energy Outlook 2024 Edition</w:t>
      </w:r>
      <w:r w:rsidRPr="006E6EA5">
        <w:rPr>
          <w:rFonts w:ascii="Arial" w:eastAsia="Arial" w:hAnsi="Arial" w:cs="Arial"/>
        </w:rPr>
        <w:t xml:space="preserve">. Available at: </w:t>
      </w:r>
      <w:hyperlink r:id="rId23">
        <w:r w:rsidRPr="006E6EA5">
          <w:rPr>
            <w:rFonts w:ascii="Arial" w:eastAsia="Arial" w:hAnsi="Arial" w:cs="Arial"/>
            <w:u w:val="single"/>
          </w:rPr>
          <w:t>https://www.bp.com/content/dam/bp/business-sites/en/global/corporate/pdfs/energy-economics/energy-outlook/bp-energy-outlook-2024.pdf</w:t>
        </w:r>
      </w:hyperlink>
      <w:r w:rsidRPr="006E6EA5">
        <w:rPr>
          <w:rFonts w:ascii="Arial" w:eastAsia="Arial" w:hAnsi="Arial" w:cs="Arial"/>
        </w:rPr>
        <w:t xml:space="preserve"> (Accessed: 19 September 2025).</w:t>
      </w:r>
    </w:p>
    <w:p w14:paraId="19613AB3"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(2024). </w:t>
      </w:r>
      <w:r w:rsidRPr="006E6EA5">
        <w:rPr>
          <w:rFonts w:ascii="Arial" w:eastAsia="Arial" w:hAnsi="Arial" w:cs="Arial"/>
          <w:i/>
          <w:iCs/>
        </w:rPr>
        <w:t>Our responsible tax principles</w:t>
      </w:r>
      <w:r w:rsidRPr="006E6EA5">
        <w:rPr>
          <w:rFonts w:ascii="Arial" w:eastAsia="Arial" w:hAnsi="Arial" w:cs="Arial"/>
        </w:rPr>
        <w:t xml:space="preserve">. Available at: </w:t>
      </w:r>
      <w:hyperlink r:id="rId24">
        <w:r w:rsidRPr="006E6EA5">
          <w:rPr>
            <w:rFonts w:ascii="Arial" w:eastAsia="Arial" w:hAnsi="Arial" w:cs="Arial"/>
            <w:u w:val="single"/>
          </w:rPr>
          <w:t>https://www.bp.com/content/dam/bp/business-sites/en/global/corporate/pdfs/sustainability/group-reports/bp-our-responsible-tax-principles.pdf</w:t>
        </w:r>
      </w:hyperlink>
      <w:r w:rsidRPr="006E6EA5">
        <w:rPr>
          <w:rFonts w:ascii="Arial" w:eastAsia="Arial" w:hAnsi="Arial" w:cs="Arial"/>
        </w:rPr>
        <w:t xml:space="preserve"> (Accessed: 19 September 2025).</w:t>
      </w:r>
    </w:p>
    <w:p w14:paraId="4215955B"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(2024a). </w:t>
      </w:r>
      <w:r w:rsidRPr="006E6EA5">
        <w:rPr>
          <w:rFonts w:ascii="Arial" w:eastAsia="Arial" w:hAnsi="Arial" w:cs="Arial"/>
          <w:i/>
          <w:iCs/>
        </w:rPr>
        <w:t>bp Energy Outlook -2024</w:t>
      </w:r>
      <w:r w:rsidRPr="006E6EA5">
        <w:rPr>
          <w:rFonts w:ascii="Arial" w:eastAsia="Arial" w:hAnsi="Arial" w:cs="Arial"/>
        </w:rPr>
        <w:t xml:space="preserve">. Available at: </w:t>
      </w:r>
      <w:hyperlink r:id="rId25">
        <w:r w:rsidRPr="006E6EA5">
          <w:rPr>
            <w:rFonts w:ascii="Arial" w:eastAsia="Arial" w:hAnsi="Arial" w:cs="Arial"/>
            <w:u w:val="single"/>
          </w:rPr>
          <w:t>https://www.bp.com/content/dam/bp/business-sites/en/global/corporate/pdfs/energy-</w:t>
        </w:r>
        <w:r w:rsidRPr="006E6EA5">
          <w:rPr>
            <w:rFonts w:ascii="Arial" w:eastAsia="Arial" w:hAnsi="Arial" w:cs="Arial"/>
            <w:u w:val="single"/>
          </w:rPr>
          <w:lastRenderedPageBreak/>
          <w:t>economics/energy-outlook/bp-energy-outlook-2024-country-insight-china.pdf</w:t>
        </w:r>
      </w:hyperlink>
      <w:r w:rsidRPr="006E6EA5">
        <w:rPr>
          <w:rFonts w:ascii="Arial" w:eastAsia="Arial" w:hAnsi="Arial" w:cs="Arial"/>
        </w:rPr>
        <w:t xml:space="preserve"> (Accessed: 19 September 2025).</w:t>
      </w:r>
    </w:p>
    <w:p w14:paraId="510FA3F7"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global (2020). </w:t>
      </w:r>
      <w:r w:rsidRPr="006E6EA5">
        <w:rPr>
          <w:rFonts w:ascii="Arial" w:eastAsia="Arial" w:hAnsi="Arial" w:cs="Arial"/>
          <w:i/>
          <w:iCs/>
        </w:rPr>
        <w:t>Rewards and benefits | Careers | Home</w:t>
      </w:r>
      <w:r w:rsidRPr="006E6EA5">
        <w:rPr>
          <w:rFonts w:ascii="Arial" w:eastAsia="Arial" w:hAnsi="Arial" w:cs="Arial"/>
        </w:rPr>
        <w:t xml:space="preserve">. Available at: </w:t>
      </w:r>
      <w:hyperlink r:id="rId26">
        <w:r w:rsidRPr="006E6EA5">
          <w:rPr>
            <w:rFonts w:ascii="Arial" w:eastAsia="Arial" w:hAnsi="Arial" w:cs="Arial"/>
            <w:u w:val="single"/>
          </w:rPr>
          <w:t>https://www.bp.com/en/global/corporate/careers/life-at-bp/rewards-and-benefits.html</w:t>
        </w:r>
      </w:hyperlink>
      <w:r w:rsidRPr="006E6EA5">
        <w:rPr>
          <w:rFonts w:ascii="Arial" w:eastAsia="Arial" w:hAnsi="Arial" w:cs="Arial"/>
        </w:rPr>
        <w:t xml:space="preserve"> (Accessed: 19 September 2025).</w:t>
      </w:r>
    </w:p>
    <w:p w14:paraId="601227C0"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Global (2021). </w:t>
      </w:r>
      <w:r w:rsidRPr="006E6EA5">
        <w:rPr>
          <w:rFonts w:ascii="Arial" w:eastAsia="Arial" w:hAnsi="Arial" w:cs="Arial"/>
          <w:i/>
          <w:iCs/>
        </w:rPr>
        <w:t>From International Oil Company to Integrated Energy Company: bp sets out strategy for decade of delivery towards net zero ambition | News and insights .</w:t>
      </w:r>
      <w:r w:rsidRPr="006E6EA5">
        <w:rPr>
          <w:rFonts w:ascii="Arial" w:eastAsia="Arial" w:hAnsi="Arial" w:cs="Arial"/>
        </w:rPr>
        <w:t xml:space="preserve">Available at: </w:t>
      </w:r>
      <w:hyperlink r:id="rId27">
        <w:r w:rsidRPr="006E6EA5">
          <w:rPr>
            <w:rFonts w:ascii="Arial" w:eastAsia="Arial" w:hAnsi="Arial" w:cs="Arial"/>
            <w:u w:val="single"/>
          </w:rPr>
          <w:t>https://www.bp.com/en/global/corporate/news-and-insights/press-releases/from-international-oil-company-to-integrated-energy-company-bp-sets-out-strategy-for-decade-of-delivery-towards-net-zero-ambition.html</w:t>
        </w:r>
      </w:hyperlink>
      <w:r w:rsidRPr="006E6EA5">
        <w:rPr>
          <w:rFonts w:ascii="Arial" w:eastAsia="Arial" w:hAnsi="Arial" w:cs="Arial"/>
        </w:rPr>
        <w:t xml:space="preserve"> (Accessed: 13 November 2025).</w:t>
      </w:r>
    </w:p>
    <w:p w14:paraId="338BD59B"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global (2022). </w:t>
      </w:r>
      <w:r w:rsidRPr="006E6EA5">
        <w:rPr>
          <w:rFonts w:ascii="Arial" w:eastAsia="Arial" w:hAnsi="Arial" w:cs="Arial"/>
          <w:i/>
          <w:iCs/>
        </w:rPr>
        <w:t>Gas &amp; low carbon energy</w:t>
      </w:r>
      <w:r w:rsidRPr="006E6EA5">
        <w:rPr>
          <w:rFonts w:ascii="Arial" w:eastAsia="Arial" w:hAnsi="Arial" w:cs="Arial"/>
        </w:rPr>
        <w:t xml:space="preserve">. Available at: </w:t>
      </w:r>
      <w:hyperlink r:id="rId28">
        <w:r w:rsidRPr="006E6EA5">
          <w:rPr>
            <w:rFonts w:ascii="Arial" w:eastAsia="Arial" w:hAnsi="Arial" w:cs="Arial"/>
            <w:u w:val="single"/>
          </w:rPr>
          <w:t>https://www.bp.com/en/global/corporate/who-we-are/our-organization/gas-and-low-carbon-energy.html</w:t>
        </w:r>
      </w:hyperlink>
      <w:r w:rsidRPr="006E6EA5">
        <w:rPr>
          <w:rFonts w:ascii="Arial" w:eastAsia="Arial" w:hAnsi="Arial" w:cs="Arial"/>
        </w:rPr>
        <w:t xml:space="preserve"> (Accessed: 13 November 2025).</w:t>
      </w:r>
    </w:p>
    <w:p w14:paraId="168E6185"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global (2023). </w:t>
      </w:r>
      <w:r w:rsidRPr="006E6EA5">
        <w:rPr>
          <w:rFonts w:ascii="Arial" w:eastAsia="Arial" w:hAnsi="Arial" w:cs="Arial"/>
          <w:i/>
          <w:iCs/>
        </w:rPr>
        <w:t xml:space="preserve">Safety | Sustainability </w:t>
      </w:r>
      <w:r w:rsidRPr="006E6EA5">
        <w:rPr>
          <w:rFonts w:ascii="Arial" w:eastAsia="Arial" w:hAnsi="Arial" w:cs="Arial"/>
        </w:rPr>
        <w:t xml:space="preserve">Available at: </w:t>
      </w:r>
      <w:hyperlink r:id="rId29">
        <w:r w:rsidRPr="006E6EA5">
          <w:rPr>
            <w:rFonts w:ascii="Arial" w:eastAsia="Arial" w:hAnsi="Arial" w:cs="Arial"/>
            <w:u w:val="single"/>
          </w:rPr>
          <w:t>https://www.bp.com/en/global/corporate/sustainability/safety.html</w:t>
        </w:r>
      </w:hyperlink>
      <w:r w:rsidRPr="006E6EA5">
        <w:rPr>
          <w:rFonts w:ascii="Arial" w:eastAsia="Arial" w:hAnsi="Arial" w:cs="Arial"/>
        </w:rPr>
        <w:t xml:space="preserve"> (Accessed: 19 September 2025).</w:t>
      </w:r>
    </w:p>
    <w:p w14:paraId="6F3FE65B"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Global (2023). </w:t>
      </w:r>
      <w:r w:rsidRPr="006E6EA5">
        <w:rPr>
          <w:rFonts w:ascii="Arial" w:eastAsia="Arial" w:hAnsi="Arial" w:cs="Arial"/>
          <w:i/>
          <w:iCs/>
        </w:rPr>
        <w:t>Technology</w:t>
      </w:r>
      <w:r w:rsidRPr="006E6EA5">
        <w:rPr>
          <w:rFonts w:ascii="Arial" w:eastAsia="Arial" w:hAnsi="Arial" w:cs="Arial"/>
        </w:rPr>
        <w:t xml:space="preserve">. bp global. Available at: </w:t>
      </w:r>
      <w:hyperlink r:id="rId30">
        <w:r w:rsidRPr="006E6EA5">
          <w:rPr>
            <w:rFonts w:ascii="Arial" w:eastAsia="Arial" w:hAnsi="Arial" w:cs="Arial"/>
            <w:u w:val="single"/>
          </w:rPr>
          <w:t>https://www.bp.com/en/global/corporate/who-we-are/our-organization/technology.html</w:t>
        </w:r>
      </w:hyperlink>
      <w:r w:rsidRPr="006E6EA5">
        <w:rPr>
          <w:rFonts w:ascii="Arial" w:eastAsia="Arial" w:hAnsi="Arial" w:cs="Arial"/>
        </w:rPr>
        <w:t xml:space="preserve"> (Accessed: 19 September 2025).</w:t>
      </w:r>
    </w:p>
    <w:p w14:paraId="0175365C"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lastRenderedPageBreak/>
        <w:t xml:space="preserve">BP global (2025). </w:t>
      </w:r>
      <w:r w:rsidRPr="006E6EA5">
        <w:rPr>
          <w:rFonts w:ascii="Arial" w:eastAsia="Arial" w:hAnsi="Arial" w:cs="Arial"/>
          <w:i/>
          <w:iCs/>
        </w:rPr>
        <w:t xml:space="preserve">Rewards and benefits | Careers | Home. </w:t>
      </w:r>
      <w:r w:rsidRPr="006E6EA5">
        <w:rPr>
          <w:rFonts w:ascii="Arial" w:eastAsia="Arial" w:hAnsi="Arial" w:cs="Arial"/>
        </w:rPr>
        <w:t xml:space="preserve">Available at: </w:t>
      </w:r>
      <w:hyperlink r:id="rId31">
        <w:r w:rsidRPr="006E6EA5">
          <w:rPr>
            <w:rFonts w:ascii="Arial" w:eastAsia="Arial" w:hAnsi="Arial" w:cs="Arial"/>
            <w:u w:val="single"/>
          </w:rPr>
          <w:t>https://www.bp.com/en/global/corporate/careers/life-at-bp/rewards-and-benefits.html</w:t>
        </w:r>
      </w:hyperlink>
      <w:r w:rsidRPr="006E6EA5">
        <w:rPr>
          <w:rFonts w:ascii="Arial" w:eastAsia="Arial" w:hAnsi="Arial" w:cs="Arial"/>
        </w:rPr>
        <w:t xml:space="preserve"> (Accessed: 19 September 2025).</w:t>
      </w:r>
    </w:p>
    <w:p w14:paraId="08B3204C"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BP United States (2024). </w:t>
      </w:r>
      <w:r w:rsidRPr="006E6EA5">
        <w:rPr>
          <w:rFonts w:ascii="Arial" w:eastAsia="Arial" w:hAnsi="Arial" w:cs="Arial"/>
          <w:i/>
          <w:iCs/>
        </w:rPr>
        <w:t>bp unveils transformative consumer experience innovations at BP Amoco Marketers Association Convention</w:t>
      </w:r>
      <w:r w:rsidRPr="006E6EA5">
        <w:rPr>
          <w:rFonts w:ascii="Arial" w:eastAsia="Arial" w:hAnsi="Arial" w:cs="Arial"/>
        </w:rPr>
        <w:t xml:space="preserve">. Available at: </w:t>
      </w:r>
      <w:hyperlink r:id="rId32">
        <w:r w:rsidRPr="006E6EA5">
          <w:rPr>
            <w:rFonts w:ascii="Arial" w:eastAsia="Arial" w:hAnsi="Arial" w:cs="Arial"/>
            <w:u w:val="single"/>
          </w:rPr>
          <w:t>https://www.bp.com/en_us/united-states/home/news/press-releases/bp-unveils-transformative-consumer-experience-innovations-at-bp-amoco-marketers-association-convention.html</w:t>
        </w:r>
      </w:hyperlink>
      <w:r w:rsidRPr="006E6EA5">
        <w:rPr>
          <w:rFonts w:ascii="Arial" w:eastAsia="Arial" w:hAnsi="Arial" w:cs="Arial"/>
        </w:rPr>
        <w:t xml:space="preserve"> (Accessed: 19 September 2025).</w:t>
      </w:r>
    </w:p>
    <w:p w14:paraId="5AEAB1EA"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(2022), </w:t>
      </w:r>
      <w:r w:rsidRPr="006E6EA5">
        <w:rPr>
          <w:rFonts w:ascii="Arial" w:eastAsia="Arial" w:hAnsi="Arial" w:cs="Arial"/>
          <w:i/>
          <w:iCs/>
        </w:rPr>
        <w:t xml:space="preserve">Our impact, </w:t>
      </w:r>
      <w:r w:rsidRPr="006E6EA5">
        <w:rPr>
          <w:rFonts w:ascii="Arial" w:eastAsia="Arial" w:hAnsi="Arial" w:cs="Arial"/>
        </w:rPr>
        <w:t xml:space="preserve">Available at: </w:t>
      </w:r>
      <w:hyperlink r:id="rId33">
        <w:r w:rsidRPr="006E6EA5">
          <w:rPr>
            <w:rFonts w:ascii="Arial" w:eastAsia="Arial" w:hAnsi="Arial" w:cs="Arial"/>
            <w:u w:val="single"/>
          </w:rPr>
          <w:t>https://www.bp.com/content/dam/bp/business-sites/en/global/corporate/pdfs/what-we-do/worldwide/bp-european-economic-impact-report-2023.pdf</w:t>
        </w:r>
      </w:hyperlink>
      <w:r w:rsidRPr="006E6EA5">
        <w:rPr>
          <w:rFonts w:ascii="Arial" w:eastAsia="Arial" w:hAnsi="Arial" w:cs="Arial"/>
        </w:rPr>
        <w:t xml:space="preserve"> (Accessed: 19 September 2025)</w:t>
      </w:r>
    </w:p>
    <w:p w14:paraId="78B84D16"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(2023), </w:t>
      </w:r>
      <w:r w:rsidRPr="006E6EA5">
        <w:rPr>
          <w:rFonts w:ascii="Arial" w:eastAsia="Arial" w:hAnsi="Arial" w:cs="Arial"/>
          <w:i/>
          <w:iCs/>
        </w:rPr>
        <w:t xml:space="preserve">From IOC to IEC, </w:t>
      </w:r>
      <w:r w:rsidRPr="006E6EA5">
        <w:rPr>
          <w:rFonts w:ascii="Arial" w:eastAsia="Arial" w:hAnsi="Arial" w:cs="Arial"/>
        </w:rPr>
        <w:t xml:space="preserve">Available at: </w:t>
      </w:r>
      <w:hyperlink r:id="rId34">
        <w:r w:rsidRPr="006E6EA5">
          <w:rPr>
            <w:rFonts w:ascii="Arial" w:eastAsia="Arial" w:hAnsi="Arial" w:cs="Arial"/>
            <w:u w:val="single"/>
          </w:rPr>
          <w:t>https://www.bp.com/content/dam/bp/business-sites/en/global/corporate/pdfs/investors/bp-annual-report-and-form-20f-2023.pdf</w:t>
        </w:r>
      </w:hyperlink>
      <w:r w:rsidRPr="006E6EA5">
        <w:rPr>
          <w:rFonts w:ascii="Arial" w:eastAsia="Arial" w:hAnsi="Arial" w:cs="Arial"/>
        </w:rPr>
        <w:t xml:space="preserve"> (Accessed: 19 September 2025)</w:t>
      </w:r>
    </w:p>
    <w:p w14:paraId="51723CE0"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(2024), </w:t>
      </w:r>
      <w:r w:rsidRPr="006E6EA5">
        <w:rPr>
          <w:rFonts w:ascii="Arial" w:eastAsia="Arial" w:hAnsi="Arial" w:cs="Arial"/>
          <w:i/>
          <w:iCs/>
        </w:rPr>
        <w:t>Audi and bp team up with strategic partnership for Formula 1,</w:t>
      </w:r>
      <w:r w:rsidRPr="006E6EA5">
        <w:rPr>
          <w:rFonts w:ascii="Arial" w:eastAsia="Arial" w:hAnsi="Arial" w:cs="Arial"/>
        </w:rPr>
        <w:t xml:space="preserve"> Available at: </w:t>
      </w:r>
      <w:hyperlink r:id="rId35">
        <w:r w:rsidRPr="006E6EA5">
          <w:rPr>
            <w:rFonts w:ascii="Arial" w:eastAsia="Arial" w:hAnsi="Arial" w:cs="Arial"/>
            <w:u w:val="single"/>
          </w:rPr>
          <w:t>https://www.bp.com/en/global/corporate/news-and-insights/press-releases/audi-and-bp-team-up-with-strategic-partnership-for-formula-1.html</w:t>
        </w:r>
      </w:hyperlink>
      <w:r w:rsidRPr="006E6EA5">
        <w:rPr>
          <w:rFonts w:ascii="Arial" w:eastAsia="Arial" w:hAnsi="Arial" w:cs="Arial"/>
        </w:rPr>
        <w:t xml:space="preserve"> (Accessed: 19 September 2025)</w:t>
      </w:r>
    </w:p>
    <w:p w14:paraId="26964F31"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(2024), </w:t>
      </w:r>
      <w:r w:rsidRPr="006E6EA5">
        <w:rPr>
          <w:rFonts w:ascii="Arial" w:eastAsia="Arial" w:hAnsi="Arial" w:cs="Arial"/>
          <w:i/>
          <w:iCs/>
        </w:rPr>
        <w:t>bp Annual Report and Form 20-F 2024,</w:t>
      </w:r>
      <w:r w:rsidRPr="006E6EA5">
        <w:rPr>
          <w:rFonts w:ascii="Arial" w:eastAsia="Arial" w:hAnsi="Arial" w:cs="Arial"/>
        </w:rPr>
        <w:t xml:space="preserve"> Available at: </w:t>
      </w:r>
      <w:hyperlink r:id="rId36">
        <w:r w:rsidRPr="006E6EA5">
          <w:rPr>
            <w:rFonts w:ascii="Arial" w:eastAsia="Arial" w:hAnsi="Arial" w:cs="Arial"/>
            <w:u w:val="single"/>
          </w:rPr>
          <w:t>https://www.bp.com/content/dam/bp/business-sites/en/global/corporate/pdfs/investors/bp-annual-report-and-form-20f-2024.pdf</w:t>
        </w:r>
      </w:hyperlink>
      <w:r w:rsidRPr="006E6EA5">
        <w:rPr>
          <w:rFonts w:ascii="Arial" w:eastAsia="Arial" w:hAnsi="Arial" w:cs="Arial"/>
        </w:rPr>
        <w:t xml:space="preserve"> (Accessed: 19 September 2025)</w:t>
      </w:r>
    </w:p>
    <w:p w14:paraId="6F68E144"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lastRenderedPageBreak/>
        <w:t xml:space="preserve">BP, (2024), </w:t>
      </w:r>
      <w:r w:rsidRPr="006E6EA5">
        <w:rPr>
          <w:rFonts w:ascii="Arial" w:eastAsia="Arial" w:hAnsi="Arial" w:cs="Arial"/>
          <w:i/>
          <w:iCs/>
        </w:rPr>
        <w:t>Energy Outlook 2024,</w:t>
      </w:r>
      <w:r w:rsidRPr="006E6EA5">
        <w:rPr>
          <w:rFonts w:ascii="Arial" w:eastAsia="Arial" w:hAnsi="Arial" w:cs="Arial"/>
        </w:rPr>
        <w:t xml:space="preserve"> Available at: </w:t>
      </w:r>
      <w:hyperlink r:id="rId37">
        <w:r w:rsidRPr="006E6EA5">
          <w:rPr>
            <w:rFonts w:ascii="Arial" w:eastAsia="Arial" w:hAnsi="Arial" w:cs="Arial"/>
            <w:u w:val="single"/>
          </w:rPr>
          <w:t>https://www.bp.com/content/dam/bp/business-sites/en/global/corporate/pdfs/energy-economics/energy-outlook/bp-energy-outlook-2024.pdf</w:t>
        </w:r>
      </w:hyperlink>
      <w:r w:rsidRPr="006E6EA5">
        <w:rPr>
          <w:rFonts w:ascii="Arial" w:eastAsia="Arial" w:hAnsi="Arial" w:cs="Arial"/>
        </w:rPr>
        <w:t xml:space="preserve"> (Accessed: 19 September 2025)</w:t>
      </w:r>
    </w:p>
    <w:p w14:paraId="2596DF12"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(2024), </w:t>
      </w:r>
      <w:r w:rsidRPr="006E6EA5">
        <w:rPr>
          <w:rFonts w:ascii="Arial" w:eastAsia="Arial" w:hAnsi="Arial" w:cs="Arial"/>
          <w:i/>
          <w:iCs/>
        </w:rPr>
        <w:t>Mega gas project off the coast of Africa nears final stages before start-up,</w:t>
      </w:r>
      <w:r w:rsidRPr="006E6EA5">
        <w:rPr>
          <w:rFonts w:ascii="Arial" w:eastAsia="Arial" w:hAnsi="Arial" w:cs="Arial"/>
        </w:rPr>
        <w:t xml:space="preserve"> Available at: </w:t>
      </w:r>
      <w:hyperlink r:id="rId38">
        <w:r w:rsidRPr="006E6EA5">
          <w:rPr>
            <w:rFonts w:ascii="Arial" w:eastAsia="Arial" w:hAnsi="Arial" w:cs="Arial"/>
            <w:u w:val="single"/>
          </w:rPr>
          <w:t>https://www.bp.com/en/global/corporate/news-and-insights/energy-in-focus/gta-project-fpso-arrival.html</w:t>
        </w:r>
      </w:hyperlink>
      <w:r w:rsidRPr="006E6EA5">
        <w:rPr>
          <w:rFonts w:ascii="Arial" w:eastAsia="Arial" w:hAnsi="Arial" w:cs="Arial"/>
        </w:rPr>
        <w:t xml:space="preserve"> (Accessed: 19 September 2025)</w:t>
      </w:r>
    </w:p>
    <w:p w14:paraId="27F888A3"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(2025), </w:t>
      </w:r>
      <w:r w:rsidRPr="006E6EA5">
        <w:rPr>
          <w:rFonts w:ascii="Arial" w:eastAsia="Arial" w:hAnsi="Arial" w:cs="Arial"/>
          <w:i/>
          <w:iCs/>
        </w:rPr>
        <w:t>BP Chemicals,</w:t>
      </w:r>
      <w:r w:rsidRPr="006E6EA5">
        <w:rPr>
          <w:rFonts w:ascii="Arial" w:eastAsia="Arial" w:hAnsi="Arial" w:cs="Arial"/>
        </w:rPr>
        <w:t xml:space="preserve"> Available at: </w:t>
      </w:r>
      <w:hyperlink r:id="rId39" w:anchor=":~:text=Ltd.,selling%20PTA%20product%20in%20China">
        <w:r w:rsidRPr="006E6EA5">
          <w:rPr>
            <w:rFonts w:ascii="Arial" w:eastAsia="Arial" w:hAnsi="Arial" w:cs="Arial"/>
            <w:u w:val="single"/>
          </w:rPr>
          <w:t>https://knak.jp/big/bp.htm#:~:text=Ltd.,selling%20PTA%20product%20in%20China</w:t>
        </w:r>
      </w:hyperlink>
      <w:r w:rsidRPr="006E6EA5">
        <w:rPr>
          <w:rFonts w:ascii="Arial" w:eastAsia="Arial" w:hAnsi="Arial" w:cs="Arial"/>
        </w:rPr>
        <w:t>. (Accessed: 19 September 2025)</w:t>
      </w:r>
    </w:p>
    <w:p w14:paraId="049E998E"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(2025), </w:t>
      </w:r>
      <w:r w:rsidRPr="006E6EA5">
        <w:rPr>
          <w:rFonts w:ascii="Arial" w:eastAsia="Arial" w:hAnsi="Arial" w:cs="Arial"/>
          <w:i/>
          <w:iCs/>
        </w:rPr>
        <w:t>Canada,</w:t>
      </w:r>
      <w:r w:rsidRPr="006E6EA5">
        <w:rPr>
          <w:rFonts w:ascii="Arial" w:eastAsia="Arial" w:hAnsi="Arial" w:cs="Arial"/>
        </w:rPr>
        <w:t xml:space="preserve"> Available at: </w:t>
      </w:r>
      <w:hyperlink r:id="rId40">
        <w:r w:rsidRPr="006E6EA5">
          <w:rPr>
            <w:rFonts w:ascii="Arial" w:eastAsia="Arial" w:hAnsi="Arial" w:cs="Arial"/>
            <w:u w:val="single"/>
          </w:rPr>
          <w:t>https://www.bp.com/en/global/corporate/what-we-do/bp-worldwide/bp-in-canada.html</w:t>
        </w:r>
      </w:hyperlink>
      <w:r w:rsidRPr="006E6EA5">
        <w:rPr>
          <w:rFonts w:ascii="Arial" w:eastAsia="Arial" w:hAnsi="Arial" w:cs="Arial"/>
        </w:rPr>
        <w:t xml:space="preserve"> (Accessed: 19 September 2025)</w:t>
      </w:r>
    </w:p>
    <w:p w14:paraId="537582E0"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(2025), </w:t>
      </w:r>
      <w:r w:rsidRPr="006E6EA5">
        <w:rPr>
          <w:rFonts w:ascii="Arial" w:eastAsia="Arial" w:hAnsi="Arial" w:cs="Arial"/>
          <w:i/>
          <w:iCs/>
        </w:rPr>
        <w:t>Procurement processes,</w:t>
      </w:r>
      <w:r w:rsidRPr="006E6EA5">
        <w:rPr>
          <w:rFonts w:ascii="Arial" w:eastAsia="Arial" w:hAnsi="Arial" w:cs="Arial"/>
        </w:rPr>
        <w:t xml:space="preserve"> Available at: </w:t>
      </w:r>
      <w:hyperlink r:id="rId41">
        <w:r w:rsidRPr="006E6EA5">
          <w:rPr>
            <w:rFonts w:ascii="Arial" w:eastAsia="Arial" w:hAnsi="Arial" w:cs="Arial"/>
            <w:u w:val="single"/>
          </w:rPr>
          <w:t>https://www.bp.com/en/global/corporate/who-we-are/supplying-to-bp/procurement-processes.html</w:t>
        </w:r>
      </w:hyperlink>
      <w:r w:rsidRPr="006E6EA5">
        <w:rPr>
          <w:rFonts w:ascii="Arial" w:eastAsia="Arial" w:hAnsi="Arial" w:cs="Arial"/>
        </w:rPr>
        <w:t xml:space="preserve"> (Accessed: 19 September 2025)</w:t>
      </w:r>
    </w:p>
    <w:p w14:paraId="5E2A9E3F"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(2025), </w:t>
      </w:r>
      <w:r w:rsidRPr="006E6EA5">
        <w:rPr>
          <w:rFonts w:ascii="Arial" w:eastAsia="Arial" w:hAnsi="Arial" w:cs="Arial"/>
          <w:i/>
          <w:iCs/>
        </w:rPr>
        <w:t>Technology,</w:t>
      </w:r>
      <w:r w:rsidRPr="006E6EA5">
        <w:rPr>
          <w:rFonts w:ascii="Arial" w:eastAsia="Arial" w:hAnsi="Arial" w:cs="Arial"/>
        </w:rPr>
        <w:t xml:space="preserve"> Available at: </w:t>
      </w:r>
      <w:hyperlink r:id="rId42">
        <w:r w:rsidRPr="006E6EA5">
          <w:rPr>
            <w:rFonts w:ascii="Arial" w:eastAsia="Arial" w:hAnsi="Arial" w:cs="Arial"/>
            <w:u w:val="single"/>
          </w:rPr>
          <w:t>https://www.bp.com/en/global/corporate/who-we-are/our-organization/technology.html</w:t>
        </w:r>
      </w:hyperlink>
      <w:r w:rsidRPr="006E6EA5">
        <w:rPr>
          <w:rFonts w:ascii="Arial" w:eastAsia="Arial" w:hAnsi="Arial" w:cs="Arial"/>
        </w:rPr>
        <w:t xml:space="preserve"> (Accessed: 19 September 2025)</w:t>
      </w:r>
    </w:p>
    <w:p w14:paraId="2405ACAF"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BP, (2025), </w:t>
      </w:r>
      <w:r w:rsidRPr="006E6EA5">
        <w:rPr>
          <w:rFonts w:ascii="Arial" w:eastAsia="Arial" w:hAnsi="Arial" w:cs="Arial"/>
          <w:i/>
          <w:iCs/>
        </w:rPr>
        <w:t>Where we operate,</w:t>
      </w:r>
      <w:r w:rsidRPr="006E6EA5">
        <w:rPr>
          <w:rFonts w:ascii="Arial" w:eastAsia="Arial" w:hAnsi="Arial" w:cs="Arial"/>
        </w:rPr>
        <w:t xml:space="preserve"> Available at: </w:t>
      </w:r>
      <w:hyperlink r:id="rId43">
        <w:r w:rsidRPr="006E6EA5">
          <w:rPr>
            <w:rFonts w:ascii="Arial" w:eastAsia="Arial" w:hAnsi="Arial" w:cs="Arial"/>
            <w:u w:val="single"/>
          </w:rPr>
          <w:t>https://www.bp.com/en_gb/united-kingdom/home/where-we-operate.html</w:t>
        </w:r>
      </w:hyperlink>
      <w:r w:rsidRPr="006E6EA5">
        <w:rPr>
          <w:rFonts w:ascii="Arial" w:eastAsia="Arial" w:hAnsi="Arial" w:cs="Arial"/>
        </w:rPr>
        <w:t xml:space="preserve"> Accessed: 19 September 2025)</w:t>
      </w:r>
    </w:p>
    <w:p w14:paraId="08BE683B"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lastRenderedPageBreak/>
        <w:t xml:space="preserve">Business Insurance (2024). </w:t>
      </w:r>
      <w:r w:rsidRPr="006E6EA5">
        <w:rPr>
          <w:rFonts w:ascii="Arial" w:eastAsia="Arial" w:hAnsi="Arial" w:cs="Arial"/>
          <w:i/>
          <w:iCs/>
        </w:rPr>
        <w:t>Insurance Solutions for Sustainable B-BBEE Compliance</w:t>
      </w:r>
      <w:r w:rsidRPr="006E6EA5">
        <w:rPr>
          <w:rFonts w:ascii="Arial" w:eastAsia="Arial" w:hAnsi="Arial" w:cs="Arial"/>
        </w:rPr>
        <w:t xml:space="preserve">. Available at: </w:t>
      </w:r>
      <w:hyperlink r:id="rId44">
        <w:r w:rsidRPr="006E6EA5">
          <w:rPr>
            <w:rFonts w:ascii="Arial" w:eastAsia="Arial" w:hAnsi="Arial" w:cs="Arial"/>
            <w:u w:val="single"/>
          </w:rPr>
          <w:t>https://businessinsurance.co.za/news/insurance-supporting-sustainable-bee-compliance/</w:t>
        </w:r>
      </w:hyperlink>
      <w:r w:rsidRPr="006E6EA5">
        <w:rPr>
          <w:rFonts w:ascii="Arial" w:eastAsia="Arial" w:hAnsi="Arial" w:cs="Arial"/>
        </w:rPr>
        <w:t xml:space="preserve"> (Accessed: 19 September 2025).</w:t>
      </w:r>
    </w:p>
    <w:p w14:paraId="0BB14AD2"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Cheruiyot-Koech, R. and Reddy, C.D. (2022). ‘Corporate Social Responsibility Preferences in South Africa</w:t>
      </w:r>
      <w:proofErr w:type="gramStart"/>
      <w:r w:rsidRPr="006E6EA5">
        <w:rPr>
          <w:rFonts w:ascii="Arial" w:eastAsia="Arial" w:hAnsi="Arial" w:cs="Arial"/>
        </w:rPr>
        <w:t>’.</w:t>
      </w:r>
      <w:r w:rsidRPr="006E6EA5">
        <w:rPr>
          <w:rFonts w:ascii="Arial" w:eastAsia="Arial" w:hAnsi="Arial" w:cs="Arial"/>
          <w:i/>
          <w:iCs/>
        </w:rPr>
        <w:t>p.</w:t>
      </w:r>
      <w:proofErr w:type="gramEnd"/>
      <w:r w:rsidRPr="006E6EA5">
        <w:rPr>
          <w:rFonts w:ascii="Arial" w:eastAsia="Arial" w:hAnsi="Arial" w:cs="Arial"/>
          <w:i/>
          <w:iCs/>
        </w:rPr>
        <w:t>3792</w:t>
      </w:r>
      <w:r w:rsidRPr="006E6EA5">
        <w:rPr>
          <w:rFonts w:ascii="Arial" w:eastAsia="Arial" w:hAnsi="Arial" w:cs="Arial"/>
        </w:rPr>
        <w:t xml:space="preserve">. Available at: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://doi.org/10.3390/su14073792</w:t>
      </w:r>
      <w:proofErr w:type="gramEnd"/>
      <w:r w:rsidRPr="006E6EA5">
        <w:rPr>
          <w:rFonts w:ascii="Arial" w:eastAsia="Arial" w:hAnsi="Arial" w:cs="Arial"/>
        </w:rPr>
        <w:t>.</w:t>
      </w:r>
    </w:p>
    <w:p w14:paraId="2B901449"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Climate Action Tracker (2023). </w:t>
      </w:r>
      <w:r w:rsidRPr="006E6EA5">
        <w:rPr>
          <w:rFonts w:ascii="Arial" w:eastAsia="Arial" w:hAnsi="Arial" w:cs="Arial"/>
          <w:i/>
          <w:iCs/>
        </w:rPr>
        <w:t xml:space="preserve">China. </w:t>
      </w:r>
      <w:r w:rsidRPr="006E6EA5">
        <w:rPr>
          <w:rFonts w:ascii="Arial" w:eastAsia="Arial" w:hAnsi="Arial" w:cs="Arial"/>
        </w:rPr>
        <w:t xml:space="preserve">Available at: </w:t>
      </w:r>
      <w:hyperlink r:id="rId45">
        <w:r w:rsidRPr="006E6EA5">
          <w:rPr>
            <w:rFonts w:ascii="Arial" w:eastAsia="Arial" w:hAnsi="Arial" w:cs="Arial"/>
            <w:u w:val="single"/>
          </w:rPr>
          <w:t>https://climateactiontracker.org/countries/china/</w:t>
        </w:r>
      </w:hyperlink>
      <w:r w:rsidRPr="006E6EA5">
        <w:rPr>
          <w:rFonts w:ascii="Arial" w:eastAsia="Arial" w:hAnsi="Arial" w:cs="Arial"/>
        </w:rPr>
        <w:t xml:space="preserve"> (Accessed: 19 September 2025).</w:t>
      </w:r>
    </w:p>
    <w:p w14:paraId="5166FE9F"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Crowley, A.-J., French, D. and Gonzalez, A. (2025). </w:t>
      </w:r>
      <w:r w:rsidRPr="006E6EA5">
        <w:rPr>
          <w:rFonts w:ascii="Arial" w:eastAsia="Arial" w:hAnsi="Arial" w:cs="Arial"/>
          <w:i/>
          <w:iCs/>
        </w:rPr>
        <w:t xml:space="preserve">Exclusive: BP in active talks with </w:t>
      </w:r>
      <w:proofErr w:type="spellStart"/>
      <w:r w:rsidRPr="006E6EA5">
        <w:rPr>
          <w:rFonts w:ascii="Arial" w:eastAsia="Arial" w:hAnsi="Arial" w:cs="Arial"/>
          <w:i/>
          <w:iCs/>
        </w:rPr>
        <w:t>Stonepeak</w:t>
      </w:r>
      <w:proofErr w:type="spellEnd"/>
      <w:r w:rsidRPr="006E6EA5">
        <w:rPr>
          <w:rFonts w:ascii="Arial" w:eastAsia="Arial" w:hAnsi="Arial" w:cs="Arial"/>
          <w:i/>
          <w:iCs/>
        </w:rPr>
        <w:t xml:space="preserve"> over Castrol sale, sources say</w:t>
      </w:r>
      <w:r w:rsidRPr="006E6EA5">
        <w:rPr>
          <w:rFonts w:ascii="Arial" w:eastAsia="Arial" w:hAnsi="Arial" w:cs="Arial"/>
        </w:rPr>
        <w:t xml:space="preserve">. Available at: </w:t>
      </w:r>
      <w:hyperlink r:id="rId46">
        <w:r w:rsidRPr="006E6EA5">
          <w:rPr>
            <w:rFonts w:ascii="Arial" w:eastAsia="Arial" w:hAnsi="Arial" w:cs="Arial"/>
            <w:u w:val="single"/>
          </w:rPr>
          <w:t>https://www.reuters.com/business/energy/bp-active-talks-with-stonepeak-over-castrol-sale-sources-say-2025-11-12/</w:t>
        </w:r>
      </w:hyperlink>
      <w:r w:rsidRPr="006E6EA5">
        <w:rPr>
          <w:rFonts w:ascii="Arial" w:eastAsia="Arial" w:hAnsi="Arial" w:cs="Arial"/>
        </w:rPr>
        <w:t xml:space="preserve"> (Accessed: 13 November 2025).</w:t>
      </w:r>
    </w:p>
    <w:p w14:paraId="77430C40"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Enerdata.net (2024). </w:t>
      </w:r>
      <w:r w:rsidRPr="006E6EA5">
        <w:rPr>
          <w:rFonts w:ascii="Arial" w:eastAsia="Arial" w:hAnsi="Arial" w:cs="Arial"/>
          <w:i/>
          <w:iCs/>
        </w:rPr>
        <w:t xml:space="preserve">South Africa unveils its draft Integrated Resource Plan to 2030 and 2050 | </w:t>
      </w:r>
      <w:proofErr w:type="spellStart"/>
      <w:r w:rsidRPr="006E6EA5">
        <w:rPr>
          <w:rFonts w:ascii="Arial" w:eastAsia="Arial" w:hAnsi="Arial" w:cs="Arial"/>
          <w:i/>
          <w:iCs/>
        </w:rPr>
        <w:t>Enerdata</w:t>
      </w:r>
      <w:proofErr w:type="spellEnd"/>
      <w:r w:rsidRPr="006E6EA5">
        <w:rPr>
          <w:rFonts w:ascii="Arial" w:eastAsia="Arial" w:hAnsi="Arial" w:cs="Arial"/>
        </w:rPr>
        <w:t xml:space="preserve">. Available at: </w:t>
      </w:r>
      <w:hyperlink r:id="rId47">
        <w:r w:rsidRPr="006E6EA5">
          <w:rPr>
            <w:rFonts w:ascii="Arial" w:eastAsia="Arial" w:hAnsi="Arial" w:cs="Arial"/>
            <w:u w:val="single"/>
          </w:rPr>
          <w:t>https://www.enerdata.net/publications/daily-energy-news/south-africa-unveils-its-draft-integrated-resource-plan-2030-and-2050.htm</w:t>
        </w:r>
      </w:hyperlink>
      <w:r w:rsidRPr="006E6EA5">
        <w:rPr>
          <w:rFonts w:ascii="Arial" w:eastAsia="Arial" w:hAnsi="Arial" w:cs="Arial"/>
        </w:rPr>
        <w:t xml:space="preserve"> l (Accessed: 19 September 2025).</w:t>
      </w:r>
    </w:p>
    <w:p w14:paraId="6239E211"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Escandon-Barbosa, D., Salas-Paramo, J. and </w:t>
      </w:r>
      <w:proofErr w:type="spellStart"/>
      <w:r w:rsidRPr="006E6EA5">
        <w:rPr>
          <w:rFonts w:ascii="Arial" w:eastAsia="Arial" w:hAnsi="Arial" w:cs="Arial"/>
        </w:rPr>
        <w:t>Rialp</w:t>
      </w:r>
      <w:proofErr w:type="spellEnd"/>
      <w:r w:rsidRPr="006E6EA5">
        <w:rPr>
          <w:rFonts w:ascii="Arial" w:eastAsia="Arial" w:hAnsi="Arial" w:cs="Arial"/>
        </w:rPr>
        <w:t xml:space="preserve">-Criado, J. (2021). ‘Hofstede’s Cultural Dimensions as a Moderator of the Relationship between Ambidextrous Learning and Corporate Sustainability in Born Global Firms’. </w:t>
      </w:r>
      <w:r w:rsidRPr="006E6EA5">
        <w:rPr>
          <w:rFonts w:ascii="Arial" w:eastAsia="Arial" w:hAnsi="Arial" w:cs="Arial"/>
          <w:i/>
          <w:iCs/>
        </w:rPr>
        <w:t>p.7344</w:t>
      </w:r>
      <w:r w:rsidRPr="006E6EA5">
        <w:rPr>
          <w:rFonts w:ascii="Arial" w:eastAsia="Arial" w:hAnsi="Arial" w:cs="Arial"/>
        </w:rPr>
        <w:t xml:space="preserve">. Available at: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://doi.org/10.3390/su13137344</w:t>
      </w:r>
      <w:proofErr w:type="gramEnd"/>
      <w:r w:rsidRPr="006E6EA5">
        <w:rPr>
          <w:rFonts w:ascii="Arial" w:eastAsia="Arial" w:hAnsi="Arial" w:cs="Arial"/>
        </w:rPr>
        <w:t>.</w:t>
      </w:r>
    </w:p>
    <w:p w14:paraId="61A298E4" w14:textId="77777777" w:rsidR="006F66E6" w:rsidRPr="006E6EA5" w:rsidRDefault="006F66E6" w:rsidP="006E6EA5">
      <w:pPr>
        <w:spacing w:after="240" w:line="480" w:lineRule="auto"/>
        <w:rPr>
          <w:rFonts w:ascii="Arial" w:eastAsia="Arial" w:hAnsi="Arial" w:cs="Arial"/>
          <w:color w:val="FF0000"/>
        </w:rPr>
      </w:pPr>
      <w:r w:rsidRPr="006E6EA5">
        <w:rPr>
          <w:rFonts w:ascii="Arial" w:eastAsia="Arial" w:hAnsi="Arial" w:cs="Arial"/>
          <w:color w:val="FF0000"/>
        </w:rPr>
        <w:lastRenderedPageBreak/>
        <w:t xml:space="preserve">Escandon-Barbosa, D., Salas-Paramo, J. and </w:t>
      </w:r>
      <w:proofErr w:type="spellStart"/>
      <w:r w:rsidRPr="006E6EA5">
        <w:rPr>
          <w:rFonts w:ascii="Arial" w:eastAsia="Arial" w:hAnsi="Arial" w:cs="Arial"/>
          <w:color w:val="FF0000"/>
        </w:rPr>
        <w:t>Rialp</w:t>
      </w:r>
      <w:proofErr w:type="spellEnd"/>
      <w:r w:rsidRPr="006E6EA5">
        <w:rPr>
          <w:rFonts w:ascii="Arial" w:eastAsia="Arial" w:hAnsi="Arial" w:cs="Arial"/>
          <w:color w:val="FF0000"/>
        </w:rPr>
        <w:t xml:space="preserve">-Criado, J. (2021). Hofstede’s Cultural Dimensions as a Moderator of the Relationship between Ambidextrous Learning and Corporate Sustainability in Born Global Firms. </w:t>
      </w:r>
      <w:r w:rsidRPr="006E6EA5">
        <w:rPr>
          <w:rFonts w:ascii="Arial" w:eastAsia="Arial" w:hAnsi="Arial" w:cs="Arial"/>
          <w:i/>
          <w:iCs/>
          <w:color w:val="FF0000"/>
        </w:rPr>
        <w:t>Sustainability</w:t>
      </w:r>
      <w:r w:rsidRPr="006E6EA5">
        <w:rPr>
          <w:rFonts w:ascii="Arial" w:eastAsia="Arial" w:hAnsi="Arial" w:cs="Arial"/>
          <w:color w:val="FF0000"/>
        </w:rPr>
        <w:t xml:space="preserve">, 13(13), p.7344. </w:t>
      </w:r>
      <w:proofErr w:type="spellStart"/>
      <w:proofErr w:type="gramStart"/>
      <w:r w:rsidRPr="006E6EA5">
        <w:rPr>
          <w:rFonts w:ascii="Arial" w:eastAsia="Arial" w:hAnsi="Arial" w:cs="Arial"/>
          <w:color w:val="FF0000"/>
        </w:rPr>
        <w:t>doi:https</w:t>
      </w:r>
      <w:proofErr w:type="spellEnd"/>
      <w:r w:rsidRPr="006E6EA5">
        <w:rPr>
          <w:rFonts w:ascii="Arial" w:eastAsia="Arial" w:hAnsi="Arial" w:cs="Arial"/>
          <w:color w:val="FF0000"/>
        </w:rPr>
        <w:t>://doi.org/10.3390/su13137344</w:t>
      </w:r>
      <w:proofErr w:type="gramEnd"/>
      <w:r w:rsidRPr="006E6EA5">
        <w:rPr>
          <w:rFonts w:ascii="Arial" w:eastAsia="Arial" w:hAnsi="Arial" w:cs="Arial"/>
          <w:color w:val="FF0000"/>
        </w:rPr>
        <w:t>.</w:t>
      </w:r>
    </w:p>
    <w:p w14:paraId="35D04031"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FasterCapital</w:t>
      </w:r>
      <w:proofErr w:type="spellEnd"/>
      <w:r w:rsidRPr="006E6EA5">
        <w:rPr>
          <w:rFonts w:ascii="Arial" w:eastAsia="Arial" w:hAnsi="Arial" w:cs="Arial"/>
        </w:rPr>
        <w:t xml:space="preserve"> (2025). </w:t>
      </w:r>
      <w:r w:rsidRPr="006E6EA5">
        <w:rPr>
          <w:rFonts w:ascii="Arial" w:eastAsia="Arial" w:hAnsi="Arial" w:cs="Arial"/>
          <w:i/>
          <w:iCs/>
        </w:rPr>
        <w:t>Cracking the Code: Demystifying the OLI Framework in the Eclectic Paradigm</w:t>
      </w:r>
      <w:r w:rsidRPr="006E6EA5">
        <w:rPr>
          <w:rFonts w:ascii="Arial" w:eastAsia="Arial" w:hAnsi="Arial" w:cs="Arial"/>
        </w:rPr>
        <w:t xml:space="preserve">. Available at: </w:t>
      </w:r>
      <w:hyperlink r:id="rId48">
        <w:r w:rsidRPr="006E6EA5">
          <w:rPr>
            <w:rFonts w:ascii="Arial" w:eastAsia="Arial" w:hAnsi="Arial" w:cs="Arial"/>
            <w:u w:val="single"/>
          </w:rPr>
          <w:t>https://fastercapital.com/content/Cracking-the-Code--Demystifying-the-OLI-Framework-in-the-Eclectic-Paradigm.html</w:t>
        </w:r>
      </w:hyperlink>
      <w:r w:rsidRPr="006E6EA5">
        <w:rPr>
          <w:rFonts w:ascii="Arial" w:eastAsia="Arial" w:hAnsi="Arial" w:cs="Arial"/>
        </w:rPr>
        <w:t xml:space="preserve"> (Accessed: 19 September 2025).</w:t>
      </w:r>
    </w:p>
    <w:p w14:paraId="113B57B8"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proofErr w:type="spellStart"/>
      <w:r w:rsidRPr="006E6EA5">
        <w:rPr>
          <w:rFonts w:ascii="Arial" w:eastAsia="Arial" w:hAnsi="Arial" w:cs="Arial"/>
          <w:highlight w:val="white"/>
        </w:rPr>
        <w:t>Gasela</w:t>
      </w:r>
      <w:proofErr w:type="spellEnd"/>
      <w:r w:rsidRPr="006E6EA5">
        <w:rPr>
          <w:rFonts w:ascii="Arial" w:eastAsia="Arial" w:hAnsi="Arial" w:cs="Arial"/>
          <w:highlight w:val="white"/>
        </w:rPr>
        <w:t xml:space="preserve">, M.M., (2022). The influence of organizational culture on performance in public entities of South Africa. </w:t>
      </w:r>
      <w:r w:rsidRPr="006E6EA5">
        <w:rPr>
          <w:rFonts w:ascii="Arial" w:eastAsia="Arial" w:hAnsi="Arial" w:cs="Arial"/>
          <w:i/>
          <w:iCs/>
          <w:highlight w:val="white"/>
        </w:rPr>
        <w:t>Africa’s Public Service Delivery and Performance Review</w:t>
      </w:r>
      <w:r w:rsidRPr="006E6EA5">
        <w:rPr>
          <w:rFonts w:ascii="Arial" w:eastAsia="Arial" w:hAnsi="Arial" w:cs="Arial"/>
          <w:highlight w:val="white"/>
        </w:rPr>
        <w:t xml:space="preserve">, </w:t>
      </w:r>
      <w:r w:rsidRPr="006E6EA5">
        <w:rPr>
          <w:rFonts w:ascii="Arial" w:eastAsia="Arial" w:hAnsi="Arial" w:cs="Arial"/>
          <w:i/>
          <w:iCs/>
          <w:highlight w:val="white"/>
        </w:rPr>
        <w:t>10</w:t>
      </w:r>
      <w:r w:rsidRPr="006E6EA5">
        <w:rPr>
          <w:rFonts w:ascii="Arial" w:eastAsia="Arial" w:hAnsi="Arial" w:cs="Arial"/>
          <w:highlight w:val="white"/>
        </w:rPr>
        <w:t xml:space="preserve">(1), p.563. </w:t>
      </w:r>
      <w:r w:rsidRPr="006E6EA5">
        <w:rPr>
          <w:rFonts w:ascii="Arial" w:eastAsia="Arial" w:hAnsi="Arial" w:cs="Arial"/>
        </w:rPr>
        <w:t xml:space="preserve">Available at: </w:t>
      </w:r>
      <w:hyperlink r:id="rId49">
        <w:r w:rsidRPr="006E6EA5">
          <w:rPr>
            <w:rFonts w:ascii="Arial" w:eastAsia="Arial" w:hAnsi="Arial" w:cs="Arial"/>
            <w:u w:val="single"/>
          </w:rPr>
          <w:t>https://doi.org/10.4102/apsdpr.v10i1.563</w:t>
        </w:r>
      </w:hyperlink>
      <w:r w:rsidRPr="006E6EA5">
        <w:rPr>
          <w:rFonts w:ascii="Arial" w:eastAsia="Arial" w:hAnsi="Arial" w:cs="Arial"/>
        </w:rPr>
        <w:t xml:space="preserve"> </w:t>
      </w:r>
    </w:p>
    <w:p w14:paraId="2CA0DF00"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Ghosh, A. and Kew, J. (2025). </w:t>
      </w:r>
      <w:r w:rsidRPr="006E6EA5">
        <w:rPr>
          <w:rFonts w:ascii="Arial" w:eastAsia="Arial" w:hAnsi="Arial" w:cs="Arial"/>
          <w:i/>
          <w:iCs/>
        </w:rPr>
        <w:t>South Africa Loadshedding: Power Cuts at Highest Level for First Time in Year</w:t>
      </w:r>
      <w:r w:rsidRPr="006E6EA5">
        <w:rPr>
          <w:rFonts w:ascii="Arial" w:eastAsia="Arial" w:hAnsi="Arial" w:cs="Arial"/>
        </w:rPr>
        <w:t xml:space="preserve">. Available at: </w:t>
      </w:r>
      <w:hyperlink r:id="rId50">
        <w:r w:rsidRPr="006E6EA5">
          <w:rPr>
            <w:rFonts w:ascii="Arial" w:eastAsia="Arial" w:hAnsi="Arial" w:cs="Arial"/>
            <w:u w:val="single"/>
          </w:rPr>
          <w:t>https://www.bloomberg.com/news/articles/2025-02-23/south-africa-loadshedding-power-cuts-at-highest-level-for-first-time-in-year</w:t>
        </w:r>
      </w:hyperlink>
      <w:r w:rsidRPr="006E6EA5">
        <w:rPr>
          <w:rFonts w:ascii="Arial" w:eastAsia="Arial" w:hAnsi="Arial" w:cs="Arial"/>
        </w:rPr>
        <w:t xml:space="preserve"> (Accessed: 19 September 2025).</w:t>
      </w:r>
    </w:p>
    <w:p w14:paraId="3297BC79"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Hepburn, C., Qi, Y., Stern, N., Ward, B., Xie, C. and </w:t>
      </w:r>
      <w:proofErr w:type="spellStart"/>
      <w:r w:rsidRPr="006E6EA5">
        <w:rPr>
          <w:rFonts w:ascii="Arial" w:eastAsia="Arial" w:hAnsi="Arial" w:cs="Arial"/>
        </w:rPr>
        <w:t>Zenghelis</w:t>
      </w:r>
      <w:proofErr w:type="spellEnd"/>
      <w:r w:rsidRPr="006E6EA5">
        <w:rPr>
          <w:rFonts w:ascii="Arial" w:eastAsia="Arial" w:hAnsi="Arial" w:cs="Arial"/>
        </w:rPr>
        <w:t>, D. (2021</w:t>
      </w:r>
      <w:proofErr w:type="gramStart"/>
      <w:r w:rsidRPr="006E6EA5">
        <w:rPr>
          <w:rFonts w:ascii="Arial" w:eastAsia="Arial" w:hAnsi="Arial" w:cs="Arial"/>
        </w:rPr>
        <w:t>).‘</w:t>
      </w:r>
      <w:proofErr w:type="gramEnd"/>
      <w:r w:rsidRPr="006E6EA5">
        <w:rPr>
          <w:rFonts w:ascii="Arial" w:eastAsia="Arial" w:hAnsi="Arial" w:cs="Arial"/>
        </w:rPr>
        <w:t xml:space="preserve">Towards Carbon Neutrality and China’s 14th Five-Year Plan’: Clean Energy transition, Sustainable Urban development, and Investment Priorities. </w:t>
      </w:r>
      <w:r w:rsidRPr="006E6EA5">
        <w:rPr>
          <w:rFonts w:ascii="Arial" w:eastAsia="Arial" w:hAnsi="Arial" w:cs="Arial"/>
          <w:i/>
          <w:iCs/>
        </w:rPr>
        <w:t>p.100130</w:t>
      </w:r>
      <w:r w:rsidRPr="006E6EA5">
        <w:rPr>
          <w:rFonts w:ascii="Arial" w:eastAsia="Arial" w:hAnsi="Arial" w:cs="Arial"/>
        </w:rPr>
        <w:t xml:space="preserve">. Available at: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://doi.org/10.1016/j.ese.2021.100130</w:t>
      </w:r>
      <w:proofErr w:type="gramEnd"/>
      <w:r w:rsidRPr="006E6EA5">
        <w:rPr>
          <w:rFonts w:ascii="Arial" w:eastAsia="Arial" w:hAnsi="Arial" w:cs="Arial"/>
        </w:rPr>
        <w:t>.</w:t>
      </w:r>
    </w:p>
    <w:p w14:paraId="02262DA6"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highlight w:val="white"/>
        </w:rPr>
        <w:t xml:space="preserve">Jain, S., </w:t>
      </w:r>
      <w:proofErr w:type="spellStart"/>
      <w:r w:rsidRPr="006E6EA5">
        <w:rPr>
          <w:rFonts w:ascii="Arial" w:eastAsia="Arial" w:hAnsi="Arial" w:cs="Arial"/>
          <w:highlight w:val="white"/>
        </w:rPr>
        <w:t>Kashiramka</w:t>
      </w:r>
      <w:proofErr w:type="spellEnd"/>
      <w:r w:rsidRPr="006E6EA5">
        <w:rPr>
          <w:rFonts w:ascii="Arial" w:eastAsia="Arial" w:hAnsi="Arial" w:cs="Arial"/>
          <w:highlight w:val="white"/>
        </w:rPr>
        <w:t xml:space="preserve">, S. and Jain, P.K., (2023). Determinants of stock market reaction to cross-border acquisitions: evidence from emerging economies. </w:t>
      </w:r>
      <w:r w:rsidRPr="006E6EA5">
        <w:rPr>
          <w:rFonts w:ascii="Arial" w:eastAsia="Arial" w:hAnsi="Arial" w:cs="Arial"/>
          <w:i/>
          <w:iCs/>
          <w:highlight w:val="white"/>
        </w:rPr>
        <w:t xml:space="preserve">International Journal of </w:t>
      </w:r>
      <w:r w:rsidRPr="006E6EA5">
        <w:rPr>
          <w:rFonts w:ascii="Arial" w:eastAsia="Arial" w:hAnsi="Arial" w:cs="Arial"/>
          <w:i/>
          <w:iCs/>
          <w:highlight w:val="white"/>
        </w:rPr>
        <w:lastRenderedPageBreak/>
        <w:t>Emerging Markets</w:t>
      </w:r>
      <w:r w:rsidRPr="006E6EA5">
        <w:rPr>
          <w:rFonts w:ascii="Arial" w:eastAsia="Arial" w:hAnsi="Arial" w:cs="Arial"/>
          <w:highlight w:val="white"/>
        </w:rPr>
        <w:t xml:space="preserve">, </w:t>
      </w:r>
      <w:r w:rsidRPr="006E6EA5">
        <w:rPr>
          <w:rFonts w:ascii="Arial" w:eastAsia="Arial" w:hAnsi="Arial" w:cs="Arial"/>
          <w:i/>
          <w:iCs/>
          <w:highlight w:val="white"/>
        </w:rPr>
        <w:t>18</w:t>
      </w:r>
      <w:r w:rsidRPr="006E6EA5">
        <w:rPr>
          <w:rFonts w:ascii="Arial" w:eastAsia="Arial" w:hAnsi="Arial" w:cs="Arial"/>
          <w:highlight w:val="white"/>
        </w:rPr>
        <w:t xml:space="preserve">(9), pp.3116-3137. </w:t>
      </w:r>
      <w:r w:rsidRPr="006E6EA5">
        <w:rPr>
          <w:rFonts w:ascii="Arial" w:eastAsia="Arial" w:hAnsi="Arial" w:cs="Arial"/>
        </w:rPr>
        <w:t xml:space="preserve">Available at: </w:t>
      </w:r>
      <w:hyperlink r:id="rId51">
        <w:r w:rsidRPr="006E6EA5">
          <w:rPr>
            <w:rFonts w:ascii="Arial" w:eastAsia="Arial" w:hAnsi="Arial" w:cs="Arial"/>
            <w:u w:val="single"/>
          </w:rPr>
          <w:t>https://doi.org/10.1108/IJOEM-09-2019-0730</w:t>
        </w:r>
      </w:hyperlink>
      <w:r w:rsidRPr="006E6EA5">
        <w:rPr>
          <w:rFonts w:ascii="Arial" w:eastAsia="Arial" w:hAnsi="Arial" w:cs="Arial"/>
        </w:rPr>
        <w:t xml:space="preserve"> </w:t>
      </w:r>
    </w:p>
    <w:p w14:paraId="0DB1FBEB"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Jin, X., Xu, L., Xin, Y. and Adhikari, A. (2022</w:t>
      </w:r>
      <w:proofErr w:type="gramStart"/>
      <w:r w:rsidRPr="006E6EA5">
        <w:rPr>
          <w:rFonts w:ascii="Arial" w:eastAsia="Arial" w:hAnsi="Arial" w:cs="Arial"/>
        </w:rPr>
        <w:t>).‘</w:t>
      </w:r>
      <w:proofErr w:type="gramEnd"/>
      <w:r w:rsidRPr="006E6EA5">
        <w:rPr>
          <w:rFonts w:ascii="Arial" w:eastAsia="Arial" w:hAnsi="Arial" w:cs="Arial"/>
        </w:rPr>
        <w:t>Political governance in China’s state-owned enterprises</w:t>
      </w:r>
      <w:proofErr w:type="gramStart"/>
      <w:r w:rsidRPr="006E6EA5">
        <w:rPr>
          <w:rFonts w:ascii="Arial" w:eastAsia="Arial" w:hAnsi="Arial" w:cs="Arial"/>
        </w:rPr>
        <w:t>’.</w:t>
      </w:r>
      <w:r w:rsidRPr="006E6EA5">
        <w:rPr>
          <w:rFonts w:ascii="Arial" w:eastAsia="Arial" w:hAnsi="Arial" w:cs="Arial"/>
          <w:i/>
          <w:iCs/>
        </w:rPr>
        <w:t>p.</w:t>
      </w:r>
      <w:proofErr w:type="gramEnd"/>
      <w:r w:rsidRPr="006E6EA5">
        <w:rPr>
          <w:rFonts w:ascii="Arial" w:eastAsia="Arial" w:hAnsi="Arial" w:cs="Arial"/>
          <w:i/>
          <w:iCs/>
        </w:rPr>
        <w:t>100236</w:t>
      </w:r>
      <w:r w:rsidRPr="006E6EA5">
        <w:rPr>
          <w:rFonts w:ascii="Arial" w:eastAsia="Arial" w:hAnsi="Arial" w:cs="Arial"/>
        </w:rPr>
        <w:t xml:space="preserve">.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://doi.org/10.1016/j.cjar.2022.100236</w:t>
      </w:r>
      <w:proofErr w:type="gramEnd"/>
      <w:r w:rsidRPr="006E6EA5">
        <w:rPr>
          <w:rFonts w:ascii="Arial" w:eastAsia="Arial" w:hAnsi="Arial" w:cs="Arial"/>
        </w:rPr>
        <w:t>.</w:t>
      </w:r>
    </w:p>
    <w:p w14:paraId="001A2C36"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highlight w:val="white"/>
        </w:rPr>
        <w:t xml:space="preserve">Kumar, G., Meena, P. and </w:t>
      </w:r>
      <w:proofErr w:type="spellStart"/>
      <w:r w:rsidRPr="006E6EA5">
        <w:rPr>
          <w:rFonts w:ascii="Arial" w:eastAsia="Arial" w:hAnsi="Arial" w:cs="Arial"/>
          <w:highlight w:val="white"/>
        </w:rPr>
        <w:t>Difrancesco</w:t>
      </w:r>
      <w:proofErr w:type="spellEnd"/>
      <w:r w:rsidRPr="006E6EA5">
        <w:rPr>
          <w:rFonts w:ascii="Arial" w:eastAsia="Arial" w:hAnsi="Arial" w:cs="Arial"/>
          <w:highlight w:val="white"/>
        </w:rPr>
        <w:t xml:space="preserve">, R.M., (2021). How do collaborative culture and capability improve </w:t>
      </w:r>
      <w:proofErr w:type="gramStart"/>
      <w:r w:rsidRPr="006E6EA5">
        <w:rPr>
          <w:rFonts w:ascii="Arial" w:eastAsia="Arial" w:hAnsi="Arial" w:cs="Arial"/>
          <w:highlight w:val="white"/>
        </w:rPr>
        <w:t>sustainability?.</w:t>
      </w:r>
      <w:proofErr w:type="gramEnd"/>
      <w:r w:rsidRPr="006E6EA5">
        <w:rPr>
          <w:rFonts w:ascii="Arial" w:eastAsia="Arial" w:hAnsi="Arial" w:cs="Arial"/>
          <w:highlight w:val="white"/>
        </w:rPr>
        <w:t xml:space="preserve"> </w:t>
      </w:r>
      <w:r w:rsidRPr="006E6EA5">
        <w:rPr>
          <w:rFonts w:ascii="Arial" w:eastAsia="Arial" w:hAnsi="Arial" w:cs="Arial"/>
          <w:i/>
          <w:iCs/>
          <w:highlight w:val="white"/>
        </w:rPr>
        <w:t>Journal of cleaner production</w:t>
      </w:r>
      <w:r w:rsidRPr="006E6EA5">
        <w:rPr>
          <w:rFonts w:ascii="Arial" w:eastAsia="Arial" w:hAnsi="Arial" w:cs="Arial"/>
          <w:highlight w:val="white"/>
        </w:rPr>
        <w:t xml:space="preserve">, </w:t>
      </w:r>
      <w:r w:rsidRPr="006E6EA5">
        <w:rPr>
          <w:rFonts w:ascii="Arial" w:eastAsia="Arial" w:hAnsi="Arial" w:cs="Arial"/>
          <w:i/>
          <w:iCs/>
          <w:highlight w:val="white"/>
        </w:rPr>
        <w:t>291</w:t>
      </w:r>
      <w:r w:rsidRPr="006E6EA5">
        <w:rPr>
          <w:rFonts w:ascii="Arial" w:eastAsia="Arial" w:hAnsi="Arial" w:cs="Arial"/>
          <w:highlight w:val="white"/>
        </w:rPr>
        <w:t xml:space="preserve">, p.125824. </w:t>
      </w:r>
      <w:r w:rsidRPr="006E6EA5">
        <w:rPr>
          <w:rFonts w:ascii="Arial" w:eastAsia="Arial" w:hAnsi="Arial" w:cs="Arial"/>
        </w:rPr>
        <w:t xml:space="preserve">Available at: </w:t>
      </w:r>
      <w:hyperlink r:id="rId52">
        <w:r w:rsidRPr="006E6EA5">
          <w:rPr>
            <w:rFonts w:ascii="Arial" w:eastAsia="Arial" w:hAnsi="Arial" w:cs="Arial"/>
            <w:u w:val="single"/>
          </w:rPr>
          <w:t>https://doi.org/10.1016/j.jclepro.2021.125824</w:t>
        </w:r>
      </w:hyperlink>
      <w:r w:rsidRPr="006E6EA5">
        <w:rPr>
          <w:rFonts w:ascii="Arial" w:eastAsia="Arial" w:hAnsi="Arial" w:cs="Arial"/>
        </w:rPr>
        <w:t xml:space="preserve"> </w:t>
      </w:r>
    </w:p>
    <w:p w14:paraId="071EC2D3"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highlight w:val="white"/>
        </w:rPr>
        <w:t xml:space="preserve">Liu, C., Lu, J. and Zhan, Y., (2021), October. Cultural differences in business negotiations between China and the UK. In </w:t>
      </w:r>
      <w:r w:rsidRPr="006E6EA5">
        <w:rPr>
          <w:rFonts w:ascii="Arial" w:eastAsia="Arial" w:hAnsi="Arial" w:cs="Arial"/>
          <w:i/>
          <w:iCs/>
          <w:highlight w:val="white"/>
        </w:rPr>
        <w:t>2021 6th International Conference on Modern Management and Education Technology (MMET 2021)</w:t>
      </w:r>
      <w:r w:rsidRPr="006E6EA5">
        <w:rPr>
          <w:rFonts w:ascii="Arial" w:eastAsia="Arial" w:hAnsi="Arial" w:cs="Arial"/>
          <w:highlight w:val="white"/>
        </w:rPr>
        <w:t xml:space="preserve"> (pp. 433-437). Atlantis Press. </w:t>
      </w:r>
      <w:r w:rsidRPr="006E6EA5">
        <w:rPr>
          <w:rFonts w:ascii="Arial" w:eastAsia="Arial" w:hAnsi="Arial" w:cs="Arial"/>
        </w:rPr>
        <w:t xml:space="preserve">Available at: </w:t>
      </w:r>
      <w:hyperlink r:id="rId53">
        <w:r w:rsidRPr="006E6EA5">
          <w:rPr>
            <w:rFonts w:ascii="Arial" w:eastAsia="Arial" w:hAnsi="Arial" w:cs="Arial"/>
            <w:u w:val="single"/>
          </w:rPr>
          <w:t>https://www.atlantis-press.com/article/125961397.pdf</w:t>
        </w:r>
      </w:hyperlink>
      <w:r w:rsidRPr="006E6EA5">
        <w:rPr>
          <w:rFonts w:ascii="Arial" w:eastAsia="Arial" w:hAnsi="Arial" w:cs="Arial"/>
        </w:rPr>
        <w:t xml:space="preserve"> </w:t>
      </w:r>
    </w:p>
    <w:p w14:paraId="4224DCC4"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Livemint</w:t>
      </w:r>
      <w:proofErr w:type="spellEnd"/>
      <w:r w:rsidRPr="006E6EA5">
        <w:rPr>
          <w:rFonts w:ascii="Arial" w:eastAsia="Arial" w:hAnsi="Arial" w:cs="Arial"/>
        </w:rPr>
        <w:t xml:space="preserve"> (2025). </w:t>
      </w:r>
      <w:r w:rsidRPr="006E6EA5">
        <w:rPr>
          <w:rFonts w:ascii="Arial" w:eastAsia="Arial" w:hAnsi="Arial" w:cs="Arial"/>
          <w:i/>
          <w:iCs/>
        </w:rPr>
        <w:t>BP slashes ‘net zero’ renewable energy spending by $5 billion, turns to fossil fuels: What’s behind the strategy shift?</w:t>
      </w:r>
      <w:r w:rsidRPr="006E6EA5">
        <w:rPr>
          <w:rFonts w:ascii="Arial" w:eastAsia="Arial" w:hAnsi="Arial" w:cs="Arial"/>
        </w:rPr>
        <w:t xml:space="preserve"> Available at: </w:t>
      </w:r>
      <w:hyperlink r:id="rId54">
        <w:r w:rsidRPr="006E6EA5">
          <w:rPr>
            <w:rFonts w:ascii="Arial" w:eastAsia="Arial" w:hAnsi="Arial" w:cs="Arial"/>
            <w:u w:val="single"/>
          </w:rPr>
          <w:t>https://www.livemint.com/companies/news/bp-slashes-net-zero-renewable-energy-spending-by-5-billion-turns-to-fossil-fuels-whats-behind-the-strategy-shift-11740585637756.html</w:t>
        </w:r>
      </w:hyperlink>
      <w:r w:rsidRPr="006E6EA5">
        <w:rPr>
          <w:rFonts w:ascii="Arial" w:eastAsia="Arial" w:hAnsi="Arial" w:cs="Arial"/>
        </w:rPr>
        <w:t xml:space="preserve"> (Accessed: 19 September 2025).</w:t>
      </w:r>
    </w:p>
    <w:p w14:paraId="1B361154"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McBain, W., (2024), </w:t>
      </w:r>
      <w:r w:rsidRPr="006E6EA5">
        <w:rPr>
          <w:rFonts w:ascii="Arial" w:eastAsia="Arial" w:hAnsi="Arial" w:cs="Arial"/>
          <w:i/>
          <w:iCs/>
        </w:rPr>
        <w:t xml:space="preserve">Greater Tortue </w:t>
      </w:r>
      <w:proofErr w:type="spellStart"/>
      <w:r w:rsidRPr="006E6EA5">
        <w:rPr>
          <w:rFonts w:ascii="Arial" w:eastAsia="Arial" w:hAnsi="Arial" w:cs="Arial"/>
          <w:i/>
          <w:iCs/>
        </w:rPr>
        <w:t>Ahmeyim</w:t>
      </w:r>
      <w:proofErr w:type="spellEnd"/>
      <w:r w:rsidRPr="006E6EA5">
        <w:rPr>
          <w:rFonts w:ascii="Arial" w:eastAsia="Arial" w:hAnsi="Arial" w:cs="Arial"/>
          <w:i/>
          <w:iCs/>
        </w:rPr>
        <w:t xml:space="preserve"> set to supercharge growth, </w:t>
      </w:r>
      <w:r w:rsidRPr="006E6EA5">
        <w:rPr>
          <w:rFonts w:ascii="Arial" w:eastAsia="Arial" w:hAnsi="Arial" w:cs="Arial"/>
        </w:rPr>
        <w:t xml:space="preserve">Available at: </w:t>
      </w:r>
      <w:hyperlink r:id="rId55">
        <w:r w:rsidRPr="006E6EA5">
          <w:rPr>
            <w:rFonts w:ascii="Arial" w:eastAsia="Arial" w:hAnsi="Arial" w:cs="Arial"/>
            <w:u w:val="single"/>
          </w:rPr>
          <w:t>https://african.business/2024/11/partner-content/greater-tortue-ahmeyim-set-to-supercharge-growth</w:t>
        </w:r>
      </w:hyperlink>
      <w:r w:rsidRPr="006E6EA5">
        <w:rPr>
          <w:rFonts w:ascii="Arial" w:eastAsia="Arial" w:hAnsi="Arial" w:cs="Arial"/>
        </w:rPr>
        <w:t xml:space="preserve"> (Accessed: 19 September 2025)</w:t>
      </w:r>
    </w:p>
    <w:p w14:paraId="04438EAC"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proofErr w:type="spellStart"/>
      <w:r w:rsidRPr="006E6EA5">
        <w:rPr>
          <w:rFonts w:ascii="Arial" w:eastAsia="Arial" w:hAnsi="Arial" w:cs="Arial"/>
        </w:rPr>
        <w:lastRenderedPageBreak/>
        <w:t>McConalogue</w:t>
      </w:r>
      <w:proofErr w:type="spellEnd"/>
      <w:r w:rsidRPr="006E6EA5">
        <w:rPr>
          <w:rFonts w:ascii="Arial" w:eastAsia="Arial" w:hAnsi="Arial" w:cs="Arial"/>
        </w:rPr>
        <w:t xml:space="preserve">, J., (2022), </w:t>
      </w:r>
      <w:r w:rsidRPr="006E6EA5">
        <w:rPr>
          <w:rFonts w:ascii="Arial" w:eastAsia="Arial" w:hAnsi="Arial" w:cs="Arial"/>
          <w:i/>
          <w:iCs/>
        </w:rPr>
        <w:t>Backing Britain’s Global Champions: The role of trade missions in supporting future exports,</w:t>
      </w:r>
      <w:r w:rsidRPr="006E6EA5">
        <w:rPr>
          <w:rFonts w:ascii="Arial" w:eastAsia="Arial" w:hAnsi="Arial" w:cs="Arial"/>
        </w:rPr>
        <w:t xml:space="preserve"> Available at: </w:t>
      </w:r>
      <w:hyperlink r:id="rId56">
        <w:r w:rsidRPr="006E6EA5">
          <w:rPr>
            <w:rFonts w:ascii="Arial" w:eastAsia="Arial" w:hAnsi="Arial" w:cs="Arial"/>
            <w:u w:val="single"/>
          </w:rPr>
          <w:t>https://www.civitas.org.uk/content/files/Trade-Champions-Report-FINAL.pdf</w:t>
        </w:r>
      </w:hyperlink>
      <w:r w:rsidRPr="006E6EA5">
        <w:rPr>
          <w:rFonts w:ascii="Arial" w:eastAsia="Arial" w:hAnsi="Arial" w:cs="Arial"/>
        </w:rPr>
        <w:t xml:space="preserve"> (Accessed: 19 September 2025)</w:t>
      </w:r>
    </w:p>
    <w:p w14:paraId="2EC51714"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Most.gov.cn (2020</w:t>
      </w:r>
      <w:proofErr w:type="gramStart"/>
      <w:r w:rsidRPr="006E6EA5">
        <w:rPr>
          <w:rFonts w:ascii="Arial" w:eastAsia="Arial" w:hAnsi="Arial" w:cs="Arial"/>
        </w:rPr>
        <w:t>).</w:t>
      </w:r>
      <w:r w:rsidRPr="006E6EA5">
        <w:rPr>
          <w:rFonts w:ascii="Arial" w:eastAsia="Arial" w:hAnsi="Arial" w:cs="Arial"/>
          <w:i/>
          <w:iCs/>
        </w:rPr>
        <w:t>Ministry</w:t>
      </w:r>
      <w:proofErr w:type="gramEnd"/>
      <w:r w:rsidRPr="006E6EA5">
        <w:rPr>
          <w:rFonts w:ascii="Arial" w:eastAsia="Arial" w:hAnsi="Arial" w:cs="Arial"/>
          <w:i/>
          <w:iCs/>
        </w:rPr>
        <w:t xml:space="preserve"> of Science and Technology of the People’s Republic of China</w:t>
      </w:r>
      <w:r w:rsidRPr="006E6EA5">
        <w:rPr>
          <w:rFonts w:ascii="Arial" w:eastAsia="Arial" w:hAnsi="Arial" w:cs="Arial"/>
        </w:rPr>
        <w:t>. Available at: https://en.most.gov.cn/newsletters/2004/200411/t20041130_17773.htm (Accessed 19 September,2025).</w:t>
      </w:r>
    </w:p>
    <w:p w14:paraId="5A1335C0"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rPr>
        <w:t xml:space="preserve">Nasralla, S., (2025), </w:t>
      </w:r>
      <w:r w:rsidRPr="006E6EA5">
        <w:rPr>
          <w:rFonts w:ascii="Arial" w:eastAsia="Arial" w:hAnsi="Arial" w:cs="Arial"/>
          <w:i/>
          <w:iCs/>
        </w:rPr>
        <w:t xml:space="preserve">BP reports 48% profit drop as strategy chief leaves, </w:t>
      </w:r>
      <w:r w:rsidRPr="006E6EA5">
        <w:rPr>
          <w:rFonts w:ascii="Arial" w:eastAsia="Arial" w:hAnsi="Arial" w:cs="Arial"/>
        </w:rPr>
        <w:t xml:space="preserve">Available at: </w:t>
      </w:r>
      <w:hyperlink r:id="rId57">
        <w:r w:rsidRPr="006E6EA5">
          <w:rPr>
            <w:rFonts w:ascii="Arial" w:eastAsia="Arial" w:hAnsi="Arial" w:cs="Arial"/>
            <w:u w:val="single"/>
          </w:rPr>
          <w:t>https://www.reuters.com/business/energy/bp-reports-lower-than-expected-profit-138-billion-2025-04-29/</w:t>
        </w:r>
      </w:hyperlink>
      <w:r w:rsidRPr="006E6EA5">
        <w:rPr>
          <w:rFonts w:ascii="Arial" w:eastAsia="Arial" w:hAnsi="Arial" w:cs="Arial"/>
        </w:rPr>
        <w:t xml:space="preserve"> (Accessed: 19 September 2025)</w:t>
      </w:r>
    </w:p>
    <w:p w14:paraId="2E01FEA3"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NqobileXaba</w:t>
      </w:r>
      <w:proofErr w:type="spellEnd"/>
      <w:r w:rsidRPr="006E6EA5">
        <w:rPr>
          <w:rFonts w:ascii="Arial" w:eastAsia="Arial" w:hAnsi="Arial" w:cs="Arial"/>
        </w:rPr>
        <w:t xml:space="preserve"> (2025). ‘Evaluating the Implementation of South Africa’s Just Energy Transition in Coal Regions’.</w:t>
      </w:r>
      <w:proofErr w:type="gramStart"/>
      <w:r w:rsidRPr="006E6EA5">
        <w:rPr>
          <w:rFonts w:ascii="Arial" w:eastAsia="Arial" w:hAnsi="Arial" w:cs="Arial"/>
          <w:i/>
          <w:iCs/>
        </w:rPr>
        <w:t>pp.e</w:t>
      </w:r>
      <w:proofErr w:type="gramEnd"/>
      <w:r w:rsidRPr="006E6EA5">
        <w:rPr>
          <w:rFonts w:ascii="Arial" w:eastAsia="Arial" w:hAnsi="Arial" w:cs="Arial"/>
          <w:i/>
          <w:iCs/>
        </w:rPr>
        <w:t>063835–e0638369</w:t>
      </w:r>
      <w:r w:rsidRPr="006E6EA5">
        <w:rPr>
          <w:rFonts w:ascii="Arial" w:eastAsia="Arial" w:hAnsi="Arial" w:cs="Arial"/>
        </w:rPr>
        <w:t xml:space="preserve">.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://doi.org/10.1002/wene.70009</w:t>
      </w:r>
      <w:proofErr w:type="gramEnd"/>
      <w:r w:rsidRPr="006E6EA5">
        <w:rPr>
          <w:rFonts w:ascii="Arial" w:eastAsia="Arial" w:hAnsi="Arial" w:cs="Arial"/>
        </w:rPr>
        <w:t>.</w:t>
      </w:r>
    </w:p>
    <w:p w14:paraId="1D927EAC"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proofErr w:type="spellStart"/>
      <w:r w:rsidRPr="006E6EA5">
        <w:rPr>
          <w:rFonts w:ascii="Arial" w:eastAsia="Arial" w:hAnsi="Arial" w:cs="Arial"/>
        </w:rPr>
        <w:t>Petroleumhistory</w:t>
      </w:r>
      <w:proofErr w:type="spellEnd"/>
      <w:r w:rsidRPr="006E6EA5">
        <w:rPr>
          <w:rFonts w:ascii="Arial" w:eastAsia="Arial" w:hAnsi="Arial" w:cs="Arial"/>
        </w:rPr>
        <w:t xml:space="preserve">, (2023), </w:t>
      </w:r>
      <w:r w:rsidRPr="006E6EA5">
        <w:rPr>
          <w:rFonts w:ascii="Arial" w:eastAsia="Arial" w:hAnsi="Arial" w:cs="Arial"/>
          <w:i/>
          <w:iCs/>
        </w:rPr>
        <w:t>Old companies we have researched,</w:t>
      </w:r>
      <w:r w:rsidRPr="006E6EA5">
        <w:rPr>
          <w:rFonts w:ascii="Arial" w:eastAsia="Arial" w:hAnsi="Arial" w:cs="Arial"/>
        </w:rPr>
        <w:t xml:space="preserve"> Available at: </w:t>
      </w:r>
      <w:hyperlink r:id="rId58">
        <w:r w:rsidRPr="006E6EA5">
          <w:rPr>
            <w:rFonts w:ascii="Arial" w:eastAsia="Arial" w:hAnsi="Arial" w:cs="Arial"/>
            <w:u w:val="single"/>
          </w:rPr>
          <w:t>http://www.petroleumhistory.ca/history/companies.html</w:t>
        </w:r>
      </w:hyperlink>
      <w:r w:rsidRPr="006E6EA5">
        <w:rPr>
          <w:rFonts w:ascii="Arial" w:eastAsia="Arial" w:hAnsi="Arial" w:cs="Arial"/>
        </w:rPr>
        <w:t xml:space="preserve"> (Accessed: 19 September 2025)</w:t>
      </w:r>
    </w:p>
    <w:p w14:paraId="18123C97"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proofErr w:type="spellStart"/>
      <w:r w:rsidRPr="006E6EA5">
        <w:rPr>
          <w:rFonts w:ascii="Arial" w:eastAsia="Arial" w:hAnsi="Arial" w:cs="Arial"/>
          <w:highlight w:val="white"/>
        </w:rPr>
        <w:t>Rochayatun</w:t>
      </w:r>
      <w:proofErr w:type="spellEnd"/>
      <w:r w:rsidRPr="006E6EA5">
        <w:rPr>
          <w:rFonts w:ascii="Arial" w:eastAsia="Arial" w:hAnsi="Arial" w:cs="Arial"/>
          <w:highlight w:val="white"/>
        </w:rPr>
        <w:t xml:space="preserve">, S. and Bidin, R., (2022). Mode of entry strategy on SMEs internationalization in East Java: A review of literature. </w:t>
      </w:r>
      <w:r w:rsidRPr="006E6EA5">
        <w:rPr>
          <w:rFonts w:ascii="Arial" w:eastAsia="Arial" w:hAnsi="Arial" w:cs="Arial"/>
          <w:i/>
          <w:iCs/>
          <w:highlight w:val="white"/>
        </w:rPr>
        <w:t>Asian Journal of Economics, Business and Accounting</w:t>
      </w:r>
      <w:r w:rsidRPr="006E6EA5">
        <w:rPr>
          <w:rFonts w:ascii="Arial" w:eastAsia="Arial" w:hAnsi="Arial" w:cs="Arial"/>
          <w:highlight w:val="white"/>
        </w:rPr>
        <w:t xml:space="preserve">, </w:t>
      </w:r>
      <w:r w:rsidRPr="006E6EA5">
        <w:rPr>
          <w:rFonts w:ascii="Arial" w:eastAsia="Arial" w:hAnsi="Arial" w:cs="Arial"/>
          <w:i/>
          <w:iCs/>
          <w:highlight w:val="white"/>
        </w:rPr>
        <w:t>22</w:t>
      </w:r>
      <w:r w:rsidRPr="006E6EA5">
        <w:rPr>
          <w:rFonts w:ascii="Arial" w:eastAsia="Arial" w:hAnsi="Arial" w:cs="Arial"/>
          <w:highlight w:val="white"/>
        </w:rPr>
        <w:t xml:space="preserve">(15), pp.20-32. </w:t>
      </w:r>
      <w:r w:rsidRPr="006E6EA5">
        <w:rPr>
          <w:rFonts w:ascii="Arial" w:eastAsia="Arial" w:hAnsi="Arial" w:cs="Arial"/>
        </w:rPr>
        <w:t xml:space="preserve">Available at: 10.9734/AJEBA/2022/v22i1530626 </w:t>
      </w:r>
    </w:p>
    <w:p w14:paraId="0EAB37DD"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proofErr w:type="spellStart"/>
      <w:r w:rsidRPr="006E6EA5">
        <w:rPr>
          <w:rFonts w:ascii="Arial" w:eastAsia="Arial" w:hAnsi="Arial" w:cs="Arial"/>
          <w:highlight w:val="white"/>
        </w:rPr>
        <w:t>Sanili</w:t>
      </w:r>
      <w:proofErr w:type="spellEnd"/>
      <w:r w:rsidRPr="006E6EA5">
        <w:rPr>
          <w:rFonts w:ascii="Arial" w:eastAsia="Arial" w:hAnsi="Arial" w:cs="Arial"/>
          <w:highlight w:val="white"/>
        </w:rPr>
        <w:t xml:space="preserve"> Aydin, U. and </w:t>
      </w:r>
      <w:proofErr w:type="spellStart"/>
      <w:r w:rsidRPr="006E6EA5">
        <w:rPr>
          <w:rFonts w:ascii="Arial" w:eastAsia="Arial" w:hAnsi="Arial" w:cs="Arial"/>
          <w:highlight w:val="white"/>
        </w:rPr>
        <w:t>Uste</w:t>
      </w:r>
      <w:proofErr w:type="spellEnd"/>
      <w:r w:rsidRPr="006E6EA5">
        <w:rPr>
          <w:rFonts w:ascii="Arial" w:eastAsia="Arial" w:hAnsi="Arial" w:cs="Arial"/>
          <w:highlight w:val="white"/>
        </w:rPr>
        <w:t xml:space="preserve">, A.N., (2022). Review of new political risks for the multinational energy corporations in the Caspian basin: a study for Azerbaijan. </w:t>
      </w:r>
      <w:r w:rsidRPr="006E6EA5">
        <w:rPr>
          <w:rFonts w:ascii="Arial" w:eastAsia="Arial" w:hAnsi="Arial" w:cs="Arial"/>
          <w:i/>
          <w:iCs/>
          <w:highlight w:val="white"/>
        </w:rPr>
        <w:t xml:space="preserve">Transnational </w:t>
      </w:r>
      <w:r w:rsidRPr="006E6EA5">
        <w:rPr>
          <w:rFonts w:ascii="Arial" w:eastAsia="Arial" w:hAnsi="Arial" w:cs="Arial"/>
          <w:i/>
          <w:iCs/>
          <w:highlight w:val="white"/>
        </w:rPr>
        <w:lastRenderedPageBreak/>
        <w:t>Corporations Review</w:t>
      </w:r>
      <w:r w:rsidRPr="006E6EA5">
        <w:rPr>
          <w:rFonts w:ascii="Arial" w:eastAsia="Arial" w:hAnsi="Arial" w:cs="Arial"/>
          <w:highlight w:val="white"/>
        </w:rPr>
        <w:t xml:space="preserve">, </w:t>
      </w:r>
      <w:r w:rsidRPr="006E6EA5">
        <w:rPr>
          <w:rFonts w:ascii="Arial" w:eastAsia="Arial" w:hAnsi="Arial" w:cs="Arial"/>
          <w:i/>
          <w:iCs/>
          <w:highlight w:val="white"/>
        </w:rPr>
        <w:t>14</w:t>
      </w:r>
      <w:r w:rsidRPr="006E6EA5">
        <w:rPr>
          <w:rFonts w:ascii="Arial" w:eastAsia="Arial" w:hAnsi="Arial" w:cs="Arial"/>
          <w:highlight w:val="white"/>
        </w:rPr>
        <w:t xml:space="preserve">(3), pp.323-332. </w:t>
      </w:r>
      <w:r w:rsidRPr="006E6EA5">
        <w:rPr>
          <w:rFonts w:ascii="Arial" w:eastAsia="Arial" w:hAnsi="Arial" w:cs="Arial"/>
        </w:rPr>
        <w:t xml:space="preserve">Available at: </w:t>
      </w:r>
      <w:hyperlink r:id="rId59">
        <w:r w:rsidRPr="006E6EA5">
          <w:rPr>
            <w:rFonts w:ascii="Arial" w:eastAsia="Arial" w:hAnsi="Arial" w:cs="Arial"/>
            <w:u w:val="single"/>
          </w:rPr>
          <w:t>https://doi.org/10.1080/19186444.2022.2076495</w:t>
        </w:r>
      </w:hyperlink>
      <w:r w:rsidRPr="006E6EA5">
        <w:rPr>
          <w:rFonts w:ascii="Arial" w:eastAsia="Arial" w:hAnsi="Arial" w:cs="Arial"/>
        </w:rPr>
        <w:t xml:space="preserve"> </w:t>
      </w:r>
    </w:p>
    <w:p w14:paraId="598AC5F1" w14:textId="77777777" w:rsidR="006F66E6" w:rsidRPr="006E6EA5" w:rsidRDefault="006F66E6" w:rsidP="006E6EA5">
      <w:pPr>
        <w:spacing w:after="240" w:line="480" w:lineRule="auto"/>
        <w:rPr>
          <w:rFonts w:ascii="Arial" w:eastAsia="Arial" w:hAnsi="Arial" w:cs="Arial"/>
          <w:color w:val="FF0000"/>
        </w:rPr>
      </w:pPr>
      <w:r w:rsidRPr="006E6EA5">
        <w:rPr>
          <w:rFonts w:ascii="Arial" w:eastAsia="Arial" w:hAnsi="Arial" w:cs="Arial"/>
          <w:color w:val="FF0000"/>
        </w:rPr>
        <w:t xml:space="preserve">Selvam, S. T., (2024) </w:t>
      </w:r>
      <w:r w:rsidRPr="006E6EA5">
        <w:rPr>
          <w:rFonts w:ascii="Arial" w:eastAsia="Arial" w:hAnsi="Arial" w:cs="Arial"/>
          <w:i/>
          <w:iCs/>
          <w:color w:val="FF0000"/>
        </w:rPr>
        <w:t>WGC2025: BP signs long-term LNG SPA with China's Zhejiang Energy.</w:t>
      </w:r>
      <w:r w:rsidRPr="006E6EA5">
        <w:rPr>
          <w:rFonts w:ascii="Arial" w:eastAsia="Arial" w:hAnsi="Arial" w:cs="Arial"/>
          <w:color w:val="FF0000"/>
        </w:rPr>
        <w:t xml:space="preserve"> Available at: </w:t>
      </w:r>
      <w:hyperlink r:id="rId60" w:anchor=":~:text=The%20cooperation%20marks%20another%20important,phase%20of%20development%2C%20BP%20added">
        <w:r w:rsidRPr="006E6EA5">
          <w:rPr>
            <w:rFonts w:ascii="Arial" w:eastAsia="Arial" w:hAnsi="Arial" w:cs="Arial"/>
            <w:color w:val="1155CC"/>
            <w:u w:val="single"/>
          </w:rPr>
          <w:t>https://www.spglobal.com/commodity-insights/en/news-research/latest-news/lng/052225-wgc2025-bp-signs-long-term-lng-spa-with-chinas-zhejiang-energy#:~:text=The%20cooperation%20marks%20another%20important,phase%20of%20development%2C%20BP%20added</w:t>
        </w:r>
      </w:hyperlink>
      <w:r w:rsidRPr="006E6EA5">
        <w:rPr>
          <w:rFonts w:ascii="Arial" w:eastAsia="Arial" w:hAnsi="Arial" w:cs="Arial"/>
          <w:color w:val="FF0000"/>
        </w:rPr>
        <w:t>. (Accessed: 18 November 2025).</w:t>
      </w:r>
    </w:p>
    <w:p w14:paraId="3BD89248"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Smarte</w:t>
      </w:r>
      <w:proofErr w:type="spellEnd"/>
      <w:r w:rsidRPr="006E6EA5">
        <w:rPr>
          <w:rFonts w:ascii="Arial" w:eastAsia="Arial" w:hAnsi="Arial" w:cs="Arial"/>
        </w:rPr>
        <w:t xml:space="preserve">, M., </w:t>
      </w:r>
      <w:proofErr w:type="spellStart"/>
      <w:r w:rsidRPr="006E6EA5">
        <w:rPr>
          <w:rFonts w:ascii="Arial" w:eastAsia="Arial" w:hAnsi="Arial" w:cs="Arial"/>
        </w:rPr>
        <w:t>Akpasi</w:t>
      </w:r>
      <w:proofErr w:type="spellEnd"/>
      <w:r w:rsidRPr="006E6EA5">
        <w:rPr>
          <w:rFonts w:ascii="Arial" w:eastAsia="Arial" w:hAnsi="Arial" w:cs="Arial"/>
        </w:rPr>
        <w:t xml:space="preserve">, S.O., Mkhize, M.M., Zhou, H., Moyo, R.T. and Gaza, L. (2024). ‘Renewable energy investments in South Africa: Potentials and challenges for a sustainable transition’. </w:t>
      </w:r>
      <w:r w:rsidRPr="006E6EA5">
        <w:rPr>
          <w:rFonts w:ascii="Arial" w:eastAsia="Arial" w:hAnsi="Arial" w:cs="Arial"/>
          <w:i/>
          <w:iCs/>
        </w:rPr>
        <w:t>p.117</w:t>
      </w:r>
      <w:r w:rsidRPr="006E6EA5">
        <w:rPr>
          <w:rFonts w:ascii="Arial" w:eastAsia="Arial" w:hAnsi="Arial" w:cs="Arial"/>
        </w:rPr>
        <w:t xml:space="preserve">.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://doi.org/10.1177/00368504241237347</w:t>
      </w:r>
      <w:proofErr w:type="gramEnd"/>
      <w:r w:rsidRPr="006E6EA5">
        <w:rPr>
          <w:rFonts w:ascii="Arial" w:eastAsia="Arial" w:hAnsi="Arial" w:cs="Arial"/>
        </w:rPr>
        <w:t>.</w:t>
      </w:r>
    </w:p>
    <w:p w14:paraId="7E70A4ED" w14:textId="77777777" w:rsidR="006F66E6" w:rsidRPr="006E6EA5" w:rsidRDefault="006F66E6" w:rsidP="006E6EA5">
      <w:pPr>
        <w:spacing w:after="240" w:line="480" w:lineRule="auto"/>
        <w:rPr>
          <w:rFonts w:ascii="Arial" w:eastAsia="Arial" w:hAnsi="Arial" w:cs="Arial"/>
          <w:color w:val="FF0000"/>
        </w:rPr>
      </w:pPr>
      <w:r w:rsidRPr="006E6EA5">
        <w:rPr>
          <w:rFonts w:ascii="Arial" w:eastAsia="Arial" w:hAnsi="Arial" w:cs="Arial"/>
          <w:color w:val="FF0000"/>
        </w:rPr>
        <w:t xml:space="preserve">Straková, J., </w:t>
      </w:r>
      <w:proofErr w:type="spellStart"/>
      <w:r w:rsidRPr="006E6EA5">
        <w:rPr>
          <w:rFonts w:ascii="Arial" w:eastAsia="Arial" w:hAnsi="Arial" w:cs="Arial"/>
          <w:color w:val="FF0000"/>
        </w:rPr>
        <w:t>Rajiani</w:t>
      </w:r>
      <w:proofErr w:type="spellEnd"/>
      <w:r w:rsidRPr="006E6EA5">
        <w:rPr>
          <w:rFonts w:ascii="Arial" w:eastAsia="Arial" w:hAnsi="Arial" w:cs="Arial"/>
          <w:color w:val="FF0000"/>
        </w:rPr>
        <w:t xml:space="preserve">, I., </w:t>
      </w:r>
      <w:proofErr w:type="spellStart"/>
      <w:r w:rsidRPr="006E6EA5">
        <w:rPr>
          <w:rFonts w:ascii="Arial" w:eastAsia="Arial" w:hAnsi="Arial" w:cs="Arial"/>
          <w:color w:val="FF0000"/>
        </w:rPr>
        <w:t>Pártlová</w:t>
      </w:r>
      <w:proofErr w:type="spellEnd"/>
      <w:r w:rsidRPr="006E6EA5">
        <w:rPr>
          <w:rFonts w:ascii="Arial" w:eastAsia="Arial" w:hAnsi="Arial" w:cs="Arial"/>
          <w:color w:val="FF0000"/>
        </w:rPr>
        <w:t xml:space="preserve">, P., </w:t>
      </w:r>
      <w:proofErr w:type="spellStart"/>
      <w:r w:rsidRPr="006E6EA5">
        <w:rPr>
          <w:rFonts w:ascii="Arial" w:eastAsia="Arial" w:hAnsi="Arial" w:cs="Arial"/>
          <w:color w:val="FF0000"/>
        </w:rPr>
        <w:t>Váchal</w:t>
      </w:r>
      <w:proofErr w:type="spellEnd"/>
      <w:r w:rsidRPr="006E6EA5">
        <w:rPr>
          <w:rFonts w:ascii="Arial" w:eastAsia="Arial" w:hAnsi="Arial" w:cs="Arial"/>
          <w:color w:val="FF0000"/>
        </w:rPr>
        <w:t xml:space="preserve">, J. and </w:t>
      </w:r>
      <w:proofErr w:type="spellStart"/>
      <w:r w:rsidRPr="006E6EA5">
        <w:rPr>
          <w:rFonts w:ascii="Arial" w:eastAsia="Arial" w:hAnsi="Arial" w:cs="Arial"/>
          <w:color w:val="FF0000"/>
        </w:rPr>
        <w:t>Dobrovič</w:t>
      </w:r>
      <w:proofErr w:type="spellEnd"/>
      <w:r w:rsidRPr="006E6EA5">
        <w:rPr>
          <w:rFonts w:ascii="Arial" w:eastAsia="Arial" w:hAnsi="Arial" w:cs="Arial"/>
          <w:color w:val="FF0000"/>
        </w:rPr>
        <w:t xml:space="preserve">, J. (2020). Use of the Value Chain in the Process of Generating a Sustainable Business Strategy on the Example of Manufacturing and Industrial Enterprises in the Czech Republic. </w:t>
      </w:r>
      <w:r w:rsidRPr="006E6EA5">
        <w:rPr>
          <w:rFonts w:ascii="Arial" w:eastAsia="Arial" w:hAnsi="Arial" w:cs="Arial"/>
          <w:i/>
          <w:iCs/>
          <w:color w:val="FF0000"/>
        </w:rPr>
        <w:t>Sustainability</w:t>
      </w:r>
      <w:r w:rsidRPr="006E6EA5">
        <w:rPr>
          <w:rFonts w:ascii="Arial" w:eastAsia="Arial" w:hAnsi="Arial" w:cs="Arial"/>
          <w:color w:val="FF0000"/>
        </w:rPr>
        <w:t xml:space="preserve">, 12(4), p.1520. </w:t>
      </w:r>
      <w:proofErr w:type="spellStart"/>
      <w:proofErr w:type="gramStart"/>
      <w:r w:rsidRPr="006E6EA5">
        <w:rPr>
          <w:rFonts w:ascii="Arial" w:eastAsia="Arial" w:hAnsi="Arial" w:cs="Arial"/>
          <w:color w:val="FF0000"/>
        </w:rPr>
        <w:t>doi:https</w:t>
      </w:r>
      <w:proofErr w:type="spellEnd"/>
      <w:r w:rsidRPr="006E6EA5">
        <w:rPr>
          <w:rFonts w:ascii="Arial" w:eastAsia="Arial" w:hAnsi="Arial" w:cs="Arial"/>
          <w:color w:val="FF0000"/>
        </w:rPr>
        <w:t>://doi.org/10.3390/su12041520</w:t>
      </w:r>
      <w:proofErr w:type="gramEnd"/>
      <w:r w:rsidRPr="006E6EA5">
        <w:rPr>
          <w:rFonts w:ascii="Arial" w:eastAsia="Arial" w:hAnsi="Arial" w:cs="Arial"/>
          <w:color w:val="FF0000"/>
        </w:rPr>
        <w:t>.</w:t>
      </w:r>
    </w:p>
    <w:p w14:paraId="427410F5"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Techsci</w:t>
      </w:r>
      <w:proofErr w:type="spellEnd"/>
      <w:r w:rsidRPr="006E6EA5">
        <w:rPr>
          <w:rFonts w:ascii="Arial" w:eastAsia="Arial" w:hAnsi="Arial" w:cs="Arial"/>
        </w:rPr>
        <w:t xml:space="preserve"> Research (2024). </w:t>
      </w:r>
      <w:r w:rsidRPr="006E6EA5">
        <w:rPr>
          <w:rFonts w:ascii="Arial" w:eastAsia="Arial" w:hAnsi="Arial" w:cs="Arial"/>
          <w:i/>
          <w:iCs/>
        </w:rPr>
        <w:t>South Africa Solar Photovoltaic (PV) Market by Size, Share and Forecast 2028</w:t>
      </w:r>
      <w:r w:rsidRPr="006E6EA5">
        <w:rPr>
          <w:rFonts w:ascii="Arial" w:eastAsia="Arial" w:hAnsi="Arial" w:cs="Arial"/>
        </w:rPr>
        <w:t>. Available at: https://www.techsciresearch.com/report/south-africa-solar-photovoltaic-pv-market/17129.html (Accessed: 19 September,2025).</w:t>
      </w:r>
    </w:p>
    <w:p w14:paraId="79BB6064"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Terblanché-Greeff, A.C. (2022). ‘Same-Same, But Not: Comparing Aspects of Cultures in South Africa, Australia, and New Zealand’. </w:t>
      </w:r>
      <w:proofErr w:type="gramStart"/>
      <w:r w:rsidRPr="006E6EA5">
        <w:rPr>
          <w:rFonts w:ascii="Arial" w:eastAsia="Arial" w:hAnsi="Arial" w:cs="Arial"/>
          <w:i/>
          <w:iCs/>
        </w:rPr>
        <w:t>p.215824402210995.</w:t>
      </w:r>
      <w:r w:rsidRPr="006E6EA5">
        <w:rPr>
          <w:rFonts w:ascii="Arial" w:eastAsia="Arial" w:hAnsi="Arial" w:cs="Arial"/>
        </w:rPr>
        <w:t>doi:https://doi.org/10.1177/21582440221099529</w:t>
      </w:r>
      <w:proofErr w:type="gramEnd"/>
      <w:r w:rsidRPr="006E6EA5">
        <w:rPr>
          <w:rFonts w:ascii="Arial" w:eastAsia="Arial" w:hAnsi="Arial" w:cs="Arial"/>
        </w:rPr>
        <w:t>.</w:t>
      </w:r>
    </w:p>
    <w:p w14:paraId="246DD0EB"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lastRenderedPageBreak/>
        <w:t>Theculturefactor</w:t>
      </w:r>
      <w:proofErr w:type="spellEnd"/>
      <w:r w:rsidRPr="006E6EA5">
        <w:rPr>
          <w:rFonts w:ascii="Arial" w:eastAsia="Arial" w:hAnsi="Arial" w:cs="Arial"/>
        </w:rPr>
        <w:t xml:space="preserve"> (2025). </w:t>
      </w:r>
      <w:r w:rsidRPr="006E6EA5">
        <w:rPr>
          <w:rFonts w:ascii="Arial" w:eastAsia="Arial" w:hAnsi="Arial" w:cs="Arial"/>
          <w:i/>
          <w:iCs/>
        </w:rPr>
        <w:t>Country comparison tool</w:t>
      </w:r>
      <w:r w:rsidRPr="006E6EA5">
        <w:rPr>
          <w:rFonts w:ascii="Arial" w:eastAsia="Arial" w:hAnsi="Arial" w:cs="Arial"/>
        </w:rPr>
        <w:t xml:space="preserve">. Available at: </w:t>
      </w:r>
      <w:hyperlink r:id="rId61">
        <w:r w:rsidRPr="006E6EA5">
          <w:rPr>
            <w:rFonts w:ascii="Arial" w:eastAsia="Arial" w:hAnsi="Arial" w:cs="Arial"/>
            <w:u w:val="single"/>
          </w:rPr>
          <w:t>https://www.theculturefactor.com/country-comparison-tool?countries=china%2Csouth+africa%2Cunited+kingdom</w:t>
        </w:r>
      </w:hyperlink>
      <w:r w:rsidRPr="006E6EA5">
        <w:rPr>
          <w:rFonts w:ascii="Arial" w:eastAsia="Arial" w:hAnsi="Arial" w:cs="Arial"/>
        </w:rPr>
        <w:t xml:space="preserve"> (Accessed: 19 September,2025).</w:t>
      </w:r>
    </w:p>
    <w:p w14:paraId="23F49320"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Think Cultural Health (2024). </w:t>
      </w:r>
      <w:r w:rsidRPr="006E6EA5">
        <w:rPr>
          <w:rFonts w:ascii="Arial" w:eastAsia="Arial" w:hAnsi="Arial" w:cs="Arial"/>
          <w:i/>
          <w:iCs/>
        </w:rPr>
        <w:t>Communication styles</w:t>
      </w:r>
      <w:r w:rsidRPr="006E6EA5">
        <w:rPr>
          <w:rFonts w:ascii="Arial" w:eastAsia="Arial" w:hAnsi="Arial" w:cs="Arial"/>
        </w:rPr>
        <w:t xml:space="preserve">. Available at: </w:t>
      </w:r>
      <w:hyperlink r:id="rId62">
        <w:r w:rsidRPr="006E6EA5">
          <w:rPr>
            <w:rFonts w:ascii="Arial" w:eastAsia="Arial" w:hAnsi="Arial" w:cs="Arial"/>
            <w:u w:val="single"/>
          </w:rPr>
          <w:t>https://thinkculturalhealth.hhs.gov/assets/pdfs/resource-library/communication-styles.pdf</w:t>
        </w:r>
      </w:hyperlink>
      <w:r w:rsidRPr="006E6EA5">
        <w:rPr>
          <w:rFonts w:ascii="Arial" w:eastAsia="Arial" w:hAnsi="Arial" w:cs="Arial"/>
        </w:rPr>
        <w:t xml:space="preserve"> (Accessed: 19 September,2025).</w:t>
      </w:r>
    </w:p>
    <w:p w14:paraId="78BCFE99"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Umbrex</w:t>
      </w:r>
      <w:proofErr w:type="spellEnd"/>
      <w:r w:rsidRPr="006E6EA5">
        <w:rPr>
          <w:rFonts w:ascii="Arial" w:eastAsia="Arial" w:hAnsi="Arial" w:cs="Arial"/>
        </w:rPr>
        <w:t xml:space="preserve"> (2024). </w:t>
      </w:r>
      <w:r w:rsidRPr="006E6EA5">
        <w:rPr>
          <w:rFonts w:ascii="Arial" w:eastAsia="Arial" w:hAnsi="Arial" w:cs="Arial"/>
          <w:i/>
          <w:iCs/>
        </w:rPr>
        <w:t>Strategy of BP</w:t>
      </w:r>
      <w:r w:rsidRPr="006E6EA5">
        <w:rPr>
          <w:rFonts w:ascii="Arial" w:eastAsia="Arial" w:hAnsi="Arial" w:cs="Arial"/>
        </w:rPr>
        <w:t xml:space="preserve">. Available at: </w:t>
      </w:r>
      <w:hyperlink r:id="rId63">
        <w:r w:rsidRPr="006E6EA5">
          <w:rPr>
            <w:rFonts w:ascii="Arial" w:eastAsia="Arial" w:hAnsi="Arial" w:cs="Arial"/>
            <w:u w:val="single"/>
          </w:rPr>
          <w:t>https://umbrex.com/resources/strategy-of-the-fortune-500/strategy-of-bp/</w:t>
        </w:r>
      </w:hyperlink>
      <w:r w:rsidRPr="006E6EA5">
        <w:rPr>
          <w:rFonts w:ascii="Arial" w:eastAsia="Arial" w:hAnsi="Arial" w:cs="Arial"/>
        </w:rPr>
        <w:t xml:space="preserve"> (Accessed: 13 November 2025).</w:t>
      </w:r>
    </w:p>
    <w:p w14:paraId="05803AD5"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proofErr w:type="spellStart"/>
      <w:r w:rsidRPr="006E6EA5">
        <w:rPr>
          <w:rFonts w:ascii="Arial" w:eastAsia="Arial" w:hAnsi="Arial" w:cs="Arial"/>
        </w:rPr>
        <w:t>Whyle</w:t>
      </w:r>
      <w:proofErr w:type="spellEnd"/>
      <w:r w:rsidRPr="006E6EA5">
        <w:rPr>
          <w:rFonts w:ascii="Arial" w:eastAsia="Arial" w:hAnsi="Arial" w:cs="Arial"/>
        </w:rPr>
        <w:t>, E. and Olivier, J. (2023</w:t>
      </w:r>
      <w:proofErr w:type="gramStart"/>
      <w:r w:rsidRPr="006E6EA5">
        <w:rPr>
          <w:rFonts w:ascii="Arial" w:eastAsia="Arial" w:hAnsi="Arial" w:cs="Arial"/>
        </w:rPr>
        <w:t>).‘</w:t>
      </w:r>
      <w:proofErr w:type="gramEnd"/>
      <w:r w:rsidRPr="006E6EA5">
        <w:rPr>
          <w:rFonts w:ascii="Arial" w:eastAsia="Arial" w:hAnsi="Arial" w:cs="Arial"/>
        </w:rPr>
        <w:t>A socio-political history of South Africa’s National Health Insurance</w:t>
      </w:r>
      <w:proofErr w:type="gramStart"/>
      <w:r w:rsidRPr="006E6EA5">
        <w:rPr>
          <w:rFonts w:ascii="Arial" w:eastAsia="Arial" w:hAnsi="Arial" w:cs="Arial"/>
        </w:rPr>
        <w:t>’</w:t>
      </w:r>
      <w:r w:rsidRPr="006E6EA5">
        <w:rPr>
          <w:rFonts w:ascii="Arial" w:eastAsia="Arial" w:hAnsi="Arial" w:cs="Arial"/>
          <w:i/>
          <w:iCs/>
        </w:rPr>
        <w:t>.pp.</w:t>
      </w:r>
      <w:proofErr w:type="gramEnd"/>
      <w:r w:rsidRPr="006E6EA5">
        <w:rPr>
          <w:rFonts w:ascii="Arial" w:eastAsia="Arial" w:hAnsi="Arial" w:cs="Arial"/>
          <w:i/>
          <w:iCs/>
        </w:rPr>
        <w:t>35–38</w:t>
      </w:r>
      <w:r w:rsidRPr="006E6EA5">
        <w:rPr>
          <w:rFonts w:ascii="Arial" w:eastAsia="Arial" w:hAnsi="Arial" w:cs="Arial"/>
        </w:rPr>
        <w:t xml:space="preserve">. </w:t>
      </w:r>
      <w:proofErr w:type="spellStart"/>
      <w:proofErr w:type="gramStart"/>
      <w:r w:rsidRPr="006E6EA5">
        <w:rPr>
          <w:rFonts w:ascii="Arial" w:eastAsia="Arial" w:hAnsi="Arial" w:cs="Arial"/>
        </w:rPr>
        <w:t>doi:https</w:t>
      </w:r>
      <w:proofErr w:type="spellEnd"/>
      <w:r w:rsidRPr="006E6EA5">
        <w:rPr>
          <w:rFonts w:ascii="Arial" w:eastAsia="Arial" w:hAnsi="Arial" w:cs="Arial"/>
        </w:rPr>
        <w:t>://doi.org/10.1186/s12939-023-02058-3</w:t>
      </w:r>
      <w:proofErr w:type="gramEnd"/>
      <w:r w:rsidRPr="006E6EA5">
        <w:rPr>
          <w:rFonts w:ascii="Arial" w:eastAsia="Arial" w:hAnsi="Arial" w:cs="Arial"/>
        </w:rPr>
        <w:t>.</w:t>
      </w:r>
    </w:p>
    <w:p w14:paraId="235DAB9D"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World Bank (2025). </w:t>
      </w:r>
      <w:r w:rsidRPr="006E6EA5">
        <w:rPr>
          <w:rFonts w:ascii="Arial" w:eastAsia="Arial" w:hAnsi="Arial" w:cs="Arial"/>
          <w:i/>
          <w:iCs/>
        </w:rPr>
        <w:t xml:space="preserve">SOUTH AFRICA ECONOMIC </w:t>
      </w:r>
      <w:proofErr w:type="spellStart"/>
      <w:r w:rsidRPr="006E6EA5">
        <w:rPr>
          <w:rFonts w:ascii="Arial" w:eastAsia="Arial" w:hAnsi="Arial" w:cs="Arial"/>
          <w:i/>
          <w:iCs/>
        </w:rPr>
        <w:t>UPDATE</w:t>
      </w:r>
      <w:r w:rsidRPr="006E6EA5">
        <w:rPr>
          <w:rFonts w:ascii="Arial" w:eastAsia="Arial" w:hAnsi="Arial" w:cs="Arial"/>
        </w:rPr>
        <w:t>.Available</w:t>
      </w:r>
      <w:proofErr w:type="spellEnd"/>
      <w:r w:rsidRPr="006E6EA5">
        <w:rPr>
          <w:rFonts w:ascii="Arial" w:eastAsia="Arial" w:hAnsi="Arial" w:cs="Arial"/>
        </w:rPr>
        <w:t xml:space="preserve"> at: </w:t>
      </w:r>
      <w:hyperlink r:id="rId64">
        <w:r w:rsidRPr="006E6EA5">
          <w:rPr>
            <w:rFonts w:ascii="Arial" w:eastAsia="Arial" w:hAnsi="Arial" w:cs="Arial"/>
            <w:u w:val="single"/>
          </w:rPr>
          <w:t>https://documents1.worldbank.org/curated/en/368961522944196494/pdf/125011-REPLACEMENT-PUBLIC-SAEU-APRIL-2018-Edition-11.pdf</w:t>
        </w:r>
      </w:hyperlink>
      <w:r w:rsidRPr="006E6EA5">
        <w:rPr>
          <w:rFonts w:ascii="Arial" w:eastAsia="Arial" w:hAnsi="Arial" w:cs="Arial"/>
        </w:rPr>
        <w:t xml:space="preserve"> (Accessed 19 September 2025).</w:t>
      </w:r>
    </w:p>
    <w:p w14:paraId="5B8D5C48"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Zhang, Z., Nie, S. and Downs, E. (2023). </w:t>
      </w:r>
      <w:r w:rsidRPr="006E6EA5">
        <w:rPr>
          <w:rFonts w:ascii="Arial" w:eastAsia="Arial" w:hAnsi="Arial" w:cs="Arial"/>
          <w:i/>
          <w:iCs/>
        </w:rPr>
        <w:t xml:space="preserve">Inside China’s 2023 Natural Gas Development Report - </w:t>
      </w:r>
      <w:proofErr w:type="spellStart"/>
      <w:r w:rsidRPr="006E6EA5">
        <w:rPr>
          <w:rFonts w:ascii="Arial" w:eastAsia="Arial" w:hAnsi="Arial" w:cs="Arial"/>
          <w:i/>
          <w:iCs/>
        </w:rPr>
        <w:t>Center</w:t>
      </w:r>
      <w:proofErr w:type="spellEnd"/>
      <w:r w:rsidRPr="006E6EA5">
        <w:rPr>
          <w:rFonts w:ascii="Arial" w:eastAsia="Arial" w:hAnsi="Arial" w:cs="Arial"/>
          <w:i/>
          <w:iCs/>
        </w:rPr>
        <w:t xml:space="preserve"> on Global Energy Policy at Columbia University SIPA | CGEP %</w:t>
      </w:r>
      <w:r w:rsidRPr="006E6EA5">
        <w:rPr>
          <w:rFonts w:ascii="Arial" w:eastAsia="Arial" w:hAnsi="Arial" w:cs="Arial"/>
        </w:rPr>
        <w:t xml:space="preserve">. Available at: </w:t>
      </w:r>
      <w:hyperlink r:id="rId65">
        <w:r w:rsidRPr="006E6EA5">
          <w:rPr>
            <w:rFonts w:ascii="Arial" w:eastAsia="Arial" w:hAnsi="Arial" w:cs="Arial"/>
            <w:u w:val="single"/>
          </w:rPr>
          <w:t>https://www.energypolicy.columbia.edu/inside-chinas-2023-natural-gas-development-report/</w:t>
        </w:r>
      </w:hyperlink>
      <w:r w:rsidRPr="006E6EA5">
        <w:rPr>
          <w:rFonts w:ascii="Arial" w:eastAsia="Arial" w:hAnsi="Arial" w:cs="Arial"/>
        </w:rPr>
        <w:t xml:space="preserve"> (Accessed: 19 September 2025).</w:t>
      </w:r>
    </w:p>
    <w:p w14:paraId="591A237A" w14:textId="77777777" w:rsidR="006F66E6" w:rsidRPr="006E6EA5" w:rsidRDefault="006F66E6" w:rsidP="006E6EA5">
      <w:pPr>
        <w:pBdr>
          <w:top w:val="nil"/>
          <w:left w:val="nil"/>
          <w:bottom w:val="nil"/>
          <w:right w:val="nil"/>
          <w:between w:val="nil"/>
        </w:pBdr>
        <w:spacing w:after="240" w:line="480" w:lineRule="auto"/>
        <w:rPr>
          <w:rFonts w:ascii="Arial" w:eastAsia="Arial" w:hAnsi="Arial" w:cs="Arial"/>
        </w:rPr>
      </w:pPr>
      <w:r w:rsidRPr="006E6EA5">
        <w:rPr>
          <w:rFonts w:ascii="Arial" w:eastAsia="Arial" w:hAnsi="Arial" w:cs="Arial"/>
        </w:rPr>
        <w:t xml:space="preserve">Zhao, W. (2022). ‘China’s goal of achieving carbon neutrality by 2060: experts explain how. </w:t>
      </w:r>
      <w:proofErr w:type="gramStart"/>
      <w:r w:rsidRPr="006E6EA5">
        <w:rPr>
          <w:rFonts w:ascii="Arial" w:eastAsia="Arial" w:hAnsi="Arial" w:cs="Arial"/>
          <w:i/>
          <w:iCs/>
        </w:rPr>
        <w:t>p.e</w:t>
      </w:r>
      <w:proofErr w:type="gramEnd"/>
      <w:r w:rsidRPr="006E6EA5">
        <w:rPr>
          <w:rFonts w:ascii="Arial" w:eastAsia="Arial" w:hAnsi="Arial" w:cs="Arial"/>
          <w:i/>
          <w:iCs/>
        </w:rPr>
        <w:t>0001223</w:t>
      </w:r>
      <w:proofErr w:type="gramStart"/>
      <w:r w:rsidRPr="006E6EA5">
        <w:rPr>
          <w:rFonts w:ascii="Arial" w:eastAsia="Arial" w:hAnsi="Arial" w:cs="Arial"/>
          <w:i/>
          <w:iCs/>
        </w:rPr>
        <w:t>’</w:t>
      </w:r>
      <w:r w:rsidRPr="006E6EA5">
        <w:rPr>
          <w:rFonts w:ascii="Arial" w:eastAsia="Arial" w:hAnsi="Arial" w:cs="Arial"/>
        </w:rPr>
        <w:t>.doi</w:t>
      </w:r>
      <w:proofErr w:type="gramEnd"/>
      <w:r w:rsidRPr="006E6EA5">
        <w:rPr>
          <w:rFonts w:ascii="Arial" w:eastAsia="Arial" w:hAnsi="Arial" w:cs="Arial"/>
        </w:rPr>
        <w:t>:https://doi.org/10.1093/</w:t>
      </w:r>
      <w:proofErr w:type="spellStart"/>
      <w:r w:rsidRPr="006E6EA5">
        <w:rPr>
          <w:rFonts w:ascii="Arial" w:eastAsia="Arial" w:hAnsi="Arial" w:cs="Arial"/>
        </w:rPr>
        <w:t>nsr</w:t>
      </w:r>
      <w:proofErr w:type="spellEnd"/>
      <w:r w:rsidRPr="006E6EA5">
        <w:rPr>
          <w:rFonts w:ascii="Arial" w:eastAsia="Arial" w:hAnsi="Arial" w:cs="Arial"/>
        </w:rPr>
        <w:t>/nwac115.</w:t>
      </w:r>
    </w:p>
    <w:p w14:paraId="5ACFD9AF" w14:textId="77777777" w:rsidR="006F66E6" w:rsidRPr="006E6EA5" w:rsidRDefault="006F66E6" w:rsidP="006E6EA5">
      <w:pPr>
        <w:pBdr>
          <w:top w:val="nil"/>
          <w:left w:val="nil"/>
          <w:bottom w:val="nil"/>
          <w:right w:val="nil"/>
          <w:between w:val="nil"/>
        </w:pBdr>
        <w:spacing w:before="240" w:after="240" w:line="480" w:lineRule="auto"/>
        <w:rPr>
          <w:rFonts w:ascii="Arial" w:eastAsia="Arial" w:hAnsi="Arial" w:cs="Arial"/>
        </w:rPr>
      </w:pPr>
      <w:r w:rsidRPr="006E6EA5">
        <w:rPr>
          <w:rFonts w:ascii="Arial" w:eastAsia="Arial" w:hAnsi="Arial" w:cs="Arial"/>
          <w:highlight w:val="white"/>
        </w:rPr>
        <w:lastRenderedPageBreak/>
        <w:t xml:space="preserve">Zici, A., Quaye, E.S., </w:t>
      </w:r>
      <w:proofErr w:type="spellStart"/>
      <w:r w:rsidRPr="006E6EA5">
        <w:rPr>
          <w:rFonts w:ascii="Arial" w:eastAsia="Arial" w:hAnsi="Arial" w:cs="Arial"/>
          <w:highlight w:val="white"/>
        </w:rPr>
        <w:t>Jaravaza</w:t>
      </w:r>
      <w:proofErr w:type="spellEnd"/>
      <w:r w:rsidRPr="006E6EA5">
        <w:rPr>
          <w:rFonts w:ascii="Arial" w:eastAsia="Arial" w:hAnsi="Arial" w:cs="Arial"/>
          <w:highlight w:val="white"/>
        </w:rPr>
        <w:t xml:space="preserve">, D.C. and Saini, Y., (2021). Luxury purchase intentions: the role of individualism-collectivism, personal values and value-expressive influence in South Africa. </w:t>
      </w:r>
      <w:r w:rsidRPr="006E6EA5">
        <w:rPr>
          <w:rFonts w:ascii="Arial" w:eastAsia="Arial" w:hAnsi="Arial" w:cs="Arial"/>
          <w:i/>
          <w:iCs/>
          <w:highlight w:val="white"/>
        </w:rPr>
        <w:t>Cogent Psychology</w:t>
      </w:r>
      <w:r w:rsidRPr="006E6EA5">
        <w:rPr>
          <w:rFonts w:ascii="Arial" w:eastAsia="Arial" w:hAnsi="Arial" w:cs="Arial"/>
          <w:highlight w:val="white"/>
        </w:rPr>
        <w:t xml:space="preserve">, </w:t>
      </w:r>
      <w:r w:rsidRPr="006E6EA5">
        <w:rPr>
          <w:rFonts w:ascii="Arial" w:eastAsia="Arial" w:hAnsi="Arial" w:cs="Arial"/>
          <w:i/>
          <w:iCs/>
          <w:highlight w:val="white"/>
        </w:rPr>
        <w:t>8</w:t>
      </w:r>
      <w:r w:rsidRPr="006E6EA5">
        <w:rPr>
          <w:rFonts w:ascii="Arial" w:eastAsia="Arial" w:hAnsi="Arial" w:cs="Arial"/>
          <w:highlight w:val="white"/>
        </w:rPr>
        <w:t xml:space="preserve">(1), p.1991728. </w:t>
      </w:r>
      <w:r w:rsidRPr="006E6EA5">
        <w:rPr>
          <w:rFonts w:ascii="Arial" w:eastAsia="Arial" w:hAnsi="Arial" w:cs="Arial"/>
        </w:rPr>
        <w:t xml:space="preserve">Available at: </w:t>
      </w:r>
      <w:hyperlink r:id="rId66">
        <w:r w:rsidRPr="006E6EA5">
          <w:rPr>
            <w:rFonts w:ascii="Arial" w:eastAsia="Arial" w:hAnsi="Arial" w:cs="Arial"/>
            <w:u w:val="single"/>
          </w:rPr>
          <w:t>https://doi.org/10.1080/23311908.2021.1991728</w:t>
        </w:r>
      </w:hyperlink>
      <w:r w:rsidRPr="006E6EA5">
        <w:rPr>
          <w:rFonts w:ascii="Arial" w:eastAsia="Arial" w:hAnsi="Arial" w:cs="Arial"/>
        </w:rPr>
        <w:t xml:space="preserve"> </w:t>
      </w:r>
    </w:p>
    <w:p w14:paraId="604B3948" w14:textId="77777777" w:rsidR="00CB0D88" w:rsidRPr="00E2682F" w:rsidRDefault="00CB0D88">
      <w:pPr>
        <w:pBdr>
          <w:top w:val="nil"/>
          <w:left w:val="nil"/>
          <w:bottom w:val="nil"/>
          <w:right w:val="nil"/>
          <w:between w:val="nil"/>
        </w:pBdr>
        <w:spacing w:before="240" w:after="240"/>
        <w:rPr>
          <w:rFonts w:ascii="Arial" w:eastAsia="Arial" w:hAnsi="Arial" w:cs="Arial"/>
          <w:color w:val="FF0000"/>
        </w:rPr>
      </w:pPr>
    </w:p>
    <w:p w14:paraId="40E1564C" w14:textId="77777777" w:rsidR="00CB0D88" w:rsidRPr="00E2682F" w:rsidRDefault="00CB0D88">
      <w:pPr>
        <w:pBdr>
          <w:top w:val="nil"/>
          <w:left w:val="nil"/>
          <w:bottom w:val="nil"/>
          <w:right w:val="nil"/>
          <w:between w:val="nil"/>
        </w:pBdr>
        <w:spacing w:after="240"/>
        <w:jc w:val="left"/>
        <w:rPr>
          <w:rFonts w:ascii="Arial" w:eastAsia="Arial" w:hAnsi="Arial" w:cs="Arial"/>
        </w:rPr>
      </w:pPr>
    </w:p>
    <w:p w14:paraId="1FB884F7" w14:textId="77777777" w:rsidR="00CB0D88" w:rsidRPr="00E2682F" w:rsidRDefault="00CB0D88">
      <w:pPr>
        <w:pBdr>
          <w:top w:val="nil"/>
          <w:left w:val="nil"/>
          <w:bottom w:val="nil"/>
          <w:right w:val="nil"/>
          <w:between w:val="nil"/>
        </w:pBdr>
        <w:spacing w:after="240"/>
        <w:jc w:val="left"/>
        <w:rPr>
          <w:rFonts w:ascii="Arial" w:eastAsia="Arial" w:hAnsi="Arial" w:cs="Arial"/>
        </w:rPr>
      </w:pPr>
    </w:p>
    <w:sectPr w:rsidR="00CB0D88" w:rsidRPr="00E2682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1B6B552-4E9D-4560-B086-0B8BDD19BEFA}"/>
  </w:font>
  <w:font w:name="Calibri">
    <w:panose1 w:val="020F0502020204030204"/>
    <w:charset w:val="00"/>
    <w:family w:val="swiss"/>
    <w:pitch w:val="variable"/>
    <w:sig w:usb0="E4002EFF" w:usb1="C200247B" w:usb2="00000009" w:usb3="00000000" w:csb0="000001FF" w:csb1="00000000"/>
    <w:embedRegular r:id="rId2" w:fontKey="{D29DAAEC-BB8C-46EF-81C0-66320FDB0669}"/>
    <w:embedBold r:id="rId3" w:fontKey="{25766EBA-BB2E-40D6-A11E-A94358096D04}"/>
  </w:font>
  <w:font w:name="Cambria">
    <w:panose1 w:val="02040503050406030204"/>
    <w:charset w:val="00"/>
    <w:family w:val="roman"/>
    <w:pitch w:val="variable"/>
    <w:sig w:usb0="E00006FF" w:usb1="420024FF" w:usb2="02000000" w:usb3="00000000" w:csb0="0000019F" w:csb1="00000000"/>
    <w:embedRegular r:id="rId4" w:fontKey="{4E5AB635-F7AA-46A5-953B-30E510331C4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44AC0"/>
    <w:multiLevelType w:val="multilevel"/>
    <w:tmpl w:val="D52EB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DED15D1"/>
    <w:multiLevelType w:val="multilevel"/>
    <w:tmpl w:val="39B41A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DE5F72"/>
    <w:multiLevelType w:val="multilevel"/>
    <w:tmpl w:val="DA5A4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35629C"/>
    <w:multiLevelType w:val="multilevel"/>
    <w:tmpl w:val="9C74AA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4354736">
    <w:abstractNumId w:val="3"/>
  </w:num>
  <w:num w:numId="2" w16cid:durableId="1729112613">
    <w:abstractNumId w:val="0"/>
  </w:num>
  <w:num w:numId="3" w16cid:durableId="1865559863">
    <w:abstractNumId w:val="1"/>
  </w:num>
  <w:num w:numId="4" w16cid:durableId="14340157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0D88"/>
    <w:rsid w:val="00204A36"/>
    <w:rsid w:val="002D1298"/>
    <w:rsid w:val="006E6EA5"/>
    <w:rsid w:val="006F66E6"/>
    <w:rsid w:val="00722F45"/>
    <w:rsid w:val="007B42D1"/>
    <w:rsid w:val="008F7F9D"/>
    <w:rsid w:val="00CB0D88"/>
    <w:rsid w:val="00D619C8"/>
    <w:rsid w:val="00E26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3921E"/>
  <w15:docId w15:val="{67EE97EC-9E06-4C52-92A5-1D775FC8B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rFonts w:ascii="Arial" w:eastAsia="Arial" w:hAnsi="Arial" w:cs="Arial"/>
      <w:b/>
      <w:bCs/>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rFonts w:ascii="Arial" w:eastAsia="Arial" w:hAnsi="Arial" w:cs="Arial"/>
      <w:b/>
      <w:bCs/>
      <w:color w:val="000000"/>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861D7E"/>
    <w:tblPr>
      <w:tblCellMar>
        <w:top w:w="100" w:type="dxa"/>
        <w:left w:w="100" w:type="dxa"/>
        <w:bottom w:w="100" w:type="dxa"/>
        <w:right w:w="100" w:type="dxa"/>
      </w:tblCellMar>
    </w:tblPr>
  </w:style>
  <w:style w:type="paragraph" w:customStyle="1" w:styleId="Normal1">
    <w:name w:val="Normal1"/>
    <w:rsid w:val="00861D7E"/>
  </w:style>
  <w:style w:type="paragraph" w:styleId="CommentText">
    <w:name w:val="annotation text"/>
    <w:basedOn w:val="Normal"/>
    <w:link w:val="CommentTextChar"/>
    <w:uiPriority w:val="99"/>
    <w:semiHidden/>
    <w:unhideWhenUsed/>
    <w:rsid w:val="00861D7E"/>
    <w:pPr>
      <w:spacing w:line="240" w:lineRule="auto"/>
    </w:pPr>
    <w:rPr>
      <w:sz w:val="20"/>
      <w:szCs w:val="20"/>
    </w:rPr>
  </w:style>
  <w:style w:type="character" w:customStyle="1" w:styleId="CommentTextChar">
    <w:name w:val="Comment Text Char"/>
    <w:basedOn w:val="DefaultParagraphFont"/>
    <w:link w:val="CommentText"/>
    <w:uiPriority w:val="99"/>
    <w:semiHidden/>
    <w:rsid w:val="00861D7E"/>
    <w:rPr>
      <w:sz w:val="20"/>
      <w:szCs w:val="20"/>
    </w:rPr>
  </w:style>
  <w:style w:type="character" w:styleId="CommentReference">
    <w:name w:val="annotation reference"/>
    <w:basedOn w:val="DefaultParagraphFont"/>
    <w:uiPriority w:val="99"/>
    <w:semiHidden/>
    <w:unhideWhenUsed/>
    <w:rsid w:val="00861D7E"/>
    <w:rPr>
      <w:sz w:val="16"/>
      <w:szCs w:val="16"/>
    </w:rPr>
  </w:style>
  <w:style w:type="paragraph" w:styleId="BalloonText">
    <w:name w:val="Balloon Text"/>
    <w:basedOn w:val="Normal"/>
    <w:link w:val="BalloonTextChar"/>
    <w:uiPriority w:val="99"/>
    <w:semiHidden/>
    <w:unhideWhenUsed/>
    <w:rsid w:val="009758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58DF"/>
    <w:rPr>
      <w:rFonts w:ascii="Tahoma" w:hAnsi="Tahoma" w:cs="Tahoma"/>
      <w:sz w:val="16"/>
      <w:szCs w:val="16"/>
    </w:rPr>
  </w:style>
  <w:style w:type="paragraph" w:styleId="TOCHeading">
    <w:name w:val="TOC Heading"/>
    <w:basedOn w:val="Heading1"/>
    <w:next w:val="Normal"/>
    <w:uiPriority w:val="39"/>
    <w:semiHidden/>
    <w:unhideWhenUsed/>
    <w:qFormat/>
    <w:rsid w:val="003A4625"/>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3A4625"/>
    <w:pPr>
      <w:spacing w:after="100"/>
    </w:pPr>
  </w:style>
  <w:style w:type="paragraph" w:styleId="TOC2">
    <w:name w:val="toc 2"/>
    <w:basedOn w:val="Normal"/>
    <w:next w:val="Normal"/>
    <w:autoRedefine/>
    <w:uiPriority w:val="39"/>
    <w:unhideWhenUsed/>
    <w:rsid w:val="003A4625"/>
    <w:pPr>
      <w:spacing w:after="100"/>
      <w:ind w:left="240"/>
    </w:pPr>
  </w:style>
  <w:style w:type="character" w:styleId="Hyperlink">
    <w:name w:val="Hyperlink"/>
    <w:basedOn w:val="DefaultParagraphFont"/>
    <w:uiPriority w:val="99"/>
    <w:unhideWhenUsed/>
    <w:rsid w:val="003A4625"/>
    <w:rPr>
      <w:color w:val="0000FF" w:themeColor="hyperlink"/>
      <w:u w:val="single"/>
    </w:rPr>
  </w:style>
  <w:style w:type="paragraph" w:styleId="NormalWeb">
    <w:name w:val="Normal (Web)"/>
    <w:basedOn w:val="Normal"/>
    <w:uiPriority w:val="99"/>
    <w:unhideWhenUsed/>
    <w:rsid w:val="00BE5B17"/>
    <w:pPr>
      <w:spacing w:before="100" w:beforeAutospacing="1" w:after="100" w:afterAutospacing="1" w:line="240" w:lineRule="auto"/>
      <w:jc w:val="left"/>
    </w:pPr>
    <w:rPr>
      <w:lang w:val="en-IN" w:eastAsia="en-IN"/>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p.com/en/global/corporate/careers/life-at-bp/rewards-and-benefits.html" TargetMode="External"/><Relationship Id="rId21" Type="http://schemas.openxmlformats.org/officeDocument/2006/relationships/hyperlink" Target="https://www.reuters.com/business/energy/bp-drops-oil-output-target-strategy-reset-sources-say-2024-10-07/" TargetMode="External"/><Relationship Id="rId34" Type="http://schemas.openxmlformats.org/officeDocument/2006/relationships/hyperlink" Target="https://www.bp.com/content/dam/bp/business-sites/en/global/corporate/pdfs/investors/bp-annual-report-and-form-20f-2023.pdf" TargetMode="External"/><Relationship Id="rId42" Type="http://schemas.openxmlformats.org/officeDocument/2006/relationships/hyperlink" Target="https://www.bp.com/en/global/corporate/who-we-are/our-organization/technology.html" TargetMode="External"/><Relationship Id="rId47" Type="http://schemas.openxmlformats.org/officeDocument/2006/relationships/hyperlink" Target="https://www.enerdata.net/publications/daily-energy-news/south-africa-unveils-its-draft-integrated-resource-plan-2030-and-2050.htm" TargetMode="External"/><Relationship Id="rId50" Type="http://schemas.openxmlformats.org/officeDocument/2006/relationships/hyperlink" Target="https://www.bloomberg.com/news/articles/2025-02-23/south-africa-loadshedding-power-cuts-at-highest-level-for-first-time-in-year" TargetMode="External"/><Relationship Id="rId55" Type="http://schemas.openxmlformats.org/officeDocument/2006/relationships/hyperlink" Target="https://african.business/2024/11/partner-content/greater-tortue-ahmeyim-set-to-supercharge-growth" TargetMode="External"/><Relationship Id="rId63" Type="http://schemas.openxmlformats.org/officeDocument/2006/relationships/hyperlink" Target="https://umbrex.com/resources/strategy-of-the-fortune-500/strategy-of-bp/" TargetMode="Externa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hyperlink" Target="https://www.bp.com/en/global/corporate/sustainability/safety.html" TargetMode="External"/><Relationship Id="rId11" Type="http://schemas.openxmlformats.org/officeDocument/2006/relationships/image" Target="media/image5.png"/><Relationship Id="rId24" Type="http://schemas.openxmlformats.org/officeDocument/2006/relationships/hyperlink" Target="https://www.bp.com/content/dam/bp/business-sites/en/global/corporate/pdfs/sustainability/group-reports/bp-our-responsible-tax-principles.pdf" TargetMode="External"/><Relationship Id="rId32" Type="http://schemas.openxmlformats.org/officeDocument/2006/relationships/hyperlink" Target="https://www.bp.com/en_us/united-states/home/news/press-releases/bp-unveils-transformative-consumer-experience-innovations-at-bp-amoco-marketers-association-convention.html" TargetMode="External"/><Relationship Id="rId37" Type="http://schemas.openxmlformats.org/officeDocument/2006/relationships/hyperlink" Target="https://www.bp.com/content/dam/bp/business-sites/en/global/corporate/pdfs/energy-economics/energy-outlook/bp-energy-outlook-2024.pdf" TargetMode="External"/><Relationship Id="rId40" Type="http://schemas.openxmlformats.org/officeDocument/2006/relationships/hyperlink" Target="https://www.bp.com/en/global/corporate/what-we-do/bp-worldwide/bp-in-canada.html" TargetMode="External"/><Relationship Id="rId45" Type="http://schemas.openxmlformats.org/officeDocument/2006/relationships/hyperlink" Target="https://climateactiontracker.org/countries/china/" TargetMode="External"/><Relationship Id="rId53" Type="http://schemas.openxmlformats.org/officeDocument/2006/relationships/hyperlink" Target="https://www.atlantis-press.com/article/125961397.pdf" TargetMode="External"/><Relationship Id="rId58" Type="http://schemas.openxmlformats.org/officeDocument/2006/relationships/hyperlink" Target="http://www.petroleumhistory.ca/history/companies.html" TargetMode="External"/><Relationship Id="rId66" Type="http://schemas.openxmlformats.org/officeDocument/2006/relationships/hyperlink" Target="https://doi.org/10.1080/23311908.2021.1991728" TargetMode="External"/><Relationship Id="rId5" Type="http://schemas.openxmlformats.org/officeDocument/2006/relationships/settings" Target="settings.xml"/><Relationship Id="rId61" Type="http://schemas.openxmlformats.org/officeDocument/2006/relationships/hyperlink" Target="https://www.theculturefactor.com/country-comparison-tool?countries=china%2Csouth+africa%2Cunited+kingdom" TargetMode="External"/><Relationship Id="rId19" Type="http://schemas.openxmlformats.org/officeDocument/2006/relationships/hyperlink" Target="https://medium.com/climate-wins/china-installed-a-record-217-gw-of-solar-in-2023-more-than-the-rest-of-the-world-combined-41018a52c462" TargetMode="External"/><Relationship Id="rId14" Type="http://schemas.openxmlformats.org/officeDocument/2006/relationships/image" Target="media/image8.png"/><Relationship Id="rId22" Type="http://schemas.openxmlformats.org/officeDocument/2006/relationships/hyperlink" Target="https://www.bp.com/en/global/corporate/news-and-insights/press-releases/4q-2022-update-on-strategic-progress.html" TargetMode="External"/><Relationship Id="rId27" Type="http://schemas.openxmlformats.org/officeDocument/2006/relationships/hyperlink" Target="https://www.bp.com/en/global/corporate/news-and-insights/press-releases/from-international-oil-company-to-integrated-energy-company-bp-sets-out-strategy-for-decade-of-delivery-towards-net-zero-ambition.html" TargetMode="External"/><Relationship Id="rId30" Type="http://schemas.openxmlformats.org/officeDocument/2006/relationships/hyperlink" Target="https://www.bp.com/en/global/corporate/who-we-are/our-organization/technology.html" TargetMode="External"/><Relationship Id="rId35" Type="http://schemas.openxmlformats.org/officeDocument/2006/relationships/hyperlink" Target="https://www.bp.com/en/global/corporate/news-and-insights/press-releases/audi-and-bp-team-up-with-strategic-partnership-for-formula-1.html" TargetMode="External"/><Relationship Id="rId43" Type="http://schemas.openxmlformats.org/officeDocument/2006/relationships/hyperlink" Target="https://www.bp.com/en_gb/united-kingdom/home/where-we-operate.html" TargetMode="External"/><Relationship Id="rId48" Type="http://schemas.openxmlformats.org/officeDocument/2006/relationships/hyperlink" Target="https://fastercapital.com/content/Cracking-the-Code--Demystifying-the-OLI-Framework-in-the-Eclectic-Paradigm.html" TargetMode="External"/><Relationship Id="rId56" Type="http://schemas.openxmlformats.org/officeDocument/2006/relationships/hyperlink" Target="https://www.civitas.org.uk/content/files/Trade-Champions-Report-FINAL.pdf" TargetMode="External"/><Relationship Id="rId64" Type="http://schemas.openxmlformats.org/officeDocument/2006/relationships/hyperlink" Target="https://documents1.worldbank.org/curated/en/368961522944196494/pdf/125011-REPLACEMENT-PUBLIC-SAEU-APRIL-2018-Edition-11.pdf" TargetMode="External"/><Relationship Id="rId8" Type="http://schemas.openxmlformats.org/officeDocument/2006/relationships/image" Target="media/image2.png"/><Relationship Id="rId51" Type="http://schemas.openxmlformats.org/officeDocument/2006/relationships/hyperlink" Target="https://doi.org/10.1108/IJOEM-09-2019-0730" TargetMode="Externa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hyperlink" Target="https://www.newscientist.com/article/2324039-deepwater-horizon-oil-spill-did-no-harm-to-bps-long-term-share-value/" TargetMode="External"/><Relationship Id="rId25" Type="http://schemas.openxmlformats.org/officeDocument/2006/relationships/hyperlink" Target="https://www.bp.com/content/dam/bp/business-sites/en/global/corporate/pdfs/energy-economics/energy-outlook/bp-energy-outlook-2024-country-insight-china.pdf" TargetMode="External"/><Relationship Id="rId33" Type="http://schemas.openxmlformats.org/officeDocument/2006/relationships/hyperlink" Target="https://www.bp.com/content/dam/bp/business-sites/en/global/corporate/pdfs/what-we-do/worldwide/bp-european-economic-impact-report-2023.pdf" TargetMode="External"/><Relationship Id="rId38" Type="http://schemas.openxmlformats.org/officeDocument/2006/relationships/hyperlink" Target="https://www.bp.com/en/global/corporate/news-and-insights/energy-in-focus/gta-project-fpso-arrival.html" TargetMode="External"/><Relationship Id="rId46" Type="http://schemas.openxmlformats.org/officeDocument/2006/relationships/hyperlink" Target="https://www.reuters.com/business/energy/bp-active-talks-with-stonepeak-over-castrol-sale-sources-say-2025-11-12/" TargetMode="External"/><Relationship Id="rId59" Type="http://schemas.openxmlformats.org/officeDocument/2006/relationships/hyperlink" Target="https://doi.org/10.1080/19186444.2022.2076495" TargetMode="External"/><Relationship Id="rId67" Type="http://schemas.openxmlformats.org/officeDocument/2006/relationships/fontTable" Target="fontTable.xml"/><Relationship Id="rId20" Type="http://schemas.openxmlformats.org/officeDocument/2006/relationships/hyperlink" Target="https://www.hausfeld.com/en-gb/news/bp-hit-by-legal-action-alleging-that-its-excessive-gas-flaring-caused-death-of-young-iraqi" TargetMode="External"/><Relationship Id="rId41" Type="http://schemas.openxmlformats.org/officeDocument/2006/relationships/hyperlink" Target="https://www.bp.com/en/global/corporate/who-we-are/supplying-to-bp/procurement-processes.html" TargetMode="External"/><Relationship Id="rId54" Type="http://schemas.openxmlformats.org/officeDocument/2006/relationships/hyperlink" Target="https://www.livemint.com/companies/news/bp-slashes-net-zero-renewable-energy-spending-by-5-billion-turns-to-fossil-fuels-whats-behind-the-strategy-shift-11740585637756.html" TargetMode="External"/><Relationship Id="rId62" Type="http://schemas.openxmlformats.org/officeDocument/2006/relationships/hyperlink" Target="https://thinkculturalhealth.hhs.gov/assets/pdfs/resource-library/communication-styles.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www.bp.com/content/dam/bp/business-sites/en/global/corporate/pdfs/energy-economics/energy-outlook/bp-energy-outlook-2024.pdf" TargetMode="External"/><Relationship Id="rId28" Type="http://schemas.openxmlformats.org/officeDocument/2006/relationships/hyperlink" Target="https://www.bp.com/en/global/corporate/who-we-are/our-organization/gas-and-low-carbon-energy.html" TargetMode="External"/><Relationship Id="rId36" Type="http://schemas.openxmlformats.org/officeDocument/2006/relationships/hyperlink" Target="https://www.bp.com/content/dam/bp/business-sites/en/global/corporate/pdfs/investors/bp-annual-report-and-form-20f-2024.pdf" TargetMode="External"/><Relationship Id="rId49" Type="http://schemas.openxmlformats.org/officeDocument/2006/relationships/hyperlink" Target="https://doi.org/10.4102/apsdpr.v10i1.563" TargetMode="External"/><Relationship Id="rId57" Type="http://schemas.openxmlformats.org/officeDocument/2006/relationships/hyperlink" Target="https://www.reuters.com/business/energy/bp-reports-lower-than-expected-profit-138-billion-2025-04-29/" TargetMode="External"/><Relationship Id="rId10" Type="http://schemas.openxmlformats.org/officeDocument/2006/relationships/image" Target="media/image4.png"/><Relationship Id="rId31" Type="http://schemas.openxmlformats.org/officeDocument/2006/relationships/hyperlink" Target="https://www.bp.com/en/global/corporate/careers/life-at-bp/rewards-and-benefits.html" TargetMode="External"/><Relationship Id="rId44" Type="http://schemas.openxmlformats.org/officeDocument/2006/relationships/hyperlink" Target="https://businessinsurance.co.za/news/insurance-supporting-sustainable-bee-compliance/" TargetMode="External"/><Relationship Id="rId52" Type="http://schemas.openxmlformats.org/officeDocument/2006/relationships/hyperlink" Target="https://doi.org/10.1016/j.jclepro.2021.125824" TargetMode="External"/><Relationship Id="rId60" Type="http://schemas.openxmlformats.org/officeDocument/2006/relationships/hyperlink" Target="https://www.spglobal.com/commodity-insights/en/news-research/latest-news/lng/052225-wgc2025-bp-signs-long-term-lng-spa-with-chinas-zhejiang-energy" TargetMode="External"/><Relationship Id="rId65" Type="http://schemas.openxmlformats.org/officeDocument/2006/relationships/hyperlink" Target="https://www.energypolicy.columbia.edu/inside-chinas-2023-natural-gas-development-report/" TargetMode="Externa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theguardian.com/business/2025/apr/17/bp-braces-for-investor-rebellion-at-first-agm-since-climate-strategy-u-turn" TargetMode="External"/><Relationship Id="rId39" Type="http://schemas.openxmlformats.org/officeDocument/2006/relationships/hyperlink" Target="https://knak.jp/big/bp.ht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AjrlZxnqpF9oUtJB55idOqjZPw==">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AE22954-1B9C-47DC-BA04-7FAEF7217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36</Pages>
  <Words>9111</Words>
  <Characters>51939</Characters>
  <Application>Microsoft Office Word</Application>
  <DocSecurity>0</DocSecurity>
  <Lines>432</Lines>
  <Paragraphs>121</Paragraphs>
  <ScaleCrop>false</ScaleCrop>
  <Company/>
  <LinksUpToDate>false</LinksUpToDate>
  <CharactersWithSpaces>60929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Saurabh Singh bisht</cp:lastModifiedBy>
  <cp:revision>4</cp:revision>
  <dcterms:created xsi:type="dcterms:W3CDTF">2025-09-19T11:02:00Z</dcterms:created>
  <dcterms:modified xsi:type="dcterms:W3CDTF">2025-11-19T15:24:00Z</dcterms:modified>
</cp:coreProperties>
</file>