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4094D9" w14:textId="77777777" w:rsidR="00403FD1" w:rsidRDefault="00403FD1" w:rsidP="00403FD1">
      <w:pPr>
        <w:rPr>
          <w:b/>
          <w:bCs/>
        </w:rPr>
      </w:pPr>
    </w:p>
    <w:p w14:paraId="7398CF5A" w14:textId="7A617F70" w:rsidR="00403FD1" w:rsidRPr="00403FD1" w:rsidRDefault="00403FD1" w:rsidP="00403FD1">
      <w:pPr>
        <w:rPr>
          <w:b/>
          <w:bCs/>
        </w:rPr>
      </w:pPr>
      <w:r w:rsidRPr="00403FD1">
        <w:rPr>
          <w:b/>
          <w:bCs/>
        </w:rPr>
        <w:t>Essay one:</w:t>
      </w:r>
      <w:r>
        <w:rPr>
          <w:b/>
          <w:bCs/>
        </w:rPr>
        <w:t xml:space="preserve"> </w:t>
      </w:r>
      <w:r>
        <w:t>How effectively has the police service adapted to accommodate diversity within the UK?</w:t>
      </w:r>
      <w:r w:rsidR="00411B87">
        <w:rPr>
          <w:b/>
          <w:bCs/>
        </w:rPr>
        <w:t xml:space="preserve"> </w:t>
      </w:r>
      <w:r>
        <w:t>Consider the police force itself and/or the way police engage with diverse communities.</w:t>
      </w:r>
    </w:p>
    <w:p w14:paraId="4BDD373D" w14:textId="63EC1970" w:rsidR="00BC2189" w:rsidRDefault="00403FD1" w:rsidP="00403FD1">
      <w:r>
        <w:t>Word limit: 1000 words</w:t>
      </w:r>
    </w:p>
    <w:p w14:paraId="1AAB18B3" w14:textId="77777777" w:rsidR="00FA6240" w:rsidRPr="00FA6240" w:rsidRDefault="00FA6240" w:rsidP="00FA6240">
      <w:pPr>
        <w:rPr>
          <w:rFonts w:cstheme="minorHAnsi"/>
          <w:sz w:val="20"/>
          <w:szCs w:val="20"/>
        </w:rPr>
      </w:pPr>
      <w:r w:rsidRPr="00FA6240">
        <w:rPr>
          <w:rFonts w:cstheme="minorHAnsi"/>
          <w:sz w:val="20"/>
          <w:szCs w:val="20"/>
        </w:rPr>
        <w:t xml:space="preserve">This essay argues that, while there have been several considerable landmarks for diversity in modern history as far where legislation and police initiatives are concerned, there remains a large discrepancy in perceived inclusivity and job satisfaction among minority groups across English and Welsh forces; this is particularly so for sexual minorities in the workforce. </w:t>
      </w:r>
    </w:p>
    <w:p w14:paraId="30DF5DC0" w14:textId="77777777" w:rsidR="00FA6240" w:rsidRPr="00FA6240" w:rsidRDefault="00FA6240" w:rsidP="00FA6240">
      <w:pPr>
        <w:rPr>
          <w:rFonts w:cstheme="minorHAnsi"/>
          <w:sz w:val="20"/>
          <w:szCs w:val="20"/>
        </w:rPr>
      </w:pPr>
      <w:r w:rsidRPr="00FA6240">
        <w:rPr>
          <w:rFonts w:cstheme="minorHAnsi"/>
          <w:sz w:val="20"/>
          <w:szCs w:val="20"/>
        </w:rPr>
        <w:t>This essay does not deny that inequality and discrimination toward other minority groups and protected characteristics exist, but – due to restrictions on the scope – this essay explores 2 main themes: Sexuality, and religion. Out of respect, significant data pertaining to these other groups is cited as footnotes.</w:t>
      </w:r>
    </w:p>
    <w:p w14:paraId="4E335991" w14:textId="77777777" w:rsidR="00FA6240" w:rsidRPr="00FA6240" w:rsidRDefault="00FA6240" w:rsidP="00FA6240">
      <w:pPr>
        <w:rPr>
          <w:rFonts w:cstheme="minorHAnsi"/>
          <w:sz w:val="20"/>
          <w:szCs w:val="20"/>
        </w:rPr>
      </w:pPr>
      <w:r w:rsidRPr="00FA6240">
        <w:rPr>
          <w:rFonts w:cstheme="minorHAnsi"/>
          <w:sz w:val="20"/>
          <w:szCs w:val="20"/>
        </w:rPr>
        <w:t xml:space="preserve">Most significant reforms to the UK police service emerged from the Stephen Lawrence Inquiry Report (Home Office, 1999). These reforms were mostly race-related, but LAO informed other diversity efforts (Home Office, 1999). </w:t>
      </w:r>
    </w:p>
    <w:p w14:paraId="22FFE0AD" w14:textId="1F988C1E" w:rsidR="00FA6240" w:rsidRPr="00FA6240" w:rsidRDefault="00FA6240" w:rsidP="00FA6240">
      <w:pPr>
        <w:pStyle w:val="NormalWeb"/>
        <w:shd w:val="clear" w:color="auto" w:fill="FFFFFF"/>
        <w:spacing w:after="255"/>
        <w:rPr>
          <w:rFonts w:asciiTheme="minorHAnsi" w:hAnsiTheme="minorHAnsi" w:cstheme="minorHAnsi"/>
          <w:color w:val="555555"/>
          <w:sz w:val="20"/>
          <w:szCs w:val="20"/>
        </w:rPr>
      </w:pPr>
      <w:r w:rsidRPr="00FA6240">
        <w:rPr>
          <w:rFonts w:asciiTheme="minorHAnsi" w:hAnsiTheme="minorHAnsi" w:cstheme="minorHAnsi"/>
          <w:kern w:val="2"/>
          <w:sz w:val="20"/>
          <w:szCs w:val="20"/>
          <w:lang w:eastAsia="en-US"/>
          <w14:ligatures w14:val="standardContextual"/>
        </w:rPr>
        <w:t xml:space="preserve">More recently, the National Police Learning Requirement for Race and Diversity Training was introduced, which aimed </w:t>
      </w:r>
      <w:proofErr w:type="gramStart"/>
      <w:r w:rsidRPr="00FA6240">
        <w:rPr>
          <w:rFonts w:asciiTheme="minorHAnsi" w:hAnsiTheme="minorHAnsi" w:cstheme="minorHAnsi"/>
          <w:kern w:val="2"/>
          <w:sz w:val="20"/>
          <w:szCs w:val="20"/>
          <w:lang w:eastAsia="en-US"/>
          <w14:ligatures w14:val="standardContextual"/>
        </w:rPr>
        <w:t>to:</w:t>
      </w:r>
      <w:proofErr w:type="gramEnd"/>
      <w:r w:rsidRPr="00FA6240">
        <w:rPr>
          <w:rFonts w:asciiTheme="minorHAnsi" w:hAnsiTheme="minorHAnsi" w:cstheme="minorHAnsi"/>
          <w:kern w:val="2"/>
          <w:sz w:val="20"/>
          <w:szCs w:val="20"/>
          <w:lang w:eastAsia="en-US"/>
          <w14:ligatures w14:val="standardContextual"/>
        </w:rPr>
        <w:t xml:space="preserve"> raise awareness of the various demographic in the UK with respect to race (primarily) as well as gender, disability, age, sexual orientation, religion, and beliefs; and educate officers on how to adopt inclusive practices in the workplace and in </w:t>
      </w:r>
      <w:r w:rsidRPr="00BC4FD4">
        <w:rPr>
          <w:rFonts w:asciiTheme="minorHAnsi" w:hAnsiTheme="minorHAnsi" w:cstheme="minorHAnsi"/>
          <w:color w:val="000000" w:themeColor="text1"/>
          <w:kern w:val="2"/>
          <w:sz w:val="20"/>
          <w:szCs w:val="20"/>
          <w:lang w:eastAsia="en-US"/>
          <w14:ligatures w14:val="standardContextual"/>
        </w:rPr>
        <w:t xml:space="preserve">public </w:t>
      </w:r>
      <w:r w:rsidRPr="00BC4FD4">
        <w:rPr>
          <w:rFonts w:asciiTheme="minorHAnsi" w:hAnsiTheme="minorHAnsi" w:cstheme="minorHAnsi"/>
          <w:color w:val="000000" w:themeColor="text1"/>
          <w:sz w:val="20"/>
          <w:szCs w:val="20"/>
        </w:rPr>
        <w:t>(Clements, 2008)</w:t>
      </w:r>
      <w:r w:rsidR="00BC4FD4" w:rsidRPr="00BC4FD4">
        <w:rPr>
          <w:rFonts w:asciiTheme="minorHAnsi" w:hAnsiTheme="minorHAnsi" w:cstheme="minorHAnsi"/>
          <w:color w:val="000000" w:themeColor="text1"/>
          <w:sz w:val="20"/>
          <w:szCs w:val="20"/>
        </w:rPr>
        <w:t>.</w:t>
      </w:r>
    </w:p>
    <w:p w14:paraId="4D5B0DE3" w14:textId="77777777" w:rsidR="00FA6240" w:rsidRPr="00FA6240" w:rsidRDefault="00FA6240" w:rsidP="00FA6240">
      <w:pPr>
        <w:rPr>
          <w:rFonts w:cstheme="minorHAnsi"/>
          <w:sz w:val="20"/>
          <w:szCs w:val="20"/>
        </w:rPr>
      </w:pPr>
      <w:r w:rsidRPr="00FA6240">
        <w:rPr>
          <w:rFonts w:cstheme="minorHAnsi"/>
          <w:sz w:val="20"/>
          <w:szCs w:val="20"/>
        </w:rPr>
        <w:t xml:space="preserve">Cited as ‘a catalyst for change” </w:t>
      </w:r>
      <w:r w:rsidRPr="00BC4FD4">
        <w:rPr>
          <w:rFonts w:cstheme="minorHAnsi"/>
          <w:color w:val="000000" w:themeColor="text1"/>
          <w:sz w:val="20"/>
          <w:szCs w:val="20"/>
        </w:rPr>
        <w:t xml:space="preserve">(Holland, 2007), </w:t>
      </w:r>
      <w:r w:rsidRPr="00FA6240">
        <w:rPr>
          <w:rFonts w:cstheme="minorHAnsi"/>
          <w:sz w:val="20"/>
          <w:szCs w:val="20"/>
        </w:rPr>
        <w:t>the 2003 BBC documentary, ‘The Secret Policeman’ followed an undercover journalist undertake police training and recruitment, recording conversations that would expose numerous officers for verbal hate toward Asians, general discrimination, and sympathy for far-right political groups</w:t>
      </w:r>
      <w:r w:rsidRPr="00FA6240">
        <w:rPr>
          <w:rFonts w:cstheme="minorHAnsi"/>
          <w:color w:val="555555"/>
          <w:sz w:val="20"/>
          <w:szCs w:val="20"/>
        </w:rPr>
        <w:t xml:space="preserve"> </w:t>
      </w:r>
      <w:r w:rsidRPr="00BC4FD4">
        <w:rPr>
          <w:rFonts w:cstheme="minorHAnsi"/>
          <w:color w:val="000000" w:themeColor="text1"/>
          <w:sz w:val="20"/>
          <w:szCs w:val="20"/>
        </w:rPr>
        <w:t xml:space="preserve">(McLaughlin, 2007). </w:t>
      </w:r>
      <w:r w:rsidRPr="00FA6240">
        <w:rPr>
          <w:rFonts w:cstheme="minorHAnsi"/>
          <w:color w:val="000000"/>
          <w:sz w:val="20"/>
          <w:szCs w:val="20"/>
        </w:rPr>
        <w:t>10 officers resigned, and subsequent attention was drawn to police recruitment and retention, where it was found that BAME employees were significantly under-represented at management grades</w:t>
      </w:r>
      <w:r w:rsidRPr="00BC4FD4">
        <w:rPr>
          <w:rFonts w:cstheme="minorHAnsi"/>
          <w:color w:val="000000" w:themeColor="text1"/>
          <w:sz w:val="20"/>
          <w:szCs w:val="20"/>
        </w:rPr>
        <w:t xml:space="preserve"> (Stout, 2010). </w:t>
      </w:r>
    </w:p>
    <w:p w14:paraId="39308A6B" w14:textId="77777777" w:rsidR="00FA6240" w:rsidRPr="00FA6240" w:rsidRDefault="00FA6240" w:rsidP="00FA6240">
      <w:pPr>
        <w:pStyle w:val="NormalWeb"/>
        <w:shd w:val="clear" w:color="auto" w:fill="FFFFFF"/>
        <w:spacing w:after="255"/>
        <w:rPr>
          <w:rFonts w:asciiTheme="minorHAnsi" w:hAnsiTheme="minorHAnsi" w:cstheme="minorHAnsi"/>
          <w:sz w:val="20"/>
          <w:szCs w:val="20"/>
        </w:rPr>
      </w:pPr>
      <w:r w:rsidRPr="00FA6240">
        <w:rPr>
          <w:rFonts w:asciiTheme="minorHAnsi" w:hAnsiTheme="minorHAnsi" w:cstheme="minorHAnsi"/>
          <w:kern w:val="2"/>
          <w:sz w:val="20"/>
          <w:szCs w:val="20"/>
          <w:lang w:eastAsia="en-US"/>
          <w14:ligatures w14:val="standardContextual"/>
        </w:rPr>
        <w:t xml:space="preserve">The most recent - and perhaps the most comprehensive effort to ensure legal protection - was the </w:t>
      </w:r>
      <w:r w:rsidRPr="00624D83">
        <w:rPr>
          <w:rFonts w:asciiTheme="minorHAnsi" w:hAnsiTheme="minorHAnsi" w:cstheme="minorHAnsi"/>
          <w:color w:val="000000" w:themeColor="text1"/>
          <w:kern w:val="2"/>
          <w:sz w:val="20"/>
          <w:szCs w:val="20"/>
          <w:lang w:eastAsia="en-US"/>
          <w14:ligatures w14:val="standardContextual"/>
        </w:rPr>
        <w:t xml:space="preserve">Equality Act (2010). </w:t>
      </w:r>
      <w:r w:rsidRPr="00FA6240">
        <w:rPr>
          <w:rFonts w:asciiTheme="minorHAnsi" w:hAnsiTheme="minorHAnsi" w:cstheme="minorHAnsi"/>
          <w:kern w:val="2"/>
          <w:sz w:val="20"/>
          <w:szCs w:val="20"/>
          <w:lang w:eastAsia="en-US"/>
          <w14:ligatures w14:val="standardContextual"/>
        </w:rPr>
        <w:t xml:space="preserve">Collating over 116 pieces of existing legislation - including the </w:t>
      </w:r>
      <w:r w:rsidRPr="00936389">
        <w:rPr>
          <w:rFonts w:asciiTheme="minorHAnsi" w:hAnsiTheme="minorHAnsi" w:cstheme="minorHAnsi"/>
          <w:color w:val="000000" w:themeColor="text1"/>
          <w:kern w:val="2"/>
          <w:sz w:val="20"/>
          <w:szCs w:val="20"/>
          <w:lang w:eastAsia="en-US"/>
          <w14:ligatures w14:val="standardContextual"/>
        </w:rPr>
        <w:t xml:space="preserve">Employment Equality Regulations of 2003 </w:t>
      </w:r>
      <w:r w:rsidRPr="00FA6240">
        <w:rPr>
          <w:rFonts w:asciiTheme="minorHAnsi" w:hAnsiTheme="minorHAnsi" w:cstheme="minorHAnsi"/>
          <w:kern w:val="2"/>
          <w:sz w:val="20"/>
          <w:szCs w:val="20"/>
          <w:lang w:eastAsia="en-US"/>
          <w14:ligatures w14:val="standardContextual"/>
        </w:rPr>
        <w:t>and the</w:t>
      </w:r>
      <w:r w:rsidRPr="00FA6240">
        <w:rPr>
          <w:rFonts w:asciiTheme="minorHAnsi" w:hAnsiTheme="minorHAnsi" w:cstheme="minorHAnsi"/>
          <w:color w:val="FF0000"/>
          <w:kern w:val="2"/>
          <w:sz w:val="20"/>
          <w:szCs w:val="20"/>
          <w:lang w:eastAsia="en-US"/>
          <w14:ligatures w14:val="standardContextual"/>
        </w:rPr>
        <w:t xml:space="preserve"> </w:t>
      </w:r>
      <w:r w:rsidRPr="00936389">
        <w:rPr>
          <w:rFonts w:asciiTheme="minorHAnsi" w:hAnsiTheme="minorHAnsi" w:cstheme="minorHAnsi"/>
          <w:color w:val="000000" w:themeColor="text1"/>
          <w:kern w:val="2"/>
          <w:sz w:val="20"/>
          <w:szCs w:val="20"/>
          <w:lang w:eastAsia="en-US"/>
          <w14:ligatures w14:val="standardContextual"/>
        </w:rPr>
        <w:t xml:space="preserve">Equality Act Regulations (2007), </w:t>
      </w:r>
      <w:r w:rsidRPr="00FA6240">
        <w:rPr>
          <w:rFonts w:asciiTheme="minorHAnsi" w:hAnsiTheme="minorHAnsi" w:cstheme="minorHAnsi"/>
          <w:kern w:val="2"/>
          <w:sz w:val="20"/>
          <w:szCs w:val="20"/>
          <w:lang w:eastAsia="en-US"/>
          <w14:ligatures w14:val="standardContextual"/>
        </w:rPr>
        <w:t>which both addressed discrimination based on sexual orientation - The Act served as a broader effort to deter and prevent direct discrimination based on protected characteristics</w:t>
      </w:r>
      <w:r w:rsidRPr="00FA6240">
        <w:rPr>
          <w:rFonts w:asciiTheme="minorHAnsi" w:hAnsiTheme="minorHAnsi" w:cstheme="minorHAnsi"/>
          <w:color w:val="555555"/>
          <w:sz w:val="20"/>
          <w:szCs w:val="20"/>
        </w:rPr>
        <w:t xml:space="preserve"> </w:t>
      </w:r>
      <w:r w:rsidRPr="00BC4FD4">
        <w:rPr>
          <w:rFonts w:asciiTheme="minorHAnsi" w:hAnsiTheme="minorHAnsi" w:cstheme="minorHAnsi"/>
          <w:color w:val="000000" w:themeColor="text1"/>
          <w:sz w:val="20"/>
          <w:szCs w:val="20"/>
        </w:rPr>
        <w:t xml:space="preserve">(Stout, 2010). </w:t>
      </w:r>
      <w:r w:rsidRPr="00FA6240">
        <w:rPr>
          <w:rFonts w:asciiTheme="minorHAnsi" w:hAnsiTheme="minorHAnsi" w:cstheme="minorHAnsi"/>
          <w:color w:val="555555"/>
          <w:sz w:val="20"/>
          <w:szCs w:val="20"/>
        </w:rPr>
        <w:t xml:space="preserve">It also allowed for Positive Discrimination in recruiting when a qualified person has a protected characteristic that is under-represented in the workforce. </w:t>
      </w:r>
      <w:r w:rsidRPr="00936389">
        <w:rPr>
          <w:rFonts w:asciiTheme="minorHAnsi" w:hAnsiTheme="minorHAnsi" w:cstheme="minorHAnsi"/>
          <w:color w:val="000000" w:themeColor="text1"/>
          <w:sz w:val="20"/>
          <w:szCs w:val="20"/>
        </w:rPr>
        <w:t>(Colgan and Wright, 2011).</w:t>
      </w:r>
    </w:p>
    <w:p w14:paraId="163AF341" w14:textId="77777777" w:rsidR="00FA6240" w:rsidRPr="00FA6240" w:rsidRDefault="00FA6240" w:rsidP="00FA6240">
      <w:pPr>
        <w:pStyle w:val="NormalWeb"/>
        <w:shd w:val="clear" w:color="auto" w:fill="FFFFFF"/>
        <w:spacing w:after="255"/>
        <w:rPr>
          <w:rFonts w:asciiTheme="minorHAnsi" w:hAnsiTheme="minorHAnsi" w:cstheme="minorHAnsi"/>
          <w:color w:val="000000"/>
          <w:sz w:val="20"/>
          <w:szCs w:val="20"/>
        </w:rPr>
      </w:pPr>
      <w:r w:rsidRPr="00FA6240">
        <w:rPr>
          <w:rFonts w:asciiTheme="minorHAnsi" w:hAnsiTheme="minorHAnsi" w:cstheme="minorHAnsi"/>
          <w:color w:val="000000"/>
          <w:sz w:val="20"/>
          <w:szCs w:val="20"/>
        </w:rPr>
        <w:t>An example of this put into practice is South Wales Police’ Positive Action’ recruitment initiative. As per SWP:</w:t>
      </w:r>
    </w:p>
    <w:p w14:paraId="6E92C9EB" w14:textId="77777777" w:rsidR="00FA6240" w:rsidRPr="00FA6240" w:rsidRDefault="00FA6240" w:rsidP="00FA6240">
      <w:pPr>
        <w:pStyle w:val="NormalWeb"/>
        <w:shd w:val="clear" w:color="auto" w:fill="FFFFFF"/>
        <w:spacing w:after="255"/>
        <w:jc w:val="center"/>
        <w:rPr>
          <w:rFonts w:asciiTheme="minorHAnsi" w:hAnsiTheme="minorHAnsi" w:cstheme="minorHAnsi"/>
          <w:sz w:val="20"/>
          <w:szCs w:val="20"/>
        </w:rPr>
      </w:pPr>
      <w:r w:rsidRPr="00FA6240">
        <w:rPr>
          <w:rFonts w:asciiTheme="minorHAnsi" w:hAnsiTheme="minorHAnsi" w:cstheme="minorHAnsi"/>
          <w:color w:val="000000"/>
          <w:sz w:val="20"/>
          <w:szCs w:val="20"/>
        </w:rPr>
        <w:t>“</w:t>
      </w:r>
      <w:r w:rsidRPr="00FA6240">
        <w:rPr>
          <w:rFonts w:asciiTheme="minorHAnsi" w:hAnsiTheme="minorHAnsi" w:cstheme="minorHAnsi"/>
          <w:i/>
          <w:iCs/>
          <w:color w:val="000000"/>
          <w:sz w:val="20"/>
          <w:szCs w:val="20"/>
        </w:rPr>
        <w:t>Positive action refers to a range of measures and initiatives that employers can lawfully take to actively encourage individuals from under-represented groups to apply…” </w:t>
      </w:r>
    </w:p>
    <w:p w14:paraId="10593D40" w14:textId="77777777" w:rsidR="00FA6240" w:rsidRPr="00845171" w:rsidRDefault="00FA6240" w:rsidP="00FA6240">
      <w:pPr>
        <w:pStyle w:val="NormalWeb"/>
        <w:shd w:val="clear" w:color="auto" w:fill="FFFFFF"/>
        <w:spacing w:after="255"/>
        <w:jc w:val="right"/>
        <w:rPr>
          <w:rFonts w:asciiTheme="minorHAnsi" w:hAnsiTheme="minorHAnsi" w:cstheme="minorHAnsi"/>
          <w:color w:val="000000" w:themeColor="text1"/>
          <w:sz w:val="20"/>
          <w:szCs w:val="20"/>
        </w:rPr>
      </w:pPr>
      <w:r w:rsidRPr="00845171">
        <w:rPr>
          <w:rFonts w:asciiTheme="minorHAnsi" w:hAnsiTheme="minorHAnsi" w:cstheme="minorHAnsi"/>
          <w:i/>
          <w:iCs/>
          <w:color w:val="000000" w:themeColor="text1"/>
          <w:sz w:val="20"/>
          <w:szCs w:val="20"/>
        </w:rPr>
        <w:t>(SWP, 2024)</w:t>
      </w:r>
    </w:p>
    <w:p w14:paraId="4A8F83E9" w14:textId="77777777" w:rsidR="00FA6240" w:rsidRPr="00FA6240" w:rsidRDefault="00FA6240" w:rsidP="00FA6240">
      <w:pPr>
        <w:pStyle w:val="NormalWeb"/>
        <w:shd w:val="clear" w:color="auto" w:fill="FFFFFF"/>
        <w:spacing w:after="255"/>
        <w:rPr>
          <w:rFonts w:asciiTheme="minorHAnsi" w:hAnsiTheme="minorHAnsi" w:cstheme="minorHAnsi"/>
          <w:sz w:val="20"/>
          <w:szCs w:val="20"/>
        </w:rPr>
      </w:pPr>
      <w:r w:rsidRPr="00FA6240">
        <w:rPr>
          <w:rFonts w:asciiTheme="minorHAnsi" w:hAnsiTheme="minorHAnsi" w:cstheme="minorHAnsi"/>
          <w:color w:val="000000"/>
          <w:sz w:val="20"/>
          <w:szCs w:val="20"/>
        </w:rPr>
        <w:t>Services offered by this initiative include upskill sessions and one-to-one tailored support with the application process (ibid)</w:t>
      </w:r>
      <w:r w:rsidRPr="00FA6240">
        <w:rPr>
          <w:rFonts w:asciiTheme="minorHAnsi" w:hAnsiTheme="minorHAnsi" w:cstheme="minorHAnsi"/>
          <w:color w:val="FF2600"/>
          <w:sz w:val="20"/>
          <w:szCs w:val="20"/>
        </w:rPr>
        <w:t>.</w:t>
      </w:r>
    </w:p>
    <w:p w14:paraId="40157A1B" w14:textId="7D712B27" w:rsidR="00FA6240" w:rsidRPr="00FA6240" w:rsidRDefault="00FA6240" w:rsidP="00E627DA">
      <w:pPr>
        <w:pStyle w:val="elementtoproof"/>
        <w:shd w:val="clear" w:color="auto" w:fill="FFFFFF"/>
        <w:spacing w:after="255"/>
        <w:rPr>
          <w:rFonts w:asciiTheme="minorHAnsi" w:hAnsiTheme="minorHAnsi" w:cstheme="minorHAnsi"/>
          <w:sz w:val="20"/>
          <w:szCs w:val="20"/>
        </w:rPr>
      </w:pPr>
      <w:r w:rsidRPr="00FA6240">
        <w:rPr>
          <w:rFonts w:asciiTheme="minorHAnsi" w:hAnsiTheme="minorHAnsi" w:cstheme="minorHAnsi"/>
          <w:color w:val="000000"/>
          <w:sz w:val="20"/>
          <w:szCs w:val="20"/>
        </w:rPr>
        <w:t xml:space="preserve">This initiative provides evidence that Positive Discrimination has not only been </w:t>
      </w:r>
      <w:proofErr w:type="gramStart"/>
      <w:r w:rsidRPr="00FA6240">
        <w:rPr>
          <w:rFonts w:asciiTheme="minorHAnsi" w:hAnsiTheme="minorHAnsi" w:cstheme="minorHAnsi"/>
          <w:color w:val="000000"/>
          <w:sz w:val="20"/>
          <w:szCs w:val="20"/>
        </w:rPr>
        <w:t>legalised, but</w:t>
      </w:r>
      <w:proofErr w:type="gramEnd"/>
      <w:r w:rsidRPr="00FA6240">
        <w:rPr>
          <w:rFonts w:asciiTheme="minorHAnsi" w:hAnsiTheme="minorHAnsi" w:cstheme="minorHAnsi"/>
          <w:color w:val="000000"/>
          <w:sz w:val="20"/>
          <w:szCs w:val="20"/>
        </w:rPr>
        <w:t xml:space="preserve"> is also being utilised within the police service.</w:t>
      </w:r>
      <w:r w:rsidR="00E627DA">
        <w:rPr>
          <w:rFonts w:asciiTheme="minorHAnsi" w:hAnsiTheme="minorHAnsi" w:cstheme="minorHAnsi"/>
          <w:color w:val="000000"/>
          <w:sz w:val="20"/>
          <w:szCs w:val="20"/>
        </w:rPr>
        <w:br/>
      </w:r>
      <w:r w:rsidR="00E627DA">
        <w:rPr>
          <w:rFonts w:asciiTheme="minorHAnsi" w:hAnsiTheme="minorHAnsi" w:cstheme="minorHAnsi"/>
          <w:color w:val="000000"/>
          <w:sz w:val="20"/>
          <w:szCs w:val="20"/>
        </w:rPr>
        <w:br/>
      </w:r>
      <w:r w:rsidRPr="00FA6240">
        <w:rPr>
          <w:rFonts w:asciiTheme="minorHAnsi" w:hAnsiTheme="minorHAnsi" w:cstheme="minorHAnsi"/>
          <w:sz w:val="20"/>
          <w:szCs w:val="20"/>
        </w:rPr>
        <w:t xml:space="preserve">There have been clear attempts by the police service to project a more inclusive image toward sexual minorities throughout modern history. LAGLOs (Lesbian &amp; Gay Liaison Officers) were introduced as early as 1996. However, this sentiment was clearly limited in being aimed toward gay and lesbian officers only. Using Hampshire Constabulary as an example, the force renamed the role to “LGBTQ+ Link Officers” (ibid) outlining that their role involved encouraging people to report homophobic, biphobic and transphobic hate crimes </w:t>
      </w:r>
      <w:r w:rsidRPr="00FA6240">
        <w:rPr>
          <w:rFonts w:asciiTheme="minorHAnsi" w:hAnsiTheme="minorHAnsi" w:cstheme="minorHAnsi"/>
          <w:sz w:val="20"/>
          <w:szCs w:val="20"/>
        </w:rPr>
        <w:lastRenderedPageBreak/>
        <w:t xml:space="preserve">(ibid). Whilst this may be an example evolution as far as public image, it does not negate the clear failing by the police service to create an environment of fairness and equality within its workforce. </w:t>
      </w:r>
    </w:p>
    <w:p w14:paraId="12FA3720" w14:textId="77777777" w:rsidR="00FA6240" w:rsidRPr="00FA6240" w:rsidRDefault="00FA6240" w:rsidP="00FA6240">
      <w:pPr>
        <w:rPr>
          <w:rFonts w:cstheme="minorHAnsi"/>
          <w:sz w:val="20"/>
          <w:szCs w:val="20"/>
        </w:rPr>
      </w:pPr>
      <w:r w:rsidRPr="00FA6240">
        <w:rPr>
          <w:rFonts w:cstheme="minorHAnsi"/>
          <w:sz w:val="20"/>
          <w:szCs w:val="20"/>
        </w:rPr>
        <w:t xml:space="preserve">(Thompson and Nored, 2002) states that sexual minorities are particularly susceptible to discrimination in the police over other minority groups. (Bernstein and Kostelac, 2002; Colvin, 2012) attribute this to the historical prosecution of homosexuality by police. </w:t>
      </w:r>
    </w:p>
    <w:p w14:paraId="24218DE2" w14:textId="77777777" w:rsidR="00FA6240" w:rsidRPr="00FA6240" w:rsidRDefault="00FA6240" w:rsidP="00FA6240">
      <w:pPr>
        <w:jc w:val="both"/>
        <w:rPr>
          <w:rFonts w:cstheme="minorHAnsi"/>
          <w:sz w:val="20"/>
          <w:szCs w:val="20"/>
        </w:rPr>
      </w:pPr>
      <w:r w:rsidRPr="00FA6240">
        <w:rPr>
          <w:rFonts w:cstheme="minorHAnsi"/>
          <w:sz w:val="20"/>
          <w:szCs w:val="20"/>
        </w:rPr>
        <w:t>This was reflected in the survey by (Colvin, 2005). The questionnaire, aimed toward sexual minority employees across UK forces, found that 49% of lesbians and 54% of gay men had heard homophobic talk; 37% of lesbians and 34.5% of gay men reported being "outed" in work; and 32% of gay men and 18.1% of lesbians reported feelings of tokenism.</w:t>
      </w:r>
    </w:p>
    <w:p w14:paraId="364CE6FA" w14:textId="77777777" w:rsidR="00FA6240" w:rsidRPr="00FA6240" w:rsidRDefault="00FA6240" w:rsidP="00FA6240">
      <w:pPr>
        <w:jc w:val="both"/>
        <w:rPr>
          <w:rFonts w:cstheme="minorHAnsi"/>
          <w:sz w:val="20"/>
          <w:szCs w:val="20"/>
        </w:rPr>
      </w:pPr>
      <w:r w:rsidRPr="00FA6240">
        <w:rPr>
          <w:rFonts w:cstheme="minorHAnsi"/>
          <w:sz w:val="20"/>
          <w:szCs w:val="20"/>
        </w:rPr>
        <w:t xml:space="preserve">The more recent study by (Durham University 2020) found when comparing the frequency of derogatory comments received in work across all minority groups, sexuality was among the highest scoring categories - 25.6% for lesbian, gay or bi-sexual workers and as high as 31.5% for gay and lesbian workers alone. </w:t>
      </w:r>
    </w:p>
    <w:p w14:paraId="3F45D06C" w14:textId="77777777" w:rsidR="00FA6240" w:rsidRPr="00FA6240" w:rsidRDefault="00FA6240" w:rsidP="00FA6240">
      <w:pPr>
        <w:jc w:val="both"/>
        <w:rPr>
          <w:rFonts w:cstheme="minorHAnsi"/>
          <w:sz w:val="20"/>
          <w:szCs w:val="20"/>
        </w:rPr>
      </w:pPr>
      <w:r w:rsidRPr="00FA6240">
        <w:rPr>
          <w:rFonts w:cstheme="minorHAnsi"/>
          <w:sz w:val="20"/>
          <w:szCs w:val="20"/>
        </w:rPr>
        <w:t xml:space="preserve">Whilst this may appear as though there has been improvement in the 5 years since (Colvin, 2005), it should be noted that (Colvin ,2005) does not specify a timescale in its methodology. </w:t>
      </w:r>
    </w:p>
    <w:p w14:paraId="7459A3A3" w14:textId="77777777" w:rsidR="00FA6240" w:rsidRPr="00FA6240" w:rsidRDefault="00FA6240" w:rsidP="00FA6240">
      <w:pPr>
        <w:jc w:val="both"/>
        <w:rPr>
          <w:rFonts w:cstheme="minorHAnsi"/>
          <w:sz w:val="20"/>
          <w:szCs w:val="20"/>
        </w:rPr>
      </w:pPr>
      <w:r w:rsidRPr="00FA6240">
        <w:rPr>
          <w:rFonts w:cstheme="minorHAnsi"/>
          <w:sz w:val="20"/>
          <w:szCs w:val="20"/>
        </w:rPr>
        <w:t xml:space="preserve">In proportion with the fact that In the UK community, 25-66% of gay men, lesbians, and bisexuals experience employment discrimination in their </w:t>
      </w:r>
      <w:r w:rsidRPr="00FA6240">
        <w:rPr>
          <w:rFonts w:cstheme="minorHAnsi"/>
          <w:i/>
          <w:iCs/>
          <w:sz w:val="20"/>
          <w:szCs w:val="20"/>
        </w:rPr>
        <w:t>entire</w:t>
      </w:r>
      <w:r w:rsidRPr="00FA6240">
        <w:rPr>
          <w:rFonts w:cstheme="minorHAnsi"/>
          <w:sz w:val="20"/>
          <w:szCs w:val="20"/>
        </w:rPr>
        <w:t xml:space="preserve"> careers (Alderson, 2003), numbers as high as outlined over just a 12-month window suggest there is still a uniquely severe problem of homophobia in the police service.</w:t>
      </w:r>
    </w:p>
    <w:p w14:paraId="27261674" w14:textId="77777777" w:rsidR="00FA6240" w:rsidRPr="00FA6240" w:rsidRDefault="00FA6240" w:rsidP="00FA6240">
      <w:pPr>
        <w:jc w:val="both"/>
        <w:rPr>
          <w:rFonts w:cstheme="minorHAnsi"/>
          <w:sz w:val="20"/>
          <w:szCs w:val="20"/>
        </w:rPr>
      </w:pPr>
      <w:r w:rsidRPr="00FA6240">
        <w:rPr>
          <w:rFonts w:cstheme="minorHAnsi"/>
          <w:sz w:val="20"/>
          <w:szCs w:val="20"/>
        </w:rPr>
        <w:t xml:space="preserve">(College of Policing, 2022) published recommendations of adjustments for religious staff/officers. Notable recommendations for Jews </w:t>
      </w:r>
      <w:proofErr w:type="gramStart"/>
      <w:r w:rsidRPr="00FA6240">
        <w:rPr>
          <w:rFonts w:cstheme="minorHAnsi"/>
          <w:sz w:val="20"/>
          <w:szCs w:val="20"/>
        </w:rPr>
        <w:t>include:</w:t>
      </w:r>
      <w:proofErr w:type="gramEnd"/>
      <w:r w:rsidRPr="00FA6240">
        <w:rPr>
          <w:rFonts w:cstheme="minorHAnsi"/>
          <w:sz w:val="20"/>
          <w:szCs w:val="20"/>
        </w:rPr>
        <w:t xml:space="preserve"> prayer rooms and prayer breaks, kosher-dedicated food storage, </w:t>
      </w:r>
      <w:proofErr w:type="spellStart"/>
      <w:r w:rsidRPr="00FA6240">
        <w:rPr>
          <w:rFonts w:cstheme="minorHAnsi"/>
          <w:sz w:val="20"/>
          <w:szCs w:val="20"/>
        </w:rPr>
        <w:t>shatnaz</w:t>
      </w:r>
      <w:proofErr w:type="spellEnd"/>
      <w:r w:rsidRPr="00FA6240">
        <w:rPr>
          <w:rFonts w:cstheme="minorHAnsi"/>
          <w:sz w:val="20"/>
          <w:szCs w:val="20"/>
        </w:rPr>
        <w:t xml:space="preserve">-free uniforms, flexible hours around Shabbat. Equally, adjustments for Muslims include prayer rooms and breaks, and halal catering. </w:t>
      </w:r>
    </w:p>
    <w:p w14:paraId="7B381D6E" w14:textId="77777777" w:rsidR="00FA6240" w:rsidRPr="00FA6240" w:rsidRDefault="00FA6240" w:rsidP="00FA6240">
      <w:pPr>
        <w:jc w:val="both"/>
        <w:rPr>
          <w:rFonts w:cstheme="minorHAnsi"/>
          <w:sz w:val="20"/>
          <w:szCs w:val="20"/>
        </w:rPr>
      </w:pPr>
      <w:r w:rsidRPr="00FA6240">
        <w:rPr>
          <w:rFonts w:cstheme="minorHAnsi"/>
          <w:sz w:val="20"/>
          <w:szCs w:val="20"/>
        </w:rPr>
        <w:t>Whilst these are clear attempts to create an environment of fairness for religious employees, it should be noted that these are only recommendations, and do not appear to be rooted in actual policy. Moreover, research shows that this does not address the issue of culture within the police service, and there still appears to be cultural barriers in recruitment and promotion.</w:t>
      </w:r>
    </w:p>
    <w:p w14:paraId="32CDF521" w14:textId="77777777" w:rsidR="00FA6240" w:rsidRPr="00FA6240" w:rsidRDefault="00FA6240" w:rsidP="00FA6240">
      <w:pPr>
        <w:jc w:val="both"/>
        <w:rPr>
          <w:rFonts w:cstheme="minorHAnsi"/>
          <w:sz w:val="20"/>
          <w:szCs w:val="20"/>
        </w:rPr>
      </w:pPr>
      <w:r w:rsidRPr="00FA6240">
        <w:rPr>
          <w:rFonts w:cstheme="minorHAnsi"/>
          <w:sz w:val="20"/>
          <w:szCs w:val="20"/>
        </w:rPr>
        <w:t>In the survey by (Durham University 2020), 21.4% of Muslim police officers reported strongly agreeing or agreeing that their career promotion opportunities are negatively affected because of their religion/beliefs. This is in stark contrast to the 2.5% of Christian police officer respondents who reported that this was the case. For Muslim police staff the proportion was 11.8%, while for Christian police staff it was 0.5%. Furthermore, 36.1% of Muslim respondents reported experiencing derogatory remarks about their religion/beliefs in the past 12 months. A similar proportion of these respondents also reported hearing jokes or stories about their religion/beliefs that they felt were offensive.</w:t>
      </w:r>
      <w:commentRangeStart w:id="0"/>
      <w:commentRangeEnd w:id="0"/>
      <w:r w:rsidRPr="00FA6240">
        <w:rPr>
          <w:rFonts w:cstheme="minorHAnsi"/>
          <w:sz w:val="20"/>
          <w:szCs w:val="20"/>
        </w:rPr>
        <w:commentReference w:id="0"/>
      </w:r>
    </w:p>
    <w:p w14:paraId="50E2F81E" w14:textId="77777777" w:rsidR="00FA6240" w:rsidRPr="00FA6240" w:rsidRDefault="00FA6240" w:rsidP="00FA6240">
      <w:pPr>
        <w:rPr>
          <w:rFonts w:cstheme="minorHAnsi"/>
          <w:color w:val="2A2A2A"/>
          <w:sz w:val="20"/>
          <w:szCs w:val="20"/>
          <w:shd w:val="clear" w:color="auto" w:fill="FFFFFF"/>
        </w:rPr>
      </w:pPr>
      <w:r w:rsidRPr="00FA6240">
        <w:rPr>
          <w:rFonts w:cstheme="minorHAnsi"/>
          <w:color w:val="2A2A2A"/>
          <w:sz w:val="20"/>
          <w:szCs w:val="20"/>
          <w:shd w:val="clear" w:color="auto" w:fill="FFFFFF"/>
        </w:rPr>
        <w:t>In conclusion of the essay, strategic approaches have clearly been demonstrated in the legislation and initiatives discussed. It is difficult to measure the efficacy of the efforts discussed over a given time, due to scarcity in literature, with low response rates and non-consistency in methodologies where studies are present.</w:t>
      </w:r>
    </w:p>
    <w:p w14:paraId="2E5583EC" w14:textId="77777777" w:rsidR="00FA6240" w:rsidRPr="00FA6240" w:rsidRDefault="00FA6240" w:rsidP="00FA6240">
      <w:pPr>
        <w:rPr>
          <w:rFonts w:cstheme="minorHAnsi"/>
          <w:color w:val="2A2A2A"/>
          <w:sz w:val="20"/>
          <w:szCs w:val="20"/>
          <w:shd w:val="clear" w:color="auto" w:fill="FFFFFF"/>
        </w:rPr>
      </w:pPr>
      <w:r w:rsidRPr="00FA6240">
        <w:rPr>
          <w:rFonts w:cstheme="minorHAnsi"/>
          <w:color w:val="2A2A2A"/>
          <w:sz w:val="20"/>
          <w:szCs w:val="20"/>
          <w:shd w:val="clear" w:color="auto" w:fill="FFFFFF"/>
        </w:rPr>
        <w:t xml:space="preserve">Generally, there has been clear evolution in the discourse, and transparency has been demonstrated by UK forces as far as public engagement and media exposure. </w:t>
      </w:r>
    </w:p>
    <w:p w14:paraId="21B2B33A" w14:textId="77777777" w:rsidR="00FA6240" w:rsidRDefault="00FA6240" w:rsidP="00FA6240">
      <w:pPr>
        <w:rPr>
          <w:rFonts w:cstheme="minorHAnsi"/>
          <w:color w:val="2A2A2A"/>
          <w:sz w:val="20"/>
          <w:szCs w:val="20"/>
          <w:shd w:val="clear" w:color="auto" w:fill="FFFFFF"/>
        </w:rPr>
      </w:pPr>
      <w:r w:rsidRPr="00FA6240">
        <w:rPr>
          <w:rFonts w:cstheme="minorHAnsi"/>
          <w:color w:val="2A2A2A"/>
          <w:sz w:val="20"/>
          <w:szCs w:val="20"/>
          <w:shd w:val="clear" w:color="auto" w:fill="FFFFFF"/>
        </w:rPr>
        <w:t xml:space="preserve">However, the data does strongly suggest that discrimination in the workplace still exists across UK forces, with homophobia being a significant problematic area. </w:t>
      </w:r>
    </w:p>
    <w:p w14:paraId="493149A2" w14:textId="14D6C723" w:rsidR="00845171" w:rsidRDefault="00845171" w:rsidP="00FA6240">
      <w:pPr>
        <w:rPr>
          <w:rFonts w:cstheme="minorHAnsi"/>
          <w:color w:val="2A2A2A"/>
          <w:sz w:val="20"/>
          <w:szCs w:val="20"/>
          <w:shd w:val="clear" w:color="auto" w:fill="FFFFFF"/>
        </w:rPr>
      </w:pPr>
    </w:p>
    <w:p w14:paraId="10BAD30A" w14:textId="2DAB0475" w:rsidR="00845171" w:rsidRDefault="00845171" w:rsidP="00FA6240">
      <w:pPr>
        <w:rPr>
          <w:rFonts w:cstheme="minorHAnsi"/>
          <w:b/>
          <w:bCs/>
          <w:color w:val="2A2A2A"/>
          <w:sz w:val="20"/>
          <w:szCs w:val="20"/>
          <w:shd w:val="clear" w:color="auto" w:fill="FFFFFF"/>
        </w:rPr>
      </w:pPr>
      <w:r w:rsidRPr="00845171">
        <w:rPr>
          <w:rFonts w:cstheme="minorHAnsi"/>
          <w:b/>
          <w:bCs/>
          <w:color w:val="2A2A2A"/>
          <w:sz w:val="20"/>
          <w:szCs w:val="20"/>
          <w:shd w:val="clear" w:color="auto" w:fill="FFFFFF"/>
        </w:rPr>
        <w:t>References</w:t>
      </w:r>
    </w:p>
    <w:p w14:paraId="75780A72" w14:textId="77777777" w:rsidR="00845171" w:rsidRPr="00F96BA2" w:rsidRDefault="00845171" w:rsidP="00845171">
      <w:pPr>
        <w:spacing w:line="278" w:lineRule="auto"/>
        <w:rPr>
          <w:sz w:val="20"/>
          <w:szCs w:val="20"/>
        </w:rPr>
      </w:pPr>
      <w:r w:rsidRPr="00F96BA2">
        <w:rPr>
          <w:sz w:val="20"/>
          <w:szCs w:val="20"/>
        </w:rPr>
        <w:t>ALDERSON, K., 2003-last update, The Corporate Closet: Career Challenges of Gay and Lesbian Individuals. Available: </w:t>
      </w:r>
      <w:hyperlink r:id="rId10" w:tgtFrame="_blank" w:history="1">
        <w:r w:rsidRPr="00F96BA2">
          <w:rPr>
            <w:rStyle w:val="Hyperlink"/>
            <w:sz w:val="20"/>
            <w:szCs w:val="20"/>
          </w:rPr>
          <w:t>https://eric.ed.gov/?id=ED481087</w:t>
        </w:r>
      </w:hyperlink>
      <w:r w:rsidRPr="00F96BA2">
        <w:rPr>
          <w:sz w:val="20"/>
          <w:szCs w:val="20"/>
        </w:rPr>
        <w:t> [May 8, 2024].</w:t>
      </w:r>
    </w:p>
    <w:p w14:paraId="1935A4D0" w14:textId="77777777" w:rsidR="00845171" w:rsidRPr="00F96BA2" w:rsidRDefault="00845171" w:rsidP="00845171">
      <w:pPr>
        <w:spacing w:line="278" w:lineRule="auto"/>
        <w:rPr>
          <w:sz w:val="20"/>
          <w:szCs w:val="20"/>
        </w:rPr>
      </w:pPr>
      <w:r w:rsidRPr="00F96BA2">
        <w:rPr>
          <w:i/>
          <w:iCs/>
          <w:sz w:val="20"/>
          <w:szCs w:val="20"/>
        </w:rPr>
        <w:lastRenderedPageBreak/>
        <w:t>Equality Act. </w:t>
      </w:r>
      <w:r w:rsidRPr="00F96BA2">
        <w:rPr>
          <w:sz w:val="20"/>
          <w:szCs w:val="20"/>
        </w:rPr>
        <w:t xml:space="preserve">2010. Statutory Act </w:t>
      </w:r>
      <w:proofErr w:type="spellStart"/>
      <w:r w:rsidRPr="00F96BA2">
        <w:rPr>
          <w:sz w:val="20"/>
          <w:szCs w:val="20"/>
        </w:rPr>
        <w:t>edn</w:t>
      </w:r>
      <w:proofErr w:type="spellEnd"/>
      <w:r w:rsidRPr="00F96BA2">
        <w:rPr>
          <w:sz w:val="20"/>
          <w:szCs w:val="20"/>
        </w:rPr>
        <w:t>. UK.</w:t>
      </w:r>
    </w:p>
    <w:p w14:paraId="3A007A88" w14:textId="77777777" w:rsidR="00845171" w:rsidRPr="00F96BA2" w:rsidRDefault="00845171" w:rsidP="00845171">
      <w:pPr>
        <w:spacing w:line="278" w:lineRule="auto"/>
        <w:rPr>
          <w:sz w:val="20"/>
          <w:szCs w:val="20"/>
        </w:rPr>
      </w:pPr>
      <w:r w:rsidRPr="00F96BA2">
        <w:rPr>
          <w:i/>
          <w:iCs/>
          <w:sz w:val="20"/>
          <w:szCs w:val="20"/>
        </w:rPr>
        <w:t>The Equality Act (Sexual Orientation) Regulations 2007. </w:t>
      </w:r>
      <w:r w:rsidRPr="00F96BA2">
        <w:rPr>
          <w:sz w:val="20"/>
          <w:szCs w:val="20"/>
        </w:rPr>
        <w:t xml:space="preserve">2007. Statutory Act </w:t>
      </w:r>
      <w:proofErr w:type="spellStart"/>
      <w:r w:rsidRPr="00F96BA2">
        <w:rPr>
          <w:sz w:val="20"/>
          <w:szCs w:val="20"/>
        </w:rPr>
        <w:t>edn</w:t>
      </w:r>
      <w:proofErr w:type="spellEnd"/>
      <w:r w:rsidRPr="00F96BA2">
        <w:rPr>
          <w:sz w:val="20"/>
          <w:szCs w:val="20"/>
        </w:rPr>
        <w:t>. UK.</w:t>
      </w:r>
    </w:p>
    <w:p w14:paraId="3F698B5F" w14:textId="77777777" w:rsidR="00845171" w:rsidRPr="00F96BA2" w:rsidRDefault="00845171" w:rsidP="00845171">
      <w:pPr>
        <w:spacing w:line="278" w:lineRule="auto"/>
        <w:rPr>
          <w:sz w:val="20"/>
          <w:szCs w:val="20"/>
        </w:rPr>
      </w:pPr>
      <w:r w:rsidRPr="00F96BA2">
        <w:rPr>
          <w:i/>
          <w:iCs/>
          <w:sz w:val="20"/>
          <w:szCs w:val="20"/>
        </w:rPr>
        <w:t>Employment Equality Regulations of 2003 . </w:t>
      </w:r>
      <w:r w:rsidRPr="00F96BA2">
        <w:rPr>
          <w:sz w:val="20"/>
          <w:szCs w:val="20"/>
        </w:rPr>
        <w:t xml:space="preserve">2003. Statutory Act </w:t>
      </w:r>
      <w:proofErr w:type="spellStart"/>
      <w:r w:rsidRPr="00F96BA2">
        <w:rPr>
          <w:sz w:val="20"/>
          <w:szCs w:val="20"/>
        </w:rPr>
        <w:t>edn</w:t>
      </w:r>
      <w:proofErr w:type="spellEnd"/>
      <w:r w:rsidRPr="00F96BA2">
        <w:rPr>
          <w:sz w:val="20"/>
          <w:szCs w:val="20"/>
        </w:rPr>
        <w:t>. UK.</w:t>
      </w:r>
    </w:p>
    <w:p w14:paraId="4F149ECB" w14:textId="77777777" w:rsidR="00845171" w:rsidRPr="00F96BA2" w:rsidRDefault="00845171" w:rsidP="00845171">
      <w:pPr>
        <w:spacing w:line="278" w:lineRule="auto"/>
        <w:rPr>
          <w:sz w:val="20"/>
          <w:szCs w:val="20"/>
        </w:rPr>
      </w:pPr>
      <w:r w:rsidRPr="00F96BA2">
        <w:rPr>
          <w:sz w:val="20"/>
          <w:szCs w:val="20"/>
        </w:rPr>
        <w:t>COLGAN, F. and WRIGHT, T., 2011. Lesbian, Gay and Bisexual Equality in a Modernizing Public Sector 1997–2010: Opportunities and Threats. </w:t>
      </w:r>
      <w:r w:rsidRPr="00F96BA2">
        <w:rPr>
          <w:i/>
          <w:iCs/>
          <w:sz w:val="20"/>
          <w:szCs w:val="20"/>
        </w:rPr>
        <w:t>Gender, Work &amp; Organization, </w:t>
      </w:r>
      <w:r w:rsidRPr="00F96BA2">
        <w:rPr>
          <w:b/>
          <w:bCs/>
          <w:sz w:val="20"/>
          <w:szCs w:val="20"/>
        </w:rPr>
        <w:t>18</w:t>
      </w:r>
      <w:r w:rsidRPr="00F96BA2">
        <w:rPr>
          <w:sz w:val="20"/>
          <w:szCs w:val="20"/>
        </w:rPr>
        <w:t>(5), pp. 548–570.</w:t>
      </w:r>
    </w:p>
    <w:p w14:paraId="651C9F12" w14:textId="77777777" w:rsidR="00845171" w:rsidRPr="00845171" w:rsidRDefault="00845171" w:rsidP="00845171">
      <w:pPr>
        <w:rPr>
          <w:sz w:val="20"/>
          <w:szCs w:val="20"/>
        </w:rPr>
      </w:pPr>
      <w:r w:rsidRPr="00F96BA2">
        <w:rPr>
          <w:sz w:val="20"/>
          <w:szCs w:val="20"/>
        </w:rPr>
        <w:t>COLLEGE OF POLICING, Nov 17, 2020-last update, Promoting and supporting diversity and inclusion. Available: </w:t>
      </w:r>
      <w:hyperlink r:id="rId11" w:tgtFrame="_blank" w:history="1">
        <w:r w:rsidRPr="00F96BA2">
          <w:rPr>
            <w:rStyle w:val="Hyperlink"/>
            <w:sz w:val="20"/>
            <w:szCs w:val="20"/>
          </w:rPr>
          <w:t>https://www.college.police.uk/article/diversity-and-inclusion-cpd-in-focus</w:t>
        </w:r>
      </w:hyperlink>
      <w:r w:rsidRPr="00F96BA2">
        <w:rPr>
          <w:sz w:val="20"/>
          <w:szCs w:val="20"/>
        </w:rPr>
        <w:t> [08/05/24, .</w:t>
      </w:r>
    </w:p>
    <w:p w14:paraId="160F60C4" w14:textId="77777777" w:rsidR="00845171" w:rsidRPr="00F96BA2" w:rsidRDefault="00845171" w:rsidP="00845171">
      <w:pPr>
        <w:spacing w:line="278" w:lineRule="auto"/>
        <w:rPr>
          <w:sz w:val="20"/>
          <w:szCs w:val="20"/>
        </w:rPr>
      </w:pPr>
      <w:r w:rsidRPr="00845171">
        <w:rPr>
          <w:sz w:val="20"/>
          <w:szCs w:val="20"/>
        </w:rPr>
        <w:t>CLEMENTS</w:t>
      </w:r>
      <w:r w:rsidRPr="0008752C">
        <w:rPr>
          <w:sz w:val="20"/>
          <w:szCs w:val="20"/>
        </w:rPr>
        <w:t>, P 2008, </w:t>
      </w:r>
      <w:r w:rsidRPr="0008752C">
        <w:rPr>
          <w:i/>
          <w:iCs/>
          <w:sz w:val="20"/>
          <w:szCs w:val="20"/>
        </w:rPr>
        <w:t>Policing a diverse society</w:t>
      </w:r>
      <w:r w:rsidRPr="0008752C">
        <w:rPr>
          <w:sz w:val="20"/>
          <w:szCs w:val="20"/>
        </w:rPr>
        <w:t>. Blackstone's practical policing, Oxford University Press, Oxford.</w:t>
      </w:r>
    </w:p>
    <w:p w14:paraId="66FFEFE8" w14:textId="77777777" w:rsidR="00845171" w:rsidRPr="00F96BA2" w:rsidRDefault="00845171" w:rsidP="00845171">
      <w:pPr>
        <w:spacing w:line="278" w:lineRule="auto"/>
        <w:rPr>
          <w:sz w:val="20"/>
          <w:szCs w:val="20"/>
        </w:rPr>
      </w:pPr>
      <w:r w:rsidRPr="00F96BA2">
        <w:rPr>
          <w:sz w:val="20"/>
          <w:szCs w:val="20"/>
        </w:rPr>
        <w:t>COLVIN, R., 2015. Shared workplace experiences of lesbian and gay police officers in the United Kingdom. </w:t>
      </w:r>
      <w:r w:rsidRPr="00F96BA2">
        <w:rPr>
          <w:i/>
          <w:iCs/>
          <w:sz w:val="20"/>
          <w:szCs w:val="20"/>
        </w:rPr>
        <w:t>N/A, </w:t>
      </w:r>
      <w:r w:rsidRPr="00F96BA2">
        <w:rPr>
          <w:b/>
          <w:bCs/>
          <w:sz w:val="20"/>
          <w:szCs w:val="20"/>
        </w:rPr>
        <w:t>1-17</w:t>
      </w:r>
      <w:r w:rsidRPr="00F96BA2">
        <w:rPr>
          <w:sz w:val="20"/>
          <w:szCs w:val="20"/>
        </w:rPr>
        <w:t>.</w:t>
      </w:r>
    </w:p>
    <w:p w14:paraId="03A373AC" w14:textId="77777777" w:rsidR="00845171" w:rsidRPr="00F96BA2" w:rsidRDefault="00845171" w:rsidP="00845171">
      <w:pPr>
        <w:spacing w:line="278" w:lineRule="auto"/>
        <w:rPr>
          <w:sz w:val="20"/>
          <w:szCs w:val="20"/>
        </w:rPr>
      </w:pPr>
      <w:r w:rsidRPr="00F96BA2">
        <w:rPr>
          <w:sz w:val="20"/>
          <w:szCs w:val="20"/>
        </w:rPr>
        <w:t>COLVIN, R., 2012. </w:t>
      </w:r>
      <w:r w:rsidRPr="00F96BA2">
        <w:rPr>
          <w:i/>
          <w:iCs/>
          <w:sz w:val="20"/>
          <w:szCs w:val="20"/>
        </w:rPr>
        <w:t>Gay and Lesbian Cops: Diversity and Effective Policing. </w:t>
      </w:r>
      <w:r w:rsidRPr="00F96BA2">
        <w:rPr>
          <w:sz w:val="20"/>
          <w:szCs w:val="20"/>
        </w:rPr>
        <w:t xml:space="preserve">Boulder, CO: Lynne </w:t>
      </w:r>
      <w:proofErr w:type="spellStart"/>
      <w:r w:rsidRPr="00F96BA2">
        <w:rPr>
          <w:sz w:val="20"/>
          <w:szCs w:val="20"/>
        </w:rPr>
        <w:t>Rienner</w:t>
      </w:r>
      <w:proofErr w:type="spellEnd"/>
      <w:r w:rsidRPr="00F96BA2">
        <w:rPr>
          <w:sz w:val="20"/>
          <w:szCs w:val="20"/>
        </w:rPr>
        <w:t xml:space="preserve"> Publishers.</w:t>
      </w:r>
    </w:p>
    <w:p w14:paraId="30993F8A" w14:textId="77777777" w:rsidR="00845171" w:rsidRPr="00F96BA2" w:rsidRDefault="00845171" w:rsidP="00845171">
      <w:pPr>
        <w:spacing w:line="278" w:lineRule="auto"/>
        <w:rPr>
          <w:sz w:val="20"/>
          <w:szCs w:val="20"/>
        </w:rPr>
      </w:pPr>
      <w:r w:rsidRPr="00F96BA2">
        <w:rPr>
          <w:sz w:val="20"/>
          <w:szCs w:val="20"/>
        </w:rPr>
        <w:t>DURHAM UNIVERSITY, 2020. </w:t>
      </w:r>
      <w:r w:rsidRPr="00F96BA2">
        <w:rPr>
          <w:i/>
          <w:iCs/>
          <w:sz w:val="20"/>
          <w:szCs w:val="20"/>
        </w:rPr>
        <w:t>Diversity, Equality and Inclusion</w:t>
      </w:r>
      <w:r w:rsidRPr="00F96BA2">
        <w:rPr>
          <w:i/>
          <w:iCs/>
          <w:sz w:val="20"/>
          <w:szCs w:val="20"/>
        </w:rPr>
        <w:br/>
        <w:t>in Policing 2019. </w:t>
      </w:r>
      <w:r w:rsidRPr="00F96BA2">
        <w:rPr>
          <w:sz w:val="20"/>
          <w:szCs w:val="20"/>
        </w:rPr>
        <w:t>Durham University: Durham University.</w:t>
      </w:r>
    </w:p>
    <w:p w14:paraId="02275180" w14:textId="77777777" w:rsidR="00845171" w:rsidRPr="00F96BA2" w:rsidRDefault="00845171" w:rsidP="00845171">
      <w:pPr>
        <w:spacing w:line="278" w:lineRule="auto"/>
        <w:rPr>
          <w:sz w:val="20"/>
          <w:szCs w:val="20"/>
        </w:rPr>
      </w:pPr>
      <w:r w:rsidRPr="00F96BA2">
        <w:rPr>
          <w:sz w:val="20"/>
          <w:szCs w:val="20"/>
        </w:rPr>
        <w:t xml:space="preserve">Lavender and blue: Attitudes about homosexuality and </w:t>
      </w:r>
      <w:proofErr w:type="spellStart"/>
      <w:r w:rsidRPr="00F96BA2">
        <w:rPr>
          <w:sz w:val="20"/>
          <w:szCs w:val="20"/>
        </w:rPr>
        <w:t>behavior</w:t>
      </w:r>
      <w:proofErr w:type="spellEnd"/>
      <w:r w:rsidRPr="00F96BA2">
        <w:rPr>
          <w:sz w:val="20"/>
          <w:szCs w:val="20"/>
        </w:rPr>
        <w:t xml:space="preserve"> toward lesbians and gay men among police officers. 2002. </w:t>
      </w:r>
      <w:r w:rsidRPr="00F96BA2">
        <w:rPr>
          <w:i/>
          <w:iCs/>
          <w:sz w:val="20"/>
          <w:szCs w:val="20"/>
        </w:rPr>
        <w:t>Journal of Contemporary Criminal Justice, </w:t>
      </w:r>
      <w:r w:rsidRPr="00F96BA2">
        <w:rPr>
          <w:b/>
          <w:bCs/>
          <w:sz w:val="20"/>
          <w:szCs w:val="20"/>
        </w:rPr>
        <w:t>18</w:t>
      </w:r>
      <w:r w:rsidRPr="00F96BA2">
        <w:rPr>
          <w:sz w:val="20"/>
          <w:szCs w:val="20"/>
        </w:rPr>
        <w:t>(3), pp. 302–328.</w:t>
      </w:r>
    </w:p>
    <w:p w14:paraId="396E501A" w14:textId="77777777" w:rsidR="00845171" w:rsidRPr="00F96BA2" w:rsidRDefault="00845171" w:rsidP="00845171">
      <w:pPr>
        <w:spacing w:line="278" w:lineRule="auto"/>
        <w:rPr>
          <w:sz w:val="20"/>
          <w:szCs w:val="20"/>
        </w:rPr>
      </w:pPr>
      <w:r w:rsidRPr="00F96BA2">
        <w:rPr>
          <w:sz w:val="20"/>
          <w:szCs w:val="20"/>
        </w:rPr>
        <w:t xml:space="preserve">LINDSAY, H., 2022, 12 </w:t>
      </w:r>
      <w:proofErr w:type="gramStart"/>
      <w:r w:rsidRPr="00F96BA2">
        <w:rPr>
          <w:sz w:val="20"/>
          <w:szCs w:val="20"/>
        </w:rPr>
        <w:t>May,.</w:t>
      </w:r>
      <w:proofErr w:type="gramEnd"/>
      <w:r w:rsidRPr="00F96BA2">
        <w:rPr>
          <w:sz w:val="20"/>
          <w:szCs w:val="20"/>
        </w:rPr>
        <w:t xml:space="preserve"> LGBT+ Link Officers: Hampshire Constabulary’s support service is renamed as it marks its 25th anniversary</w:t>
      </w:r>
      <w:r w:rsidRPr="00F96BA2">
        <w:rPr>
          <w:i/>
          <w:iCs/>
          <w:sz w:val="20"/>
          <w:szCs w:val="20"/>
        </w:rPr>
        <w:t>. Hampshire Chronicle</w:t>
      </w:r>
      <w:r w:rsidRPr="00F96BA2">
        <w:rPr>
          <w:sz w:val="20"/>
          <w:szCs w:val="20"/>
        </w:rPr>
        <w:t>.</w:t>
      </w:r>
    </w:p>
    <w:p w14:paraId="5803BC8E" w14:textId="77777777" w:rsidR="00845171" w:rsidRPr="00F96BA2" w:rsidRDefault="00845171" w:rsidP="00845171">
      <w:pPr>
        <w:spacing w:line="278" w:lineRule="auto"/>
        <w:rPr>
          <w:sz w:val="20"/>
          <w:szCs w:val="20"/>
        </w:rPr>
      </w:pPr>
      <w:r w:rsidRPr="00F96BA2">
        <w:rPr>
          <w:sz w:val="20"/>
          <w:szCs w:val="20"/>
        </w:rPr>
        <w:t>MCCARTHY, D., 2012. Gay and Lesbian Cops: Diversity and Effective Policing. </w:t>
      </w:r>
      <w:r w:rsidRPr="00F96BA2">
        <w:rPr>
          <w:i/>
          <w:iCs/>
          <w:sz w:val="20"/>
          <w:szCs w:val="20"/>
        </w:rPr>
        <w:t>The British Journal of Criminology, </w:t>
      </w:r>
      <w:r w:rsidRPr="00F96BA2">
        <w:rPr>
          <w:b/>
          <w:bCs/>
          <w:sz w:val="20"/>
          <w:szCs w:val="20"/>
        </w:rPr>
        <w:t>53</w:t>
      </w:r>
      <w:r w:rsidRPr="00F96BA2">
        <w:rPr>
          <w:sz w:val="20"/>
          <w:szCs w:val="20"/>
        </w:rPr>
        <w:t>(3), pp. 525–528.</w:t>
      </w:r>
    </w:p>
    <w:p w14:paraId="22656C87" w14:textId="77777777" w:rsidR="00845171" w:rsidRPr="00F96BA2" w:rsidRDefault="00845171" w:rsidP="00845171">
      <w:pPr>
        <w:spacing w:line="278" w:lineRule="auto"/>
        <w:rPr>
          <w:sz w:val="20"/>
          <w:szCs w:val="20"/>
        </w:rPr>
      </w:pPr>
      <w:r w:rsidRPr="00F96BA2">
        <w:rPr>
          <w:sz w:val="20"/>
          <w:szCs w:val="20"/>
        </w:rPr>
        <w:t>MCLAUGHLIN, E., 2024. </w:t>
      </w:r>
      <w:r w:rsidRPr="00F96BA2">
        <w:rPr>
          <w:i/>
          <w:iCs/>
          <w:sz w:val="20"/>
          <w:szCs w:val="20"/>
        </w:rPr>
        <w:t>The New Policing. </w:t>
      </w:r>
      <w:r w:rsidRPr="00F96BA2">
        <w:rPr>
          <w:sz w:val="20"/>
          <w:szCs w:val="20"/>
        </w:rPr>
        <w:t>London, UK: SAGE Publications Ltd.</w:t>
      </w:r>
    </w:p>
    <w:p w14:paraId="280141D3" w14:textId="77777777" w:rsidR="00845171" w:rsidRPr="00F96BA2" w:rsidRDefault="00845171" w:rsidP="00845171">
      <w:pPr>
        <w:spacing w:line="278" w:lineRule="auto"/>
        <w:rPr>
          <w:sz w:val="20"/>
          <w:szCs w:val="20"/>
        </w:rPr>
      </w:pPr>
      <w:r w:rsidRPr="00F96BA2">
        <w:rPr>
          <w:sz w:val="20"/>
          <w:szCs w:val="20"/>
        </w:rPr>
        <w:t>PERKINS, K. and WILEY, S., 2024. Minorities | SpringerLink. , pp. 1192–1195.</w:t>
      </w:r>
    </w:p>
    <w:p w14:paraId="5346F9C4" w14:textId="77777777" w:rsidR="00845171" w:rsidRPr="00F96BA2" w:rsidRDefault="00845171" w:rsidP="00845171">
      <w:pPr>
        <w:spacing w:line="278" w:lineRule="auto"/>
        <w:rPr>
          <w:sz w:val="20"/>
          <w:szCs w:val="20"/>
        </w:rPr>
      </w:pPr>
      <w:r w:rsidRPr="00F96BA2">
        <w:rPr>
          <w:sz w:val="20"/>
          <w:szCs w:val="20"/>
        </w:rPr>
        <w:t>SOUTH WALES POLICE, 2024-last update, Positive Action Support. Available: </w:t>
      </w:r>
      <w:hyperlink r:id="rId12" w:tgtFrame="_blank" w:history="1">
        <w:r w:rsidRPr="00F96BA2">
          <w:rPr>
            <w:rStyle w:val="Hyperlink"/>
            <w:sz w:val="20"/>
            <w:szCs w:val="20"/>
          </w:rPr>
          <w:t>https://www.south-wales.police.uk/police-forces/south-wales-police/areas/careers/careers/positive-action/</w:t>
        </w:r>
      </w:hyperlink>
      <w:r w:rsidRPr="00F96BA2">
        <w:rPr>
          <w:sz w:val="20"/>
          <w:szCs w:val="20"/>
        </w:rPr>
        <w:t> [Sep 3, 2024].</w:t>
      </w:r>
    </w:p>
    <w:p w14:paraId="64E8C44B" w14:textId="77777777" w:rsidR="00845171" w:rsidRPr="00F96BA2" w:rsidRDefault="00845171" w:rsidP="00845171">
      <w:pPr>
        <w:spacing w:line="278" w:lineRule="auto"/>
        <w:rPr>
          <w:sz w:val="20"/>
          <w:szCs w:val="20"/>
        </w:rPr>
      </w:pPr>
      <w:r w:rsidRPr="00F96BA2">
        <w:rPr>
          <w:sz w:val="20"/>
          <w:szCs w:val="20"/>
        </w:rPr>
        <w:t>STOUT, B., 2010. </w:t>
      </w:r>
      <w:r w:rsidRPr="00F96BA2">
        <w:rPr>
          <w:i/>
          <w:iCs/>
          <w:sz w:val="20"/>
          <w:szCs w:val="20"/>
        </w:rPr>
        <w:t>Equality and diversity in policing. </w:t>
      </w:r>
      <w:r w:rsidRPr="00F96BA2">
        <w:rPr>
          <w:sz w:val="20"/>
          <w:szCs w:val="20"/>
        </w:rPr>
        <w:t>Exeter: Learning Matters.</w:t>
      </w:r>
    </w:p>
    <w:p w14:paraId="37FE77DF" w14:textId="77777777" w:rsidR="00E627DA" w:rsidRPr="00FA6240" w:rsidRDefault="00E627DA" w:rsidP="00FA6240">
      <w:pPr>
        <w:rPr>
          <w:rFonts w:cstheme="minorHAnsi"/>
          <w:b/>
          <w:bCs/>
          <w:sz w:val="20"/>
          <w:szCs w:val="20"/>
        </w:rPr>
      </w:pPr>
    </w:p>
    <w:p w14:paraId="3E00C39D" w14:textId="3ADAAEE7" w:rsidR="00FA6240" w:rsidRDefault="00E627DA" w:rsidP="00E627DA">
      <w:pPr>
        <w:jc w:val="center"/>
      </w:pPr>
      <w:r>
        <w:t>***</w:t>
      </w:r>
    </w:p>
    <w:p w14:paraId="51D31B4C" w14:textId="77777777" w:rsidR="00845171" w:rsidRDefault="00845171" w:rsidP="00845171"/>
    <w:p w14:paraId="0A304109" w14:textId="47BB5ED3" w:rsidR="00E56622" w:rsidRDefault="00403FD1" w:rsidP="00403FD1">
      <w:r w:rsidRPr="00403FD1">
        <w:rPr>
          <w:b/>
          <w:bCs/>
        </w:rPr>
        <w:t>Essay two:</w:t>
      </w:r>
      <w:r>
        <w:t xml:space="preserve"> </w:t>
      </w:r>
      <w:r w:rsidR="00E56622">
        <w:t xml:space="preserve">Counter-terrorism policing – How might terrorist groups’ involvement in other forms of criminality inform counter-terrorism policing? </w:t>
      </w:r>
    </w:p>
    <w:p w14:paraId="273AEFFF" w14:textId="53A8B4E3" w:rsidR="00403FD1" w:rsidRPr="00C07B9A" w:rsidRDefault="00403FD1" w:rsidP="00403FD1">
      <w:pPr>
        <w:rPr>
          <w:rFonts w:cstheme="minorHAnsi"/>
          <w:sz w:val="20"/>
          <w:szCs w:val="20"/>
        </w:rPr>
      </w:pPr>
      <w:bookmarkStart w:id="1" w:name="_Hlk176287355"/>
      <w:r w:rsidRPr="00C07B9A">
        <w:rPr>
          <w:rFonts w:cstheme="minorHAnsi"/>
          <w:sz w:val="20"/>
          <w:szCs w:val="20"/>
        </w:rPr>
        <w:t>Word limit: 1000 words</w:t>
      </w:r>
    </w:p>
    <w:p w14:paraId="635D4C19" w14:textId="0BBEBD79" w:rsidR="00CF5D6B" w:rsidRPr="00C07B9A" w:rsidRDefault="00B871DE" w:rsidP="00B871DE">
      <w:pPr>
        <w:pStyle w:val="TableStyle2"/>
        <w:rPr>
          <w:rFonts w:asciiTheme="minorHAnsi" w:eastAsia="Arial Unicode MS" w:hAnsiTheme="minorHAnsi" w:cstheme="minorHAnsi"/>
        </w:rPr>
      </w:pPr>
      <w:r w:rsidRPr="00C07B9A">
        <w:rPr>
          <w:rFonts w:asciiTheme="minorHAnsi" w:eastAsia="Arial Unicode MS" w:hAnsiTheme="minorHAnsi" w:cstheme="minorHAnsi"/>
        </w:rPr>
        <w:t xml:space="preserve">This essay explores apparent linkages between terrorist activity and those terrorist groups’ involvement in other forms of criminality as understood by current literature. </w:t>
      </w:r>
      <w:proofErr w:type="gramStart"/>
      <w:r w:rsidRPr="00C07B9A">
        <w:rPr>
          <w:rFonts w:asciiTheme="minorHAnsi" w:eastAsia="Arial Unicode MS" w:hAnsiTheme="minorHAnsi" w:cstheme="minorHAnsi"/>
        </w:rPr>
        <w:t>Particular focus</w:t>
      </w:r>
      <w:proofErr w:type="gramEnd"/>
      <w:r w:rsidRPr="00C07B9A">
        <w:rPr>
          <w:rFonts w:asciiTheme="minorHAnsi" w:eastAsia="Arial Unicode MS" w:hAnsiTheme="minorHAnsi" w:cstheme="minorHAnsi"/>
        </w:rPr>
        <w:t xml:space="preserve"> will be given to these groups’ involvement in Organised Crime - factors contributing their interest in it, the mechanisms by which they are involved, and how this can inform counter-t</w:t>
      </w:r>
      <w:r w:rsidR="00CF5D6B" w:rsidRPr="00C07B9A">
        <w:rPr>
          <w:rFonts w:asciiTheme="minorHAnsi" w:eastAsia="Arial Unicode MS" w:hAnsiTheme="minorHAnsi" w:cstheme="minorHAnsi"/>
        </w:rPr>
        <w:t>error</w:t>
      </w:r>
      <w:r w:rsidRPr="00C07B9A">
        <w:rPr>
          <w:rFonts w:asciiTheme="minorHAnsi" w:eastAsia="Arial Unicode MS" w:hAnsiTheme="minorHAnsi" w:cstheme="minorHAnsi"/>
        </w:rPr>
        <w:t xml:space="preserve"> policing</w:t>
      </w:r>
      <w:r w:rsidR="00E0463D" w:rsidRPr="00C07B9A">
        <w:rPr>
          <w:rFonts w:asciiTheme="minorHAnsi" w:eastAsia="Arial Unicode MS" w:hAnsiTheme="minorHAnsi" w:cstheme="minorHAnsi"/>
        </w:rPr>
        <w:t>.</w:t>
      </w:r>
    </w:p>
    <w:p w14:paraId="16A49537" w14:textId="77777777" w:rsidR="00E0463D" w:rsidRPr="00C07B9A" w:rsidRDefault="00E0463D" w:rsidP="00B871DE">
      <w:pPr>
        <w:pStyle w:val="TableStyle2"/>
        <w:rPr>
          <w:rFonts w:asciiTheme="minorHAnsi" w:eastAsia="Arial Unicode MS" w:hAnsiTheme="minorHAnsi" w:cstheme="minorHAnsi"/>
        </w:rPr>
      </w:pPr>
    </w:p>
    <w:p w14:paraId="01CE0346" w14:textId="44E99573" w:rsidR="00E0463D" w:rsidRPr="00C07B9A" w:rsidRDefault="00E0463D" w:rsidP="00B871DE">
      <w:pPr>
        <w:pStyle w:val="TableStyle2"/>
        <w:rPr>
          <w:rFonts w:asciiTheme="minorHAnsi" w:eastAsia="Arial Unicode MS" w:hAnsiTheme="minorHAnsi" w:cstheme="minorHAnsi"/>
        </w:rPr>
      </w:pPr>
      <w:r w:rsidRPr="00C07B9A">
        <w:rPr>
          <w:rFonts w:asciiTheme="minorHAnsi" w:eastAsia="Arial Unicode MS" w:hAnsiTheme="minorHAnsi" w:cstheme="minorHAnsi"/>
        </w:rPr>
        <w:t xml:space="preserve">’Organised Crime’ is not currently defined due to how technology and the global landscape constantly evolving beyond any fixed list or criteria of illicit activities </w:t>
      </w:r>
      <w:r w:rsidRPr="00C07B9A">
        <w:rPr>
          <w:rFonts w:asciiTheme="minorHAnsi" w:hAnsiTheme="minorHAnsi" w:cstheme="minorHAnsi"/>
          <w:shd w:val="clear" w:color="auto" w:fill="FFFFFF"/>
        </w:rPr>
        <w:t>(</w:t>
      </w:r>
      <w:r w:rsidRPr="00C07B9A">
        <w:rPr>
          <w:rFonts w:asciiTheme="minorHAnsi" w:hAnsiTheme="minorHAnsi" w:cstheme="minorHAnsi"/>
          <w:i/>
          <w:iCs/>
        </w:rPr>
        <w:t>United Nations Convention Against</w:t>
      </w:r>
      <w:r w:rsidRPr="00C07B9A">
        <w:rPr>
          <w:rFonts w:asciiTheme="minorHAnsi" w:hAnsiTheme="minorHAnsi" w:cstheme="minorHAnsi"/>
          <w:i/>
          <w:iCs/>
        </w:rPr>
        <w:br/>
        <w:t>Transnational Organized Crime and the Protocols Thereto, </w:t>
      </w:r>
      <w:r w:rsidRPr="00C07B9A">
        <w:rPr>
          <w:rFonts w:asciiTheme="minorHAnsi" w:hAnsiTheme="minorHAnsi" w:cstheme="minorHAnsi"/>
          <w:shd w:val="clear" w:color="auto" w:fill="FFFFFF"/>
        </w:rPr>
        <w:t>2004)</w:t>
      </w:r>
      <w:r w:rsidRPr="00C07B9A">
        <w:rPr>
          <w:rFonts w:asciiTheme="minorHAnsi" w:eastAsia="Arial Unicode MS" w:hAnsiTheme="minorHAnsi" w:cstheme="minorHAnsi"/>
        </w:rPr>
        <w:t>,</w:t>
      </w:r>
    </w:p>
    <w:p w14:paraId="2377D584" w14:textId="77777777" w:rsidR="00E0463D" w:rsidRPr="00C07B9A" w:rsidRDefault="00E0463D" w:rsidP="00B871DE">
      <w:pPr>
        <w:pStyle w:val="TableStyle2"/>
        <w:rPr>
          <w:rFonts w:asciiTheme="minorHAnsi" w:eastAsia="Arial Unicode MS" w:hAnsiTheme="minorHAnsi" w:cstheme="minorHAnsi"/>
        </w:rPr>
      </w:pPr>
    </w:p>
    <w:p w14:paraId="555BF44B" w14:textId="571A9BF3" w:rsidR="003C5F37" w:rsidRPr="00C07B9A" w:rsidRDefault="003C5F37" w:rsidP="003C5F37">
      <w:pPr>
        <w:pStyle w:val="TableStyle2"/>
        <w:rPr>
          <w:rFonts w:asciiTheme="minorHAnsi" w:hAnsiTheme="minorHAnsi" w:cstheme="minorHAnsi"/>
        </w:rPr>
      </w:pPr>
      <w:r w:rsidRPr="00C07B9A">
        <w:rPr>
          <w:rFonts w:asciiTheme="minorHAnsi" w:eastAsia="Arial Unicode MS" w:hAnsiTheme="minorHAnsi" w:cstheme="minorHAnsi"/>
          <w:lang w:val="en-US"/>
        </w:rPr>
        <w:t xml:space="preserve">However, </w:t>
      </w:r>
      <w:r w:rsidRPr="00C07B9A">
        <w:rPr>
          <w:rFonts w:asciiTheme="minorHAnsi" w:eastAsia="Arial Unicode MS" w:hAnsiTheme="minorHAnsi" w:cstheme="minorHAnsi"/>
        </w:rPr>
        <w:t>‘</w:t>
      </w:r>
      <w:r w:rsidRPr="00C07B9A">
        <w:rPr>
          <w:rFonts w:asciiTheme="minorHAnsi" w:eastAsia="Arial Unicode MS" w:hAnsiTheme="minorHAnsi" w:cstheme="minorHAnsi"/>
          <w:lang w:val="en-US"/>
        </w:rPr>
        <w:t>Organised Criminal Group</w:t>
      </w:r>
      <w:r w:rsidRPr="00C07B9A">
        <w:rPr>
          <w:rFonts w:asciiTheme="minorHAnsi" w:eastAsia="Arial Unicode MS" w:hAnsiTheme="minorHAnsi" w:cstheme="minorHAnsi"/>
        </w:rPr>
        <w:t>’</w:t>
      </w:r>
      <w:r w:rsidRPr="00C07B9A">
        <w:rPr>
          <w:rFonts w:asciiTheme="minorHAnsi" w:eastAsia="Arial Unicode MS" w:hAnsiTheme="minorHAnsi" w:cstheme="minorHAnsi"/>
          <w:lang w:val="en-US"/>
        </w:rPr>
        <w:t xml:space="preserve"> is defined under section 45(6) of (Serious Crime Act, 2015) as a group which:</w:t>
      </w:r>
    </w:p>
    <w:p w14:paraId="43B7BBC2" w14:textId="77777777" w:rsidR="003C5F37" w:rsidRPr="00C07B9A" w:rsidRDefault="003C5F37" w:rsidP="003C5F37">
      <w:pPr>
        <w:pStyle w:val="TableStyle2"/>
        <w:rPr>
          <w:rFonts w:asciiTheme="minorHAnsi" w:hAnsiTheme="minorHAnsi" w:cstheme="minorHAnsi"/>
        </w:rPr>
      </w:pPr>
    </w:p>
    <w:p w14:paraId="062F865E" w14:textId="47ECECB2" w:rsidR="00E0463D" w:rsidRPr="00C07B9A" w:rsidRDefault="003C5F37" w:rsidP="003C5F37">
      <w:pPr>
        <w:pStyle w:val="TableStyle2"/>
        <w:jc w:val="center"/>
        <w:rPr>
          <w:rFonts w:asciiTheme="minorHAnsi" w:hAnsiTheme="minorHAnsi" w:cstheme="minorHAnsi"/>
          <w:i/>
          <w:iCs/>
          <w:lang w:val="en-US"/>
        </w:rPr>
      </w:pPr>
      <w:r w:rsidRPr="00C07B9A">
        <w:rPr>
          <w:rFonts w:asciiTheme="minorHAnsi" w:hAnsiTheme="minorHAnsi" w:cstheme="minorHAnsi"/>
          <w:i/>
          <w:iCs/>
          <w:lang w:val="en-US"/>
        </w:rPr>
        <w:t>“</w:t>
      </w:r>
      <w:r w:rsidR="00845171">
        <w:rPr>
          <w:rFonts w:asciiTheme="minorHAnsi" w:hAnsiTheme="minorHAnsi" w:cstheme="minorHAnsi"/>
          <w:i/>
          <w:iCs/>
          <w:lang w:val="en-US"/>
        </w:rPr>
        <w:t>…</w:t>
      </w:r>
      <w:r w:rsidRPr="00C07B9A">
        <w:rPr>
          <w:rFonts w:asciiTheme="minorHAnsi" w:hAnsiTheme="minorHAnsi" w:cstheme="minorHAnsi"/>
          <w:i/>
          <w:iCs/>
          <w:lang w:val="en-US"/>
        </w:rPr>
        <w:t>has at its purpose, or one of its purposes, the carrying on of criminal activities, and consists of three or more people who agree to act together to further that purpose (CPS, 2022)”.</w:t>
      </w:r>
    </w:p>
    <w:p w14:paraId="03F3C3BE" w14:textId="77777777" w:rsidR="000D6384" w:rsidRPr="00C07B9A" w:rsidRDefault="000D6384" w:rsidP="000D6384">
      <w:pPr>
        <w:pStyle w:val="PlainText"/>
        <w:rPr>
          <w:rFonts w:asciiTheme="minorHAnsi" w:hAnsiTheme="minorHAnsi" w:cstheme="minorHAnsi"/>
          <w:sz w:val="20"/>
          <w:szCs w:val="20"/>
        </w:rPr>
      </w:pPr>
    </w:p>
    <w:p w14:paraId="25F011CD" w14:textId="79A682C5" w:rsidR="000D6384" w:rsidRPr="00C07B9A" w:rsidRDefault="000D6384" w:rsidP="000D6384">
      <w:pPr>
        <w:pStyle w:val="PlainText"/>
        <w:rPr>
          <w:rFonts w:asciiTheme="minorHAnsi" w:eastAsia="Arial Unicode MS" w:hAnsiTheme="minorHAnsi" w:cstheme="minorHAnsi"/>
          <w:color w:val="000000"/>
          <w:kern w:val="0"/>
          <w:sz w:val="20"/>
          <w:szCs w:val="20"/>
          <w:bdr w:val="nil"/>
          <w:lang w:eastAsia="en-GB"/>
          <w14:ligatures w14:val="none"/>
        </w:rPr>
      </w:pPr>
      <w:r w:rsidRPr="00C07B9A">
        <w:rPr>
          <w:rFonts w:asciiTheme="minorHAnsi" w:eastAsia="Arial Unicode MS" w:hAnsiTheme="minorHAnsi" w:cstheme="minorHAnsi"/>
          <w:color w:val="000000"/>
          <w:kern w:val="0"/>
          <w:sz w:val="20"/>
          <w:szCs w:val="20"/>
          <w:bdr w:val="nil"/>
          <w:lang w:eastAsia="en-GB"/>
          <w14:ligatures w14:val="none"/>
        </w:rPr>
        <w:t xml:space="preserve">Under section 1(1) of (Terrorism Act, 2000) 'terrorism' means the use or threat of action where: </w:t>
      </w:r>
    </w:p>
    <w:p w14:paraId="05E7A504" w14:textId="77777777" w:rsidR="000D6384" w:rsidRPr="00C07B9A" w:rsidRDefault="000D6384" w:rsidP="000D6384">
      <w:pPr>
        <w:pStyle w:val="PlainText"/>
        <w:rPr>
          <w:rFonts w:asciiTheme="minorHAnsi" w:eastAsia="Arial Unicode MS" w:hAnsiTheme="minorHAnsi" w:cstheme="minorHAnsi"/>
          <w:color w:val="000000"/>
          <w:kern w:val="0"/>
          <w:sz w:val="20"/>
          <w:szCs w:val="20"/>
          <w:bdr w:val="nil"/>
          <w:lang w:eastAsia="en-GB"/>
          <w14:ligatures w14:val="none"/>
        </w:rPr>
      </w:pPr>
    </w:p>
    <w:p w14:paraId="3E0A06FB" w14:textId="22B23F21" w:rsidR="003C5F37" w:rsidRPr="00C07B9A" w:rsidRDefault="000D6384" w:rsidP="000D6384">
      <w:pPr>
        <w:pStyle w:val="TableStyle2"/>
        <w:jc w:val="center"/>
        <w:rPr>
          <w:rFonts w:asciiTheme="minorHAnsi" w:eastAsia="Arial Unicode MS" w:hAnsiTheme="minorHAnsi" w:cstheme="minorHAnsi"/>
          <w:i/>
          <w:iCs/>
        </w:rPr>
      </w:pPr>
      <w:r w:rsidRPr="00C07B9A">
        <w:rPr>
          <w:rFonts w:asciiTheme="minorHAnsi" w:eastAsia="Arial Unicode MS" w:hAnsiTheme="minorHAnsi" w:cstheme="minorHAnsi"/>
          <w:i/>
          <w:iCs/>
        </w:rPr>
        <w:t>"(a) the action falls within subsection (2), (b) the use or threat is designed to influence the government [or an international governmental organisation] or to intimidate the public or a section of the public, and (c) the use or threat is made for the purpose of advancing a political, religious, racial or ideological cause".</w:t>
      </w:r>
    </w:p>
    <w:p w14:paraId="11C6B86E" w14:textId="77777777" w:rsidR="003C5F37" w:rsidRPr="00C07B9A" w:rsidRDefault="003C5F37" w:rsidP="003C5F37">
      <w:pPr>
        <w:pStyle w:val="TableStyle2"/>
        <w:rPr>
          <w:rFonts w:asciiTheme="minorHAnsi" w:eastAsia="Arial Unicode MS" w:hAnsiTheme="minorHAnsi" w:cstheme="minorHAnsi"/>
        </w:rPr>
      </w:pPr>
    </w:p>
    <w:p w14:paraId="47F94617" w14:textId="77777777" w:rsidR="00136692" w:rsidRPr="00C07B9A" w:rsidRDefault="00F900F7" w:rsidP="002141A6">
      <w:pPr>
        <w:rPr>
          <w:rFonts w:eastAsia="Arial Unicode MS" w:cstheme="minorHAnsi"/>
          <w:color w:val="000000"/>
          <w:sz w:val="20"/>
          <w:szCs w:val="20"/>
          <w:bdr w:val="nil"/>
        </w:rPr>
      </w:pPr>
      <w:r w:rsidRPr="00C07B9A">
        <w:rPr>
          <w:rFonts w:eastAsia="Arial Unicode MS" w:cstheme="minorHAnsi"/>
          <w:color w:val="000000"/>
          <w:sz w:val="20"/>
          <w:szCs w:val="20"/>
          <w:bdr w:val="nil"/>
        </w:rPr>
        <w:t xml:space="preserve">A notable consideration in answering this question is that of funding. (United Nations Office on Drugs and Crime 2017) stressed it is widely acknowledged that the drug trade has long been a significant source of income for terrorist groups - at the time of the report, it was estimated that up to 85% of opium poppy cultivation in Afghanistan was in territory under influence of the Taliban (ibid). </w:t>
      </w:r>
    </w:p>
    <w:p w14:paraId="2D48FFC3" w14:textId="470D7D3D" w:rsidR="00CF3D1F" w:rsidRPr="00C07B9A" w:rsidRDefault="00422B75" w:rsidP="00CF3D1F">
      <w:pPr>
        <w:pStyle w:val="pf0"/>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t>As another example, it was estimated in the mid-1990s, that 60% of Northern Ireland’s drug trade was controlled by Loyalist</w:t>
      </w:r>
      <w:r w:rsidR="00DA6D88" w:rsidRPr="00C07B9A">
        <w:rPr>
          <w:rFonts w:asciiTheme="minorHAnsi" w:eastAsia="Arial Unicode MS" w:hAnsiTheme="minorHAnsi" w:cstheme="minorHAnsi"/>
          <w:color w:val="000000"/>
          <w:sz w:val="20"/>
          <w:szCs w:val="20"/>
          <w:bdr w:val="nil"/>
        </w:rPr>
        <w:t xml:space="preserve"> paramilitar</w:t>
      </w:r>
      <w:r w:rsidR="00CF3D1F" w:rsidRPr="00C07B9A">
        <w:rPr>
          <w:rFonts w:asciiTheme="minorHAnsi" w:eastAsia="Arial Unicode MS" w:hAnsiTheme="minorHAnsi" w:cstheme="minorHAnsi"/>
          <w:color w:val="000000"/>
          <w:sz w:val="20"/>
          <w:szCs w:val="20"/>
          <w:bdr w:val="nil"/>
        </w:rPr>
        <w:t>ies (Silke, 2010).</w:t>
      </w:r>
    </w:p>
    <w:p w14:paraId="75468A09" w14:textId="77777777" w:rsidR="00322803" w:rsidRPr="00C07B9A" w:rsidRDefault="00322803" w:rsidP="00322803">
      <w:pPr>
        <w:pStyle w:val="NormalWeb"/>
        <w:pBdr>
          <w:top w:val="nil"/>
          <w:left w:val="nil"/>
          <w:bottom w:val="nil"/>
          <w:right w:val="nil"/>
          <w:between w:val="nil"/>
          <w:bar w:val="nil"/>
        </w:pBdr>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t>It was further reported by (FATF 2012) that importation of counterfeit cigarettes into Ireland by RIRA had become a major funding source for the organization.</w:t>
      </w:r>
    </w:p>
    <w:p w14:paraId="67DA173D" w14:textId="77777777" w:rsidR="007C4A80" w:rsidRPr="00C07B9A" w:rsidRDefault="007C4A80" w:rsidP="007C4A80">
      <w:pPr>
        <w:pStyle w:val="NormalWeb"/>
        <w:pBdr>
          <w:top w:val="nil"/>
          <w:left w:val="nil"/>
          <w:bottom w:val="nil"/>
          <w:right w:val="nil"/>
          <w:between w:val="nil"/>
          <w:bar w:val="nil"/>
        </w:pBdr>
        <w:rPr>
          <w:rFonts w:asciiTheme="minorHAnsi" w:eastAsia="Arial Unicode MS" w:hAnsiTheme="minorHAnsi" w:cstheme="minorHAnsi"/>
          <w:color w:val="000000"/>
          <w:sz w:val="20"/>
          <w:szCs w:val="20"/>
          <w:bdr w:val="nil"/>
        </w:rPr>
      </w:pPr>
    </w:p>
    <w:p w14:paraId="04B7A7CE" w14:textId="7D37FC61" w:rsidR="007C4A80" w:rsidRPr="00C07B9A" w:rsidRDefault="007C4A80" w:rsidP="007C4A80">
      <w:pPr>
        <w:pStyle w:val="NormalWeb"/>
        <w:pBdr>
          <w:top w:val="nil"/>
          <w:left w:val="nil"/>
          <w:bottom w:val="nil"/>
          <w:right w:val="nil"/>
          <w:between w:val="nil"/>
          <w:bar w:val="nil"/>
        </w:pBdr>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t xml:space="preserve">Also in the 1990s, the ‘Ndrangheta enabled the passage of arms from Lebanon to Belfast (Makarenko, 2012). The PIRA laundered drug trafficking proceeds on behalf of the ‘Ndrangheta in exchange. (EMCDDA, Europol 2016) A PIRA officer was found to have reinvested €12 million of criminal origin into the scheme, using offshore bank accounts to conceal- the funds (ibid). </w:t>
      </w:r>
    </w:p>
    <w:p w14:paraId="14AD40D6" w14:textId="77777777" w:rsidR="007C4A80" w:rsidRPr="00C07B9A" w:rsidRDefault="007C4A80" w:rsidP="007C4A80">
      <w:pPr>
        <w:pStyle w:val="NormalWeb"/>
        <w:pBdr>
          <w:top w:val="nil"/>
          <w:left w:val="nil"/>
          <w:bottom w:val="nil"/>
          <w:right w:val="nil"/>
          <w:between w:val="nil"/>
          <w:bar w:val="nil"/>
        </w:pBdr>
        <w:rPr>
          <w:rFonts w:asciiTheme="minorHAnsi" w:eastAsia="Arial Unicode MS" w:hAnsiTheme="minorHAnsi" w:cstheme="minorHAnsi"/>
          <w:color w:val="000000"/>
          <w:sz w:val="20"/>
          <w:szCs w:val="20"/>
          <w:bdr w:val="nil"/>
        </w:rPr>
      </w:pPr>
    </w:p>
    <w:p w14:paraId="05BB318D" w14:textId="4693FD2D" w:rsidR="007C4A80" w:rsidRPr="00C07B9A" w:rsidRDefault="007C4A80" w:rsidP="007C4A80">
      <w:pPr>
        <w:pStyle w:val="NormalWeb"/>
        <w:pBdr>
          <w:top w:val="nil"/>
          <w:left w:val="nil"/>
          <w:bottom w:val="nil"/>
          <w:right w:val="nil"/>
          <w:between w:val="nil"/>
          <w:bar w:val="nil"/>
        </w:pBdr>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t xml:space="preserve">These relationships illustrate how OCG’s can extend overseas, co-operating with other organized crime and terrorist organizations, and developing modern sophisticated ways of masking criminal activities by infiltration of legitimate economies. </w:t>
      </w:r>
    </w:p>
    <w:p w14:paraId="7AC4F39D" w14:textId="3AD7B649" w:rsidR="00DA6D88" w:rsidRPr="00C07B9A" w:rsidRDefault="007C4A80" w:rsidP="007C4A80">
      <w:pPr>
        <w:pStyle w:val="pf0"/>
        <w:rPr>
          <w:rFonts w:asciiTheme="minorHAnsi" w:hAnsiTheme="minorHAnsi" w:cstheme="minorHAnsi"/>
          <w:sz w:val="20"/>
          <w:szCs w:val="20"/>
        </w:rPr>
      </w:pPr>
      <w:r w:rsidRPr="00C07B9A">
        <w:rPr>
          <w:rFonts w:asciiTheme="minorHAnsi" w:eastAsia="Arial Unicode MS" w:hAnsiTheme="minorHAnsi" w:cstheme="minorHAnsi"/>
          <w:color w:val="000000"/>
          <w:sz w:val="20"/>
          <w:szCs w:val="20"/>
          <w:bdr w:val="nil"/>
        </w:rPr>
        <w:t>Clearly, by understanding terrorist the origin of terrorists’ income and resources, and the alliances they rely on for such enterprise, covert tactics can be deployed appropriately to intercept. As an example, in 2008, the UK successfully extradited three Irish citizens in Slovakia for conspiring to smuggle weapons for the RIRA. MI5 operatives had posed as Iraqi intelligence agents who were sympathetic to their cause and willing to provide weapons and explosives. (Cracknell et al., 2001)</w:t>
      </w:r>
    </w:p>
    <w:p w14:paraId="165195EF" w14:textId="70C2BBA7" w:rsidR="002141A6" w:rsidRPr="00C07B9A" w:rsidRDefault="002141A6" w:rsidP="002141A6">
      <w:pPr>
        <w:rPr>
          <w:rFonts w:eastAsia="Arial Unicode MS" w:cstheme="minorHAnsi"/>
          <w:color w:val="000000"/>
          <w:sz w:val="20"/>
          <w:szCs w:val="20"/>
          <w:bdr w:val="nil"/>
        </w:rPr>
      </w:pPr>
      <w:r w:rsidRPr="00C07B9A">
        <w:rPr>
          <w:rFonts w:cstheme="minorHAnsi"/>
          <w:color w:val="000000"/>
          <w:sz w:val="20"/>
          <w:szCs w:val="20"/>
          <w:lang w:eastAsia="en-GB"/>
        </w:rPr>
        <w:t>(Puttonen and Romiti, 2020) stress that the connections between terrorist organisations and organised criminal groups can vary widely, encompassing a myriad scenarios; this may involve terrorist groups engaging in organised criminal activities and organised criminal groups carrying out acts of terrorism - thereby, in theory - while this interaction does not signify a firm connection between disparate groups, it does suggest that the same methods can be utilised and easily replicated among these groups. </w:t>
      </w:r>
    </w:p>
    <w:p w14:paraId="1AC413A1" w14:textId="2FBA49AF" w:rsidR="002141A6" w:rsidRPr="00C07B9A" w:rsidRDefault="002141A6" w:rsidP="002141A6">
      <w:pPr>
        <w:rPr>
          <w:rFonts w:cstheme="minorHAnsi"/>
          <w:color w:val="000000"/>
          <w:sz w:val="20"/>
          <w:szCs w:val="20"/>
          <w:lang w:eastAsia="en-GB"/>
        </w:rPr>
      </w:pPr>
      <w:r w:rsidRPr="00C07B9A">
        <w:rPr>
          <w:rFonts w:cstheme="minorHAnsi"/>
          <w:color w:val="000000"/>
          <w:sz w:val="20"/>
          <w:szCs w:val="20"/>
          <w:lang w:eastAsia="en-GB"/>
        </w:rPr>
        <w:t>This theory forms the simple idea that investigations into OCG's may uncover terrorist activity (or terrorist motives) and vice versa.</w:t>
      </w:r>
      <w:r w:rsidR="00684070" w:rsidRPr="00C07B9A">
        <w:rPr>
          <w:rFonts w:cstheme="minorHAnsi"/>
          <w:color w:val="000000"/>
          <w:sz w:val="20"/>
          <w:szCs w:val="20"/>
          <w:lang w:eastAsia="en-GB"/>
        </w:rPr>
        <w:t xml:space="preserve"> </w:t>
      </w:r>
      <w:r w:rsidRPr="00C07B9A">
        <w:rPr>
          <w:rFonts w:cstheme="minorHAnsi"/>
          <w:color w:val="000000"/>
          <w:sz w:val="20"/>
          <w:szCs w:val="20"/>
          <w:lang w:eastAsia="en-GB"/>
        </w:rPr>
        <w:t>This would suggest that investigative methods relating to both types of groups can be applied almost interchangeably.</w:t>
      </w:r>
    </w:p>
    <w:p w14:paraId="02ED0A57" w14:textId="3E402C15" w:rsidR="00CF5D6B" w:rsidRPr="00C07B9A" w:rsidRDefault="002141A6" w:rsidP="002141A6">
      <w:pPr>
        <w:pStyle w:val="TableStyle2"/>
        <w:rPr>
          <w:rFonts w:asciiTheme="minorHAnsi" w:hAnsiTheme="minorHAnsi" w:cstheme="minorHAnsi"/>
        </w:rPr>
      </w:pPr>
      <w:r w:rsidRPr="00C07B9A">
        <w:rPr>
          <w:rFonts w:asciiTheme="minorHAnsi" w:hAnsiTheme="minorHAnsi" w:cstheme="minorHAnsi"/>
        </w:rPr>
        <w:t>However, this does not solve the issue of effectively detecting or predicting terrorist activity where organised crime is concerned; nor the issue of efficiently allocating resources into investigations where overlapping networks are concerned.</w:t>
      </w:r>
    </w:p>
    <w:p w14:paraId="08D3FCA8" w14:textId="77777777" w:rsidR="004C62D2" w:rsidRPr="00C07B9A" w:rsidRDefault="004C62D2" w:rsidP="004C62D2">
      <w:pPr>
        <w:pStyle w:val="elementtoproof"/>
        <w:shd w:val="clear" w:color="auto" w:fill="FFFFFF"/>
        <w:spacing w:before="300" w:after="300"/>
        <w:rPr>
          <w:rFonts w:asciiTheme="minorHAnsi" w:eastAsia="Arial Unicode MS" w:hAnsiTheme="minorHAnsi" w:cstheme="minorHAnsi"/>
          <w:color w:val="000000"/>
          <w:sz w:val="20"/>
          <w:szCs w:val="20"/>
          <w:bdr w:val="nil"/>
        </w:rPr>
      </w:pPr>
      <w:r w:rsidRPr="00C07B9A">
        <w:rPr>
          <w:rFonts w:asciiTheme="minorHAnsi" w:hAnsiTheme="minorHAnsi" w:cstheme="minorHAnsi"/>
          <w:color w:val="000000"/>
          <w:sz w:val="20"/>
          <w:szCs w:val="20"/>
          <w:shd w:val="clear" w:color="auto" w:fill="FFFFFF"/>
        </w:rPr>
        <w:t>The model by (Atkinson, Wein 2010)</w:t>
      </w:r>
      <w:r w:rsidRPr="00C07B9A">
        <w:rPr>
          <w:rFonts w:asciiTheme="minorHAnsi" w:eastAsia="Arial Unicode MS" w:hAnsiTheme="minorHAnsi" w:cstheme="minorHAnsi"/>
          <w:color w:val="000000"/>
          <w:sz w:val="20"/>
          <w:szCs w:val="20"/>
          <w:bdr w:val="nil"/>
        </w:rPr>
        <w:t xml:space="preserve"> suggests a mathematical approach to investigative processes aimed at identifying potential terrorists within criminal networks. It emphasizes the importance of initial and secondary investigations to determine individuals' roles in both types of activities. </w:t>
      </w:r>
    </w:p>
    <w:p w14:paraId="479063BE" w14:textId="77777777" w:rsidR="004C62D2" w:rsidRPr="00C07B9A" w:rsidRDefault="004C62D2" w:rsidP="004C62D2">
      <w:pPr>
        <w:pStyle w:val="NormalWeb"/>
        <w:shd w:val="clear" w:color="auto" w:fill="FFFFFF"/>
        <w:spacing w:before="300" w:after="300"/>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lastRenderedPageBreak/>
        <w:t>The optimization problem presented in the model underscores the need for strategic resource allocation to maximize the detection of terrorists within overlapping networks while considering budget constraints. In the coordinated case, where resources for criminal investigations can also be used for counter-terrorism efforts, efficiency in resource allocation is enhanced.</w:t>
      </w:r>
    </w:p>
    <w:p w14:paraId="094F3808" w14:textId="77777777" w:rsidR="004C62D2" w:rsidRPr="00C07B9A" w:rsidRDefault="004C62D2" w:rsidP="004C62D2">
      <w:pPr>
        <w:pStyle w:val="NormalWeb"/>
        <w:shd w:val="clear" w:color="auto" w:fill="FFFFFF"/>
        <w:spacing w:before="300" w:after="300"/>
        <w:rPr>
          <w:rFonts w:asciiTheme="minorHAnsi" w:eastAsia="Arial Unicode MS" w:hAnsiTheme="minorHAnsi" w:cstheme="minorHAnsi"/>
          <w:color w:val="000000"/>
          <w:sz w:val="20"/>
          <w:szCs w:val="20"/>
          <w:bdr w:val="nil"/>
        </w:rPr>
      </w:pPr>
      <w:r w:rsidRPr="00C07B9A">
        <w:rPr>
          <w:rFonts w:asciiTheme="minorHAnsi" w:eastAsia="Arial Unicode MS" w:hAnsiTheme="minorHAnsi" w:cstheme="minorHAnsi"/>
          <w:color w:val="000000"/>
          <w:sz w:val="20"/>
          <w:szCs w:val="20"/>
          <w:bdr w:val="nil"/>
        </w:rPr>
        <w:t>Recognizing the overlaps between criminal and terrorist networks allows for a more holistic approach to identifying and disrupting terrorist activities. This understanding informs counter-terrorism policing by highlighting the interconnected nature of these networks. Adaptive strategies that consider these connections may enhance the effectiveness of counter-terrorism efforts.</w:t>
      </w:r>
    </w:p>
    <w:p w14:paraId="3F2553BD" w14:textId="3D284761" w:rsidR="004C62D2" w:rsidRPr="00C07B9A" w:rsidRDefault="00684070" w:rsidP="004C62D2">
      <w:pPr>
        <w:pStyle w:val="TableStyle2"/>
        <w:rPr>
          <w:rFonts w:asciiTheme="minorHAnsi" w:eastAsia="Arial Unicode MS" w:hAnsiTheme="minorHAnsi" w:cstheme="minorHAnsi"/>
        </w:rPr>
      </w:pPr>
      <w:r w:rsidRPr="00C07B9A">
        <w:rPr>
          <w:rFonts w:asciiTheme="minorHAnsi" w:eastAsia="Arial Unicode MS" w:hAnsiTheme="minorHAnsi" w:cstheme="minorHAnsi"/>
        </w:rPr>
        <w:t xml:space="preserve">(ibid) </w:t>
      </w:r>
      <w:r w:rsidR="004C62D2" w:rsidRPr="00C07B9A">
        <w:rPr>
          <w:rFonts w:asciiTheme="minorHAnsi" w:eastAsia="Arial Unicode MS" w:hAnsiTheme="minorHAnsi" w:cstheme="minorHAnsi"/>
        </w:rPr>
        <w:t xml:space="preserve">offers that terrorist groups' involvement in other forms of criminality provides mathematical insights for counter-terrorism policing; when properly understood, these insights can inform responses to be more accurate – namely in predicting events - and resourcing to be more efficient. </w:t>
      </w:r>
    </w:p>
    <w:p w14:paraId="68225998" w14:textId="77777777" w:rsidR="004C62D2" w:rsidRPr="00C07B9A" w:rsidRDefault="004C62D2" w:rsidP="002141A6">
      <w:pPr>
        <w:pStyle w:val="TableStyle2"/>
        <w:rPr>
          <w:rFonts w:asciiTheme="minorHAnsi" w:hAnsiTheme="minorHAnsi" w:cstheme="minorHAnsi"/>
        </w:rPr>
      </w:pPr>
    </w:p>
    <w:p w14:paraId="45764565" w14:textId="3A2521D2" w:rsidR="007337C4" w:rsidRPr="00C07B9A" w:rsidRDefault="00413B07" w:rsidP="00413B07">
      <w:pPr>
        <w:rPr>
          <w:rFonts w:cstheme="minorHAnsi"/>
          <w:color w:val="000000"/>
          <w:sz w:val="20"/>
          <w:szCs w:val="20"/>
          <w:lang w:eastAsia="en-GB"/>
        </w:rPr>
      </w:pPr>
      <w:r w:rsidRPr="00C07B9A">
        <w:rPr>
          <w:rFonts w:cstheme="minorHAnsi"/>
          <w:color w:val="000000"/>
          <w:sz w:val="20"/>
          <w:szCs w:val="20"/>
          <w:lang w:eastAsia="en-GB"/>
        </w:rPr>
        <w:t>Contrarily</w:t>
      </w:r>
      <w:r w:rsidR="00684070" w:rsidRPr="00C07B9A">
        <w:rPr>
          <w:rFonts w:cstheme="minorHAnsi"/>
          <w:color w:val="000000"/>
          <w:sz w:val="20"/>
          <w:szCs w:val="20"/>
          <w:lang w:eastAsia="en-GB"/>
        </w:rPr>
        <w:t xml:space="preserve"> to (Puttonen and Romiti, 2020),</w:t>
      </w:r>
      <w:r w:rsidRPr="00C07B9A">
        <w:rPr>
          <w:rFonts w:cstheme="minorHAnsi"/>
          <w:color w:val="000000"/>
          <w:sz w:val="20"/>
          <w:szCs w:val="20"/>
          <w:lang w:eastAsia="en-GB"/>
        </w:rPr>
        <w:t xml:space="preserve"> (Jupp &amp; Garrod, 2019) suggests that frameworks intended for universal application “do not capture the historical evolution, synergies, and interactions between terrorism and crime in Northern Ireland. Nor, for that matter, are these existing models necessarily able to explain the nexus in other parts of the world”.</w:t>
      </w:r>
    </w:p>
    <w:p w14:paraId="528C6A59" w14:textId="51553B0A" w:rsidR="00413B07" w:rsidRPr="00C07B9A" w:rsidRDefault="007337C4" w:rsidP="00413B07">
      <w:pPr>
        <w:rPr>
          <w:rFonts w:cstheme="minorHAnsi"/>
          <w:color w:val="000000"/>
          <w:sz w:val="20"/>
          <w:szCs w:val="20"/>
          <w:lang w:eastAsia="en-GB"/>
        </w:rPr>
      </w:pPr>
      <w:r w:rsidRPr="00C07B9A">
        <w:rPr>
          <w:rFonts w:cstheme="minorHAnsi"/>
          <w:color w:val="000000"/>
          <w:sz w:val="20"/>
          <w:szCs w:val="20"/>
          <w:lang w:eastAsia="en-GB"/>
        </w:rPr>
        <w:t xml:space="preserve">They </w:t>
      </w:r>
      <w:r w:rsidR="00413B07" w:rsidRPr="00C07B9A">
        <w:rPr>
          <w:rFonts w:cstheme="minorHAnsi"/>
          <w:color w:val="000000"/>
          <w:sz w:val="20"/>
          <w:szCs w:val="20"/>
          <w:lang w:eastAsia="en-GB"/>
        </w:rPr>
        <w:t>contest</w:t>
      </w:r>
      <w:r w:rsidRPr="00C07B9A">
        <w:rPr>
          <w:rFonts w:cstheme="minorHAnsi"/>
          <w:color w:val="000000"/>
          <w:sz w:val="20"/>
          <w:szCs w:val="20"/>
          <w:lang w:eastAsia="en-GB"/>
        </w:rPr>
        <w:t xml:space="preserve"> </w:t>
      </w:r>
      <w:r w:rsidR="00413B07" w:rsidRPr="00C07B9A">
        <w:rPr>
          <w:rFonts w:cstheme="minorHAnsi"/>
          <w:color w:val="000000"/>
          <w:sz w:val="20"/>
          <w:szCs w:val="20"/>
          <w:lang w:eastAsia="en-GB"/>
        </w:rPr>
        <w:t>that existing models assume terrorist or OCG’s are capable of transforming from one to the other, presenting evidence in the case of Northern Ireland – home to fourteen proscribed terrorist groups (</w:t>
      </w:r>
      <w:hyperlink r:id="rId13" w:history="1">
        <w:r w:rsidR="00413B07" w:rsidRPr="00C07B9A">
          <w:rPr>
            <w:rFonts w:cstheme="minorHAnsi"/>
            <w:color w:val="000000"/>
            <w:sz w:val="20"/>
            <w:szCs w:val="20"/>
            <w:lang w:eastAsia="en-GB"/>
          </w:rPr>
          <w:t>Home</w:t>
        </w:r>
      </w:hyperlink>
      <w:r w:rsidR="00413B07" w:rsidRPr="00C07B9A">
        <w:rPr>
          <w:rFonts w:cstheme="minorHAnsi"/>
          <w:color w:val="000000"/>
          <w:sz w:val="20"/>
          <w:szCs w:val="20"/>
          <w:lang w:eastAsia="en-GB"/>
        </w:rPr>
        <w:t xml:space="preserve"> Office, 2023), and approximately 25% of around 100 OCG’s have links to paramilitary groups (Kearney, 2017) - no complete transformations have taken place. </w:t>
      </w:r>
    </w:p>
    <w:p w14:paraId="69827946" w14:textId="29722586" w:rsidR="00413B07" w:rsidRPr="00C07B9A" w:rsidRDefault="00413B07" w:rsidP="00413B07">
      <w:pPr>
        <w:rPr>
          <w:rFonts w:cstheme="minorHAnsi"/>
          <w:color w:val="000000"/>
          <w:sz w:val="20"/>
          <w:szCs w:val="20"/>
          <w:lang w:eastAsia="en-GB"/>
        </w:rPr>
      </w:pPr>
      <w:r w:rsidRPr="00C07B9A">
        <w:rPr>
          <w:rFonts w:cstheme="minorHAnsi"/>
          <w:color w:val="000000"/>
          <w:sz w:val="20"/>
          <w:szCs w:val="20"/>
          <w:lang w:eastAsia="en-GB"/>
        </w:rPr>
        <w:t>This suggests there is a need for a grading system to reflect different degrees of transformation across time. This ‘interaction model’ by does not directly propose a solution to tackling organised crime, nor terror, but it does offer a fresh, evidence-led approach to understanding the mechanisms by which the two types of groups involve one another.</w:t>
      </w:r>
    </w:p>
    <w:p w14:paraId="0F2EAAC7" w14:textId="0861BB9E" w:rsidR="00413B07" w:rsidRPr="00C07B9A" w:rsidRDefault="00413B07" w:rsidP="00413B07">
      <w:pPr>
        <w:pStyle w:val="TableStyle2"/>
        <w:rPr>
          <w:rFonts w:asciiTheme="minorHAnsi" w:eastAsia="Arial Unicode MS" w:hAnsiTheme="minorHAnsi" w:cstheme="minorHAnsi"/>
        </w:rPr>
      </w:pPr>
      <w:r w:rsidRPr="00C07B9A">
        <w:rPr>
          <w:rFonts w:asciiTheme="minorHAnsi" w:hAnsiTheme="minorHAnsi" w:cstheme="minorHAnsi"/>
        </w:rPr>
        <w:t xml:space="preserve">The ability to accurately monitor the status of terrorist or organised crime groups including their connections and methods of operation would feed more reliable input data </w:t>
      </w:r>
      <w:r w:rsidR="00DB752F" w:rsidRPr="00C07B9A">
        <w:rPr>
          <w:rFonts w:asciiTheme="minorHAnsi" w:hAnsiTheme="minorHAnsi" w:cstheme="minorHAnsi"/>
        </w:rPr>
        <w:t>to a mathematical</w:t>
      </w:r>
      <w:r w:rsidRPr="00C07B9A">
        <w:rPr>
          <w:rFonts w:asciiTheme="minorHAnsi" w:hAnsiTheme="minorHAnsi" w:cstheme="minorHAnsi"/>
        </w:rPr>
        <w:t xml:space="preserve"> model such as that proposed by </w:t>
      </w:r>
      <w:r w:rsidRPr="00C07B9A">
        <w:rPr>
          <w:rFonts w:asciiTheme="minorHAnsi" w:hAnsiTheme="minorHAnsi" w:cstheme="minorHAnsi"/>
          <w:shd w:val="clear" w:color="auto" w:fill="FFFFFF"/>
        </w:rPr>
        <w:t>(Atkinson, Wein 2010)</w:t>
      </w:r>
      <w:r w:rsidRPr="00C07B9A">
        <w:rPr>
          <w:rFonts w:asciiTheme="minorHAnsi" w:hAnsiTheme="minorHAnsi" w:cstheme="minorHAnsi"/>
        </w:rPr>
        <w:t xml:space="preserve"> were to be used. Moreover, it may provide a clearer picture of the crime-terror landscape from a political standpoint and create a more robust system for risk assessment. </w:t>
      </w:r>
    </w:p>
    <w:p w14:paraId="318164CE" w14:textId="77777777" w:rsidR="00170832" w:rsidRPr="00C07B9A" w:rsidRDefault="00170832" w:rsidP="00170832">
      <w:pPr>
        <w:pStyle w:val="TableStyle2"/>
        <w:rPr>
          <w:rFonts w:asciiTheme="minorHAnsi" w:hAnsiTheme="minorHAnsi" w:cstheme="minorHAnsi"/>
        </w:rPr>
      </w:pPr>
    </w:p>
    <w:p w14:paraId="0509F58C" w14:textId="4BA4F553" w:rsidR="00D5304E" w:rsidRDefault="00D5304E" w:rsidP="00170832">
      <w:pPr>
        <w:pStyle w:val="TableStyle2"/>
        <w:rPr>
          <w:rFonts w:asciiTheme="minorHAnsi" w:eastAsia="Arial Unicode MS" w:hAnsiTheme="minorHAnsi" w:cstheme="minorHAnsi"/>
        </w:rPr>
      </w:pPr>
      <w:r w:rsidRPr="00C07B9A">
        <w:rPr>
          <w:rFonts w:asciiTheme="minorHAnsi" w:eastAsia="Arial Unicode MS" w:hAnsiTheme="minorHAnsi" w:cstheme="minorHAnsi"/>
        </w:rPr>
        <w:t xml:space="preserve">The concepts and methods proposed in this essay, aim to provide insight into how linkages between organised crime and terrorism can be exploited </w:t>
      </w:r>
      <w:proofErr w:type="gramStart"/>
      <w:r w:rsidRPr="00C07B9A">
        <w:rPr>
          <w:rFonts w:asciiTheme="minorHAnsi" w:eastAsia="Arial Unicode MS" w:hAnsiTheme="minorHAnsi" w:cstheme="minorHAnsi"/>
        </w:rPr>
        <w:t>in order to</w:t>
      </w:r>
      <w:proofErr w:type="gramEnd"/>
      <w:r w:rsidRPr="00C07B9A">
        <w:rPr>
          <w:rFonts w:asciiTheme="minorHAnsi" w:eastAsia="Arial Unicode MS" w:hAnsiTheme="minorHAnsi" w:cstheme="minorHAnsi"/>
        </w:rPr>
        <w:t>: identify and categorise terrorists; establish their sources of income and support; detect, predict and intercept terrorist activity.</w:t>
      </w:r>
    </w:p>
    <w:p w14:paraId="29DDDAC0" w14:textId="77777777" w:rsidR="00B373C2" w:rsidRDefault="00B373C2" w:rsidP="00170832">
      <w:pPr>
        <w:pStyle w:val="TableStyle2"/>
        <w:rPr>
          <w:rFonts w:asciiTheme="minorHAnsi" w:eastAsia="Arial Unicode MS" w:hAnsiTheme="minorHAnsi" w:cstheme="minorHAnsi"/>
        </w:rPr>
      </w:pPr>
    </w:p>
    <w:p w14:paraId="34B3B983" w14:textId="77777777" w:rsidR="00845171" w:rsidRDefault="00845171" w:rsidP="00B373C2">
      <w:pPr>
        <w:pStyle w:val="NormalWeb"/>
        <w:shd w:val="clear" w:color="auto" w:fill="FFFFFF"/>
        <w:spacing w:after="173"/>
        <w:rPr>
          <w:rFonts w:asciiTheme="minorHAnsi" w:eastAsia="Arial Unicode MS" w:hAnsiTheme="minorHAnsi" w:cstheme="minorHAnsi"/>
          <w:b/>
          <w:bCs/>
        </w:rPr>
      </w:pPr>
    </w:p>
    <w:p w14:paraId="0B893FE8" w14:textId="5B35A97B" w:rsidR="00B373C2" w:rsidRDefault="00B373C2" w:rsidP="00B373C2">
      <w:pPr>
        <w:pStyle w:val="NormalWeb"/>
        <w:shd w:val="clear" w:color="auto" w:fill="FFFFFF"/>
        <w:spacing w:after="173"/>
        <w:rPr>
          <w:rFonts w:ascii="Roboto" w:hAnsi="Roboto"/>
          <w:i/>
          <w:iCs/>
          <w:color w:val="000000"/>
          <w:sz w:val="21"/>
          <w:szCs w:val="21"/>
        </w:rPr>
      </w:pPr>
      <w:r w:rsidRPr="00B373C2">
        <w:rPr>
          <w:rFonts w:asciiTheme="minorHAnsi" w:eastAsia="Arial Unicode MS" w:hAnsiTheme="minorHAnsi" w:cstheme="minorHAnsi"/>
          <w:b/>
          <w:bCs/>
        </w:rPr>
        <w:t>References</w:t>
      </w:r>
      <w:r w:rsidRPr="00B373C2">
        <w:rPr>
          <w:rFonts w:ascii="Roboto" w:hAnsi="Roboto"/>
          <w:i/>
          <w:iCs/>
          <w:color w:val="000000"/>
          <w:sz w:val="21"/>
          <w:szCs w:val="21"/>
        </w:rPr>
        <w:t xml:space="preserve"> </w:t>
      </w:r>
    </w:p>
    <w:p w14:paraId="1E570155"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ATKINSON, M.P. and WEIN, L.M., 2010. An Overlapping Networks Approach to Resource Allocation for Domestic Counterterrorism. </w:t>
      </w:r>
      <w:r w:rsidRPr="00DA2FCE">
        <w:rPr>
          <w:rFonts w:asciiTheme="minorHAnsi" w:hAnsiTheme="minorHAnsi" w:cstheme="minorHAnsi"/>
          <w:i/>
          <w:iCs/>
          <w:color w:val="000000"/>
          <w:sz w:val="20"/>
          <w:szCs w:val="20"/>
        </w:rPr>
        <w:t>Studies in Conflict &amp; Terrorism, </w:t>
      </w:r>
      <w:r w:rsidRPr="00DA2FCE">
        <w:rPr>
          <w:rFonts w:asciiTheme="minorHAnsi" w:hAnsiTheme="minorHAnsi" w:cstheme="minorHAnsi"/>
          <w:b/>
          <w:bCs/>
          <w:color w:val="000000"/>
          <w:sz w:val="20"/>
          <w:szCs w:val="20"/>
        </w:rPr>
        <w:t>33, 2010</w:t>
      </w:r>
      <w:r w:rsidRPr="00DA2FCE">
        <w:rPr>
          <w:rFonts w:asciiTheme="minorHAnsi" w:hAnsiTheme="minorHAnsi" w:cstheme="minorHAnsi"/>
          <w:color w:val="000000"/>
          <w:sz w:val="20"/>
          <w:szCs w:val="20"/>
        </w:rPr>
        <w:t>(7), pp. 618–651.</w:t>
      </w:r>
    </w:p>
    <w:p w14:paraId="0ADADA9F"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 xml:space="preserve">CRACKNELL, D., DEPUTY POLITICAL EDITOR and MURRAY, A., 2001, July </w:t>
      </w:r>
      <w:proofErr w:type="gramStart"/>
      <w:r w:rsidRPr="00DA2FCE">
        <w:rPr>
          <w:rFonts w:asciiTheme="minorHAnsi" w:hAnsiTheme="minorHAnsi" w:cstheme="minorHAnsi"/>
          <w:color w:val="000000"/>
          <w:sz w:val="20"/>
          <w:szCs w:val="20"/>
        </w:rPr>
        <w:t>08,.</w:t>
      </w:r>
      <w:proofErr w:type="gramEnd"/>
      <w:r w:rsidRPr="00DA2FCE">
        <w:rPr>
          <w:rFonts w:asciiTheme="minorHAnsi" w:hAnsiTheme="minorHAnsi" w:cstheme="minorHAnsi"/>
          <w:color w:val="000000"/>
          <w:sz w:val="20"/>
          <w:szCs w:val="20"/>
        </w:rPr>
        <w:t xml:space="preserve"> Three men held in Slovakia over IRA gunrunning</w:t>
      </w:r>
      <w:r w:rsidRPr="00DA2FCE">
        <w:rPr>
          <w:rFonts w:asciiTheme="minorHAnsi" w:hAnsiTheme="minorHAnsi" w:cstheme="minorHAnsi"/>
          <w:i/>
          <w:iCs/>
          <w:color w:val="000000"/>
          <w:sz w:val="20"/>
          <w:szCs w:val="20"/>
        </w:rPr>
        <w:t>. The Telegraph</w:t>
      </w:r>
      <w:r w:rsidRPr="00DA2FCE">
        <w:rPr>
          <w:rFonts w:asciiTheme="minorHAnsi" w:hAnsiTheme="minorHAnsi" w:cstheme="minorHAnsi"/>
          <w:color w:val="000000"/>
          <w:sz w:val="20"/>
          <w:szCs w:val="20"/>
        </w:rPr>
        <w:t>, 1.</w:t>
      </w:r>
    </w:p>
    <w:p w14:paraId="0901B6D8"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EMCDDA and EUROPOL, Apr 05, 2016-last update, 2016 EU Drug Markets Report: In-depth Analysis. Available: </w:t>
      </w:r>
      <w:hyperlink r:id="rId14" w:tgtFrame="_blank" w:history="1">
        <w:r w:rsidRPr="00DA2FCE">
          <w:rPr>
            <w:rStyle w:val="Hyperlink"/>
            <w:rFonts w:asciiTheme="minorHAnsi" w:hAnsiTheme="minorHAnsi" w:cstheme="minorHAnsi"/>
            <w:color w:val="0066CC"/>
            <w:sz w:val="20"/>
            <w:szCs w:val="20"/>
          </w:rPr>
          <w:t>https://www.emcdda.europa.eu/publications/joint-publications/eu-drug-markets-2016-in-depth-analysis_en</w:t>
        </w:r>
      </w:hyperlink>
      <w:r w:rsidRPr="00DA2FCE">
        <w:rPr>
          <w:rFonts w:asciiTheme="minorHAnsi" w:hAnsiTheme="minorHAnsi" w:cstheme="minorHAnsi"/>
          <w:color w:val="000000"/>
          <w:sz w:val="20"/>
          <w:szCs w:val="20"/>
        </w:rPr>
        <w:t> [18/04/24, .</w:t>
      </w:r>
    </w:p>
    <w:p w14:paraId="21D02EF9"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EUROPEAN COUNCIL, Mar 21, 2024-last update, The EU's response to terrorism [24/03/, 2024].</w:t>
      </w:r>
    </w:p>
    <w:p w14:paraId="4AA6CA44"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FATF, 2012. </w:t>
      </w:r>
      <w:r w:rsidRPr="00DA2FCE">
        <w:rPr>
          <w:rFonts w:asciiTheme="minorHAnsi" w:hAnsiTheme="minorHAnsi" w:cstheme="minorHAnsi"/>
          <w:i/>
          <w:iCs/>
          <w:color w:val="000000"/>
          <w:sz w:val="20"/>
          <w:szCs w:val="20"/>
        </w:rPr>
        <w:t>Illicit Tobacco Trade. </w:t>
      </w:r>
      <w:r w:rsidRPr="00DA2FCE">
        <w:rPr>
          <w:rFonts w:asciiTheme="minorHAnsi" w:hAnsiTheme="minorHAnsi" w:cstheme="minorHAnsi"/>
          <w:color w:val="000000"/>
          <w:sz w:val="20"/>
          <w:szCs w:val="20"/>
        </w:rPr>
        <w:t>Worldwide: OECD/FATF.</w:t>
      </w:r>
    </w:p>
    <w:p w14:paraId="7BAA7B4D"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HOME OFFICE, Sep 15, 2023-last update, FACTSHEET: Proscription. Available: </w:t>
      </w:r>
      <w:hyperlink r:id="rId15" w:tgtFrame="_blank" w:history="1">
        <w:r w:rsidRPr="00DA2FCE">
          <w:rPr>
            <w:rStyle w:val="Hyperlink"/>
            <w:rFonts w:asciiTheme="minorHAnsi" w:hAnsiTheme="minorHAnsi" w:cstheme="minorHAnsi"/>
            <w:color w:val="0066CC"/>
            <w:sz w:val="20"/>
            <w:szCs w:val="20"/>
          </w:rPr>
          <w:t>https://homeofficemedia.blog.gov.uk/2023/09/15/factsheet-proscription/.</w:t>
        </w:r>
      </w:hyperlink>
    </w:p>
    <w:p w14:paraId="564928B1"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lastRenderedPageBreak/>
        <w:t>HOUSE OF COMMONS, 2014-last update,  Tobacco smuggling - Home Affairs Committee. Available: </w:t>
      </w:r>
      <w:hyperlink r:id="rId16" w:tgtFrame="_blank" w:history="1">
        <w:r w:rsidRPr="00DA2FCE">
          <w:rPr>
            <w:rStyle w:val="Hyperlink"/>
            <w:rFonts w:asciiTheme="minorHAnsi" w:hAnsiTheme="minorHAnsi" w:cstheme="minorHAnsi"/>
            <w:color w:val="0066CC"/>
            <w:sz w:val="20"/>
            <w:szCs w:val="20"/>
          </w:rPr>
          <w:t>https://publications.parliament.uk/pa/cm201415/cmselect/cmhaff/200/20004.htm</w:t>
        </w:r>
      </w:hyperlink>
      <w:r w:rsidRPr="00DA2FCE">
        <w:rPr>
          <w:rFonts w:asciiTheme="minorHAnsi" w:hAnsiTheme="minorHAnsi" w:cstheme="minorHAnsi"/>
          <w:color w:val="000000"/>
          <w:sz w:val="20"/>
          <w:szCs w:val="20"/>
        </w:rPr>
        <w:t> [18/04/24, .</w:t>
      </w:r>
    </w:p>
    <w:p w14:paraId="4FAAE18C"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HOUSE OF COMMONS, 2006-last update,  Select Committee on Northern Ireland Affairs Third Report. Available: </w:t>
      </w:r>
      <w:hyperlink r:id="rId17" w:tgtFrame="_blank" w:history="1">
        <w:r w:rsidRPr="00DA2FCE">
          <w:rPr>
            <w:rStyle w:val="Hyperlink"/>
            <w:rFonts w:asciiTheme="minorHAnsi" w:hAnsiTheme="minorHAnsi" w:cstheme="minorHAnsi"/>
            <w:color w:val="0066CC"/>
            <w:sz w:val="20"/>
            <w:szCs w:val="20"/>
          </w:rPr>
          <w:t>https://publications.parliament.uk/pa/cm200506/cmselect/cmniaf/886/88605.htm</w:t>
        </w:r>
      </w:hyperlink>
      <w:r w:rsidRPr="00DA2FCE">
        <w:rPr>
          <w:rFonts w:asciiTheme="minorHAnsi" w:hAnsiTheme="minorHAnsi" w:cstheme="minorHAnsi"/>
          <w:color w:val="000000"/>
          <w:sz w:val="20"/>
          <w:szCs w:val="20"/>
        </w:rPr>
        <w:t> [18/04/24, .</w:t>
      </w:r>
    </w:p>
    <w:p w14:paraId="699B8A21"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JUPP, J. and GARROD, M., 2019. Legacies of the Troubles: The Links between Organized Crime and Terrorism in Northern Ireland. </w:t>
      </w:r>
      <w:r w:rsidRPr="00DA2FCE">
        <w:rPr>
          <w:rFonts w:asciiTheme="minorHAnsi" w:hAnsiTheme="minorHAnsi" w:cstheme="minorHAnsi"/>
          <w:i/>
          <w:iCs/>
          <w:color w:val="000000"/>
          <w:sz w:val="20"/>
          <w:szCs w:val="20"/>
        </w:rPr>
        <w:t>Studies in Conflict &amp; Terrorism, </w:t>
      </w:r>
      <w:r w:rsidRPr="00DA2FCE">
        <w:rPr>
          <w:rFonts w:asciiTheme="minorHAnsi" w:hAnsiTheme="minorHAnsi" w:cstheme="minorHAnsi"/>
          <w:b/>
          <w:bCs/>
          <w:color w:val="000000"/>
          <w:sz w:val="20"/>
          <w:szCs w:val="20"/>
        </w:rPr>
        <w:t>45</w:t>
      </w:r>
      <w:r w:rsidRPr="00DA2FCE">
        <w:rPr>
          <w:rFonts w:asciiTheme="minorHAnsi" w:hAnsiTheme="minorHAnsi" w:cstheme="minorHAnsi"/>
          <w:color w:val="000000"/>
          <w:sz w:val="20"/>
          <w:szCs w:val="20"/>
        </w:rPr>
        <w:t>(5-6), pp. 389–428.</w:t>
      </w:r>
    </w:p>
    <w:p w14:paraId="0F0EFEC4"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 xml:space="preserve">KEARNEY, V., Sep 27, 2017-last update, </w:t>
      </w:r>
      <w:proofErr w:type="gramStart"/>
      <w:r w:rsidRPr="00DA2FCE">
        <w:rPr>
          <w:rFonts w:asciiTheme="minorHAnsi" w:hAnsiTheme="minorHAnsi" w:cstheme="minorHAnsi"/>
          <w:color w:val="000000"/>
          <w:sz w:val="20"/>
          <w:szCs w:val="20"/>
        </w:rPr>
        <w:t>New</w:t>
      </w:r>
      <w:proofErr w:type="gramEnd"/>
      <w:r w:rsidRPr="00DA2FCE">
        <w:rPr>
          <w:rFonts w:asciiTheme="minorHAnsi" w:hAnsiTheme="minorHAnsi" w:cstheme="minorHAnsi"/>
          <w:color w:val="000000"/>
          <w:sz w:val="20"/>
          <w:szCs w:val="20"/>
        </w:rPr>
        <w:t xml:space="preserve"> taskforce to tackle paramilitaries. Available: </w:t>
      </w:r>
      <w:hyperlink r:id="rId18" w:tgtFrame="_blank" w:history="1">
        <w:r w:rsidRPr="00DA2FCE">
          <w:rPr>
            <w:rStyle w:val="Hyperlink"/>
            <w:rFonts w:asciiTheme="minorHAnsi" w:hAnsiTheme="minorHAnsi" w:cstheme="minorHAnsi"/>
            <w:color w:val="0066CC"/>
            <w:sz w:val="20"/>
            <w:szCs w:val="20"/>
          </w:rPr>
          <w:t>https://www.bbc.co.uk/news/uk-northern-ireland-41407322.</w:t>
        </w:r>
      </w:hyperlink>
    </w:p>
    <w:p w14:paraId="4D505276"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MAKARENKO, T., Oct 15, 2012-last update, Europe's Crime-Terror Nexus : Links between Terrorist and Organised Crime Groups in the European Union. Available: </w:t>
      </w:r>
      <w:hyperlink r:id="rId19" w:tgtFrame="_blank" w:history="1">
        <w:r w:rsidRPr="00DA2FCE">
          <w:rPr>
            <w:rStyle w:val="Hyperlink"/>
            <w:rFonts w:asciiTheme="minorHAnsi" w:hAnsiTheme="minorHAnsi" w:cstheme="minorHAnsi"/>
            <w:color w:val="0066CC"/>
            <w:sz w:val="20"/>
            <w:szCs w:val="20"/>
          </w:rPr>
          <w:t>https://www.europarl.europa.eu/thinktank/ga/document/IPOL-LIBE_ET(2012)462503.</w:t>
        </w:r>
      </w:hyperlink>
    </w:p>
    <w:p w14:paraId="1D78479F"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PUTTONEN, R. and ROMITI, F., 2022. Full article: The Linkages between Organized Crime and Terrorism. </w:t>
      </w:r>
      <w:r w:rsidRPr="00DA2FCE">
        <w:rPr>
          <w:rFonts w:asciiTheme="minorHAnsi" w:hAnsiTheme="minorHAnsi" w:cstheme="minorHAnsi"/>
          <w:i/>
          <w:iCs/>
          <w:color w:val="000000"/>
          <w:sz w:val="20"/>
          <w:szCs w:val="20"/>
        </w:rPr>
        <w:t xml:space="preserve">Studies in </w:t>
      </w:r>
      <w:proofErr w:type="spellStart"/>
      <w:r w:rsidRPr="00DA2FCE">
        <w:rPr>
          <w:rFonts w:asciiTheme="minorHAnsi" w:hAnsiTheme="minorHAnsi" w:cstheme="minorHAnsi"/>
          <w:i/>
          <w:iCs/>
          <w:color w:val="000000"/>
          <w:sz w:val="20"/>
          <w:szCs w:val="20"/>
        </w:rPr>
        <w:t>Conlict</w:t>
      </w:r>
      <w:proofErr w:type="spellEnd"/>
      <w:r w:rsidRPr="00DA2FCE">
        <w:rPr>
          <w:rFonts w:asciiTheme="minorHAnsi" w:hAnsiTheme="minorHAnsi" w:cstheme="minorHAnsi"/>
          <w:i/>
          <w:iCs/>
          <w:color w:val="000000"/>
          <w:sz w:val="20"/>
          <w:szCs w:val="20"/>
        </w:rPr>
        <w:t xml:space="preserve"> &amp; Terrorism, </w:t>
      </w:r>
      <w:r w:rsidRPr="00DA2FCE">
        <w:rPr>
          <w:rFonts w:asciiTheme="minorHAnsi" w:hAnsiTheme="minorHAnsi" w:cstheme="minorHAnsi"/>
          <w:b/>
          <w:bCs/>
          <w:color w:val="000000"/>
          <w:sz w:val="20"/>
          <w:szCs w:val="20"/>
        </w:rPr>
        <w:t>45</w:t>
      </w:r>
      <w:r w:rsidRPr="00DA2FCE">
        <w:rPr>
          <w:rFonts w:asciiTheme="minorHAnsi" w:hAnsiTheme="minorHAnsi" w:cstheme="minorHAnsi"/>
          <w:color w:val="000000"/>
          <w:sz w:val="20"/>
          <w:szCs w:val="20"/>
        </w:rPr>
        <w:t>(5-6), pp. 331–334.</w:t>
      </w:r>
    </w:p>
    <w:p w14:paraId="2A604E91"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 xml:space="preserve">SILKE, A., 2010. Drink, Drugs, and </w:t>
      </w:r>
      <w:proofErr w:type="spellStart"/>
      <w:r w:rsidRPr="00DA2FCE">
        <w:rPr>
          <w:rFonts w:asciiTheme="minorHAnsi" w:hAnsiTheme="minorHAnsi" w:cstheme="minorHAnsi"/>
          <w:color w:val="000000"/>
          <w:sz w:val="20"/>
          <w:szCs w:val="20"/>
        </w:rPr>
        <w:t>Rock'n'Roll</w:t>
      </w:r>
      <w:proofErr w:type="spellEnd"/>
      <w:r w:rsidRPr="00DA2FCE">
        <w:rPr>
          <w:rFonts w:asciiTheme="minorHAnsi" w:hAnsiTheme="minorHAnsi" w:cstheme="minorHAnsi"/>
          <w:color w:val="000000"/>
          <w:sz w:val="20"/>
          <w:szCs w:val="20"/>
        </w:rPr>
        <w:t>: Financing Loyalist Terrorism in Northern Ireland — Part Two: Studies in Conflict &amp; Terrorism: Vol 23, No 2. </w:t>
      </w:r>
      <w:r w:rsidRPr="00DA2FCE">
        <w:rPr>
          <w:rFonts w:asciiTheme="minorHAnsi" w:hAnsiTheme="minorHAnsi" w:cstheme="minorHAnsi"/>
          <w:i/>
          <w:iCs/>
          <w:color w:val="000000"/>
          <w:sz w:val="20"/>
          <w:szCs w:val="20"/>
        </w:rPr>
        <w:t xml:space="preserve">Studies in </w:t>
      </w:r>
      <w:proofErr w:type="spellStart"/>
      <w:r w:rsidRPr="00DA2FCE">
        <w:rPr>
          <w:rFonts w:asciiTheme="minorHAnsi" w:hAnsiTheme="minorHAnsi" w:cstheme="minorHAnsi"/>
          <w:i/>
          <w:iCs/>
          <w:color w:val="000000"/>
          <w:sz w:val="20"/>
          <w:szCs w:val="20"/>
        </w:rPr>
        <w:t>Conlict</w:t>
      </w:r>
      <w:proofErr w:type="spellEnd"/>
      <w:r w:rsidRPr="00DA2FCE">
        <w:rPr>
          <w:rFonts w:asciiTheme="minorHAnsi" w:hAnsiTheme="minorHAnsi" w:cstheme="minorHAnsi"/>
          <w:i/>
          <w:iCs/>
          <w:color w:val="000000"/>
          <w:sz w:val="20"/>
          <w:szCs w:val="20"/>
        </w:rPr>
        <w:t xml:space="preserve"> &amp; Terrorism, </w:t>
      </w:r>
      <w:r w:rsidRPr="00DA2FCE">
        <w:rPr>
          <w:rFonts w:asciiTheme="minorHAnsi" w:hAnsiTheme="minorHAnsi" w:cstheme="minorHAnsi"/>
          <w:b/>
          <w:bCs/>
          <w:color w:val="000000"/>
          <w:sz w:val="20"/>
          <w:szCs w:val="20"/>
        </w:rPr>
        <w:t>23</w:t>
      </w:r>
      <w:r w:rsidRPr="00DA2FCE">
        <w:rPr>
          <w:rFonts w:asciiTheme="minorHAnsi" w:hAnsiTheme="minorHAnsi" w:cstheme="minorHAnsi"/>
          <w:color w:val="000000"/>
          <w:sz w:val="20"/>
          <w:szCs w:val="20"/>
        </w:rPr>
        <w:t>(2), pp. 1.</w:t>
      </w:r>
    </w:p>
    <w:p w14:paraId="018752EB"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i/>
          <w:iCs/>
          <w:color w:val="000000"/>
          <w:sz w:val="20"/>
          <w:szCs w:val="20"/>
        </w:rPr>
        <w:t>Terrorism Act 2000. </w:t>
      </w:r>
      <w:r w:rsidRPr="00DA2FCE">
        <w:rPr>
          <w:rFonts w:asciiTheme="minorHAnsi" w:hAnsiTheme="minorHAnsi" w:cstheme="minorHAnsi"/>
          <w:color w:val="000000"/>
          <w:sz w:val="20"/>
          <w:szCs w:val="20"/>
        </w:rPr>
        <w:t>2000. Statute Law Database.</w:t>
      </w:r>
    </w:p>
    <w:p w14:paraId="52B8A253" w14:textId="77777777" w:rsidR="00B373C2" w:rsidRPr="00DA2FCE"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i/>
          <w:iCs/>
          <w:color w:val="000000"/>
          <w:sz w:val="20"/>
          <w:szCs w:val="20"/>
        </w:rPr>
        <w:t>UNITED NATIONS CONVENTION AGAINST TRANSNATIONAL ORGANIZED CRIME AND THE PROTOCOLS THERETO. </w:t>
      </w:r>
      <w:r w:rsidRPr="00DA2FCE">
        <w:rPr>
          <w:rFonts w:asciiTheme="minorHAnsi" w:hAnsiTheme="minorHAnsi" w:cstheme="minorHAnsi"/>
          <w:color w:val="000000"/>
          <w:sz w:val="20"/>
          <w:szCs w:val="20"/>
        </w:rPr>
        <w:t>2004.</w:t>
      </w:r>
    </w:p>
    <w:p w14:paraId="6C7CF9CE" w14:textId="77777777" w:rsidR="00B373C2" w:rsidRDefault="00B373C2" w:rsidP="00B373C2">
      <w:pPr>
        <w:pStyle w:val="NormalWeb"/>
        <w:shd w:val="clear" w:color="auto" w:fill="FFFFFF"/>
        <w:spacing w:after="173"/>
        <w:rPr>
          <w:rFonts w:asciiTheme="minorHAnsi" w:hAnsiTheme="minorHAnsi" w:cstheme="minorHAnsi"/>
          <w:color w:val="000000"/>
          <w:sz w:val="20"/>
          <w:szCs w:val="20"/>
        </w:rPr>
      </w:pPr>
      <w:r w:rsidRPr="00DA2FCE">
        <w:rPr>
          <w:rFonts w:asciiTheme="minorHAnsi" w:hAnsiTheme="minorHAnsi" w:cstheme="minorHAnsi"/>
          <w:color w:val="000000"/>
          <w:sz w:val="20"/>
          <w:szCs w:val="20"/>
        </w:rPr>
        <w:t>UNITED NATIONS OFFICE ON DRUGS AND CRIME, 2017. </w:t>
      </w:r>
      <w:r w:rsidRPr="00DA2FCE">
        <w:rPr>
          <w:rFonts w:asciiTheme="minorHAnsi" w:hAnsiTheme="minorHAnsi" w:cstheme="minorHAnsi"/>
          <w:i/>
          <w:iCs/>
          <w:color w:val="000000"/>
          <w:sz w:val="20"/>
          <w:szCs w:val="20"/>
        </w:rPr>
        <w:t>World Drug Report 2017. </w:t>
      </w:r>
      <w:r w:rsidRPr="00DA2FCE">
        <w:rPr>
          <w:rFonts w:asciiTheme="minorHAnsi" w:hAnsiTheme="minorHAnsi" w:cstheme="minorHAnsi"/>
          <w:color w:val="000000"/>
          <w:sz w:val="20"/>
          <w:szCs w:val="20"/>
        </w:rPr>
        <w:t>Worldwide: United Nations</w:t>
      </w:r>
      <w:r w:rsidRPr="00B373C2">
        <w:rPr>
          <w:rFonts w:asciiTheme="minorHAnsi" w:hAnsiTheme="minorHAnsi" w:cstheme="minorHAnsi"/>
          <w:color w:val="000000"/>
          <w:sz w:val="20"/>
          <w:szCs w:val="20"/>
        </w:rPr>
        <w:t>.</w:t>
      </w:r>
    </w:p>
    <w:bookmarkEnd w:id="1"/>
    <w:p w14:paraId="5EFFE797" w14:textId="77777777" w:rsidR="00845171" w:rsidRDefault="00845171" w:rsidP="00403FD1">
      <w:pPr>
        <w:rPr>
          <w:rFonts w:cstheme="minorHAnsi"/>
          <w:b/>
          <w:bCs/>
          <w:sz w:val="20"/>
          <w:szCs w:val="20"/>
        </w:rPr>
      </w:pPr>
    </w:p>
    <w:p w14:paraId="4E35BBCC" w14:textId="5E4D1DC5" w:rsidR="004C22FD" w:rsidRPr="00C07B9A" w:rsidRDefault="004C22FD" w:rsidP="004C22FD">
      <w:pPr>
        <w:jc w:val="center"/>
        <w:rPr>
          <w:rFonts w:cstheme="minorHAnsi"/>
          <w:b/>
          <w:bCs/>
          <w:sz w:val="20"/>
          <w:szCs w:val="20"/>
        </w:rPr>
      </w:pPr>
      <w:r>
        <w:rPr>
          <w:rFonts w:cstheme="minorHAnsi"/>
          <w:b/>
          <w:bCs/>
          <w:sz w:val="20"/>
          <w:szCs w:val="20"/>
        </w:rPr>
        <w:t>***</w:t>
      </w:r>
    </w:p>
    <w:p w14:paraId="1098695E" w14:textId="77777777" w:rsidR="00B373C2" w:rsidRDefault="00B373C2" w:rsidP="00403FD1">
      <w:pPr>
        <w:rPr>
          <w:rFonts w:cstheme="minorHAnsi"/>
          <w:b/>
          <w:bCs/>
          <w:sz w:val="20"/>
          <w:szCs w:val="20"/>
        </w:rPr>
      </w:pPr>
    </w:p>
    <w:p w14:paraId="02550C0B" w14:textId="4B5B8209" w:rsidR="00403FD1" w:rsidRDefault="00403FD1" w:rsidP="00403FD1">
      <w:pPr>
        <w:rPr>
          <w:rFonts w:cstheme="minorHAnsi"/>
          <w:sz w:val="20"/>
          <w:szCs w:val="20"/>
        </w:rPr>
      </w:pPr>
      <w:r w:rsidRPr="00C07B9A">
        <w:rPr>
          <w:rFonts w:cstheme="minorHAnsi"/>
          <w:b/>
          <w:bCs/>
          <w:sz w:val="20"/>
          <w:szCs w:val="20"/>
        </w:rPr>
        <w:t xml:space="preserve">Essay three: </w:t>
      </w:r>
      <w:r w:rsidRPr="00C07B9A">
        <w:rPr>
          <w:rFonts w:cstheme="minorHAnsi"/>
          <w:sz w:val="20"/>
          <w:szCs w:val="20"/>
        </w:rPr>
        <w:t xml:space="preserve">How might personal attitudes, values and bias impact upon the effective investigation of volume crime? </w:t>
      </w:r>
    </w:p>
    <w:p w14:paraId="5A1FBB69"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In their model for </w:t>
      </w:r>
      <w:proofErr w:type="spellStart"/>
      <w:r w:rsidRPr="00913BEF">
        <w:rPr>
          <w:rFonts w:asciiTheme="minorHAnsi" w:hAnsiTheme="minorHAnsi" w:cstheme="minorHAnsi"/>
          <w:sz w:val="20"/>
          <w:szCs w:val="20"/>
        </w:rPr>
        <w:t>categorising</w:t>
      </w:r>
      <w:proofErr w:type="spellEnd"/>
      <w:r w:rsidRPr="00913BEF">
        <w:rPr>
          <w:rFonts w:asciiTheme="minorHAnsi" w:hAnsiTheme="minorHAnsi" w:cstheme="minorHAnsi"/>
          <w:sz w:val="20"/>
          <w:szCs w:val="20"/>
        </w:rPr>
        <w:t xml:space="preserve"> the likeliness of solving a given investigation, Eck (1993) </w:t>
      </w:r>
      <w:proofErr w:type="spellStart"/>
      <w:r w:rsidRPr="00913BEF">
        <w:rPr>
          <w:rFonts w:asciiTheme="minorHAnsi" w:hAnsiTheme="minorHAnsi" w:cstheme="minorHAnsi"/>
          <w:sz w:val="20"/>
          <w:szCs w:val="20"/>
        </w:rPr>
        <w:t>emphasised</w:t>
      </w:r>
      <w:proofErr w:type="spellEnd"/>
      <w:r w:rsidRPr="00913BEF">
        <w:rPr>
          <w:rFonts w:asciiTheme="minorHAnsi" w:hAnsiTheme="minorHAnsi" w:cstheme="minorHAnsi"/>
          <w:sz w:val="20"/>
          <w:szCs w:val="20"/>
        </w:rPr>
        <w:t xml:space="preserve"> that cases with leads that require investigative work are where police actions most influence the judicial outcome. Since a large proportion of volume crimes are detected through information from victims and witnesses, initial contact between the public and police is crucial, contributing significantly to detections (Jansson, 2005).</w:t>
      </w:r>
    </w:p>
    <w:p w14:paraId="0E6587AF"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A recent example highlights how a shortfall in competency can affect an investigation. A call handler misclassified a robbery as theft, preventing CID from being notified to preserve the scene. Response officers arrived without proper evidence collection tools, and crucial evidence degraded before the error was </w:t>
      </w:r>
      <w:proofErr w:type="spellStart"/>
      <w:r w:rsidRPr="00913BEF">
        <w:rPr>
          <w:rFonts w:asciiTheme="minorHAnsi" w:hAnsiTheme="minorHAnsi" w:cstheme="minorHAnsi"/>
          <w:sz w:val="20"/>
          <w:szCs w:val="20"/>
        </w:rPr>
        <w:t>realised</w:t>
      </w:r>
      <w:proofErr w:type="spellEnd"/>
      <w:r w:rsidRPr="00913BEF">
        <w:rPr>
          <w:rFonts w:asciiTheme="minorHAnsi" w:hAnsiTheme="minorHAnsi" w:cstheme="minorHAnsi"/>
          <w:sz w:val="20"/>
          <w:szCs w:val="20"/>
        </w:rPr>
        <w:t>. Additionally, the officers failed to show the necessary compassion, leading the victim to withdraw support. This example shows how a lack of objectivity and critical thinking can lead to cascading issues in the investigation (College of Policing, 2024).</w:t>
      </w:r>
    </w:p>
    <w:p w14:paraId="68130490"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Investigating volume crime—offences such as burglary, theft, and criminal damage—is a core function of police work. However, the success of these investigations depends not just on procedures but on the personal attitudes, values, and biases of the investigators themselves. These factors influence the fairness of the investigation, resource allocation, and interactions with the public. This essay explores how personal factors impact the investigation of volume crimes using academic research and recent policing examples.</w:t>
      </w:r>
    </w:p>
    <w:p w14:paraId="507CFBD2"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Personal attitudes—officers' predispositions towards situations—play a key role in crime response. Officers with positive attitudes toward community policing are more likely to foster cooperation from the public, </w:t>
      </w:r>
      <w:r w:rsidRPr="00913BEF">
        <w:rPr>
          <w:rFonts w:asciiTheme="minorHAnsi" w:hAnsiTheme="minorHAnsi" w:cstheme="minorHAnsi"/>
          <w:sz w:val="20"/>
          <w:szCs w:val="20"/>
        </w:rPr>
        <w:lastRenderedPageBreak/>
        <w:t>essential for solving volume crimes (Harrison et al., 2022). Conversely, negative attitudes, such as cynicism or distrust of certain communities, can hinder investigations by alienating witnesses.</w:t>
      </w:r>
    </w:p>
    <w:p w14:paraId="65D58DB7"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For example, officers with biased attitudes towards immigrant communities may inadvertently discourage crime reporting. Research indicates that minority groups are often reluctant to report crimes due to fear of discrimination, leading to under-reporting and less effective investigations (Buil-Gil et al., 2021). This reluctance perpetuates cycles of </w:t>
      </w:r>
      <w:proofErr w:type="spellStart"/>
      <w:r w:rsidRPr="00913BEF">
        <w:rPr>
          <w:rFonts w:asciiTheme="minorHAnsi" w:hAnsiTheme="minorHAnsi" w:cstheme="minorHAnsi"/>
          <w:sz w:val="20"/>
          <w:szCs w:val="20"/>
        </w:rPr>
        <w:t>victimisation</w:t>
      </w:r>
      <w:proofErr w:type="spellEnd"/>
      <w:r w:rsidRPr="00913BEF">
        <w:rPr>
          <w:rFonts w:asciiTheme="minorHAnsi" w:hAnsiTheme="minorHAnsi" w:cstheme="minorHAnsi"/>
          <w:sz w:val="20"/>
          <w:szCs w:val="20"/>
        </w:rPr>
        <w:t>.</w:t>
      </w:r>
    </w:p>
    <w:p w14:paraId="45A0CA6A"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Personal values, which guide beliefs about what is right and wrong, influence how officers </w:t>
      </w:r>
      <w:proofErr w:type="spellStart"/>
      <w:r w:rsidRPr="00913BEF">
        <w:rPr>
          <w:rFonts w:asciiTheme="minorHAnsi" w:hAnsiTheme="minorHAnsi" w:cstheme="minorHAnsi"/>
          <w:sz w:val="20"/>
          <w:szCs w:val="20"/>
        </w:rPr>
        <w:t>prioritise</w:t>
      </w:r>
      <w:proofErr w:type="spellEnd"/>
      <w:r w:rsidRPr="00913BEF">
        <w:rPr>
          <w:rFonts w:asciiTheme="minorHAnsi" w:hAnsiTheme="minorHAnsi" w:cstheme="minorHAnsi"/>
          <w:sz w:val="20"/>
          <w:szCs w:val="20"/>
        </w:rPr>
        <w:t xml:space="preserve"> and investigate cases. While officers are expected to uphold professional values like justice and fairness, their personal values may conflict with these ideals, especially when handling volume crimes.</w:t>
      </w:r>
    </w:p>
    <w:p w14:paraId="44822B4F"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Heaton (2007) found that officers often </w:t>
      </w:r>
      <w:proofErr w:type="spellStart"/>
      <w:r w:rsidRPr="00913BEF">
        <w:rPr>
          <w:rFonts w:asciiTheme="minorHAnsi" w:hAnsiTheme="minorHAnsi" w:cstheme="minorHAnsi"/>
          <w:sz w:val="20"/>
          <w:szCs w:val="20"/>
        </w:rPr>
        <w:t>prioritised</w:t>
      </w:r>
      <w:proofErr w:type="spellEnd"/>
      <w:r w:rsidRPr="00913BEF">
        <w:rPr>
          <w:rFonts w:asciiTheme="minorHAnsi" w:hAnsiTheme="minorHAnsi" w:cstheme="minorHAnsi"/>
          <w:sz w:val="20"/>
          <w:szCs w:val="20"/>
        </w:rPr>
        <w:t xml:space="preserve"> crimes based on personal preference rather than community needs. For example, during a period when the national crime rate dropped by 20% between 1992 and 1999, the reduction varied by force. Some forces, such as Northumbria and Durham, achieved significant crime reductions despite using different policing styles. These differences highlight how officers' values can shape investigative outcomes, with some devaluing the importance of volume crime. This can lead to fewer detections and resolutions in cases that do not align with an officer’s personal sense of justice.</w:t>
      </w:r>
    </w:p>
    <w:p w14:paraId="50C457A1"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Additionally, officers who </w:t>
      </w:r>
      <w:proofErr w:type="spellStart"/>
      <w:r w:rsidRPr="00913BEF">
        <w:rPr>
          <w:rFonts w:asciiTheme="minorHAnsi" w:hAnsiTheme="minorHAnsi" w:cstheme="minorHAnsi"/>
          <w:sz w:val="20"/>
          <w:szCs w:val="20"/>
        </w:rPr>
        <w:t>favour</w:t>
      </w:r>
      <w:proofErr w:type="spellEnd"/>
      <w:r w:rsidRPr="00913BEF">
        <w:rPr>
          <w:rFonts w:asciiTheme="minorHAnsi" w:hAnsiTheme="minorHAnsi" w:cstheme="minorHAnsi"/>
          <w:sz w:val="20"/>
          <w:szCs w:val="20"/>
        </w:rPr>
        <w:t xml:space="preserve"> punitive approaches may focus on stricter enforcement, while those who value rehabilitation may adopt preventative measures. This divergence can influence how thoroughly volume crimes are investigated. A purely punitive focus may lead to faster arrests but fail to address underlying social issues contributing to the crime.</w:t>
      </w:r>
    </w:p>
    <w:p w14:paraId="3E5A8E6B"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Bias, whether conscious or unconscious, can undermine the effectiveness and fairness of investigations. Unconscious biases, such as racial or gender stereotypes, may lead officers to focus on certain suspects while ignoring others, distorting the evidence gathering process. Volume crime investigations, which often rely on subjective evidence, are particularly vulnerable to these biases.</w:t>
      </w:r>
    </w:p>
    <w:p w14:paraId="33166F32"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As noted by Nelli (2020), officers with negative biases towards victims may provide less support, which could hinder the investigation. Furthermore, data-driven policing is also prone to bias. Research on police data bias shows that past biased practices can skew the crime data officers rely on, leading to a disproportionate focus on certain communities (Buil-Gil et al., 2021).</w:t>
      </w:r>
    </w:p>
    <w:p w14:paraId="727329A8"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Recent examples illustrate the ongoing impact of bias in policing. The introduction of body-worn video (BWV) was intended to increase transparency and reduce bias in police interactions. Although BWV has improved accountability, it has also shown that deeper unconscious biases still affect police </w:t>
      </w:r>
      <w:proofErr w:type="spellStart"/>
      <w:r w:rsidRPr="00913BEF">
        <w:rPr>
          <w:rFonts w:asciiTheme="minorHAnsi" w:hAnsiTheme="minorHAnsi" w:cstheme="minorHAnsi"/>
          <w:sz w:val="20"/>
          <w:szCs w:val="20"/>
        </w:rPr>
        <w:t>behaviour</w:t>
      </w:r>
      <w:proofErr w:type="spellEnd"/>
      <w:r w:rsidRPr="00913BEF">
        <w:rPr>
          <w:rFonts w:asciiTheme="minorHAnsi" w:hAnsiTheme="minorHAnsi" w:cstheme="minorHAnsi"/>
          <w:sz w:val="20"/>
          <w:szCs w:val="20"/>
        </w:rPr>
        <w:t xml:space="preserve">. Harrison et al. (2022) found that officers, feeling </w:t>
      </w:r>
      <w:proofErr w:type="spellStart"/>
      <w:r w:rsidRPr="00913BEF">
        <w:rPr>
          <w:rFonts w:asciiTheme="minorHAnsi" w:hAnsiTheme="minorHAnsi" w:cstheme="minorHAnsi"/>
          <w:sz w:val="20"/>
          <w:szCs w:val="20"/>
        </w:rPr>
        <w:t>scrutinised</w:t>
      </w:r>
      <w:proofErr w:type="spellEnd"/>
      <w:r w:rsidRPr="00913BEF">
        <w:rPr>
          <w:rFonts w:asciiTheme="minorHAnsi" w:hAnsiTheme="minorHAnsi" w:cstheme="minorHAnsi"/>
          <w:sz w:val="20"/>
          <w:szCs w:val="20"/>
        </w:rPr>
        <w:t xml:space="preserve"> under BWV, altered their </w:t>
      </w:r>
      <w:proofErr w:type="spellStart"/>
      <w:r w:rsidRPr="00913BEF">
        <w:rPr>
          <w:rFonts w:asciiTheme="minorHAnsi" w:hAnsiTheme="minorHAnsi" w:cstheme="minorHAnsi"/>
          <w:sz w:val="20"/>
          <w:szCs w:val="20"/>
        </w:rPr>
        <w:t>behaviour</w:t>
      </w:r>
      <w:proofErr w:type="spellEnd"/>
      <w:r w:rsidRPr="00913BEF">
        <w:rPr>
          <w:rFonts w:asciiTheme="minorHAnsi" w:hAnsiTheme="minorHAnsi" w:cstheme="minorHAnsi"/>
          <w:sz w:val="20"/>
          <w:szCs w:val="20"/>
        </w:rPr>
        <w:t>, but this did not necessarily eliminate underlying biases.</w:t>
      </w:r>
    </w:p>
    <w:p w14:paraId="4711FD8E"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Additionally, volume crime investigations in certain areas have not been </w:t>
      </w:r>
      <w:proofErr w:type="spellStart"/>
      <w:r w:rsidRPr="00913BEF">
        <w:rPr>
          <w:rFonts w:asciiTheme="minorHAnsi" w:hAnsiTheme="minorHAnsi" w:cstheme="minorHAnsi"/>
          <w:sz w:val="20"/>
          <w:szCs w:val="20"/>
        </w:rPr>
        <w:t>prioritised</w:t>
      </w:r>
      <w:proofErr w:type="spellEnd"/>
      <w:r w:rsidRPr="00913BEF">
        <w:rPr>
          <w:rFonts w:asciiTheme="minorHAnsi" w:hAnsiTheme="minorHAnsi" w:cstheme="minorHAnsi"/>
          <w:sz w:val="20"/>
          <w:szCs w:val="20"/>
        </w:rPr>
        <w:t xml:space="preserve"> due to assumptions about crime-prone </w:t>
      </w:r>
      <w:proofErr w:type="spellStart"/>
      <w:r w:rsidRPr="00913BEF">
        <w:rPr>
          <w:rFonts w:asciiTheme="minorHAnsi" w:hAnsiTheme="minorHAnsi" w:cstheme="minorHAnsi"/>
          <w:sz w:val="20"/>
          <w:szCs w:val="20"/>
        </w:rPr>
        <w:t>neighbourhoods</w:t>
      </w:r>
      <w:proofErr w:type="spellEnd"/>
      <w:r w:rsidRPr="00913BEF">
        <w:rPr>
          <w:rFonts w:asciiTheme="minorHAnsi" w:hAnsiTheme="minorHAnsi" w:cstheme="minorHAnsi"/>
          <w:sz w:val="20"/>
          <w:szCs w:val="20"/>
        </w:rPr>
        <w:t>. This leads to a self-fulfilling prophecy, where reduced police attention results in higher crime rates, reinforcing biased perceptions (Heaton, 2007).</w:t>
      </w:r>
    </w:p>
    <w:p w14:paraId="5D57E008"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To mitigate the impact of personal attitudes, values, and biases on volume crime investigations, police forces must adopt strategies promoting fairness and objectivity. This includes regular training on unconscious bias, along with increased oversight and tools like BWV to ensure accountability. A culture of reflection and self-awareness within police forces can also help officers </w:t>
      </w:r>
      <w:proofErr w:type="spellStart"/>
      <w:r w:rsidRPr="00913BEF">
        <w:rPr>
          <w:rFonts w:asciiTheme="minorHAnsi" w:hAnsiTheme="minorHAnsi" w:cstheme="minorHAnsi"/>
          <w:sz w:val="20"/>
          <w:szCs w:val="20"/>
        </w:rPr>
        <w:t>recognise</w:t>
      </w:r>
      <w:proofErr w:type="spellEnd"/>
      <w:r w:rsidRPr="00913BEF">
        <w:rPr>
          <w:rFonts w:asciiTheme="minorHAnsi" w:hAnsiTheme="minorHAnsi" w:cstheme="minorHAnsi"/>
          <w:sz w:val="20"/>
          <w:szCs w:val="20"/>
        </w:rPr>
        <w:t xml:space="preserve"> their biases and strive for more equitable policing (Nelli, 2020).</w:t>
      </w:r>
    </w:p>
    <w:p w14:paraId="4ECF740B" w14:textId="6197BF16"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lastRenderedPageBreak/>
        <w:t>Additionally, community engagement can bridge the gap between police officers' values and the needs of the communities they serve. Engaging with diverse groups fosters trust, which is essential for crime detection and prevention (Harrison et al., 2022).</w:t>
      </w:r>
    </w:p>
    <w:p w14:paraId="07A39BBF"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Personal attitudes, values, and biases play a significant role in the investigation of volume crimes. While professional frameworks provide a guide for police conduct, officers' personal beliefs and predispositions shape how these frameworks are applied in practice. Addressing bias in policing requires ongoing efforts to promote objectivity, accountability, and community engagement. By </w:t>
      </w:r>
      <w:proofErr w:type="spellStart"/>
      <w:r w:rsidRPr="00913BEF">
        <w:rPr>
          <w:rFonts w:asciiTheme="minorHAnsi" w:hAnsiTheme="minorHAnsi" w:cstheme="minorHAnsi"/>
          <w:sz w:val="20"/>
          <w:szCs w:val="20"/>
        </w:rPr>
        <w:t>recognising</w:t>
      </w:r>
      <w:proofErr w:type="spellEnd"/>
      <w:r w:rsidRPr="00913BEF">
        <w:rPr>
          <w:rFonts w:asciiTheme="minorHAnsi" w:hAnsiTheme="minorHAnsi" w:cstheme="minorHAnsi"/>
          <w:sz w:val="20"/>
          <w:szCs w:val="20"/>
        </w:rPr>
        <w:t xml:space="preserve"> and mitigating the personal factors influencing their work, police officers can improve the fairness and effectiveness of volume crime investigations.</w:t>
      </w:r>
    </w:p>
    <w:p w14:paraId="2A9AA862" w14:textId="77777777" w:rsidR="00822906" w:rsidRPr="00DA2FCE" w:rsidRDefault="00822906" w:rsidP="00822906">
      <w:pPr>
        <w:pStyle w:val="Default"/>
        <w:spacing w:after="240" w:line="280" w:lineRule="atLeast"/>
        <w:rPr>
          <w:rFonts w:asciiTheme="minorHAnsi" w:hAnsiTheme="minorHAnsi" w:cstheme="minorHAnsi"/>
          <w:b/>
          <w:bCs/>
          <w:sz w:val="20"/>
          <w:szCs w:val="20"/>
        </w:rPr>
      </w:pPr>
      <w:r w:rsidRPr="00DA2FCE">
        <w:rPr>
          <w:rFonts w:asciiTheme="minorHAnsi" w:hAnsiTheme="minorHAnsi" w:cstheme="minorHAnsi"/>
          <w:b/>
          <w:bCs/>
          <w:sz w:val="20"/>
          <w:szCs w:val="20"/>
        </w:rPr>
        <w:t>References:</w:t>
      </w:r>
    </w:p>
    <w:p w14:paraId="0A3A81B6"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Buil-Gil, D., Moretti, A., &amp; Langton, S. H. (2021). The accuracy of crime statistics: assessing the impact of police data bias on geographic crime analysis. Journal of Experimental Criminology, 18, 515-541.</w:t>
      </w:r>
    </w:p>
    <w:p w14:paraId="018EC8E3"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College of Policing. (2024). Case Study on Investigative Competency. [Accessed: Date].</w:t>
      </w:r>
    </w:p>
    <w:p w14:paraId="5DBD4E8E"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Eck, J. E. (1993). Solving Crimes: The Investigation of Burglary and Robbery. Police Executive Research Forum.</w:t>
      </w:r>
    </w:p>
    <w:p w14:paraId="427B903A"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Harrison, K., </w:t>
      </w:r>
      <w:proofErr w:type="spellStart"/>
      <w:r w:rsidRPr="00913BEF">
        <w:rPr>
          <w:rFonts w:asciiTheme="minorHAnsi" w:hAnsiTheme="minorHAnsi" w:cstheme="minorHAnsi"/>
          <w:sz w:val="20"/>
          <w:szCs w:val="20"/>
        </w:rPr>
        <w:t>L’Hoiry</w:t>
      </w:r>
      <w:proofErr w:type="spellEnd"/>
      <w:r w:rsidRPr="00913BEF">
        <w:rPr>
          <w:rFonts w:asciiTheme="minorHAnsi" w:hAnsiTheme="minorHAnsi" w:cstheme="minorHAnsi"/>
          <w:sz w:val="20"/>
          <w:szCs w:val="20"/>
        </w:rPr>
        <w:t xml:space="preserve">, X., &amp; </w:t>
      </w:r>
      <w:proofErr w:type="spellStart"/>
      <w:r w:rsidRPr="00913BEF">
        <w:rPr>
          <w:rFonts w:asciiTheme="minorHAnsi" w:hAnsiTheme="minorHAnsi" w:cstheme="minorHAnsi"/>
          <w:sz w:val="20"/>
          <w:szCs w:val="20"/>
        </w:rPr>
        <w:t>Santorso</w:t>
      </w:r>
      <w:proofErr w:type="spellEnd"/>
      <w:r w:rsidRPr="00913BEF">
        <w:rPr>
          <w:rFonts w:asciiTheme="minorHAnsi" w:hAnsiTheme="minorHAnsi" w:cstheme="minorHAnsi"/>
          <w:sz w:val="20"/>
          <w:szCs w:val="20"/>
        </w:rPr>
        <w:t xml:space="preserve">, S. (2022). Exploring the impact of body-worn video on the everyday </w:t>
      </w:r>
      <w:proofErr w:type="spellStart"/>
      <w:r w:rsidRPr="00913BEF">
        <w:rPr>
          <w:rFonts w:asciiTheme="minorHAnsi" w:hAnsiTheme="minorHAnsi" w:cstheme="minorHAnsi"/>
          <w:sz w:val="20"/>
          <w:szCs w:val="20"/>
        </w:rPr>
        <w:t>behaviours</w:t>
      </w:r>
      <w:proofErr w:type="spellEnd"/>
      <w:r w:rsidRPr="00913BEF">
        <w:rPr>
          <w:rFonts w:asciiTheme="minorHAnsi" w:hAnsiTheme="minorHAnsi" w:cstheme="minorHAnsi"/>
          <w:sz w:val="20"/>
          <w:szCs w:val="20"/>
        </w:rPr>
        <w:t xml:space="preserve"> of police officers. The Police Journal: Theory, Practice and Principles.</w:t>
      </w:r>
    </w:p>
    <w:p w14:paraId="1958E2EE"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Heaton, R. (2007). Policing Styles, Police </w:t>
      </w:r>
      <w:proofErr w:type="spellStart"/>
      <w:r w:rsidRPr="00913BEF">
        <w:rPr>
          <w:rFonts w:asciiTheme="minorHAnsi" w:hAnsiTheme="minorHAnsi" w:cstheme="minorHAnsi"/>
          <w:sz w:val="20"/>
          <w:szCs w:val="20"/>
        </w:rPr>
        <w:t>Centralisation</w:t>
      </w:r>
      <w:proofErr w:type="spellEnd"/>
      <w:r w:rsidRPr="00913BEF">
        <w:rPr>
          <w:rFonts w:asciiTheme="minorHAnsi" w:hAnsiTheme="minorHAnsi" w:cstheme="minorHAnsi"/>
          <w:sz w:val="20"/>
          <w:szCs w:val="20"/>
        </w:rPr>
        <w:t xml:space="preserve"> and Volume Crime Rates. PhD Thesis, University of Kent.</w:t>
      </w:r>
    </w:p>
    <w:p w14:paraId="0206807C"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Jansson, K. (2005). British Crime Survey: Measuring Crime for 25 Years. Home Office.</w:t>
      </w:r>
    </w:p>
    <w:p w14:paraId="4E7BB51E" w14:textId="77777777" w:rsidR="00822906" w:rsidRPr="00913BEF"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 xml:space="preserve">Kilgallon, S., &amp; Wright, R. (2020). </w:t>
      </w:r>
      <w:proofErr w:type="spellStart"/>
      <w:r w:rsidRPr="00913BEF">
        <w:rPr>
          <w:rFonts w:asciiTheme="minorHAnsi" w:hAnsiTheme="minorHAnsi" w:cstheme="minorHAnsi"/>
          <w:sz w:val="20"/>
          <w:szCs w:val="20"/>
        </w:rPr>
        <w:t>Behavioural</w:t>
      </w:r>
      <w:proofErr w:type="spellEnd"/>
      <w:r w:rsidRPr="00913BEF">
        <w:rPr>
          <w:rFonts w:asciiTheme="minorHAnsi" w:hAnsiTheme="minorHAnsi" w:cstheme="minorHAnsi"/>
          <w:sz w:val="20"/>
          <w:szCs w:val="20"/>
        </w:rPr>
        <w:t xml:space="preserve"> Skills for Effective Policing. Routledge.</w:t>
      </w:r>
    </w:p>
    <w:p w14:paraId="7AE00FD9" w14:textId="77777777" w:rsidR="00822906" w:rsidRDefault="00822906" w:rsidP="00822906">
      <w:pPr>
        <w:pStyle w:val="Default"/>
        <w:spacing w:after="240" w:line="280" w:lineRule="atLeast"/>
        <w:rPr>
          <w:rFonts w:asciiTheme="minorHAnsi" w:hAnsiTheme="minorHAnsi" w:cstheme="minorHAnsi"/>
          <w:sz w:val="20"/>
          <w:szCs w:val="20"/>
        </w:rPr>
      </w:pPr>
      <w:r w:rsidRPr="00913BEF">
        <w:rPr>
          <w:rFonts w:asciiTheme="minorHAnsi" w:hAnsiTheme="minorHAnsi" w:cstheme="minorHAnsi"/>
          <w:sz w:val="20"/>
          <w:szCs w:val="20"/>
        </w:rPr>
        <w:t>Nelli, A. (2020). The impact of police attitudes towards victims: An examination of police-victim encounters. Unpublished doctoral thesis.</w:t>
      </w:r>
    </w:p>
    <w:p w14:paraId="7202678D" w14:textId="77777777" w:rsidR="00DA2FCE" w:rsidRPr="00913BEF" w:rsidRDefault="00DA2FCE" w:rsidP="00822906">
      <w:pPr>
        <w:pStyle w:val="Default"/>
        <w:spacing w:after="240" w:line="280" w:lineRule="atLeast"/>
        <w:rPr>
          <w:rFonts w:asciiTheme="minorHAnsi" w:hAnsiTheme="minorHAnsi" w:cstheme="minorHAnsi"/>
          <w:sz w:val="20"/>
          <w:szCs w:val="20"/>
        </w:rPr>
      </w:pPr>
    </w:p>
    <w:p w14:paraId="51A1C9B4" w14:textId="7E956FB1" w:rsidR="00DA2FCE" w:rsidRDefault="00913BEF" w:rsidP="00DA2FCE">
      <w:pPr>
        <w:jc w:val="center"/>
        <w:rPr>
          <w:rFonts w:cstheme="minorHAnsi"/>
          <w:b/>
          <w:bCs/>
          <w:sz w:val="20"/>
          <w:szCs w:val="20"/>
        </w:rPr>
      </w:pPr>
      <w:r>
        <w:rPr>
          <w:rFonts w:cstheme="minorHAnsi"/>
          <w:sz w:val="20"/>
          <w:szCs w:val="20"/>
        </w:rPr>
        <w:t>***</w:t>
      </w:r>
    </w:p>
    <w:p w14:paraId="658CBB99" w14:textId="77777777" w:rsidR="00DA2FCE" w:rsidRDefault="00DA2FCE" w:rsidP="00594678">
      <w:pPr>
        <w:rPr>
          <w:rFonts w:cstheme="minorHAnsi"/>
          <w:b/>
          <w:bCs/>
          <w:sz w:val="20"/>
          <w:szCs w:val="20"/>
        </w:rPr>
      </w:pPr>
    </w:p>
    <w:p w14:paraId="64A5769E" w14:textId="46C3EDF5" w:rsidR="00594678" w:rsidRPr="00C07B9A" w:rsidRDefault="00594678" w:rsidP="00594678">
      <w:pPr>
        <w:rPr>
          <w:rFonts w:cstheme="minorHAnsi"/>
          <w:b/>
          <w:bCs/>
          <w:sz w:val="20"/>
          <w:szCs w:val="20"/>
        </w:rPr>
      </w:pPr>
      <w:r w:rsidRPr="00C07B9A">
        <w:rPr>
          <w:rFonts w:cstheme="minorHAnsi"/>
          <w:b/>
          <w:bCs/>
          <w:sz w:val="20"/>
          <w:szCs w:val="20"/>
        </w:rPr>
        <w:t xml:space="preserve">Essay four: </w:t>
      </w:r>
    </w:p>
    <w:p w14:paraId="4D660017" w14:textId="3531B79A" w:rsidR="00594678" w:rsidRPr="00C07B9A" w:rsidRDefault="00594678" w:rsidP="00594678">
      <w:pPr>
        <w:rPr>
          <w:rFonts w:cstheme="minorHAnsi"/>
          <w:sz w:val="20"/>
          <w:szCs w:val="20"/>
        </w:rPr>
      </w:pPr>
      <w:r w:rsidRPr="00C07B9A">
        <w:rPr>
          <w:rFonts w:cstheme="minorHAnsi"/>
          <w:sz w:val="20"/>
          <w:szCs w:val="20"/>
        </w:rPr>
        <w:t>Outline potential links between serious and organised crime and public protection issues. What</w:t>
      </w:r>
      <w:r w:rsidR="00117BCA" w:rsidRPr="00C07B9A">
        <w:rPr>
          <w:rFonts w:cstheme="minorHAnsi"/>
          <w:sz w:val="20"/>
          <w:szCs w:val="20"/>
        </w:rPr>
        <w:t xml:space="preserve"> c</w:t>
      </w:r>
      <w:r w:rsidRPr="00C07B9A">
        <w:rPr>
          <w:rFonts w:cstheme="minorHAnsi"/>
          <w:sz w:val="20"/>
          <w:szCs w:val="20"/>
        </w:rPr>
        <w:t>haracteristics make some people more vulnerable to exploitation by serious and organised crime gangs?</w:t>
      </w:r>
    </w:p>
    <w:p w14:paraId="2DD9DAE3" w14:textId="27F1079E" w:rsidR="00D81F25" w:rsidRPr="00D81F25" w:rsidRDefault="00594678" w:rsidP="00D81F25">
      <w:pPr>
        <w:rPr>
          <w:rFonts w:cstheme="minorHAnsi"/>
          <w:sz w:val="20"/>
          <w:szCs w:val="20"/>
        </w:rPr>
      </w:pPr>
      <w:r w:rsidRPr="00C07B9A">
        <w:rPr>
          <w:rFonts w:cstheme="minorHAnsi"/>
          <w:sz w:val="20"/>
          <w:szCs w:val="20"/>
        </w:rPr>
        <w:t>Word limit: 1000 words.</w:t>
      </w:r>
    </w:p>
    <w:p w14:paraId="4697351E" w14:textId="12504E55" w:rsidR="007A7990" w:rsidRPr="00D81F25" w:rsidRDefault="007A7990" w:rsidP="007A7990">
      <w:pPr>
        <w:pStyle w:val="Default"/>
        <w:spacing w:after="240" w:line="280" w:lineRule="atLeast"/>
        <w:rPr>
          <w:rFonts w:asciiTheme="minorHAnsi" w:eastAsia="Helvetica" w:hAnsiTheme="minorHAnsi" w:cstheme="minorHAnsi"/>
          <w:b/>
          <w:bCs/>
          <w:sz w:val="20"/>
          <w:szCs w:val="20"/>
        </w:rPr>
      </w:pPr>
      <w:r w:rsidRPr="00C07B9A">
        <w:rPr>
          <w:rFonts w:asciiTheme="minorHAnsi" w:hAnsiTheme="minorHAnsi" w:cstheme="minorHAnsi"/>
          <w:sz w:val="20"/>
          <w:szCs w:val="20"/>
        </w:rPr>
        <w:t xml:space="preserve">Serious and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(SOC) presents a significant threat to public protection, intertwining with various aspects of society and exploiting vulnerable individuals. Understanding the connections between SOC and public protection issues is crucial for developing effective strategies to combat these threats. This essay explores the links between serious and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and public protection, identifying characteristics that render certain individuals more susceptible to exploitation by these criminal entities.</w:t>
      </w:r>
    </w:p>
    <w:p w14:paraId="1C54655D"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 xml:space="preserve">Serious and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encompasses a wide range of illegal activities, including drug trafficking, human trafficking, and cybercrime, which directly impact public safety and security. The complexity of SOC lies in its </w:t>
      </w:r>
      <w:r w:rsidRPr="00C07B9A">
        <w:rPr>
          <w:rFonts w:asciiTheme="minorHAnsi" w:hAnsiTheme="minorHAnsi" w:cstheme="minorHAnsi"/>
          <w:sz w:val="20"/>
          <w:szCs w:val="20"/>
        </w:rPr>
        <w:lastRenderedPageBreak/>
        <w:t>ability to infiltrate legitimate sectors, creating a multifaceted threat to public protection. For instance, SOC gangs often engage in human trafficking, exploiting vulnerable individuals for labor or sexual exploitation, thus directly harming public welfare (Allum, 2019). This exploitation not only violates individual rights but also burdens public health and social services.</w:t>
      </w:r>
    </w:p>
    <w:p w14:paraId="4FAAC16F" w14:textId="3FB3186F" w:rsidR="007A7990" w:rsidRPr="00C07B9A" w:rsidRDefault="007A7990" w:rsidP="007A7990">
      <w:pPr>
        <w:pStyle w:val="Default"/>
        <w:spacing w:after="240" w:line="280" w:lineRule="atLeast"/>
        <w:rPr>
          <w:rFonts w:asciiTheme="minorHAnsi" w:eastAsia="Helvetica" w:hAnsiTheme="minorHAnsi" w:cstheme="minorHAnsi"/>
          <w:sz w:val="20"/>
          <w:szCs w:val="20"/>
        </w:rPr>
      </w:pP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groups (OCGs) use sophisticated methods to evade law enforcement, including corruption, violence, and intimidation, which further complicates efforts to protect the public. The integration of technology into criminal operations has enhanced the capacity of these groups to commit crimes on a global scale, making it harder for authorities to track and apprehend offenders (Broadhurst et al., 2014). Consequently, the pervasive nature of SOC necessitates a comprehensive approach to public protection that addresses both the direct and indirect impacts of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criminal activities.</w:t>
      </w:r>
    </w:p>
    <w:p w14:paraId="64CB9FC1"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One specific tactic used by SOC gangs is cuckooing, where criminals take over the homes of vulnerable individuals to use as bases for drug dealing. This form of exploitation severely impacts public protection by turning residential areas into hubs of criminal activity, thereby increasing community risks (Spicer, 2019). Vulnerable individuals, such as those with mental health issues or substance abuse problems, are often targeted for cuckooing. These individuals are coerced through threats or violence, exacerbating their already precarious situations and further entrenching them in the criminal underworld.</w:t>
      </w:r>
    </w:p>
    <w:p w14:paraId="4A4E373A"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 xml:space="preserve">Several factors contribute to the vulnerability of individuals to exploitation by serious and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gangs. Socioeconomic deprivation is a primary factor, as individuals from impoverished backgrounds often lack access to resources and opportunities, making them easy targets for recruitment and exploitation. Criminal gangs exploit these vulnerabilities by offering financial incentives or false promises of a better life (Aronowitz, 2019). Moreover, individuals with limited social support networks are more likely to fall prey to these gangs, as they may lack the means to seek help or resist coercion.</w:t>
      </w:r>
    </w:p>
    <w:p w14:paraId="35A99B57"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Educational attainment also plays a crucial role in determining vulnerability. It has been found that those with lower levels of education are often less aware of the risks associated with SOC and may be more easily deceived by criminals and criminal schemes. Additionally, mental health issues and substance abuse further exacerbate vulnerability, as individuals struggling with these problems may be more susceptible to manipulation and exploitation (Schneider, 2019). The intersection of these factors creates a complex web of vulnerability that SOC gangs can exploit to further their criminal enterprises.</w:t>
      </w:r>
    </w:p>
    <w:p w14:paraId="484D028B"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Research highlights various case studies that illustrate the exploitation of vulnerable individuals by SOC gangs. For instance, a study by the National MAPPA Research Institute revealed that individuals under multi-agency public protection arrangements (MAPPA) are often targeted by criminal gangs due to their vulnerable status and previous criminal records (</w:t>
      </w:r>
      <w:proofErr w:type="spellStart"/>
      <w:r w:rsidRPr="00C07B9A">
        <w:rPr>
          <w:rFonts w:asciiTheme="minorHAnsi" w:hAnsiTheme="minorHAnsi" w:cstheme="minorHAnsi"/>
          <w:sz w:val="20"/>
          <w:szCs w:val="20"/>
        </w:rPr>
        <w:t>Kemshall</w:t>
      </w:r>
      <w:proofErr w:type="spellEnd"/>
      <w:r w:rsidRPr="00C07B9A">
        <w:rPr>
          <w:rFonts w:asciiTheme="minorHAnsi" w:hAnsiTheme="minorHAnsi" w:cstheme="minorHAnsi"/>
          <w:sz w:val="20"/>
          <w:szCs w:val="20"/>
        </w:rPr>
        <w:t xml:space="preserve"> et al., 2018). These individuals are coerced into participating in illegal activities, such as drug trafficking or fraud, under the threat of violence or further legal repercussions.</w:t>
      </w:r>
    </w:p>
    <w:p w14:paraId="5B7F562B" w14:textId="5123E8C3" w:rsidR="006741B4" w:rsidRPr="006741B4" w:rsidRDefault="007A7990" w:rsidP="007A7990">
      <w:pPr>
        <w:pStyle w:val="Default"/>
        <w:spacing w:after="240" w:line="280" w:lineRule="atLeast"/>
        <w:rPr>
          <w:rFonts w:asciiTheme="minorHAnsi" w:hAnsiTheme="minorHAnsi" w:cstheme="minorHAnsi"/>
          <w:sz w:val="20"/>
          <w:szCs w:val="20"/>
        </w:rPr>
      </w:pPr>
      <w:r w:rsidRPr="00C07B9A">
        <w:rPr>
          <w:rFonts w:asciiTheme="minorHAnsi" w:hAnsiTheme="minorHAnsi" w:cstheme="minorHAnsi"/>
          <w:sz w:val="20"/>
          <w:szCs w:val="20"/>
        </w:rPr>
        <w:t>Another study focusing on child exploitation found that children from unstable family backgrounds or those in the foster care system are at heightened risk of being groomed and exploited by criminal gangs (Ward &amp; Patel, 2019). These children are often lured with gifts, attention, and a semblance of familial support, only to be subjected to severe abuse and exploitation (ibid). The findings underscore the importance of robust public protection measures that address the specific needs of these vulnerable populations.</w:t>
      </w:r>
    </w:p>
    <w:p w14:paraId="1940C8F5"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t xml:space="preserve">To mitigate the risks posed by serious and </w:t>
      </w:r>
      <w:proofErr w:type="spellStart"/>
      <w:r w:rsidRPr="00C07B9A">
        <w:rPr>
          <w:rFonts w:asciiTheme="minorHAnsi" w:hAnsiTheme="minorHAnsi" w:cstheme="minorHAnsi"/>
          <w:sz w:val="20"/>
          <w:szCs w:val="20"/>
        </w:rPr>
        <w:t>organised</w:t>
      </w:r>
      <w:proofErr w:type="spellEnd"/>
      <w:r w:rsidRPr="00C07B9A">
        <w:rPr>
          <w:rFonts w:asciiTheme="minorHAnsi" w:hAnsiTheme="minorHAnsi" w:cstheme="minorHAnsi"/>
          <w:sz w:val="20"/>
          <w:szCs w:val="20"/>
        </w:rPr>
        <w:t xml:space="preserve"> crime to public protection, it is essential to implement comprehensive preventive measures. Strengthening community resilience through education and awareness programs can empower individuals to </w:t>
      </w:r>
      <w:proofErr w:type="spellStart"/>
      <w:r w:rsidRPr="00C07B9A">
        <w:rPr>
          <w:rFonts w:asciiTheme="minorHAnsi" w:hAnsiTheme="minorHAnsi" w:cstheme="minorHAnsi"/>
          <w:sz w:val="20"/>
          <w:szCs w:val="20"/>
        </w:rPr>
        <w:t>recognise</w:t>
      </w:r>
      <w:proofErr w:type="spellEnd"/>
      <w:r w:rsidRPr="00C07B9A">
        <w:rPr>
          <w:rFonts w:asciiTheme="minorHAnsi" w:hAnsiTheme="minorHAnsi" w:cstheme="minorHAnsi"/>
          <w:sz w:val="20"/>
          <w:szCs w:val="20"/>
        </w:rPr>
        <w:t xml:space="preserve"> and resist exploitation attempts by criminal gangs. Enhancing law enforcement capabilities through advanced training and technological resources is also critical for effectively combating SOC (Allum, 2019).</w:t>
      </w:r>
    </w:p>
    <w:p w14:paraId="656A182C" w14:textId="77777777" w:rsidR="007A7990" w:rsidRPr="00C07B9A" w:rsidRDefault="007A7990" w:rsidP="007A7990">
      <w:pPr>
        <w:pStyle w:val="Default"/>
        <w:spacing w:after="240" w:line="280" w:lineRule="atLeast"/>
        <w:rPr>
          <w:rFonts w:asciiTheme="minorHAnsi" w:eastAsia="Helvetica" w:hAnsiTheme="minorHAnsi" w:cstheme="minorHAnsi"/>
          <w:sz w:val="20"/>
          <w:szCs w:val="20"/>
        </w:rPr>
      </w:pPr>
      <w:r w:rsidRPr="00C07B9A">
        <w:rPr>
          <w:rFonts w:asciiTheme="minorHAnsi" w:hAnsiTheme="minorHAnsi" w:cstheme="minorHAnsi"/>
          <w:sz w:val="20"/>
          <w:szCs w:val="20"/>
        </w:rPr>
        <w:lastRenderedPageBreak/>
        <w:t xml:space="preserve">Policy initiatives should focus on addressing the root causes of vulnerability, such as poverty, lack of education, and social isolation. Providing support services for individuals with mental health issues and substance abuse problems can reduce their susceptibility to exploitation. Additionally, fostering collaboration and </w:t>
      </w:r>
      <w:proofErr w:type="spellStart"/>
      <w:r w:rsidRPr="00C07B9A">
        <w:rPr>
          <w:rFonts w:asciiTheme="minorHAnsi" w:hAnsiTheme="minorHAnsi" w:cstheme="minorHAnsi"/>
          <w:sz w:val="20"/>
          <w:szCs w:val="20"/>
        </w:rPr>
        <w:t>and</w:t>
      </w:r>
      <w:proofErr w:type="spellEnd"/>
      <w:r w:rsidRPr="00C07B9A">
        <w:rPr>
          <w:rFonts w:asciiTheme="minorHAnsi" w:hAnsiTheme="minorHAnsi" w:cstheme="minorHAnsi"/>
          <w:sz w:val="20"/>
          <w:szCs w:val="20"/>
        </w:rPr>
        <w:t xml:space="preserve"> consistent procedures between law enforcement agencies - such as</w:t>
      </w:r>
      <w:r w:rsidRPr="00C07B9A">
        <w:rPr>
          <w:rFonts w:asciiTheme="minorHAnsi" w:hAnsiTheme="minorHAnsi" w:cstheme="minorHAnsi"/>
          <w:sz w:val="20"/>
          <w:szCs w:val="20"/>
          <w:lang w:val="fr-FR"/>
        </w:rPr>
        <w:t xml:space="preserve"> social services</w:t>
      </w:r>
      <w:r w:rsidRPr="00C07B9A">
        <w:rPr>
          <w:rFonts w:asciiTheme="minorHAnsi" w:hAnsiTheme="minorHAnsi" w:cstheme="minorHAnsi"/>
          <w:sz w:val="20"/>
          <w:szCs w:val="20"/>
        </w:rPr>
        <w:t xml:space="preserve">, and community </w:t>
      </w:r>
      <w:proofErr w:type="spellStart"/>
      <w:r w:rsidRPr="00C07B9A">
        <w:rPr>
          <w:rFonts w:asciiTheme="minorHAnsi" w:hAnsiTheme="minorHAnsi" w:cstheme="minorHAnsi"/>
          <w:sz w:val="20"/>
          <w:szCs w:val="20"/>
        </w:rPr>
        <w:t>organisa</w:t>
      </w:r>
      <w:r w:rsidRPr="00C07B9A">
        <w:rPr>
          <w:rFonts w:asciiTheme="minorHAnsi" w:hAnsiTheme="minorHAnsi" w:cstheme="minorHAnsi"/>
          <w:sz w:val="20"/>
          <w:szCs w:val="20"/>
          <w:lang w:val="fr-FR"/>
        </w:rPr>
        <w:t>tions</w:t>
      </w:r>
      <w:proofErr w:type="spellEnd"/>
      <w:r w:rsidRPr="00C07B9A">
        <w:rPr>
          <w:rFonts w:asciiTheme="minorHAnsi" w:hAnsiTheme="minorHAnsi" w:cstheme="minorHAnsi"/>
          <w:sz w:val="20"/>
          <w:szCs w:val="20"/>
        </w:rPr>
        <w:t>, is vital for creating a holistic approach to public protection (Schneider, 2019).</w:t>
      </w:r>
    </w:p>
    <w:p w14:paraId="0F93432B" w14:textId="535BB763" w:rsidR="00B373C2" w:rsidRDefault="00D81F25" w:rsidP="007A7990">
      <w:pPr>
        <w:pStyle w:val="Default"/>
        <w:spacing w:after="240" w:line="280" w:lineRule="atLeast"/>
        <w:rPr>
          <w:rFonts w:asciiTheme="minorHAnsi" w:hAnsiTheme="minorHAnsi" w:cstheme="minorHAnsi"/>
          <w:sz w:val="20"/>
          <w:szCs w:val="20"/>
        </w:rPr>
      </w:pPr>
      <w:r w:rsidRPr="00D81F25">
        <w:rPr>
          <w:rFonts w:asciiTheme="minorHAnsi" w:hAnsiTheme="minorHAnsi" w:cstheme="minorHAnsi"/>
          <w:sz w:val="20"/>
          <w:szCs w:val="20"/>
        </w:rPr>
        <w:t>In conclusion, s</w:t>
      </w:r>
      <w:r w:rsidR="007A7990" w:rsidRPr="00C07B9A">
        <w:rPr>
          <w:rFonts w:asciiTheme="minorHAnsi" w:hAnsiTheme="minorHAnsi" w:cstheme="minorHAnsi"/>
          <w:sz w:val="20"/>
          <w:szCs w:val="20"/>
        </w:rPr>
        <w:t xml:space="preserve">erious and </w:t>
      </w:r>
      <w:proofErr w:type="spellStart"/>
      <w:r w:rsidR="007A7990" w:rsidRPr="00C07B9A">
        <w:rPr>
          <w:rFonts w:asciiTheme="minorHAnsi" w:hAnsiTheme="minorHAnsi" w:cstheme="minorHAnsi"/>
          <w:sz w:val="20"/>
          <w:szCs w:val="20"/>
        </w:rPr>
        <w:t>organised</w:t>
      </w:r>
      <w:proofErr w:type="spellEnd"/>
      <w:r w:rsidR="007A7990" w:rsidRPr="00C07B9A">
        <w:rPr>
          <w:rFonts w:asciiTheme="minorHAnsi" w:hAnsiTheme="minorHAnsi" w:cstheme="minorHAnsi"/>
          <w:sz w:val="20"/>
          <w:szCs w:val="20"/>
        </w:rPr>
        <w:t xml:space="preserve"> crime poses a significant threat to public protection, exploiting vulnerabilities in individuals and communities to further criminal objectives. Socioeconomic deprivation, lack of education, and mental health issues are key factors that make individuals more susceptible to exploitation by SOC gangs. Addressing these vulnerabilities through comprehensive preventive measures and policy initiatives is crucial for safeguarding public safety and combating the pervasive influence of </w:t>
      </w:r>
      <w:proofErr w:type="spellStart"/>
      <w:r w:rsidR="007A7990" w:rsidRPr="00C07B9A">
        <w:rPr>
          <w:rFonts w:asciiTheme="minorHAnsi" w:hAnsiTheme="minorHAnsi" w:cstheme="minorHAnsi"/>
          <w:sz w:val="20"/>
          <w:szCs w:val="20"/>
        </w:rPr>
        <w:t>organised</w:t>
      </w:r>
      <w:proofErr w:type="spellEnd"/>
      <w:r w:rsidR="007A7990" w:rsidRPr="00C07B9A">
        <w:rPr>
          <w:rFonts w:asciiTheme="minorHAnsi" w:hAnsiTheme="minorHAnsi" w:cstheme="minorHAnsi"/>
          <w:sz w:val="20"/>
          <w:szCs w:val="20"/>
        </w:rPr>
        <w:t xml:space="preserve"> crime. As the police service</w:t>
      </w:r>
      <w:r w:rsidR="007A7990" w:rsidRPr="00C07B9A">
        <w:rPr>
          <w:rFonts w:asciiTheme="minorHAnsi" w:hAnsiTheme="minorHAnsi" w:cstheme="minorHAnsi"/>
          <w:sz w:val="20"/>
          <w:szCs w:val="20"/>
          <w:lang w:val="fr-FR"/>
        </w:rPr>
        <w:t xml:space="preserve"> continue</w:t>
      </w:r>
      <w:r w:rsidR="007A7990" w:rsidRPr="00C07B9A">
        <w:rPr>
          <w:rFonts w:asciiTheme="minorHAnsi" w:hAnsiTheme="minorHAnsi" w:cstheme="minorHAnsi"/>
          <w:sz w:val="20"/>
          <w:szCs w:val="20"/>
        </w:rPr>
        <w:t xml:space="preserve">s to develop strategies to protect vulnerable populations, a collaborative approach that integrates law enforcement, social services, and community support will be essential in mitigating the risks associated with serious and </w:t>
      </w:r>
      <w:proofErr w:type="spellStart"/>
      <w:r w:rsidR="007A7990" w:rsidRPr="00C07B9A">
        <w:rPr>
          <w:rFonts w:asciiTheme="minorHAnsi" w:hAnsiTheme="minorHAnsi" w:cstheme="minorHAnsi"/>
          <w:sz w:val="20"/>
          <w:szCs w:val="20"/>
        </w:rPr>
        <w:t>organised</w:t>
      </w:r>
      <w:proofErr w:type="spellEnd"/>
      <w:r w:rsidR="007A7990" w:rsidRPr="00C07B9A">
        <w:rPr>
          <w:rFonts w:asciiTheme="minorHAnsi" w:hAnsiTheme="minorHAnsi" w:cstheme="minorHAnsi"/>
          <w:sz w:val="20"/>
          <w:szCs w:val="20"/>
        </w:rPr>
        <w:t xml:space="preserve"> crime.</w:t>
      </w:r>
    </w:p>
    <w:p w14:paraId="41214037" w14:textId="04C2D799" w:rsidR="006741B4" w:rsidRDefault="00B373C2" w:rsidP="00B373C2">
      <w:pPr>
        <w:pStyle w:val="Default"/>
        <w:spacing w:after="240" w:line="280" w:lineRule="atLeast"/>
        <w:rPr>
          <w:rFonts w:asciiTheme="minorHAnsi" w:hAnsiTheme="minorHAnsi" w:cstheme="minorHAnsi"/>
          <w:sz w:val="20"/>
          <w:szCs w:val="20"/>
          <w:lang w:val="en-GB"/>
        </w:rPr>
      </w:pPr>
      <w:r>
        <w:rPr>
          <w:rFonts w:asciiTheme="minorHAnsi" w:hAnsiTheme="minorHAnsi" w:cstheme="minorHAnsi"/>
          <w:b/>
          <w:bCs/>
          <w:sz w:val="20"/>
          <w:szCs w:val="20"/>
        </w:rPr>
        <w:t>R</w:t>
      </w:r>
      <w:r w:rsidR="00D81F25" w:rsidRPr="00D81F25">
        <w:rPr>
          <w:rFonts w:asciiTheme="minorHAnsi" w:hAnsiTheme="minorHAnsi" w:cstheme="minorHAnsi"/>
          <w:b/>
          <w:bCs/>
          <w:sz w:val="20"/>
          <w:szCs w:val="20"/>
        </w:rPr>
        <w:t>eferences</w:t>
      </w:r>
      <w:r w:rsidR="006741B4">
        <w:rPr>
          <w:rFonts w:asciiTheme="minorHAnsi" w:hAnsiTheme="minorHAnsi" w:cstheme="minorHAnsi"/>
          <w:b/>
          <w:bCs/>
          <w:sz w:val="20"/>
          <w:szCs w:val="20"/>
        </w:rPr>
        <w:t>:</w:t>
      </w:r>
    </w:p>
    <w:p w14:paraId="4C2A35FB" w14:textId="009722DE" w:rsidR="00B373C2" w:rsidRPr="006741B4" w:rsidRDefault="00B373C2" w:rsidP="00B373C2">
      <w:pPr>
        <w:pStyle w:val="Default"/>
        <w:spacing w:after="240" w:line="280" w:lineRule="atLeast"/>
        <w:rPr>
          <w:rFonts w:asciiTheme="minorHAnsi" w:hAnsiTheme="minorHAnsi" w:cstheme="minorHAnsi"/>
          <w:sz w:val="20"/>
          <w:szCs w:val="20"/>
          <w:lang w:val="en-GB"/>
        </w:rPr>
      </w:pPr>
      <w:r w:rsidRPr="006741B4">
        <w:rPr>
          <w:rFonts w:asciiTheme="minorHAnsi" w:hAnsiTheme="minorHAnsi" w:cstheme="minorHAnsi"/>
          <w:sz w:val="20"/>
          <w:szCs w:val="20"/>
          <w:lang w:val="en-GB"/>
        </w:rPr>
        <w:t xml:space="preserve">ALLUM, F., 2019. The invisible underworld: Investigating organized crime in the digital era. </w:t>
      </w:r>
      <w:r w:rsidRPr="006741B4">
        <w:rPr>
          <w:rFonts w:asciiTheme="minorHAnsi" w:hAnsiTheme="minorHAnsi" w:cstheme="minorHAnsi"/>
          <w:i/>
          <w:iCs/>
          <w:sz w:val="20"/>
          <w:szCs w:val="20"/>
          <w:lang w:val="en-GB"/>
        </w:rPr>
        <w:t>Trends in Organized Crime</w:t>
      </w:r>
      <w:r w:rsidRPr="006741B4">
        <w:rPr>
          <w:rFonts w:asciiTheme="minorHAnsi" w:hAnsiTheme="minorHAnsi" w:cstheme="minorHAnsi"/>
          <w:sz w:val="20"/>
          <w:szCs w:val="20"/>
          <w:lang w:val="en-GB"/>
        </w:rPr>
        <w:t xml:space="preserve">, 22(4), pp. 351–368. Available at: </w:t>
      </w:r>
      <w:hyperlink r:id="rId20" w:tgtFrame="_new" w:history="1">
        <w:r w:rsidRPr="006741B4">
          <w:rPr>
            <w:rStyle w:val="Hyperlink"/>
            <w:rFonts w:asciiTheme="minorHAnsi" w:hAnsiTheme="minorHAnsi" w:cstheme="minorHAnsi"/>
            <w:sz w:val="20"/>
            <w:szCs w:val="20"/>
            <w:lang w:val="en-GB"/>
          </w:rPr>
          <w:t>https://link.springer.com/article/10.1007/s12117-019-09368-5</w:t>
        </w:r>
      </w:hyperlink>
      <w:r w:rsidRPr="006741B4">
        <w:rPr>
          <w:rFonts w:asciiTheme="minorHAnsi" w:hAnsiTheme="minorHAnsi" w:cstheme="minorHAnsi"/>
          <w:sz w:val="20"/>
          <w:szCs w:val="20"/>
          <w:lang w:val="en-GB"/>
        </w:rPr>
        <w:t> [Accessed 03 September 2024].</w:t>
      </w:r>
    </w:p>
    <w:p w14:paraId="0A65C045" w14:textId="77777777" w:rsidR="00B373C2" w:rsidRPr="006741B4" w:rsidRDefault="00B373C2" w:rsidP="00B373C2">
      <w:pPr>
        <w:pStyle w:val="Default"/>
        <w:spacing w:after="240" w:line="280" w:lineRule="atLeast"/>
        <w:rPr>
          <w:rFonts w:asciiTheme="minorHAnsi" w:hAnsiTheme="minorHAnsi" w:cstheme="minorHAnsi"/>
          <w:sz w:val="20"/>
          <w:szCs w:val="20"/>
          <w:lang w:val="en-GB"/>
        </w:rPr>
      </w:pPr>
      <w:r w:rsidRPr="006741B4">
        <w:rPr>
          <w:rFonts w:asciiTheme="minorHAnsi" w:hAnsiTheme="minorHAnsi" w:cstheme="minorHAnsi"/>
          <w:sz w:val="20"/>
          <w:szCs w:val="20"/>
          <w:lang w:val="en-GB"/>
        </w:rPr>
        <w:t xml:space="preserve">ARONOWITZ, A., 2019. Exploitation in human trafficking: The vulnerability of victims. </w:t>
      </w:r>
      <w:r w:rsidRPr="006741B4">
        <w:rPr>
          <w:rFonts w:asciiTheme="minorHAnsi" w:hAnsiTheme="minorHAnsi" w:cstheme="minorHAnsi"/>
          <w:i/>
          <w:iCs/>
          <w:sz w:val="20"/>
          <w:szCs w:val="20"/>
          <w:lang w:val="en-GB"/>
        </w:rPr>
        <w:t>Crime, Law and Social Change</w:t>
      </w:r>
      <w:r w:rsidRPr="006741B4">
        <w:rPr>
          <w:rFonts w:asciiTheme="minorHAnsi" w:hAnsiTheme="minorHAnsi" w:cstheme="minorHAnsi"/>
          <w:sz w:val="20"/>
          <w:szCs w:val="20"/>
          <w:lang w:val="en-GB"/>
        </w:rPr>
        <w:t xml:space="preserve">, 72(2), pp. 123–137. Available at: </w:t>
      </w:r>
      <w:hyperlink r:id="rId21" w:tgtFrame="_new" w:history="1">
        <w:r w:rsidRPr="006741B4">
          <w:rPr>
            <w:rStyle w:val="Hyperlink"/>
            <w:rFonts w:asciiTheme="minorHAnsi" w:hAnsiTheme="minorHAnsi" w:cstheme="minorHAnsi"/>
            <w:sz w:val="20"/>
            <w:szCs w:val="20"/>
            <w:lang w:val="en-GB"/>
          </w:rPr>
          <w:t>https://onlinelibrary.wiley.com/doi/full/10.1002/car.2704</w:t>
        </w:r>
      </w:hyperlink>
      <w:r w:rsidRPr="006741B4">
        <w:rPr>
          <w:rFonts w:asciiTheme="minorHAnsi" w:hAnsiTheme="minorHAnsi" w:cstheme="minorHAnsi"/>
          <w:sz w:val="20"/>
          <w:szCs w:val="20"/>
          <w:lang w:val="en-GB"/>
        </w:rPr>
        <w:t> [Accessed 03 September 2024].</w:t>
      </w:r>
    </w:p>
    <w:p w14:paraId="7C8DC19F" w14:textId="77777777" w:rsidR="00B373C2" w:rsidRPr="006741B4" w:rsidRDefault="00B373C2" w:rsidP="00B373C2">
      <w:pPr>
        <w:pStyle w:val="Default"/>
        <w:spacing w:after="240" w:line="280" w:lineRule="atLeast"/>
        <w:rPr>
          <w:rFonts w:asciiTheme="minorHAnsi" w:hAnsiTheme="minorHAnsi" w:cstheme="minorHAnsi"/>
          <w:sz w:val="20"/>
          <w:szCs w:val="20"/>
          <w:lang w:val="en-GB"/>
        </w:rPr>
      </w:pPr>
      <w:r w:rsidRPr="006741B4">
        <w:rPr>
          <w:rFonts w:asciiTheme="minorHAnsi" w:hAnsiTheme="minorHAnsi" w:cstheme="minorHAnsi"/>
          <w:sz w:val="20"/>
          <w:szCs w:val="20"/>
          <w:lang w:val="en-GB"/>
        </w:rPr>
        <w:t xml:space="preserve">BROADHURST, R., GRABOSKY, P., ALAZAB, M. and CHON, S., 2014. Cybercrime: The challenge for law enforcement. </w:t>
      </w:r>
      <w:r w:rsidRPr="006741B4">
        <w:rPr>
          <w:rFonts w:asciiTheme="minorHAnsi" w:hAnsiTheme="minorHAnsi" w:cstheme="minorHAnsi"/>
          <w:i/>
          <w:iCs/>
          <w:sz w:val="20"/>
          <w:szCs w:val="20"/>
          <w:lang w:val="en-GB"/>
        </w:rPr>
        <w:t>International Journal of Cyber Criminology</w:t>
      </w:r>
      <w:r w:rsidRPr="006741B4">
        <w:rPr>
          <w:rFonts w:asciiTheme="minorHAnsi" w:hAnsiTheme="minorHAnsi" w:cstheme="minorHAnsi"/>
          <w:sz w:val="20"/>
          <w:szCs w:val="20"/>
          <w:lang w:val="en-GB"/>
        </w:rPr>
        <w:t xml:space="preserve">, 8(1), pp. 48–61. Available at: </w:t>
      </w:r>
      <w:hyperlink r:id="rId22" w:tgtFrame="_new" w:history="1">
        <w:r w:rsidRPr="006741B4">
          <w:rPr>
            <w:rStyle w:val="Hyperlink"/>
            <w:rFonts w:asciiTheme="minorHAnsi" w:hAnsiTheme="minorHAnsi" w:cstheme="minorHAnsi"/>
            <w:sz w:val="20"/>
            <w:szCs w:val="20"/>
            <w:lang w:val="en-GB"/>
          </w:rPr>
          <w:t>https://www.aru.ac.uk/international-policing-and-public-protection-research-institute/research/national-mappa-research</w:t>
        </w:r>
      </w:hyperlink>
      <w:r w:rsidRPr="006741B4">
        <w:rPr>
          <w:rFonts w:asciiTheme="minorHAnsi" w:hAnsiTheme="minorHAnsi" w:cstheme="minorHAnsi"/>
          <w:sz w:val="20"/>
          <w:szCs w:val="20"/>
          <w:lang w:val="en-GB"/>
        </w:rPr>
        <w:t> [Accessed 03 September 2024].</w:t>
      </w:r>
    </w:p>
    <w:p w14:paraId="6549F78E" w14:textId="77777777" w:rsidR="00B373C2" w:rsidRPr="006741B4" w:rsidRDefault="00B373C2" w:rsidP="00B373C2">
      <w:pPr>
        <w:pStyle w:val="Default"/>
        <w:spacing w:after="240" w:line="280" w:lineRule="atLeast"/>
        <w:rPr>
          <w:rFonts w:asciiTheme="minorHAnsi" w:hAnsiTheme="minorHAnsi" w:cstheme="minorHAnsi"/>
          <w:sz w:val="20"/>
          <w:szCs w:val="20"/>
          <w:lang w:val="en-GB"/>
        </w:rPr>
      </w:pPr>
      <w:r w:rsidRPr="006741B4">
        <w:rPr>
          <w:rFonts w:asciiTheme="minorHAnsi" w:hAnsiTheme="minorHAnsi" w:cstheme="minorHAnsi"/>
          <w:sz w:val="20"/>
          <w:szCs w:val="20"/>
          <w:lang w:val="en-GB"/>
        </w:rPr>
        <w:t xml:space="preserve">KEMSHALL, H., WOOD, J. and WESTWOOD, S., 2018. Working with MAPPA: Ethics and pragmatics. </w:t>
      </w:r>
      <w:r w:rsidRPr="006741B4">
        <w:rPr>
          <w:rFonts w:asciiTheme="minorHAnsi" w:hAnsiTheme="minorHAnsi" w:cstheme="minorHAnsi"/>
          <w:i/>
          <w:iCs/>
          <w:sz w:val="20"/>
          <w:szCs w:val="20"/>
          <w:lang w:val="en-GB"/>
        </w:rPr>
        <w:t>Journal of Criminal Justice Ethics</w:t>
      </w:r>
      <w:r w:rsidRPr="006741B4">
        <w:rPr>
          <w:rFonts w:asciiTheme="minorHAnsi" w:hAnsiTheme="minorHAnsi" w:cstheme="minorHAnsi"/>
          <w:sz w:val="20"/>
          <w:szCs w:val="20"/>
          <w:lang w:val="en-GB"/>
        </w:rPr>
        <w:t xml:space="preserve">, 37(1), pp. 24–41. Available at: </w:t>
      </w:r>
      <w:hyperlink r:id="rId23" w:tgtFrame="_new" w:history="1">
        <w:r w:rsidRPr="006741B4">
          <w:rPr>
            <w:rStyle w:val="Hyperlink"/>
            <w:rFonts w:asciiTheme="minorHAnsi" w:hAnsiTheme="minorHAnsi" w:cstheme="minorHAnsi"/>
            <w:sz w:val="20"/>
            <w:szCs w:val="20"/>
            <w:lang w:val="en-GB"/>
          </w:rPr>
          <w:t>https://www.cambridge.org/core/services/aop-cambridge-core/content/view/FA1162204A4CA86802AD50E03B39744E/S2056467818000051a.pdf/div-class-title-working-with-mappa-ethics-and-pragmatics-div.pdf</w:t>
        </w:r>
      </w:hyperlink>
      <w:r w:rsidRPr="006741B4">
        <w:rPr>
          <w:rFonts w:asciiTheme="minorHAnsi" w:hAnsiTheme="minorHAnsi" w:cstheme="minorHAnsi"/>
          <w:sz w:val="20"/>
          <w:szCs w:val="20"/>
          <w:lang w:val="en-GB"/>
        </w:rPr>
        <w:t> [Accessed 03 September 2024].</w:t>
      </w:r>
    </w:p>
    <w:p w14:paraId="61AAFA18" w14:textId="77777777" w:rsidR="00B373C2" w:rsidRPr="006741B4" w:rsidRDefault="00B373C2" w:rsidP="00B373C2">
      <w:pPr>
        <w:pStyle w:val="Default"/>
        <w:spacing w:after="240" w:line="280" w:lineRule="atLeast"/>
        <w:rPr>
          <w:rFonts w:asciiTheme="minorHAnsi" w:hAnsiTheme="minorHAnsi" w:cstheme="minorHAnsi"/>
          <w:sz w:val="20"/>
          <w:szCs w:val="20"/>
          <w:lang w:val="en-GB"/>
        </w:rPr>
      </w:pPr>
      <w:r w:rsidRPr="006741B4">
        <w:rPr>
          <w:rFonts w:asciiTheme="minorHAnsi" w:hAnsiTheme="minorHAnsi" w:cstheme="minorHAnsi"/>
          <w:sz w:val="20"/>
          <w:szCs w:val="20"/>
          <w:lang w:val="en-GB"/>
        </w:rPr>
        <w:t xml:space="preserve">SCHNEIDER, J., 2019. Mental health and organized crime: Implications for public policy. </w:t>
      </w:r>
      <w:r w:rsidRPr="006741B4">
        <w:rPr>
          <w:rFonts w:asciiTheme="minorHAnsi" w:hAnsiTheme="minorHAnsi" w:cstheme="minorHAnsi"/>
          <w:i/>
          <w:iCs/>
          <w:sz w:val="20"/>
          <w:szCs w:val="20"/>
          <w:lang w:val="en-GB"/>
        </w:rPr>
        <w:t>Journal of Psychiatric Research</w:t>
      </w:r>
      <w:r w:rsidRPr="006741B4">
        <w:rPr>
          <w:rFonts w:asciiTheme="minorHAnsi" w:hAnsiTheme="minorHAnsi" w:cstheme="minorHAnsi"/>
          <w:sz w:val="20"/>
          <w:szCs w:val="20"/>
          <w:lang w:val="en-GB"/>
        </w:rPr>
        <w:t xml:space="preserve">, 112(1), pp. 78–86. Available at: </w:t>
      </w:r>
      <w:hyperlink r:id="rId24" w:tgtFrame="_new" w:history="1">
        <w:r w:rsidRPr="006741B4">
          <w:rPr>
            <w:rStyle w:val="Hyperlink"/>
            <w:rFonts w:asciiTheme="minorHAnsi" w:hAnsiTheme="minorHAnsi" w:cstheme="minorHAnsi"/>
            <w:sz w:val="20"/>
            <w:szCs w:val="20"/>
            <w:lang w:val="en-GB"/>
          </w:rPr>
          <w:t>https://www.proquest.com/docview/2465308742?accountid=130472&amp;sourcetype=Scholarly%20Journals</w:t>
        </w:r>
      </w:hyperlink>
      <w:r w:rsidRPr="006741B4">
        <w:rPr>
          <w:rFonts w:asciiTheme="minorHAnsi" w:hAnsiTheme="minorHAnsi" w:cstheme="minorHAnsi"/>
          <w:sz w:val="20"/>
          <w:szCs w:val="20"/>
          <w:lang w:val="en-GB"/>
        </w:rPr>
        <w:t> [Accessed 03 September 2024].</w:t>
      </w:r>
    </w:p>
    <w:p w14:paraId="7749600E" w14:textId="77777777" w:rsidR="00B373C2" w:rsidRPr="00B373C2" w:rsidRDefault="00B373C2" w:rsidP="00B373C2">
      <w:pPr>
        <w:pStyle w:val="Default"/>
        <w:spacing w:after="240" w:line="280" w:lineRule="atLeast"/>
        <w:rPr>
          <w:rFonts w:asciiTheme="minorHAnsi" w:hAnsiTheme="minorHAnsi" w:cstheme="minorHAnsi"/>
          <w:sz w:val="20"/>
          <w:szCs w:val="20"/>
          <w:lang w:val="en-GB"/>
        </w:rPr>
      </w:pPr>
      <w:r w:rsidRPr="00B373C2">
        <w:rPr>
          <w:rFonts w:asciiTheme="minorHAnsi" w:hAnsiTheme="minorHAnsi" w:cstheme="minorHAnsi"/>
          <w:sz w:val="20"/>
          <w:szCs w:val="20"/>
          <w:lang w:val="en-GB"/>
        </w:rPr>
        <w:t xml:space="preserve">SPICER, J., 2019. The variable and evolving nature of ‘cuckooing’ as a form of criminal exploitation in street level drug markets. </w:t>
      </w:r>
      <w:r w:rsidRPr="00B373C2">
        <w:rPr>
          <w:rFonts w:asciiTheme="minorHAnsi" w:hAnsiTheme="minorHAnsi" w:cstheme="minorHAnsi"/>
          <w:i/>
          <w:iCs/>
          <w:sz w:val="20"/>
          <w:szCs w:val="20"/>
          <w:lang w:val="en-GB"/>
        </w:rPr>
        <w:t>Trends in Organized Crime</w:t>
      </w:r>
      <w:r w:rsidRPr="00B373C2">
        <w:rPr>
          <w:rFonts w:asciiTheme="minorHAnsi" w:hAnsiTheme="minorHAnsi" w:cstheme="minorHAnsi"/>
          <w:sz w:val="20"/>
          <w:szCs w:val="20"/>
          <w:lang w:val="en-GB"/>
        </w:rPr>
        <w:t xml:space="preserve">, 22(4), pp. 400–420. Available at: </w:t>
      </w:r>
      <w:hyperlink r:id="rId25" w:tgtFrame="_new" w:history="1">
        <w:r w:rsidRPr="00B373C2">
          <w:rPr>
            <w:rStyle w:val="Hyperlink"/>
            <w:rFonts w:asciiTheme="minorHAnsi" w:hAnsiTheme="minorHAnsi" w:cstheme="minorHAnsi"/>
            <w:sz w:val="20"/>
            <w:szCs w:val="20"/>
            <w:lang w:val="en-GB"/>
          </w:rPr>
          <w:t>https://link.springer.com/article/10.1007/s12117-019-09368-5</w:t>
        </w:r>
      </w:hyperlink>
      <w:r w:rsidRPr="00B373C2">
        <w:rPr>
          <w:rFonts w:asciiTheme="minorHAnsi" w:hAnsiTheme="minorHAnsi" w:cstheme="minorHAnsi"/>
          <w:sz w:val="20"/>
          <w:szCs w:val="20"/>
          <w:lang w:val="en-GB"/>
        </w:rPr>
        <w:t> [Accessed 03 September 2024].</w:t>
      </w:r>
    </w:p>
    <w:p w14:paraId="42B24449" w14:textId="4767DBA7" w:rsidR="007A7990" w:rsidRPr="00B373C2" w:rsidRDefault="00B373C2" w:rsidP="00B373C2">
      <w:pPr>
        <w:pStyle w:val="Default"/>
        <w:spacing w:after="240" w:line="280" w:lineRule="atLeast"/>
        <w:rPr>
          <w:rFonts w:asciiTheme="minorHAnsi" w:hAnsiTheme="minorHAnsi" w:cstheme="minorHAnsi"/>
          <w:sz w:val="20"/>
          <w:szCs w:val="20"/>
          <w:lang w:val="en-GB"/>
        </w:rPr>
      </w:pPr>
      <w:r w:rsidRPr="00B373C2">
        <w:rPr>
          <w:rFonts w:asciiTheme="minorHAnsi" w:hAnsiTheme="minorHAnsi" w:cstheme="minorHAnsi"/>
          <w:sz w:val="20"/>
          <w:szCs w:val="20"/>
          <w:lang w:val="en-GB"/>
        </w:rPr>
        <w:t xml:space="preserve">WARD, T. and PATEL, N., 2019. Child exploitation: A comprehensive review. </w:t>
      </w:r>
      <w:r w:rsidRPr="00B373C2">
        <w:rPr>
          <w:rFonts w:asciiTheme="minorHAnsi" w:hAnsiTheme="minorHAnsi" w:cstheme="minorHAnsi"/>
          <w:i/>
          <w:iCs/>
          <w:sz w:val="20"/>
          <w:szCs w:val="20"/>
          <w:lang w:val="en-GB"/>
        </w:rPr>
        <w:t>Child Abuse Review</w:t>
      </w:r>
      <w:r w:rsidRPr="00B373C2">
        <w:rPr>
          <w:rFonts w:asciiTheme="minorHAnsi" w:hAnsiTheme="minorHAnsi" w:cstheme="minorHAnsi"/>
          <w:sz w:val="20"/>
          <w:szCs w:val="20"/>
          <w:lang w:val="en-GB"/>
        </w:rPr>
        <w:t xml:space="preserve">, 28(3), pp. 181–197. Available at: </w:t>
      </w:r>
      <w:hyperlink r:id="rId26" w:tgtFrame="_new" w:history="1">
        <w:r w:rsidRPr="00B373C2">
          <w:rPr>
            <w:rStyle w:val="Hyperlink"/>
            <w:rFonts w:asciiTheme="minorHAnsi" w:hAnsiTheme="minorHAnsi" w:cstheme="minorHAnsi"/>
            <w:sz w:val="20"/>
            <w:szCs w:val="20"/>
            <w:lang w:val="en-GB"/>
          </w:rPr>
          <w:t>https://onlinelibrary-wiley-com.ezproxy.uwtsd.ac.uk/doi/full/10.1002/car.2704</w:t>
        </w:r>
      </w:hyperlink>
      <w:r w:rsidRPr="00B373C2">
        <w:rPr>
          <w:rFonts w:asciiTheme="minorHAnsi" w:hAnsiTheme="minorHAnsi" w:cstheme="minorHAnsi"/>
          <w:sz w:val="20"/>
          <w:szCs w:val="20"/>
          <w:lang w:val="en-GB"/>
        </w:rPr>
        <w:t> [Accessed 03 September 2024].</w:t>
      </w:r>
    </w:p>
    <w:p w14:paraId="699B1435" w14:textId="77777777" w:rsidR="00403FD1" w:rsidRPr="00C07B9A" w:rsidRDefault="00403FD1" w:rsidP="00403FD1">
      <w:pPr>
        <w:rPr>
          <w:rFonts w:cstheme="minorHAnsi"/>
          <w:sz w:val="20"/>
          <w:szCs w:val="20"/>
        </w:rPr>
      </w:pPr>
    </w:p>
    <w:p w14:paraId="611AE5C7" w14:textId="77777777" w:rsidR="00403FD1" w:rsidRPr="00C07B9A" w:rsidRDefault="00403FD1" w:rsidP="00403FD1">
      <w:pPr>
        <w:rPr>
          <w:rFonts w:cstheme="minorHAnsi"/>
          <w:sz w:val="20"/>
          <w:szCs w:val="20"/>
        </w:rPr>
      </w:pPr>
    </w:p>
    <w:sectPr w:rsidR="00403FD1" w:rsidRPr="00C07B9A">
      <w:headerReference w:type="defaul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Moares,Matthew swp8537" w:date="2024-05-08T19:44:00Z" w:initials="MM">
    <w:p w14:paraId="5F927E47" w14:textId="77777777" w:rsidR="00FA6240" w:rsidRDefault="00FA6240" w:rsidP="00FA6240">
      <w:pPr>
        <w:pStyle w:val="CommentText"/>
      </w:pPr>
      <w:r>
        <w:rPr>
          <w:rStyle w:val="CommentReference"/>
        </w:rPr>
        <w:annotationRef/>
      </w:r>
      <w:r>
        <w:t>Theme: Islamophobia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F927E4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C013C9E" w16cex:dateUtc="2024-05-08T18: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F927E47" w16cid:durableId="5C013C9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C20B22" w14:textId="77777777" w:rsidR="00C2667E" w:rsidRDefault="00C2667E" w:rsidP="00403FD1">
      <w:pPr>
        <w:spacing w:after="0" w:line="240" w:lineRule="auto"/>
      </w:pPr>
      <w:r>
        <w:separator/>
      </w:r>
    </w:p>
  </w:endnote>
  <w:endnote w:type="continuationSeparator" w:id="0">
    <w:p w14:paraId="440B3B04" w14:textId="77777777" w:rsidR="00C2667E" w:rsidRDefault="00C2667E" w:rsidP="00403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BE7409" w14:textId="77777777" w:rsidR="00C2667E" w:rsidRDefault="00C2667E" w:rsidP="00403FD1">
      <w:pPr>
        <w:spacing w:after="0" w:line="240" w:lineRule="auto"/>
      </w:pPr>
      <w:r>
        <w:separator/>
      </w:r>
    </w:p>
  </w:footnote>
  <w:footnote w:type="continuationSeparator" w:id="0">
    <w:p w14:paraId="41854CFF" w14:textId="77777777" w:rsidR="00C2667E" w:rsidRDefault="00C2667E" w:rsidP="00403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DE1473" w14:textId="28204CA6" w:rsidR="00403FD1" w:rsidRDefault="00403FD1" w:rsidP="006741B4">
    <w:pPr>
      <w:pStyle w:val="Header"/>
      <w:jc w:val="right"/>
    </w:pPr>
    <w:r>
      <w:t xml:space="preserve">DHEP Year 2 Assignment </w:t>
    </w:r>
  </w:p>
  <w:p w14:paraId="562FF371" w14:textId="3DD1B373" w:rsidR="00403FD1" w:rsidRDefault="00403FD1" w:rsidP="00403FD1">
    <w:pPr>
      <w:pStyle w:val="Header"/>
      <w:jc w:val="right"/>
    </w:pPr>
    <w:r>
      <w:t>2236111 M Moares</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oares,Matthew swp8537">
    <w15:presenceInfo w15:providerId="AD" w15:userId="S::Matthew.Moares@south-wales.police.uk::6b6c07d5-76be-4e8e-ad41-31f261f1a4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D1"/>
    <w:rsid w:val="000418DA"/>
    <w:rsid w:val="000D6384"/>
    <w:rsid w:val="00117BCA"/>
    <w:rsid w:val="00136692"/>
    <w:rsid w:val="00151AC4"/>
    <w:rsid w:val="00170832"/>
    <w:rsid w:val="002141A6"/>
    <w:rsid w:val="00246E74"/>
    <w:rsid w:val="002955BD"/>
    <w:rsid w:val="002F3F56"/>
    <w:rsid w:val="00322803"/>
    <w:rsid w:val="003C4855"/>
    <w:rsid w:val="003C5F37"/>
    <w:rsid w:val="003F0644"/>
    <w:rsid w:val="0040134D"/>
    <w:rsid w:val="00403FD1"/>
    <w:rsid w:val="00411B87"/>
    <w:rsid w:val="00413B07"/>
    <w:rsid w:val="00422B75"/>
    <w:rsid w:val="00454B9B"/>
    <w:rsid w:val="004C22FD"/>
    <w:rsid w:val="004C62D2"/>
    <w:rsid w:val="004F7272"/>
    <w:rsid w:val="00594678"/>
    <w:rsid w:val="00624D83"/>
    <w:rsid w:val="006741B4"/>
    <w:rsid w:val="00684070"/>
    <w:rsid w:val="007337C4"/>
    <w:rsid w:val="007A7990"/>
    <w:rsid w:val="007B5410"/>
    <w:rsid w:val="007C4A80"/>
    <w:rsid w:val="00822906"/>
    <w:rsid w:val="00830166"/>
    <w:rsid w:val="00845171"/>
    <w:rsid w:val="00857484"/>
    <w:rsid w:val="00913BEF"/>
    <w:rsid w:val="00936389"/>
    <w:rsid w:val="009412A8"/>
    <w:rsid w:val="009A76BB"/>
    <w:rsid w:val="009B4DB8"/>
    <w:rsid w:val="009D4ADE"/>
    <w:rsid w:val="009E6C42"/>
    <w:rsid w:val="00A265B0"/>
    <w:rsid w:val="00AE19D0"/>
    <w:rsid w:val="00AE7ECA"/>
    <w:rsid w:val="00B373C2"/>
    <w:rsid w:val="00B407AE"/>
    <w:rsid w:val="00B650B8"/>
    <w:rsid w:val="00B871DE"/>
    <w:rsid w:val="00BC2189"/>
    <w:rsid w:val="00BC4FD4"/>
    <w:rsid w:val="00C07B9A"/>
    <w:rsid w:val="00C2667E"/>
    <w:rsid w:val="00C936EF"/>
    <w:rsid w:val="00CF3D1F"/>
    <w:rsid w:val="00CF5D6B"/>
    <w:rsid w:val="00D00877"/>
    <w:rsid w:val="00D50811"/>
    <w:rsid w:val="00D5304E"/>
    <w:rsid w:val="00D65336"/>
    <w:rsid w:val="00D81F25"/>
    <w:rsid w:val="00DA2FCE"/>
    <w:rsid w:val="00DA6D88"/>
    <w:rsid w:val="00DB752F"/>
    <w:rsid w:val="00E0463D"/>
    <w:rsid w:val="00E56622"/>
    <w:rsid w:val="00E627DA"/>
    <w:rsid w:val="00F11857"/>
    <w:rsid w:val="00F34E8D"/>
    <w:rsid w:val="00F87D54"/>
    <w:rsid w:val="00F900F7"/>
    <w:rsid w:val="00F9080D"/>
    <w:rsid w:val="00FA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31613"/>
  <w15:chartTrackingRefBased/>
  <w15:docId w15:val="{181467C7-6057-4E81-B878-45A6EE1BE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3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FD1"/>
  </w:style>
  <w:style w:type="paragraph" w:styleId="Footer">
    <w:name w:val="footer"/>
    <w:basedOn w:val="Normal"/>
    <w:link w:val="FooterChar"/>
    <w:uiPriority w:val="99"/>
    <w:unhideWhenUsed/>
    <w:rsid w:val="00403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FD1"/>
  </w:style>
  <w:style w:type="paragraph" w:customStyle="1" w:styleId="TableStyle2">
    <w:name w:val="Table Style 2"/>
    <w:rsid w:val="00B871DE"/>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eastAsia="en-GB"/>
      <w14:ligatures w14:val="none"/>
    </w:rPr>
  </w:style>
  <w:style w:type="character" w:customStyle="1" w:styleId="Hyperlink0">
    <w:name w:val="Hyperlink.0"/>
    <w:basedOn w:val="Hyperlink"/>
    <w:rsid w:val="003C5F37"/>
    <w:rPr>
      <w:color w:val="0563C1" w:themeColor="hyperlink"/>
      <w:u w:val="single"/>
    </w:rPr>
  </w:style>
  <w:style w:type="character" w:styleId="Hyperlink">
    <w:name w:val="Hyperlink"/>
    <w:basedOn w:val="DefaultParagraphFont"/>
    <w:uiPriority w:val="99"/>
    <w:unhideWhenUsed/>
    <w:rsid w:val="003C5F37"/>
    <w:rPr>
      <w:color w:val="0563C1" w:themeColor="hyperlink"/>
      <w:u w:val="single"/>
    </w:rPr>
  </w:style>
  <w:style w:type="paragraph" w:styleId="PlainText">
    <w:name w:val="Plain Text"/>
    <w:basedOn w:val="Normal"/>
    <w:link w:val="PlainTextChar"/>
    <w:uiPriority w:val="99"/>
    <w:unhideWhenUsed/>
    <w:rsid w:val="000D6384"/>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0D6384"/>
    <w:rPr>
      <w:rFonts w:ascii="Calibri" w:hAnsi="Calibri"/>
      <w:szCs w:val="21"/>
    </w:rPr>
  </w:style>
  <w:style w:type="paragraph" w:styleId="NormalWeb">
    <w:name w:val="Normal (Web)"/>
    <w:basedOn w:val="Normal"/>
    <w:uiPriority w:val="99"/>
    <w:unhideWhenUsed/>
    <w:rsid w:val="00DB752F"/>
    <w:pPr>
      <w:spacing w:after="0" w:line="240" w:lineRule="auto"/>
    </w:pPr>
    <w:rPr>
      <w:rFonts w:ascii="Calibri" w:hAnsi="Calibri" w:cs="Calibri"/>
      <w:kern w:val="0"/>
      <w:lang w:eastAsia="en-GB"/>
      <w14:ligatures w14:val="none"/>
    </w:rPr>
  </w:style>
  <w:style w:type="paragraph" w:customStyle="1" w:styleId="elementtoproof">
    <w:name w:val="elementtoproof"/>
    <w:basedOn w:val="Normal"/>
    <w:uiPriority w:val="99"/>
    <w:semiHidden/>
    <w:rsid w:val="00DB752F"/>
    <w:pPr>
      <w:spacing w:after="0" w:line="240" w:lineRule="auto"/>
    </w:pPr>
    <w:rPr>
      <w:rFonts w:ascii="Calibri" w:hAnsi="Calibri" w:cs="Calibri"/>
      <w:kern w:val="0"/>
      <w:lang w:eastAsia="en-GB"/>
      <w14:ligatures w14:val="none"/>
    </w:rPr>
  </w:style>
  <w:style w:type="paragraph" w:customStyle="1" w:styleId="pf0">
    <w:name w:val="pf0"/>
    <w:basedOn w:val="Normal"/>
    <w:rsid w:val="00CF3D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7A7990"/>
    <w:pPr>
      <w:spacing w:after="0" w:line="240" w:lineRule="auto"/>
    </w:pPr>
    <w:rPr>
      <w:rFonts w:ascii="Helvetica Neue" w:eastAsia="Arial Unicode MS" w:hAnsi="Helvetica Neue" w:cs="Arial Unicode MS"/>
      <w:color w:val="000000"/>
      <w:kern w:val="0"/>
      <w:lang w:val="en-US" w:eastAsia="en-GB"/>
      <w14:ligatures w14:val="none"/>
    </w:rPr>
  </w:style>
  <w:style w:type="character" w:styleId="CommentReference">
    <w:name w:val="annotation reference"/>
    <w:basedOn w:val="DefaultParagraphFont"/>
    <w:uiPriority w:val="99"/>
    <w:semiHidden/>
    <w:unhideWhenUsed/>
    <w:rsid w:val="00FA6240"/>
    <w:rPr>
      <w:sz w:val="16"/>
      <w:szCs w:val="16"/>
    </w:rPr>
  </w:style>
  <w:style w:type="paragraph" w:styleId="CommentText">
    <w:name w:val="annotation text"/>
    <w:basedOn w:val="Normal"/>
    <w:link w:val="CommentTextChar"/>
    <w:uiPriority w:val="99"/>
    <w:unhideWhenUsed/>
    <w:rsid w:val="00FA6240"/>
    <w:pPr>
      <w:spacing w:line="240" w:lineRule="auto"/>
    </w:pPr>
    <w:rPr>
      <w:sz w:val="20"/>
      <w:szCs w:val="20"/>
    </w:rPr>
  </w:style>
  <w:style w:type="character" w:customStyle="1" w:styleId="CommentTextChar">
    <w:name w:val="Comment Text Char"/>
    <w:basedOn w:val="DefaultParagraphFont"/>
    <w:link w:val="CommentText"/>
    <w:uiPriority w:val="99"/>
    <w:rsid w:val="00FA6240"/>
    <w:rPr>
      <w:sz w:val="20"/>
      <w:szCs w:val="20"/>
    </w:rPr>
  </w:style>
  <w:style w:type="character" w:styleId="UnresolvedMention">
    <w:name w:val="Unresolved Mention"/>
    <w:basedOn w:val="DefaultParagraphFont"/>
    <w:uiPriority w:val="99"/>
    <w:semiHidden/>
    <w:unhideWhenUsed/>
    <w:rsid w:val="00B373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424875">
      <w:bodyDiv w:val="1"/>
      <w:marLeft w:val="0"/>
      <w:marRight w:val="0"/>
      <w:marTop w:val="0"/>
      <w:marBottom w:val="0"/>
      <w:divBdr>
        <w:top w:val="none" w:sz="0" w:space="0" w:color="auto"/>
        <w:left w:val="none" w:sz="0" w:space="0" w:color="auto"/>
        <w:bottom w:val="none" w:sz="0" w:space="0" w:color="auto"/>
        <w:right w:val="none" w:sz="0" w:space="0" w:color="auto"/>
      </w:divBdr>
    </w:div>
    <w:div w:id="235481179">
      <w:bodyDiv w:val="1"/>
      <w:marLeft w:val="0"/>
      <w:marRight w:val="0"/>
      <w:marTop w:val="0"/>
      <w:marBottom w:val="0"/>
      <w:divBdr>
        <w:top w:val="none" w:sz="0" w:space="0" w:color="auto"/>
        <w:left w:val="none" w:sz="0" w:space="0" w:color="auto"/>
        <w:bottom w:val="none" w:sz="0" w:space="0" w:color="auto"/>
        <w:right w:val="none" w:sz="0" w:space="0" w:color="auto"/>
      </w:divBdr>
    </w:div>
    <w:div w:id="325669611">
      <w:bodyDiv w:val="1"/>
      <w:marLeft w:val="0"/>
      <w:marRight w:val="0"/>
      <w:marTop w:val="0"/>
      <w:marBottom w:val="0"/>
      <w:divBdr>
        <w:top w:val="none" w:sz="0" w:space="0" w:color="auto"/>
        <w:left w:val="none" w:sz="0" w:space="0" w:color="auto"/>
        <w:bottom w:val="none" w:sz="0" w:space="0" w:color="auto"/>
        <w:right w:val="none" w:sz="0" w:space="0" w:color="auto"/>
      </w:divBdr>
    </w:div>
    <w:div w:id="371736317">
      <w:bodyDiv w:val="1"/>
      <w:marLeft w:val="0"/>
      <w:marRight w:val="0"/>
      <w:marTop w:val="0"/>
      <w:marBottom w:val="0"/>
      <w:divBdr>
        <w:top w:val="none" w:sz="0" w:space="0" w:color="auto"/>
        <w:left w:val="none" w:sz="0" w:space="0" w:color="auto"/>
        <w:bottom w:val="none" w:sz="0" w:space="0" w:color="auto"/>
        <w:right w:val="none" w:sz="0" w:space="0" w:color="auto"/>
      </w:divBdr>
    </w:div>
    <w:div w:id="1113399518">
      <w:bodyDiv w:val="1"/>
      <w:marLeft w:val="0"/>
      <w:marRight w:val="0"/>
      <w:marTop w:val="0"/>
      <w:marBottom w:val="0"/>
      <w:divBdr>
        <w:top w:val="none" w:sz="0" w:space="0" w:color="auto"/>
        <w:left w:val="none" w:sz="0" w:space="0" w:color="auto"/>
        <w:bottom w:val="none" w:sz="0" w:space="0" w:color="auto"/>
        <w:right w:val="none" w:sz="0" w:space="0" w:color="auto"/>
      </w:divBdr>
    </w:div>
    <w:div w:id="117126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tandfonline-com.ezproxy.uwtsd.ac.uk/doi/full/10.1080/1057610X.2019.1678878" TargetMode="External"/><Relationship Id="rId18" Type="http://schemas.openxmlformats.org/officeDocument/2006/relationships/hyperlink" Target="https://www.bbc.co.uk/news/uk-northern-ireland-41407322." TargetMode="External"/><Relationship Id="rId26" Type="http://schemas.openxmlformats.org/officeDocument/2006/relationships/hyperlink" Target="https://gbr01.safelinks.protection.outlook.com/?url=https%3A%2F%2Fonlinelibrary-wiley-com.ezproxy.uwtsd.ac.uk%2Fdoi%2Ffull%2F10.1002%2Fcar.2704&amp;data=05%7C02%7CMatthew.Moares%40south-wales.police.uk%7C7f4f201b8d3042a81bbd08dccc599cc1%7C270c2f4dfd0c4f0892a9e5bdd8a87e09%7C0%7C0%7C638609932910634921%7CUnknown%7CTWFpbGZsb3d8eyJWIjoiMC4wLjAwMDAiLCJQIjoiV2luMzIiLCJBTiI6Ik1haWwiLCJXVCI6Mn0%3D%7C0%7C%7C%7C&amp;sdata=Xv%2FxkfgUMrDOmHrr9zIjYOeSCFNelvXVsRPqnwx1ch0%3D&amp;reserved=0" TargetMode="External"/><Relationship Id="rId3" Type="http://schemas.openxmlformats.org/officeDocument/2006/relationships/webSettings" Target="webSettings.xml"/><Relationship Id="rId21" Type="http://schemas.openxmlformats.org/officeDocument/2006/relationships/hyperlink" Target="https://gbr01.safelinks.protection.outlook.com/?url=https%3A%2F%2Fonlinelibrary.wiley.com%2Fdoi%2Ffull%2F10.1002%2Fcar.2704&amp;data=05%7C02%7CMatthew.Moares%40south-wales.police.uk%7C7f4f201b8d3042a81bbd08dccc599cc1%7C270c2f4dfd0c4f0892a9e5bdd8a87e09%7C0%7C0%7C638609932910600082%7CUnknown%7CTWFpbGZsb3d8eyJWIjoiMC4wLjAwMDAiLCJQIjoiV2luMzIiLCJBTiI6Ik1haWwiLCJXVCI6Mn0%3D%7C0%7C%7C%7C&amp;sdata=KGXsz8t7Y%2BfaAuEVsd99u4UnieyiCLS1y4jGwXNZhMY%3D&amp;reserved=0" TargetMode="External"/><Relationship Id="rId7" Type="http://schemas.microsoft.com/office/2011/relationships/commentsExtended" Target="commentsExtended.xml"/><Relationship Id="rId12" Type="http://schemas.openxmlformats.org/officeDocument/2006/relationships/hyperlink" Target="https://www.south-wales.police.uk/police-forces/south-wales-police/areas/careers/careers/positive-action/" TargetMode="External"/><Relationship Id="rId17" Type="http://schemas.openxmlformats.org/officeDocument/2006/relationships/hyperlink" Target="https://publications.parliament.uk/pa/cm200506/cmselect/cmniaf/886/88605.htm" TargetMode="External"/><Relationship Id="rId25" Type="http://schemas.openxmlformats.org/officeDocument/2006/relationships/hyperlink" Target="https://gbr01.safelinks.protection.outlook.com/?url=https%3A%2F%2Flink.springer.com%2Farticle%2F10.1007%2Fs12117-019-09368-5&amp;data=05%7C02%7CMatthew.Moares%40south-wales.police.uk%7C7f4f201b8d3042a81bbd08dccc599cc1%7C270c2f4dfd0c4f0892a9e5bdd8a87e09%7C0%7C0%7C638609932910629097%7CUnknown%7CTWFpbGZsb3d8eyJWIjoiMC4wLjAwMDAiLCJQIjoiV2luMzIiLCJBTiI6Ik1haWwiLCJXVCI6Mn0%3D%7C0%7C%7C%7C&amp;sdata=X0XW9L802FAmsous%2B8qAVQkW3Nb9SJZf1jwrjSUFw%2Bc%3D&amp;reserved=0" TargetMode="External"/><Relationship Id="rId2" Type="http://schemas.openxmlformats.org/officeDocument/2006/relationships/settings" Target="settings.xml"/><Relationship Id="rId16" Type="http://schemas.openxmlformats.org/officeDocument/2006/relationships/hyperlink" Target="https://publications.parliament.uk/pa/cm201415/cmselect/cmhaff/200/20004.htm" TargetMode="External"/><Relationship Id="rId20" Type="http://schemas.openxmlformats.org/officeDocument/2006/relationships/hyperlink" Target="https://gbr01.safelinks.protection.outlook.com/?url=https%3A%2F%2Flink.springer.com%2Farticle%2F10.1007%2Fs12117-019-09368-5&amp;data=05%7C02%7CMatthew.Moares%40south-wales.police.uk%7C7f4f201b8d3042a81bbd08dccc599cc1%7C270c2f4dfd0c4f0892a9e5bdd8a87e09%7C0%7C0%7C638609932910586065%7CUnknown%7CTWFpbGZsb3d8eyJWIjoiMC4wLjAwMDAiLCJQIjoiV2luMzIiLCJBTiI6Ik1haWwiLCJXVCI6Mn0%3D%7C0%7C%7C%7C&amp;sdata=bpaTrAvBl7j0g3MRy9GDdqVus28qn9ccWxr%2FtpJM%2Brw%3D&amp;reserved=0" TargetMode="External"/><Relationship Id="rId29"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www.college.police.uk/article/diversity-and-inclusion-cpd-in-focus" TargetMode="External"/><Relationship Id="rId24" Type="http://schemas.openxmlformats.org/officeDocument/2006/relationships/hyperlink" Target="https://gbr01.safelinks.protection.outlook.com/?url=https%3A%2F%2Fwww.proquest.com%2Fdocview%2F2465308742%3Faccountid%3D130472%26sourcetype%3DScholarly%2520Journals&amp;data=05%7C02%7CMatthew.Moares%40south-wales.police.uk%7C7f4f201b8d3042a81bbd08dccc599cc1%7C270c2f4dfd0c4f0892a9e5bdd8a87e09%7C0%7C0%7C638609932910623132%7CUnknown%7CTWFpbGZsb3d8eyJWIjoiMC4wLjAwMDAiLCJQIjoiV2luMzIiLCJBTiI6Ik1haWwiLCJXVCI6Mn0%3D%7C0%7C%7C%7C&amp;sdata=UzZ6Pukzid3v6kPaTPXqO4SxInVkiv81tIy%2FU6vmOsI%3D&amp;reserved=0" TargetMode="External"/><Relationship Id="rId5" Type="http://schemas.openxmlformats.org/officeDocument/2006/relationships/endnotes" Target="endnotes.xml"/><Relationship Id="rId15" Type="http://schemas.openxmlformats.org/officeDocument/2006/relationships/hyperlink" Target="https://homeofficemedia.blog.gov.uk/2023/09/15/factsheet-proscription/" TargetMode="External"/><Relationship Id="rId23" Type="http://schemas.openxmlformats.org/officeDocument/2006/relationships/hyperlink" Target="https://gbr01.safelinks.protection.outlook.com/?url=https%3A%2F%2Fwww.cambridge.org%2Fcore%2Fservices%2Faop-cambridge-core%2Fcontent%2Fview%2FFA1162204A4CA86802AD50E03B39744E%2FS2056467818000051a.pdf%2Fdiv-class-title-working-with-mappa-ethics-and-pragmatics-div.pdf&amp;data=05%7C02%7CMatthew.Moares%40south-wales.police.uk%7C7f4f201b8d3042a81bbd08dccc599cc1%7C270c2f4dfd0c4f0892a9e5bdd8a87e09%7C0%7C0%7C638609932910616614%7CUnknown%7CTWFpbGZsb3d8eyJWIjoiMC4wLjAwMDAiLCJQIjoiV2luMzIiLCJBTiI6Ik1haWwiLCJXVCI6Mn0%3D%7C0%7C%7C%7C&amp;sdata=MwhhwLMi4djArGO6%2BUeMrXX85SLdRXDvHGCBMxqNq8g%3D&amp;reserved=0" TargetMode="External"/><Relationship Id="rId28" Type="http://schemas.openxmlformats.org/officeDocument/2006/relationships/fontTable" Target="fontTable.xml"/><Relationship Id="rId10" Type="http://schemas.openxmlformats.org/officeDocument/2006/relationships/hyperlink" Target="https://eric.ed.gov/?id=ED481087" TargetMode="External"/><Relationship Id="rId19" Type="http://schemas.openxmlformats.org/officeDocument/2006/relationships/hyperlink" Target="https://www.europarl.europa.eu/thinktank/ga/document/IPOL-LIBE_ET(2012)462503." TargetMode="Externa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yperlink" Target="https://www.emcdda.europa.eu/publications/joint-publications/eu-drug-markets-2016-in-depth-analysis_en" TargetMode="External"/><Relationship Id="rId22" Type="http://schemas.openxmlformats.org/officeDocument/2006/relationships/hyperlink" Target="https://gbr01.safelinks.protection.outlook.com/?url=https%3A%2F%2Fwww.aru.ac.uk%2Finternational-policing-and-public-protection-research-institute%2Fresearch%2Fnational-mappa-research&amp;data=05%7C02%7CMatthew.Moares%40south-wales.police.uk%7C7f4f201b8d3042a81bbd08dccc599cc1%7C270c2f4dfd0c4f0892a9e5bdd8a87e09%7C0%7C0%7C638609932910609444%7CUnknown%7CTWFpbGZsb3d8eyJWIjoiMC4wLjAwMDAiLCJQIjoiV2luMzIiLCJBTiI6Ik1haWwiLCJXVCI6Mn0%3D%7C0%7C%7C%7C&amp;sdata=zn6BxnWgnUh3CqqK%2Fd4vnR7dDkPOFwK%2FBup8rhXxbjE%3D&amp;reserved=0"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10</Pages>
  <Words>6026</Words>
  <Characters>34353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Moares,Matthew swp8537</dc:creator>
  <cp:keywords/>
  <dc:description/>
  <cp:lastModifiedBy>Moares,Matthew swp8537</cp:lastModifiedBy>
  <cp:revision>52</cp:revision>
  <dcterms:created xsi:type="dcterms:W3CDTF">2024-02-29T01:33:00Z</dcterms:created>
  <dcterms:modified xsi:type="dcterms:W3CDTF">2024-09-11T15:23:00Z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2024-02-29T01:41:52Z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a99d6b0d-d164-42e4-94a7-5c03042b6bb3</vt:lpwstr>
  </property>
  <property fmtid="{D5CDD505-2E9C-101B-9397-08002B2CF9AE}" pid="8" name="MSIP_Label_66cf8fe5-b7b7-4df7-b38d-1c61ac2f6639_ContentBits">
    <vt:lpwstr>0</vt:lpwstr>
  </property>
</Properties>
</file>