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4C7824" w:rsidRPr="00D855C6" w:rsidRDefault="004C7824" w:rsidP="00D855C6">
      <w:pPr>
        <w:spacing w:after="0"/>
        <w:jc w:val="center"/>
        <w:rPr>
          <w:b/>
          <w:color w:val="000000" w:themeColor="text1"/>
          <w:sz w:val="32"/>
          <w:szCs w:val="32"/>
        </w:rPr>
      </w:pPr>
    </w:p>
    <w:p w14:paraId="00000002" w14:textId="77777777" w:rsidR="004C7824" w:rsidRPr="00D855C6" w:rsidRDefault="004C7824" w:rsidP="00D855C6">
      <w:pPr>
        <w:spacing w:after="0"/>
        <w:jc w:val="center"/>
        <w:rPr>
          <w:b/>
          <w:color w:val="000000" w:themeColor="text1"/>
          <w:sz w:val="32"/>
          <w:szCs w:val="32"/>
        </w:rPr>
      </w:pPr>
    </w:p>
    <w:p w14:paraId="00000003" w14:textId="77777777" w:rsidR="004C7824" w:rsidRPr="00D855C6" w:rsidRDefault="004C7824" w:rsidP="00D855C6">
      <w:pPr>
        <w:spacing w:after="0"/>
        <w:jc w:val="center"/>
        <w:rPr>
          <w:b/>
          <w:color w:val="000000" w:themeColor="text1"/>
          <w:sz w:val="32"/>
          <w:szCs w:val="32"/>
        </w:rPr>
      </w:pPr>
    </w:p>
    <w:p w14:paraId="00000004" w14:textId="77777777" w:rsidR="004C7824" w:rsidRPr="00D855C6" w:rsidRDefault="004C7824" w:rsidP="00D855C6">
      <w:pPr>
        <w:spacing w:after="0"/>
        <w:jc w:val="center"/>
        <w:rPr>
          <w:b/>
          <w:color w:val="000000" w:themeColor="text1"/>
          <w:sz w:val="32"/>
          <w:szCs w:val="32"/>
        </w:rPr>
      </w:pPr>
    </w:p>
    <w:p w14:paraId="00000005" w14:textId="77777777" w:rsidR="004C7824" w:rsidRPr="00D855C6" w:rsidRDefault="004C7824" w:rsidP="00D855C6">
      <w:pPr>
        <w:spacing w:after="0"/>
        <w:jc w:val="center"/>
        <w:rPr>
          <w:b/>
          <w:color w:val="000000" w:themeColor="text1"/>
          <w:sz w:val="32"/>
          <w:szCs w:val="32"/>
        </w:rPr>
      </w:pPr>
    </w:p>
    <w:p w14:paraId="3F651BCA" w14:textId="77777777" w:rsidR="00F452FA" w:rsidRPr="00D855C6" w:rsidRDefault="00D65C4B" w:rsidP="00D855C6">
      <w:pPr>
        <w:spacing w:after="0"/>
        <w:jc w:val="center"/>
        <w:rPr>
          <w:b/>
          <w:color w:val="000000" w:themeColor="text1"/>
          <w:sz w:val="32"/>
          <w:szCs w:val="32"/>
        </w:rPr>
      </w:pPr>
      <w:r w:rsidRPr="00D855C6">
        <w:rPr>
          <w:b/>
          <w:color w:val="000000" w:themeColor="text1"/>
          <w:sz w:val="32"/>
          <w:szCs w:val="32"/>
        </w:rPr>
        <w:t>MODULE: PROJECT MANAGEMENT</w:t>
      </w:r>
    </w:p>
    <w:p w14:paraId="7BC3EEED" w14:textId="77777777" w:rsidR="00F452FA" w:rsidRPr="00D855C6" w:rsidRDefault="00D65C4B" w:rsidP="00D855C6">
      <w:pPr>
        <w:spacing w:after="0"/>
        <w:jc w:val="center"/>
        <w:rPr>
          <w:b/>
          <w:color w:val="000000" w:themeColor="text1"/>
          <w:sz w:val="32"/>
          <w:szCs w:val="32"/>
        </w:rPr>
      </w:pPr>
      <w:r w:rsidRPr="00D855C6">
        <w:rPr>
          <w:b/>
          <w:color w:val="000000" w:themeColor="text1"/>
          <w:sz w:val="32"/>
          <w:szCs w:val="32"/>
        </w:rPr>
        <w:t>MODULE CODE: LCBB6006</w:t>
      </w:r>
    </w:p>
    <w:p w14:paraId="00000008" w14:textId="71DE648A" w:rsidR="004C7824" w:rsidRDefault="00D65C4B" w:rsidP="00D855C6">
      <w:pPr>
        <w:spacing w:after="0"/>
        <w:jc w:val="center"/>
        <w:rPr>
          <w:b/>
          <w:color w:val="000000" w:themeColor="text1"/>
          <w:sz w:val="32"/>
          <w:szCs w:val="32"/>
        </w:rPr>
      </w:pPr>
      <w:r w:rsidRPr="00D855C6">
        <w:rPr>
          <w:b/>
          <w:color w:val="000000" w:themeColor="text1"/>
          <w:sz w:val="32"/>
          <w:szCs w:val="32"/>
        </w:rPr>
        <w:t>COMPONENT 2: COURSEWORK:  ESSAY</w:t>
      </w:r>
    </w:p>
    <w:p w14:paraId="0B30465B" w14:textId="1688C8DC" w:rsidR="00343240" w:rsidRDefault="00343240" w:rsidP="00D855C6">
      <w:pPr>
        <w:spacing w:after="0"/>
        <w:jc w:val="center"/>
        <w:rPr>
          <w:b/>
          <w:color w:val="000000" w:themeColor="text1"/>
          <w:sz w:val="32"/>
          <w:szCs w:val="32"/>
        </w:rPr>
      </w:pPr>
      <w:r>
        <w:rPr>
          <w:b/>
          <w:color w:val="000000" w:themeColor="text1"/>
          <w:sz w:val="32"/>
          <w:szCs w:val="32"/>
        </w:rPr>
        <w:t>STUDENT NAME: MIHAELA HERMENEANU</w:t>
      </w:r>
    </w:p>
    <w:p w14:paraId="7971B078" w14:textId="21A93632" w:rsidR="00AF0A0C" w:rsidRPr="00D855C6" w:rsidRDefault="00AF0A0C" w:rsidP="00D855C6">
      <w:pPr>
        <w:spacing w:after="0"/>
        <w:jc w:val="center"/>
        <w:rPr>
          <w:b/>
          <w:color w:val="000000" w:themeColor="text1"/>
          <w:sz w:val="32"/>
          <w:szCs w:val="32"/>
        </w:rPr>
      </w:pPr>
      <w:r>
        <w:rPr>
          <w:b/>
          <w:color w:val="000000" w:themeColor="text1"/>
          <w:sz w:val="32"/>
          <w:szCs w:val="32"/>
        </w:rPr>
        <w:t>STUDENT NUMBER: 2310013</w:t>
      </w:r>
    </w:p>
    <w:p w14:paraId="76655C34" w14:textId="022823B4" w:rsidR="00F452FA" w:rsidRPr="00D855C6" w:rsidRDefault="00D65C4B" w:rsidP="00D855C6">
      <w:pPr>
        <w:spacing w:after="0"/>
        <w:rPr>
          <w:b/>
          <w:color w:val="000000" w:themeColor="text1"/>
          <w:sz w:val="28"/>
          <w:szCs w:val="28"/>
        </w:rPr>
      </w:pPr>
      <w:bookmarkStart w:id="0" w:name="_8kg66ehydfba" w:colFirst="0" w:colLast="0"/>
      <w:bookmarkEnd w:id="0"/>
      <w:r w:rsidRPr="00D855C6">
        <w:rPr>
          <w:color w:val="000000" w:themeColor="text1"/>
        </w:rPr>
        <w:br w:type="page"/>
      </w:r>
    </w:p>
    <w:sdt>
      <w:sdtPr>
        <w:rPr>
          <w:rFonts w:ascii="Times New Roman" w:eastAsia="Times New Roman" w:hAnsi="Times New Roman" w:cs="Times New Roman"/>
          <w:color w:val="000000" w:themeColor="text1"/>
          <w:sz w:val="24"/>
          <w:szCs w:val="24"/>
          <w:lang w:val="en-GB" w:eastAsia="en-IN"/>
        </w:rPr>
        <w:id w:val="-1287035668"/>
        <w:docPartObj>
          <w:docPartGallery w:val="Table of Contents"/>
          <w:docPartUnique/>
        </w:docPartObj>
      </w:sdtPr>
      <w:sdtEndPr>
        <w:rPr>
          <w:b/>
          <w:bCs/>
          <w:noProof/>
        </w:rPr>
      </w:sdtEndPr>
      <w:sdtContent>
        <w:p w14:paraId="298F366C" w14:textId="49CD077E" w:rsidR="00F452FA" w:rsidRPr="00D855C6" w:rsidRDefault="00F452FA" w:rsidP="00D855C6">
          <w:pPr>
            <w:pStyle w:val="TOCHeading"/>
            <w:spacing w:before="0" w:line="360" w:lineRule="auto"/>
            <w:jc w:val="center"/>
            <w:rPr>
              <w:rFonts w:ascii="Times New Roman" w:hAnsi="Times New Roman" w:cs="Times New Roman"/>
              <w:b/>
              <w:bCs/>
              <w:color w:val="000000" w:themeColor="text1"/>
              <w:sz w:val="28"/>
              <w:szCs w:val="28"/>
              <w:lang w:val="en-GB"/>
            </w:rPr>
          </w:pPr>
          <w:r w:rsidRPr="00D855C6">
            <w:rPr>
              <w:rFonts w:ascii="Times New Roman" w:hAnsi="Times New Roman" w:cs="Times New Roman"/>
              <w:b/>
              <w:bCs/>
              <w:color w:val="000000" w:themeColor="text1"/>
              <w:sz w:val="28"/>
              <w:szCs w:val="28"/>
              <w:lang w:val="en-GB"/>
            </w:rPr>
            <w:t>Table of Contents</w:t>
          </w:r>
        </w:p>
        <w:p w14:paraId="482B3915" w14:textId="5E4EBC9E" w:rsidR="00F452FA" w:rsidRPr="00D855C6" w:rsidRDefault="00F452FA" w:rsidP="00D855C6">
          <w:pPr>
            <w:pStyle w:val="TOC1"/>
            <w:tabs>
              <w:tab w:val="right" w:leader="dot" w:pos="9019"/>
            </w:tabs>
            <w:spacing w:after="0"/>
            <w:rPr>
              <w:noProof/>
              <w:color w:val="000000" w:themeColor="text1"/>
            </w:rPr>
          </w:pPr>
          <w:r w:rsidRPr="00D855C6">
            <w:rPr>
              <w:color w:val="000000" w:themeColor="text1"/>
            </w:rPr>
            <w:fldChar w:fldCharType="begin"/>
          </w:r>
          <w:r w:rsidRPr="00D855C6">
            <w:rPr>
              <w:color w:val="000000" w:themeColor="text1"/>
            </w:rPr>
            <w:instrText xml:space="preserve"> TOC \o "1-3" \h \z \u </w:instrText>
          </w:r>
          <w:r w:rsidRPr="00D855C6">
            <w:rPr>
              <w:color w:val="000000" w:themeColor="text1"/>
            </w:rPr>
            <w:fldChar w:fldCharType="separate"/>
          </w:r>
          <w:hyperlink w:anchor="_Toc211264344" w:history="1">
            <w:r w:rsidRPr="00D855C6">
              <w:rPr>
                <w:rStyle w:val="Hyperlink"/>
                <w:noProof/>
                <w:color w:val="000000" w:themeColor="text1"/>
              </w:rPr>
              <w:t>1. Introduction</w:t>
            </w:r>
            <w:r w:rsidRPr="00D855C6">
              <w:rPr>
                <w:noProof/>
                <w:webHidden/>
                <w:color w:val="000000" w:themeColor="text1"/>
              </w:rPr>
              <w:tab/>
            </w:r>
            <w:r w:rsidRPr="00D855C6">
              <w:rPr>
                <w:noProof/>
                <w:webHidden/>
                <w:color w:val="000000" w:themeColor="text1"/>
              </w:rPr>
              <w:fldChar w:fldCharType="begin"/>
            </w:r>
            <w:r w:rsidRPr="00D855C6">
              <w:rPr>
                <w:noProof/>
                <w:webHidden/>
                <w:color w:val="000000" w:themeColor="text1"/>
              </w:rPr>
              <w:instrText xml:space="preserve"> PAGEREF _Toc211264344 \h </w:instrText>
            </w:r>
            <w:r w:rsidRPr="00D855C6">
              <w:rPr>
                <w:noProof/>
                <w:webHidden/>
                <w:color w:val="000000" w:themeColor="text1"/>
              </w:rPr>
            </w:r>
            <w:r w:rsidRPr="00D855C6">
              <w:rPr>
                <w:noProof/>
                <w:webHidden/>
                <w:color w:val="000000" w:themeColor="text1"/>
              </w:rPr>
              <w:fldChar w:fldCharType="separate"/>
            </w:r>
            <w:r w:rsidRPr="00D855C6">
              <w:rPr>
                <w:noProof/>
                <w:webHidden/>
                <w:color w:val="000000" w:themeColor="text1"/>
              </w:rPr>
              <w:t>3</w:t>
            </w:r>
            <w:r w:rsidRPr="00D855C6">
              <w:rPr>
                <w:noProof/>
                <w:webHidden/>
                <w:color w:val="000000" w:themeColor="text1"/>
              </w:rPr>
              <w:fldChar w:fldCharType="end"/>
            </w:r>
          </w:hyperlink>
        </w:p>
        <w:p w14:paraId="3D39B00C" w14:textId="55C028C9" w:rsidR="00F452FA" w:rsidRPr="00D855C6" w:rsidRDefault="00F452FA" w:rsidP="00D855C6">
          <w:pPr>
            <w:pStyle w:val="TOC1"/>
            <w:tabs>
              <w:tab w:val="right" w:leader="dot" w:pos="9019"/>
            </w:tabs>
            <w:spacing w:after="0"/>
            <w:rPr>
              <w:noProof/>
              <w:color w:val="000000" w:themeColor="text1"/>
            </w:rPr>
          </w:pPr>
          <w:hyperlink w:anchor="_Toc211264345" w:history="1">
            <w:r w:rsidRPr="00D855C6">
              <w:rPr>
                <w:rStyle w:val="Hyperlink"/>
                <w:noProof/>
                <w:color w:val="000000" w:themeColor="text1"/>
              </w:rPr>
              <w:t>2. Main body</w:t>
            </w:r>
            <w:r w:rsidRPr="00D855C6">
              <w:rPr>
                <w:noProof/>
                <w:webHidden/>
                <w:color w:val="000000" w:themeColor="text1"/>
              </w:rPr>
              <w:tab/>
            </w:r>
            <w:r w:rsidRPr="00D855C6">
              <w:rPr>
                <w:noProof/>
                <w:webHidden/>
                <w:color w:val="000000" w:themeColor="text1"/>
              </w:rPr>
              <w:fldChar w:fldCharType="begin"/>
            </w:r>
            <w:r w:rsidRPr="00D855C6">
              <w:rPr>
                <w:noProof/>
                <w:webHidden/>
                <w:color w:val="000000" w:themeColor="text1"/>
              </w:rPr>
              <w:instrText xml:space="preserve"> PAGEREF _Toc211264345 \h </w:instrText>
            </w:r>
            <w:r w:rsidRPr="00D855C6">
              <w:rPr>
                <w:noProof/>
                <w:webHidden/>
                <w:color w:val="000000" w:themeColor="text1"/>
              </w:rPr>
            </w:r>
            <w:r w:rsidRPr="00D855C6">
              <w:rPr>
                <w:noProof/>
                <w:webHidden/>
                <w:color w:val="000000" w:themeColor="text1"/>
              </w:rPr>
              <w:fldChar w:fldCharType="separate"/>
            </w:r>
            <w:r w:rsidRPr="00D855C6">
              <w:rPr>
                <w:noProof/>
                <w:webHidden/>
                <w:color w:val="000000" w:themeColor="text1"/>
              </w:rPr>
              <w:t>3</w:t>
            </w:r>
            <w:r w:rsidRPr="00D855C6">
              <w:rPr>
                <w:noProof/>
                <w:webHidden/>
                <w:color w:val="000000" w:themeColor="text1"/>
              </w:rPr>
              <w:fldChar w:fldCharType="end"/>
            </w:r>
          </w:hyperlink>
        </w:p>
        <w:p w14:paraId="692398E5" w14:textId="65F29338" w:rsidR="00F452FA" w:rsidRPr="00D855C6" w:rsidRDefault="00F452FA" w:rsidP="00D855C6">
          <w:pPr>
            <w:pStyle w:val="TOC1"/>
            <w:tabs>
              <w:tab w:val="right" w:leader="dot" w:pos="9019"/>
            </w:tabs>
            <w:spacing w:after="0"/>
            <w:rPr>
              <w:noProof/>
              <w:color w:val="000000" w:themeColor="text1"/>
            </w:rPr>
          </w:pPr>
          <w:hyperlink w:anchor="_Toc211264346" w:history="1">
            <w:r w:rsidRPr="00D855C6">
              <w:rPr>
                <w:rStyle w:val="Hyperlink"/>
                <w:noProof/>
                <w:color w:val="000000" w:themeColor="text1"/>
              </w:rPr>
              <w:t>3. Conclusion</w:t>
            </w:r>
            <w:r w:rsidRPr="00D855C6">
              <w:rPr>
                <w:noProof/>
                <w:webHidden/>
                <w:color w:val="000000" w:themeColor="text1"/>
              </w:rPr>
              <w:tab/>
            </w:r>
            <w:r w:rsidRPr="00D855C6">
              <w:rPr>
                <w:noProof/>
                <w:webHidden/>
                <w:color w:val="000000" w:themeColor="text1"/>
              </w:rPr>
              <w:fldChar w:fldCharType="begin"/>
            </w:r>
            <w:r w:rsidRPr="00D855C6">
              <w:rPr>
                <w:noProof/>
                <w:webHidden/>
                <w:color w:val="000000" w:themeColor="text1"/>
              </w:rPr>
              <w:instrText xml:space="preserve"> PAGEREF _Toc211264346 \h </w:instrText>
            </w:r>
            <w:r w:rsidRPr="00D855C6">
              <w:rPr>
                <w:noProof/>
                <w:webHidden/>
                <w:color w:val="000000" w:themeColor="text1"/>
              </w:rPr>
            </w:r>
            <w:r w:rsidRPr="00D855C6">
              <w:rPr>
                <w:noProof/>
                <w:webHidden/>
                <w:color w:val="000000" w:themeColor="text1"/>
              </w:rPr>
              <w:fldChar w:fldCharType="separate"/>
            </w:r>
            <w:r w:rsidRPr="00D855C6">
              <w:rPr>
                <w:noProof/>
                <w:webHidden/>
                <w:color w:val="000000" w:themeColor="text1"/>
              </w:rPr>
              <w:t>7</w:t>
            </w:r>
            <w:r w:rsidRPr="00D855C6">
              <w:rPr>
                <w:noProof/>
                <w:webHidden/>
                <w:color w:val="000000" w:themeColor="text1"/>
              </w:rPr>
              <w:fldChar w:fldCharType="end"/>
            </w:r>
          </w:hyperlink>
        </w:p>
        <w:p w14:paraId="15AD6F8C" w14:textId="6A4ED2F9" w:rsidR="00F452FA" w:rsidRPr="00D855C6" w:rsidRDefault="00F452FA" w:rsidP="00D855C6">
          <w:pPr>
            <w:pStyle w:val="TOC1"/>
            <w:tabs>
              <w:tab w:val="right" w:leader="dot" w:pos="9019"/>
            </w:tabs>
            <w:spacing w:after="0"/>
            <w:rPr>
              <w:noProof/>
              <w:color w:val="000000" w:themeColor="text1"/>
            </w:rPr>
          </w:pPr>
          <w:hyperlink w:anchor="_Toc211264347" w:history="1">
            <w:r w:rsidRPr="00D855C6">
              <w:rPr>
                <w:rStyle w:val="Hyperlink"/>
                <w:noProof/>
                <w:color w:val="000000" w:themeColor="text1"/>
              </w:rPr>
              <w:t>Reference list</w:t>
            </w:r>
            <w:r w:rsidRPr="00D855C6">
              <w:rPr>
                <w:noProof/>
                <w:webHidden/>
                <w:color w:val="000000" w:themeColor="text1"/>
              </w:rPr>
              <w:tab/>
            </w:r>
            <w:r w:rsidRPr="00D855C6">
              <w:rPr>
                <w:noProof/>
                <w:webHidden/>
                <w:color w:val="000000" w:themeColor="text1"/>
              </w:rPr>
              <w:fldChar w:fldCharType="begin"/>
            </w:r>
            <w:r w:rsidRPr="00D855C6">
              <w:rPr>
                <w:noProof/>
                <w:webHidden/>
                <w:color w:val="000000" w:themeColor="text1"/>
              </w:rPr>
              <w:instrText xml:space="preserve"> PAGEREF _Toc211264347 \h </w:instrText>
            </w:r>
            <w:r w:rsidRPr="00D855C6">
              <w:rPr>
                <w:noProof/>
                <w:webHidden/>
                <w:color w:val="000000" w:themeColor="text1"/>
              </w:rPr>
            </w:r>
            <w:r w:rsidRPr="00D855C6">
              <w:rPr>
                <w:noProof/>
                <w:webHidden/>
                <w:color w:val="000000" w:themeColor="text1"/>
              </w:rPr>
              <w:fldChar w:fldCharType="separate"/>
            </w:r>
            <w:r w:rsidRPr="00D855C6">
              <w:rPr>
                <w:noProof/>
                <w:webHidden/>
                <w:color w:val="000000" w:themeColor="text1"/>
              </w:rPr>
              <w:t>8</w:t>
            </w:r>
            <w:r w:rsidRPr="00D855C6">
              <w:rPr>
                <w:noProof/>
                <w:webHidden/>
                <w:color w:val="000000" w:themeColor="text1"/>
              </w:rPr>
              <w:fldChar w:fldCharType="end"/>
            </w:r>
          </w:hyperlink>
        </w:p>
        <w:p w14:paraId="762786B4" w14:textId="6D009124" w:rsidR="00F452FA" w:rsidRPr="00D855C6" w:rsidRDefault="00F452FA" w:rsidP="00D855C6">
          <w:pPr>
            <w:spacing w:after="0"/>
            <w:rPr>
              <w:color w:val="000000" w:themeColor="text1"/>
            </w:rPr>
          </w:pPr>
          <w:r w:rsidRPr="00D855C6">
            <w:rPr>
              <w:b/>
              <w:bCs/>
              <w:noProof/>
              <w:color w:val="000000" w:themeColor="text1"/>
            </w:rPr>
            <w:fldChar w:fldCharType="end"/>
          </w:r>
        </w:p>
      </w:sdtContent>
    </w:sdt>
    <w:p w14:paraId="00000009" w14:textId="1F400750" w:rsidR="00F452FA" w:rsidRPr="00D855C6" w:rsidRDefault="00F452FA" w:rsidP="00D855C6">
      <w:pPr>
        <w:spacing w:after="0"/>
        <w:rPr>
          <w:b/>
          <w:color w:val="000000" w:themeColor="text1"/>
          <w:sz w:val="28"/>
          <w:szCs w:val="28"/>
        </w:rPr>
      </w:pPr>
    </w:p>
    <w:p w14:paraId="1360BECB" w14:textId="77777777" w:rsidR="004C7824" w:rsidRPr="00D855C6" w:rsidRDefault="004C7824" w:rsidP="00D855C6">
      <w:pPr>
        <w:pStyle w:val="Heading1"/>
        <w:spacing w:after="0"/>
        <w:rPr>
          <w:color w:val="000000" w:themeColor="text1"/>
        </w:rPr>
      </w:pPr>
    </w:p>
    <w:p w14:paraId="4BADF681" w14:textId="77777777" w:rsidR="00F452FA" w:rsidRPr="00D855C6" w:rsidRDefault="00F452FA" w:rsidP="00D855C6">
      <w:pPr>
        <w:spacing w:after="0"/>
        <w:rPr>
          <w:b/>
          <w:color w:val="000000" w:themeColor="text1"/>
          <w:sz w:val="28"/>
          <w:szCs w:val="28"/>
        </w:rPr>
      </w:pPr>
      <w:bookmarkStart w:id="1" w:name="_mf2xxel7jpdv" w:colFirst="0" w:colLast="0"/>
      <w:bookmarkStart w:id="2" w:name="_Toc211264344"/>
      <w:bookmarkEnd w:id="1"/>
      <w:r w:rsidRPr="00D855C6">
        <w:rPr>
          <w:color w:val="000000" w:themeColor="text1"/>
        </w:rPr>
        <w:br w:type="page"/>
      </w:r>
    </w:p>
    <w:p w14:paraId="0000000A" w14:textId="58EE5E8C" w:rsidR="004C7824" w:rsidRPr="00D855C6" w:rsidRDefault="00D65C4B" w:rsidP="00D855C6">
      <w:pPr>
        <w:pStyle w:val="Heading1"/>
        <w:spacing w:after="0"/>
        <w:rPr>
          <w:color w:val="000000" w:themeColor="text1"/>
        </w:rPr>
      </w:pPr>
      <w:r w:rsidRPr="00D855C6">
        <w:rPr>
          <w:color w:val="000000" w:themeColor="text1"/>
        </w:rPr>
        <w:lastRenderedPageBreak/>
        <w:t>1. Introduction</w:t>
      </w:r>
      <w:bookmarkEnd w:id="2"/>
    </w:p>
    <w:p w14:paraId="0000000B" w14:textId="77777777" w:rsidR="004C7824" w:rsidRPr="00D855C6" w:rsidRDefault="00D65C4B" w:rsidP="00D855C6">
      <w:pPr>
        <w:spacing w:after="0"/>
        <w:rPr>
          <w:color w:val="000000" w:themeColor="text1"/>
        </w:rPr>
      </w:pPr>
      <w:r w:rsidRPr="00D855C6">
        <w:rPr>
          <w:color w:val="000000" w:themeColor="text1"/>
        </w:rPr>
        <w:t>Project Management (PM) refers to the act of applying knowledge, skills, tools, and techniques to the project activities to fulfil the project requirements. It entails planning, organising, and carrying out actions to bring ideas to a physically existing thing within certain limitations like time, cost, and scope (Project Management Institute, 2024). In PM, the term contracting is the process of structuring agreements between the parties-usually a client and a contractor, to identify roles, responsibilities, deliverables, schedules, and risk distributions. Contracts are crucial in project management and the provision of successful results. Reading and understanding contracts allows managers a clear upper hand in negotiation, risk management, and general project success (Castro and Sainati, 2024). This essay intends to discuss the value and importance of contracting in project management through the four major techniques of contracting, their applicability in various types of projects, and their strengths and weaknesses. These discussions will be specifically put in context within the chosen project, namely a one-day Beauty Workshop and Training Event in the UK, so as to show its practical applicability. The reasons that projects usually outsource include a need to tap into specialised knowledge, lower the operational risk, affordability, and quality deliverables. The aspects of outsourcing used in the beauty workshop project would include venue establishment, hiring equipment, and marketing, which would assist in making the project professional and effective. This essay is divided into three parts which are defining contracting in PM, four methods of contracting analysis, and a conclusion on the implications of the analysis on delivering projects.</w:t>
      </w:r>
    </w:p>
    <w:p w14:paraId="0000000C" w14:textId="77777777" w:rsidR="004C7824" w:rsidRPr="00D855C6" w:rsidRDefault="00D65C4B" w:rsidP="00D855C6">
      <w:pPr>
        <w:pStyle w:val="Heading1"/>
        <w:spacing w:after="0"/>
        <w:rPr>
          <w:color w:val="000000" w:themeColor="text1"/>
        </w:rPr>
      </w:pPr>
      <w:bookmarkStart w:id="3" w:name="_cwb9a6kum8w9" w:colFirst="0" w:colLast="0"/>
      <w:bookmarkStart w:id="4" w:name="_Toc211264345"/>
      <w:bookmarkEnd w:id="3"/>
      <w:r w:rsidRPr="00D855C6">
        <w:rPr>
          <w:color w:val="000000" w:themeColor="text1"/>
        </w:rPr>
        <w:t>2. Main body</w:t>
      </w:r>
      <w:bookmarkEnd w:id="4"/>
    </w:p>
    <w:p w14:paraId="0000000D" w14:textId="77777777" w:rsidR="004C7824" w:rsidRPr="00D855C6" w:rsidRDefault="00D65C4B" w:rsidP="00D855C6">
      <w:pPr>
        <w:spacing w:after="0"/>
        <w:rPr>
          <w:color w:val="000000" w:themeColor="text1"/>
        </w:rPr>
      </w:pPr>
      <w:r w:rsidRPr="00D855C6">
        <w:rPr>
          <w:color w:val="000000" w:themeColor="text1"/>
        </w:rPr>
        <w:t xml:space="preserve">Turnkey contracting is a form of project delivery where a single contractor takes the entire responsibility of all the stages of a project, such as design, procurement, construction, and commissioning, among others, and delivers the finished project in a ready-to-use environment. Turnkey also refers to the fact that the client can just turn the key and start working once it has been completed (Alltracon News, 2025). This way, all the responsibility of accountability and management is carried out by the same entity, and it does not place the administrative burden on the client, but it simplifies the channels of communication. Turnkey contracts are considered to be fixed-price contracts, providing customers with stability of the budget and schedule, which is especially beneficial in terms of deadlines or lack of capacity to manage projects internally. In addition, turnkey contractors normally possess specialised skills and experience in the industry, and this implies quality delivery and compliance with set standards (Trivedi, 2025). Turnkey contracting has a number of limitations despite these. Clients cannot regulate </w:t>
      </w:r>
      <w:r w:rsidRPr="00D855C6">
        <w:rPr>
          <w:color w:val="000000" w:themeColor="text1"/>
        </w:rPr>
        <w:lastRenderedPageBreak/>
        <w:t xml:space="preserve">the design and implementation stages, which can lead to the final results not being completely in line with their expectations. Furthermore, the contractors might consider cost-saving options, which might lead to a reduction in the quality of materials or workmanship, whereas the overall performance of the project is largely reliant on the competence of the contractor (Nasereddin and Price, 2021). An inflexibility of turnkey contracts may also be a difficulty, as the changes to the agreement can be expensive and hard to make after the agreement is made, so the flexibility to such changes is restricted in the process of project implementation. </w:t>
      </w:r>
    </w:p>
    <w:p w14:paraId="0000000E" w14:textId="77777777" w:rsidR="004C7824" w:rsidRPr="00D855C6" w:rsidRDefault="00D65C4B" w:rsidP="00D855C6">
      <w:pPr>
        <w:spacing w:after="0"/>
        <w:rPr>
          <w:color w:val="000000" w:themeColor="text1"/>
        </w:rPr>
      </w:pPr>
      <w:r w:rsidRPr="00D855C6">
        <w:rPr>
          <w:color w:val="000000" w:themeColor="text1"/>
        </w:rPr>
        <w:t>Turnkey contracting may take the form of contracting a professional event management company to handle all the elements of the event, such as the venue booking, equipment delivery, coordination of trainers, marketing, and logistical arrangements, in the case of a one-day Beauty Workshop and Training Event in the UK. This will make the event professional and efficient, with minimum effort on the part of the client and concentration on strategic elements like the content and participation of the participants. Turnkey contracting is especially applicable to projects that have a very well-defined scope and dates of delivery, when the customer does not want to become involved in the implementation process, yet the quality of the implementation should be high, e.g., workshops that should be conducted by professionals within a short time or corporate festivals.</w:t>
      </w:r>
    </w:p>
    <w:p w14:paraId="0000000F" w14:textId="77777777" w:rsidR="004C7824" w:rsidRPr="00D855C6" w:rsidRDefault="00D65C4B" w:rsidP="00D855C6">
      <w:pPr>
        <w:spacing w:after="0"/>
        <w:rPr>
          <w:color w:val="000000" w:themeColor="text1"/>
        </w:rPr>
      </w:pPr>
      <w:r w:rsidRPr="00D855C6">
        <w:rPr>
          <w:color w:val="000000" w:themeColor="text1"/>
        </w:rPr>
        <w:t>The multicontract approach to project management is a management of the project in several, discrete contracts and handled by different contractors/service providers. Such a strategy is the opposite of a classical single-contract approach, as it can spread the burden among different professional bodies, offering a higher level of specialisation and adaptability in implementation. It is also known as the Construction Manager Multi-Prime (CMMP) approach used in construction projects where a construction manager manages multiple prime contracts given to different subcontractors (Jones, 2022). The possibility of using specialised knowledge in one of the parts of a project is one of the major benefits of the multicontract approach. An example is when electrical work, plumbing, and structural engineering are required in a complicated construction project, electrical work, plumbing and structural engineering are conducted as separate contracts to use individuals who have the necessary skills and experience. This specialisation may result in an increase in the quality of results and more effective problem-solving.</w:t>
      </w:r>
    </w:p>
    <w:p w14:paraId="00000010" w14:textId="77777777" w:rsidR="004C7824" w:rsidRPr="00D855C6" w:rsidRDefault="00D65C4B" w:rsidP="00D855C6">
      <w:pPr>
        <w:spacing w:after="0"/>
        <w:rPr>
          <w:color w:val="000000" w:themeColor="text1"/>
        </w:rPr>
      </w:pPr>
      <w:r w:rsidRPr="00D855C6">
        <w:rPr>
          <w:color w:val="000000" w:themeColor="text1"/>
        </w:rPr>
        <w:t xml:space="preserve"> Furthermore, this model can help to improve flexibility and adaptability. Should one of the contractors be hampered or slowed down, it is not always true that this will impact the other element, since each contract is carried out more or less independently. It could be especially beneficial in projects with a tight schedule or with shifting requirements (Nhi, 2023). </w:t>
      </w:r>
      <w:r w:rsidRPr="00D855C6">
        <w:rPr>
          <w:color w:val="000000" w:themeColor="text1"/>
        </w:rPr>
        <w:lastRenderedPageBreak/>
        <w:t xml:space="preserve">Nevertheless, the multicontract approach also has a number of challenges. The task of coordinating various contractors involves careful planning and communication to make sure that all the parties are on the same track and that the interdependence between various parts is well addressed. Without correct coordination, conflicts, delays or even misalignments have chances of spoiling the success of the project. In addition, the administration overhead may be elevated when multiple contracts have to be handled. Individual negotiations, monitoring, and compliance checks may be resource-consuming and even complicated, particularly in the context of the limited experience of project managers with regard to the management of such arrangements (NSW government, 2021). As a multicontract strategy, different contracts can be applied to the venue hire, catering, equipment hire, and guest speakers in the context of a one-day Beauty Workshop and Training Event in the UK. This will enable the event organiser to choose the most appropriate service providers in terms of the event experience, which can be very customised and high-quality. Nonetheless, this also requires some degree of coordination so that everything fits together on the event day. Multicontract strategy is especially applicable in projects where a high level of specialisation is inevitable and where various elements may be performed independently without any severe interdependence (Martinsuo and Ahola, 2022). It is also useful in situations when flexibility and adaptability are essential, and the project manager has the ability to manage and coordinate various contractors successfully. But in smaller projects or those that have few resources, the complexity and administration expenses involved in running multiple contracts can become greater than the rewards </w:t>
      </w:r>
    </w:p>
    <w:p w14:paraId="00000011" w14:textId="77777777" w:rsidR="004C7824" w:rsidRPr="00D855C6" w:rsidRDefault="00D65C4B" w:rsidP="00D855C6">
      <w:pPr>
        <w:spacing w:after="0"/>
        <w:rPr>
          <w:color w:val="000000" w:themeColor="text1"/>
        </w:rPr>
      </w:pPr>
      <w:r w:rsidRPr="00D855C6">
        <w:rPr>
          <w:color w:val="000000" w:themeColor="text1"/>
        </w:rPr>
        <w:t xml:space="preserve">The “Do-It-Yourself (DIY)” model of project management entails using the project owner or the internal project team to manage the whole project, including the planning and execution, monitoring, and closure of the entire project without involving outside contractors in the process. This approach is common mostly in small-scale projects where the budget is small and the project team has the resources and skills necessary to handle all the work in-house. Cost saving is one of the major benefits of the DIY approach. Projects are able to save the cost of outsourcing since they do not need the services of outsourcing companies. Moreover, this method provides a higher degree of control over all the project elements, making it possible to more heavily control it and make timely changes (Khademi-Vidra and Bujdosó, 2021). This may result in a more personalised and united event experience because the project team has a clear insight into the goals and peculiarities of the event. Nonetheless, there are also a number of challenges with the DIY approach. The most significant one is the workload that becomes heavier on the project team, and it may cause burnout and oversights (Dzandu and Pathak, 2021). The internal control of all the facets of the project is a skill set, and without special </w:t>
      </w:r>
      <w:r w:rsidRPr="00D855C6">
        <w:rPr>
          <w:color w:val="000000" w:themeColor="text1"/>
        </w:rPr>
        <w:lastRenderedPageBreak/>
        <w:t xml:space="preserve">expertise, the quality of selected elements will be compromised. Moreover, the absence of external support may lead to the insufficiency of resources and the ability to perform, which may have an overall negative effect on the project's success. </w:t>
      </w:r>
    </w:p>
    <w:p w14:paraId="00000012" w14:textId="77777777" w:rsidR="004C7824" w:rsidRPr="00D855C6" w:rsidRDefault="00D65C4B" w:rsidP="00D855C6">
      <w:pPr>
        <w:spacing w:after="0"/>
        <w:rPr>
          <w:color w:val="000000" w:themeColor="text1"/>
        </w:rPr>
      </w:pPr>
      <w:r w:rsidRPr="00D855C6">
        <w:rPr>
          <w:color w:val="000000" w:themeColor="text1"/>
        </w:rPr>
        <w:t xml:space="preserve">In the case of Beauty Workshop and Training Event, the DIY strategy would include the event organiser taking the responsibility of booking the venue, securing catering services, advertising the event on social media and locally, and scheduling and organising the activities. Although this method enables the inclusion of individual events that fit well with the vision of the organiser, it requires a lot of time and effort to take care of all the factors. Small-scale projects that have a minor budget, where the project team has the required capacity and expertise to handle all the activities, are best suited to the DIY approach. It is perfect in the projects where the degree of personalisation is high, and the project team is resolved to invest the time and resources to achieve success. </w:t>
      </w:r>
    </w:p>
    <w:p w14:paraId="00000013" w14:textId="26C56132" w:rsidR="004C7824" w:rsidRPr="00D855C6" w:rsidRDefault="00D65C4B" w:rsidP="00D855C6">
      <w:pPr>
        <w:spacing w:after="0"/>
        <w:rPr>
          <w:color w:val="000000" w:themeColor="text1"/>
        </w:rPr>
      </w:pPr>
      <w:r w:rsidRPr="00D855C6">
        <w:rPr>
          <w:color w:val="000000" w:themeColor="text1"/>
        </w:rPr>
        <w:t xml:space="preserve">The hybrid model of project management that unites the multicontract and DIY project management style enables a project owner to retain some of the fundamental elements but delegate the specialised tasks to external contractors. It utilises internal expertise in strategy planning, quality controls, and coordination, and outsources services where they need technical expertise or resources that the internal team </w:t>
      </w:r>
      <w:r w:rsidR="00D24B7B" w:rsidRPr="00D855C6">
        <w:rPr>
          <w:color w:val="000000" w:themeColor="text1"/>
        </w:rPr>
        <w:t>cannot</w:t>
      </w:r>
      <w:r w:rsidRPr="00D855C6">
        <w:rPr>
          <w:color w:val="000000" w:themeColor="text1"/>
        </w:rPr>
        <w:t xml:space="preserve"> provide (Qian </w:t>
      </w:r>
      <w:r w:rsidRPr="00D855C6">
        <w:rPr>
          <w:i/>
          <w:color w:val="000000" w:themeColor="text1"/>
        </w:rPr>
        <w:t xml:space="preserve">et al., </w:t>
      </w:r>
      <w:r w:rsidRPr="00D855C6">
        <w:rPr>
          <w:color w:val="000000" w:themeColor="text1"/>
        </w:rPr>
        <w:t>2023). The hybrid model offers flexibility, efficiency, and enhanced risk management by combining the merits of both models. A balance of control and specialisation is one of the primary benefits of this model. The owner of the project is in control of the key activities in ensuring that the project is in tandem with the strategic goals, and the contractors can provide their technical expertise, where the work involves complex or labour-intensive work. The structure is also capable of enabling the optimisation of resources since an internal team is concentrated on high-value activities, and external providers provide specialised activities at an efficient level (Jerab and Mabrouk, 2023). Furthermore, the hybrid model is more quality- and accountability-oriented; in-house control provides compliance with the standards, whereas professional contractors perform specialised tasks competently. It is also scalable in nature because the ratio of DIY to contracted work is adjustable depending on the needs of the project or the budgetary limitations.</w:t>
      </w:r>
    </w:p>
    <w:p w14:paraId="00000014" w14:textId="77777777" w:rsidR="004C7824" w:rsidRPr="00D855C6" w:rsidRDefault="00D65C4B" w:rsidP="00D855C6">
      <w:pPr>
        <w:spacing w:after="0"/>
        <w:rPr>
          <w:color w:val="000000" w:themeColor="text1"/>
        </w:rPr>
      </w:pPr>
      <w:r w:rsidRPr="00D855C6">
        <w:rPr>
          <w:color w:val="000000" w:themeColor="text1"/>
        </w:rPr>
        <w:t xml:space="preserve">The hybrid strategy, however, has its challenges. The internal and external management resources need to be under proper communication, coordination, and clearly assigned roles. Unless properly planned, some overlaps or gaps between DIY and contracted work may result in delay or poor quality (Alkoud and Qatamin, 2023). Moreover, the in-house staff should have the skills and the ability to handle DIY elements; otherwise, the advantage of hybridisation can </w:t>
      </w:r>
      <w:r w:rsidRPr="00D855C6">
        <w:rPr>
          <w:color w:val="000000" w:themeColor="text1"/>
        </w:rPr>
        <w:lastRenderedPageBreak/>
        <w:t xml:space="preserve">be lost. Possibly, it may also raise administrative overhead, since two management structures require more monitoring, reporting, and contract management. In a one-day Beauty Workshop and Training Event in the UK, a hybrid model would require the organiser to take the responsibility of engaging participants personally, marketing, and designing the event, whilst outsourcing to arrange the venue, technical equipment, catering, and special trainers. This combination is what it makes sure that the technical aspects are done professionally, but there is also strategic control and individualisation. </w:t>
      </w:r>
    </w:p>
    <w:p w14:paraId="00000015" w14:textId="77777777" w:rsidR="004C7824" w:rsidRPr="00D855C6" w:rsidRDefault="00D65C4B" w:rsidP="00D855C6">
      <w:pPr>
        <w:pStyle w:val="Heading1"/>
        <w:spacing w:after="0"/>
        <w:rPr>
          <w:color w:val="000000" w:themeColor="text1"/>
        </w:rPr>
      </w:pPr>
      <w:bookmarkStart w:id="5" w:name="_gk455tjsyr5" w:colFirst="0" w:colLast="0"/>
      <w:bookmarkStart w:id="6" w:name="_Toc211264346"/>
      <w:bookmarkEnd w:id="5"/>
      <w:r w:rsidRPr="00D855C6">
        <w:rPr>
          <w:color w:val="000000" w:themeColor="text1"/>
        </w:rPr>
        <w:t>3. Conclusion</w:t>
      </w:r>
      <w:bookmarkEnd w:id="6"/>
    </w:p>
    <w:p w14:paraId="00000016" w14:textId="50DEE181" w:rsidR="004C7824" w:rsidRPr="00D855C6" w:rsidRDefault="00D65C4B" w:rsidP="00D855C6">
      <w:pPr>
        <w:spacing w:after="0"/>
        <w:rPr>
          <w:color w:val="000000" w:themeColor="text1"/>
        </w:rPr>
      </w:pPr>
      <w:r w:rsidRPr="00D855C6">
        <w:rPr>
          <w:color w:val="000000" w:themeColor="text1"/>
        </w:rPr>
        <w:t xml:space="preserve">The contracting approaches in project management provide various strategies to help balance the control, expertise, cost, and risk. Turnkey contracts offer one source of responsibility, multicontract models offer flexibility and specialisation, do-it-yourself models allow the company to give its all </w:t>
      </w:r>
      <w:r w:rsidR="00D24B7B" w:rsidRPr="00D855C6">
        <w:rPr>
          <w:color w:val="000000" w:themeColor="text1"/>
        </w:rPr>
        <w:t>too</w:t>
      </w:r>
      <w:r w:rsidRPr="00D855C6">
        <w:rPr>
          <w:color w:val="000000" w:themeColor="text1"/>
        </w:rPr>
        <w:t xml:space="preserve"> internal control and cost efficiency, and hybrid models fit the best due to their feature of combination of the strengths of outsourcing and managing within the company. The choice of the right method will be made based on the size of the project, complexity, budget, and the capabilities of the project team. In the case of the Beauty Workshop and Training Event, hybrid or multicontract methods are quite appropriate as they allow for delivering professional at the same time not losing strategic control.</w:t>
      </w:r>
    </w:p>
    <w:p w14:paraId="2BAF04C9" w14:textId="77777777" w:rsidR="00A4011C" w:rsidRPr="00D855C6" w:rsidRDefault="00A4011C" w:rsidP="00D855C6">
      <w:pPr>
        <w:spacing w:after="0"/>
        <w:rPr>
          <w:b/>
          <w:color w:val="000000" w:themeColor="text1"/>
          <w:sz w:val="28"/>
          <w:szCs w:val="28"/>
        </w:rPr>
      </w:pPr>
      <w:r w:rsidRPr="00D855C6">
        <w:rPr>
          <w:color w:val="000000" w:themeColor="text1"/>
        </w:rPr>
        <w:br w:type="page"/>
      </w:r>
    </w:p>
    <w:p w14:paraId="09D0E375" w14:textId="53096D32" w:rsidR="00A4011C" w:rsidRPr="00D855C6" w:rsidRDefault="00A4011C" w:rsidP="00D855C6">
      <w:pPr>
        <w:pStyle w:val="Heading1"/>
        <w:spacing w:after="0"/>
        <w:rPr>
          <w:color w:val="000000" w:themeColor="text1"/>
        </w:rPr>
      </w:pPr>
      <w:bookmarkStart w:id="7" w:name="_Toc211264347"/>
      <w:r w:rsidRPr="00D855C6">
        <w:rPr>
          <w:color w:val="000000" w:themeColor="text1"/>
        </w:rPr>
        <w:lastRenderedPageBreak/>
        <w:t>Reference list</w:t>
      </w:r>
      <w:bookmarkEnd w:id="7"/>
    </w:p>
    <w:p w14:paraId="2DB2A51F" w14:textId="63360E2C" w:rsidR="00A4011C" w:rsidRPr="00D855C6" w:rsidRDefault="00A4011C" w:rsidP="00D855C6">
      <w:pPr>
        <w:spacing w:after="0"/>
        <w:rPr>
          <w:color w:val="000000" w:themeColor="text1"/>
        </w:rPr>
      </w:pPr>
      <w:r w:rsidRPr="00D855C6">
        <w:rPr>
          <w:color w:val="000000" w:themeColor="text1"/>
        </w:rPr>
        <w:t xml:space="preserve">Alkoud, S. and Qatamin, L. (2023). Hybrid Work in International Business: Challenges and Opportunities in light of Dual Factor Theory. </w:t>
      </w:r>
      <w:r w:rsidRPr="00D855C6">
        <w:rPr>
          <w:i/>
          <w:iCs/>
          <w:color w:val="000000" w:themeColor="text1"/>
        </w:rPr>
        <w:t>International Journal of Academic Research in Business and Social Sciences</w:t>
      </w:r>
      <w:r w:rsidRPr="00D855C6">
        <w:rPr>
          <w:color w:val="000000" w:themeColor="text1"/>
        </w:rPr>
        <w:t xml:space="preserve">, [online] 13(7), pp.1354–1371. Available at: https://doi.org/10.6007/ijarbss/v13-i7/17314 </w:t>
      </w:r>
      <w:r w:rsidR="00173121" w:rsidRPr="00D855C6">
        <w:rPr>
          <w:color w:val="000000" w:themeColor="text1"/>
        </w:rPr>
        <w:t>[Accessed 13 October. 2025].</w:t>
      </w:r>
    </w:p>
    <w:p w14:paraId="397550C8" w14:textId="77777777" w:rsidR="00A4011C" w:rsidRPr="00D855C6" w:rsidRDefault="00A4011C" w:rsidP="00D855C6">
      <w:pPr>
        <w:spacing w:after="0"/>
        <w:rPr>
          <w:color w:val="000000" w:themeColor="text1"/>
        </w:rPr>
      </w:pPr>
      <w:r w:rsidRPr="00D855C6">
        <w:rPr>
          <w:color w:val="000000" w:themeColor="text1"/>
        </w:rPr>
        <w:t xml:space="preserve">Alltracon News (2025). </w:t>
      </w:r>
      <w:r w:rsidRPr="00D855C6">
        <w:rPr>
          <w:i/>
          <w:iCs/>
          <w:color w:val="000000" w:themeColor="text1"/>
        </w:rPr>
        <w:t>What Are Industrial Turnkey Projects? A Complete Guide - Alltracon Machinery Moving and Millwright Services</w:t>
      </w:r>
      <w:r w:rsidRPr="00D855C6">
        <w:rPr>
          <w:color w:val="000000" w:themeColor="text1"/>
        </w:rPr>
        <w:t>. [online] Alltracon Machinery Moving and Millwright Services. Available at: https://alltracon.com/what-are-industrial-turnkey-projects-a-complete-guide/ [Accessed 13 October. 2025].</w:t>
      </w:r>
    </w:p>
    <w:p w14:paraId="64A8DD2C" w14:textId="77777777" w:rsidR="00A4011C" w:rsidRPr="00D855C6" w:rsidRDefault="00A4011C" w:rsidP="00D855C6">
      <w:pPr>
        <w:spacing w:after="0"/>
        <w:rPr>
          <w:color w:val="000000" w:themeColor="text1"/>
        </w:rPr>
      </w:pPr>
      <w:r w:rsidRPr="00D855C6">
        <w:rPr>
          <w:color w:val="000000" w:themeColor="text1"/>
        </w:rPr>
        <w:t xml:space="preserve">Castro, A. and Sainati, T. (2024). Bridging the Gap: Reintegrating Legal Perspectives into Project Management. </w:t>
      </w:r>
      <w:r w:rsidRPr="00D855C6">
        <w:rPr>
          <w:i/>
          <w:iCs/>
          <w:color w:val="000000" w:themeColor="text1"/>
        </w:rPr>
        <w:t>Project Leadership and Society</w:t>
      </w:r>
      <w:r w:rsidRPr="00D855C6">
        <w:rPr>
          <w:color w:val="000000" w:themeColor="text1"/>
        </w:rPr>
        <w:t>, 5, pp.100154–100154. doi:https://doi.org/10.1016/j.plas.2024.100154.</w:t>
      </w:r>
    </w:p>
    <w:p w14:paraId="3D39DCFE" w14:textId="77777777" w:rsidR="00A4011C" w:rsidRPr="00D855C6" w:rsidRDefault="00A4011C" w:rsidP="00D855C6">
      <w:pPr>
        <w:spacing w:after="0"/>
        <w:rPr>
          <w:color w:val="000000" w:themeColor="text1"/>
        </w:rPr>
      </w:pPr>
      <w:r w:rsidRPr="00D855C6">
        <w:rPr>
          <w:color w:val="000000" w:themeColor="text1"/>
        </w:rPr>
        <w:t xml:space="preserve">Dzandu, M.D. and Pathak, B. (2021). Diy laboratories, their practices, and challenges – a systematic literature review. </w:t>
      </w:r>
      <w:r w:rsidRPr="00D855C6">
        <w:rPr>
          <w:i/>
          <w:iCs/>
          <w:color w:val="000000" w:themeColor="text1"/>
        </w:rPr>
        <w:t>Technology Analysis &amp; Strategic Management</w:t>
      </w:r>
      <w:r w:rsidRPr="00D855C6">
        <w:rPr>
          <w:color w:val="000000" w:themeColor="text1"/>
        </w:rPr>
        <w:t>, 33(10), pp.1242–1254. doi:https://doi.org/10.1080/09537325.2021.1968373.</w:t>
      </w:r>
    </w:p>
    <w:p w14:paraId="6FDFC759" w14:textId="77777777" w:rsidR="00A4011C" w:rsidRPr="00D855C6" w:rsidRDefault="00A4011C" w:rsidP="00D855C6">
      <w:pPr>
        <w:spacing w:after="0"/>
        <w:rPr>
          <w:color w:val="000000" w:themeColor="text1"/>
        </w:rPr>
      </w:pPr>
      <w:r w:rsidRPr="00D855C6">
        <w:rPr>
          <w:color w:val="000000" w:themeColor="text1"/>
        </w:rPr>
        <w:t xml:space="preserve">Jerab, D.A. and Mabrouk, T. (2023). </w:t>
      </w:r>
      <w:r w:rsidRPr="00D855C6">
        <w:rPr>
          <w:i/>
          <w:iCs/>
          <w:color w:val="000000" w:themeColor="text1"/>
        </w:rPr>
        <w:t>The evolving landscape of organizational structures: A contemporary analysis</w:t>
      </w:r>
      <w:r w:rsidRPr="00D855C6">
        <w:rPr>
          <w:color w:val="000000" w:themeColor="text1"/>
        </w:rPr>
        <w:t>. [online] Social Science Research Network. doi:https://doi.org/10.2139/ssrn.4584643.</w:t>
      </w:r>
    </w:p>
    <w:p w14:paraId="76EFA1AE" w14:textId="77777777" w:rsidR="00A4011C" w:rsidRPr="00D855C6" w:rsidRDefault="00A4011C" w:rsidP="00D855C6">
      <w:pPr>
        <w:spacing w:after="0"/>
        <w:rPr>
          <w:color w:val="000000" w:themeColor="text1"/>
        </w:rPr>
      </w:pPr>
      <w:r w:rsidRPr="00D855C6">
        <w:rPr>
          <w:color w:val="000000" w:themeColor="text1"/>
        </w:rPr>
        <w:t xml:space="preserve">Jones, M. (2022). </w:t>
      </w:r>
      <w:r w:rsidRPr="00D855C6">
        <w:rPr>
          <w:i/>
          <w:iCs/>
          <w:color w:val="000000" w:themeColor="text1"/>
        </w:rPr>
        <w:t>When it comes to construction projects, there are a lot of different factors to consider. The delivery method you choose will ultimately depend on a number of factors, including the project’s scope and scale, budget, and preferences.</w:t>
      </w:r>
      <w:r w:rsidRPr="00D855C6">
        <w:rPr>
          <w:color w:val="000000" w:themeColor="text1"/>
        </w:rPr>
        <w:t xml:space="preserve"> [online] Linkedin.com. Available at: https://www.linkedin.com/pulse/part-3-why-construction-management-multi-prime-may-right-molly-jones [Accessed 13 October. 2025].</w:t>
      </w:r>
    </w:p>
    <w:p w14:paraId="621A9642" w14:textId="77777777" w:rsidR="00A4011C" w:rsidRPr="00D855C6" w:rsidRDefault="00A4011C" w:rsidP="00D855C6">
      <w:pPr>
        <w:spacing w:after="0"/>
        <w:rPr>
          <w:color w:val="000000" w:themeColor="text1"/>
        </w:rPr>
      </w:pPr>
      <w:r w:rsidRPr="00D855C6">
        <w:rPr>
          <w:color w:val="000000" w:themeColor="text1"/>
        </w:rPr>
        <w:t xml:space="preserve">Khademi-Vidra, A. and Bujdosó, Z. (2021). Motivations and Attitudes: An Empirical Study on DIY (Do-It-Yourself) Consumers in Hungary. </w:t>
      </w:r>
      <w:r w:rsidRPr="00D855C6">
        <w:rPr>
          <w:i/>
          <w:iCs/>
          <w:color w:val="000000" w:themeColor="text1"/>
        </w:rPr>
        <w:t>Sustainability</w:t>
      </w:r>
      <w:r w:rsidRPr="00D855C6">
        <w:rPr>
          <w:color w:val="000000" w:themeColor="text1"/>
        </w:rPr>
        <w:t>, 12(2), p.517. doi:https://doi.org/10.3390/su12020517.</w:t>
      </w:r>
    </w:p>
    <w:p w14:paraId="31033A2B" w14:textId="77777777" w:rsidR="00A4011C" w:rsidRPr="00D855C6" w:rsidRDefault="00A4011C" w:rsidP="00D855C6">
      <w:pPr>
        <w:spacing w:after="0"/>
        <w:rPr>
          <w:color w:val="000000" w:themeColor="text1"/>
        </w:rPr>
      </w:pPr>
      <w:r w:rsidRPr="00D855C6">
        <w:rPr>
          <w:color w:val="000000" w:themeColor="text1"/>
        </w:rPr>
        <w:t xml:space="preserve">Majka, M. (2024). </w:t>
      </w:r>
      <w:r w:rsidRPr="00D855C6">
        <w:rPr>
          <w:i/>
          <w:iCs/>
          <w:color w:val="000000" w:themeColor="text1"/>
        </w:rPr>
        <w:t>Burnout, as defined by the World Health Organization (WHO), is a syndrome conceptualized as resulting from chronic workplace stress that has not been successfully managed. It is characterized by three primary dimensions: feelings of energy depletion or exhaustion, increased mental distance from one’</w:t>
      </w:r>
      <w:r w:rsidRPr="00D855C6">
        <w:rPr>
          <w:color w:val="000000" w:themeColor="text1"/>
        </w:rPr>
        <w:t>. [online] Linkedin.com. Available at: https://www.linkedin.com/pulse/how-does-one-persons-burnout-affect-work-entire-team-marcin-majka-hu8ac [Accessed 13 October. 2025].</w:t>
      </w:r>
    </w:p>
    <w:p w14:paraId="63DB5571" w14:textId="77777777" w:rsidR="00A4011C" w:rsidRPr="00D855C6" w:rsidRDefault="00A4011C" w:rsidP="00D855C6">
      <w:pPr>
        <w:spacing w:after="0"/>
        <w:rPr>
          <w:color w:val="000000" w:themeColor="text1"/>
        </w:rPr>
      </w:pPr>
      <w:r w:rsidRPr="00D855C6">
        <w:rPr>
          <w:color w:val="000000" w:themeColor="text1"/>
        </w:rPr>
        <w:lastRenderedPageBreak/>
        <w:t xml:space="preserve">Martinsuo, M. and Ahola, T. (2022). Multi-project management in inter-organizational contexts. </w:t>
      </w:r>
      <w:r w:rsidRPr="00D855C6">
        <w:rPr>
          <w:i/>
          <w:iCs/>
          <w:color w:val="000000" w:themeColor="text1"/>
        </w:rPr>
        <w:t>International Journal of Project Management</w:t>
      </w:r>
      <w:r w:rsidRPr="00D855C6">
        <w:rPr>
          <w:color w:val="000000" w:themeColor="text1"/>
        </w:rPr>
        <w:t>, 40(7), pp.813–826. doi:https://doi.org/10.1016/j.ijproman.2022.09.003.</w:t>
      </w:r>
    </w:p>
    <w:p w14:paraId="7069B760" w14:textId="77777777" w:rsidR="00A4011C" w:rsidRPr="00D855C6" w:rsidRDefault="00A4011C" w:rsidP="00D855C6">
      <w:pPr>
        <w:spacing w:after="0"/>
        <w:rPr>
          <w:color w:val="000000" w:themeColor="text1"/>
        </w:rPr>
      </w:pPr>
      <w:r w:rsidRPr="00D855C6">
        <w:rPr>
          <w:color w:val="000000" w:themeColor="text1"/>
        </w:rPr>
        <w:t xml:space="preserve">Nasereddin, M.Y. and Price, A. (2021). Addressing the Capital Cost Barrier to Sustainable Construction. </w:t>
      </w:r>
      <w:r w:rsidRPr="00D855C6">
        <w:rPr>
          <w:i/>
          <w:iCs/>
          <w:color w:val="000000" w:themeColor="text1"/>
        </w:rPr>
        <w:t>Developments in the Built Environment</w:t>
      </w:r>
      <w:r w:rsidRPr="00D855C6">
        <w:rPr>
          <w:color w:val="000000" w:themeColor="text1"/>
        </w:rPr>
        <w:t>, 7, p.100049. doi:https://doi.org/10.1016/j.dibe.2021.100049.</w:t>
      </w:r>
    </w:p>
    <w:p w14:paraId="22ACCA39" w14:textId="77777777" w:rsidR="00A4011C" w:rsidRPr="00D855C6" w:rsidRDefault="00A4011C" w:rsidP="00D855C6">
      <w:pPr>
        <w:spacing w:after="0"/>
        <w:rPr>
          <w:color w:val="000000" w:themeColor="text1"/>
        </w:rPr>
      </w:pPr>
      <w:r w:rsidRPr="00D855C6">
        <w:rPr>
          <w:color w:val="000000" w:themeColor="text1"/>
        </w:rPr>
        <w:t xml:space="preserve">Nhi, L. (2023). </w:t>
      </w:r>
      <w:r w:rsidRPr="00D855C6">
        <w:rPr>
          <w:i/>
          <w:iCs/>
          <w:color w:val="000000" w:themeColor="text1"/>
        </w:rPr>
        <w:t>Dự án Châu Á Thái Bình Dương</w:t>
      </w:r>
      <w:r w:rsidRPr="00D855C6">
        <w:rPr>
          <w:color w:val="000000" w:themeColor="text1"/>
        </w:rPr>
        <w:t>. [online] Appmvn. Available at: https://appmvn.com/multi-prime-contracts/ [Accessed 13 October. 2025].</w:t>
      </w:r>
    </w:p>
    <w:p w14:paraId="59D6B95C" w14:textId="77777777" w:rsidR="00A4011C" w:rsidRPr="00D855C6" w:rsidRDefault="00A4011C" w:rsidP="00D855C6">
      <w:pPr>
        <w:spacing w:after="0"/>
        <w:rPr>
          <w:color w:val="000000" w:themeColor="text1"/>
        </w:rPr>
      </w:pPr>
      <w:r w:rsidRPr="00D855C6">
        <w:rPr>
          <w:color w:val="000000" w:themeColor="text1"/>
        </w:rPr>
        <w:t xml:space="preserve">NSW government (2021). Construction procurement guide: single and multiple contract options. </w:t>
      </w:r>
      <w:r w:rsidRPr="00D855C6">
        <w:rPr>
          <w:i/>
          <w:iCs/>
          <w:color w:val="000000" w:themeColor="text1"/>
        </w:rPr>
        <w:t>info.buy.nsw</w:t>
      </w:r>
      <w:r w:rsidRPr="00D855C6">
        <w:rPr>
          <w:color w:val="000000" w:themeColor="text1"/>
        </w:rPr>
        <w:t>. [online] doi:https://doi.org/10/540649/static/0.</w:t>
      </w:r>
    </w:p>
    <w:p w14:paraId="1D91D14C" w14:textId="77777777" w:rsidR="00A4011C" w:rsidRPr="00D855C6" w:rsidRDefault="00A4011C" w:rsidP="00D855C6">
      <w:pPr>
        <w:spacing w:after="0"/>
        <w:rPr>
          <w:color w:val="000000" w:themeColor="text1"/>
        </w:rPr>
      </w:pPr>
      <w:r w:rsidRPr="00D855C6">
        <w:rPr>
          <w:color w:val="000000" w:themeColor="text1"/>
        </w:rPr>
        <w:t xml:space="preserve">Project Management Institute (2024). </w:t>
      </w:r>
      <w:r w:rsidRPr="00D855C6">
        <w:rPr>
          <w:i/>
          <w:iCs/>
          <w:color w:val="000000" w:themeColor="text1"/>
        </w:rPr>
        <w:t>What Is Project Management, Approaches, and PMI</w:t>
      </w:r>
      <w:r w:rsidRPr="00D855C6">
        <w:rPr>
          <w:color w:val="000000" w:themeColor="text1"/>
        </w:rPr>
        <w:t>. [online] Pmi.org. Available at: https://www.pmi.org/about/what-is-project-management [Accessed 13 October. 2025].</w:t>
      </w:r>
    </w:p>
    <w:p w14:paraId="7E170009" w14:textId="77777777" w:rsidR="00A4011C" w:rsidRPr="00D855C6" w:rsidRDefault="00A4011C" w:rsidP="00D855C6">
      <w:pPr>
        <w:spacing w:after="0"/>
        <w:rPr>
          <w:color w:val="000000" w:themeColor="text1"/>
        </w:rPr>
      </w:pPr>
      <w:r w:rsidRPr="00D855C6">
        <w:rPr>
          <w:color w:val="000000" w:themeColor="text1"/>
        </w:rPr>
        <w:t xml:space="preserve">Qian, Y., Yu, X., Chen, X. and Song, M. (2023). A model and simulation study of developers’ multicontract incentives for contractors’ green technology innovation decisions considering marketing efforts and innovation capability. </w:t>
      </w:r>
      <w:r w:rsidRPr="00D855C6">
        <w:rPr>
          <w:i/>
          <w:iCs/>
          <w:color w:val="000000" w:themeColor="text1"/>
        </w:rPr>
        <w:t>Energy &amp; Environment</w:t>
      </w:r>
      <w:r w:rsidRPr="00D855C6">
        <w:rPr>
          <w:color w:val="000000" w:themeColor="text1"/>
        </w:rPr>
        <w:t>. doi:https://doi.org/10.1177/0958305x231205022.</w:t>
      </w:r>
    </w:p>
    <w:p w14:paraId="536958A6" w14:textId="77777777" w:rsidR="00A4011C" w:rsidRPr="00D855C6" w:rsidRDefault="00A4011C" w:rsidP="00D855C6">
      <w:pPr>
        <w:spacing w:after="0"/>
        <w:rPr>
          <w:color w:val="000000" w:themeColor="text1"/>
        </w:rPr>
      </w:pPr>
      <w:r w:rsidRPr="00D855C6">
        <w:rPr>
          <w:color w:val="000000" w:themeColor="text1"/>
        </w:rPr>
        <w:t xml:space="preserve">Trivedi, D. (2025). </w:t>
      </w:r>
      <w:r w:rsidRPr="00D855C6">
        <w:rPr>
          <w:i/>
          <w:iCs/>
          <w:color w:val="000000" w:themeColor="text1"/>
        </w:rPr>
        <w:t>Arcons Group</w:t>
      </w:r>
      <w:r w:rsidRPr="00D855C6">
        <w:rPr>
          <w:color w:val="000000" w:themeColor="text1"/>
        </w:rPr>
        <w:t>. [online] Arcons Group. Available at: https://arconsgroup.in/streamlining-construction-success-a-guide-to-turnkey-contracting-in-india/ [Accessed 13 October. 2025].</w:t>
      </w:r>
    </w:p>
    <w:p w14:paraId="00000027" w14:textId="77777777" w:rsidR="004C7824" w:rsidRPr="00D855C6" w:rsidRDefault="004C7824" w:rsidP="00D855C6">
      <w:pPr>
        <w:spacing w:after="0"/>
        <w:rPr>
          <w:color w:val="000000" w:themeColor="text1"/>
        </w:rPr>
      </w:pPr>
    </w:p>
    <w:sectPr w:rsidR="004C7824" w:rsidRPr="00D855C6" w:rsidSect="009B0C84">
      <w:footerReference w:type="default" r:id="rId7"/>
      <w:pgSz w:w="11909" w:h="16834" w:code="9"/>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DAEDD8" w14:textId="77777777" w:rsidR="00D25EEB" w:rsidRDefault="00D25EEB" w:rsidP="00F452FA">
      <w:pPr>
        <w:spacing w:after="0" w:line="240" w:lineRule="auto"/>
      </w:pPr>
      <w:r>
        <w:separator/>
      </w:r>
    </w:p>
  </w:endnote>
  <w:endnote w:type="continuationSeparator" w:id="0">
    <w:p w14:paraId="0F82E59D" w14:textId="77777777" w:rsidR="00D25EEB" w:rsidRDefault="00D25EEB" w:rsidP="00F452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sz w:val="20"/>
        <w:szCs w:val="20"/>
      </w:rPr>
      <w:id w:val="-1122604369"/>
      <w:docPartObj>
        <w:docPartGallery w:val="Page Numbers (Bottom of Page)"/>
        <w:docPartUnique/>
      </w:docPartObj>
    </w:sdtPr>
    <w:sdtEndPr>
      <w:rPr>
        <w:noProof/>
      </w:rPr>
    </w:sdtEndPr>
    <w:sdtContent>
      <w:p w14:paraId="0802786B" w14:textId="5CEF2C85" w:rsidR="00F452FA" w:rsidRPr="00F452FA" w:rsidRDefault="00F452FA">
        <w:pPr>
          <w:pStyle w:val="Footer"/>
          <w:jc w:val="right"/>
          <w:rPr>
            <w:sz w:val="20"/>
            <w:szCs w:val="20"/>
          </w:rPr>
        </w:pPr>
        <w:r w:rsidRPr="00F452FA">
          <w:rPr>
            <w:sz w:val="20"/>
            <w:szCs w:val="20"/>
          </w:rPr>
          <w:fldChar w:fldCharType="begin"/>
        </w:r>
        <w:r w:rsidRPr="00F452FA">
          <w:rPr>
            <w:sz w:val="20"/>
            <w:szCs w:val="20"/>
          </w:rPr>
          <w:instrText xml:space="preserve"> PAGE   \* MERGEFORMAT </w:instrText>
        </w:r>
        <w:r w:rsidRPr="00F452FA">
          <w:rPr>
            <w:sz w:val="20"/>
            <w:szCs w:val="20"/>
          </w:rPr>
          <w:fldChar w:fldCharType="separate"/>
        </w:r>
        <w:r w:rsidR="00D855C6">
          <w:rPr>
            <w:noProof/>
            <w:sz w:val="20"/>
            <w:szCs w:val="20"/>
          </w:rPr>
          <w:t>9</w:t>
        </w:r>
        <w:r w:rsidRPr="00F452FA">
          <w:rPr>
            <w:noProof/>
            <w:sz w:val="20"/>
            <w:szCs w:val="20"/>
          </w:rPr>
          <w:fldChar w:fldCharType="end"/>
        </w:r>
      </w:p>
    </w:sdtContent>
  </w:sdt>
  <w:p w14:paraId="17EC47C2" w14:textId="77777777" w:rsidR="00F452FA" w:rsidRPr="00F452FA" w:rsidRDefault="00F452FA">
    <w:pPr>
      <w:pStyle w:val="Footer"/>
      <w:rPr>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2EF345" w14:textId="77777777" w:rsidR="00D25EEB" w:rsidRDefault="00D25EEB" w:rsidP="00F452FA">
      <w:pPr>
        <w:spacing w:after="0" w:line="240" w:lineRule="auto"/>
      </w:pPr>
      <w:r>
        <w:separator/>
      </w:r>
    </w:p>
  </w:footnote>
  <w:footnote w:type="continuationSeparator" w:id="0">
    <w:p w14:paraId="66D1FE88" w14:textId="77777777" w:rsidR="00D25EEB" w:rsidRDefault="00D25EEB" w:rsidP="00F452F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7824"/>
    <w:rsid w:val="00045E30"/>
    <w:rsid w:val="00173121"/>
    <w:rsid w:val="00217867"/>
    <w:rsid w:val="00343240"/>
    <w:rsid w:val="004C7824"/>
    <w:rsid w:val="004E4142"/>
    <w:rsid w:val="00752BCD"/>
    <w:rsid w:val="009B0C84"/>
    <w:rsid w:val="00A4011C"/>
    <w:rsid w:val="00A97B0E"/>
    <w:rsid w:val="00AF0A0C"/>
    <w:rsid w:val="00D01EBE"/>
    <w:rsid w:val="00D24B7B"/>
    <w:rsid w:val="00D25EEB"/>
    <w:rsid w:val="00D65C4B"/>
    <w:rsid w:val="00D855C6"/>
    <w:rsid w:val="00F42333"/>
    <w:rsid w:val="00F452F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0413673"/>
  <w15:docId w15:val="{3A59054B-EAEC-405F-B127-983605BABF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F452FA"/>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F452FA"/>
    <w:pPr>
      <w:spacing w:after="100"/>
    </w:pPr>
  </w:style>
  <w:style w:type="character" w:styleId="Hyperlink">
    <w:name w:val="Hyperlink"/>
    <w:basedOn w:val="DefaultParagraphFont"/>
    <w:uiPriority w:val="99"/>
    <w:unhideWhenUsed/>
    <w:rsid w:val="00F452FA"/>
    <w:rPr>
      <w:color w:val="0000FF" w:themeColor="hyperlink"/>
      <w:u w:val="single"/>
    </w:rPr>
  </w:style>
  <w:style w:type="paragraph" w:styleId="Header">
    <w:name w:val="header"/>
    <w:basedOn w:val="Normal"/>
    <w:link w:val="HeaderChar"/>
    <w:uiPriority w:val="99"/>
    <w:unhideWhenUsed/>
    <w:rsid w:val="00F452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52FA"/>
  </w:style>
  <w:style w:type="paragraph" w:styleId="Footer">
    <w:name w:val="footer"/>
    <w:basedOn w:val="Normal"/>
    <w:link w:val="FooterChar"/>
    <w:uiPriority w:val="99"/>
    <w:unhideWhenUsed/>
    <w:rsid w:val="00F452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52FA"/>
  </w:style>
  <w:style w:type="paragraph" w:styleId="BalloonText">
    <w:name w:val="Balloon Text"/>
    <w:basedOn w:val="Normal"/>
    <w:link w:val="BalloonTextChar"/>
    <w:uiPriority w:val="99"/>
    <w:semiHidden/>
    <w:unhideWhenUsed/>
    <w:rsid w:val="009B0C8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0C84"/>
    <w:rPr>
      <w:rFonts w:ascii="Tahoma" w:hAnsi="Tahoma" w:cs="Tahoma"/>
      <w:sz w:val="16"/>
      <w:szCs w:val="16"/>
    </w:rPr>
  </w:style>
  <w:style w:type="paragraph" w:styleId="ListParagraph">
    <w:name w:val="List Paragraph"/>
    <w:basedOn w:val="Normal"/>
    <w:uiPriority w:val="34"/>
    <w:qFormat/>
    <w:rsid w:val="00D24B7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D3313E-8E9D-439B-9707-9343BE5AB9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2666</Words>
  <Characters>15201</Characters>
  <Application>Microsoft Office Word</Application>
  <DocSecurity>0</DocSecurity>
  <Lines>126</Lines>
  <Paragraphs>35</Paragraphs>
  <ScaleCrop>false</ScaleCrop>
  <Company/>
  <LinksUpToDate>false</LinksUpToDate>
  <CharactersWithSpaces>17832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mihaela hermeneanu</dc:creator>
  <cp:lastModifiedBy>mihaela hermeneanu</cp:lastModifiedBy>
  <cp:revision>3</cp:revision>
  <dcterms:created xsi:type="dcterms:W3CDTF">2025-11-19T00:32:00Z</dcterms:created>
  <dcterms:modified xsi:type="dcterms:W3CDTF">2025-11-19T00:34:00Z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419eb43f-ce6f-4299-bf4e-4dd3f982a03e</vt:lpwstr>
  </property>
</Properties>
</file>