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46CC7" w:rsidP="7FD7BA37" w:rsidRDefault="5A757E55" w14:paraId="5E5787A5" w14:textId="4687AF10">
      <w:r>
        <w:rPr>
          <w:noProof/>
        </w:rPr>
        <w:drawing>
          <wp:inline distT="0" distB="0" distL="0" distR="0" wp14:anchorId="19893D61" wp14:editId="7FAA7939">
            <wp:extent cx="4362450" cy="1685925"/>
            <wp:effectExtent l="0" t="0" r="0" b="0"/>
            <wp:docPr id="28041781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417814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D7BA37" w:rsidP="7FD7BA37" w:rsidRDefault="7FD7BA37" w14:paraId="632EAE77" w14:textId="497D79F2"/>
    <w:p w:rsidR="5A757E55" w:rsidP="798B11F3" w:rsidRDefault="5A757E55" w14:paraId="484E3BF2" w14:textId="5855F896">
      <w:pPr>
        <w:spacing w:line="276" w:lineRule="auto"/>
        <w:rPr>
          <w:rFonts w:ascii="Arial Nova" w:hAnsi="Arial Nova" w:eastAsia="Arial Nova" w:cs="Arial Nova"/>
          <w:color w:val="000000" w:themeColor="text1"/>
          <w:sz w:val="32"/>
          <w:szCs w:val="32"/>
        </w:rPr>
      </w:pP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Student </w:t>
      </w:r>
      <w:r w:rsidRPr="798B11F3" w:rsidR="27A9E2BD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Name:  </w:t>
      </w:r>
      <w:r w:rsidRPr="798B11F3" w:rsidR="3C31C020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     </w:t>
      </w:r>
      <w:r w:rsidRPr="798B11F3" w:rsidR="393C4081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 </w:t>
      </w: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>Asya Zulfiqar</w:t>
      </w:r>
    </w:p>
    <w:p w:rsidR="7FD7BA37" w:rsidP="7FD7BA37" w:rsidRDefault="7FD7BA37" w14:paraId="1628E888" w14:textId="023D1F93">
      <w:pPr>
        <w:spacing w:line="276" w:lineRule="auto"/>
        <w:rPr>
          <w:rFonts w:ascii="Arial Nova" w:hAnsi="Arial Nova" w:eastAsia="Arial Nova" w:cs="Arial Nova"/>
          <w:color w:val="000000" w:themeColor="text1"/>
          <w:sz w:val="32"/>
          <w:szCs w:val="32"/>
        </w:rPr>
      </w:pPr>
    </w:p>
    <w:p w:rsidR="5A757E55" w:rsidP="798B11F3" w:rsidRDefault="5A757E55" w14:paraId="6BD31DCF" w14:textId="7458C3AA">
      <w:pPr>
        <w:spacing w:line="276" w:lineRule="auto"/>
        <w:rPr>
          <w:rFonts w:ascii="Arial Nova" w:hAnsi="Arial Nova" w:eastAsia="Arial Nova" w:cs="Arial Nova"/>
          <w:color w:val="000000" w:themeColor="text1"/>
          <w:sz w:val="32"/>
          <w:szCs w:val="32"/>
        </w:rPr>
      </w:pP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Student </w:t>
      </w:r>
      <w:r w:rsidRPr="798B11F3" w:rsidR="66CD8136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ID:  </w:t>
      </w:r>
      <w:r w:rsidRPr="798B11F3" w:rsidR="314A342C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       </w:t>
      </w:r>
      <w:r w:rsidRPr="798B11F3" w:rsidR="2F1F99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     </w:t>
      </w:r>
      <w:r w:rsidRPr="798B11F3" w:rsidR="56457F41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 xml:space="preserve"> </w:t>
      </w: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  <w:lang w:val="nl-NL"/>
        </w:rPr>
        <w:t>2229775</w:t>
      </w:r>
    </w:p>
    <w:p w:rsidR="7FD7BA37" w:rsidP="7FD7BA37" w:rsidRDefault="7FD7BA37" w14:paraId="6608449F" w14:textId="433C6E78">
      <w:pPr>
        <w:spacing w:line="276" w:lineRule="auto"/>
        <w:rPr>
          <w:rFonts w:ascii="Arial Nova" w:hAnsi="Arial Nova" w:eastAsia="Arial Nova" w:cs="Arial Nova"/>
          <w:color w:val="000000" w:themeColor="text1"/>
          <w:sz w:val="32"/>
          <w:szCs w:val="32"/>
        </w:rPr>
      </w:pPr>
    </w:p>
    <w:p w:rsidR="5A757E55" w:rsidP="798B11F3" w:rsidRDefault="5A757E55" w14:paraId="55BF5AD7" w14:textId="5EC1645E">
      <w:pPr>
        <w:spacing w:line="276" w:lineRule="auto"/>
        <w:rPr>
          <w:rFonts w:ascii="Arial Nova" w:hAnsi="Arial Nova" w:eastAsia="Arial Nova" w:cs="Arial Nova"/>
          <w:color w:val="000000" w:themeColor="text1"/>
          <w:sz w:val="32"/>
          <w:szCs w:val="32"/>
        </w:rPr>
      </w:pP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Course: </w:t>
      </w:r>
      <w:r w:rsidRPr="798B11F3" w:rsidR="2A64903A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               </w:t>
      </w:r>
      <w:r w:rsidRPr="798B11F3" w:rsidR="4E0F028D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      </w:t>
      </w: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>BSc (Hons) Health and Social Care</w:t>
      </w:r>
    </w:p>
    <w:p w:rsidR="7FD7BA37" w:rsidP="7FD7BA37" w:rsidRDefault="7FD7BA37" w14:paraId="70C66BC9" w14:textId="030A5BC7">
      <w:pPr>
        <w:spacing w:line="276" w:lineRule="auto"/>
        <w:rPr>
          <w:rFonts w:ascii="Arial Nova" w:hAnsi="Arial Nova" w:eastAsia="Arial Nova" w:cs="Arial Nova"/>
          <w:color w:val="000000" w:themeColor="text1"/>
          <w:sz w:val="32"/>
          <w:szCs w:val="32"/>
        </w:rPr>
      </w:pPr>
    </w:p>
    <w:p w:rsidR="5A757E55" w:rsidP="7FD7BA37" w:rsidRDefault="5A757E55" w14:paraId="2C937793" w14:textId="65A7D517">
      <w:pPr>
        <w:spacing w:line="276" w:lineRule="auto"/>
        <w:rPr>
          <w:rFonts w:ascii="Arial Nova" w:hAnsi="Arial Nova" w:eastAsia="Arial Nova" w:cs="Arial Nova"/>
          <w:b/>
          <w:bCs/>
          <w:sz w:val="32"/>
          <w:szCs w:val="32"/>
        </w:rPr>
      </w:pP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Module: </w:t>
      </w:r>
      <w:r w:rsidRPr="798B11F3" w:rsidR="4367D09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                  </w:t>
      </w:r>
      <w:r w:rsidRPr="798B11F3" w:rsidR="2E421B57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   </w:t>
      </w:r>
      <w:r w:rsidRPr="798B11F3" w:rsidR="7014ABF7">
        <w:rPr>
          <w:rFonts w:ascii="Arial Nova" w:hAnsi="Arial Nova" w:eastAsia="Arial Nova" w:cs="Arial Nova"/>
          <w:b/>
          <w:bCs/>
          <w:sz w:val="32"/>
          <w:szCs w:val="32"/>
        </w:rPr>
        <w:t>Empowering the Older Person</w:t>
      </w:r>
    </w:p>
    <w:p w:rsidR="7FD7BA37" w:rsidP="7FD7BA37" w:rsidRDefault="7FD7BA37" w14:paraId="2207CD06" w14:textId="78E40EE6">
      <w:pPr>
        <w:spacing w:line="276" w:lineRule="auto"/>
        <w:rPr>
          <w:rFonts w:ascii="Arial Nova" w:hAnsi="Arial Nova" w:eastAsia="Arial Nova" w:cs="Arial Nova"/>
          <w:b/>
          <w:bCs/>
          <w:sz w:val="32"/>
          <w:szCs w:val="32"/>
        </w:rPr>
      </w:pPr>
    </w:p>
    <w:p w:rsidR="51DAE3DD" w:rsidP="7FD7BA37" w:rsidRDefault="51DAE3DD" w14:paraId="1E052D1C" w14:textId="4EB9B92A">
      <w:pPr>
        <w:spacing w:after="120"/>
        <w:rPr>
          <w:rFonts w:ascii="Arial Nova" w:hAnsi="Arial Nova" w:eastAsia="Arial Nova" w:cs="Arial Nova"/>
          <w:sz w:val="32"/>
          <w:szCs w:val="32"/>
        </w:rPr>
      </w:pPr>
      <w:r w:rsidRPr="798B11F3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Module code:        </w:t>
      </w:r>
      <w:r w:rsidRPr="798B11F3" w:rsidR="47D81F94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    </w:t>
      </w:r>
      <w:r w:rsidRPr="798B11F3" w:rsidR="752BF89A">
        <w:rPr>
          <w:rFonts w:ascii="Arial Nova" w:hAnsi="Arial Nova" w:eastAsia="Arial Nova" w:cs="Arial Nova"/>
          <w:b/>
          <w:bCs/>
          <w:sz w:val="32"/>
          <w:szCs w:val="32"/>
        </w:rPr>
        <w:t>BMHP6027</w:t>
      </w:r>
    </w:p>
    <w:p w:rsidR="7FD7BA37" w:rsidP="7FD7BA37" w:rsidRDefault="7FD7BA37" w14:paraId="51DCA4B3" w14:textId="7B600DFA">
      <w:pPr>
        <w:spacing w:before="30" w:after="30" w:line="360" w:lineRule="auto"/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</w:pPr>
    </w:p>
    <w:p w:rsidR="51DAE3DD" w:rsidP="7FD7BA37" w:rsidRDefault="51DAE3DD" w14:paraId="115E7D3F" w14:textId="232B69B8">
      <w:pPr>
        <w:spacing w:before="30" w:after="30" w:line="360" w:lineRule="auto"/>
        <w:rPr>
          <w:rFonts w:ascii="Arial Nova" w:hAnsi="Arial Nova" w:eastAsia="Arial Nova" w:cs="Arial Nova"/>
          <w:b/>
          <w:bCs/>
          <w:sz w:val="32"/>
          <w:szCs w:val="32"/>
        </w:rPr>
      </w:pPr>
      <w:r w:rsidRPr="7FD7BA37">
        <w:rPr>
          <w:rFonts w:ascii="Arial Nova" w:hAnsi="Arial Nova" w:eastAsia="Arial Nova" w:cs="Arial Nova"/>
          <w:b/>
          <w:bCs/>
          <w:color w:val="000000" w:themeColor="text1"/>
          <w:sz w:val="32"/>
          <w:szCs w:val="32"/>
        </w:rPr>
        <w:t xml:space="preserve">Assignment Title:     </w:t>
      </w:r>
      <w:r w:rsidRPr="7FD7BA37" w:rsidR="7E2D2037">
        <w:rPr>
          <w:rFonts w:ascii="Arial Nova" w:hAnsi="Arial Nova" w:eastAsia="Arial Nova" w:cs="Arial Nova"/>
          <w:b/>
          <w:bCs/>
          <w:sz w:val="32"/>
          <w:szCs w:val="32"/>
        </w:rPr>
        <w:t xml:space="preserve">Component 2: Debate / Discussion </w:t>
      </w:r>
    </w:p>
    <w:p w:rsidR="1C2096B9" w:rsidP="7FD7BA37" w:rsidRDefault="1C2096B9" w14:paraId="4BE5433E" w14:textId="3B79CAC3">
      <w:pPr>
        <w:spacing w:before="30" w:after="30" w:line="360" w:lineRule="auto"/>
        <w:rPr>
          <w:rFonts w:ascii="Arial Nova" w:hAnsi="Arial Nova" w:eastAsia="Arial Nova" w:cs="Arial Nova"/>
          <w:b/>
          <w:bCs/>
          <w:sz w:val="32"/>
          <w:szCs w:val="32"/>
        </w:rPr>
      </w:pPr>
      <w:r w:rsidRPr="7FD7BA37">
        <w:rPr>
          <w:rFonts w:ascii="Arial Nova" w:hAnsi="Arial Nova" w:eastAsia="Arial Nova" w:cs="Arial Nova"/>
          <w:b/>
          <w:bCs/>
          <w:sz w:val="32"/>
          <w:szCs w:val="32"/>
        </w:rPr>
        <w:t xml:space="preserve">                                       Reference list      </w:t>
      </w:r>
    </w:p>
    <w:p w:rsidR="7FD7BA37" w:rsidP="7FD7BA37" w:rsidRDefault="7FD7BA37" w14:paraId="3ED7AD3A" w14:textId="48F8C0B5"/>
    <w:p w:rsidR="5C3BF5D7" w:rsidRDefault="5C3BF5D7" w14:paraId="50E6E36A" w14:textId="5D3DCB4F"/>
    <w:p w:rsidR="5C3BF5D7" w:rsidRDefault="5C3BF5D7" w14:paraId="3F693C0D" w14:textId="5C10391A"/>
    <w:p w:rsidR="5C3BF5D7" w:rsidRDefault="5C3BF5D7" w14:paraId="3B4FC10C" w14:textId="23F1A09A"/>
    <w:p w:rsidR="5C3BF5D7" w:rsidP="7FD7BA37" w:rsidRDefault="5C3BF5D7" w14:paraId="0F4D1B65" w14:textId="4BF7FB16"/>
    <w:p w:rsidR="7FD7BA37" w:rsidP="7FD7BA37" w:rsidRDefault="7FD7BA37" w14:paraId="324D874F" w14:textId="2DE31FDB"/>
    <w:p w:rsidR="7FD7BA37" w:rsidP="7FD7BA37" w:rsidRDefault="7FD7BA37" w14:paraId="73CE798E" w14:textId="625DE6FF"/>
    <w:p w:rsidR="7FD7BA37" w:rsidP="7FD7BA37" w:rsidRDefault="7FD7BA37" w14:paraId="049511A6" w14:textId="2EAFBD62"/>
    <w:p w:rsidR="0A211BBC" w:rsidP="7E59C272" w:rsidRDefault="0A211BBC" w14:paraId="272E5150" w14:textId="53853AEA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b/>
          <w:bCs/>
          <w:color w:val="242424"/>
          <w:sz w:val="32"/>
          <w:szCs w:val="32"/>
        </w:rPr>
      </w:pPr>
      <w:r w:rsidRPr="7E59C272">
        <w:rPr>
          <w:rFonts w:ascii="Arial Nova" w:hAnsi="Arial Nova" w:eastAsia="Arial Nova" w:cs="Arial Nova"/>
          <w:b/>
          <w:bCs/>
          <w:color w:val="242424"/>
          <w:sz w:val="32"/>
          <w:szCs w:val="32"/>
        </w:rPr>
        <w:t>Reference</w:t>
      </w:r>
      <w:r w:rsidRPr="7E59C272" w:rsidR="0F4B7593">
        <w:rPr>
          <w:rFonts w:ascii="Arial Nova" w:hAnsi="Arial Nova" w:eastAsia="Arial Nova" w:cs="Arial Nova"/>
          <w:b/>
          <w:bCs/>
          <w:color w:val="242424"/>
          <w:sz w:val="32"/>
          <w:szCs w:val="32"/>
        </w:rPr>
        <w:t>’s</w:t>
      </w:r>
    </w:p>
    <w:p w:rsidR="0A211BBC" w:rsidP="7FD7BA37" w:rsidRDefault="0A211BBC" w14:paraId="2CEB7DF9" w14:textId="1D7A46ED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333333"/>
          <w:sz w:val="22"/>
          <w:szCs w:val="22"/>
        </w:rPr>
      </w:pPr>
      <w:r w:rsidRPr="2047BD89" w:rsidR="0A211BBC">
        <w:rPr>
          <w:rFonts w:ascii="Arial Nova" w:hAnsi="Arial Nova" w:eastAsia="Arial Nova" w:cs="Arial Nova"/>
          <w:color w:val="333333"/>
          <w:sz w:val="22"/>
          <w:szCs w:val="22"/>
        </w:rPr>
        <w:t xml:space="preserve">Alkan, E., Cushen-Brewster, N. &amp; Anyanwu, P. (2024) ‘Organisational factors associated with healthcare workforce development, recruitment, and retention in the United Kingdom: a systematic review’. </w:t>
      </w:r>
      <w:r w:rsidRPr="2047BD89" w:rsidR="0A211BBC">
        <w:rPr>
          <w:rFonts w:ascii="Arial Nova" w:hAnsi="Arial Nova" w:eastAsia="Arial Nova" w:cs="Arial Nova"/>
          <w:i w:val="1"/>
          <w:iCs w:val="1"/>
          <w:color w:val="333333"/>
          <w:sz w:val="22"/>
          <w:szCs w:val="22"/>
        </w:rPr>
        <w:t xml:space="preserve">BMC </w:t>
      </w:r>
      <w:r w:rsidRPr="2047BD89" w:rsidR="0A211BBC">
        <w:rPr>
          <w:rFonts w:ascii="Arial Nova" w:hAnsi="Arial Nova" w:eastAsia="Arial Nova" w:cs="Arial Nova"/>
          <w:i w:val="1"/>
          <w:iCs w:val="1"/>
          <w:color w:val="333333"/>
          <w:sz w:val="22"/>
          <w:szCs w:val="22"/>
        </w:rPr>
        <w:t>Nurs</w:t>
      </w:r>
      <w:r w:rsidRPr="2047BD89" w:rsidR="0A211BBC">
        <w:rPr>
          <w:rFonts w:ascii="Arial Nova" w:hAnsi="Arial Nova" w:eastAsia="Arial Nova" w:cs="Arial Nova"/>
          <w:color w:val="333333"/>
          <w:sz w:val="22"/>
          <w:szCs w:val="22"/>
        </w:rPr>
        <w:t xml:space="preserve"> 23, pp.604.</w:t>
      </w:r>
      <w:r w:rsidRPr="2047BD89" w:rsidR="59477034">
        <w:rPr>
          <w:rFonts w:ascii="Arial Nova" w:hAnsi="Arial Nova" w:eastAsia="Arial Nova" w:cs="Arial Nova"/>
          <w:color w:val="333333"/>
          <w:sz w:val="22"/>
          <w:szCs w:val="22"/>
        </w:rPr>
        <w:t xml:space="preserve"> </w:t>
      </w:r>
      <w:r w:rsidRPr="2047BD89" w:rsidR="005D2071">
        <w:rPr>
          <w:rFonts w:ascii="Arial Nova" w:hAnsi="Arial Nova" w:eastAsia="Arial Nova" w:cs="Arial Nova"/>
          <w:color w:val="333333"/>
          <w:sz w:val="22"/>
          <w:szCs w:val="22"/>
        </w:rPr>
        <w:t>Available at</w:t>
      </w:r>
      <w:r w:rsidRPr="2047BD89" w:rsidR="0A211BBC">
        <w:rPr>
          <w:rFonts w:ascii="Arial Nova" w:hAnsi="Arial Nova" w:eastAsia="Arial Nova" w:cs="Arial Nova"/>
          <w:color w:val="333333"/>
          <w:sz w:val="22"/>
          <w:szCs w:val="22"/>
        </w:rPr>
        <w:t xml:space="preserve">: </w:t>
      </w:r>
      <w:hyperlink r:id="R79cd2872f23b4571">
        <w:r w:rsidRPr="2047BD89" w:rsidR="0A211BBC">
          <w:rPr>
            <w:rStyle w:val="Hyperlink"/>
            <w:rFonts w:ascii="Arial Nova" w:hAnsi="Arial Nova" w:eastAsia="Arial Nova" w:cs="Arial Nova"/>
            <w:sz w:val="22"/>
            <w:szCs w:val="22"/>
          </w:rPr>
          <w:t>https://doi.org/10.1186/s12912-024-02216-0</w:t>
        </w:r>
      </w:hyperlink>
      <w:r w:rsidRPr="2047BD89" w:rsidR="0A211BBC">
        <w:rPr>
          <w:rFonts w:ascii="Arial Nova" w:hAnsi="Arial Nova" w:eastAsia="Arial Nova" w:cs="Arial Nova"/>
          <w:color w:val="333333"/>
          <w:sz w:val="22"/>
          <w:szCs w:val="22"/>
        </w:rPr>
        <w:t xml:space="preserve"> .</w:t>
      </w:r>
    </w:p>
    <w:p w:rsidR="0A211BBC" w:rsidP="1AFD9944" w:rsidRDefault="0A211BBC" w14:paraId="29B80568" w14:textId="17922768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12121"/>
          <w:sz w:val="22"/>
          <w:szCs w:val="22"/>
        </w:rPr>
      </w:pPr>
      <w:r w:rsidRPr="1AFD9944">
        <w:rPr>
          <w:rFonts w:ascii="Arial Nova" w:hAnsi="Arial Nova" w:eastAsia="Arial Nova" w:cs="Arial Nova"/>
          <w:color w:val="242424"/>
          <w:sz w:val="22"/>
          <w:szCs w:val="22"/>
        </w:rPr>
        <w:t>Atchley, R. C. (1989) ‘A continuity theory of normal aging’,</w:t>
      </w:r>
      <w:r w:rsidRPr="1AFD9944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 The Gerontologist</w:t>
      </w:r>
      <w:r w:rsidRPr="1AFD9944">
        <w:rPr>
          <w:rFonts w:ascii="Arial Nova" w:hAnsi="Arial Nova" w:eastAsia="Arial Nova" w:cs="Arial Nova"/>
          <w:color w:val="242424"/>
          <w:sz w:val="22"/>
          <w:szCs w:val="22"/>
        </w:rPr>
        <w:t>, 29(2), pp. 183–190.</w:t>
      </w:r>
      <w:r w:rsidR="00C531D1">
        <w:rPr>
          <w:rFonts w:ascii="Arial Nova" w:hAnsi="Arial Nova" w:eastAsia="Arial Nova" w:cs="Arial Nova"/>
          <w:color w:val="242424"/>
          <w:sz w:val="22"/>
          <w:szCs w:val="22"/>
        </w:rPr>
        <w:t xml:space="preserve"> Available at</w:t>
      </w:r>
      <w:r w:rsidRPr="1AFD9944">
        <w:rPr>
          <w:rFonts w:ascii="Arial Nova" w:hAnsi="Arial Nova" w:eastAsia="Arial Nova" w:cs="Arial Nova"/>
          <w:color w:val="242424"/>
          <w:sz w:val="22"/>
          <w:szCs w:val="22"/>
        </w:rPr>
        <w:t xml:space="preserve">: </w:t>
      </w:r>
      <w:hyperlink r:id="rId8">
        <w:r w:rsidRPr="1AFD9944">
          <w:rPr>
            <w:rStyle w:val="Hyperlink"/>
            <w:rFonts w:ascii="Arial Nova" w:hAnsi="Arial Nova" w:eastAsia="Arial Nova" w:cs="Arial Nova"/>
            <w:sz w:val="22"/>
            <w:szCs w:val="22"/>
          </w:rPr>
          <w:t>https://doi.org/10.1093/geront/29.2.183</w:t>
        </w:r>
      </w:hyperlink>
      <w:r w:rsidRPr="1AFD9944">
        <w:rPr>
          <w:rFonts w:ascii="Arial Nova" w:hAnsi="Arial Nova" w:eastAsia="Arial Nova" w:cs="Arial Nova"/>
          <w:color w:val="212121"/>
          <w:sz w:val="22"/>
          <w:szCs w:val="22"/>
        </w:rPr>
        <w:t xml:space="preserve"> .</w:t>
      </w:r>
    </w:p>
    <w:p w:rsidR="0A211BBC" w:rsidP="1AFD9944" w:rsidRDefault="0A211BBC" w14:paraId="1751E2F2" w14:textId="5EC3AB8F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1AFD9944">
        <w:rPr>
          <w:rFonts w:ascii="Arial Nova" w:hAnsi="Arial Nova" w:eastAsia="Arial Nova" w:cs="Arial Nova"/>
          <w:color w:val="242424"/>
          <w:sz w:val="22"/>
          <w:szCs w:val="22"/>
        </w:rPr>
        <w:t>Arai, L. (2023)</w:t>
      </w:r>
      <w:r w:rsidRPr="1AFD9944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 Foundations for 21st-Century Health and Social Care.</w:t>
      </w:r>
      <w:r w:rsidRPr="1AFD9944">
        <w:rPr>
          <w:rFonts w:ascii="Arial Nova" w:hAnsi="Arial Nova" w:eastAsia="Arial Nova" w:cs="Arial Nova"/>
          <w:color w:val="242424"/>
          <w:sz w:val="22"/>
          <w:szCs w:val="22"/>
        </w:rPr>
        <w:t xml:space="preserve"> London: Routledge.</w:t>
      </w:r>
    </w:p>
    <w:p w:rsidR="0A211BBC" w:rsidP="7FD7BA37" w:rsidRDefault="0A211BBC" w14:paraId="14A86B3B" w14:noSpellErr="1" w14:textId="1222ADB5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Care Act 2014 (c.23).</w:t>
      </w:r>
      <w:r w:rsidRPr="2047BD89" w:rsidR="0A211BBC"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r w:rsidRPr="2047BD89" w:rsidR="0A211BBC"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  <w:sz w:val="22"/>
          <w:szCs w:val="22"/>
        </w:rPr>
        <w:t xml:space="preserve">Available at: </w:t>
      </w:r>
      <w:hyperlink r:id="R4adb435b963641ed">
        <w:r w:rsidRPr="2047BD89" w:rsidR="0A211BBC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https://www.legislation.gov.uk/ukpga/2014/23/contents/enacted</w:t>
        </w:r>
      </w:hyperlink>
      <w:r w:rsidRPr="2047BD89" w:rsidR="0A211BBC">
        <w:rPr>
          <w:rFonts w:ascii="Arial Nova" w:hAnsi="Arial Nova" w:eastAsia="Arial Nova" w:cs="Arial Nova"/>
          <w:color w:val="155F81"/>
          <w:sz w:val="22"/>
          <w:szCs w:val="22"/>
        </w:rPr>
        <w:t xml:space="preserve"> </w:t>
      </w: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(Accessed: 22</w:t>
      </w: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  <w:vertAlign w:val="superscript"/>
        </w:rPr>
        <w:t>nd</w:t>
      </w: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October</w:t>
      </w:r>
    </w:p>
    <w:p w:rsidR="0A211BBC" w:rsidP="7FD7BA37" w:rsidRDefault="0A211BBC" w14:paraId="72253380" w14:textId="06CA0955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242424"/>
          <w:sz w:val="22"/>
          <w:szCs w:val="22"/>
        </w:rPr>
      </w:pPr>
      <w:r w:rsidRPr="1AFD9944">
        <w:rPr>
          <w:rFonts w:ascii="Arial Nova" w:hAnsi="Arial Nova" w:eastAsia="Arial Nova" w:cs="Arial Nova"/>
          <w:color w:val="000000" w:themeColor="text1"/>
          <w:sz w:val="22"/>
          <w:szCs w:val="22"/>
        </w:rPr>
        <w:t>2025).</w:t>
      </w:r>
    </w:p>
    <w:p w:rsidR="1AFD9944" w:rsidP="1AFD9944" w:rsidRDefault="1AFD9944" w14:paraId="706CAAC3" w14:textId="5AF999BA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242424"/>
          <w:sz w:val="22"/>
          <w:szCs w:val="22"/>
        </w:rPr>
      </w:pPr>
    </w:p>
    <w:p w:rsidR="0A211BBC" w:rsidP="1AFD9944" w:rsidRDefault="0A211BBC" w14:paraId="64B1A590" w14:textId="642A63BA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242424"/>
          <w:sz w:val="22"/>
          <w:szCs w:val="22"/>
        </w:rPr>
      </w:pPr>
      <w:r w:rsidRPr="1AFD9944">
        <w:rPr>
          <w:rFonts w:ascii="Arial Nova" w:hAnsi="Arial Nova" w:eastAsia="Arial Nova" w:cs="Arial Nova"/>
          <w:color w:val="242424"/>
          <w:sz w:val="22"/>
          <w:szCs w:val="22"/>
        </w:rPr>
        <w:t xml:space="preserve">Care Quality Commission. (2024) </w:t>
      </w:r>
      <w:r w:rsidRPr="1AFD9944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>State of Health and Adult Social Care in England 2023/24.</w:t>
      </w:r>
    </w:p>
    <w:p w:rsidR="0A211BBC" w:rsidP="5C3BF5D7" w:rsidRDefault="0A211BBC" w14:paraId="44C026AA" w14:textId="6697BAD6">
      <w:pPr>
        <w:shd w:val="clear" w:color="auto" w:fill="FFFFFF" w:themeFill="background1"/>
        <w:spacing w:after="0" w:line="360" w:lineRule="auto"/>
        <w:ind w:left="225" w:hanging="225"/>
        <w:rPr>
          <w:rFonts w:ascii="Aptos" w:hAnsi="Aptos" w:eastAsia="Aptos" w:cs="Aptos"/>
          <w:color w:val="000000" w:themeColor="text1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Available at: </w:t>
      </w:r>
      <w:hyperlink r:id="rId10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https://www.cqc.org.uk/publications/major-report/state-care/2023-2024</w:t>
        </w:r>
      </w:hyperlink>
    </w:p>
    <w:p w:rsidR="0A211BBC" w:rsidP="5C3BF5D7" w:rsidRDefault="0A211BBC" w14:paraId="24FB7DEE" w14:textId="41830108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(Accessed: 1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st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5C3BF5D7" w:rsidP="5C3BF5D7" w:rsidRDefault="5C3BF5D7" w14:paraId="29A6E8B6" w14:textId="46903B8E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242424"/>
          <w:sz w:val="22"/>
          <w:szCs w:val="22"/>
        </w:rPr>
      </w:pPr>
    </w:p>
    <w:p w:rsidR="0A211BBC" w:rsidP="5C3BF5D7" w:rsidRDefault="0A211BBC" w14:paraId="15B4C7B0" w14:textId="20AF7D50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Cumming, E. and Henry, W. (1961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>) Growing Old: The Process of Disengagement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. New York: Basic Books.</w:t>
      </w:r>
    </w:p>
    <w:p w:rsidR="0A211BBC" w:rsidP="5C3BF5D7" w:rsidRDefault="0A211BBC" w14:paraId="62BCB40D" w14:textId="5FB7B64D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Daly, G. and Westwood, S. (2022) 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>Ageing, Diversity and Equality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. Bristol: Policy Press.</w:t>
      </w:r>
    </w:p>
    <w:p w:rsidR="0A211BBC" w:rsidP="5C3BF5D7" w:rsidRDefault="0A211BBC" w14:paraId="10E6E28C" w14:textId="26E305D6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Department of Health and Social Care. (2021)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 Integration and Innovation: Working together to improve health and social care for all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. Available at: </w:t>
      </w:r>
      <w:hyperlink r:id="rId11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https://www.gov.uk/government/publications/working-together-to-improve-health-and-social-care-for-all/integration-and-innovation-working-together-to-improve-health-and-social-care-for-all-html-version</w:t>
        </w:r>
      </w:hyperlink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(Accessed: 22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nd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0A211BBC" w:rsidP="5C3BF5D7" w:rsidRDefault="0A211BBC" w14:paraId="59EE18F7" w14:textId="3F4D1F4C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Glasby, J. (2023) 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>Understanding Health and Social Care (5th edn).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Bristol: Policy Press.</w:t>
      </w:r>
    </w:p>
    <w:p w:rsidR="0A211BBC" w:rsidP="5C3BF5D7" w:rsidRDefault="0A211BBC" w14:paraId="63DABDC2" w14:textId="62BE1456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49FAEB04" w:rsidR="0A211BBC">
        <w:rPr>
          <w:rFonts w:ascii="Arial Nova" w:hAnsi="Arial Nova" w:eastAsia="Arial Nova" w:cs="Arial Nova"/>
          <w:color w:val="242424"/>
          <w:sz w:val="22"/>
          <w:szCs w:val="22"/>
        </w:rPr>
        <w:t>Gray, A. (2025)</w:t>
      </w:r>
      <w:r w:rsidRPr="49FAEB04" w:rsidR="0A211BBC">
        <w:rPr>
          <w:rFonts w:ascii="Arial Nova" w:hAnsi="Arial Nova" w:eastAsia="Arial Nova" w:cs="Arial Nova"/>
          <w:i w:val="1"/>
          <w:iCs w:val="1"/>
          <w:color w:val="242424"/>
          <w:sz w:val="22"/>
          <w:szCs w:val="22"/>
        </w:rPr>
        <w:t xml:space="preserve"> Radical Approaches to the Care Crisis</w:t>
      </w:r>
      <w:r w:rsidRPr="49FAEB04" w:rsidR="0A211BBC">
        <w:rPr>
          <w:rFonts w:ascii="Arial Nova" w:hAnsi="Arial Nova" w:eastAsia="Arial Nova" w:cs="Arial Nova"/>
          <w:color w:val="242424"/>
          <w:sz w:val="22"/>
          <w:szCs w:val="22"/>
        </w:rPr>
        <w:t>. Bristol: Bristol University Press.</w:t>
      </w:r>
    </w:p>
    <w:p w:rsidR="49FAEB04" w:rsidP="49FAEB04" w:rsidRDefault="49FAEB04" w14:paraId="52A583C9" w14:textId="7FEDCDF2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</w:pPr>
    </w:p>
    <w:p w:rsidR="0A211BBC" w:rsidP="5C3BF5D7" w:rsidRDefault="0A211BBC" w14:paraId="0FD91430" w14:noSpellErr="1" w14:textId="4B106E98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Health and Care Act 2022 (c.31). Available at:</w:t>
      </w:r>
      <w:r w:rsidRPr="2047BD89" w:rsidR="0A211BBC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 xml:space="preserve"> </w:t>
      </w:r>
      <w:hyperlink r:id="Rdae008dcea08498c">
        <w:r w:rsidRPr="2047BD89" w:rsidR="0A211BBC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https://www.legislation.gov.uk/ukpga/2022/31/contents/enacted</w:t>
        </w:r>
      </w:hyperlink>
      <w:r w:rsidRPr="2047BD89" w:rsidR="0A211BBC">
        <w:rPr>
          <w:rFonts w:ascii="Arial Nova" w:hAnsi="Arial Nova" w:eastAsia="Arial Nova" w:cs="Arial Nova"/>
          <w:color w:val="156082" w:themeColor="accent1" w:themeTint="FF" w:themeShade="FF"/>
          <w:sz w:val="22"/>
          <w:szCs w:val="22"/>
        </w:rPr>
        <w:t xml:space="preserve"> </w:t>
      </w: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(Accessed: 22</w:t>
      </w: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  <w:vertAlign w:val="superscript"/>
        </w:rPr>
        <w:t xml:space="preserve">nd </w:t>
      </w: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October</w:t>
      </w:r>
    </w:p>
    <w:p w:rsidR="0A211BBC" w:rsidP="5C3BF5D7" w:rsidRDefault="0A211BBC" w14:paraId="4FE2C24B" w14:textId="1948FEE0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5C3BF5D7">
        <w:rPr>
          <w:rFonts w:ascii="Arial Nova" w:hAnsi="Arial Nova" w:eastAsia="Arial Nova" w:cs="Arial Nova"/>
          <w:color w:val="000000" w:themeColor="text1"/>
          <w:sz w:val="22"/>
          <w:szCs w:val="22"/>
        </w:rPr>
        <w:t>2025).</w:t>
      </w:r>
    </w:p>
    <w:p w:rsidR="5C3BF5D7" w:rsidP="5C3BF5D7" w:rsidRDefault="5C3BF5D7" w14:paraId="0ABDF8FB" w14:textId="4C4B077E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000000" w:themeColor="text1"/>
          <w:sz w:val="22"/>
          <w:szCs w:val="22"/>
        </w:rPr>
      </w:pPr>
    </w:p>
    <w:p w:rsidR="0A211BBC" w:rsidP="5C3BF5D7" w:rsidRDefault="0A211BBC" w14:paraId="13C7E43B" w14:noSpellErr="1" w14:textId="2C4E22D3">
      <w:pPr>
        <w:shd w:val="clear" w:color="auto" w:fill="FFFFFF" w:themeFill="background1"/>
        <w:spacing w:after="0" w:line="360" w:lineRule="auto"/>
        <w:rPr>
          <w:rFonts w:ascii="Arial Nova" w:hAnsi="Arial Nova" w:eastAsia="Arial Nova" w:cs="Arial Nova"/>
          <w:color w:val="212121"/>
          <w:sz w:val="22"/>
          <w:szCs w:val="22"/>
        </w:rPr>
      </w:pPr>
      <w:r w:rsidRPr="2047BD89" w:rsidR="0A211BBC">
        <w:rPr>
          <w:rFonts w:ascii="Arial Nova" w:hAnsi="Arial Nova" w:eastAsia="Arial Nova" w:cs="Arial Nova"/>
          <w:color w:val="212121"/>
          <w:sz w:val="22"/>
          <w:szCs w:val="22"/>
        </w:rPr>
        <w:t xml:space="preserve">Khan, N., Randhawa, G., </w:t>
      </w:r>
      <w:r w:rsidRPr="2047BD89" w:rsidR="4A853281">
        <w:rPr>
          <w:rFonts w:ascii="Arial Nova" w:hAnsi="Arial Nova" w:eastAsia="Arial Nova" w:cs="Arial Nova"/>
          <w:color w:val="212121"/>
          <w:sz w:val="22"/>
          <w:szCs w:val="22"/>
        </w:rPr>
        <w:t>and</w:t>
      </w:r>
      <w:r w:rsidRPr="2047BD89" w:rsidR="0A211BBC">
        <w:rPr>
          <w:rFonts w:ascii="Arial Nova" w:hAnsi="Arial Nova" w:eastAsia="Arial Nova" w:cs="Arial Nova"/>
          <w:color w:val="212121"/>
          <w:sz w:val="22"/>
          <w:szCs w:val="22"/>
        </w:rPr>
        <w:t xml:space="preserve"> Hewson, D. (2023) ‘Integrated Care for Older People with Different Frailty Levels: A Qualitative Study of Local Implementation of a National Policy in Luton, England’. </w:t>
      </w:r>
      <w:r w:rsidRPr="2047BD89" w:rsidR="0A211BBC">
        <w:rPr>
          <w:rFonts w:ascii="Arial Nova" w:hAnsi="Arial Nova" w:eastAsia="Arial Nova" w:cs="Arial Nova"/>
          <w:i w:val="1"/>
          <w:iCs w:val="1"/>
          <w:color w:val="212121"/>
          <w:sz w:val="22"/>
          <w:szCs w:val="22"/>
        </w:rPr>
        <w:t>International journal of integrated care</w:t>
      </w:r>
      <w:r w:rsidRPr="2047BD89" w:rsidR="0A211BBC">
        <w:rPr>
          <w:rFonts w:ascii="Arial Nova" w:hAnsi="Arial Nova" w:eastAsia="Arial Nova" w:cs="Arial Nova"/>
          <w:color w:val="212121"/>
          <w:sz w:val="22"/>
          <w:szCs w:val="22"/>
        </w:rPr>
        <w:t xml:space="preserve">, </w:t>
      </w:r>
      <w:r w:rsidRPr="2047BD89" w:rsidR="0A211BBC">
        <w:rPr>
          <w:rFonts w:ascii="Arial Nova" w:hAnsi="Arial Nova" w:eastAsia="Arial Nova" w:cs="Arial Nova"/>
          <w:i w:val="1"/>
          <w:iCs w:val="1"/>
          <w:color w:val="212121"/>
          <w:sz w:val="22"/>
          <w:szCs w:val="22"/>
        </w:rPr>
        <w:t>23</w:t>
      </w:r>
      <w:r w:rsidRPr="2047BD89" w:rsidR="0A211BBC">
        <w:rPr>
          <w:rFonts w:ascii="Arial Nova" w:hAnsi="Arial Nova" w:eastAsia="Arial Nova" w:cs="Arial Nova"/>
          <w:color w:val="212121"/>
          <w:sz w:val="22"/>
          <w:szCs w:val="22"/>
        </w:rPr>
        <w:t xml:space="preserve">(1), 15. Available at: </w:t>
      </w:r>
      <w:hyperlink r:id="R78a118219c994dc6">
        <w:r w:rsidRPr="2047BD89" w:rsidR="0A211BBC">
          <w:rPr>
            <w:rStyle w:val="Hyperlink"/>
            <w:rFonts w:ascii="Arial Nova" w:hAnsi="Arial Nova" w:eastAsia="Arial Nova" w:cs="Arial Nova"/>
            <w:sz w:val="22"/>
            <w:szCs w:val="22"/>
          </w:rPr>
          <w:t>https://doi.org/10.5334/ijic.6537</w:t>
        </w:r>
      </w:hyperlink>
      <w:r w:rsidRPr="2047BD89" w:rsidR="0A211BBC">
        <w:rPr>
          <w:rFonts w:ascii="Arial Nova" w:hAnsi="Arial Nova" w:eastAsia="Arial Nova" w:cs="Arial Nova"/>
          <w:color w:val="212121"/>
          <w:sz w:val="22"/>
          <w:szCs w:val="22"/>
        </w:rPr>
        <w:t xml:space="preserve"> .</w:t>
      </w:r>
    </w:p>
    <w:p w:rsidR="5C3BF5D7" w:rsidP="5C3BF5D7" w:rsidRDefault="5C3BF5D7" w14:paraId="054E1A94" w14:textId="1461A7E6">
      <w:pPr>
        <w:shd w:val="clear" w:color="auto" w:fill="FFFFFF" w:themeFill="background1"/>
        <w:spacing w:after="0" w:line="360" w:lineRule="auto"/>
        <w:ind w:left="225" w:hanging="225"/>
        <w:rPr>
          <w:rFonts w:ascii="Arial Nova" w:hAnsi="Arial Nova" w:eastAsia="Arial Nova" w:cs="Arial Nova"/>
          <w:color w:val="242424"/>
          <w:sz w:val="22"/>
          <w:szCs w:val="22"/>
        </w:rPr>
      </w:pPr>
    </w:p>
    <w:p w:rsidR="0A211BBC" w:rsidP="5C3BF5D7" w:rsidRDefault="0A211BBC" w14:paraId="3D150342" w14:textId="42A9B5BB">
      <w:pPr>
        <w:shd w:val="clear" w:color="auto" w:fill="FFFFFF" w:themeFill="background1"/>
        <w:spacing w:after="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King’s Fund. (2022) 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>The health and care act 2022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. Available at: </w:t>
      </w:r>
      <w:hyperlink r:id="rId14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https://www.kingsfund.org.uk/insight-and-analysis/projects/health-and-care-act-2022-make-sense-legislation</w:t>
        </w:r>
      </w:hyperlink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(Accessed: 22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nd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5C3BF5D7" w:rsidP="5C3BF5D7" w:rsidRDefault="5C3BF5D7" w14:paraId="07CBBB3E" w14:textId="2B1F5C97">
      <w:pPr>
        <w:shd w:val="clear" w:color="auto" w:fill="FFFFFF" w:themeFill="background1"/>
        <w:spacing w:after="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</w:p>
    <w:p w:rsidR="0A211BBC" w:rsidP="5C3BF5D7" w:rsidRDefault="0A211BBC" w14:paraId="53050799" w14:noSpellErr="1" w14:textId="0E63D434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000000" w:themeColor="text1"/>
          <w:sz w:val="22"/>
          <w:szCs w:val="22"/>
        </w:rPr>
      </w:pPr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Mental Capacity Act 2005 (c.9). Available at: </w:t>
      </w:r>
      <w:hyperlink r:id="Rd15994dbf2bc4eed">
        <w:r w:rsidRPr="2047BD89" w:rsidR="0A211BBC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https://www.legislation.gov.uk/ukpga/2005/9/contents</w:t>
        </w:r>
      </w:hyperlink>
      <w:r w:rsidRPr="2047BD89" w:rsidR="0A211BBC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(Accessed: 22 October 2025).</w:t>
      </w:r>
    </w:p>
    <w:p w:rsidR="0A211BBC" w:rsidP="5C3BF5D7" w:rsidRDefault="0A211BBC" w14:paraId="4D079FCB" w14:textId="3CB70F26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McHale, J.V. and Noszlopy, L. (2025) Adult Social Care Law and Policy: Lessons from the Pandemic. Bristol: Bristol University Press.</w:t>
      </w:r>
    </w:p>
    <w:p w:rsidR="0A211BBC" w:rsidP="5C3BF5D7" w:rsidRDefault="0A211BBC" w14:paraId="1EF618B0" w14:textId="51FE1750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National Audit Office. (2023) 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>Reforming adult social care in England: progress and challenges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. Available at: </w:t>
      </w:r>
      <w:hyperlink r:id="rId16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https://www.nao.org.uk/wp-content/uploads/2023/11/Report-reforming-adult-social-care-in-England.pdf</w:t>
        </w:r>
      </w:hyperlink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(Accessed: 23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rd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0A211BBC" w:rsidP="5C3BF5D7" w:rsidRDefault="0A211BBC" w14:paraId="3969A825" w14:textId="6AD63BA4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NHS England. (2023)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 Long term workforce plan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. Available at: </w:t>
      </w:r>
      <w:hyperlink r:id="rId17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https://www.england.nhs.uk/publication/nhs-long-term-workforce-plan/</w:t>
        </w:r>
      </w:hyperlink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(Accessed: 23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rd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0A211BBC" w:rsidP="5C3BF5D7" w:rsidRDefault="0A211BBC" w14:paraId="3B56EE0D" w14:textId="6ED56050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NHS England. (2022)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 Virtual wards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. Available at: </w:t>
      </w:r>
      <w:hyperlink r:id="rId18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https://www.england.nhs.uk/virtual-wards/</w:t>
        </w:r>
      </w:hyperlink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(Accessed 23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rd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0A211BBC" w:rsidP="5C3BF5D7" w:rsidRDefault="0A211BBC" w14:paraId="5077800B" w14:textId="5BE170A0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Tompkins, M. (2025)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 Older People and Unpaid Carers’ Experiences of Hospital-at-Home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>. Birmingham: University of Birmingham.</w:t>
      </w:r>
    </w:p>
    <w:p w:rsidR="0A211BBC" w:rsidP="5C3BF5D7" w:rsidRDefault="0A211BBC" w14:paraId="7CA885FA" w14:textId="392A9125">
      <w:pPr>
        <w:shd w:val="clear" w:color="auto" w:fill="FFFFFF" w:themeFill="background1"/>
        <w:spacing w:after="180" w:line="360" w:lineRule="auto"/>
        <w:rPr>
          <w:rFonts w:ascii="Arial Nova" w:hAnsi="Arial Nova" w:eastAsia="Arial Nova" w:cs="Arial Nova"/>
          <w:color w:val="242424"/>
          <w:sz w:val="22"/>
          <w:szCs w:val="22"/>
        </w:rPr>
      </w:pP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World Health Organization (WHO). (2021) </w:t>
      </w:r>
      <w:r w:rsidRPr="5C3BF5D7">
        <w:rPr>
          <w:rFonts w:ascii="Arial Nova" w:hAnsi="Arial Nova" w:eastAsia="Arial Nova" w:cs="Arial Nova"/>
          <w:i/>
          <w:iCs/>
          <w:color w:val="242424"/>
          <w:sz w:val="22"/>
          <w:szCs w:val="22"/>
        </w:rPr>
        <w:t xml:space="preserve">Decade of Healthy 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Ageing: 2021–2030. Available at: </w:t>
      </w:r>
      <w:hyperlink r:id="rId19">
        <w:r w:rsidRPr="5C3BF5D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https://www.who.int/initiatives/decade-of-healthy-ageing</w:t>
        </w:r>
      </w:hyperlink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(Accessed: 2</w:t>
      </w:r>
      <w:r w:rsidRPr="5C3BF5D7">
        <w:rPr>
          <w:rFonts w:ascii="Arial Nova" w:hAnsi="Arial Nova" w:eastAsia="Arial Nova" w:cs="Arial Nova"/>
          <w:color w:val="242424"/>
          <w:sz w:val="22"/>
          <w:szCs w:val="22"/>
          <w:vertAlign w:val="superscript"/>
        </w:rPr>
        <w:t>nd</w:t>
      </w:r>
      <w:r w:rsidRPr="5C3BF5D7">
        <w:rPr>
          <w:rFonts w:ascii="Arial Nova" w:hAnsi="Arial Nova" w:eastAsia="Arial Nova" w:cs="Arial Nova"/>
          <w:color w:val="242424"/>
          <w:sz w:val="22"/>
          <w:szCs w:val="22"/>
        </w:rPr>
        <w:t xml:space="preserve"> October 2025).</w:t>
      </w:r>
    </w:p>
    <w:p w:rsidR="5C3BF5D7" w:rsidRDefault="5C3BF5D7" w14:paraId="1A74F609" w14:textId="2D29AE7B"/>
    <w:sectPr w:rsidR="5C3BF5D7">
      <w:headerReference w:type="default" r:id="rId20"/>
      <w:footerReference w:type="default" r:id="rId2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41AA1" w:rsidRDefault="00641AA1" w14:paraId="4C10CD7E" w14:textId="77777777">
      <w:pPr>
        <w:spacing w:after="0" w:line="240" w:lineRule="auto"/>
      </w:pPr>
      <w:r>
        <w:separator/>
      </w:r>
    </w:p>
  </w:endnote>
  <w:endnote w:type="continuationSeparator" w:id="0">
    <w:p w:rsidR="00641AA1" w:rsidRDefault="00641AA1" w14:paraId="3E11470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D7A278" w:rsidTr="05D7A278" w14:paraId="52B64CD7" w14:textId="77777777">
      <w:trPr>
        <w:trHeight w:val="300"/>
      </w:trPr>
      <w:tc>
        <w:tcPr>
          <w:tcW w:w="3005" w:type="dxa"/>
        </w:tcPr>
        <w:p w:rsidR="05D7A278" w:rsidP="05D7A278" w:rsidRDefault="05D7A278" w14:paraId="4183F250" w14:textId="51F21585">
          <w:pPr>
            <w:pStyle w:val="Header"/>
            <w:ind w:left="-115"/>
          </w:pPr>
        </w:p>
      </w:tc>
      <w:tc>
        <w:tcPr>
          <w:tcW w:w="3005" w:type="dxa"/>
        </w:tcPr>
        <w:p w:rsidR="05D7A278" w:rsidP="05D7A278" w:rsidRDefault="05D7A278" w14:paraId="52E52AB5" w14:textId="3F93AA6A">
          <w:pPr>
            <w:pStyle w:val="Header"/>
            <w:jc w:val="center"/>
          </w:pPr>
        </w:p>
      </w:tc>
      <w:tc>
        <w:tcPr>
          <w:tcW w:w="3005" w:type="dxa"/>
        </w:tcPr>
        <w:p w:rsidR="05D7A278" w:rsidP="05D7A278" w:rsidRDefault="05D7A278" w14:paraId="645C2632" w14:textId="3E97853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:rsidR="05D7A278" w:rsidP="05D7A278" w:rsidRDefault="05D7A278" w14:paraId="75152F5A" w14:textId="06E74A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41AA1" w:rsidRDefault="00641AA1" w14:paraId="4D3333E1" w14:textId="77777777">
      <w:pPr>
        <w:spacing w:after="0" w:line="240" w:lineRule="auto"/>
      </w:pPr>
      <w:r>
        <w:separator/>
      </w:r>
    </w:p>
  </w:footnote>
  <w:footnote w:type="continuationSeparator" w:id="0">
    <w:p w:rsidR="00641AA1" w:rsidRDefault="00641AA1" w14:paraId="5CDF16D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D7A278" w:rsidTr="05D7A278" w14:paraId="288834A5" w14:textId="77777777">
      <w:trPr>
        <w:trHeight w:val="300"/>
      </w:trPr>
      <w:tc>
        <w:tcPr>
          <w:tcW w:w="3005" w:type="dxa"/>
        </w:tcPr>
        <w:p w:rsidR="05D7A278" w:rsidP="05D7A278" w:rsidRDefault="05D7A278" w14:paraId="40E57A95" w14:textId="6F14F60F">
          <w:pPr>
            <w:pStyle w:val="Header"/>
            <w:ind w:left="-115"/>
          </w:pPr>
        </w:p>
      </w:tc>
      <w:tc>
        <w:tcPr>
          <w:tcW w:w="3005" w:type="dxa"/>
        </w:tcPr>
        <w:p w:rsidR="05D7A278" w:rsidP="05D7A278" w:rsidRDefault="05D7A278" w14:paraId="7367F7A7" w14:textId="7458AF91">
          <w:pPr>
            <w:pStyle w:val="Header"/>
            <w:jc w:val="center"/>
          </w:pPr>
        </w:p>
      </w:tc>
      <w:tc>
        <w:tcPr>
          <w:tcW w:w="3005" w:type="dxa"/>
        </w:tcPr>
        <w:p w:rsidR="05D7A278" w:rsidP="05D7A278" w:rsidRDefault="05D7A278" w14:paraId="00E8A401" w14:textId="5DA45F54">
          <w:pPr>
            <w:pStyle w:val="Header"/>
            <w:ind w:right="-115"/>
            <w:jc w:val="right"/>
          </w:pPr>
        </w:p>
      </w:tc>
    </w:tr>
  </w:tbl>
  <w:p w:rsidR="05D7A278" w:rsidP="05D7A278" w:rsidRDefault="05D7A278" w14:paraId="1621B91D" w14:textId="0DBAE5B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E5D9E5"/>
    <w:rsid w:val="005D2071"/>
    <w:rsid w:val="00641AA1"/>
    <w:rsid w:val="00C46CC7"/>
    <w:rsid w:val="00C531D1"/>
    <w:rsid w:val="00EF25F2"/>
    <w:rsid w:val="05D7A278"/>
    <w:rsid w:val="08768419"/>
    <w:rsid w:val="098748FD"/>
    <w:rsid w:val="0A211BBC"/>
    <w:rsid w:val="0F4B7593"/>
    <w:rsid w:val="10061F8B"/>
    <w:rsid w:val="12302934"/>
    <w:rsid w:val="19BC2B57"/>
    <w:rsid w:val="19E8A39C"/>
    <w:rsid w:val="1AFD9944"/>
    <w:rsid w:val="1BC7E048"/>
    <w:rsid w:val="1BE6EDA3"/>
    <w:rsid w:val="1C2096B9"/>
    <w:rsid w:val="2047BD89"/>
    <w:rsid w:val="22EA6920"/>
    <w:rsid w:val="25D3EAFB"/>
    <w:rsid w:val="27A9E2BD"/>
    <w:rsid w:val="2A64903A"/>
    <w:rsid w:val="2E421B57"/>
    <w:rsid w:val="2F1F99F3"/>
    <w:rsid w:val="314A342C"/>
    <w:rsid w:val="393C4081"/>
    <w:rsid w:val="3C31C020"/>
    <w:rsid w:val="4367D093"/>
    <w:rsid w:val="46E5D9E5"/>
    <w:rsid w:val="47D81F94"/>
    <w:rsid w:val="49FAEB04"/>
    <w:rsid w:val="4A853281"/>
    <w:rsid w:val="4A8ACDA9"/>
    <w:rsid w:val="4E0F028D"/>
    <w:rsid w:val="51DAE3DD"/>
    <w:rsid w:val="532EB202"/>
    <w:rsid w:val="56457F41"/>
    <w:rsid w:val="59477034"/>
    <w:rsid w:val="5A757E55"/>
    <w:rsid w:val="5B4A1E81"/>
    <w:rsid w:val="5C3BF5D7"/>
    <w:rsid w:val="6000F1CD"/>
    <w:rsid w:val="66CD8136"/>
    <w:rsid w:val="6B1DB2D0"/>
    <w:rsid w:val="7014ABF7"/>
    <w:rsid w:val="752BF89A"/>
    <w:rsid w:val="780DBBE4"/>
    <w:rsid w:val="788475EA"/>
    <w:rsid w:val="798B11F3"/>
    <w:rsid w:val="7ADE0E3E"/>
    <w:rsid w:val="7B1D31E4"/>
    <w:rsid w:val="7E2D2037"/>
    <w:rsid w:val="7E59C272"/>
    <w:rsid w:val="7FD7B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45772"/>
  <w15:chartTrackingRefBased/>
  <w15:docId w15:val="{34EB69B2-F1E7-4CDC-9CDF-EDFA1B0B8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C3BF5D7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05D7A27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5D7A278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093/geront/29.2.183" TargetMode="External" Id="rId8" /><Relationship Type="http://schemas.openxmlformats.org/officeDocument/2006/relationships/hyperlink" Target="https://www.england.nhs.uk/virtual-wards/" TargetMode="External" Id="rId18" /><Relationship Type="http://schemas.openxmlformats.org/officeDocument/2006/relationships/webSettings" Target="webSettings.xml" Id="rId3" /><Relationship Type="http://schemas.openxmlformats.org/officeDocument/2006/relationships/footer" Target="footer1.xml" Id="rId21" /><Relationship Type="http://schemas.openxmlformats.org/officeDocument/2006/relationships/hyperlink" Target="https://www.england.nhs.uk/publication/nhs-long-term-workforce-plan/" TargetMode="External" Id="rId17" /><Relationship Type="http://schemas.openxmlformats.org/officeDocument/2006/relationships/settings" Target="settings.xml" Id="rId2" /><Relationship Type="http://schemas.openxmlformats.org/officeDocument/2006/relationships/hyperlink" Target="https://www.nao.org.uk/wp-content/uploads/2023/11/Report-reforming-adult-social-care-in-England.pdf" TargetMode="External" Id="rId16" /><Relationship Type="http://schemas.openxmlformats.org/officeDocument/2006/relationships/header" Target="header1.xml" Id="rId20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hyperlink" Target="https://www.gov.uk/government/publications/working-together-to-improve-health-and-social-care-for-all/integration-and-innovation-working-together-to-improve-health-and-social-care-for-all-html-version" TargetMode="External" Id="rId11" /><Relationship Type="http://schemas.openxmlformats.org/officeDocument/2006/relationships/endnotes" Target="endnotes.xml" Id="rId5" /><Relationship Type="http://schemas.openxmlformats.org/officeDocument/2006/relationships/theme" Target="theme/theme1.xml" Id="rId23" /><Relationship Type="http://schemas.openxmlformats.org/officeDocument/2006/relationships/hyperlink" Target="https://www.cqc.org.uk/publications/major-report/state-care/2023-2024" TargetMode="External" Id="rId10" /><Relationship Type="http://schemas.openxmlformats.org/officeDocument/2006/relationships/hyperlink" Target="https://www.who.int/initiatives/decade-of-healthy-ageing" TargetMode="External" Id="rId19" /><Relationship Type="http://schemas.openxmlformats.org/officeDocument/2006/relationships/footnotes" Target="footnotes.xml" Id="rId4" /><Relationship Type="http://schemas.openxmlformats.org/officeDocument/2006/relationships/hyperlink" Target="https://www.kingsfund.org.uk/insight-and-analysis/projects/health-and-care-act-2022-make-sense-legislation" TargetMode="External" Id="rId14" /><Relationship Type="http://schemas.openxmlformats.org/officeDocument/2006/relationships/fontTable" Target="fontTable.xml" Id="rId22" /><Relationship Type="http://schemas.openxmlformats.org/officeDocument/2006/relationships/hyperlink" Target="https://doi.org/10.1186/s12912-024-02216-0" TargetMode="External" Id="R79cd2872f23b4571" /><Relationship Type="http://schemas.openxmlformats.org/officeDocument/2006/relationships/hyperlink" Target="https://eur01.safelinks.protection.outlook.com/?url=https%3A%2F%2Fwww.legislation.gov.uk%2Fukpga%2F2014%2F23%2Fcontents%2Fenacted&amp;data=05%7C02%7C2229775%40student.uwtsd.ac.uk%7C8b36a5936ac147d32b4008de15fcb732%7C4e0f11f9046e45059cb8db2152311e21%7C0%7C0%7C638972372343159965%7CUnknown%7CTWFpbGZsb3d8eyJFbXB0eU1hcGkiOnRydWUsIlYiOiIwLjAuMDAwMCIsIlAiOiJXaW4zMiIsIkFOIjoiTWFpbCIsIldUIjoyfQ%3D%3D%7C0%7C%7C%7C&amp;sdata=Lkk6GKQpgqW7r9VDRsc9G4LrHehcwWoyViV2Nv4ve0E%3D&amp;reserved=0" TargetMode="External" Id="R4adb435b963641ed" /><Relationship Type="http://schemas.openxmlformats.org/officeDocument/2006/relationships/hyperlink" Target="https://eur01.safelinks.protection.outlook.com/?url=https%3A%2F%2Fwww.legislation.gov.uk%2Fukpga%2F2022%2F31%2Fcontents%2Fenacted&amp;data=05%7C02%7C2229775%40student.uwtsd.ac.uk%7C8b36a5936ac147d32b4008de15fcb732%7C4e0f11f9046e45059cb8db2152311e21%7C0%7C0%7C638972372343191528%7CUnknown%7CTWFpbGZsb3d8eyJFbXB0eU1hcGkiOnRydWUsIlYiOiIwLjAuMDAwMCIsIlAiOiJXaW4zMiIsIkFOIjoiTWFpbCIsIldUIjoyfQ%3D%3D%7C0%7C%7C%7C&amp;sdata=j91supp0ScN2humiTE4IRx87e6iG8EoEKkwuW9MMYpo%3D&amp;reserved=0" TargetMode="External" Id="Rdae008dcea08498c" /><Relationship Type="http://schemas.openxmlformats.org/officeDocument/2006/relationships/hyperlink" Target="https://doi.org/10.5334/ijic.6537" TargetMode="External" Id="R78a118219c994dc6" /><Relationship Type="http://schemas.openxmlformats.org/officeDocument/2006/relationships/hyperlink" Target="https://eur01.safelinks.protection.outlook.com/?url=https%3A%2F%2Fwww.legislation.gov.uk%2Fukpga%2F2005%2F9%2Fcontents&amp;data=05%7C02%7C2229775%40student.uwtsd.ac.uk%7C9e98d6f5a74f459361a408de16cf1209%7C4e0f11f9046e45059cb8db2152311e21%7C0%7C0%7C638973275778979649%7CUnknown%7CTWFpbGZsb3d8eyJFbXB0eU1hcGkiOnRydWUsIlYiOiIwLjAuMDAwMCIsIlAiOiJXaW4zMiIsIkFOIjoiTWFpbCIsIldUIjoyfQ%3D%3D%7C0%7C%7C%7C&amp;sdata=I0hUESf7re099lvIXjbDT8O5lav6f1nbgFHe7F51XwU%3D&amp;reserved=0" TargetMode="External" Id="Rd15994dbf2bc4ee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Asya Zulfiqar (2229775)</dc:creator>
  <keywords/>
  <dc:description/>
  <lastModifiedBy>Asya Zulfiqar (2229775)</lastModifiedBy>
  <revision>11</revision>
  <dcterms:created xsi:type="dcterms:W3CDTF">2025-10-29T10:01:00.0000000Z</dcterms:created>
  <dcterms:modified xsi:type="dcterms:W3CDTF">2025-11-08T14:23:53.0403372Z</dcterms:modified>
</coreProperties>
</file>