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1130" w:rsidRPr="00631B20" w:rsidRDefault="00760D3C" w:rsidP="00631B20">
      <w:pPr>
        <w:jc w:val="center"/>
        <w:rPr>
          <w:rFonts w:cs="Times New Roman"/>
          <w:b/>
          <w:sz w:val="28"/>
        </w:rPr>
      </w:pPr>
      <w:r w:rsidRPr="00631B20">
        <w:rPr>
          <w:rFonts w:cs="Times New Roman"/>
          <w:b/>
          <w:sz w:val="28"/>
        </w:rPr>
        <w:t>Module Name: Community Engagement</w:t>
      </w:r>
    </w:p>
    <w:p w:rsidR="00631B20" w:rsidRPr="00631B20" w:rsidRDefault="00760D3C" w:rsidP="00631B20">
      <w:pPr>
        <w:jc w:val="center"/>
        <w:rPr>
          <w:rFonts w:cs="Times New Roman"/>
          <w:b/>
          <w:sz w:val="28"/>
        </w:rPr>
      </w:pPr>
      <w:r w:rsidRPr="00631B20">
        <w:rPr>
          <w:rFonts w:cs="Times New Roman"/>
          <w:b/>
          <w:sz w:val="28"/>
        </w:rPr>
        <w:t>Module Code: LCBB4002</w:t>
      </w:r>
    </w:p>
    <w:p w:rsidR="00631B20" w:rsidRPr="00631B20" w:rsidRDefault="00760D3C" w:rsidP="00631B20">
      <w:pPr>
        <w:jc w:val="center"/>
        <w:rPr>
          <w:rFonts w:cs="Times New Roman"/>
          <w:b/>
        </w:rPr>
      </w:pPr>
      <w:r w:rsidRPr="00631B20">
        <w:rPr>
          <w:rFonts w:cs="Times New Roman"/>
          <w:b/>
        </w:rPr>
        <w:t>Assignment Title: Component 2- Coursework: Reflective Evaluation (Report)</w:t>
      </w:r>
    </w:p>
    <w:p w:rsidR="000A1130" w:rsidRPr="00631B20" w:rsidRDefault="00760D3C" w:rsidP="00631B20">
      <w:pPr>
        <w:jc w:val="center"/>
        <w:rPr>
          <w:rFonts w:cs="Times New Roman"/>
          <w:b/>
        </w:rPr>
      </w:pPr>
      <w:r w:rsidRPr="00631B20">
        <w:rPr>
          <w:rFonts w:cs="Times New Roman"/>
          <w:b/>
        </w:rPr>
        <w:t>Lecturer: Dr Molly Jack</w:t>
      </w: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0A1130" w:rsidP="00631B20">
      <w:pPr>
        <w:jc w:val="center"/>
        <w:rPr>
          <w:rFonts w:cs="Times New Roman"/>
          <w:b/>
        </w:rPr>
      </w:pPr>
    </w:p>
    <w:p w:rsidR="000A1130" w:rsidRPr="00631B20" w:rsidRDefault="00760D3C" w:rsidP="00631B20">
      <w:pPr>
        <w:jc w:val="center"/>
        <w:rPr>
          <w:rFonts w:cs="Times New Roman"/>
          <w:b/>
        </w:rPr>
      </w:pPr>
      <w:r w:rsidRPr="00631B20">
        <w:rPr>
          <w:rFonts w:cs="Times New Roman"/>
          <w:b/>
        </w:rPr>
        <w:t>Student ID</w:t>
      </w:r>
      <w:r w:rsidR="00631B20" w:rsidRPr="00631B20">
        <w:rPr>
          <w:rFonts w:cs="Times New Roman"/>
          <w:b/>
        </w:rPr>
        <w:t>: 2027975</w:t>
      </w:r>
    </w:p>
    <w:p w:rsidR="000A1130" w:rsidRPr="00631B20" w:rsidRDefault="00760D3C" w:rsidP="00631B20">
      <w:pPr>
        <w:jc w:val="center"/>
        <w:rPr>
          <w:rFonts w:cs="Times New Roman"/>
          <w:b/>
        </w:rPr>
      </w:pPr>
      <w:r w:rsidRPr="00631B20">
        <w:rPr>
          <w:rFonts w:cs="Times New Roman"/>
          <w:b/>
        </w:rPr>
        <w:t xml:space="preserve">Student Name: </w:t>
      </w:r>
      <w:r w:rsidR="00631B20" w:rsidRPr="00631B20">
        <w:rPr>
          <w:rFonts w:cs="Times New Roman"/>
          <w:b/>
        </w:rPr>
        <w:t>Shah Fahim Ahmed.</w:t>
      </w:r>
    </w:p>
    <w:p w:rsidR="00222D60" w:rsidRDefault="00760D3C">
      <w:pPr>
        <w:spacing w:line="259" w:lineRule="auto"/>
        <w:jc w:val="left"/>
        <w:rPr>
          <w:rFonts w:eastAsiaTheme="majorEastAsia" w:cstheme="majorBidi"/>
          <w:b/>
          <w:color w:val="2E74B5" w:themeColor="accent1" w:themeShade="BF"/>
          <w:sz w:val="28"/>
          <w:szCs w:val="32"/>
        </w:rPr>
      </w:pPr>
      <w:r>
        <w:br w:type="page"/>
      </w:r>
    </w:p>
    <w:sdt>
      <w:sdtPr>
        <w:rPr>
          <w:rFonts w:ascii="Times New Roman" w:eastAsiaTheme="minorHAnsi" w:hAnsi="Times New Roman" w:cstheme="minorBidi"/>
          <w:color w:val="auto"/>
          <w:sz w:val="24"/>
          <w:szCs w:val="22"/>
          <w:lang w:val="en-GB"/>
        </w:rPr>
        <w:id w:val="1546021276"/>
        <w:docPartObj>
          <w:docPartGallery w:val="Table of Contents"/>
          <w:docPartUnique/>
        </w:docPartObj>
      </w:sdtPr>
      <w:sdtEndPr>
        <w:rPr>
          <w:b/>
          <w:bCs/>
          <w:noProof/>
        </w:rPr>
      </w:sdtEndPr>
      <w:sdtContent>
        <w:p w:rsidR="00222D60" w:rsidRPr="00222D60" w:rsidRDefault="00760D3C" w:rsidP="00222D60">
          <w:pPr>
            <w:pStyle w:val="TOCHeading"/>
            <w:jc w:val="center"/>
            <w:rPr>
              <w:rFonts w:ascii="Times New Roman" w:hAnsi="Times New Roman" w:cs="Times New Roman"/>
              <w:b/>
              <w:sz w:val="36"/>
            </w:rPr>
          </w:pPr>
          <w:r w:rsidRPr="00222D60">
            <w:rPr>
              <w:rFonts w:ascii="Times New Roman" w:hAnsi="Times New Roman" w:cs="Times New Roman"/>
              <w:b/>
              <w:sz w:val="36"/>
            </w:rPr>
            <w:t>Table of Contents</w:t>
          </w:r>
        </w:p>
        <w:p w:rsidR="00EC5EBE" w:rsidRDefault="00760D3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4244256" w:history="1">
            <w:r w:rsidR="00EC5EBE" w:rsidRPr="00AD4C15">
              <w:rPr>
                <w:rStyle w:val="Hyperlink"/>
                <w:noProof/>
              </w:rPr>
              <w:t>Introduction</w:t>
            </w:r>
            <w:r w:rsidR="00EC5EBE">
              <w:rPr>
                <w:noProof/>
                <w:webHidden/>
              </w:rPr>
              <w:tab/>
            </w:r>
            <w:r w:rsidR="00EC5EBE">
              <w:rPr>
                <w:noProof/>
                <w:webHidden/>
              </w:rPr>
              <w:fldChar w:fldCharType="begin"/>
            </w:r>
            <w:r w:rsidR="00EC5EBE">
              <w:rPr>
                <w:noProof/>
                <w:webHidden/>
              </w:rPr>
              <w:instrText xml:space="preserve"> PAGEREF _Toc154244256 \h </w:instrText>
            </w:r>
            <w:r w:rsidR="00EC5EBE">
              <w:rPr>
                <w:noProof/>
                <w:webHidden/>
              </w:rPr>
            </w:r>
            <w:r w:rsidR="00EC5EBE">
              <w:rPr>
                <w:noProof/>
                <w:webHidden/>
              </w:rPr>
              <w:fldChar w:fldCharType="separate"/>
            </w:r>
            <w:r w:rsidR="00EC5EBE">
              <w:rPr>
                <w:noProof/>
                <w:webHidden/>
              </w:rPr>
              <w:t>3</w:t>
            </w:r>
            <w:r w:rsidR="00EC5EBE">
              <w:rPr>
                <w:noProof/>
                <w:webHidden/>
              </w:rPr>
              <w:fldChar w:fldCharType="end"/>
            </w:r>
          </w:hyperlink>
        </w:p>
        <w:p w:rsidR="00EC5EBE" w:rsidRDefault="00EC5EBE">
          <w:pPr>
            <w:pStyle w:val="TOC1"/>
            <w:tabs>
              <w:tab w:val="right" w:leader="dot" w:pos="9350"/>
            </w:tabs>
            <w:rPr>
              <w:rFonts w:asciiTheme="minorHAnsi" w:eastAsiaTheme="minorEastAsia" w:hAnsiTheme="minorHAnsi"/>
              <w:noProof/>
              <w:sz w:val="22"/>
              <w:lang w:val="en-US"/>
            </w:rPr>
          </w:pPr>
          <w:hyperlink w:anchor="_Toc154244257" w:history="1">
            <w:r w:rsidRPr="00AD4C15">
              <w:rPr>
                <w:rStyle w:val="Hyperlink"/>
                <w:noProof/>
              </w:rPr>
              <w:t>The Body</w:t>
            </w:r>
            <w:r>
              <w:rPr>
                <w:noProof/>
                <w:webHidden/>
              </w:rPr>
              <w:tab/>
            </w:r>
            <w:r>
              <w:rPr>
                <w:noProof/>
                <w:webHidden/>
              </w:rPr>
              <w:fldChar w:fldCharType="begin"/>
            </w:r>
            <w:r>
              <w:rPr>
                <w:noProof/>
                <w:webHidden/>
              </w:rPr>
              <w:instrText xml:space="preserve"> PAGEREF _Toc154244257 \h </w:instrText>
            </w:r>
            <w:r>
              <w:rPr>
                <w:noProof/>
                <w:webHidden/>
              </w:rPr>
            </w:r>
            <w:r>
              <w:rPr>
                <w:noProof/>
                <w:webHidden/>
              </w:rPr>
              <w:fldChar w:fldCharType="separate"/>
            </w:r>
            <w:r>
              <w:rPr>
                <w:noProof/>
                <w:webHidden/>
              </w:rPr>
              <w:t>3</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58" w:history="1">
            <w:r w:rsidRPr="00AD4C15">
              <w:rPr>
                <w:rStyle w:val="Hyperlink"/>
                <w:bCs/>
                <w:noProof/>
              </w:rPr>
              <w:t>Description</w:t>
            </w:r>
            <w:r>
              <w:rPr>
                <w:noProof/>
                <w:webHidden/>
              </w:rPr>
              <w:tab/>
            </w:r>
            <w:r>
              <w:rPr>
                <w:noProof/>
                <w:webHidden/>
              </w:rPr>
              <w:fldChar w:fldCharType="begin"/>
            </w:r>
            <w:r>
              <w:rPr>
                <w:noProof/>
                <w:webHidden/>
              </w:rPr>
              <w:instrText xml:space="preserve"> PAGEREF _Toc154244258 \h </w:instrText>
            </w:r>
            <w:r>
              <w:rPr>
                <w:noProof/>
                <w:webHidden/>
              </w:rPr>
            </w:r>
            <w:r>
              <w:rPr>
                <w:noProof/>
                <w:webHidden/>
              </w:rPr>
              <w:fldChar w:fldCharType="separate"/>
            </w:r>
            <w:r>
              <w:rPr>
                <w:noProof/>
                <w:webHidden/>
              </w:rPr>
              <w:t>3</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59" w:history="1">
            <w:r w:rsidRPr="00AD4C15">
              <w:rPr>
                <w:rStyle w:val="Hyperlink"/>
                <w:bCs/>
                <w:noProof/>
              </w:rPr>
              <w:t>Feelings</w:t>
            </w:r>
            <w:r>
              <w:rPr>
                <w:noProof/>
                <w:webHidden/>
              </w:rPr>
              <w:tab/>
            </w:r>
            <w:r>
              <w:rPr>
                <w:noProof/>
                <w:webHidden/>
              </w:rPr>
              <w:fldChar w:fldCharType="begin"/>
            </w:r>
            <w:r>
              <w:rPr>
                <w:noProof/>
                <w:webHidden/>
              </w:rPr>
              <w:instrText xml:space="preserve"> PAGEREF _Toc154244259 \h </w:instrText>
            </w:r>
            <w:r>
              <w:rPr>
                <w:noProof/>
                <w:webHidden/>
              </w:rPr>
            </w:r>
            <w:r>
              <w:rPr>
                <w:noProof/>
                <w:webHidden/>
              </w:rPr>
              <w:fldChar w:fldCharType="separate"/>
            </w:r>
            <w:r>
              <w:rPr>
                <w:noProof/>
                <w:webHidden/>
              </w:rPr>
              <w:t>4</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60" w:history="1">
            <w:r w:rsidRPr="00AD4C15">
              <w:rPr>
                <w:rStyle w:val="Hyperlink"/>
                <w:bCs/>
                <w:noProof/>
              </w:rPr>
              <w:t>Evaluation</w:t>
            </w:r>
            <w:r>
              <w:rPr>
                <w:noProof/>
                <w:webHidden/>
              </w:rPr>
              <w:tab/>
            </w:r>
            <w:r>
              <w:rPr>
                <w:noProof/>
                <w:webHidden/>
              </w:rPr>
              <w:fldChar w:fldCharType="begin"/>
            </w:r>
            <w:r>
              <w:rPr>
                <w:noProof/>
                <w:webHidden/>
              </w:rPr>
              <w:instrText xml:space="preserve"> PAGEREF _Toc154244260 \h </w:instrText>
            </w:r>
            <w:r>
              <w:rPr>
                <w:noProof/>
                <w:webHidden/>
              </w:rPr>
            </w:r>
            <w:r>
              <w:rPr>
                <w:noProof/>
                <w:webHidden/>
              </w:rPr>
              <w:fldChar w:fldCharType="separate"/>
            </w:r>
            <w:r>
              <w:rPr>
                <w:noProof/>
                <w:webHidden/>
              </w:rPr>
              <w:t>4</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61" w:history="1">
            <w:r w:rsidRPr="00AD4C15">
              <w:rPr>
                <w:rStyle w:val="Hyperlink"/>
                <w:bCs/>
                <w:noProof/>
              </w:rPr>
              <w:t>Analysis</w:t>
            </w:r>
            <w:r>
              <w:rPr>
                <w:noProof/>
                <w:webHidden/>
              </w:rPr>
              <w:tab/>
            </w:r>
            <w:r>
              <w:rPr>
                <w:noProof/>
                <w:webHidden/>
              </w:rPr>
              <w:fldChar w:fldCharType="begin"/>
            </w:r>
            <w:r>
              <w:rPr>
                <w:noProof/>
                <w:webHidden/>
              </w:rPr>
              <w:instrText xml:space="preserve"> PAGEREF _Toc154244261 \h </w:instrText>
            </w:r>
            <w:r>
              <w:rPr>
                <w:noProof/>
                <w:webHidden/>
              </w:rPr>
            </w:r>
            <w:r>
              <w:rPr>
                <w:noProof/>
                <w:webHidden/>
              </w:rPr>
              <w:fldChar w:fldCharType="separate"/>
            </w:r>
            <w:r>
              <w:rPr>
                <w:noProof/>
                <w:webHidden/>
              </w:rPr>
              <w:t>5</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62" w:history="1">
            <w:r w:rsidRPr="00AD4C15">
              <w:rPr>
                <w:rStyle w:val="Hyperlink"/>
                <w:bCs/>
                <w:noProof/>
              </w:rPr>
              <w:t>Conclusion</w:t>
            </w:r>
            <w:r>
              <w:rPr>
                <w:noProof/>
                <w:webHidden/>
              </w:rPr>
              <w:tab/>
            </w:r>
            <w:r>
              <w:rPr>
                <w:noProof/>
                <w:webHidden/>
              </w:rPr>
              <w:fldChar w:fldCharType="begin"/>
            </w:r>
            <w:r>
              <w:rPr>
                <w:noProof/>
                <w:webHidden/>
              </w:rPr>
              <w:instrText xml:space="preserve"> PAGEREF _Toc154244262 \h </w:instrText>
            </w:r>
            <w:r>
              <w:rPr>
                <w:noProof/>
                <w:webHidden/>
              </w:rPr>
            </w:r>
            <w:r>
              <w:rPr>
                <w:noProof/>
                <w:webHidden/>
              </w:rPr>
              <w:fldChar w:fldCharType="separate"/>
            </w:r>
            <w:r>
              <w:rPr>
                <w:noProof/>
                <w:webHidden/>
              </w:rPr>
              <w:t>6</w:t>
            </w:r>
            <w:r>
              <w:rPr>
                <w:noProof/>
                <w:webHidden/>
              </w:rPr>
              <w:fldChar w:fldCharType="end"/>
            </w:r>
          </w:hyperlink>
        </w:p>
        <w:p w:rsidR="00EC5EBE" w:rsidRDefault="00EC5EBE">
          <w:pPr>
            <w:pStyle w:val="TOC2"/>
            <w:tabs>
              <w:tab w:val="right" w:leader="dot" w:pos="9350"/>
            </w:tabs>
            <w:rPr>
              <w:rFonts w:asciiTheme="minorHAnsi" w:eastAsiaTheme="minorEastAsia" w:hAnsiTheme="minorHAnsi"/>
              <w:noProof/>
              <w:sz w:val="22"/>
              <w:lang w:val="en-US"/>
            </w:rPr>
          </w:pPr>
          <w:hyperlink w:anchor="_Toc154244263" w:history="1">
            <w:r w:rsidRPr="00AD4C15">
              <w:rPr>
                <w:rStyle w:val="Hyperlink"/>
                <w:noProof/>
              </w:rPr>
              <w:t>Action Plan</w:t>
            </w:r>
            <w:r>
              <w:rPr>
                <w:noProof/>
                <w:webHidden/>
              </w:rPr>
              <w:tab/>
            </w:r>
            <w:r>
              <w:rPr>
                <w:noProof/>
                <w:webHidden/>
              </w:rPr>
              <w:fldChar w:fldCharType="begin"/>
            </w:r>
            <w:r>
              <w:rPr>
                <w:noProof/>
                <w:webHidden/>
              </w:rPr>
              <w:instrText xml:space="preserve"> PAGEREF _Toc154244263 \h </w:instrText>
            </w:r>
            <w:r>
              <w:rPr>
                <w:noProof/>
                <w:webHidden/>
              </w:rPr>
            </w:r>
            <w:r>
              <w:rPr>
                <w:noProof/>
                <w:webHidden/>
              </w:rPr>
              <w:fldChar w:fldCharType="separate"/>
            </w:r>
            <w:r>
              <w:rPr>
                <w:noProof/>
                <w:webHidden/>
              </w:rPr>
              <w:t>6</w:t>
            </w:r>
            <w:r>
              <w:rPr>
                <w:noProof/>
                <w:webHidden/>
              </w:rPr>
              <w:fldChar w:fldCharType="end"/>
            </w:r>
          </w:hyperlink>
        </w:p>
        <w:p w:rsidR="00EC5EBE" w:rsidRDefault="00EC5EBE">
          <w:pPr>
            <w:pStyle w:val="TOC1"/>
            <w:tabs>
              <w:tab w:val="right" w:leader="dot" w:pos="9350"/>
            </w:tabs>
            <w:rPr>
              <w:rFonts w:asciiTheme="minorHAnsi" w:eastAsiaTheme="minorEastAsia" w:hAnsiTheme="minorHAnsi"/>
              <w:noProof/>
              <w:sz w:val="22"/>
              <w:lang w:val="en-US"/>
            </w:rPr>
          </w:pPr>
          <w:hyperlink w:anchor="_Toc154244264" w:history="1">
            <w:r w:rsidRPr="00AD4C15">
              <w:rPr>
                <w:rStyle w:val="Hyperlink"/>
                <w:noProof/>
              </w:rPr>
              <w:t>Conclusion</w:t>
            </w:r>
            <w:r>
              <w:rPr>
                <w:noProof/>
                <w:webHidden/>
              </w:rPr>
              <w:tab/>
            </w:r>
            <w:r>
              <w:rPr>
                <w:noProof/>
                <w:webHidden/>
              </w:rPr>
              <w:fldChar w:fldCharType="begin"/>
            </w:r>
            <w:r>
              <w:rPr>
                <w:noProof/>
                <w:webHidden/>
              </w:rPr>
              <w:instrText xml:space="preserve"> PAGEREF _Toc154244264 \h </w:instrText>
            </w:r>
            <w:r>
              <w:rPr>
                <w:noProof/>
                <w:webHidden/>
              </w:rPr>
            </w:r>
            <w:r>
              <w:rPr>
                <w:noProof/>
                <w:webHidden/>
              </w:rPr>
              <w:fldChar w:fldCharType="separate"/>
            </w:r>
            <w:r>
              <w:rPr>
                <w:noProof/>
                <w:webHidden/>
              </w:rPr>
              <w:t>7</w:t>
            </w:r>
            <w:r>
              <w:rPr>
                <w:noProof/>
                <w:webHidden/>
              </w:rPr>
              <w:fldChar w:fldCharType="end"/>
            </w:r>
          </w:hyperlink>
        </w:p>
        <w:p w:rsidR="00EC5EBE" w:rsidRDefault="00EC5EBE">
          <w:pPr>
            <w:pStyle w:val="TOC1"/>
            <w:tabs>
              <w:tab w:val="right" w:leader="dot" w:pos="9350"/>
            </w:tabs>
            <w:rPr>
              <w:rFonts w:asciiTheme="minorHAnsi" w:eastAsiaTheme="minorEastAsia" w:hAnsiTheme="minorHAnsi"/>
              <w:noProof/>
              <w:sz w:val="22"/>
              <w:lang w:val="en-US"/>
            </w:rPr>
          </w:pPr>
          <w:hyperlink w:anchor="_Toc154244265" w:history="1">
            <w:r w:rsidRPr="00AD4C15">
              <w:rPr>
                <w:rStyle w:val="Hyperlink"/>
                <w:noProof/>
              </w:rPr>
              <w:t>References</w:t>
            </w:r>
            <w:r>
              <w:rPr>
                <w:noProof/>
                <w:webHidden/>
              </w:rPr>
              <w:tab/>
            </w:r>
            <w:r>
              <w:rPr>
                <w:noProof/>
                <w:webHidden/>
              </w:rPr>
              <w:fldChar w:fldCharType="begin"/>
            </w:r>
            <w:r>
              <w:rPr>
                <w:noProof/>
                <w:webHidden/>
              </w:rPr>
              <w:instrText xml:space="preserve"> PAGEREF _Toc154244265 \h </w:instrText>
            </w:r>
            <w:r>
              <w:rPr>
                <w:noProof/>
                <w:webHidden/>
              </w:rPr>
            </w:r>
            <w:r>
              <w:rPr>
                <w:noProof/>
                <w:webHidden/>
              </w:rPr>
              <w:fldChar w:fldCharType="separate"/>
            </w:r>
            <w:r>
              <w:rPr>
                <w:noProof/>
                <w:webHidden/>
              </w:rPr>
              <w:t>8</w:t>
            </w:r>
            <w:r>
              <w:rPr>
                <w:noProof/>
                <w:webHidden/>
              </w:rPr>
              <w:fldChar w:fldCharType="end"/>
            </w:r>
          </w:hyperlink>
        </w:p>
        <w:p w:rsidR="00222D60" w:rsidRDefault="00760D3C">
          <w:r>
            <w:rPr>
              <w:b/>
              <w:bCs/>
              <w:noProof/>
            </w:rPr>
            <w:fldChar w:fldCharType="end"/>
          </w:r>
        </w:p>
      </w:sdtContent>
    </w:sdt>
    <w:p w:rsidR="00222D60" w:rsidRDefault="00760D3C">
      <w:pPr>
        <w:spacing w:line="259" w:lineRule="auto"/>
        <w:jc w:val="left"/>
        <w:rPr>
          <w:rFonts w:eastAsiaTheme="majorEastAsia" w:cstheme="majorBidi"/>
          <w:b/>
          <w:color w:val="2E74B5" w:themeColor="accent1" w:themeShade="BF"/>
          <w:sz w:val="28"/>
          <w:szCs w:val="32"/>
        </w:rPr>
      </w:pPr>
      <w:r>
        <w:br w:type="page"/>
      </w:r>
    </w:p>
    <w:p w:rsidR="00E37FB9" w:rsidRDefault="00760D3C" w:rsidP="00F75C1A">
      <w:pPr>
        <w:pStyle w:val="Heading1"/>
      </w:pPr>
      <w:bookmarkStart w:id="0" w:name="_Toc154244256"/>
      <w:r>
        <w:lastRenderedPageBreak/>
        <w:t>Introduction</w:t>
      </w:r>
      <w:bookmarkEnd w:id="0"/>
    </w:p>
    <w:p w:rsidR="00F75C1A" w:rsidRDefault="00760D3C" w:rsidP="0030581C">
      <w:r w:rsidRPr="00F75C1A">
        <w:t xml:space="preserve">The idea of community participation is potent because it encompasses more than just being involved. The goal is to enhance communal well-being by </w:t>
      </w:r>
      <w:r w:rsidRPr="00F75C1A">
        <w:t>addressing common concerns via the development of purposeful and collaborative interactions among individuals, groups, and organisations. Public decision-makers and communities must consciously participate in order for engagement to take place</w:t>
      </w:r>
      <w:r w:rsidR="00AA269E">
        <w:t xml:space="preserve"> (</w:t>
      </w:r>
      <w:r w:rsidR="00AA269E" w:rsidRPr="00AA269E">
        <w:rPr>
          <w:lang w:val="en-US"/>
        </w:rPr>
        <w:t>Baldus,</w:t>
      </w:r>
      <w:r w:rsidR="00AA269E">
        <w:rPr>
          <w:lang w:val="en-US"/>
        </w:rPr>
        <w:t xml:space="preserve"> 2015)</w:t>
      </w:r>
      <w:r w:rsidRPr="00F75C1A">
        <w:t>.</w:t>
      </w:r>
      <w:r w:rsidR="0030581C">
        <w:t xml:space="preserve"> The social development initiative FoodCycle Acton, located at the UK's Acton Gardens Community Centre, will be the subject of this reflection paper. Engagement with the community is the main topic of the article. The initiative gathers volunteers to prepare and distribute meals to those in need, aiding those experiencing food scarcity</w:t>
      </w:r>
      <w:r w:rsidR="00972A2D">
        <w:t xml:space="preserve"> (</w:t>
      </w:r>
      <w:r w:rsidR="00972A2D" w:rsidRPr="00AA269E">
        <w:rPr>
          <w:lang w:val="en-US"/>
        </w:rPr>
        <w:t>Corbin,</w:t>
      </w:r>
      <w:r w:rsidR="00972A2D">
        <w:rPr>
          <w:lang w:val="en-US"/>
        </w:rPr>
        <w:t xml:space="preserve"> 2021)</w:t>
      </w:r>
      <w:r w:rsidR="0030581C">
        <w:t>. The project can be better understood with the aid of this article.</w:t>
      </w:r>
      <w:r w:rsidR="00AA269E">
        <w:t xml:space="preserve">  </w:t>
      </w:r>
      <w:r w:rsidR="0030581C">
        <w:t>This paper provides a concise overview of the initiatives and explains why their goals</w:t>
      </w:r>
      <w:r w:rsidR="00CD04E3">
        <w:t xml:space="preserve"> and objectives are justified. </w:t>
      </w:r>
      <w:r w:rsidR="0030581C">
        <w:t>The study also includes an analysis and evaluation of the project's best practices for community participation. Considerations of what went wrong and why it happened are included in this report. This reflective report will provide a concise description of the impact of active consultation, communication, and stakeholders' engagement.  This paper concludes the FoodCycle Acton project by outlining its diversity and inclusion initiatives and the multi-agency partnerships that were a part of it. This reflective report will use Gibbs' reflective model to explain the above issues.</w:t>
      </w:r>
    </w:p>
    <w:p w:rsidR="00B34A72" w:rsidRPr="00B34A72" w:rsidRDefault="00760D3C" w:rsidP="00B34A72">
      <w:pPr>
        <w:pStyle w:val="Heading1"/>
      </w:pPr>
      <w:bookmarkStart w:id="1" w:name="_Toc154244257"/>
      <w:r>
        <w:t>The Body</w:t>
      </w:r>
      <w:bookmarkEnd w:id="1"/>
    </w:p>
    <w:p w:rsidR="00B34A72" w:rsidRDefault="00760D3C" w:rsidP="00E87122">
      <w:r w:rsidRPr="00E87122">
        <w:t xml:space="preserve">The article covered FoodCycle Acton, a community development initiative in the United Kingdom located at Acton Gardens Community Centre. </w:t>
      </w:r>
      <w:r w:rsidR="0030581C" w:rsidRPr="0030581C">
        <w:t>One way to reflect is using a Gibbs reflective cycle, which takes into account both the epistemic and temporal aspects of reflection. This allows one to consider topics in a particular context. Research initiatives may be examined using the Gibbs reflective cycle. These include research initiatives that contribute to the growth of critical inquiry and those that have the potential to advance our understanding beyond what is already known</w:t>
      </w:r>
      <w:r w:rsidR="00972A2D">
        <w:t xml:space="preserve"> (</w:t>
      </w:r>
      <w:r w:rsidR="00972A2D" w:rsidRPr="00AA269E">
        <w:rPr>
          <w:lang w:val="en-US"/>
        </w:rPr>
        <w:t>Dhaliwal,</w:t>
      </w:r>
      <w:r w:rsidR="00972A2D">
        <w:rPr>
          <w:lang w:val="en-US"/>
        </w:rPr>
        <w:t xml:space="preserve"> 2018)</w:t>
      </w:r>
      <w:r w:rsidR="0030581C" w:rsidRPr="0030581C">
        <w:t xml:space="preserve">. </w:t>
      </w:r>
      <w:r w:rsidR="0030581C">
        <w:t xml:space="preserve"> </w:t>
      </w:r>
      <w:r w:rsidRPr="00B34A72">
        <w:t>The following model of Gibb's reflective cycle will be us</w:t>
      </w:r>
      <w:r w:rsidRPr="00B34A72">
        <w:t>ed to perform the reflective study:</w:t>
      </w:r>
    </w:p>
    <w:p w:rsidR="00B34A72" w:rsidRPr="00AA269E" w:rsidRDefault="00760D3C" w:rsidP="00AA269E">
      <w:pPr>
        <w:pStyle w:val="Heading2"/>
      </w:pPr>
      <w:bookmarkStart w:id="2" w:name="_Toc154244258"/>
      <w:r w:rsidRPr="00AA269E">
        <w:rPr>
          <w:rStyle w:val="Strong"/>
          <w:b/>
        </w:rPr>
        <w:t>Description</w:t>
      </w:r>
      <w:bookmarkEnd w:id="2"/>
    </w:p>
    <w:p w:rsidR="00E87122" w:rsidRDefault="00760D3C" w:rsidP="00E87122">
      <w:r w:rsidRPr="00E87122">
        <w:t xml:space="preserve">Two major problems in the United Kingdom—food poverty and food waste—are addressed by the FoodCycle Acton community campaign. It is part of FoodCycle, a nationwide nonprofit organisation. The goal is to feed </w:t>
      </w:r>
      <w:r w:rsidRPr="00E87122">
        <w:t xml:space="preserve">communities by hosting weekly potlucks utilising leftover food. </w:t>
      </w:r>
      <w:r w:rsidRPr="00E87122">
        <w:lastRenderedPageBreak/>
        <w:t xml:space="preserve">Food insecurity is a communal issue that this project seeks to resolve. People who have problems getting their hands on food are helped by volunteers who cook and deliver healthy meals. Meals </w:t>
      </w:r>
      <w:r w:rsidRPr="00E87122">
        <w:t>aren't the only thing this project helps with</w:t>
      </w:r>
      <w:r w:rsidR="00AA269E">
        <w:t xml:space="preserve"> (</w:t>
      </w:r>
      <w:r w:rsidR="00AA269E" w:rsidRPr="00AA269E">
        <w:rPr>
          <w:lang w:val="en-US"/>
        </w:rPr>
        <w:t>Habibi,</w:t>
      </w:r>
      <w:r w:rsidR="00AA269E">
        <w:rPr>
          <w:lang w:val="en-US"/>
        </w:rPr>
        <w:t xml:space="preserve"> 2014)</w:t>
      </w:r>
      <w:r w:rsidRPr="00E87122">
        <w:t>.  They take food scraps from stores and restaurants, make tasty three-course meals out of them, and give them out for free at the Acton Gardens Community Centre on Mondays. Volunteers are essenti</w:t>
      </w:r>
      <w:r w:rsidRPr="00E87122">
        <w:t>al to the initiative because they gather food, prepare it, serve it, and set up the eating area.</w:t>
      </w:r>
    </w:p>
    <w:p w:rsidR="00E87122" w:rsidRDefault="00760D3C" w:rsidP="00E87122">
      <w:r w:rsidRPr="002C7F33">
        <w:t>Many people in Acton aren't getting the food they need, which can have negative effects on their health, their relationships, and their overall quality of life</w:t>
      </w:r>
      <w:r w:rsidRPr="002C7F33">
        <w:t>. The mission of FoodCycle Acton is to improve people's health and well-being by ensuring that everyone has access to healthy meals on a regular basis. There is needless resource depletion and environmental problems caused by the UK's yearly large food was</w:t>
      </w:r>
      <w:r w:rsidRPr="002C7F33">
        <w:t>te</w:t>
      </w:r>
      <w:r w:rsidR="00972A2D">
        <w:t xml:space="preserve"> (</w:t>
      </w:r>
      <w:r w:rsidR="00972A2D" w:rsidRPr="00972A2D">
        <w:rPr>
          <w:lang w:val="en-US"/>
        </w:rPr>
        <w:t>Husebø,</w:t>
      </w:r>
      <w:r w:rsidR="00972A2D">
        <w:rPr>
          <w:lang w:val="en-US"/>
        </w:rPr>
        <w:t xml:space="preserve"> 2015)</w:t>
      </w:r>
      <w:r w:rsidRPr="002C7F33">
        <w:t>. The initiative has received donations from a large number of individuals and groups. The FoodCycle Acton programme values and promotes diversity of thought and practice</w:t>
      </w:r>
      <w:r w:rsidR="00AA269E">
        <w:t xml:space="preserve"> (</w:t>
      </w:r>
      <w:r w:rsidR="00AA269E">
        <w:rPr>
          <w:lang w:val="en-US"/>
        </w:rPr>
        <w:t>FoodCycle Action, 2023.)</w:t>
      </w:r>
      <w:r w:rsidRPr="002C7F33">
        <w:t>. The method advocates for the incorporatio</w:t>
      </w:r>
      <w:r w:rsidRPr="002C7F33">
        <w:t>n of cultural and social aspects. FoodCycle Acton fosters an inclusive environment where people from all walks of life may come together, fight isolation, and strengthen community bonds.</w:t>
      </w:r>
    </w:p>
    <w:p w:rsidR="00B34A72" w:rsidRPr="00AA269E" w:rsidRDefault="00760D3C" w:rsidP="00AA269E">
      <w:pPr>
        <w:pStyle w:val="Heading2"/>
      </w:pPr>
      <w:bookmarkStart w:id="3" w:name="_Toc154244259"/>
      <w:r w:rsidRPr="00AA269E">
        <w:rPr>
          <w:rStyle w:val="Strong"/>
          <w:b/>
        </w:rPr>
        <w:t>Feelings</w:t>
      </w:r>
      <w:bookmarkEnd w:id="3"/>
    </w:p>
    <w:p w:rsidR="00AA269E" w:rsidRDefault="00760D3C" w:rsidP="00E87122">
      <w:r w:rsidRPr="002C7F33">
        <w:t>People in need, local businesses, and community organisation</w:t>
      </w:r>
      <w:r w:rsidRPr="002C7F33">
        <w:t>s are the main players, along with volunteers. For the initiative to have an impact that lasts, variety is valued. People who are food insecure can get the healthy meals they need from FoodCycle</w:t>
      </w:r>
      <w:r w:rsidR="00972A2D">
        <w:t xml:space="preserve"> (</w:t>
      </w:r>
      <w:r w:rsidR="00972A2D" w:rsidRPr="00AA269E">
        <w:rPr>
          <w:lang w:val="en-US"/>
        </w:rPr>
        <w:t>Holzer,</w:t>
      </w:r>
      <w:r w:rsidR="00972A2D">
        <w:rPr>
          <w:lang w:val="en-US"/>
        </w:rPr>
        <w:t xml:space="preserve"> 2014)</w:t>
      </w:r>
      <w:r w:rsidRPr="002C7F33">
        <w:t xml:space="preserve">. </w:t>
      </w:r>
      <w:r w:rsidRPr="00AA269E">
        <w:t>People have stronger emotions of connection a</w:t>
      </w:r>
      <w:r w:rsidRPr="00AA269E">
        <w:t>nd togetherness whenever they band together to build a community. They developed skills in cooking and teamwork as volunteers. One cannot deny that FoodCycle Acton exemplifies many of the characteristics of modern and welcoming community involvement</w:t>
      </w:r>
      <w:r>
        <w:t xml:space="preserve"> (</w:t>
      </w:r>
      <w:r w:rsidRPr="00AA269E">
        <w:t>Levin</w:t>
      </w:r>
      <w:r w:rsidRPr="00AA269E">
        <w:t>,</w:t>
      </w:r>
      <w:r>
        <w:t xml:space="preserve"> 2021)</w:t>
      </w:r>
      <w:r w:rsidRPr="00AA269E">
        <w:t xml:space="preserve">. The present standards of excellence are aligned with its emphasis on diversity, empowerment, and cooperation. The project keeps up with the times by utilising technology and social media for marketing and communications. </w:t>
      </w:r>
    </w:p>
    <w:p w:rsidR="00B34A72" w:rsidRPr="00AA269E" w:rsidRDefault="00760D3C" w:rsidP="00AA269E">
      <w:pPr>
        <w:pStyle w:val="Heading2"/>
      </w:pPr>
      <w:bookmarkStart w:id="4" w:name="_Toc154244260"/>
      <w:r w:rsidRPr="00AA269E">
        <w:rPr>
          <w:rStyle w:val="Strong"/>
          <w:b/>
        </w:rPr>
        <w:t>Evaluation</w:t>
      </w:r>
      <w:bookmarkEnd w:id="4"/>
    </w:p>
    <w:p w:rsidR="00972A2D" w:rsidRDefault="00760D3C" w:rsidP="00972A2D">
      <w:r>
        <w:t>People from ma</w:t>
      </w:r>
      <w:r>
        <w:t>ny walks of life are able to participate in FoodCycle Acton. This inclusive approach removes barriers and promotes interaction among individuals. Food donations, resources, and support are secured through collaborations with neighbourhood organisations and</w:t>
      </w:r>
      <w:r>
        <w:t xml:space="preserve"> businesses, </w:t>
      </w:r>
      <w:r>
        <w:lastRenderedPageBreak/>
        <w:t>demonstrating collaborative action. Volunteers not only help the initiative run smoothly, but they also instil a sense of civic responsibility and belonging in the participants. Finally, community involvement is an iterative process that requi</w:t>
      </w:r>
      <w:r>
        <w:t>res ongoing improvements and adjustments (MacQueen, 2015). It is possible that the FoodCycle Acton will maintain its status as a model of effective and significant community involvement. That is accomplished by evaluating its accomplishments and considerin</w:t>
      </w:r>
      <w:r>
        <w:t>g methods for enhancement.</w:t>
      </w:r>
    </w:p>
    <w:p w:rsidR="00972A2D" w:rsidRDefault="00760D3C" w:rsidP="00972A2D">
      <w:r>
        <w:t>In order to fight food poverty and food waste, FoodCycle</w:t>
      </w:r>
      <w:r>
        <w:t xml:space="preserve"> Acton relies on a number of critical community involvement strategies. The campaign also emphasises the significance of diversity within the community. The outreach activities of FoodCycle Acton are greatly enhanced by the use of social media. Instagram, </w:t>
      </w:r>
      <w:r>
        <w:t>Twitter, and Facebook are just a few examples of the many social media platforms that foster community-based communication and information sharing. According to Freiwirth (2013), these platforms improve communal spaces and foster a sense of belonging and u</w:t>
      </w:r>
      <w:r>
        <w:t>nity among members by providing a shared objective. The community is better prepared for the future thanks to the project. Their work is centred around fostering engagement and collaboration with stakeholders. Everyone pitches in to help the community reac</w:t>
      </w:r>
      <w:r>
        <w:t>h its goal. They might team up with neighbourhood businesses and organisations to expand the project's impact.</w:t>
      </w:r>
    </w:p>
    <w:p w:rsidR="00B34A72" w:rsidRPr="00972A2D" w:rsidRDefault="00760D3C" w:rsidP="00972A2D">
      <w:pPr>
        <w:pStyle w:val="Heading2"/>
      </w:pPr>
      <w:bookmarkStart w:id="5" w:name="_Toc154244261"/>
      <w:r w:rsidRPr="00972A2D">
        <w:rPr>
          <w:rStyle w:val="Strong"/>
          <w:b/>
        </w:rPr>
        <w:t>Analysis</w:t>
      </w:r>
      <w:bookmarkEnd w:id="5"/>
    </w:p>
    <w:p w:rsidR="00455999" w:rsidRDefault="00760D3C" w:rsidP="00E87122">
      <w:r w:rsidRPr="00455999">
        <w:t>The project's effect, food waste, and food poverty may be better understood through clear and compelling communication, which in turn ca</w:t>
      </w:r>
      <w:r w:rsidRPr="00455999">
        <w:t>n entice more contributors, volunteers, and sponsors. There must be cultural variety for the initiative to be successful. A significant focus on respecting and celebrating ethnic diversity is prevalent within their society. Their goal is to promote inclusi</w:t>
      </w:r>
      <w:r w:rsidRPr="00455999">
        <w:t>on and show consideration for people from different ethnic origins</w:t>
      </w:r>
      <w:r w:rsidR="00972A2D">
        <w:t xml:space="preserve"> (</w:t>
      </w:r>
      <w:r w:rsidR="00972A2D" w:rsidRPr="00AA269E">
        <w:rPr>
          <w:lang w:val="en-US"/>
        </w:rPr>
        <w:t>Freiwirth,</w:t>
      </w:r>
      <w:r w:rsidR="00972A2D">
        <w:rPr>
          <w:lang w:val="en-US"/>
        </w:rPr>
        <w:t xml:space="preserve"> 2013)</w:t>
      </w:r>
      <w:r w:rsidRPr="00455999">
        <w:t>. Their project is improved by incorporating multiple viewpoints and support through collaboration with other persons and groups. The needs of the local community are being</w:t>
      </w:r>
      <w:r w:rsidRPr="00455999">
        <w:t xml:space="preserve"> taken into account by the project. One can tailor the project's actions to meet the needs of the community.</w:t>
      </w:r>
    </w:p>
    <w:p w:rsidR="00455999" w:rsidRDefault="00760D3C" w:rsidP="00E87122">
      <w:r w:rsidRPr="00455999">
        <w:t>Other community efforts that want to create a lasting good effect might borrow lessons from this strategy. The community is invited to frequent eve</w:t>
      </w:r>
      <w:r w:rsidRPr="00455999">
        <w:t>nts hosted by the initiative. Collaboration and decision-making are both aided by meetings. People in need and those who volunteer are both encompassed. People participate in a collective decision-making procedure. Dinner and event planning are the respons</w:t>
      </w:r>
      <w:r w:rsidRPr="00455999">
        <w:t>ibilities of stakeholders</w:t>
      </w:r>
      <w:r w:rsidR="00972A2D">
        <w:t xml:space="preserve"> (</w:t>
      </w:r>
      <w:r w:rsidR="00972A2D">
        <w:rPr>
          <w:lang w:val="en-US"/>
        </w:rPr>
        <w:t>Lawless, 2012)</w:t>
      </w:r>
      <w:r w:rsidRPr="00455999">
        <w:t xml:space="preserve">. Everyone involved has a chance </w:t>
      </w:r>
      <w:r w:rsidRPr="00455999">
        <w:lastRenderedPageBreak/>
        <w:t>to have an impact and take pride in the effort.</w:t>
      </w:r>
      <w:r w:rsidR="00D56042">
        <w:t xml:space="preserve"> </w:t>
      </w:r>
      <w:r w:rsidR="00D56042" w:rsidRPr="00D56042">
        <w:t>They are able to raise more money and publicity for their initiative by teaming up with nearby companies, non-profits, and community groups. Partnerships fortify the initiative and establish a system of mutual support.</w:t>
      </w:r>
    </w:p>
    <w:p w:rsidR="00B34A72" w:rsidRPr="00972A2D" w:rsidRDefault="00760D3C" w:rsidP="00972A2D">
      <w:pPr>
        <w:pStyle w:val="Heading2"/>
      </w:pPr>
      <w:bookmarkStart w:id="6" w:name="_Toc154244262"/>
      <w:r w:rsidRPr="00972A2D">
        <w:rPr>
          <w:rStyle w:val="Strong"/>
          <w:b/>
        </w:rPr>
        <w:t>Conclusion</w:t>
      </w:r>
      <w:bookmarkEnd w:id="6"/>
    </w:p>
    <w:p w:rsidR="00D56042" w:rsidRDefault="00760D3C" w:rsidP="00D56042">
      <w:r>
        <w:t>An inclusive environment was generated by the initiative. To make sure that everyone can participate and have access, the project is designed with social and cu</w:t>
      </w:r>
      <w:r>
        <w:t>ltural factors in mind. Their diverse cultures and personal preferences are valued and respected. Training programmes and workshops are available to the public. The initiative is a joint effort between many government entities</w:t>
      </w:r>
      <w:r w:rsidR="00972A2D">
        <w:t xml:space="preserve"> (</w:t>
      </w:r>
      <w:r w:rsidR="00972A2D" w:rsidRPr="00AA269E">
        <w:rPr>
          <w:lang w:val="en-US"/>
        </w:rPr>
        <w:t>Hou,</w:t>
      </w:r>
      <w:r w:rsidR="00972A2D">
        <w:rPr>
          <w:lang w:val="en-US"/>
        </w:rPr>
        <w:t xml:space="preserve"> 2020)</w:t>
      </w:r>
      <w:r>
        <w:t>. Working together</w:t>
      </w:r>
      <w:r>
        <w:t xml:space="preserve"> with the community and the local government helps achieve shared objectives and opens doors to resources and funding. The credibility of government-led efforts in community development is boosted when individuals take part in them. </w:t>
      </w:r>
    </w:p>
    <w:p w:rsidR="00D56042" w:rsidRDefault="00760D3C" w:rsidP="00D56042">
      <w:r w:rsidRPr="00E90C35">
        <w:t>Researchers have studi</w:t>
      </w:r>
      <w:r w:rsidRPr="00E90C35">
        <w:t>ed previous studies on food insecurity, food waste, community involvement, and related topics to better understand the background and successful strategies for this study. Facebook, Twitter, and Instagram are some of the venues that this initiative uses to</w:t>
      </w:r>
      <w:r w:rsidRPr="00E90C35">
        <w:t xml:space="preserve"> reach out to different people in the community</w:t>
      </w:r>
      <w:r w:rsidR="00972A2D">
        <w:t xml:space="preserve"> (</w:t>
      </w:r>
      <w:r w:rsidR="00972A2D" w:rsidRPr="00AA269E">
        <w:rPr>
          <w:lang w:val="en-US"/>
        </w:rPr>
        <w:t>Cyril,</w:t>
      </w:r>
      <w:r w:rsidR="00972A2D">
        <w:rPr>
          <w:lang w:val="en-US"/>
        </w:rPr>
        <w:t xml:space="preserve"> 2015)</w:t>
      </w:r>
      <w:r w:rsidRPr="00E90C35">
        <w:t>. To increase awareness and participation, this initiative also makes use of providing captivating material (pictures, films, stories) that highlights community activities, volunteers, success st</w:t>
      </w:r>
      <w:r w:rsidRPr="00E90C35">
        <w:t>ories, and meals.</w:t>
      </w:r>
      <w:r>
        <w:t xml:space="preserve"> This kind of community mapping was used to carry out the research. In doing so, they pinpoint communities hit hard by food poverty, single out populations most at risk, and seek out organisations like food banks and community centres that</w:t>
      </w:r>
      <w:r>
        <w:t xml:space="preserve"> may become useful allies. In addition, they took advantage of social network mapping</w:t>
      </w:r>
      <w:r w:rsidR="00972A2D">
        <w:t xml:space="preserve"> (</w:t>
      </w:r>
      <w:r w:rsidR="00972A2D" w:rsidRPr="00AA269E">
        <w:rPr>
          <w:lang w:val="en-US"/>
        </w:rPr>
        <w:t>Patel,</w:t>
      </w:r>
      <w:r w:rsidR="00972A2D">
        <w:rPr>
          <w:lang w:val="en-US"/>
        </w:rPr>
        <w:t xml:space="preserve"> 2021)</w:t>
      </w:r>
      <w:r>
        <w:t>. The key to their success is figuring out how various community groups, stakeholders, and potential recipients are already connected.</w:t>
      </w:r>
      <w:r w:rsidR="00B34A72">
        <w:t xml:space="preserve"> </w:t>
      </w:r>
      <w:r w:rsidR="00B34A72" w:rsidRPr="00B34A72">
        <w:t>The use of many social media channels allows this initiative to reach a wider audience and accommodate a wider range of community preferences.  Information will reach the people who need it most thanks to our project's demographic focus.</w:t>
      </w:r>
    </w:p>
    <w:p w:rsidR="00B34A72" w:rsidRPr="00CD04E3" w:rsidRDefault="00760D3C" w:rsidP="00CD04E3">
      <w:pPr>
        <w:pStyle w:val="Heading2"/>
        <w:rPr>
          <w:rStyle w:val="Strong"/>
          <w:b/>
          <w:bCs w:val="0"/>
        </w:rPr>
      </w:pPr>
      <w:bookmarkStart w:id="7" w:name="_Toc154244263"/>
      <w:r w:rsidRPr="00CD04E3">
        <w:rPr>
          <w:rStyle w:val="Strong"/>
          <w:b/>
          <w:bCs w:val="0"/>
        </w:rPr>
        <w:t>Action</w:t>
      </w:r>
      <w:r w:rsidR="00CD04E3">
        <w:rPr>
          <w:rStyle w:val="Strong"/>
          <w:b/>
          <w:bCs w:val="0"/>
        </w:rPr>
        <w:t xml:space="preserve"> Plan</w:t>
      </w:r>
      <w:bookmarkEnd w:id="7"/>
    </w:p>
    <w:p w:rsidR="00B34A72" w:rsidRDefault="00760D3C" w:rsidP="00D56042">
      <w:r w:rsidRPr="00995E4C">
        <w:t>One of the most pressing iss</w:t>
      </w:r>
      <w:r w:rsidRPr="00995E4C">
        <w:t>ues that marginalised communities confront is food insecurity, which FoodCycle Acton seeks to tackle head-on. They are empowering individuals by providing them with access to healthy food and encouraging them to be part of social groups.</w:t>
      </w:r>
      <w:r>
        <w:t xml:space="preserve"> </w:t>
      </w:r>
      <w:r w:rsidRPr="00995E4C">
        <w:t>It is essential to</w:t>
      </w:r>
      <w:r w:rsidRPr="00995E4C">
        <w:t xml:space="preserve"> integrate research methodologies, tools, and strategies to ensure that community involvement </w:t>
      </w:r>
      <w:r w:rsidRPr="00995E4C">
        <w:lastRenderedPageBreak/>
        <w:t>ac</w:t>
      </w:r>
      <w:r>
        <w:t>hieves all the basic objectives</w:t>
      </w:r>
      <w:r w:rsidR="00972A2D">
        <w:t xml:space="preserve"> (</w:t>
      </w:r>
      <w:r w:rsidR="00972A2D" w:rsidRPr="00AA269E">
        <w:rPr>
          <w:lang w:val="en-US"/>
        </w:rPr>
        <w:t>Doyle,</w:t>
      </w:r>
      <w:r w:rsidR="00972A2D">
        <w:rPr>
          <w:lang w:val="en-US"/>
        </w:rPr>
        <w:t xml:space="preserve"> 2021)</w:t>
      </w:r>
      <w:r w:rsidRPr="00B34A72">
        <w:t>. These methods greatly benefit both the society and the affected individuals in ensuring that the societies have b</w:t>
      </w:r>
      <w:r w:rsidRPr="00B34A72">
        <w:t xml:space="preserve">een seen to do so. Research has shown that being actively involved in society has many good impacts, which are essential for progress and stability. I will make it a point to contact project personnel directly and obtain internal data in future inquiries. </w:t>
      </w:r>
      <w:r w:rsidRPr="00B34A72">
        <w:t>Because of this, my analysis will be more thorough and credible. In addition, I will do my best to point out any missing pieces of information or places where assumptions were made in my study. An increased capacity for critical thinking and balancing will</w:t>
      </w:r>
      <w:r w:rsidRPr="00B34A72">
        <w:t xml:space="preserve"> result from this openness.</w:t>
      </w:r>
      <w:r>
        <w:t xml:space="preserve"> </w:t>
      </w:r>
    </w:p>
    <w:p w:rsidR="00995E4C" w:rsidRDefault="00760D3C" w:rsidP="00CD04E3">
      <w:pPr>
        <w:pStyle w:val="Heading1"/>
      </w:pPr>
      <w:bookmarkStart w:id="8" w:name="_Toc154244264"/>
      <w:r>
        <w:t>Conclusion</w:t>
      </w:r>
      <w:bookmarkEnd w:id="8"/>
    </w:p>
    <w:p w:rsidR="00CD04E3" w:rsidRDefault="00760D3C" w:rsidP="00CD04E3">
      <w:r w:rsidRPr="00631B20">
        <w:t>The effectiveness of FoodCycle Acton in combating food poverty and waste hinges on the proactive and multi-faceted involvement of the community. The Acton Gardens Community Centre's FoodCycle</w:t>
      </w:r>
      <w:r w:rsidRPr="00631B20">
        <w:t xml:space="preserve"> Acton is attracting locals who are actively participating in the scheme. </w:t>
      </w:r>
      <w:r w:rsidRPr="00CD04E3">
        <w:t>A reduction in food shortage is the intended outcome of the initiative. Trust, openness, and teamwork are values that guide our actions. Members of the community, local companies, those in need, and volunteers all have a say in the final choice. They facil</w:t>
      </w:r>
      <w:r w:rsidRPr="00CD04E3">
        <w:t>itate communication by removing obstacles and erecting bridges. They can reach more people and get to the bottom of problems if they fight for changes in policy. The techniques that might be employed to effectively include the interested parties in the imp</w:t>
      </w:r>
      <w:r w:rsidRPr="00CD04E3">
        <w:t xml:space="preserve">lementation of public participation have been organised. It is imperative that this takes into account the social and cultural diversity of the individuals involved. </w:t>
      </w:r>
    </w:p>
    <w:p w:rsidR="00CD04E3" w:rsidRPr="00CD04E3" w:rsidRDefault="00760D3C" w:rsidP="00CD04E3">
      <w:r w:rsidRPr="00CD04E3">
        <w:t>Participation in one's community is an essential social function that everyone should tak</w:t>
      </w:r>
      <w:r w:rsidRPr="00CD04E3">
        <w:t>e seriously. Therefore, it's important that people get along with it, and that this procedure has a favourable effect on the people so that they can do their jobs successfully.</w:t>
      </w:r>
      <w:r>
        <w:t xml:space="preserve"> </w:t>
      </w:r>
      <w:r w:rsidRPr="00CD04E3">
        <w:t>To understand a community, one must be familiar with the ways in which its memb</w:t>
      </w:r>
      <w:r w:rsidRPr="00CD04E3">
        <w:t>ers contribute to its health and to the stability of its ties. FoodCycle Acton takes an active role in recognising and resolving the several elements that foster the development of the community. The individual can benefit from the project's learning, whic</w:t>
      </w:r>
      <w:r w:rsidRPr="00CD04E3">
        <w:t>h was detailed in this reflective report.</w:t>
      </w:r>
    </w:p>
    <w:p w:rsidR="00AA269E" w:rsidRDefault="00760D3C">
      <w:pPr>
        <w:spacing w:line="259" w:lineRule="auto"/>
        <w:jc w:val="left"/>
      </w:pPr>
      <w:r>
        <w:br w:type="page"/>
      </w:r>
    </w:p>
    <w:p w:rsidR="00E90C35" w:rsidRDefault="00760D3C" w:rsidP="00AA269E">
      <w:pPr>
        <w:pStyle w:val="Heading1"/>
      </w:pPr>
      <w:bookmarkStart w:id="9" w:name="_Toc154244265"/>
      <w:r>
        <w:lastRenderedPageBreak/>
        <w:t>References</w:t>
      </w:r>
      <w:bookmarkStart w:id="10" w:name="_GoBack"/>
      <w:bookmarkEnd w:id="9"/>
      <w:bookmarkEnd w:id="10"/>
    </w:p>
    <w:p w:rsidR="00631B20" w:rsidRPr="00AA269E" w:rsidRDefault="00760D3C" w:rsidP="00EC5EBE">
      <w:pPr>
        <w:ind w:left="720" w:hanging="720"/>
        <w:rPr>
          <w:lang w:val="en-US"/>
        </w:rPr>
      </w:pPr>
      <w:r w:rsidRPr="00AA269E">
        <w:rPr>
          <w:lang w:val="en-US"/>
        </w:rPr>
        <w:t xml:space="preserve">Baldus, B.J., Voorhees, C. and Calantone, R., 2015. Online brand community engagement: Scale development and validation. </w:t>
      </w:r>
      <w:r w:rsidRPr="00AA269E">
        <w:rPr>
          <w:i/>
          <w:iCs/>
          <w:lang w:val="en-US"/>
        </w:rPr>
        <w:t>Journal of business research</w:t>
      </w:r>
      <w:r w:rsidRPr="00AA269E">
        <w:rPr>
          <w:lang w:val="en-US"/>
        </w:rPr>
        <w:t xml:space="preserve">, </w:t>
      </w:r>
      <w:r w:rsidRPr="00AA269E">
        <w:rPr>
          <w:i/>
          <w:iCs/>
          <w:lang w:val="en-US"/>
        </w:rPr>
        <w:t>68</w:t>
      </w:r>
      <w:r w:rsidRPr="00AA269E">
        <w:rPr>
          <w:lang w:val="en-US"/>
        </w:rPr>
        <w:t>(5), pp.978-985.</w:t>
      </w:r>
    </w:p>
    <w:p w:rsidR="00631B20" w:rsidRPr="00AA269E" w:rsidRDefault="00760D3C" w:rsidP="00EC5EBE">
      <w:pPr>
        <w:ind w:left="720" w:hanging="720"/>
      </w:pPr>
      <w:r w:rsidRPr="00972A2D">
        <w:rPr>
          <w:lang w:val="en-US"/>
        </w:rPr>
        <w:t>Cherney, A. and Hartley, J., 20</w:t>
      </w:r>
      <w:r w:rsidRPr="00972A2D">
        <w:rPr>
          <w:lang w:val="en-US"/>
        </w:rPr>
        <w:t xml:space="preserve">17. ‘Community engagement to tackle terrorism and violent extremism: challenges, tensions and pitfalls’, </w:t>
      </w:r>
      <w:r w:rsidRPr="00972A2D">
        <w:rPr>
          <w:i/>
          <w:iCs/>
          <w:lang w:val="en-US"/>
        </w:rPr>
        <w:t>Policing and Society</w:t>
      </w:r>
      <w:r w:rsidRPr="00972A2D">
        <w:rPr>
          <w:lang w:val="en-US"/>
        </w:rPr>
        <w:t>, 27(7), pp. 750–763.</w:t>
      </w:r>
    </w:p>
    <w:p w:rsidR="00631B20" w:rsidRPr="00972A2D" w:rsidRDefault="00760D3C" w:rsidP="00EC5EBE">
      <w:pPr>
        <w:ind w:left="720" w:hanging="720"/>
        <w:rPr>
          <w:lang w:val="en-US"/>
        </w:rPr>
      </w:pPr>
      <w:r w:rsidRPr="00972A2D">
        <w:rPr>
          <w:lang w:val="en-US"/>
        </w:rPr>
        <w:t>Corbin, J.H., Oyene, U.E., Manoncourt, E., Onya, H., Kwamboka, M., Amuyunzu-Nyamongo, M., Sørensen, K., Mweem</w:t>
      </w:r>
      <w:r w:rsidRPr="00972A2D">
        <w:rPr>
          <w:lang w:val="en-US"/>
        </w:rPr>
        <w:t xml:space="preserve">ba, O., Barry, M.M., Munodawafa, D. and Bayugo, Y.V., 2021. A health promotion approach to emergency management: effective community engagement strategies from five cases. </w:t>
      </w:r>
      <w:r w:rsidRPr="00972A2D">
        <w:rPr>
          <w:i/>
          <w:iCs/>
          <w:lang w:val="en-US"/>
        </w:rPr>
        <w:t>Health promotion international</w:t>
      </w:r>
      <w:r w:rsidRPr="00972A2D">
        <w:rPr>
          <w:lang w:val="en-US"/>
        </w:rPr>
        <w:t xml:space="preserve">, </w:t>
      </w:r>
      <w:r w:rsidRPr="00972A2D">
        <w:rPr>
          <w:i/>
          <w:iCs/>
          <w:lang w:val="en-US"/>
        </w:rPr>
        <w:t>36</w:t>
      </w:r>
      <w:r w:rsidRPr="00972A2D">
        <w:rPr>
          <w:lang w:val="en-US"/>
        </w:rPr>
        <w:t>(Supplement_1), pp.i24-i38.</w:t>
      </w:r>
    </w:p>
    <w:p w:rsidR="00631B20" w:rsidRPr="00972A2D" w:rsidRDefault="00760D3C" w:rsidP="00EC5EBE">
      <w:pPr>
        <w:ind w:left="720" w:hanging="720"/>
        <w:rPr>
          <w:lang w:val="en-US"/>
        </w:rPr>
      </w:pPr>
      <w:r w:rsidRPr="00972A2D">
        <w:rPr>
          <w:lang w:val="en-US"/>
        </w:rPr>
        <w:t>Cyril, S., Smith, B.J.</w:t>
      </w:r>
      <w:r w:rsidRPr="00972A2D">
        <w:rPr>
          <w:lang w:val="en-US"/>
        </w:rPr>
        <w:t xml:space="preserve">, Possamai-Inesedy, A. and Renzaho, A.M., 2015. Exploring the role of community engagement in improving the health of disadvantaged populations: a systematic review. </w:t>
      </w:r>
      <w:r w:rsidRPr="00972A2D">
        <w:rPr>
          <w:i/>
          <w:iCs/>
          <w:lang w:val="en-US"/>
        </w:rPr>
        <w:t>Global health action</w:t>
      </w:r>
      <w:r w:rsidRPr="00972A2D">
        <w:rPr>
          <w:lang w:val="en-US"/>
        </w:rPr>
        <w:t xml:space="preserve">, </w:t>
      </w:r>
      <w:r w:rsidRPr="00972A2D">
        <w:rPr>
          <w:i/>
          <w:iCs/>
          <w:lang w:val="en-US"/>
        </w:rPr>
        <w:t>8</w:t>
      </w:r>
      <w:r w:rsidRPr="00972A2D">
        <w:rPr>
          <w:lang w:val="en-US"/>
        </w:rPr>
        <w:t>(1), p.29842.</w:t>
      </w:r>
    </w:p>
    <w:p w:rsidR="00631B20" w:rsidRPr="00972A2D" w:rsidRDefault="00760D3C" w:rsidP="00EC5EBE">
      <w:pPr>
        <w:ind w:left="720" w:hanging="720"/>
        <w:rPr>
          <w:lang w:val="en-US"/>
        </w:rPr>
      </w:pPr>
      <w:r w:rsidRPr="00972A2D">
        <w:rPr>
          <w:lang w:val="en-US"/>
        </w:rPr>
        <w:t>Dhaliwal, U., Singh, S. and Singh, N., 2018. Reflecti</w:t>
      </w:r>
      <w:r w:rsidRPr="00972A2D">
        <w:rPr>
          <w:lang w:val="en-US"/>
        </w:rPr>
        <w:t xml:space="preserve">ve student narratives: honing professionalism and empathy. </w:t>
      </w:r>
      <w:r w:rsidRPr="00972A2D">
        <w:rPr>
          <w:i/>
          <w:iCs/>
          <w:lang w:val="en-US"/>
        </w:rPr>
        <w:t>Indian J Med Ethics</w:t>
      </w:r>
      <w:r w:rsidRPr="00972A2D">
        <w:rPr>
          <w:lang w:val="en-US"/>
        </w:rPr>
        <w:t xml:space="preserve">, </w:t>
      </w:r>
      <w:r w:rsidRPr="00972A2D">
        <w:rPr>
          <w:i/>
          <w:iCs/>
          <w:lang w:val="en-US"/>
        </w:rPr>
        <w:t>3</w:t>
      </w:r>
      <w:r w:rsidRPr="00972A2D">
        <w:rPr>
          <w:lang w:val="en-US"/>
        </w:rPr>
        <w:t>(1), pp.9-15.</w:t>
      </w:r>
    </w:p>
    <w:p w:rsidR="00631B20" w:rsidRPr="00972A2D" w:rsidRDefault="00760D3C" w:rsidP="00EC5EBE">
      <w:pPr>
        <w:ind w:left="720" w:hanging="720"/>
        <w:rPr>
          <w:lang w:val="en-US"/>
        </w:rPr>
      </w:pPr>
      <w:r w:rsidRPr="00972A2D">
        <w:rPr>
          <w:lang w:val="en-US"/>
        </w:rPr>
        <w:t xml:space="preserve">Doyle, E., 2021. </w:t>
      </w:r>
      <w:r w:rsidRPr="00972A2D">
        <w:rPr>
          <w:i/>
          <w:iCs/>
          <w:lang w:val="en-US"/>
        </w:rPr>
        <w:t>Understanding school food in Newfoundland and Labrador through a systems framework</w:t>
      </w:r>
      <w:r w:rsidRPr="00972A2D">
        <w:rPr>
          <w:lang w:val="en-US"/>
        </w:rPr>
        <w:t xml:space="preserve"> (Doctoral dissertation, Memorial University of Newfoundland).</w:t>
      </w:r>
    </w:p>
    <w:p w:rsidR="00631B20" w:rsidRPr="00AA269E" w:rsidRDefault="00760D3C" w:rsidP="00EC5EBE">
      <w:pPr>
        <w:ind w:left="720" w:hanging="720"/>
        <w:rPr>
          <w:lang w:val="en-US"/>
        </w:rPr>
      </w:pPr>
      <w:r w:rsidRPr="00AA269E">
        <w:rPr>
          <w:lang w:val="en-US"/>
        </w:rPr>
        <w:t xml:space="preserve">FoodCycle Action., 2023. </w:t>
      </w:r>
      <w:r w:rsidRPr="00AA269E">
        <w:rPr>
          <w:i/>
          <w:iCs/>
          <w:lang w:val="en-US"/>
        </w:rPr>
        <w:t>FoodCycle Acton - Acton Gardens Community Centre - Do Something Good</w:t>
      </w:r>
      <w:r w:rsidRPr="00AA269E">
        <w:rPr>
          <w:lang w:val="en-US"/>
        </w:rPr>
        <w:t xml:space="preserve">. Available at: </w:t>
      </w:r>
      <w:hyperlink r:id="rId8" w:history="1">
        <w:r w:rsidRPr="00AA269E">
          <w:rPr>
            <w:rStyle w:val="Hyperlink"/>
            <w:lang w:val="en-US"/>
          </w:rPr>
          <w:t>https://www.dosomethinggood.org.uk/proj</w:t>
        </w:r>
        <w:r w:rsidRPr="00AA269E">
          <w:rPr>
            <w:rStyle w:val="Hyperlink"/>
            <w:lang w:val="en-US"/>
          </w:rPr>
          <w:t>ect/foodcycle-acton-acton-gardens-community-centre/</w:t>
        </w:r>
      </w:hyperlink>
      <w:r w:rsidRPr="00AA269E">
        <w:rPr>
          <w:lang w:val="en-US"/>
        </w:rPr>
        <w:t xml:space="preserve"> (Accessed: 12 December 2023).</w:t>
      </w:r>
    </w:p>
    <w:p w:rsidR="00631B20" w:rsidRPr="00972A2D" w:rsidRDefault="00760D3C" w:rsidP="00EC5EBE">
      <w:pPr>
        <w:ind w:left="720" w:hanging="720"/>
        <w:rPr>
          <w:lang w:val="en-US"/>
        </w:rPr>
      </w:pPr>
      <w:r w:rsidRPr="00972A2D">
        <w:rPr>
          <w:lang w:val="en-US"/>
        </w:rPr>
        <w:t xml:space="preserve">Freiwirth, J., 2013. Community engagement governance. </w:t>
      </w:r>
      <w:r w:rsidRPr="00972A2D">
        <w:rPr>
          <w:i/>
          <w:iCs/>
          <w:lang w:val="en-US"/>
        </w:rPr>
        <w:t>Nonprofit governance: Innovative perspectives and approaches</w:t>
      </w:r>
      <w:r w:rsidRPr="00972A2D">
        <w:rPr>
          <w:lang w:val="en-US"/>
        </w:rPr>
        <w:t>, pp.183-209.</w:t>
      </w:r>
    </w:p>
    <w:p w:rsidR="00631B20" w:rsidRPr="00AA269E" w:rsidRDefault="00760D3C" w:rsidP="00EC5EBE">
      <w:pPr>
        <w:ind w:left="720" w:hanging="720"/>
        <w:rPr>
          <w:lang w:val="en-US"/>
        </w:rPr>
      </w:pPr>
      <w:r w:rsidRPr="00AA269E">
        <w:rPr>
          <w:lang w:val="en-US"/>
        </w:rPr>
        <w:t>Habibi, M.R., Laroche, M. and Richard, M.O., 2</w:t>
      </w:r>
      <w:r w:rsidRPr="00AA269E">
        <w:rPr>
          <w:lang w:val="en-US"/>
        </w:rPr>
        <w:t xml:space="preserve">014. The roles of brand community and community engagement in building brand trust on social media. </w:t>
      </w:r>
      <w:r w:rsidRPr="00AA269E">
        <w:rPr>
          <w:i/>
          <w:iCs/>
          <w:lang w:val="en-US"/>
        </w:rPr>
        <w:t>Computers in human behavior</w:t>
      </w:r>
      <w:r w:rsidRPr="00AA269E">
        <w:rPr>
          <w:lang w:val="en-US"/>
        </w:rPr>
        <w:t xml:space="preserve">, </w:t>
      </w:r>
      <w:r w:rsidRPr="00AA269E">
        <w:rPr>
          <w:i/>
          <w:iCs/>
          <w:lang w:val="en-US"/>
        </w:rPr>
        <w:t>37</w:t>
      </w:r>
      <w:r w:rsidRPr="00AA269E">
        <w:rPr>
          <w:lang w:val="en-US"/>
        </w:rPr>
        <w:t>, pp.152-161.</w:t>
      </w:r>
    </w:p>
    <w:p w:rsidR="00631B20" w:rsidRPr="00972A2D" w:rsidRDefault="00760D3C" w:rsidP="00EC5EBE">
      <w:pPr>
        <w:ind w:left="720" w:hanging="720"/>
        <w:rPr>
          <w:lang w:val="en-US"/>
        </w:rPr>
      </w:pPr>
      <w:r w:rsidRPr="00972A2D">
        <w:rPr>
          <w:lang w:val="en-US"/>
        </w:rPr>
        <w:t xml:space="preserve">Holzer, J.K., Ellis, L. and Merritt, M.W., 2014. Why we need community engagement in medical research. </w:t>
      </w:r>
      <w:r w:rsidRPr="00972A2D">
        <w:rPr>
          <w:i/>
          <w:iCs/>
          <w:lang w:val="en-US"/>
        </w:rPr>
        <w:t xml:space="preserve">Journal </w:t>
      </w:r>
      <w:r w:rsidRPr="00972A2D">
        <w:rPr>
          <w:i/>
          <w:iCs/>
          <w:lang w:val="en-US"/>
        </w:rPr>
        <w:t>of Investigative Medicine</w:t>
      </w:r>
      <w:r w:rsidRPr="00972A2D">
        <w:rPr>
          <w:lang w:val="en-US"/>
        </w:rPr>
        <w:t xml:space="preserve">, </w:t>
      </w:r>
      <w:r w:rsidRPr="00972A2D">
        <w:rPr>
          <w:i/>
          <w:iCs/>
          <w:lang w:val="en-US"/>
        </w:rPr>
        <w:t>62</w:t>
      </w:r>
      <w:r w:rsidRPr="00972A2D">
        <w:rPr>
          <w:lang w:val="en-US"/>
        </w:rPr>
        <w:t>(6), pp.851-855.</w:t>
      </w:r>
    </w:p>
    <w:p w:rsidR="00631B20" w:rsidRPr="00972A2D" w:rsidRDefault="00760D3C" w:rsidP="00EC5EBE">
      <w:pPr>
        <w:ind w:left="720" w:hanging="720"/>
        <w:rPr>
          <w:lang w:val="en-US"/>
        </w:rPr>
      </w:pPr>
      <w:r w:rsidRPr="00972A2D">
        <w:rPr>
          <w:lang w:val="en-US"/>
        </w:rPr>
        <w:lastRenderedPageBreak/>
        <w:t xml:space="preserve">Hou, J., 2020. Governing urban gardens for resilient cities: Examining the ‘Garden City Initiative’in Taipei. </w:t>
      </w:r>
      <w:r w:rsidRPr="00972A2D">
        <w:rPr>
          <w:i/>
          <w:iCs/>
          <w:lang w:val="en-US"/>
        </w:rPr>
        <w:t>Urban Studies</w:t>
      </w:r>
      <w:r w:rsidRPr="00972A2D">
        <w:rPr>
          <w:lang w:val="en-US"/>
        </w:rPr>
        <w:t xml:space="preserve">, </w:t>
      </w:r>
      <w:r w:rsidRPr="00972A2D">
        <w:rPr>
          <w:i/>
          <w:iCs/>
          <w:lang w:val="en-US"/>
        </w:rPr>
        <w:t>57</w:t>
      </w:r>
      <w:r w:rsidRPr="00972A2D">
        <w:rPr>
          <w:lang w:val="en-US"/>
        </w:rPr>
        <w:t>(7), pp.1398-1416.</w:t>
      </w:r>
    </w:p>
    <w:p w:rsidR="00631B20" w:rsidRPr="00972A2D" w:rsidRDefault="00760D3C" w:rsidP="00EC5EBE">
      <w:pPr>
        <w:ind w:left="720" w:hanging="720"/>
        <w:rPr>
          <w:lang w:val="en-US"/>
        </w:rPr>
      </w:pPr>
      <w:r w:rsidRPr="00972A2D">
        <w:rPr>
          <w:lang w:val="en-US"/>
        </w:rPr>
        <w:t>Husebø, S.E., O'Regan, S. and Nestel</w:t>
      </w:r>
      <w:r w:rsidRPr="00972A2D">
        <w:rPr>
          <w:lang w:val="en-US"/>
        </w:rPr>
        <w:t xml:space="preserve">, D., 2015. Reflective practice and its role in simulation. </w:t>
      </w:r>
      <w:r w:rsidRPr="00972A2D">
        <w:rPr>
          <w:i/>
          <w:iCs/>
          <w:lang w:val="en-US"/>
        </w:rPr>
        <w:t>Clinical Simulation in Nursing</w:t>
      </w:r>
      <w:r w:rsidRPr="00972A2D">
        <w:rPr>
          <w:lang w:val="en-US"/>
        </w:rPr>
        <w:t xml:space="preserve">, </w:t>
      </w:r>
      <w:r w:rsidRPr="00972A2D">
        <w:rPr>
          <w:i/>
          <w:iCs/>
          <w:lang w:val="en-US"/>
        </w:rPr>
        <w:t>11</w:t>
      </w:r>
      <w:r w:rsidRPr="00972A2D">
        <w:rPr>
          <w:lang w:val="en-US"/>
        </w:rPr>
        <w:t>(8), pp.368-375.</w:t>
      </w:r>
    </w:p>
    <w:p w:rsidR="00631B20" w:rsidRPr="00AA269E" w:rsidRDefault="00760D3C" w:rsidP="00EC5EBE">
      <w:pPr>
        <w:ind w:left="720" w:hanging="720"/>
      </w:pPr>
      <w:r w:rsidRPr="00972A2D">
        <w:rPr>
          <w:lang w:val="en-US"/>
        </w:rPr>
        <w:t>Lawless, P. and Pearson, S., 2012. ‘Outcomes from Community Engagement in Urban Regeneration: Evidence from England’s New Deal for Communities Pr</w:t>
      </w:r>
      <w:r w:rsidRPr="00972A2D">
        <w:rPr>
          <w:lang w:val="en-US"/>
        </w:rPr>
        <w:t xml:space="preserve">ogramme’, </w:t>
      </w:r>
      <w:r w:rsidRPr="00972A2D">
        <w:rPr>
          <w:i/>
          <w:iCs/>
          <w:lang w:val="en-US"/>
        </w:rPr>
        <w:t>Planning Theory &amp; Practice</w:t>
      </w:r>
      <w:r w:rsidRPr="00972A2D">
        <w:rPr>
          <w:lang w:val="en-US"/>
        </w:rPr>
        <w:t>, 13(4), pp. 509–527.</w:t>
      </w:r>
    </w:p>
    <w:p w:rsidR="00631B20" w:rsidRDefault="00760D3C" w:rsidP="00EC5EBE">
      <w:pPr>
        <w:ind w:left="720" w:hanging="720"/>
      </w:pPr>
      <w:r w:rsidRPr="00AA269E">
        <w:t>Levin, M.B., Bowie, J.V., Ragsdale, S.K., Gawad, A.L., Cooper, L.A. and Sharfstein, J.M., 2021. Enhancing community engagement by schools and programs of public health in the United States. Annual R</w:t>
      </w:r>
      <w:r w:rsidRPr="00AA269E">
        <w:t>eview of Public Health, 42, pp.405-421.</w:t>
      </w:r>
    </w:p>
    <w:p w:rsidR="00631B20" w:rsidRPr="00972A2D" w:rsidRDefault="00760D3C" w:rsidP="00EC5EBE">
      <w:pPr>
        <w:ind w:left="720" w:hanging="720"/>
        <w:rPr>
          <w:lang w:val="en-US"/>
        </w:rPr>
      </w:pPr>
      <w:r w:rsidRPr="00972A2D">
        <w:rPr>
          <w:lang w:val="en-US"/>
        </w:rPr>
        <w:t xml:space="preserve">MacQueen, K.M., Bhan, A., Frohlich, J., Holzer, J., Sugarman, J. and Ethics Working Group of the HIV Prevention Trials Network, 2015. Evaluating community engagement in global health research: the need for metrics. </w:t>
      </w:r>
      <w:r w:rsidRPr="00972A2D">
        <w:rPr>
          <w:i/>
          <w:iCs/>
          <w:lang w:val="en-US"/>
        </w:rPr>
        <w:t>B</w:t>
      </w:r>
      <w:r w:rsidRPr="00972A2D">
        <w:rPr>
          <w:i/>
          <w:iCs/>
          <w:lang w:val="en-US"/>
        </w:rPr>
        <w:t>MC medical ethics</w:t>
      </w:r>
      <w:r w:rsidRPr="00972A2D">
        <w:rPr>
          <w:lang w:val="en-US"/>
        </w:rPr>
        <w:t xml:space="preserve">, </w:t>
      </w:r>
      <w:r w:rsidRPr="00972A2D">
        <w:rPr>
          <w:i/>
          <w:iCs/>
          <w:lang w:val="en-US"/>
        </w:rPr>
        <w:t>16</w:t>
      </w:r>
      <w:r w:rsidRPr="00972A2D">
        <w:rPr>
          <w:lang w:val="en-US"/>
        </w:rPr>
        <w:t>, pp.1-9.</w:t>
      </w:r>
    </w:p>
    <w:p w:rsidR="00631B20" w:rsidRPr="00972A2D" w:rsidRDefault="00760D3C" w:rsidP="00EC5EBE">
      <w:pPr>
        <w:ind w:left="720" w:hanging="720"/>
        <w:rPr>
          <w:lang w:val="en-US"/>
        </w:rPr>
      </w:pPr>
      <w:r w:rsidRPr="00972A2D">
        <w:rPr>
          <w:lang w:val="en-US"/>
        </w:rPr>
        <w:t xml:space="preserve">Patel, S., Dora, M., Hahladakis, J.N. and Iacovidou, E., 2021. Opportunities, challenges and trade-offs with decreasing avoidable food waste in the UK. </w:t>
      </w:r>
      <w:r w:rsidRPr="00972A2D">
        <w:rPr>
          <w:i/>
          <w:iCs/>
          <w:lang w:val="en-US"/>
        </w:rPr>
        <w:t>Waste Management &amp; Research</w:t>
      </w:r>
      <w:r w:rsidRPr="00972A2D">
        <w:rPr>
          <w:lang w:val="en-US"/>
        </w:rPr>
        <w:t xml:space="preserve">, </w:t>
      </w:r>
      <w:r w:rsidRPr="00972A2D">
        <w:rPr>
          <w:i/>
          <w:iCs/>
          <w:lang w:val="en-US"/>
        </w:rPr>
        <w:t>39</w:t>
      </w:r>
      <w:r w:rsidRPr="00972A2D">
        <w:rPr>
          <w:lang w:val="en-US"/>
        </w:rPr>
        <w:t>(3), pp.473-488.</w:t>
      </w:r>
    </w:p>
    <w:sectPr w:rsidR="00631B20" w:rsidRPr="00972A2D" w:rsidSect="00631B2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432"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0D3C" w:rsidRDefault="00760D3C">
      <w:pPr>
        <w:spacing w:after="0" w:line="240" w:lineRule="auto"/>
      </w:pPr>
      <w:r>
        <w:separator/>
      </w:r>
    </w:p>
  </w:endnote>
  <w:endnote w:type="continuationSeparator" w:id="0">
    <w:p w:rsidR="00760D3C" w:rsidRDefault="00760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246" w:rsidRDefault="00E0624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9004056"/>
      <w:docPartObj>
        <w:docPartGallery w:val="Page Numbers (Bottom of Page)"/>
        <w:docPartUnique/>
      </w:docPartObj>
    </w:sdtPr>
    <w:sdtEndPr>
      <w:rPr>
        <w:noProof/>
      </w:rPr>
    </w:sdtEndPr>
    <w:sdtContent>
      <w:p w:rsidR="00631B20" w:rsidRDefault="00760D3C">
        <w:pPr>
          <w:pStyle w:val="Footer"/>
          <w:jc w:val="center"/>
        </w:pPr>
        <w:r>
          <w:fldChar w:fldCharType="begin"/>
        </w:r>
        <w:r>
          <w:instrText xml:space="preserve"> PAGE   \* MERGEFORMAT </w:instrText>
        </w:r>
        <w:r>
          <w:fldChar w:fldCharType="separate"/>
        </w:r>
        <w:r w:rsidR="00E06246">
          <w:rPr>
            <w:noProof/>
          </w:rPr>
          <w:t>8</w:t>
        </w:r>
        <w:r>
          <w:rPr>
            <w:noProof/>
          </w:rPr>
          <w:fldChar w:fldCharType="end"/>
        </w:r>
      </w:p>
    </w:sdtContent>
  </w:sdt>
  <w:p w:rsidR="00631B20" w:rsidRDefault="00631B2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246" w:rsidRDefault="00E062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0D3C" w:rsidRDefault="00760D3C">
      <w:pPr>
        <w:spacing w:after="0" w:line="240" w:lineRule="auto"/>
      </w:pPr>
      <w:r>
        <w:separator/>
      </w:r>
    </w:p>
  </w:footnote>
  <w:footnote w:type="continuationSeparator" w:id="0">
    <w:p w:rsidR="00760D3C" w:rsidRDefault="00760D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246" w:rsidRDefault="00E0624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246" w:rsidRDefault="00E0624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246" w:rsidRDefault="00E0624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EF08DE"/>
    <w:multiLevelType w:val="hybridMultilevel"/>
    <w:tmpl w:val="AFC6DAC4"/>
    <w:lvl w:ilvl="0" w:tplc="F36E5158">
      <w:start w:val="1"/>
      <w:numFmt w:val="decimal"/>
      <w:lvlText w:val="%1."/>
      <w:lvlJc w:val="left"/>
      <w:pPr>
        <w:ind w:left="360" w:hanging="360"/>
      </w:pPr>
    </w:lvl>
    <w:lvl w:ilvl="1" w:tplc="0D3AAE36" w:tentative="1">
      <w:start w:val="1"/>
      <w:numFmt w:val="lowerLetter"/>
      <w:lvlText w:val="%2."/>
      <w:lvlJc w:val="left"/>
      <w:pPr>
        <w:ind w:left="1080" w:hanging="360"/>
      </w:pPr>
    </w:lvl>
    <w:lvl w:ilvl="2" w:tplc="F5DA59B8" w:tentative="1">
      <w:start w:val="1"/>
      <w:numFmt w:val="lowerRoman"/>
      <w:lvlText w:val="%3."/>
      <w:lvlJc w:val="right"/>
      <w:pPr>
        <w:ind w:left="1800" w:hanging="180"/>
      </w:pPr>
    </w:lvl>
    <w:lvl w:ilvl="3" w:tplc="732848DA" w:tentative="1">
      <w:start w:val="1"/>
      <w:numFmt w:val="decimal"/>
      <w:lvlText w:val="%4."/>
      <w:lvlJc w:val="left"/>
      <w:pPr>
        <w:ind w:left="2520" w:hanging="360"/>
      </w:pPr>
    </w:lvl>
    <w:lvl w:ilvl="4" w:tplc="2B6C3C86" w:tentative="1">
      <w:start w:val="1"/>
      <w:numFmt w:val="lowerLetter"/>
      <w:lvlText w:val="%5."/>
      <w:lvlJc w:val="left"/>
      <w:pPr>
        <w:ind w:left="3240" w:hanging="360"/>
      </w:pPr>
    </w:lvl>
    <w:lvl w:ilvl="5" w:tplc="5FC2175C" w:tentative="1">
      <w:start w:val="1"/>
      <w:numFmt w:val="lowerRoman"/>
      <w:lvlText w:val="%6."/>
      <w:lvlJc w:val="right"/>
      <w:pPr>
        <w:ind w:left="3960" w:hanging="180"/>
      </w:pPr>
    </w:lvl>
    <w:lvl w:ilvl="6" w:tplc="9E7A3554" w:tentative="1">
      <w:start w:val="1"/>
      <w:numFmt w:val="decimal"/>
      <w:lvlText w:val="%7."/>
      <w:lvlJc w:val="left"/>
      <w:pPr>
        <w:ind w:left="4680" w:hanging="360"/>
      </w:pPr>
    </w:lvl>
    <w:lvl w:ilvl="7" w:tplc="275C50FA" w:tentative="1">
      <w:start w:val="1"/>
      <w:numFmt w:val="lowerLetter"/>
      <w:lvlText w:val="%8."/>
      <w:lvlJc w:val="left"/>
      <w:pPr>
        <w:ind w:left="5400" w:hanging="360"/>
      </w:pPr>
    </w:lvl>
    <w:lvl w:ilvl="8" w:tplc="EA6CF66C"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8D5"/>
    <w:rsid w:val="000A1130"/>
    <w:rsid w:val="001845F2"/>
    <w:rsid w:val="00222D60"/>
    <w:rsid w:val="002C7F33"/>
    <w:rsid w:val="0030581C"/>
    <w:rsid w:val="00395C01"/>
    <w:rsid w:val="003C4652"/>
    <w:rsid w:val="00422D42"/>
    <w:rsid w:val="00455999"/>
    <w:rsid w:val="0045676C"/>
    <w:rsid w:val="004868D5"/>
    <w:rsid w:val="00631B20"/>
    <w:rsid w:val="00736678"/>
    <w:rsid w:val="00760D3C"/>
    <w:rsid w:val="00972A2D"/>
    <w:rsid w:val="009851E6"/>
    <w:rsid w:val="00995E4C"/>
    <w:rsid w:val="00AA269E"/>
    <w:rsid w:val="00B34A72"/>
    <w:rsid w:val="00CD04E3"/>
    <w:rsid w:val="00CD30E8"/>
    <w:rsid w:val="00D56042"/>
    <w:rsid w:val="00E06246"/>
    <w:rsid w:val="00E37FB9"/>
    <w:rsid w:val="00E87122"/>
    <w:rsid w:val="00E90C35"/>
    <w:rsid w:val="00EC5EBE"/>
    <w:rsid w:val="00F75C1A"/>
    <w:rsid w:val="00FE37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73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5C01"/>
    <w:pPr>
      <w:keepNext/>
      <w:keepLines/>
      <w:spacing w:before="160" w:after="8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736678"/>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9851E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01"/>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736678"/>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9851E6"/>
    <w:rPr>
      <w:rFonts w:ascii="Times New Roman" w:eastAsiaTheme="majorEastAsia" w:hAnsi="Times New Roman" w:cstheme="majorBidi"/>
      <w:b/>
      <w:color w:val="1F4D78" w:themeColor="accent1" w:themeShade="7F"/>
      <w:sz w:val="24"/>
      <w:szCs w:val="24"/>
      <w:lang w:val="en-GB"/>
    </w:rPr>
  </w:style>
  <w:style w:type="character" w:styleId="Strong">
    <w:name w:val="Strong"/>
    <w:basedOn w:val="DefaultParagraphFont"/>
    <w:uiPriority w:val="22"/>
    <w:qFormat/>
    <w:rsid w:val="00B34A72"/>
    <w:rPr>
      <w:b/>
      <w:bCs/>
    </w:rPr>
  </w:style>
  <w:style w:type="paragraph" w:styleId="ListParagraph">
    <w:name w:val="List Paragraph"/>
    <w:basedOn w:val="Normal"/>
    <w:uiPriority w:val="34"/>
    <w:qFormat/>
    <w:rsid w:val="00AA269E"/>
    <w:pPr>
      <w:ind w:left="720"/>
      <w:contextualSpacing/>
    </w:pPr>
  </w:style>
  <w:style w:type="character" w:styleId="Hyperlink">
    <w:name w:val="Hyperlink"/>
    <w:basedOn w:val="DefaultParagraphFont"/>
    <w:uiPriority w:val="99"/>
    <w:unhideWhenUsed/>
    <w:rsid w:val="00AA269E"/>
    <w:rPr>
      <w:color w:val="0563C1" w:themeColor="hyperlink"/>
      <w:u w:val="single"/>
    </w:rPr>
  </w:style>
  <w:style w:type="paragraph" w:styleId="TOCHeading">
    <w:name w:val="TOC Heading"/>
    <w:basedOn w:val="Heading1"/>
    <w:next w:val="Normal"/>
    <w:uiPriority w:val="39"/>
    <w:unhideWhenUsed/>
    <w:qFormat/>
    <w:rsid w:val="00222D60"/>
    <w:pPr>
      <w:spacing w:before="240"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222D60"/>
    <w:pPr>
      <w:spacing w:after="100"/>
    </w:pPr>
  </w:style>
  <w:style w:type="paragraph" w:styleId="TOC2">
    <w:name w:val="toc 2"/>
    <w:basedOn w:val="Normal"/>
    <w:next w:val="Normal"/>
    <w:autoRedefine/>
    <w:uiPriority w:val="39"/>
    <w:unhideWhenUsed/>
    <w:rsid w:val="00222D60"/>
    <w:pPr>
      <w:spacing w:after="100"/>
      <w:ind w:left="240"/>
    </w:pPr>
  </w:style>
  <w:style w:type="paragraph" w:styleId="Header">
    <w:name w:val="header"/>
    <w:basedOn w:val="Normal"/>
    <w:link w:val="HeaderChar"/>
    <w:uiPriority w:val="99"/>
    <w:unhideWhenUsed/>
    <w:rsid w:val="00631B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B20"/>
    <w:rPr>
      <w:rFonts w:ascii="Times New Roman" w:hAnsi="Times New Roman"/>
      <w:sz w:val="24"/>
      <w:lang w:val="en-GB"/>
    </w:rPr>
  </w:style>
  <w:style w:type="paragraph" w:styleId="Footer">
    <w:name w:val="footer"/>
    <w:basedOn w:val="Normal"/>
    <w:link w:val="FooterChar"/>
    <w:uiPriority w:val="99"/>
    <w:unhideWhenUsed/>
    <w:rsid w:val="00631B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1B2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somethinggood.org.uk/project/foodcycle-acton-acton-gardens-community-centre/"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64C9A-7F0D-4178-8B8E-56B5017A8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2519</Words>
  <Characters>14363</Characters>
  <Application>Microsoft Office Word</Application>
  <DocSecurity>0</DocSecurity>
  <Lines>119</Lines>
  <Paragraphs>33</Paragraphs>
  <ScaleCrop>false</ScaleCrop>
  <Company/>
  <LinksUpToDate>false</LinksUpToDate>
  <CharactersWithSpaces>16849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2023-12-23T11:17:00Z</dcterms:created>
  <dcterms:modified xsi:type="dcterms:W3CDTF">2023-12-23T11:17:00Z</dcterms:modified>
</cp:coreProperties>
</file>